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3D11C5">
      <w:pPr>
        <w:pStyle w:val="36"/>
        <w:spacing w:before="120" w:beforeAutospacing="0" w:after="120" w:afterAutospacing="0" w:line="360" w:lineRule="auto"/>
        <w:rPr>
          <w:rFonts w:hint="eastAsia" w:eastAsiaTheme="minorEastAsia"/>
          <w:color w:val="auto"/>
          <w:lang w:eastAsia="zh-CN"/>
        </w:rPr>
      </w:pPr>
    </w:p>
    <w:p w14:paraId="64C6880D">
      <w:pPr>
        <w:pStyle w:val="36"/>
        <w:spacing w:before="120" w:beforeAutospacing="0" w:after="120" w:afterAutospacing="0" w:line="360" w:lineRule="auto"/>
        <w:jc w:val="center"/>
        <w:rPr>
          <w:color w:val="auto"/>
        </w:rPr>
      </w:pPr>
      <w:r>
        <w:rPr>
          <w:rFonts w:ascii="Arial" w:hAnsi="Arial" w:cs="Arial"/>
          <w:b/>
          <w:color w:val="auto"/>
          <w:sz w:val="84"/>
          <w:szCs w:val="84"/>
        </w:rPr>
        <w:t>招标文件</w:t>
      </w:r>
    </w:p>
    <w:p w14:paraId="2E4B3DE7">
      <w:pPr>
        <w:pStyle w:val="36"/>
        <w:spacing w:before="120" w:beforeAutospacing="0" w:after="120" w:afterAutospacing="0" w:line="360" w:lineRule="auto"/>
        <w:ind w:hanging="284"/>
        <w:rPr>
          <w:rFonts w:ascii="Arial" w:hAnsi="Arial" w:cs="Arial"/>
          <w:b/>
          <w:color w:val="auto"/>
          <w:sz w:val="32"/>
          <w:szCs w:val="32"/>
        </w:rPr>
      </w:pPr>
    </w:p>
    <w:p w14:paraId="06598FA8">
      <w:pPr>
        <w:pStyle w:val="36"/>
        <w:spacing w:before="120" w:beforeAutospacing="0" w:after="120" w:afterAutospacing="0" w:line="360" w:lineRule="auto"/>
        <w:jc w:val="left"/>
        <w:rPr>
          <w:rFonts w:hint="eastAsia" w:ascii="Arial" w:hAnsi="Arial" w:cs="Arial"/>
          <w:b/>
          <w:color w:val="auto"/>
          <w:sz w:val="32"/>
          <w:szCs w:val="32"/>
          <w:lang w:eastAsia="zh-CN"/>
        </w:rPr>
      </w:pPr>
      <w:r>
        <w:rPr>
          <w:rFonts w:hint="eastAsia" w:ascii="Arial" w:hAnsi="Arial" w:cs="Arial"/>
          <w:b/>
          <w:color w:val="auto"/>
          <w:sz w:val="32"/>
          <w:szCs w:val="32"/>
        </w:rPr>
        <w:t>项目名称：</w:t>
      </w:r>
      <w:r>
        <w:rPr>
          <w:rFonts w:hint="eastAsia" w:ascii="Arial" w:hAnsi="Arial" w:cs="Arial"/>
          <w:b/>
          <w:color w:val="auto"/>
          <w:sz w:val="32"/>
          <w:szCs w:val="32"/>
          <w:lang w:eastAsia="zh-CN"/>
        </w:rPr>
        <w:t>江苏省盐城技师学院智能制造学院工业机器人操作与运维一体化学习工作站建设项目</w:t>
      </w:r>
    </w:p>
    <w:p w14:paraId="72FF6F92">
      <w:pPr>
        <w:pStyle w:val="36"/>
        <w:spacing w:before="120" w:beforeAutospacing="0" w:after="120" w:afterAutospacing="0" w:line="360" w:lineRule="auto"/>
        <w:ind w:firstLine="709"/>
        <w:jc w:val="both"/>
        <w:rPr>
          <w:rFonts w:hint="eastAsia" w:eastAsia="宋体"/>
          <w:color w:val="auto"/>
          <w:lang w:eastAsia="zh-CN"/>
        </w:rPr>
      </w:pPr>
      <w:r>
        <w:rPr>
          <w:rFonts w:ascii="Arial" w:hAnsi="Arial" w:cs="Arial"/>
          <w:b/>
          <w:color w:val="auto"/>
          <w:sz w:val="32"/>
          <w:szCs w:val="32"/>
        </w:rPr>
        <w:t>项目编号：</w:t>
      </w:r>
      <w:r>
        <w:rPr>
          <w:rFonts w:hint="eastAsia" w:ascii="Arial" w:hAnsi="Arial" w:cs="Arial"/>
          <w:b/>
          <w:color w:val="auto"/>
          <w:sz w:val="32"/>
          <w:szCs w:val="32"/>
        </w:rPr>
        <w:t>JSZC-320900-JSZH-G2026-0087</w:t>
      </w:r>
    </w:p>
    <w:p w14:paraId="1F9E94E3">
      <w:pPr>
        <w:pStyle w:val="36"/>
        <w:spacing w:beforeAutospacing="0" w:afterAutospacing="0" w:line="360" w:lineRule="auto"/>
        <w:rPr>
          <w:rFonts w:hint="eastAsia" w:eastAsiaTheme="minorEastAsia"/>
          <w:color w:val="auto"/>
          <w:lang w:eastAsia="zh-CN"/>
        </w:rPr>
      </w:pPr>
    </w:p>
    <w:p w14:paraId="44208D5E">
      <w:pPr>
        <w:pStyle w:val="36"/>
        <w:spacing w:beforeAutospacing="0" w:afterAutospacing="0" w:line="360" w:lineRule="auto"/>
        <w:rPr>
          <w:rFonts w:hint="eastAsia" w:eastAsiaTheme="minorEastAsia"/>
          <w:color w:val="auto"/>
          <w:lang w:eastAsia="zh-CN"/>
        </w:rPr>
      </w:pPr>
    </w:p>
    <w:p w14:paraId="52C6DEA8">
      <w:pPr>
        <w:pStyle w:val="36"/>
        <w:spacing w:beforeAutospacing="0" w:afterAutospacing="0" w:line="360" w:lineRule="auto"/>
        <w:rPr>
          <w:rFonts w:hint="eastAsia" w:eastAsiaTheme="minorEastAsia"/>
          <w:color w:val="auto"/>
          <w:lang w:eastAsia="zh-CN"/>
        </w:rPr>
      </w:pPr>
    </w:p>
    <w:p w14:paraId="65EDEF1E">
      <w:pPr>
        <w:pStyle w:val="36"/>
        <w:spacing w:beforeAutospacing="0" w:afterAutospacing="0" w:line="360" w:lineRule="auto"/>
        <w:rPr>
          <w:color w:val="auto"/>
        </w:rPr>
      </w:pPr>
    </w:p>
    <w:p w14:paraId="21096E02">
      <w:pPr>
        <w:pStyle w:val="36"/>
        <w:spacing w:beforeAutospacing="0" w:afterAutospacing="0" w:line="360" w:lineRule="auto"/>
        <w:rPr>
          <w:color w:val="auto"/>
        </w:rPr>
      </w:pPr>
    </w:p>
    <w:p w14:paraId="2841FC55">
      <w:pPr>
        <w:pStyle w:val="36"/>
        <w:spacing w:beforeAutospacing="0" w:afterAutospacing="0" w:line="360" w:lineRule="auto"/>
        <w:rPr>
          <w:color w:val="auto"/>
        </w:rPr>
      </w:pPr>
    </w:p>
    <w:p w14:paraId="632FC424">
      <w:pPr>
        <w:pStyle w:val="36"/>
        <w:spacing w:beforeAutospacing="0" w:afterAutospacing="0" w:line="360" w:lineRule="auto"/>
        <w:rPr>
          <w:color w:val="auto"/>
        </w:rPr>
      </w:pPr>
    </w:p>
    <w:p w14:paraId="241E98C2">
      <w:pPr>
        <w:pStyle w:val="36"/>
        <w:spacing w:beforeAutospacing="0" w:afterAutospacing="0" w:line="360" w:lineRule="auto"/>
        <w:rPr>
          <w:color w:val="auto"/>
        </w:rPr>
      </w:pPr>
    </w:p>
    <w:p w14:paraId="27641177">
      <w:pPr>
        <w:pStyle w:val="36"/>
        <w:spacing w:beforeAutospacing="0" w:afterAutospacing="0" w:line="360" w:lineRule="auto"/>
        <w:rPr>
          <w:rFonts w:hint="eastAsia" w:eastAsiaTheme="minorEastAsia"/>
          <w:color w:val="auto"/>
          <w:lang w:eastAsia="zh-CN"/>
        </w:rPr>
      </w:pPr>
    </w:p>
    <w:p w14:paraId="663F917C">
      <w:pPr>
        <w:pStyle w:val="36"/>
        <w:spacing w:beforeAutospacing="0" w:afterAutospacing="0" w:line="360" w:lineRule="auto"/>
        <w:rPr>
          <w:rFonts w:hint="eastAsia" w:eastAsiaTheme="minorEastAsia"/>
          <w:color w:val="auto"/>
          <w:lang w:eastAsia="zh-CN"/>
        </w:rPr>
      </w:pPr>
    </w:p>
    <w:p w14:paraId="2804BC35">
      <w:pPr>
        <w:pStyle w:val="36"/>
        <w:spacing w:beforeAutospacing="0" w:afterAutospacing="0" w:line="360" w:lineRule="auto"/>
        <w:rPr>
          <w:rFonts w:hint="eastAsia" w:eastAsiaTheme="minorEastAsia"/>
          <w:color w:val="auto"/>
          <w:lang w:eastAsia="zh-CN"/>
        </w:rPr>
      </w:pPr>
    </w:p>
    <w:p w14:paraId="7EF7ABA8">
      <w:pPr>
        <w:pStyle w:val="36"/>
        <w:spacing w:beforeAutospacing="0" w:afterAutospacing="0" w:line="360" w:lineRule="auto"/>
        <w:rPr>
          <w:rFonts w:hint="eastAsia" w:eastAsiaTheme="minorEastAsia"/>
          <w:color w:val="auto"/>
          <w:lang w:eastAsia="zh-CN"/>
        </w:rPr>
      </w:pPr>
    </w:p>
    <w:p w14:paraId="23881B68">
      <w:pPr>
        <w:pStyle w:val="36"/>
        <w:spacing w:before="120" w:beforeAutospacing="0" w:after="120" w:afterAutospacing="0" w:line="360" w:lineRule="auto"/>
        <w:jc w:val="center"/>
        <w:rPr>
          <w:rFonts w:ascii="Arial" w:hAnsi="Arial" w:cs="Arial"/>
          <w:b/>
          <w:color w:val="auto"/>
          <w:sz w:val="32"/>
          <w:szCs w:val="32"/>
        </w:rPr>
      </w:pPr>
      <w:r>
        <w:rPr>
          <w:rFonts w:hint="eastAsia" w:ascii="Arial" w:hAnsi="Arial" w:cs="Arial"/>
          <w:b/>
          <w:color w:val="auto"/>
          <w:sz w:val="32"/>
          <w:szCs w:val="32"/>
        </w:rPr>
        <w:t>江苏省盐城技师学院</w:t>
      </w:r>
    </w:p>
    <w:p w14:paraId="2CEF37FD">
      <w:pPr>
        <w:pStyle w:val="36"/>
        <w:spacing w:before="120" w:beforeAutospacing="0" w:after="120" w:afterAutospacing="0" w:line="360" w:lineRule="auto"/>
        <w:jc w:val="center"/>
        <w:rPr>
          <w:color w:val="auto"/>
        </w:rPr>
      </w:pPr>
      <w:r>
        <w:rPr>
          <w:rFonts w:ascii="Arial" w:hAnsi="Arial" w:cs="Arial"/>
          <w:b/>
          <w:color w:val="auto"/>
          <w:sz w:val="32"/>
          <w:szCs w:val="32"/>
        </w:rPr>
        <w:t>2026年</w:t>
      </w:r>
      <w:r>
        <w:rPr>
          <w:rFonts w:hint="eastAsia" w:ascii="Arial" w:hAnsi="Arial" w:cs="Arial"/>
          <w:b/>
          <w:color w:val="auto"/>
          <w:sz w:val="32"/>
          <w:szCs w:val="32"/>
          <w:lang w:val="en-US" w:eastAsia="zh-CN"/>
        </w:rPr>
        <w:t>10</w:t>
      </w:r>
      <w:r>
        <w:rPr>
          <w:rFonts w:ascii="Arial" w:hAnsi="Arial" w:cs="Arial"/>
          <w:b/>
          <w:color w:val="auto"/>
          <w:sz w:val="32"/>
          <w:szCs w:val="32"/>
        </w:rPr>
        <w:t>月</w:t>
      </w:r>
    </w:p>
    <w:p w14:paraId="2A6069F8">
      <w:pPr>
        <w:pStyle w:val="36"/>
        <w:spacing w:before="120" w:beforeAutospacing="0" w:after="120" w:afterAutospacing="0" w:line="360" w:lineRule="auto"/>
        <w:jc w:val="center"/>
        <w:rPr>
          <w:color w:val="auto"/>
        </w:rPr>
      </w:pPr>
      <w:r>
        <w:rPr>
          <w:rFonts w:ascii="Times New Roman" w:hAnsi="Times New Roman"/>
          <w:color w:val="auto"/>
          <w:sz w:val="21"/>
          <w:szCs w:val="21"/>
        </w:rPr>
        <w:br w:type="page" w:clear="all"/>
      </w:r>
    </w:p>
    <w:p w14:paraId="2F41295E">
      <w:pPr>
        <w:pStyle w:val="36"/>
        <w:spacing w:beforeAutospacing="0" w:afterAutospacing="0"/>
        <w:jc w:val="both"/>
        <w:rPr>
          <w:color w:val="auto"/>
        </w:rPr>
      </w:pPr>
    </w:p>
    <w:sdt>
      <w:sdtPr>
        <w:rPr>
          <w:rFonts w:ascii="黑体" w:hAnsi="黑体" w:eastAsia="黑体" w:cstheme="minorBidi"/>
          <w:color w:val="auto"/>
          <w:sz w:val="44"/>
          <w:szCs w:val="44"/>
          <w:lang w:val="zh-CN"/>
        </w:rPr>
        <w:id w:val="-593088384"/>
        <w:docPartObj>
          <w:docPartGallery w:val="Table of Contents"/>
          <w:docPartUnique/>
        </w:docPartObj>
      </w:sdtPr>
      <w:sdtEndPr>
        <w:rPr>
          <w:rFonts w:ascii="黑体" w:hAnsi="黑体" w:eastAsia="黑体" w:cstheme="minorBidi"/>
          <w:color w:val="auto"/>
          <w:sz w:val="44"/>
          <w:szCs w:val="44"/>
          <w:lang w:val="zh-CN"/>
        </w:rPr>
      </w:sdtEndPr>
      <w:sdtContent>
        <w:p w14:paraId="45356B0C">
          <w:pPr>
            <w:pStyle w:val="208"/>
            <w:jc w:val="center"/>
            <w:rPr>
              <w:rFonts w:ascii="黑体" w:hAnsi="黑体" w:eastAsia="黑体"/>
              <w:color w:val="auto"/>
              <w:sz w:val="44"/>
              <w:szCs w:val="44"/>
              <w:lang w:val="zh-CN"/>
            </w:rPr>
          </w:pPr>
          <w:r>
            <w:rPr>
              <w:rFonts w:hint="eastAsia" w:ascii="黑体" w:hAnsi="黑体" w:eastAsia="黑体"/>
              <w:color w:val="auto"/>
              <w:sz w:val="44"/>
              <w:szCs w:val="44"/>
              <w:lang w:val="zh-CN"/>
            </w:rPr>
            <w:t>总</w:t>
          </w:r>
          <w:r>
            <w:rPr>
              <w:rFonts w:ascii="黑体" w:hAnsi="黑体" w:eastAsia="黑体"/>
              <w:color w:val="auto"/>
              <w:sz w:val="44"/>
              <w:szCs w:val="44"/>
              <w:lang w:val="zh-CN"/>
            </w:rPr>
            <w:t>目录</w:t>
          </w:r>
        </w:p>
        <w:p w14:paraId="75DE1DEB">
          <w:pPr>
            <w:pStyle w:val="28"/>
            <w:tabs>
              <w:tab w:val="right" w:leader="dot" w:pos="8296"/>
            </w:tabs>
            <w:rPr>
              <w:rFonts w:ascii="黑体" w:hAnsi="黑体" w:eastAsia="黑体" w:cstheme="minorBidi"/>
              <w:color w:val="auto"/>
              <w:sz w:val="32"/>
              <w:szCs w:val="32"/>
            </w:rPr>
          </w:pPr>
          <w:r>
            <w:rPr>
              <w:rFonts w:ascii="黑体" w:hAnsi="黑体" w:eastAsia="黑体"/>
              <w:color w:val="auto"/>
              <w:sz w:val="32"/>
              <w:szCs w:val="32"/>
            </w:rPr>
            <w:fldChar w:fldCharType="begin"/>
          </w:r>
          <w:r>
            <w:rPr>
              <w:rFonts w:ascii="黑体" w:hAnsi="黑体" w:eastAsia="黑体"/>
              <w:color w:val="auto"/>
              <w:sz w:val="32"/>
              <w:szCs w:val="32"/>
            </w:rPr>
            <w:instrText xml:space="preserve"> TOC \o "1-3" \h \z \u </w:instrText>
          </w:r>
          <w:r>
            <w:rPr>
              <w:rFonts w:ascii="黑体" w:hAnsi="黑体" w:eastAsia="黑体"/>
              <w:color w:val="auto"/>
              <w:sz w:val="32"/>
              <w:szCs w:val="32"/>
            </w:rPr>
            <w:fldChar w:fldCharType="separate"/>
          </w:r>
          <w:r>
            <w:rPr>
              <w:color w:val="auto"/>
            </w:rPr>
            <w:fldChar w:fldCharType="begin"/>
          </w:r>
          <w:r>
            <w:rPr>
              <w:color w:val="auto"/>
            </w:rPr>
            <w:instrText xml:space="preserve"> HYPERLINK \l "_Toc234256913" </w:instrText>
          </w:r>
          <w:r>
            <w:rPr>
              <w:color w:val="auto"/>
            </w:rPr>
            <w:fldChar w:fldCharType="separate"/>
          </w:r>
          <w:r>
            <w:rPr>
              <w:rStyle w:val="48"/>
              <w:rFonts w:ascii="黑体" w:hAnsi="黑体" w:eastAsia="黑体"/>
              <w:color w:val="auto"/>
              <w:sz w:val="32"/>
              <w:szCs w:val="32"/>
            </w:rPr>
            <w:t>第一章招标公告</w:t>
          </w:r>
          <w:r>
            <w:rPr>
              <w:rFonts w:ascii="黑体" w:hAnsi="黑体" w:eastAsia="黑体"/>
              <w:color w:val="auto"/>
              <w:sz w:val="32"/>
              <w:szCs w:val="32"/>
            </w:rPr>
            <w:tab/>
          </w:r>
          <w:r>
            <w:rPr>
              <w:rFonts w:ascii="黑体" w:hAnsi="黑体" w:eastAsia="黑体"/>
              <w:color w:val="auto"/>
              <w:sz w:val="32"/>
              <w:szCs w:val="32"/>
            </w:rPr>
            <w:fldChar w:fldCharType="begin"/>
          </w:r>
          <w:r>
            <w:rPr>
              <w:rFonts w:ascii="黑体" w:hAnsi="黑体" w:eastAsia="黑体"/>
              <w:color w:val="auto"/>
              <w:sz w:val="32"/>
              <w:szCs w:val="32"/>
            </w:rPr>
            <w:instrText xml:space="preserve"> PAGEREF _Toc234256913 \h </w:instrText>
          </w:r>
          <w:r>
            <w:rPr>
              <w:rFonts w:ascii="黑体" w:hAnsi="黑体" w:eastAsia="黑体"/>
              <w:color w:val="auto"/>
              <w:sz w:val="32"/>
              <w:szCs w:val="32"/>
            </w:rPr>
            <w:fldChar w:fldCharType="separate"/>
          </w:r>
          <w:r>
            <w:rPr>
              <w:rFonts w:ascii="黑体" w:hAnsi="黑体" w:eastAsia="黑体"/>
              <w:color w:val="auto"/>
              <w:sz w:val="32"/>
              <w:szCs w:val="32"/>
            </w:rPr>
            <w:t>3</w:t>
          </w:r>
          <w:r>
            <w:rPr>
              <w:rFonts w:ascii="黑体" w:hAnsi="黑体" w:eastAsia="黑体"/>
              <w:color w:val="auto"/>
              <w:sz w:val="32"/>
              <w:szCs w:val="32"/>
            </w:rPr>
            <w:fldChar w:fldCharType="end"/>
          </w:r>
          <w:r>
            <w:rPr>
              <w:rFonts w:ascii="黑体" w:hAnsi="黑体" w:eastAsia="黑体"/>
              <w:color w:val="auto"/>
              <w:sz w:val="32"/>
              <w:szCs w:val="32"/>
            </w:rPr>
            <w:fldChar w:fldCharType="end"/>
          </w:r>
        </w:p>
        <w:p w14:paraId="18095916">
          <w:pPr>
            <w:pStyle w:val="28"/>
            <w:tabs>
              <w:tab w:val="right" w:leader="dot" w:pos="8296"/>
            </w:tabs>
            <w:rPr>
              <w:rFonts w:ascii="黑体" w:hAnsi="黑体" w:eastAsia="黑体" w:cstheme="minorBidi"/>
              <w:color w:val="auto"/>
              <w:sz w:val="32"/>
              <w:szCs w:val="32"/>
            </w:rPr>
          </w:pPr>
          <w:r>
            <w:rPr>
              <w:color w:val="auto"/>
            </w:rPr>
            <w:fldChar w:fldCharType="begin"/>
          </w:r>
          <w:r>
            <w:rPr>
              <w:color w:val="auto"/>
            </w:rPr>
            <w:instrText xml:space="preserve"> HYPERLINK \l "_Toc234256914" </w:instrText>
          </w:r>
          <w:r>
            <w:rPr>
              <w:color w:val="auto"/>
            </w:rPr>
            <w:fldChar w:fldCharType="separate"/>
          </w:r>
          <w:r>
            <w:rPr>
              <w:rStyle w:val="48"/>
              <w:rFonts w:ascii="黑体" w:hAnsi="黑体" w:eastAsia="黑体"/>
              <w:color w:val="auto"/>
              <w:sz w:val="32"/>
              <w:szCs w:val="32"/>
            </w:rPr>
            <w:t>第二章投标人须知</w:t>
          </w:r>
          <w:r>
            <w:rPr>
              <w:rFonts w:ascii="黑体" w:hAnsi="黑体" w:eastAsia="黑体"/>
              <w:color w:val="auto"/>
              <w:sz w:val="32"/>
              <w:szCs w:val="32"/>
            </w:rPr>
            <w:tab/>
          </w:r>
          <w:r>
            <w:rPr>
              <w:rFonts w:ascii="黑体" w:hAnsi="黑体" w:eastAsia="黑体"/>
              <w:color w:val="auto"/>
              <w:sz w:val="32"/>
              <w:szCs w:val="32"/>
            </w:rPr>
            <w:fldChar w:fldCharType="begin"/>
          </w:r>
          <w:r>
            <w:rPr>
              <w:rFonts w:ascii="黑体" w:hAnsi="黑体" w:eastAsia="黑体"/>
              <w:color w:val="auto"/>
              <w:sz w:val="32"/>
              <w:szCs w:val="32"/>
            </w:rPr>
            <w:instrText xml:space="preserve"> PAGEREF _Toc234256914 \h </w:instrText>
          </w:r>
          <w:r>
            <w:rPr>
              <w:rFonts w:ascii="黑体" w:hAnsi="黑体" w:eastAsia="黑体"/>
              <w:color w:val="auto"/>
              <w:sz w:val="32"/>
              <w:szCs w:val="32"/>
            </w:rPr>
            <w:fldChar w:fldCharType="separate"/>
          </w:r>
          <w:r>
            <w:rPr>
              <w:rFonts w:ascii="黑体" w:hAnsi="黑体" w:eastAsia="黑体"/>
              <w:color w:val="auto"/>
              <w:sz w:val="32"/>
              <w:szCs w:val="32"/>
            </w:rPr>
            <w:t>7</w:t>
          </w:r>
          <w:r>
            <w:rPr>
              <w:rFonts w:ascii="黑体" w:hAnsi="黑体" w:eastAsia="黑体"/>
              <w:color w:val="auto"/>
              <w:sz w:val="32"/>
              <w:szCs w:val="32"/>
            </w:rPr>
            <w:fldChar w:fldCharType="end"/>
          </w:r>
          <w:r>
            <w:rPr>
              <w:rFonts w:ascii="黑体" w:hAnsi="黑体" w:eastAsia="黑体"/>
              <w:color w:val="auto"/>
              <w:sz w:val="32"/>
              <w:szCs w:val="32"/>
            </w:rPr>
            <w:fldChar w:fldCharType="end"/>
          </w:r>
        </w:p>
        <w:p w14:paraId="5D5DD0C4">
          <w:pPr>
            <w:pStyle w:val="28"/>
            <w:tabs>
              <w:tab w:val="right" w:leader="dot" w:pos="8296"/>
            </w:tabs>
            <w:rPr>
              <w:rFonts w:ascii="黑体" w:hAnsi="黑体" w:eastAsia="黑体" w:cstheme="minorBidi"/>
              <w:color w:val="auto"/>
              <w:sz w:val="32"/>
              <w:szCs w:val="32"/>
            </w:rPr>
          </w:pPr>
          <w:r>
            <w:rPr>
              <w:color w:val="auto"/>
            </w:rPr>
            <w:fldChar w:fldCharType="begin"/>
          </w:r>
          <w:r>
            <w:rPr>
              <w:color w:val="auto"/>
            </w:rPr>
            <w:instrText xml:space="preserve"> HYPERLINK \l "_Toc234256915" </w:instrText>
          </w:r>
          <w:r>
            <w:rPr>
              <w:color w:val="auto"/>
            </w:rPr>
            <w:fldChar w:fldCharType="separate"/>
          </w:r>
          <w:r>
            <w:rPr>
              <w:rStyle w:val="48"/>
              <w:rFonts w:ascii="黑体" w:hAnsi="黑体" w:eastAsia="黑体"/>
              <w:color w:val="auto"/>
              <w:sz w:val="32"/>
              <w:szCs w:val="32"/>
            </w:rPr>
            <w:t>第三章合同条款</w:t>
          </w:r>
          <w:r>
            <w:rPr>
              <w:rFonts w:ascii="黑体" w:hAnsi="黑体" w:eastAsia="黑体"/>
              <w:color w:val="auto"/>
              <w:sz w:val="32"/>
              <w:szCs w:val="32"/>
            </w:rPr>
            <w:tab/>
          </w:r>
          <w:r>
            <w:rPr>
              <w:rFonts w:ascii="黑体" w:hAnsi="黑体" w:eastAsia="黑体"/>
              <w:color w:val="auto"/>
              <w:sz w:val="32"/>
              <w:szCs w:val="32"/>
            </w:rPr>
            <w:fldChar w:fldCharType="begin"/>
          </w:r>
          <w:r>
            <w:rPr>
              <w:rFonts w:ascii="黑体" w:hAnsi="黑体" w:eastAsia="黑体"/>
              <w:color w:val="auto"/>
              <w:sz w:val="32"/>
              <w:szCs w:val="32"/>
            </w:rPr>
            <w:instrText xml:space="preserve"> PAGEREF _Toc234256915 \h </w:instrText>
          </w:r>
          <w:r>
            <w:rPr>
              <w:rFonts w:ascii="黑体" w:hAnsi="黑体" w:eastAsia="黑体"/>
              <w:color w:val="auto"/>
              <w:sz w:val="32"/>
              <w:szCs w:val="32"/>
            </w:rPr>
            <w:fldChar w:fldCharType="separate"/>
          </w:r>
          <w:r>
            <w:rPr>
              <w:rFonts w:ascii="黑体" w:hAnsi="黑体" w:eastAsia="黑体"/>
              <w:color w:val="auto"/>
              <w:sz w:val="32"/>
              <w:szCs w:val="32"/>
            </w:rPr>
            <w:t>24</w:t>
          </w:r>
          <w:r>
            <w:rPr>
              <w:rFonts w:ascii="黑体" w:hAnsi="黑体" w:eastAsia="黑体"/>
              <w:color w:val="auto"/>
              <w:sz w:val="32"/>
              <w:szCs w:val="32"/>
            </w:rPr>
            <w:fldChar w:fldCharType="end"/>
          </w:r>
          <w:r>
            <w:rPr>
              <w:rFonts w:ascii="黑体" w:hAnsi="黑体" w:eastAsia="黑体"/>
              <w:color w:val="auto"/>
              <w:sz w:val="32"/>
              <w:szCs w:val="32"/>
            </w:rPr>
            <w:fldChar w:fldCharType="end"/>
          </w:r>
        </w:p>
        <w:p w14:paraId="0A255C4A">
          <w:pPr>
            <w:pStyle w:val="28"/>
            <w:tabs>
              <w:tab w:val="right" w:leader="dot" w:pos="8296"/>
            </w:tabs>
            <w:rPr>
              <w:rFonts w:ascii="黑体" w:hAnsi="黑体" w:eastAsia="黑体" w:cstheme="minorBidi"/>
              <w:color w:val="auto"/>
              <w:sz w:val="32"/>
              <w:szCs w:val="32"/>
            </w:rPr>
          </w:pPr>
          <w:r>
            <w:rPr>
              <w:color w:val="auto"/>
            </w:rPr>
            <w:fldChar w:fldCharType="begin"/>
          </w:r>
          <w:r>
            <w:rPr>
              <w:color w:val="auto"/>
            </w:rPr>
            <w:instrText xml:space="preserve"> HYPERLINK \l "_Toc234256916" </w:instrText>
          </w:r>
          <w:r>
            <w:rPr>
              <w:color w:val="auto"/>
            </w:rPr>
            <w:fldChar w:fldCharType="separate"/>
          </w:r>
          <w:r>
            <w:rPr>
              <w:rStyle w:val="48"/>
              <w:rFonts w:ascii="黑体" w:hAnsi="黑体" w:eastAsia="黑体"/>
              <w:color w:val="auto"/>
              <w:sz w:val="32"/>
              <w:szCs w:val="32"/>
            </w:rPr>
            <w:t>第四章采购需求</w:t>
          </w:r>
          <w:r>
            <w:rPr>
              <w:rFonts w:ascii="黑体" w:hAnsi="黑体" w:eastAsia="黑体"/>
              <w:color w:val="auto"/>
              <w:sz w:val="32"/>
              <w:szCs w:val="32"/>
            </w:rPr>
            <w:tab/>
          </w:r>
          <w:r>
            <w:rPr>
              <w:rFonts w:ascii="黑体" w:hAnsi="黑体" w:eastAsia="黑体"/>
              <w:color w:val="auto"/>
              <w:sz w:val="32"/>
              <w:szCs w:val="32"/>
            </w:rPr>
            <w:fldChar w:fldCharType="begin"/>
          </w:r>
          <w:r>
            <w:rPr>
              <w:rFonts w:ascii="黑体" w:hAnsi="黑体" w:eastAsia="黑体"/>
              <w:color w:val="auto"/>
              <w:sz w:val="32"/>
              <w:szCs w:val="32"/>
            </w:rPr>
            <w:instrText xml:space="preserve"> PAGEREF _Toc234256916 \h </w:instrText>
          </w:r>
          <w:r>
            <w:rPr>
              <w:rFonts w:ascii="黑体" w:hAnsi="黑体" w:eastAsia="黑体"/>
              <w:color w:val="auto"/>
              <w:sz w:val="32"/>
              <w:szCs w:val="32"/>
            </w:rPr>
            <w:fldChar w:fldCharType="separate"/>
          </w:r>
          <w:r>
            <w:rPr>
              <w:rFonts w:ascii="黑体" w:hAnsi="黑体" w:eastAsia="黑体"/>
              <w:color w:val="auto"/>
              <w:sz w:val="32"/>
              <w:szCs w:val="32"/>
            </w:rPr>
            <w:t>30</w:t>
          </w:r>
          <w:r>
            <w:rPr>
              <w:rFonts w:ascii="黑体" w:hAnsi="黑体" w:eastAsia="黑体"/>
              <w:color w:val="auto"/>
              <w:sz w:val="32"/>
              <w:szCs w:val="32"/>
            </w:rPr>
            <w:fldChar w:fldCharType="end"/>
          </w:r>
          <w:r>
            <w:rPr>
              <w:rFonts w:ascii="黑体" w:hAnsi="黑体" w:eastAsia="黑体"/>
              <w:color w:val="auto"/>
              <w:sz w:val="32"/>
              <w:szCs w:val="32"/>
            </w:rPr>
            <w:fldChar w:fldCharType="end"/>
          </w:r>
        </w:p>
        <w:p w14:paraId="58221975">
          <w:pPr>
            <w:pStyle w:val="28"/>
            <w:tabs>
              <w:tab w:val="right" w:leader="dot" w:pos="8296"/>
            </w:tabs>
            <w:rPr>
              <w:rFonts w:ascii="黑体" w:hAnsi="黑体" w:eastAsia="黑体" w:cstheme="minorBidi"/>
              <w:color w:val="auto"/>
              <w:sz w:val="32"/>
              <w:szCs w:val="32"/>
            </w:rPr>
          </w:pPr>
          <w:r>
            <w:rPr>
              <w:color w:val="auto"/>
            </w:rPr>
            <w:fldChar w:fldCharType="begin"/>
          </w:r>
          <w:r>
            <w:rPr>
              <w:color w:val="auto"/>
            </w:rPr>
            <w:instrText xml:space="preserve"> HYPERLINK \l "_Toc234256917" </w:instrText>
          </w:r>
          <w:r>
            <w:rPr>
              <w:color w:val="auto"/>
            </w:rPr>
            <w:fldChar w:fldCharType="separate"/>
          </w:r>
          <w:r>
            <w:rPr>
              <w:rStyle w:val="48"/>
              <w:rFonts w:ascii="黑体" w:hAnsi="黑体" w:eastAsia="黑体"/>
              <w:color w:val="auto"/>
              <w:sz w:val="32"/>
              <w:szCs w:val="32"/>
            </w:rPr>
            <w:t>第五章评标方法与评标标准</w:t>
          </w:r>
          <w:r>
            <w:rPr>
              <w:rFonts w:ascii="黑体" w:hAnsi="黑体" w:eastAsia="黑体"/>
              <w:color w:val="auto"/>
              <w:sz w:val="32"/>
              <w:szCs w:val="32"/>
            </w:rPr>
            <w:tab/>
          </w:r>
          <w:r>
            <w:rPr>
              <w:rFonts w:ascii="黑体" w:hAnsi="黑体" w:eastAsia="黑体"/>
              <w:color w:val="auto"/>
              <w:sz w:val="32"/>
              <w:szCs w:val="32"/>
            </w:rPr>
            <w:fldChar w:fldCharType="begin"/>
          </w:r>
          <w:r>
            <w:rPr>
              <w:rFonts w:ascii="黑体" w:hAnsi="黑体" w:eastAsia="黑体"/>
              <w:color w:val="auto"/>
              <w:sz w:val="32"/>
              <w:szCs w:val="32"/>
            </w:rPr>
            <w:instrText xml:space="preserve"> PAGEREF _Toc234256917 \h </w:instrText>
          </w:r>
          <w:r>
            <w:rPr>
              <w:rFonts w:ascii="黑体" w:hAnsi="黑体" w:eastAsia="黑体"/>
              <w:color w:val="auto"/>
              <w:sz w:val="32"/>
              <w:szCs w:val="32"/>
            </w:rPr>
            <w:fldChar w:fldCharType="separate"/>
          </w:r>
          <w:r>
            <w:rPr>
              <w:rFonts w:ascii="黑体" w:hAnsi="黑体" w:eastAsia="黑体"/>
              <w:color w:val="auto"/>
              <w:sz w:val="32"/>
              <w:szCs w:val="32"/>
            </w:rPr>
            <w:t>84</w:t>
          </w:r>
          <w:r>
            <w:rPr>
              <w:rFonts w:ascii="黑体" w:hAnsi="黑体" w:eastAsia="黑体"/>
              <w:color w:val="auto"/>
              <w:sz w:val="32"/>
              <w:szCs w:val="32"/>
            </w:rPr>
            <w:fldChar w:fldCharType="end"/>
          </w:r>
          <w:r>
            <w:rPr>
              <w:rFonts w:ascii="黑体" w:hAnsi="黑体" w:eastAsia="黑体"/>
              <w:color w:val="auto"/>
              <w:sz w:val="32"/>
              <w:szCs w:val="32"/>
            </w:rPr>
            <w:fldChar w:fldCharType="end"/>
          </w:r>
        </w:p>
        <w:p w14:paraId="54461328">
          <w:pPr>
            <w:pStyle w:val="28"/>
            <w:tabs>
              <w:tab w:val="right" w:leader="dot" w:pos="8296"/>
            </w:tabs>
            <w:rPr>
              <w:rFonts w:ascii="黑体" w:hAnsi="黑体" w:eastAsia="黑体" w:cstheme="minorBidi"/>
              <w:color w:val="auto"/>
              <w:sz w:val="32"/>
              <w:szCs w:val="32"/>
            </w:rPr>
          </w:pPr>
          <w:r>
            <w:rPr>
              <w:color w:val="auto"/>
            </w:rPr>
            <w:fldChar w:fldCharType="begin"/>
          </w:r>
          <w:r>
            <w:rPr>
              <w:color w:val="auto"/>
            </w:rPr>
            <w:instrText xml:space="preserve"> HYPERLINK \l "_Toc234256918" </w:instrText>
          </w:r>
          <w:r>
            <w:rPr>
              <w:color w:val="auto"/>
            </w:rPr>
            <w:fldChar w:fldCharType="separate"/>
          </w:r>
          <w:r>
            <w:rPr>
              <w:rStyle w:val="48"/>
              <w:rFonts w:ascii="黑体" w:hAnsi="黑体" w:eastAsia="黑体"/>
              <w:color w:val="auto"/>
              <w:sz w:val="32"/>
              <w:szCs w:val="32"/>
            </w:rPr>
            <w:t>第六章投标文件格式</w:t>
          </w:r>
          <w:r>
            <w:rPr>
              <w:rFonts w:ascii="黑体" w:hAnsi="黑体" w:eastAsia="黑体"/>
              <w:color w:val="auto"/>
              <w:sz w:val="32"/>
              <w:szCs w:val="32"/>
            </w:rPr>
            <w:tab/>
          </w:r>
          <w:r>
            <w:rPr>
              <w:rFonts w:ascii="黑体" w:hAnsi="黑体" w:eastAsia="黑体"/>
              <w:color w:val="auto"/>
              <w:sz w:val="32"/>
              <w:szCs w:val="32"/>
            </w:rPr>
            <w:fldChar w:fldCharType="begin"/>
          </w:r>
          <w:r>
            <w:rPr>
              <w:rFonts w:ascii="黑体" w:hAnsi="黑体" w:eastAsia="黑体"/>
              <w:color w:val="auto"/>
              <w:sz w:val="32"/>
              <w:szCs w:val="32"/>
            </w:rPr>
            <w:instrText xml:space="preserve"> PAGEREF _Toc234256918 \h </w:instrText>
          </w:r>
          <w:r>
            <w:rPr>
              <w:rFonts w:ascii="黑体" w:hAnsi="黑体" w:eastAsia="黑体"/>
              <w:color w:val="auto"/>
              <w:sz w:val="32"/>
              <w:szCs w:val="32"/>
            </w:rPr>
            <w:fldChar w:fldCharType="separate"/>
          </w:r>
          <w:r>
            <w:rPr>
              <w:rFonts w:ascii="黑体" w:hAnsi="黑体" w:eastAsia="黑体"/>
              <w:color w:val="auto"/>
              <w:sz w:val="32"/>
              <w:szCs w:val="32"/>
            </w:rPr>
            <w:t>88</w:t>
          </w:r>
          <w:r>
            <w:rPr>
              <w:rFonts w:ascii="黑体" w:hAnsi="黑体" w:eastAsia="黑体"/>
              <w:color w:val="auto"/>
              <w:sz w:val="32"/>
              <w:szCs w:val="32"/>
            </w:rPr>
            <w:fldChar w:fldCharType="end"/>
          </w:r>
          <w:r>
            <w:rPr>
              <w:rFonts w:ascii="黑体" w:hAnsi="黑体" w:eastAsia="黑体"/>
              <w:color w:val="auto"/>
              <w:sz w:val="32"/>
              <w:szCs w:val="32"/>
            </w:rPr>
            <w:fldChar w:fldCharType="end"/>
          </w:r>
        </w:p>
        <w:p w14:paraId="0917E300">
          <w:pPr>
            <w:rPr>
              <w:rFonts w:ascii="黑体" w:hAnsi="黑体" w:eastAsia="黑体"/>
              <w:color w:val="auto"/>
              <w:sz w:val="32"/>
              <w:szCs w:val="32"/>
            </w:rPr>
          </w:pPr>
          <w:r>
            <w:rPr>
              <w:rFonts w:ascii="黑体" w:hAnsi="黑体" w:eastAsia="黑体"/>
              <w:b/>
              <w:bCs/>
              <w:color w:val="auto"/>
              <w:sz w:val="32"/>
              <w:szCs w:val="32"/>
              <w:lang w:val="zh-CN"/>
            </w:rPr>
            <w:fldChar w:fldCharType="end"/>
          </w:r>
        </w:p>
      </w:sdtContent>
    </w:sdt>
    <w:p w14:paraId="77209C89">
      <w:pPr>
        <w:pStyle w:val="36"/>
        <w:spacing w:beforeAutospacing="0" w:afterAutospacing="0"/>
        <w:jc w:val="both"/>
        <w:rPr>
          <w:color w:val="auto"/>
        </w:rPr>
      </w:pPr>
    </w:p>
    <w:p w14:paraId="7F0EDB57">
      <w:pPr>
        <w:pStyle w:val="36"/>
        <w:spacing w:beforeAutospacing="0" w:afterAutospacing="0"/>
        <w:jc w:val="both"/>
        <w:rPr>
          <w:color w:val="auto"/>
        </w:rPr>
      </w:pPr>
    </w:p>
    <w:p w14:paraId="3EB04068">
      <w:pPr>
        <w:pStyle w:val="36"/>
        <w:spacing w:beforeAutospacing="0" w:afterAutospacing="0"/>
        <w:jc w:val="both"/>
        <w:rPr>
          <w:rFonts w:hint="eastAsia" w:eastAsiaTheme="minorEastAsia"/>
          <w:color w:val="auto"/>
          <w:lang w:eastAsia="zh-CN"/>
        </w:rPr>
      </w:pPr>
    </w:p>
    <w:p w14:paraId="1B6366A7">
      <w:pPr>
        <w:pStyle w:val="36"/>
        <w:spacing w:beforeAutospacing="0" w:afterAutospacing="0"/>
        <w:jc w:val="both"/>
        <w:rPr>
          <w:rFonts w:hint="eastAsia" w:eastAsiaTheme="minorEastAsia"/>
          <w:color w:val="auto"/>
          <w:lang w:eastAsia="zh-CN"/>
        </w:rPr>
      </w:pPr>
    </w:p>
    <w:p w14:paraId="3C362C68">
      <w:pPr>
        <w:pStyle w:val="36"/>
        <w:spacing w:beforeAutospacing="0" w:afterAutospacing="0"/>
        <w:jc w:val="both"/>
        <w:rPr>
          <w:rFonts w:hint="eastAsia" w:eastAsiaTheme="minorEastAsia"/>
          <w:color w:val="auto"/>
          <w:lang w:eastAsia="zh-CN"/>
        </w:rPr>
      </w:pPr>
    </w:p>
    <w:p w14:paraId="3B63F837">
      <w:pPr>
        <w:pStyle w:val="36"/>
        <w:spacing w:beforeAutospacing="0" w:afterAutospacing="0"/>
        <w:jc w:val="both"/>
        <w:rPr>
          <w:rFonts w:hint="eastAsia" w:eastAsiaTheme="minorEastAsia"/>
          <w:color w:val="auto"/>
          <w:lang w:eastAsia="zh-CN"/>
        </w:rPr>
      </w:pPr>
    </w:p>
    <w:p w14:paraId="6CED3979">
      <w:pPr>
        <w:pStyle w:val="36"/>
        <w:spacing w:beforeAutospacing="0" w:afterAutospacing="0"/>
        <w:jc w:val="both"/>
        <w:rPr>
          <w:rFonts w:hint="eastAsia" w:eastAsiaTheme="minorEastAsia"/>
          <w:color w:val="auto"/>
          <w:lang w:eastAsia="zh-CN"/>
        </w:rPr>
      </w:pPr>
    </w:p>
    <w:p w14:paraId="3384293F">
      <w:pPr>
        <w:pStyle w:val="36"/>
        <w:spacing w:beforeAutospacing="0" w:afterAutospacing="0"/>
        <w:jc w:val="both"/>
        <w:rPr>
          <w:rFonts w:hint="eastAsia" w:eastAsiaTheme="minorEastAsia"/>
          <w:color w:val="auto"/>
          <w:lang w:eastAsia="zh-CN"/>
        </w:rPr>
      </w:pPr>
    </w:p>
    <w:p w14:paraId="066D6695">
      <w:pPr>
        <w:pStyle w:val="36"/>
        <w:spacing w:beforeAutospacing="0" w:afterAutospacing="0"/>
        <w:jc w:val="both"/>
        <w:rPr>
          <w:rFonts w:hint="eastAsia" w:eastAsiaTheme="minorEastAsia"/>
          <w:color w:val="auto"/>
          <w:lang w:eastAsia="zh-CN"/>
        </w:rPr>
      </w:pPr>
    </w:p>
    <w:p w14:paraId="078DF628">
      <w:pPr>
        <w:pStyle w:val="36"/>
        <w:spacing w:beforeAutospacing="0" w:afterAutospacing="0"/>
        <w:jc w:val="both"/>
        <w:rPr>
          <w:rFonts w:hint="eastAsia" w:eastAsiaTheme="minorEastAsia"/>
          <w:color w:val="auto"/>
          <w:lang w:eastAsia="zh-CN"/>
        </w:rPr>
      </w:pPr>
    </w:p>
    <w:p w14:paraId="0E7C4B04">
      <w:pPr>
        <w:pStyle w:val="36"/>
        <w:spacing w:beforeAutospacing="0" w:afterAutospacing="0"/>
        <w:jc w:val="both"/>
        <w:rPr>
          <w:rFonts w:hint="eastAsia" w:eastAsiaTheme="minorEastAsia"/>
          <w:color w:val="auto"/>
          <w:lang w:eastAsia="zh-CN"/>
        </w:rPr>
      </w:pPr>
    </w:p>
    <w:p w14:paraId="3768CA28">
      <w:pPr>
        <w:pStyle w:val="36"/>
        <w:spacing w:beforeAutospacing="0" w:afterAutospacing="0"/>
        <w:jc w:val="both"/>
        <w:rPr>
          <w:rFonts w:hint="eastAsia" w:eastAsiaTheme="minorEastAsia"/>
          <w:color w:val="auto"/>
          <w:lang w:eastAsia="zh-CN"/>
        </w:rPr>
      </w:pPr>
    </w:p>
    <w:p w14:paraId="0387E2D7">
      <w:pPr>
        <w:pStyle w:val="36"/>
        <w:spacing w:beforeAutospacing="0" w:afterAutospacing="0"/>
        <w:jc w:val="both"/>
        <w:rPr>
          <w:rFonts w:hint="eastAsia" w:eastAsiaTheme="minorEastAsia"/>
          <w:color w:val="auto"/>
          <w:lang w:eastAsia="zh-CN"/>
        </w:rPr>
      </w:pPr>
    </w:p>
    <w:p w14:paraId="03C55C23">
      <w:pPr>
        <w:pStyle w:val="36"/>
        <w:spacing w:beforeAutospacing="0" w:afterAutospacing="0"/>
        <w:jc w:val="both"/>
        <w:rPr>
          <w:rFonts w:hint="eastAsia" w:eastAsiaTheme="minorEastAsia"/>
          <w:color w:val="auto"/>
          <w:lang w:eastAsia="zh-CN"/>
        </w:rPr>
      </w:pPr>
    </w:p>
    <w:p w14:paraId="3352B826">
      <w:pPr>
        <w:pStyle w:val="36"/>
        <w:spacing w:beforeAutospacing="0" w:afterAutospacing="0"/>
        <w:jc w:val="both"/>
        <w:rPr>
          <w:rFonts w:hint="eastAsia" w:eastAsiaTheme="minorEastAsia"/>
          <w:color w:val="auto"/>
          <w:lang w:eastAsia="zh-CN"/>
        </w:rPr>
      </w:pPr>
    </w:p>
    <w:p w14:paraId="6219C209">
      <w:pPr>
        <w:pStyle w:val="36"/>
        <w:spacing w:beforeAutospacing="0" w:afterAutospacing="0"/>
        <w:jc w:val="both"/>
        <w:rPr>
          <w:rFonts w:hint="eastAsia" w:eastAsiaTheme="minorEastAsia"/>
          <w:color w:val="auto"/>
          <w:lang w:eastAsia="zh-CN"/>
        </w:rPr>
      </w:pPr>
    </w:p>
    <w:p w14:paraId="2B7D8138">
      <w:pPr>
        <w:pStyle w:val="36"/>
        <w:spacing w:beforeAutospacing="0" w:afterAutospacing="0"/>
        <w:jc w:val="both"/>
        <w:rPr>
          <w:rFonts w:hint="eastAsia" w:eastAsiaTheme="minorEastAsia"/>
          <w:color w:val="auto"/>
          <w:lang w:eastAsia="zh-CN"/>
        </w:rPr>
      </w:pPr>
    </w:p>
    <w:p w14:paraId="57140AFD">
      <w:pPr>
        <w:pStyle w:val="36"/>
        <w:spacing w:beforeAutospacing="0" w:afterAutospacing="0"/>
        <w:jc w:val="both"/>
        <w:rPr>
          <w:rFonts w:hint="eastAsia" w:eastAsiaTheme="minorEastAsia"/>
          <w:color w:val="auto"/>
          <w:lang w:eastAsia="zh-CN"/>
        </w:rPr>
      </w:pPr>
    </w:p>
    <w:p w14:paraId="6CFA7F1B">
      <w:pPr>
        <w:pStyle w:val="36"/>
        <w:spacing w:beforeAutospacing="0" w:afterAutospacing="0"/>
        <w:jc w:val="both"/>
        <w:rPr>
          <w:rFonts w:hint="eastAsia" w:eastAsiaTheme="minorEastAsia"/>
          <w:color w:val="auto"/>
          <w:lang w:eastAsia="zh-CN"/>
        </w:rPr>
      </w:pPr>
    </w:p>
    <w:p w14:paraId="78D02934">
      <w:pPr>
        <w:pStyle w:val="36"/>
        <w:spacing w:beforeAutospacing="0" w:afterAutospacing="0"/>
        <w:jc w:val="both"/>
        <w:rPr>
          <w:rFonts w:hint="eastAsia" w:eastAsiaTheme="minorEastAsia"/>
          <w:color w:val="auto"/>
          <w:lang w:eastAsia="zh-CN"/>
        </w:rPr>
      </w:pPr>
    </w:p>
    <w:p w14:paraId="767D4B82">
      <w:pPr>
        <w:pStyle w:val="36"/>
        <w:spacing w:beforeAutospacing="0" w:afterAutospacing="0"/>
        <w:jc w:val="both"/>
        <w:rPr>
          <w:rFonts w:hint="eastAsia" w:eastAsiaTheme="minorEastAsia"/>
          <w:color w:val="auto"/>
          <w:lang w:eastAsia="zh-CN"/>
        </w:rPr>
      </w:pPr>
    </w:p>
    <w:p w14:paraId="03E8AE5B">
      <w:pPr>
        <w:pStyle w:val="36"/>
        <w:spacing w:beforeAutospacing="0" w:afterAutospacing="0"/>
        <w:jc w:val="both"/>
        <w:rPr>
          <w:rFonts w:hint="eastAsia" w:eastAsiaTheme="minorEastAsia"/>
          <w:color w:val="auto"/>
          <w:lang w:eastAsia="zh-CN"/>
        </w:rPr>
      </w:pPr>
    </w:p>
    <w:p w14:paraId="0593E213">
      <w:pPr>
        <w:pStyle w:val="36"/>
        <w:spacing w:beforeAutospacing="0" w:afterAutospacing="0"/>
        <w:jc w:val="both"/>
        <w:rPr>
          <w:color w:val="auto"/>
        </w:rPr>
      </w:pPr>
    </w:p>
    <w:p w14:paraId="7149A948">
      <w:pPr>
        <w:pStyle w:val="36"/>
        <w:spacing w:beforeAutospacing="0" w:afterAutospacing="0"/>
        <w:jc w:val="both"/>
        <w:rPr>
          <w:color w:val="auto"/>
        </w:rPr>
      </w:pPr>
    </w:p>
    <w:p w14:paraId="7A7EAA27">
      <w:pPr>
        <w:pStyle w:val="36"/>
        <w:spacing w:beforeAutospacing="0" w:afterAutospacing="0"/>
        <w:jc w:val="both"/>
        <w:rPr>
          <w:color w:val="auto"/>
        </w:rPr>
      </w:pPr>
    </w:p>
    <w:p w14:paraId="62B2F974">
      <w:pPr>
        <w:pStyle w:val="36"/>
        <w:spacing w:beforeAutospacing="0" w:afterAutospacing="0"/>
        <w:jc w:val="both"/>
        <w:rPr>
          <w:color w:val="auto"/>
        </w:rPr>
      </w:pPr>
    </w:p>
    <w:p w14:paraId="129990A7">
      <w:pPr>
        <w:pStyle w:val="36"/>
        <w:spacing w:beforeAutospacing="0" w:afterAutospacing="0"/>
        <w:jc w:val="both"/>
        <w:rPr>
          <w:color w:val="auto"/>
        </w:rPr>
      </w:pPr>
    </w:p>
    <w:p w14:paraId="029D2510">
      <w:pPr>
        <w:pStyle w:val="36"/>
        <w:spacing w:beforeAutospacing="0" w:afterAutospacing="0"/>
        <w:jc w:val="both"/>
        <w:rPr>
          <w:color w:val="auto"/>
        </w:rPr>
      </w:pPr>
    </w:p>
    <w:p w14:paraId="1C5C0F40">
      <w:pPr>
        <w:pStyle w:val="36"/>
        <w:spacing w:beforeAutospacing="0" w:afterAutospacing="0"/>
        <w:jc w:val="both"/>
        <w:rPr>
          <w:color w:val="auto"/>
        </w:rPr>
      </w:pPr>
    </w:p>
    <w:p w14:paraId="51E2B5BA">
      <w:pPr>
        <w:pStyle w:val="209"/>
        <w:rPr>
          <w:color w:val="auto"/>
        </w:rPr>
      </w:pPr>
      <w:bookmarkStart w:id="0" w:name="_Toc28359086"/>
      <w:r>
        <w:rPr>
          <w:rFonts w:hint="eastAsia"/>
          <w:color w:val="auto"/>
        </w:rPr>
        <w:t>第一章招标公告</w:t>
      </w:r>
    </w:p>
    <w:p w14:paraId="7FFE909F">
      <w:pPr>
        <w:pStyle w:val="36"/>
        <w:pBdr>
          <w:top w:val="single" w:color="000000" w:sz="4" w:space="0"/>
          <w:left w:val="single" w:color="000000" w:sz="4" w:space="0"/>
          <w:bottom w:val="single" w:color="000000" w:sz="4" w:space="0"/>
          <w:right w:val="single" w:color="000000" w:sz="4" w:space="0"/>
        </w:pBdr>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项目概况</w:t>
      </w:r>
    </w:p>
    <w:p w14:paraId="227538FB">
      <w:pPr>
        <w:pStyle w:val="36"/>
        <w:pBdr>
          <w:top w:val="single" w:color="000000" w:sz="4" w:space="0"/>
          <w:left w:val="single" w:color="000000" w:sz="4" w:space="0"/>
          <w:bottom w:val="single" w:color="000000" w:sz="4" w:space="0"/>
          <w:right w:val="single" w:color="000000" w:sz="4" w:space="0"/>
        </w:pBdr>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u w:val="single"/>
          <w:lang w:eastAsia="zh-CN"/>
        </w:rPr>
        <w:t>江苏省盐城技师学院智能制造学院工业机器人操作与运维一体化学习工作站建设项目</w:t>
      </w:r>
      <w:r>
        <w:rPr>
          <w:rFonts w:hint="eastAsia" w:ascii="宋体" w:hAnsi="宋体" w:eastAsia="宋体" w:cs="宋体"/>
          <w:color w:val="auto"/>
        </w:rPr>
        <w:t>招标项目的潜在投标人应在</w:t>
      </w:r>
      <w:r>
        <w:rPr>
          <w:rFonts w:hint="eastAsia" w:ascii="宋体" w:hAnsi="宋体" w:eastAsia="宋体" w:cs="宋体"/>
          <w:color w:val="auto"/>
          <w:shd w:val="clear" w:color="auto" w:fill="FFFFFF"/>
        </w:rPr>
        <w:t>“苏采云”系统内免费下载（投标人必须在苏采云系统中获取采购文件，方能参与政府采购项目）</w:t>
      </w:r>
      <w:r>
        <w:rPr>
          <w:rFonts w:hint="eastAsia" w:ascii="宋体" w:hAnsi="宋体" w:eastAsia="宋体" w:cs="宋体"/>
          <w:color w:val="auto"/>
        </w:rPr>
        <w:t>，并于</w:t>
      </w:r>
      <w:r>
        <w:rPr>
          <w:rFonts w:hint="eastAsia" w:ascii="宋体" w:hAnsi="宋体" w:eastAsia="宋体" w:cs="宋体"/>
          <w:color w:val="auto"/>
          <w:u w:val="single"/>
          <w:lang w:val="en-US" w:eastAsia="zh-CN"/>
        </w:rPr>
        <w:t>2026</w:t>
      </w:r>
      <w:r>
        <w:rPr>
          <w:rFonts w:hint="eastAsia" w:ascii="宋体" w:hAnsi="宋体" w:eastAsia="宋体" w:cs="宋体"/>
          <w:color w:val="auto"/>
          <w:u w:val="single"/>
        </w:rPr>
        <w:t>年</w:t>
      </w:r>
      <w:r>
        <w:rPr>
          <w:rFonts w:hint="eastAsia" w:ascii="宋体" w:hAnsi="宋体" w:eastAsia="宋体" w:cs="宋体"/>
          <w:color w:val="auto"/>
          <w:u w:val="single"/>
          <w:lang w:val="en-US" w:eastAsia="zh-CN"/>
        </w:rPr>
        <w:t>11</w:t>
      </w:r>
      <w:r>
        <w:rPr>
          <w:rFonts w:hint="eastAsia" w:ascii="宋体" w:hAnsi="宋体" w:eastAsia="宋体" w:cs="宋体"/>
          <w:color w:val="auto"/>
          <w:u w:val="single"/>
        </w:rPr>
        <w:t>月</w:t>
      </w:r>
      <w:r>
        <w:rPr>
          <w:rFonts w:hint="eastAsia" w:ascii="宋体" w:hAnsi="宋体" w:eastAsia="宋体" w:cs="宋体"/>
          <w:color w:val="auto"/>
          <w:u w:val="single"/>
          <w:lang w:val="en-US" w:eastAsia="zh-CN"/>
        </w:rPr>
        <w:t>10</w:t>
      </w:r>
      <w:r>
        <w:rPr>
          <w:rFonts w:hint="eastAsia" w:ascii="宋体" w:hAnsi="宋体" w:eastAsia="宋体" w:cs="宋体"/>
          <w:color w:val="auto"/>
          <w:u w:val="single"/>
        </w:rPr>
        <w:t>日</w:t>
      </w:r>
      <w:r>
        <w:rPr>
          <w:rFonts w:hint="eastAsia" w:ascii="宋体" w:hAnsi="宋体" w:eastAsia="宋体" w:cs="宋体"/>
          <w:color w:val="auto"/>
          <w:u w:val="single"/>
          <w:lang w:val="en-US" w:eastAsia="zh-CN"/>
        </w:rPr>
        <w:t>9</w:t>
      </w:r>
      <w:r>
        <w:rPr>
          <w:rFonts w:hint="eastAsia" w:ascii="宋体" w:hAnsi="宋体" w:eastAsia="宋体" w:cs="宋体"/>
          <w:color w:val="auto"/>
          <w:u w:val="single"/>
        </w:rPr>
        <w:t>点</w:t>
      </w:r>
      <w:r>
        <w:rPr>
          <w:rFonts w:hint="eastAsia" w:ascii="宋体" w:hAnsi="宋体" w:eastAsia="宋体" w:cs="宋体"/>
          <w:color w:val="auto"/>
          <w:u w:val="single"/>
          <w:lang w:val="en-US" w:eastAsia="zh-CN"/>
        </w:rPr>
        <w:t>30</w:t>
      </w:r>
      <w:r>
        <w:rPr>
          <w:rFonts w:hint="eastAsia" w:ascii="宋体" w:hAnsi="宋体" w:eastAsia="宋体" w:cs="宋体"/>
          <w:color w:val="auto"/>
          <w:u w:val="single"/>
        </w:rPr>
        <w:t>分（</w:t>
      </w:r>
      <w:r>
        <w:rPr>
          <w:rFonts w:hint="eastAsia" w:ascii="宋体" w:hAnsi="宋体" w:eastAsia="宋体" w:cs="宋体"/>
          <w:color w:val="auto"/>
        </w:rPr>
        <w:t>北京时间）前递交投标文件。</w:t>
      </w:r>
    </w:p>
    <w:p w14:paraId="135B785C">
      <w:pPr>
        <w:pStyle w:val="36"/>
        <w:keepNext/>
        <w:keepLines/>
        <w:spacing w:beforeAutospacing="0" w:afterAutospacing="0" w:line="360" w:lineRule="auto"/>
        <w:ind w:firstLine="498"/>
        <w:jc w:val="both"/>
        <w:rPr>
          <w:rFonts w:ascii="宋体" w:hAnsi="宋体" w:eastAsia="宋体" w:cs="宋体"/>
          <w:color w:val="auto"/>
        </w:rPr>
      </w:pPr>
      <w:bookmarkStart w:id="1" w:name="_Toc28359002"/>
      <w:bookmarkStart w:id="2" w:name="_Toc35393790"/>
      <w:bookmarkStart w:id="3" w:name="_Toc38985263"/>
      <w:bookmarkStart w:id="4" w:name="_Hlk24379207"/>
      <w:bookmarkStart w:id="5" w:name="_Toc35393621"/>
      <w:bookmarkStart w:id="6" w:name="_Toc28359079"/>
      <w:r>
        <w:rPr>
          <w:rFonts w:hint="eastAsia" w:ascii="宋体" w:hAnsi="宋体" w:eastAsia="宋体" w:cs="宋体"/>
          <w:b/>
          <w:color w:val="auto"/>
        </w:rPr>
        <w:t>一、项目基本情况</w:t>
      </w:r>
      <w:bookmarkEnd w:id="1"/>
      <w:bookmarkEnd w:id="2"/>
      <w:bookmarkEnd w:id="3"/>
      <w:bookmarkEnd w:id="4"/>
      <w:bookmarkEnd w:id="5"/>
      <w:bookmarkEnd w:id="6"/>
    </w:p>
    <w:p w14:paraId="18D8E0EA">
      <w:pPr>
        <w:pStyle w:val="36"/>
        <w:spacing w:beforeAutospacing="0" w:afterAutospacing="0" w:line="360" w:lineRule="auto"/>
        <w:ind w:firstLine="480"/>
        <w:jc w:val="both"/>
        <w:rPr>
          <w:rFonts w:hint="eastAsia" w:ascii="宋体" w:hAnsi="宋体" w:eastAsia="宋体" w:cs="宋体"/>
          <w:color w:val="auto"/>
          <w:shd w:val="clear" w:color="auto" w:fill="FFFFFF"/>
          <w:lang w:eastAsia="zh-CN"/>
        </w:rPr>
      </w:pPr>
      <w:r>
        <w:rPr>
          <w:rFonts w:hint="eastAsia" w:ascii="宋体" w:hAnsi="宋体" w:eastAsia="宋体" w:cs="宋体"/>
          <w:color w:val="auto"/>
          <w:shd w:val="clear" w:color="auto" w:fill="FFFFFF"/>
        </w:rPr>
        <w:t>1.项目编号：JSZC-320900-JSZH-G2026-0087</w:t>
      </w:r>
    </w:p>
    <w:p w14:paraId="79877FCE">
      <w:pPr>
        <w:pStyle w:val="36"/>
        <w:spacing w:beforeAutospacing="0" w:afterAutospacing="0" w:line="360" w:lineRule="auto"/>
        <w:ind w:firstLine="480"/>
        <w:jc w:val="both"/>
        <w:rPr>
          <w:rFonts w:hint="eastAsia" w:ascii="宋体" w:hAnsi="宋体" w:eastAsia="宋体" w:cs="宋体"/>
          <w:color w:val="auto"/>
          <w:shd w:val="clear" w:color="auto" w:fill="FFFFFF"/>
          <w:lang w:eastAsia="zh-CN"/>
        </w:rPr>
      </w:pPr>
      <w:r>
        <w:rPr>
          <w:rFonts w:hint="eastAsia" w:ascii="宋体" w:hAnsi="宋体" w:eastAsia="宋体" w:cs="宋体"/>
          <w:color w:val="auto"/>
          <w:shd w:val="clear" w:color="auto" w:fill="FFFFFF"/>
        </w:rPr>
        <w:t>2.项目名称：</w:t>
      </w:r>
      <w:r>
        <w:rPr>
          <w:rFonts w:hint="eastAsia" w:ascii="宋体" w:hAnsi="宋体" w:eastAsia="宋体" w:cs="宋体"/>
          <w:color w:val="auto"/>
          <w:shd w:val="clear" w:color="auto" w:fill="FFFFFF"/>
          <w:lang w:eastAsia="zh-CN"/>
        </w:rPr>
        <w:t>江苏省盐城技师学院智能制造学院工业机器人操作与运维一体化学习工作站建设项目</w:t>
      </w:r>
    </w:p>
    <w:p w14:paraId="2BC039B0">
      <w:pPr>
        <w:pStyle w:val="36"/>
        <w:spacing w:beforeAutospacing="0" w:afterAutospacing="0" w:line="360" w:lineRule="auto"/>
        <w:ind w:firstLine="480"/>
        <w:jc w:val="both"/>
        <w:rPr>
          <w:rFonts w:hint="eastAsia" w:ascii="宋体" w:hAnsi="宋体" w:eastAsia="宋体" w:cs="宋体"/>
          <w:color w:val="auto"/>
          <w:shd w:val="clear" w:color="auto" w:fill="FFFFFF"/>
        </w:rPr>
      </w:pPr>
      <w:r>
        <w:rPr>
          <w:rFonts w:hint="eastAsia" w:ascii="宋体" w:hAnsi="宋体" w:eastAsia="宋体" w:cs="宋体"/>
          <w:color w:val="auto"/>
          <w:shd w:val="clear" w:color="auto" w:fill="FFFFFF"/>
        </w:rPr>
        <w:t>3.采购方式：公开招标</w:t>
      </w:r>
    </w:p>
    <w:p w14:paraId="4E2B959B">
      <w:pPr>
        <w:pStyle w:val="36"/>
        <w:spacing w:beforeAutospacing="0" w:afterAutospacing="0" w:line="360" w:lineRule="auto"/>
        <w:ind w:firstLine="480"/>
        <w:jc w:val="both"/>
        <w:rPr>
          <w:rFonts w:hint="eastAsia" w:ascii="宋体" w:hAnsi="宋体" w:eastAsia="宋体" w:cs="宋体"/>
          <w:color w:val="auto"/>
          <w:shd w:val="clear" w:color="auto" w:fill="FFFFFF"/>
          <w:lang w:eastAsia="zh-CN"/>
        </w:rPr>
      </w:pPr>
      <w:r>
        <w:rPr>
          <w:rFonts w:hint="eastAsia" w:ascii="宋体" w:hAnsi="宋体" w:eastAsia="宋体" w:cs="宋体"/>
          <w:color w:val="auto"/>
          <w:shd w:val="clear" w:color="auto" w:fill="FFFFFF"/>
        </w:rPr>
        <w:t>4.预算金额：</w:t>
      </w:r>
      <w:r>
        <w:rPr>
          <w:rFonts w:hint="eastAsia" w:ascii="宋体" w:hAnsi="宋体" w:eastAsia="宋体" w:cs="宋体"/>
          <w:color w:val="auto"/>
          <w:shd w:val="clear" w:color="auto" w:fill="FFFFFF"/>
          <w:lang w:val="en-US" w:eastAsia="zh-CN"/>
        </w:rPr>
        <w:t>246.48</w:t>
      </w:r>
      <w:r>
        <w:rPr>
          <w:rFonts w:hint="eastAsia" w:ascii="宋体" w:hAnsi="宋体" w:eastAsia="宋体" w:cs="宋体"/>
          <w:color w:val="auto"/>
          <w:shd w:val="clear" w:color="auto" w:fill="FFFFFF"/>
        </w:rPr>
        <w:t>万元</w:t>
      </w:r>
    </w:p>
    <w:p w14:paraId="19239412">
      <w:pPr>
        <w:pStyle w:val="36"/>
        <w:spacing w:beforeAutospacing="0" w:afterAutospacing="0" w:line="360" w:lineRule="auto"/>
        <w:ind w:firstLine="480"/>
        <w:jc w:val="both"/>
        <w:rPr>
          <w:rFonts w:hint="eastAsia" w:ascii="宋体" w:hAnsi="宋体" w:eastAsia="宋体" w:cs="宋体"/>
          <w:color w:val="auto"/>
          <w:shd w:val="clear" w:color="auto" w:fill="FFFFFF"/>
        </w:rPr>
      </w:pPr>
      <w:r>
        <w:rPr>
          <w:rFonts w:hint="eastAsia" w:ascii="宋体" w:hAnsi="宋体" w:eastAsia="宋体" w:cs="宋体"/>
          <w:color w:val="auto"/>
          <w:shd w:val="clear" w:color="auto" w:fill="FFFFFF"/>
        </w:rPr>
        <w:t>5.最高限价（如有）：</w:t>
      </w:r>
      <w:r>
        <w:rPr>
          <w:rFonts w:hint="eastAsia" w:ascii="宋体" w:hAnsi="宋体" w:eastAsia="宋体" w:cs="宋体"/>
          <w:color w:val="auto"/>
          <w:shd w:val="clear" w:color="auto" w:fill="FFFFFF"/>
          <w:lang w:val="en-US" w:eastAsia="zh-CN"/>
        </w:rPr>
        <w:t>246.48</w:t>
      </w:r>
      <w:r>
        <w:rPr>
          <w:rFonts w:hint="eastAsia" w:ascii="宋体" w:hAnsi="宋体" w:eastAsia="宋体" w:cs="宋体"/>
          <w:color w:val="auto"/>
          <w:shd w:val="clear" w:color="auto" w:fill="FFFFFF"/>
        </w:rPr>
        <w:t>万元</w:t>
      </w:r>
    </w:p>
    <w:p w14:paraId="24E30790">
      <w:pPr>
        <w:pStyle w:val="36"/>
        <w:spacing w:beforeAutospacing="0" w:afterAutospacing="0" w:line="360" w:lineRule="auto"/>
        <w:ind w:firstLine="480"/>
        <w:jc w:val="both"/>
        <w:rPr>
          <w:rFonts w:hint="eastAsia" w:ascii="宋体" w:hAnsi="宋体" w:eastAsia="宋体" w:cs="宋体"/>
          <w:color w:val="auto"/>
          <w:shd w:val="clear" w:color="auto" w:fill="FFFFFF"/>
        </w:rPr>
      </w:pPr>
      <w:r>
        <w:rPr>
          <w:rFonts w:hint="eastAsia" w:ascii="宋体" w:hAnsi="宋体" w:eastAsia="宋体" w:cs="宋体"/>
          <w:color w:val="auto"/>
          <w:shd w:val="clear" w:color="auto" w:fill="FFFFFF"/>
        </w:rPr>
        <w:t>6.采购需求（简介）：</w:t>
      </w:r>
      <w:r>
        <w:rPr>
          <w:rFonts w:hint="eastAsia" w:ascii="宋体" w:hAnsi="宋体" w:eastAsia="宋体" w:cs="宋体"/>
          <w:color w:val="auto"/>
          <w:shd w:val="clear" w:color="auto" w:fill="FFFFFF"/>
          <w:lang w:eastAsia="zh-CN"/>
        </w:rPr>
        <w:t>江苏省盐城技师学院智能制造学院工业机器人操作与运维一体化学习工作站建设项目</w:t>
      </w:r>
      <w:r>
        <w:rPr>
          <w:rFonts w:hint="eastAsia" w:ascii="宋体" w:hAnsi="宋体" w:eastAsia="宋体" w:cs="宋体"/>
          <w:color w:val="auto"/>
          <w:shd w:val="clear" w:color="auto" w:fill="FFFFFF"/>
          <w:lang w:val="en-US" w:eastAsia="zh-CN"/>
        </w:rPr>
        <w:t>。</w:t>
      </w:r>
      <w:r>
        <w:rPr>
          <w:rFonts w:hint="eastAsia" w:ascii="宋体" w:hAnsi="宋体" w:eastAsia="宋体" w:cs="宋体"/>
          <w:color w:val="auto"/>
          <w:shd w:val="clear" w:color="auto" w:fill="FFFFFF"/>
        </w:rPr>
        <w:t>详见本招标文件第四章采购需求。</w:t>
      </w:r>
    </w:p>
    <w:p w14:paraId="5E5F6302">
      <w:pPr>
        <w:pStyle w:val="36"/>
        <w:spacing w:beforeAutospacing="0" w:afterAutospacing="0" w:line="360" w:lineRule="auto"/>
        <w:ind w:firstLine="480"/>
        <w:jc w:val="both"/>
        <w:rPr>
          <w:rFonts w:hint="eastAsia" w:ascii="宋体" w:hAnsi="宋体" w:eastAsia="宋体" w:cs="宋体"/>
          <w:color w:val="auto"/>
          <w:shd w:val="clear" w:color="auto" w:fill="FFFFFF"/>
        </w:rPr>
      </w:pPr>
      <w:r>
        <w:rPr>
          <w:rFonts w:hint="eastAsia" w:ascii="宋体" w:hAnsi="宋体" w:eastAsia="宋体" w:cs="宋体"/>
          <w:color w:val="auto"/>
          <w:shd w:val="clear" w:color="auto" w:fill="FFFFFF"/>
        </w:rPr>
        <w:t>7.合同履行期限：合同生效后</w:t>
      </w:r>
      <w:r>
        <w:rPr>
          <w:rFonts w:hint="eastAsia" w:ascii="宋体" w:hAnsi="宋体" w:eastAsia="宋体" w:cs="宋体"/>
          <w:color w:val="auto"/>
          <w:shd w:val="clear" w:color="auto" w:fill="FFFFFF"/>
          <w:lang w:val="en-US" w:eastAsia="zh-CN"/>
        </w:rPr>
        <w:t>45</w:t>
      </w:r>
      <w:r>
        <w:rPr>
          <w:rFonts w:hint="eastAsia" w:ascii="宋体" w:hAnsi="宋体" w:eastAsia="宋体" w:cs="宋体"/>
          <w:color w:val="auto"/>
          <w:shd w:val="clear" w:color="auto" w:fill="FFFFFF"/>
        </w:rPr>
        <w:t>个日历天（此期限不包括采购人验收时间），供应商应在此期限内完成全部货物的交付、安装与调试。</w:t>
      </w:r>
    </w:p>
    <w:p w14:paraId="3BFFF494">
      <w:pPr>
        <w:pStyle w:val="36"/>
        <w:spacing w:beforeAutospacing="0" w:afterAutospacing="0" w:line="360" w:lineRule="auto"/>
        <w:ind w:firstLine="480"/>
        <w:jc w:val="both"/>
        <w:rPr>
          <w:rFonts w:hint="eastAsia" w:ascii="宋体" w:hAnsi="宋体" w:eastAsia="宋体" w:cs="宋体"/>
          <w:color w:val="auto"/>
          <w:shd w:val="clear" w:color="auto" w:fill="FFFFFF"/>
        </w:rPr>
      </w:pPr>
      <w:r>
        <w:rPr>
          <w:rFonts w:hint="eastAsia" w:ascii="宋体" w:hAnsi="宋体" w:eastAsia="宋体" w:cs="宋体"/>
          <w:color w:val="auto"/>
          <w:shd w:val="clear" w:color="auto" w:fill="FFFFFF"/>
        </w:rPr>
        <w:t>8.本项目（是/否）接受联合体：不接受联合体。</w:t>
      </w:r>
    </w:p>
    <w:p w14:paraId="53766805">
      <w:pPr>
        <w:pStyle w:val="36"/>
        <w:keepNext/>
        <w:keepLines/>
        <w:spacing w:beforeAutospacing="0" w:afterAutospacing="0" w:line="360" w:lineRule="auto"/>
        <w:ind w:firstLine="498"/>
        <w:jc w:val="both"/>
        <w:rPr>
          <w:rFonts w:ascii="宋体" w:hAnsi="宋体" w:eastAsia="宋体" w:cs="宋体"/>
          <w:color w:val="auto"/>
        </w:rPr>
      </w:pPr>
      <w:bookmarkStart w:id="7" w:name="_Toc35393791"/>
      <w:bookmarkStart w:id="8" w:name="_Toc28359080"/>
      <w:bookmarkStart w:id="9" w:name="_Toc38985264"/>
      <w:bookmarkStart w:id="10" w:name="_Toc28359003"/>
      <w:bookmarkStart w:id="11" w:name="_Toc35393622"/>
      <w:r>
        <w:rPr>
          <w:rFonts w:hint="eastAsia" w:ascii="宋体" w:hAnsi="宋体" w:eastAsia="宋体" w:cs="宋体"/>
          <w:b/>
          <w:color w:val="auto"/>
        </w:rPr>
        <w:t>二、申请人的资格要求：</w:t>
      </w:r>
      <w:bookmarkEnd w:id="7"/>
      <w:bookmarkEnd w:id="8"/>
      <w:bookmarkEnd w:id="9"/>
      <w:bookmarkEnd w:id="10"/>
      <w:bookmarkEnd w:id="11"/>
    </w:p>
    <w:p w14:paraId="7ED1AB93">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1.满足《中华人民共和国政府采购法》第二十二条规定，并提供下列材料：</w:t>
      </w:r>
    </w:p>
    <w:p w14:paraId="19E6458D">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1.1法人或者其他组织的营业执照等证明文件，自然人的身份证明；</w:t>
      </w:r>
    </w:p>
    <w:p w14:paraId="0874E7F9">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1.2上一年度的财务状况报</w:t>
      </w:r>
      <w:r>
        <w:rPr>
          <w:rFonts w:hint="eastAsia" w:ascii="宋体" w:hAnsi="宋体" w:eastAsia="宋体" w:cs="宋体"/>
          <w:color w:val="auto"/>
          <w:lang w:val="en-US" w:eastAsia="zh-CN"/>
        </w:rPr>
        <w:t>告</w:t>
      </w:r>
      <w:r>
        <w:rPr>
          <w:rFonts w:hint="eastAsia" w:ascii="宋体" w:hAnsi="宋体" w:eastAsia="宋体" w:cs="宋体"/>
          <w:color w:val="auto"/>
        </w:rPr>
        <w:t>（成立不满一年无需提供）；</w:t>
      </w:r>
    </w:p>
    <w:p w14:paraId="1504FD4E">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1.3具备履行合同所必需的设备和专业技术能力的书面声明；</w:t>
      </w:r>
    </w:p>
    <w:p w14:paraId="7ACF6BA7">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1.4依法缴纳税收和社会保障资金的相关材料（提供提交响应文件截止时间前一年内至少一个月依法缴纳税收及缴纳社会保障资金的证明材料。供应商依法享受缓缴、免缴税收、社会保障资金的提供证明材料。）；</w:t>
      </w:r>
    </w:p>
    <w:p w14:paraId="7384D39B">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1.5参加政府采购活动前3年内在经营活动中没有重大违法记录的书面声明。</w:t>
      </w:r>
    </w:p>
    <w:p w14:paraId="485F607C">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1.6法律、行政法规规定的其他条件。</w:t>
      </w:r>
    </w:p>
    <w:p w14:paraId="3662AD6C">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1.7在“信用中国”网站查询，无被列入失信被执行人、重大税收违法案件当事人名单、政府采购严重失信行为记录名单及其他不符合《中华人民共和国政府采购法》第二十二条规定条件的信用记录。（响应文件中无需提供证明材料）</w:t>
      </w:r>
    </w:p>
    <w:p w14:paraId="57811F14">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1.8单位负责人为同一人或者存在直接控股、管理关系的不同供应商，不得参加同一合同项下的政府采购活动(自行承诺)。</w:t>
      </w:r>
    </w:p>
    <w:p w14:paraId="6CAABC71">
      <w:pPr>
        <w:pStyle w:val="36"/>
        <w:numPr>
          <w:ilvl w:val="0"/>
          <w:numId w:val="1"/>
        </w:numPr>
        <w:spacing w:beforeAutospacing="0" w:afterAutospacing="0" w:line="360" w:lineRule="auto"/>
        <w:ind w:left="239" w:firstLine="307"/>
        <w:jc w:val="left"/>
        <w:rPr>
          <w:rFonts w:hint="eastAsia" w:ascii="宋体" w:hAnsi="宋体" w:eastAsia="宋体" w:cs="宋体"/>
          <w:color w:val="auto"/>
          <w:lang w:val="en-US" w:eastAsia="zh-CN"/>
        </w:rPr>
      </w:pPr>
      <w:r>
        <w:rPr>
          <w:rFonts w:hint="eastAsia" w:ascii="宋体" w:hAnsi="宋体" w:eastAsia="宋体" w:cs="宋体"/>
          <w:color w:val="auto"/>
        </w:rPr>
        <w:t>落实政府采购政策需满足的资格要求：</w:t>
      </w:r>
    </w:p>
    <w:p w14:paraId="222D923C">
      <w:pPr>
        <w:pStyle w:val="36"/>
        <w:spacing w:beforeAutospacing="0" w:afterAutospacing="0" w:line="360" w:lineRule="auto"/>
        <w:ind w:firstLine="480"/>
        <w:jc w:val="both"/>
        <w:rPr>
          <w:rFonts w:hint="eastAsia" w:ascii="宋体" w:hAnsi="宋体" w:eastAsia="宋体" w:cs="宋体"/>
          <w:color w:val="auto"/>
        </w:rPr>
      </w:pPr>
      <w:r>
        <w:rPr>
          <w:rFonts w:hint="eastAsia" w:ascii="宋体" w:hAnsi="宋体" w:eastAsia="宋体" w:cs="宋体"/>
          <w:color w:val="auto"/>
        </w:rPr>
        <w:t>本项目专门面向中小企业采购，标的所属行业为工业（中小企业划分标准详见《关于印发中小企业划型标准规定的通知》工信部联企业〔2011〕300号），响应供应商应为中小微企业、监狱企业、残疾人福利企业。供应商须在响应文件中提供《中小企业声明函》或《残疾人福利性单位声明函》或省级以上监狱管理局、戒毒管理局（含新疆生产建设兵团）出具的属于监狱企业的证明文件，否则视为无效响应；小微企业、残疾人福利企业、监狱企业不再享受价格评审优惠政策。</w:t>
      </w:r>
    </w:p>
    <w:p w14:paraId="1B6C0410">
      <w:pPr>
        <w:pStyle w:val="36"/>
        <w:widowControl/>
        <w:shd w:val="clear" w:color="auto" w:fill="FFFFFF"/>
        <w:spacing w:beforeAutospacing="0" w:afterAutospacing="0" w:line="360" w:lineRule="auto"/>
        <w:ind w:firstLine="560"/>
        <w:jc w:val="both"/>
        <w:rPr>
          <w:rFonts w:ascii="宋体" w:hAnsi="宋体" w:eastAsia="宋体" w:cs="宋体"/>
          <w:color w:val="auto"/>
        </w:rPr>
      </w:pPr>
      <w:r>
        <w:rPr>
          <w:rFonts w:hint="eastAsia" w:ascii="宋体" w:hAnsi="宋体" w:eastAsia="宋体" w:cs="宋体"/>
          <w:color w:val="auto"/>
        </w:rPr>
        <w:t>3.本项目的特定资格要求：</w:t>
      </w:r>
      <w:r>
        <w:rPr>
          <w:rFonts w:hint="eastAsia" w:ascii="宋体" w:hAnsi="宋体" w:eastAsia="宋体" w:cs="宋体"/>
          <w:i/>
          <w:iCs/>
          <w:color w:val="auto"/>
          <w:u w:val="single"/>
        </w:rPr>
        <w:t>无。</w:t>
      </w:r>
    </w:p>
    <w:p w14:paraId="07581C0F">
      <w:pPr>
        <w:pStyle w:val="36"/>
        <w:keepNext/>
        <w:keepLines/>
        <w:spacing w:beforeAutospacing="0" w:afterAutospacing="0" w:line="360" w:lineRule="auto"/>
        <w:ind w:firstLine="498"/>
        <w:jc w:val="both"/>
        <w:rPr>
          <w:rFonts w:ascii="宋体" w:hAnsi="宋体" w:eastAsia="宋体" w:cs="宋体"/>
          <w:color w:val="auto"/>
        </w:rPr>
      </w:pPr>
      <w:r>
        <w:rPr>
          <w:rFonts w:hint="eastAsia" w:ascii="宋体" w:hAnsi="宋体" w:eastAsia="宋体" w:cs="宋体"/>
          <w:b/>
          <w:color w:val="auto"/>
        </w:rPr>
        <w:t>三、获取招标文件</w:t>
      </w:r>
    </w:p>
    <w:p w14:paraId="5EC1D60E">
      <w:pPr>
        <w:pStyle w:val="36"/>
        <w:widowControl/>
        <w:shd w:val="clear" w:color="auto" w:fill="FFFFFF"/>
        <w:spacing w:beforeAutospacing="0" w:afterAutospacing="0" w:line="360" w:lineRule="auto"/>
        <w:ind w:firstLine="540"/>
        <w:jc w:val="both"/>
        <w:rPr>
          <w:rFonts w:ascii="宋体" w:hAnsi="宋体" w:eastAsia="宋体" w:cs="宋体"/>
          <w:color w:val="auto"/>
        </w:rPr>
      </w:pPr>
      <w:bookmarkStart w:id="12" w:name="_Toc38985266"/>
      <w:bookmarkStart w:id="13" w:name="_Toc35393624"/>
      <w:bookmarkStart w:id="14" w:name="_Toc28359005"/>
      <w:bookmarkStart w:id="15" w:name="_Toc35393793"/>
      <w:bookmarkStart w:id="16" w:name="_Toc28359082"/>
      <w:r>
        <w:rPr>
          <w:rFonts w:hint="eastAsia" w:ascii="宋体" w:hAnsi="宋体" w:eastAsia="宋体" w:cs="宋体"/>
          <w:color w:val="auto"/>
        </w:rPr>
        <w:t>1.时间：</w:t>
      </w:r>
      <w:bookmarkEnd w:id="12"/>
      <w:bookmarkEnd w:id="13"/>
      <w:bookmarkEnd w:id="14"/>
      <w:bookmarkEnd w:id="15"/>
      <w:bookmarkEnd w:id="16"/>
      <w:r>
        <w:rPr>
          <w:rFonts w:hint="eastAsia" w:ascii="宋体" w:hAnsi="宋体" w:eastAsia="宋体" w:cs="宋体"/>
          <w:color w:val="auto"/>
        </w:rPr>
        <w:t>自招标文件公告发布之日起5个工作日。</w:t>
      </w:r>
    </w:p>
    <w:p w14:paraId="4A9867FA">
      <w:pPr>
        <w:widowControl/>
        <w:spacing w:line="360" w:lineRule="auto"/>
        <w:ind w:firstLine="480"/>
        <w:jc w:val="left"/>
        <w:rPr>
          <w:rFonts w:ascii="宋体" w:hAnsi="宋体" w:eastAsia="宋体" w:cs="宋体"/>
          <w:color w:val="auto"/>
          <w:sz w:val="24"/>
        </w:rPr>
      </w:pPr>
      <w:r>
        <w:rPr>
          <w:rFonts w:hint="eastAsia" w:ascii="宋体" w:hAnsi="宋体" w:eastAsia="宋体" w:cs="宋体"/>
          <w:color w:val="auto"/>
          <w:sz w:val="24"/>
        </w:rPr>
        <w:t>2.地点：“苏采云”系统内免费下载（投标人必须在苏采云系统中获取采购文件，方能参与政府采购项目）；</w:t>
      </w:r>
    </w:p>
    <w:p w14:paraId="1FBD5CF2">
      <w:pPr>
        <w:pStyle w:val="36"/>
        <w:widowControl/>
        <w:shd w:val="clear" w:color="auto" w:fill="FFFFFF"/>
        <w:spacing w:beforeAutospacing="0" w:afterAutospacing="0" w:line="360" w:lineRule="auto"/>
        <w:ind w:firstLine="540"/>
        <w:jc w:val="both"/>
        <w:rPr>
          <w:rFonts w:hint="eastAsia" w:ascii="宋体" w:hAnsi="宋体" w:eastAsia="宋体" w:cs="宋体"/>
          <w:color w:val="auto"/>
          <w:lang w:eastAsia="zh-CN"/>
        </w:rPr>
      </w:pPr>
      <w:r>
        <w:rPr>
          <w:rFonts w:hint="eastAsia" w:ascii="宋体" w:hAnsi="宋体" w:eastAsia="宋体" w:cs="宋体"/>
          <w:color w:val="auto"/>
        </w:rPr>
        <w:t>3.方式：本项目采用网上注册登记方式。</w:t>
      </w:r>
    </w:p>
    <w:p w14:paraId="00C5CDA2">
      <w:pPr>
        <w:widowControl/>
        <w:spacing w:line="360" w:lineRule="auto"/>
        <w:ind w:firstLine="480"/>
        <w:jc w:val="left"/>
        <w:rPr>
          <w:rFonts w:ascii="宋体" w:hAnsi="宋体" w:eastAsia="宋体" w:cs="宋体"/>
          <w:color w:val="auto"/>
          <w:sz w:val="24"/>
        </w:rPr>
      </w:pPr>
      <w:r>
        <w:rPr>
          <w:rFonts w:hint="eastAsia" w:ascii="宋体" w:hAnsi="宋体" w:eastAsia="宋体" w:cs="宋体"/>
          <w:color w:val="auto"/>
          <w:sz w:val="24"/>
        </w:rPr>
        <w:t>4.售价：0元</w:t>
      </w:r>
    </w:p>
    <w:p w14:paraId="52467358">
      <w:pPr>
        <w:pStyle w:val="36"/>
        <w:keepNext/>
        <w:keepLines/>
        <w:spacing w:beforeAutospacing="0" w:afterAutospacing="0" w:line="360" w:lineRule="auto"/>
        <w:ind w:firstLine="498"/>
        <w:jc w:val="both"/>
        <w:rPr>
          <w:rFonts w:ascii="宋体" w:hAnsi="宋体" w:eastAsia="宋体" w:cs="宋体"/>
          <w:color w:val="auto"/>
        </w:rPr>
      </w:pPr>
      <w:r>
        <w:rPr>
          <w:rFonts w:hint="eastAsia" w:ascii="宋体" w:hAnsi="宋体" w:eastAsia="宋体" w:cs="宋体"/>
          <w:b/>
          <w:color w:val="auto"/>
        </w:rPr>
        <w:t>四、提交投标文件截止时间、开标时间和地点</w:t>
      </w:r>
    </w:p>
    <w:p w14:paraId="25CCB85E">
      <w:pPr>
        <w:pStyle w:val="36"/>
        <w:widowControl/>
        <w:shd w:val="clear" w:color="auto" w:fill="FFFFFF"/>
        <w:spacing w:beforeAutospacing="0" w:afterAutospacing="0" w:line="360" w:lineRule="auto"/>
        <w:ind w:firstLine="540"/>
        <w:jc w:val="both"/>
        <w:rPr>
          <w:rFonts w:ascii="宋体" w:hAnsi="宋体" w:eastAsia="宋体" w:cs="宋体"/>
          <w:color w:val="auto"/>
        </w:rPr>
      </w:pPr>
      <w:r>
        <w:rPr>
          <w:rFonts w:hint="eastAsia" w:ascii="宋体" w:hAnsi="宋体" w:eastAsia="宋体" w:cs="宋体"/>
          <w:color w:val="auto"/>
        </w:rPr>
        <w:t>1.时间：</w:t>
      </w:r>
      <w:r>
        <w:rPr>
          <w:rFonts w:hint="eastAsia" w:ascii="宋体" w:hAnsi="宋体" w:eastAsia="宋体" w:cs="宋体"/>
          <w:color w:val="auto"/>
          <w:u w:val="single"/>
          <w:lang w:val="en-US" w:eastAsia="zh-CN"/>
        </w:rPr>
        <w:t>2026</w:t>
      </w:r>
      <w:r>
        <w:rPr>
          <w:rFonts w:hint="eastAsia" w:ascii="宋体" w:hAnsi="宋体" w:eastAsia="宋体" w:cs="宋体"/>
          <w:color w:val="auto"/>
          <w:u w:val="single"/>
        </w:rPr>
        <w:t>年</w:t>
      </w:r>
      <w:r>
        <w:rPr>
          <w:rFonts w:hint="eastAsia" w:ascii="宋体" w:hAnsi="宋体" w:eastAsia="宋体" w:cs="宋体"/>
          <w:color w:val="auto"/>
          <w:u w:val="single"/>
          <w:lang w:val="en-US" w:eastAsia="zh-CN"/>
        </w:rPr>
        <w:t>11</w:t>
      </w:r>
      <w:r>
        <w:rPr>
          <w:rFonts w:hint="eastAsia" w:ascii="宋体" w:hAnsi="宋体" w:eastAsia="宋体" w:cs="宋体"/>
          <w:color w:val="auto"/>
          <w:u w:val="single"/>
        </w:rPr>
        <w:t>月</w:t>
      </w:r>
      <w:r>
        <w:rPr>
          <w:rFonts w:hint="eastAsia" w:ascii="宋体" w:hAnsi="宋体" w:eastAsia="宋体" w:cs="宋体"/>
          <w:color w:val="auto"/>
          <w:u w:val="single"/>
          <w:lang w:val="en-US" w:eastAsia="zh-CN"/>
        </w:rPr>
        <w:t>10</w:t>
      </w:r>
      <w:r>
        <w:rPr>
          <w:rFonts w:hint="eastAsia" w:ascii="宋体" w:hAnsi="宋体" w:eastAsia="宋体" w:cs="宋体"/>
          <w:color w:val="auto"/>
          <w:u w:val="single"/>
        </w:rPr>
        <w:t>日</w:t>
      </w:r>
      <w:r>
        <w:rPr>
          <w:rFonts w:hint="eastAsia" w:ascii="宋体" w:hAnsi="宋体" w:eastAsia="宋体" w:cs="宋体"/>
          <w:color w:val="auto"/>
          <w:u w:val="single"/>
          <w:lang w:val="en-US" w:eastAsia="zh-CN"/>
        </w:rPr>
        <w:t>9:30</w:t>
      </w:r>
      <w:r>
        <w:rPr>
          <w:rFonts w:hint="eastAsia" w:ascii="宋体" w:hAnsi="宋体" w:eastAsia="宋体" w:cs="宋体"/>
          <w:color w:val="auto"/>
        </w:rPr>
        <w:t>（北京时间）。</w:t>
      </w:r>
    </w:p>
    <w:p w14:paraId="3BB1B510">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2.地点：苏采云“不见面”开标大厅。</w:t>
      </w:r>
    </w:p>
    <w:p w14:paraId="065931F8">
      <w:pPr>
        <w:pStyle w:val="36"/>
        <w:keepNext/>
        <w:keepLines/>
        <w:spacing w:beforeAutospacing="0" w:afterAutospacing="0" w:line="360" w:lineRule="auto"/>
        <w:ind w:firstLine="498"/>
        <w:jc w:val="both"/>
        <w:rPr>
          <w:rFonts w:ascii="宋体" w:hAnsi="宋体" w:eastAsia="宋体" w:cs="宋体"/>
          <w:color w:val="auto"/>
        </w:rPr>
      </w:pPr>
      <w:bookmarkStart w:id="17" w:name="_Toc28359084"/>
      <w:bookmarkStart w:id="18" w:name="_Toc38985267"/>
      <w:bookmarkStart w:id="19" w:name="_Toc35393625"/>
      <w:bookmarkStart w:id="20" w:name="_Toc35393794"/>
      <w:bookmarkStart w:id="21" w:name="_Toc28359007"/>
      <w:r>
        <w:rPr>
          <w:rFonts w:hint="eastAsia" w:ascii="宋体" w:hAnsi="宋体" w:eastAsia="宋体" w:cs="宋体"/>
          <w:b/>
          <w:color w:val="auto"/>
        </w:rPr>
        <w:t>五、公告期限</w:t>
      </w:r>
      <w:bookmarkEnd w:id="17"/>
      <w:bookmarkEnd w:id="18"/>
      <w:bookmarkEnd w:id="19"/>
      <w:bookmarkEnd w:id="20"/>
      <w:bookmarkEnd w:id="21"/>
    </w:p>
    <w:p w14:paraId="79DA1555">
      <w:pPr>
        <w:pStyle w:val="36"/>
        <w:widowControl/>
        <w:shd w:val="clear" w:color="auto" w:fill="FFFFFF"/>
        <w:spacing w:beforeAutospacing="0" w:afterAutospacing="0" w:line="360" w:lineRule="auto"/>
        <w:ind w:firstLine="560"/>
        <w:jc w:val="both"/>
        <w:rPr>
          <w:rFonts w:ascii="宋体" w:hAnsi="宋体" w:eastAsia="宋体" w:cs="宋体"/>
          <w:color w:val="auto"/>
          <w:shd w:val="clear" w:color="auto" w:fill="FFFFFF"/>
        </w:rPr>
      </w:pPr>
      <w:bookmarkStart w:id="22" w:name="_Toc35393626"/>
      <w:bookmarkStart w:id="23" w:name="_Toc38985268"/>
      <w:bookmarkStart w:id="24" w:name="_Toc35393795"/>
      <w:r>
        <w:rPr>
          <w:rFonts w:hint="eastAsia" w:ascii="宋体" w:hAnsi="宋体" w:eastAsia="宋体" w:cs="宋体"/>
          <w:color w:val="auto"/>
          <w:shd w:val="clear" w:color="auto" w:fill="FFFFFF"/>
        </w:rPr>
        <w:t>自本公告发布之日起5个工作日。</w:t>
      </w:r>
      <w:bookmarkEnd w:id="22"/>
      <w:bookmarkEnd w:id="23"/>
      <w:bookmarkEnd w:id="24"/>
    </w:p>
    <w:p w14:paraId="72129D4D">
      <w:pPr>
        <w:pStyle w:val="36"/>
        <w:keepNext/>
        <w:keepLines/>
        <w:spacing w:beforeAutospacing="0" w:afterAutospacing="0" w:line="360" w:lineRule="auto"/>
        <w:ind w:firstLine="498"/>
        <w:jc w:val="both"/>
        <w:rPr>
          <w:rFonts w:ascii="宋体" w:hAnsi="宋体" w:eastAsia="宋体" w:cs="宋体"/>
          <w:color w:val="auto"/>
        </w:rPr>
      </w:pPr>
      <w:r>
        <w:rPr>
          <w:rFonts w:hint="eastAsia" w:ascii="宋体" w:hAnsi="宋体" w:eastAsia="宋体" w:cs="宋体"/>
          <w:b/>
          <w:color w:val="auto"/>
        </w:rPr>
        <w:t>六、其他补充事宜</w:t>
      </w:r>
    </w:p>
    <w:p w14:paraId="3087B7DC">
      <w:pPr>
        <w:keepNext w:val="0"/>
        <w:keepLines w:val="0"/>
        <w:pageBreakBefore w:val="0"/>
        <w:widowControl/>
        <w:spacing w:line="460" w:lineRule="exact"/>
        <w:ind w:firstLine="482"/>
        <w:jc w:val="left"/>
        <w:rPr>
          <w:rFonts w:ascii="宋体" w:hAnsi="宋体" w:eastAsia="宋体" w:cs="宋体"/>
          <w:color w:val="auto"/>
          <w:sz w:val="24"/>
          <w:szCs w:val="20"/>
        </w:rPr>
      </w:pPr>
      <w:bookmarkStart w:id="25" w:name="_Toc28359018"/>
      <w:r>
        <w:rPr>
          <w:rFonts w:hint="eastAsia" w:ascii="宋体" w:hAnsi="宋体" w:eastAsia="宋体" w:cs="宋体"/>
          <w:color w:val="auto"/>
          <w:sz w:val="24"/>
          <w:szCs w:val="20"/>
        </w:rPr>
        <w:t>1.根据省财政厅《关于更换全省政府采购交易系统CA数字证书和电子签章的通知》（苏财购〔2023〕101号），“苏采云”政府采购交易系统（以下简称苏采云系统）的CA数字证书、电子签章已更换为江苏省电子政务证书认证中心CA和方正国际软件（北京）有限公司电子签章。如果投标人通过苏采云系统参与政府采购项目，需要更换CA数字证书和电子签章。</w:t>
      </w:r>
      <w:r>
        <w:rPr>
          <w:rFonts w:hint="eastAsia" w:ascii="宋体" w:hAnsi="宋体" w:cs="宋体"/>
          <w:color w:val="auto"/>
          <w:sz w:val="24"/>
          <w:szCs w:val="20"/>
        </w:rPr>
        <w:t>具体办理指南：在盐城市政府采购网点击【办事指南】-【供应商参与政府采购活动相关资料】。</w:t>
      </w:r>
    </w:p>
    <w:p w14:paraId="576AB23D">
      <w:pPr>
        <w:keepNext w:val="0"/>
        <w:keepLines w:val="0"/>
        <w:pageBreakBefore w:val="0"/>
        <w:widowControl/>
        <w:spacing w:line="460" w:lineRule="exact"/>
        <w:ind w:firstLine="482"/>
        <w:jc w:val="left"/>
        <w:rPr>
          <w:rFonts w:ascii="宋体" w:hAnsi="宋体" w:eastAsia="宋体" w:cs="宋体"/>
          <w:color w:val="auto"/>
          <w:sz w:val="24"/>
          <w:szCs w:val="20"/>
        </w:rPr>
      </w:pPr>
      <w:r>
        <w:rPr>
          <w:rFonts w:hint="eastAsia" w:ascii="宋体" w:hAnsi="宋体" w:eastAsia="宋体" w:cs="宋体"/>
          <w:color w:val="auto"/>
          <w:sz w:val="24"/>
          <w:szCs w:val="20"/>
        </w:rPr>
        <w:t>领取CA和办理电子签章（</w:t>
      </w:r>
      <w:r>
        <w:rPr>
          <w:rFonts w:hint="eastAsia" w:ascii="宋体" w:hAnsi="宋体" w:eastAsia="宋体" w:cs="宋体"/>
          <w:b/>
          <w:bCs/>
          <w:color w:val="auto"/>
          <w:sz w:val="24"/>
          <w:szCs w:val="20"/>
        </w:rPr>
        <w:t>请至盐城市府西路1号盐城市公共资源交易中心四楼大厅10号，11号窗口办理</w:t>
      </w:r>
      <w:r>
        <w:rPr>
          <w:rFonts w:hint="eastAsia" w:ascii="宋体" w:hAnsi="宋体" w:eastAsia="宋体" w:cs="宋体"/>
          <w:color w:val="auto"/>
          <w:sz w:val="24"/>
          <w:szCs w:val="20"/>
        </w:rPr>
        <w:t>，联系电话：15051556883，办理邮箱：yancheng@ideabank.net.cn，具体系统操作见《苏采云系统供应商操作手册》（以下简称《操作手册》））、进行注册并按《操作手册》要求制作、上传电子投标文件,《苏采云系统供应商操作手册》，手册下载地址：苏采云系统-右侧消息通知栏。</w:t>
      </w:r>
    </w:p>
    <w:p w14:paraId="14698721">
      <w:pPr>
        <w:keepNext w:val="0"/>
        <w:keepLines w:val="0"/>
        <w:pageBreakBefore w:val="0"/>
        <w:widowControl/>
        <w:spacing w:line="460" w:lineRule="exact"/>
        <w:ind w:firstLine="482"/>
        <w:jc w:val="left"/>
        <w:rPr>
          <w:rFonts w:hint="eastAsia" w:ascii="宋体" w:hAnsi="宋体" w:eastAsia="宋体" w:cs="宋体"/>
          <w:color w:val="auto"/>
          <w:sz w:val="24"/>
          <w:szCs w:val="20"/>
          <w:lang w:eastAsia="zh-CN"/>
        </w:rPr>
      </w:pPr>
      <w:r>
        <w:rPr>
          <w:rFonts w:hint="eastAsia" w:ascii="宋体" w:hAnsi="宋体" w:eastAsia="宋体" w:cs="宋体"/>
          <w:color w:val="auto"/>
          <w:sz w:val="24"/>
          <w:szCs w:val="20"/>
        </w:rPr>
        <w:t>2.潜在供应商访问电子招标响应交易平台的网络地址和方法：</w:t>
      </w:r>
    </w:p>
    <w:p w14:paraId="378FB846">
      <w:pPr>
        <w:keepNext w:val="0"/>
        <w:keepLines w:val="0"/>
        <w:pageBreakBefore w:val="0"/>
        <w:widowControl/>
        <w:spacing w:line="460" w:lineRule="exact"/>
        <w:ind w:firstLine="482"/>
        <w:jc w:val="left"/>
        <w:rPr>
          <w:rFonts w:hint="eastAsia" w:ascii="宋体" w:hAnsi="宋体" w:eastAsia="宋体" w:cs="宋体"/>
          <w:color w:val="auto"/>
          <w:sz w:val="24"/>
          <w:szCs w:val="20"/>
          <w:lang w:eastAsia="zh-CN"/>
        </w:rPr>
      </w:pPr>
      <w:r>
        <w:rPr>
          <w:rFonts w:hint="eastAsia" w:ascii="宋体" w:hAnsi="宋体" w:eastAsia="宋体" w:cs="宋体"/>
          <w:color w:val="auto"/>
          <w:sz w:val="24"/>
          <w:szCs w:val="20"/>
        </w:rPr>
        <w:t>2.1“苏采云”系统用户注册--获取“CA数字证书”--CA绑定与登录--参与投标--下载采购文件（后缀名为“.kedt”）--将后缀名为“.kedt”的采购文件导入政府采购客户端工具--制作响应文件--导出加密的响应文件（后缀名为zip）--通过“苏采云”系统上传响应文件。具体见《“苏采云”系统供应商操作手册》（手册下载地址：苏采云系统-右侧消息通知栏）。</w:t>
      </w:r>
    </w:p>
    <w:p w14:paraId="77363828">
      <w:pPr>
        <w:keepNext w:val="0"/>
        <w:keepLines w:val="0"/>
        <w:pageBreakBefore w:val="0"/>
        <w:widowControl/>
        <w:spacing w:line="460" w:lineRule="exact"/>
        <w:ind w:firstLine="482"/>
        <w:jc w:val="left"/>
        <w:rPr>
          <w:rFonts w:hint="eastAsia" w:ascii="宋体" w:hAnsi="宋体" w:eastAsia="宋体" w:cs="宋体"/>
          <w:color w:val="auto"/>
          <w:sz w:val="24"/>
          <w:szCs w:val="20"/>
          <w:lang w:eastAsia="zh-CN"/>
        </w:rPr>
      </w:pPr>
      <w:r>
        <w:rPr>
          <w:rFonts w:hint="eastAsia" w:ascii="宋体" w:hAnsi="宋体" w:eastAsia="宋体" w:cs="宋体"/>
          <w:color w:val="auto"/>
          <w:sz w:val="24"/>
          <w:szCs w:val="20"/>
        </w:rPr>
        <w:t>2.2潜在投标人访问“苏采云”系统方法：江苏省政府采购网首页-“苏采云”链接。</w:t>
      </w:r>
    </w:p>
    <w:p w14:paraId="5260DF73">
      <w:pPr>
        <w:keepNext w:val="0"/>
        <w:keepLines w:val="0"/>
        <w:pageBreakBefore w:val="0"/>
        <w:widowControl/>
        <w:spacing w:line="460" w:lineRule="exact"/>
        <w:ind w:firstLine="482"/>
        <w:jc w:val="left"/>
        <w:rPr>
          <w:rFonts w:hint="eastAsia" w:ascii="宋体" w:hAnsi="宋体" w:eastAsia="宋体" w:cs="宋体"/>
          <w:color w:val="auto"/>
          <w:sz w:val="24"/>
          <w:szCs w:val="20"/>
          <w:lang w:eastAsia="zh-CN"/>
        </w:rPr>
      </w:pPr>
      <w:r>
        <w:rPr>
          <w:rFonts w:hint="eastAsia" w:ascii="宋体" w:hAnsi="宋体" w:eastAsia="宋体" w:cs="宋体"/>
          <w:color w:val="auto"/>
          <w:sz w:val="24"/>
          <w:szCs w:val="20"/>
        </w:rPr>
        <w:t>2.3采购文件（后缀名为“.kedt”）、供应商操作手册及政府采购客户端工具可通过“苏采云”系统相应链接进行下载。</w:t>
      </w:r>
    </w:p>
    <w:p w14:paraId="2ACD9238">
      <w:pPr>
        <w:keepNext w:val="0"/>
        <w:keepLines w:val="0"/>
        <w:pageBreakBefore w:val="0"/>
        <w:widowControl/>
        <w:spacing w:line="460" w:lineRule="exact"/>
        <w:ind w:firstLine="482"/>
        <w:jc w:val="left"/>
        <w:rPr>
          <w:rFonts w:hint="eastAsia" w:ascii="宋体" w:hAnsi="宋体" w:eastAsia="宋体" w:cs="宋体"/>
          <w:color w:val="auto"/>
          <w:sz w:val="24"/>
          <w:szCs w:val="20"/>
          <w:lang w:eastAsia="zh-CN"/>
        </w:rPr>
      </w:pPr>
      <w:r>
        <w:rPr>
          <w:rFonts w:hint="eastAsia" w:ascii="宋体" w:hAnsi="宋体" w:eastAsia="宋体" w:cs="宋体"/>
          <w:color w:val="auto"/>
          <w:sz w:val="24"/>
          <w:szCs w:val="20"/>
        </w:rPr>
        <w:t>2.4采购代理机构将数据电文形式的采购文件加载至“苏采云”系统，供潜在供应商下载或者查阅。</w:t>
      </w:r>
    </w:p>
    <w:p w14:paraId="4F5B99AA">
      <w:pPr>
        <w:keepNext w:val="0"/>
        <w:keepLines w:val="0"/>
        <w:pageBreakBefore w:val="0"/>
        <w:widowControl/>
        <w:spacing w:line="460" w:lineRule="exact"/>
        <w:ind w:firstLine="482"/>
        <w:jc w:val="left"/>
        <w:rPr>
          <w:rFonts w:hint="eastAsia" w:ascii="宋体" w:hAnsi="宋体" w:eastAsia="宋体" w:cs="宋体"/>
          <w:color w:val="auto"/>
          <w:sz w:val="24"/>
          <w:szCs w:val="20"/>
          <w:lang w:eastAsia="zh-CN"/>
        </w:rPr>
      </w:pPr>
      <w:r>
        <w:rPr>
          <w:rFonts w:hint="eastAsia" w:ascii="宋体" w:hAnsi="宋体" w:eastAsia="宋体" w:cs="宋体"/>
          <w:color w:val="auto"/>
          <w:sz w:val="24"/>
          <w:szCs w:val="20"/>
        </w:rPr>
        <w:t>2.5请潜在投标单位提前安装相应的控件（详见《“苏采云”系统供应商操作手册》）并使用谷歌浏览器登录“苏采云”系统参与不见面开评标。</w:t>
      </w:r>
    </w:p>
    <w:p w14:paraId="1DDF666F">
      <w:pPr>
        <w:keepNext w:val="0"/>
        <w:keepLines w:val="0"/>
        <w:pageBreakBefore w:val="0"/>
        <w:widowControl/>
        <w:spacing w:line="460" w:lineRule="exact"/>
        <w:ind w:firstLine="482"/>
        <w:jc w:val="left"/>
        <w:rPr>
          <w:rFonts w:ascii="宋体" w:hAnsi="宋体" w:eastAsia="宋体" w:cs="宋体"/>
          <w:color w:val="auto"/>
          <w:sz w:val="24"/>
          <w:szCs w:val="20"/>
        </w:rPr>
      </w:pPr>
      <w:r>
        <w:rPr>
          <w:rFonts w:hint="eastAsia" w:ascii="宋体" w:hAnsi="宋体" w:eastAsia="宋体" w:cs="宋体"/>
          <w:color w:val="auto"/>
          <w:sz w:val="24"/>
          <w:szCs w:val="20"/>
        </w:rPr>
        <w:t>如潜在投标人未按上述要求操作，将自行承担所产生的风险。</w:t>
      </w:r>
    </w:p>
    <w:p w14:paraId="5DC04EB5">
      <w:pPr>
        <w:keepNext w:val="0"/>
        <w:keepLines w:val="0"/>
        <w:pageBreakBefore w:val="0"/>
        <w:widowControl/>
        <w:spacing w:line="460" w:lineRule="exact"/>
        <w:ind w:firstLine="482"/>
        <w:jc w:val="left"/>
        <w:rPr>
          <w:rFonts w:ascii="宋体" w:hAnsi="宋体" w:eastAsia="宋体" w:cs="宋体"/>
          <w:color w:val="auto"/>
          <w:sz w:val="24"/>
          <w:szCs w:val="20"/>
        </w:rPr>
      </w:pPr>
      <w:r>
        <w:rPr>
          <w:rFonts w:hint="eastAsia" w:ascii="宋体" w:hAnsi="宋体" w:eastAsia="宋体" w:cs="宋体"/>
          <w:color w:val="auto"/>
          <w:sz w:val="24"/>
          <w:szCs w:val="20"/>
        </w:rPr>
        <w:t>3.有关本次招标的事项若存在变动或修改，敬请及时关注</w:t>
      </w:r>
      <w:r>
        <w:rPr>
          <w:rFonts w:hint="eastAsia" w:ascii="宋体" w:hAnsi="宋体" w:eastAsia="宋体" w:cs="宋体"/>
          <w:color w:val="auto"/>
          <w:sz w:val="24"/>
          <w:szCs w:val="20"/>
          <w:lang w:val="en-US" w:eastAsia="zh-CN"/>
        </w:rPr>
        <w:t>采购人</w:t>
      </w:r>
      <w:r>
        <w:rPr>
          <w:rFonts w:hint="eastAsia" w:ascii="宋体" w:hAnsi="宋体" w:eastAsia="宋体" w:cs="宋体"/>
          <w:color w:val="auto"/>
          <w:sz w:val="24"/>
          <w:szCs w:val="20"/>
        </w:rPr>
        <w:t>在“中国政府采购网”、“江苏政府采购网”、“盐城市政府采购网”发布的更正公告。</w:t>
      </w:r>
    </w:p>
    <w:p w14:paraId="32C2C91B">
      <w:pPr>
        <w:pStyle w:val="36"/>
        <w:widowControl/>
        <w:shd w:val="clear" w:color="auto" w:fill="FFFFFF"/>
        <w:spacing w:beforeAutospacing="0" w:afterAutospacing="0" w:line="360" w:lineRule="auto"/>
        <w:ind w:firstLine="560"/>
        <w:jc w:val="both"/>
        <w:rPr>
          <w:rFonts w:ascii="宋体" w:hAnsi="宋体" w:eastAsia="宋体" w:cs="宋体"/>
          <w:color w:val="auto"/>
          <w:shd w:val="clear" w:color="auto" w:fill="FFFFFF"/>
        </w:rPr>
      </w:pPr>
      <w:r>
        <w:rPr>
          <w:rFonts w:hint="eastAsia" w:ascii="宋体" w:hAnsi="宋体" w:eastAsia="宋体" w:cs="宋体"/>
          <w:color w:val="auto"/>
          <w:sz w:val="24"/>
          <w:szCs w:val="20"/>
        </w:rPr>
        <w:t>4.本次招标不收取投标保证金，不收取质量保证金。</w:t>
      </w:r>
    </w:p>
    <w:p w14:paraId="5BA68554">
      <w:pPr>
        <w:pStyle w:val="36"/>
        <w:keepNext/>
        <w:keepLines/>
        <w:spacing w:beforeAutospacing="0" w:afterAutospacing="0" w:line="360" w:lineRule="auto"/>
        <w:ind w:firstLine="498"/>
        <w:jc w:val="both"/>
        <w:rPr>
          <w:rFonts w:ascii="宋体" w:hAnsi="宋体" w:eastAsia="宋体" w:cs="宋体"/>
          <w:b/>
          <w:color w:val="auto"/>
        </w:rPr>
      </w:pPr>
      <w:r>
        <w:rPr>
          <w:rFonts w:hint="eastAsia" w:ascii="宋体" w:hAnsi="宋体" w:eastAsia="宋体" w:cs="宋体"/>
          <w:b/>
          <w:color w:val="auto"/>
        </w:rPr>
        <w:t>七、对本次招标提出询问，请按以下方式联系。</w:t>
      </w:r>
      <w:bookmarkEnd w:id="25"/>
    </w:p>
    <w:p w14:paraId="70F869BB">
      <w:pPr>
        <w:pStyle w:val="36"/>
        <w:widowControl/>
        <w:shd w:val="clear" w:color="auto" w:fill="FFFFFF"/>
        <w:spacing w:beforeAutospacing="0" w:afterAutospacing="0" w:line="360" w:lineRule="auto"/>
        <w:ind w:firstLine="600"/>
        <w:jc w:val="both"/>
        <w:rPr>
          <w:rFonts w:ascii="宋体" w:hAnsi="宋体" w:eastAsia="宋体" w:cs="宋体"/>
          <w:color w:val="auto"/>
          <w:shd w:val="clear" w:color="auto" w:fill="FFFFFF"/>
        </w:rPr>
      </w:pPr>
      <w:bookmarkStart w:id="198" w:name="_GoBack"/>
      <w:r>
        <w:rPr>
          <w:rFonts w:hint="eastAsia" w:ascii="宋体" w:hAnsi="宋体" w:eastAsia="宋体" w:cs="宋体"/>
          <w:color w:val="auto"/>
          <w:shd w:val="clear" w:color="auto" w:fill="FFFFFF"/>
        </w:rPr>
        <w:t>1.采购人信息</w:t>
      </w:r>
    </w:p>
    <w:p w14:paraId="242BE7EA">
      <w:pPr>
        <w:pStyle w:val="36"/>
        <w:widowControl/>
        <w:shd w:val="clear" w:color="auto" w:fill="FFFFFF"/>
        <w:spacing w:beforeAutospacing="0" w:afterAutospacing="0" w:line="360" w:lineRule="auto"/>
        <w:ind w:firstLine="560"/>
        <w:jc w:val="both"/>
        <w:rPr>
          <w:rFonts w:ascii="宋体" w:hAnsi="宋体" w:eastAsia="宋体" w:cs="宋体"/>
          <w:color w:val="auto"/>
          <w:shd w:val="clear" w:color="auto" w:fill="FFFFFF"/>
        </w:rPr>
      </w:pPr>
      <w:r>
        <w:rPr>
          <w:rFonts w:hint="eastAsia" w:ascii="宋体" w:hAnsi="宋体" w:eastAsia="宋体" w:cs="宋体"/>
          <w:color w:val="auto"/>
          <w:shd w:val="clear" w:color="auto" w:fill="FFFFFF"/>
        </w:rPr>
        <w:t>名称：江苏省盐城技师学院</w:t>
      </w:r>
    </w:p>
    <w:p w14:paraId="3C52E045">
      <w:pPr>
        <w:pStyle w:val="36"/>
        <w:widowControl/>
        <w:shd w:val="clear" w:color="auto" w:fill="FFFFFF"/>
        <w:spacing w:beforeAutospacing="0" w:afterAutospacing="0" w:line="360" w:lineRule="auto"/>
        <w:ind w:firstLine="560"/>
        <w:jc w:val="both"/>
        <w:rPr>
          <w:rFonts w:ascii="宋体" w:hAnsi="宋体" w:eastAsia="宋体" w:cs="宋体"/>
          <w:color w:val="auto"/>
          <w:shd w:val="clear" w:color="auto" w:fill="FFFFFF"/>
        </w:rPr>
      </w:pPr>
      <w:r>
        <w:rPr>
          <w:rFonts w:hint="eastAsia" w:ascii="宋体" w:hAnsi="宋体" w:eastAsia="宋体" w:cs="宋体"/>
          <w:color w:val="auto"/>
          <w:shd w:val="clear" w:color="auto" w:fill="FFFFFF"/>
        </w:rPr>
        <w:t>地址：盐城市盐都区海洋路29号</w:t>
      </w:r>
    </w:p>
    <w:p w14:paraId="5264FE0F">
      <w:pPr>
        <w:pStyle w:val="36"/>
        <w:widowControl/>
        <w:shd w:val="clear" w:color="auto" w:fill="FFFFFF"/>
        <w:spacing w:beforeAutospacing="0" w:afterAutospacing="0" w:line="360" w:lineRule="auto"/>
        <w:ind w:firstLine="560"/>
        <w:jc w:val="both"/>
        <w:rPr>
          <w:rFonts w:ascii="宋体" w:hAnsi="宋体" w:eastAsia="宋体" w:cs="宋体"/>
          <w:color w:val="auto"/>
          <w:shd w:val="clear" w:color="auto" w:fill="FFFFFF"/>
        </w:rPr>
      </w:pPr>
      <w:r>
        <w:rPr>
          <w:rFonts w:hint="eastAsia" w:ascii="宋体" w:hAnsi="宋体" w:eastAsia="宋体" w:cs="宋体"/>
          <w:color w:val="auto"/>
          <w:shd w:val="clear" w:color="auto" w:fill="FFFFFF"/>
        </w:rPr>
        <w:t>联系人：王老师</w:t>
      </w:r>
    </w:p>
    <w:p w14:paraId="3ABB2359">
      <w:pPr>
        <w:pStyle w:val="36"/>
        <w:widowControl/>
        <w:shd w:val="clear" w:color="auto" w:fill="FFFFFF"/>
        <w:spacing w:beforeAutospacing="0" w:afterAutospacing="0" w:line="360" w:lineRule="auto"/>
        <w:ind w:firstLine="560"/>
        <w:jc w:val="both"/>
        <w:rPr>
          <w:rFonts w:ascii="宋体" w:hAnsi="宋体" w:eastAsia="宋体" w:cs="宋体"/>
          <w:color w:val="auto"/>
          <w:shd w:val="clear" w:color="auto" w:fill="FFFFFF"/>
        </w:rPr>
      </w:pPr>
      <w:r>
        <w:rPr>
          <w:rFonts w:hint="eastAsia" w:ascii="宋体" w:hAnsi="宋体" w:eastAsia="宋体" w:cs="宋体"/>
          <w:color w:val="auto"/>
          <w:shd w:val="clear" w:color="auto" w:fill="FFFFFF"/>
        </w:rPr>
        <w:t>联系方式：</w:t>
      </w:r>
      <w:r>
        <w:rPr>
          <w:rFonts w:ascii="宋体" w:hAnsi="宋体" w:eastAsia="宋体" w:cs="宋体"/>
          <w:color w:val="auto"/>
          <w:shd w:val="clear" w:color="auto" w:fill="FFFFFF"/>
        </w:rPr>
        <w:t>13056150848</w:t>
      </w:r>
    </w:p>
    <w:p w14:paraId="250CEB1E">
      <w:pPr>
        <w:pStyle w:val="36"/>
        <w:widowControl/>
        <w:shd w:val="clear" w:color="auto" w:fill="FFFFFF"/>
        <w:spacing w:beforeAutospacing="0" w:afterAutospacing="0" w:line="360" w:lineRule="auto"/>
        <w:ind w:firstLine="560"/>
        <w:jc w:val="both"/>
        <w:rPr>
          <w:rFonts w:hint="eastAsia" w:ascii="宋体" w:hAnsi="宋体" w:eastAsia="宋体" w:cs="宋体"/>
          <w:color w:val="auto"/>
          <w:shd w:val="clear" w:color="auto" w:fill="FFFFFF"/>
        </w:rPr>
      </w:pPr>
      <w:r>
        <w:rPr>
          <w:rFonts w:hint="eastAsia" w:ascii="宋体" w:hAnsi="宋体" w:eastAsia="宋体" w:cs="宋体"/>
          <w:color w:val="auto"/>
          <w:shd w:val="clear" w:color="auto" w:fill="FFFFFF"/>
        </w:rPr>
        <w:t>2.采购代理机构信息</w:t>
      </w:r>
    </w:p>
    <w:p w14:paraId="4CF500D2">
      <w:pPr>
        <w:pStyle w:val="36"/>
        <w:widowControl/>
        <w:shd w:val="clear" w:color="auto" w:fill="FFFFFF"/>
        <w:spacing w:beforeAutospacing="0" w:afterAutospacing="0" w:line="360" w:lineRule="auto"/>
        <w:ind w:firstLine="560"/>
        <w:jc w:val="both"/>
        <w:rPr>
          <w:rFonts w:hint="eastAsia" w:ascii="宋体" w:hAnsi="宋体" w:eastAsia="宋体" w:cs="宋体"/>
          <w:color w:val="auto"/>
          <w:shd w:val="clear" w:color="auto" w:fill="FFFFFF"/>
        </w:rPr>
      </w:pPr>
      <w:r>
        <w:rPr>
          <w:rFonts w:hint="eastAsia" w:ascii="宋体" w:hAnsi="宋体" w:eastAsia="宋体" w:cs="宋体"/>
          <w:color w:val="auto"/>
          <w:shd w:val="clear" w:color="auto" w:fill="FFFFFF"/>
        </w:rPr>
        <w:t>单位名称：江苏智汇锡建工程项目管理有限公司</w:t>
      </w:r>
    </w:p>
    <w:p w14:paraId="50910148">
      <w:pPr>
        <w:pStyle w:val="36"/>
        <w:widowControl/>
        <w:shd w:val="clear" w:color="auto" w:fill="FFFFFF"/>
        <w:spacing w:beforeAutospacing="0" w:afterAutospacing="0" w:line="360" w:lineRule="auto"/>
        <w:ind w:firstLine="560"/>
        <w:jc w:val="both"/>
        <w:rPr>
          <w:rFonts w:hint="eastAsia" w:ascii="宋体" w:hAnsi="宋体" w:eastAsia="宋体" w:cs="宋体"/>
          <w:color w:val="auto"/>
          <w:shd w:val="clear" w:color="auto" w:fill="FFFFFF"/>
        </w:rPr>
      </w:pPr>
      <w:r>
        <w:rPr>
          <w:rFonts w:hint="eastAsia" w:ascii="宋体" w:hAnsi="宋体" w:eastAsia="宋体" w:cs="宋体"/>
          <w:color w:val="auto"/>
          <w:shd w:val="clear" w:color="auto" w:fill="FFFFFF"/>
        </w:rPr>
        <w:t>单位地址：盐城市西环路293号瞰都公馆10幢1001室</w:t>
      </w:r>
    </w:p>
    <w:p w14:paraId="066B4D7B">
      <w:pPr>
        <w:pStyle w:val="36"/>
        <w:widowControl/>
        <w:shd w:val="clear" w:color="auto" w:fill="FFFFFF"/>
        <w:spacing w:beforeAutospacing="0" w:afterAutospacing="0" w:line="360" w:lineRule="auto"/>
        <w:ind w:firstLine="560"/>
        <w:jc w:val="both"/>
        <w:rPr>
          <w:rFonts w:hint="eastAsia" w:ascii="宋体" w:hAnsi="宋体" w:eastAsia="宋体" w:cs="宋体"/>
          <w:color w:val="auto"/>
          <w:shd w:val="clear" w:color="auto" w:fill="FFFFFF"/>
        </w:rPr>
      </w:pPr>
      <w:r>
        <w:rPr>
          <w:rFonts w:hint="eastAsia" w:ascii="宋体" w:hAnsi="宋体" w:eastAsia="宋体" w:cs="宋体"/>
          <w:color w:val="auto"/>
          <w:shd w:val="clear" w:color="auto" w:fill="FFFFFF"/>
        </w:rPr>
        <w:t>联系人：于先生</w:t>
      </w:r>
    </w:p>
    <w:p w14:paraId="1ABE9CBD">
      <w:pPr>
        <w:pStyle w:val="36"/>
        <w:widowControl/>
        <w:shd w:val="clear" w:color="auto" w:fill="FFFFFF"/>
        <w:spacing w:beforeAutospacing="0" w:afterAutospacing="0" w:line="360" w:lineRule="auto"/>
        <w:ind w:firstLine="560"/>
        <w:jc w:val="both"/>
        <w:rPr>
          <w:rFonts w:hint="eastAsia" w:ascii="宋体" w:hAnsi="宋体" w:eastAsia="宋体" w:cs="宋体"/>
          <w:color w:val="auto"/>
          <w:shd w:val="clear" w:color="auto" w:fill="FFFFFF"/>
        </w:rPr>
      </w:pPr>
      <w:r>
        <w:rPr>
          <w:rFonts w:hint="eastAsia" w:ascii="宋体" w:hAnsi="宋体" w:eastAsia="宋体" w:cs="宋体"/>
          <w:color w:val="auto"/>
          <w:shd w:val="clear" w:color="auto" w:fill="FFFFFF"/>
        </w:rPr>
        <w:t>联系电话：18921878268</w:t>
      </w:r>
    </w:p>
    <w:p w14:paraId="422BC773">
      <w:pPr>
        <w:pStyle w:val="36"/>
        <w:widowControl/>
        <w:shd w:val="clear" w:color="auto" w:fill="FFFFFF"/>
        <w:spacing w:beforeAutospacing="0" w:afterAutospacing="0" w:line="360" w:lineRule="auto"/>
        <w:ind w:firstLine="560"/>
        <w:jc w:val="both"/>
        <w:rPr>
          <w:rFonts w:hint="eastAsia" w:ascii="宋体" w:hAnsi="宋体" w:eastAsia="宋体" w:cs="宋体"/>
          <w:color w:val="auto"/>
          <w:shd w:val="clear" w:color="auto" w:fill="FFFFFF"/>
        </w:rPr>
      </w:pPr>
      <w:r>
        <w:rPr>
          <w:rFonts w:hint="eastAsia" w:ascii="宋体" w:hAnsi="宋体" w:eastAsia="宋体" w:cs="宋体"/>
          <w:color w:val="auto"/>
          <w:shd w:val="clear" w:color="auto" w:fill="FFFFFF"/>
        </w:rPr>
        <w:t>3.项目联系方式</w:t>
      </w:r>
    </w:p>
    <w:p w14:paraId="04106018">
      <w:pPr>
        <w:pStyle w:val="36"/>
        <w:widowControl/>
        <w:shd w:val="clear" w:color="auto" w:fill="FFFFFF"/>
        <w:spacing w:beforeAutospacing="0" w:afterAutospacing="0" w:line="360" w:lineRule="auto"/>
        <w:ind w:firstLine="560"/>
        <w:jc w:val="both"/>
        <w:rPr>
          <w:rFonts w:hint="eastAsia" w:ascii="宋体" w:hAnsi="宋体" w:eastAsia="宋体" w:cs="宋体"/>
          <w:color w:val="auto"/>
          <w:shd w:val="clear" w:color="auto" w:fill="FFFFFF"/>
        </w:rPr>
      </w:pPr>
      <w:r>
        <w:rPr>
          <w:rFonts w:hint="eastAsia" w:ascii="宋体" w:hAnsi="宋体" w:eastAsia="宋体" w:cs="宋体"/>
          <w:color w:val="auto"/>
          <w:shd w:val="clear" w:color="auto" w:fill="FFFFFF"/>
        </w:rPr>
        <w:t>项目联系人：于先生</w:t>
      </w:r>
    </w:p>
    <w:p w14:paraId="65E9ECD0">
      <w:pPr>
        <w:pStyle w:val="36"/>
        <w:widowControl/>
        <w:shd w:val="clear" w:color="auto" w:fill="FFFFFF"/>
        <w:spacing w:beforeAutospacing="0" w:afterAutospacing="0" w:line="360" w:lineRule="auto"/>
        <w:ind w:firstLine="560"/>
        <w:jc w:val="both"/>
        <w:rPr>
          <w:rFonts w:hint="eastAsia" w:ascii="宋体" w:hAnsi="宋体" w:eastAsia="宋体" w:cs="宋体"/>
          <w:color w:val="auto"/>
          <w:shd w:val="clear" w:color="auto" w:fill="FFFFFF"/>
          <w:lang w:eastAsia="zh-CN"/>
        </w:rPr>
      </w:pPr>
      <w:r>
        <w:rPr>
          <w:rFonts w:hint="eastAsia" w:ascii="宋体" w:hAnsi="宋体" w:eastAsia="宋体" w:cs="宋体"/>
          <w:color w:val="auto"/>
          <w:shd w:val="clear" w:color="auto" w:fill="FFFFFF"/>
        </w:rPr>
        <w:t>电话：18921878268</w:t>
      </w:r>
    </w:p>
    <w:bookmarkEnd w:id="198"/>
    <w:p w14:paraId="31E8C023">
      <w:pPr>
        <w:pStyle w:val="36"/>
        <w:widowControl/>
        <w:shd w:val="clear" w:color="auto" w:fill="FFFFFF"/>
        <w:spacing w:beforeAutospacing="0" w:afterAutospacing="0" w:line="360" w:lineRule="auto"/>
        <w:ind w:firstLine="560"/>
        <w:jc w:val="both"/>
        <w:rPr>
          <w:rFonts w:hint="eastAsia" w:ascii="宋体" w:hAnsi="宋体" w:eastAsia="宋体" w:cs="宋体"/>
          <w:color w:val="auto"/>
          <w:shd w:val="clear" w:color="auto" w:fill="FFFFFF"/>
          <w:lang w:eastAsia="zh-CN"/>
        </w:rPr>
      </w:pPr>
    </w:p>
    <w:p w14:paraId="32C288BE">
      <w:pPr>
        <w:rPr>
          <w:rFonts w:ascii="宋体" w:hAnsi="宋体" w:eastAsia="宋体" w:cs="宋体"/>
          <w:b/>
          <w:color w:val="auto"/>
          <w:sz w:val="24"/>
        </w:rPr>
      </w:pPr>
      <w:r>
        <w:rPr>
          <w:rFonts w:hint="eastAsia" w:ascii="宋体" w:hAnsi="宋体" w:eastAsia="宋体" w:cs="宋体"/>
          <w:color w:val="auto"/>
          <w:sz w:val="24"/>
        </w:rPr>
        <w:br w:type="page" w:clear="all"/>
      </w:r>
      <w:bookmarkStart w:id="26" w:name="_Toc120614211"/>
    </w:p>
    <w:p w14:paraId="0ECCF415">
      <w:pPr>
        <w:pStyle w:val="209"/>
        <w:rPr>
          <w:color w:val="auto"/>
        </w:rPr>
      </w:pPr>
      <w:bookmarkStart w:id="27" w:name="_Toc234256914"/>
      <w:r>
        <w:rPr>
          <w:rFonts w:hint="eastAsia"/>
          <w:color w:val="auto"/>
        </w:rPr>
        <w:t>第二章</w:t>
      </w:r>
      <w:bookmarkEnd w:id="26"/>
      <w:bookmarkStart w:id="28" w:name="_Toc16938518"/>
      <w:bookmarkStart w:id="29" w:name="_Toc120614213"/>
      <w:bookmarkStart w:id="30" w:name="_Toc20823274"/>
      <w:bookmarkStart w:id="31" w:name="_Toc513029202"/>
      <w:r>
        <w:rPr>
          <w:rFonts w:hint="eastAsia"/>
          <w:color w:val="auto"/>
        </w:rPr>
        <w:t>投标人须知</w:t>
      </w:r>
      <w:bookmarkEnd w:id="27"/>
      <w:bookmarkEnd w:id="28"/>
      <w:bookmarkEnd w:id="29"/>
      <w:bookmarkEnd w:id="30"/>
      <w:bookmarkEnd w:id="31"/>
    </w:p>
    <w:p w14:paraId="6B1A803E">
      <w:pPr>
        <w:pStyle w:val="36"/>
        <w:keepNext/>
        <w:keepLines/>
        <w:spacing w:beforeAutospacing="0" w:afterAutospacing="0" w:line="360" w:lineRule="auto"/>
        <w:ind w:firstLine="498"/>
        <w:jc w:val="both"/>
        <w:rPr>
          <w:rFonts w:ascii="宋体" w:hAnsi="宋体" w:eastAsia="宋体" w:cs="宋体"/>
          <w:color w:val="auto"/>
        </w:rPr>
      </w:pPr>
      <w:bookmarkStart w:id="32" w:name="_Toc120614214"/>
      <w:bookmarkStart w:id="33" w:name="_Toc16938519"/>
      <w:bookmarkStart w:id="34" w:name="_Toc513029203"/>
      <w:bookmarkStart w:id="35" w:name="_Toc20823275"/>
      <w:r>
        <w:rPr>
          <w:rFonts w:hint="eastAsia" w:ascii="宋体" w:hAnsi="宋体" w:eastAsia="宋体" w:cs="宋体"/>
          <w:b/>
          <w:color w:val="auto"/>
        </w:rPr>
        <w:t>一、总则</w:t>
      </w:r>
      <w:bookmarkEnd w:id="32"/>
      <w:bookmarkEnd w:id="33"/>
      <w:bookmarkEnd w:id="34"/>
      <w:bookmarkEnd w:id="35"/>
    </w:p>
    <w:p w14:paraId="2F83659D">
      <w:pPr>
        <w:pStyle w:val="36"/>
        <w:keepNext/>
        <w:keepLines/>
        <w:spacing w:beforeAutospacing="0" w:afterAutospacing="0" w:line="360" w:lineRule="auto"/>
        <w:ind w:firstLine="420"/>
        <w:jc w:val="both"/>
        <w:rPr>
          <w:rFonts w:ascii="宋体" w:hAnsi="宋体" w:eastAsia="宋体" w:cs="宋体"/>
          <w:color w:val="auto"/>
        </w:rPr>
      </w:pPr>
      <w:bookmarkStart w:id="36" w:name="_Toc20823276"/>
      <w:bookmarkStart w:id="37" w:name="_Toc458694821"/>
      <w:bookmarkStart w:id="38" w:name="_Toc16938520"/>
      <w:bookmarkStart w:id="39" w:name="_Toc513029204"/>
      <w:bookmarkStart w:id="40" w:name="_Hlt16619475"/>
      <w:r>
        <w:rPr>
          <w:rFonts w:hint="eastAsia" w:ascii="宋体" w:hAnsi="宋体" w:eastAsia="宋体" w:cs="宋体"/>
          <w:color w:val="auto"/>
        </w:rPr>
        <w:t>1</w:t>
      </w:r>
      <w:bookmarkEnd w:id="36"/>
      <w:r>
        <w:rPr>
          <w:rFonts w:hint="eastAsia" w:ascii="宋体" w:hAnsi="宋体" w:eastAsia="宋体" w:cs="宋体"/>
          <w:color w:val="auto"/>
        </w:rPr>
        <w:t>、招标方式</w:t>
      </w:r>
      <w:bookmarkEnd w:id="37"/>
      <w:bookmarkEnd w:id="38"/>
      <w:bookmarkEnd w:id="39"/>
    </w:p>
    <w:p w14:paraId="4BAB68FD">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1.1本次招标采取公开招标方式，本招标文件仅适用于招标公告中所述项目。</w:t>
      </w:r>
    </w:p>
    <w:p w14:paraId="33DDC165">
      <w:pPr>
        <w:pStyle w:val="36"/>
        <w:keepNext/>
        <w:keepLines/>
        <w:spacing w:beforeAutospacing="0" w:afterAutospacing="0" w:line="360" w:lineRule="auto"/>
        <w:ind w:firstLine="420"/>
        <w:jc w:val="both"/>
        <w:rPr>
          <w:rFonts w:ascii="宋体" w:hAnsi="宋体" w:eastAsia="宋体" w:cs="宋体"/>
          <w:color w:val="auto"/>
        </w:rPr>
      </w:pPr>
      <w:bookmarkStart w:id="41" w:name="_Toc16938521"/>
      <w:bookmarkStart w:id="42" w:name="_Toc513029205"/>
      <w:bookmarkStart w:id="43" w:name="_Toc20823277"/>
      <w:r>
        <w:rPr>
          <w:rFonts w:hint="eastAsia" w:ascii="宋体" w:hAnsi="宋体" w:eastAsia="宋体" w:cs="宋体"/>
          <w:color w:val="auto"/>
        </w:rPr>
        <w:t>2、合格的投标人</w:t>
      </w:r>
      <w:bookmarkEnd w:id="41"/>
      <w:bookmarkEnd w:id="42"/>
      <w:bookmarkEnd w:id="43"/>
    </w:p>
    <w:p w14:paraId="03C54974">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2.1满足招标公告中供应商的资格要求的规定。</w:t>
      </w:r>
    </w:p>
    <w:p w14:paraId="22C39F28">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2.2满足本文件实质性要求和条件的规定。</w:t>
      </w:r>
    </w:p>
    <w:p w14:paraId="6DB5F4AC">
      <w:pPr>
        <w:spacing w:line="360" w:lineRule="auto"/>
        <w:ind w:firstLine="420"/>
        <w:rPr>
          <w:rFonts w:ascii="宋体" w:hAnsi="宋体" w:eastAsia="宋体" w:cs="方正魏碑_GBK"/>
          <w:color w:val="auto"/>
          <w:sz w:val="24"/>
          <w:szCs w:val="21"/>
        </w:rPr>
      </w:pPr>
      <w:bookmarkStart w:id="44" w:name="_Toc16938522"/>
      <w:bookmarkStart w:id="45" w:name="_Toc20823278"/>
      <w:bookmarkStart w:id="46" w:name="_Toc513029206"/>
      <w:r>
        <w:rPr>
          <w:rFonts w:hint="eastAsia" w:ascii="宋体" w:hAnsi="宋体" w:eastAsia="宋体" w:cs="方正魏碑_GBK"/>
          <w:color w:val="auto"/>
          <w:sz w:val="24"/>
          <w:szCs w:val="21"/>
        </w:rPr>
        <w:t>3、适用法律</w:t>
      </w:r>
      <w:bookmarkEnd w:id="44"/>
      <w:bookmarkEnd w:id="45"/>
      <w:bookmarkEnd w:id="46"/>
      <w:r>
        <w:rPr>
          <w:rFonts w:hint="eastAsia" w:ascii="宋体" w:hAnsi="宋体" w:eastAsia="宋体" w:cs="方正魏碑_GBK"/>
          <w:color w:val="auto"/>
          <w:sz w:val="24"/>
          <w:szCs w:val="21"/>
        </w:rPr>
        <w:t>和标准</w:t>
      </w:r>
    </w:p>
    <w:p w14:paraId="53199BD9">
      <w:pPr>
        <w:pStyle w:val="36"/>
        <w:spacing w:beforeAutospacing="0" w:afterAutospacing="0" w:line="360" w:lineRule="auto"/>
        <w:ind w:firstLine="420"/>
        <w:jc w:val="both"/>
        <w:rPr>
          <w:rFonts w:ascii="宋体" w:hAnsi="宋体" w:eastAsia="宋体" w:cs="宋体"/>
          <w:color w:val="auto"/>
        </w:rPr>
      </w:pPr>
      <w:r>
        <w:rPr>
          <w:rFonts w:hint="eastAsia" w:ascii="宋体" w:hAnsi="宋体" w:eastAsia="宋体" w:cs="宋体"/>
          <w:color w:val="auto"/>
        </w:rPr>
        <w:t>3.1本次招标及由此产生的合同受中华人民共和国有关的法律法规制约和保护。</w:t>
      </w:r>
    </w:p>
    <w:p w14:paraId="4CC9E311">
      <w:pPr>
        <w:spacing w:line="360" w:lineRule="auto"/>
        <w:ind w:firstLine="420"/>
        <w:rPr>
          <w:rFonts w:ascii="宋体" w:hAnsi="宋体" w:eastAsia="宋体" w:cs="宋体"/>
          <w:color w:val="auto"/>
          <w:sz w:val="24"/>
        </w:rPr>
      </w:pPr>
      <w:r>
        <w:rPr>
          <w:rFonts w:hint="eastAsia" w:ascii="宋体" w:hAnsi="宋体" w:eastAsia="宋体" w:cs="方正魏碑_GBK"/>
          <w:color w:val="auto"/>
          <w:sz w:val="24"/>
          <w:szCs w:val="21"/>
        </w:rPr>
        <w:t>3.2在本项目政府采购活动过程中，如果所执行的标准有更新的，按照最新标准执行。</w:t>
      </w:r>
    </w:p>
    <w:p w14:paraId="034B2ECF">
      <w:pPr>
        <w:pStyle w:val="36"/>
        <w:keepNext/>
        <w:keepLines/>
        <w:spacing w:beforeAutospacing="0" w:afterAutospacing="0" w:line="360" w:lineRule="auto"/>
        <w:ind w:firstLine="420"/>
        <w:jc w:val="both"/>
        <w:rPr>
          <w:rFonts w:ascii="宋体" w:hAnsi="宋体" w:eastAsia="宋体" w:cs="宋体"/>
          <w:color w:val="auto"/>
        </w:rPr>
      </w:pPr>
      <w:bookmarkStart w:id="47" w:name="_Toc20823279"/>
      <w:bookmarkStart w:id="48" w:name="_Toc16938523"/>
      <w:bookmarkStart w:id="49" w:name="_Toc462564067"/>
      <w:bookmarkStart w:id="50" w:name="_Toc513029207"/>
      <w:r>
        <w:rPr>
          <w:rFonts w:hint="eastAsia" w:ascii="宋体" w:hAnsi="宋体" w:eastAsia="宋体" w:cs="宋体"/>
          <w:color w:val="auto"/>
        </w:rPr>
        <w:t>4、投标费用</w:t>
      </w:r>
      <w:bookmarkEnd w:id="47"/>
      <w:bookmarkEnd w:id="48"/>
      <w:bookmarkEnd w:id="49"/>
      <w:bookmarkEnd w:id="50"/>
    </w:p>
    <w:p w14:paraId="14BA6EEE">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4.1投标人应自行承担所有与参加投标有关的费用，无论投标过程中的做法和结果如何，</w:t>
      </w:r>
      <w:r>
        <w:rPr>
          <w:rFonts w:hint="eastAsia" w:ascii="宋体" w:hAnsi="宋体" w:eastAsia="宋体" w:cs="宋体"/>
          <w:color w:val="auto"/>
          <w:lang w:eastAsia="zh-CN"/>
        </w:rPr>
        <w:t>江苏智汇锡建工程项目管理有限公司</w:t>
      </w:r>
      <w:r>
        <w:rPr>
          <w:rFonts w:hint="eastAsia" w:ascii="宋体" w:hAnsi="宋体" w:eastAsia="宋体" w:cs="宋体"/>
          <w:color w:val="auto"/>
        </w:rPr>
        <w:t>（以下简称代理机构）在任何情况下均无义务和责任承担这些费用。</w:t>
      </w:r>
    </w:p>
    <w:p w14:paraId="4C480898">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4.2</w:t>
      </w:r>
      <w:r>
        <w:rPr>
          <w:rFonts w:hint="eastAsia" w:ascii="宋体" w:hAnsi="宋体" w:eastAsia="宋体" w:cs="宋体"/>
          <w:b/>
          <w:bCs/>
          <w:color w:val="auto"/>
          <w:lang w:val="en-US" w:eastAsia="zh-CN"/>
        </w:rPr>
        <w:t>采购代理服务费</w:t>
      </w:r>
      <w:r>
        <w:rPr>
          <w:rFonts w:hint="eastAsia" w:ascii="宋体" w:hAnsi="宋体" w:eastAsia="宋体" w:cs="宋体"/>
          <w:color w:val="auto"/>
          <w:lang w:val="en-US" w:eastAsia="zh-CN"/>
        </w:rPr>
        <w:t>：</w:t>
      </w:r>
      <w:r>
        <w:rPr>
          <w:rFonts w:hint="eastAsia" w:asciiTheme="minorEastAsia" w:hAnsiTheme="minorEastAsia" w:eastAsiaTheme="minorEastAsia" w:cstheme="minorEastAsia"/>
          <w:b w:val="0"/>
          <w:bCs w:val="0"/>
          <w:color w:val="auto"/>
          <w:sz w:val="24"/>
          <w:szCs w:val="24"/>
        </w:rPr>
        <w:t>按《江苏省政府采购代理服务收费指导意见》(苏政采协[2024]20号）的</w:t>
      </w:r>
      <w:r>
        <w:rPr>
          <w:rFonts w:hint="eastAsia" w:asciiTheme="minorEastAsia" w:hAnsiTheme="minorEastAsia" w:cstheme="minorEastAsia"/>
          <w:b w:val="0"/>
          <w:bCs w:val="0"/>
          <w:color w:val="auto"/>
          <w:sz w:val="24"/>
          <w:szCs w:val="24"/>
          <w:u w:val="single"/>
          <w:lang w:val="en-US" w:eastAsia="zh-CN"/>
        </w:rPr>
        <w:t>45</w:t>
      </w:r>
      <w:r>
        <w:rPr>
          <w:rFonts w:hint="eastAsia" w:asciiTheme="minorEastAsia" w:hAnsiTheme="minorEastAsia" w:eastAsiaTheme="minorEastAsia" w:cstheme="minorEastAsia"/>
          <w:b w:val="0"/>
          <w:bCs w:val="0"/>
          <w:color w:val="auto"/>
          <w:sz w:val="24"/>
          <w:szCs w:val="24"/>
        </w:rPr>
        <w:t>%收取代理费用，（单个项目费用低于3000元</w:t>
      </w:r>
      <w:r>
        <w:rPr>
          <w:rFonts w:hint="eastAsia" w:asciiTheme="minorEastAsia" w:hAnsiTheme="minorEastAsia" w:cstheme="minorEastAsia"/>
          <w:b w:val="0"/>
          <w:bCs w:val="0"/>
          <w:color w:val="auto"/>
          <w:sz w:val="24"/>
          <w:szCs w:val="24"/>
          <w:lang w:eastAsia="zh-CN"/>
        </w:rPr>
        <w:t>的</w:t>
      </w:r>
      <w:r>
        <w:rPr>
          <w:rFonts w:hint="eastAsia" w:asciiTheme="minorEastAsia" w:hAnsiTheme="minorEastAsia" w:cstheme="minorEastAsia"/>
          <w:b w:val="0"/>
          <w:bCs w:val="0"/>
          <w:color w:val="auto"/>
          <w:sz w:val="24"/>
          <w:szCs w:val="24"/>
          <w:lang w:val="en-US" w:eastAsia="zh-CN"/>
        </w:rPr>
        <w:t>按3000元结算</w:t>
      </w:r>
      <w:r>
        <w:rPr>
          <w:rFonts w:hint="eastAsia" w:asciiTheme="minorEastAsia" w:hAnsiTheme="minorEastAsia" w:eastAsiaTheme="minorEastAsia" w:cstheme="minorEastAsia"/>
          <w:b w:val="0"/>
          <w:bCs w:val="0"/>
          <w:color w:val="auto"/>
          <w:sz w:val="24"/>
          <w:szCs w:val="24"/>
        </w:rPr>
        <w:t>）</w:t>
      </w:r>
      <w:r>
        <w:rPr>
          <w:rFonts w:hint="eastAsia" w:ascii="宋体" w:hAnsi="宋体" w:eastAsia="宋体" w:cs="宋体"/>
          <w:color w:val="auto"/>
        </w:rPr>
        <w:t>。招标完成后由采购人向代理机构支付</w:t>
      </w:r>
      <w:r>
        <w:rPr>
          <w:rFonts w:hint="eastAsia" w:ascii="宋体" w:hAnsi="宋体" w:eastAsia="宋体" w:cs="宋体"/>
          <w:color w:val="auto"/>
          <w:lang w:eastAsia="zh-CN"/>
        </w:rPr>
        <w:t>，</w:t>
      </w:r>
      <w:r>
        <w:rPr>
          <w:rFonts w:hint="eastAsia" w:ascii="宋体" w:hAnsi="宋体" w:eastAsia="宋体" w:cs="宋体"/>
          <w:color w:val="auto"/>
          <w:lang w:val="en-US" w:eastAsia="zh-CN"/>
        </w:rPr>
        <w:t>投标人无需考虑此费用</w:t>
      </w:r>
      <w:r>
        <w:rPr>
          <w:rFonts w:hint="eastAsia" w:ascii="宋体" w:hAnsi="宋体" w:eastAsia="宋体" w:cs="宋体"/>
          <w:color w:val="auto"/>
        </w:rPr>
        <w:t>。</w:t>
      </w:r>
    </w:p>
    <w:p w14:paraId="60D028E2">
      <w:pPr>
        <w:pStyle w:val="36"/>
        <w:keepNext/>
        <w:keepLines/>
        <w:spacing w:beforeAutospacing="0" w:afterAutospacing="0" w:line="360" w:lineRule="auto"/>
        <w:ind w:firstLine="482"/>
        <w:jc w:val="both"/>
        <w:rPr>
          <w:rFonts w:ascii="宋体" w:hAnsi="宋体" w:eastAsia="宋体" w:cs="宋体"/>
          <w:color w:val="auto"/>
        </w:rPr>
      </w:pPr>
      <w:r>
        <w:rPr>
          <w:rFonts w:hint="eastAsia" w:ascii="宋体" w:hAnsi="宋体" w:eastAsia="宋体" w:cs="宋体"/>
          <w:b/>
          <w:color w:val="auto"/>
        </w:rPr>
        <w:t>5、</w:t>
      </w:r>
      <w:r>
        <w:rPr>
          <w:rFonts w:hint="eastAsia" w:ascii="宋体" w:hAnsi="宋体" w:eastAsia="宋体" w:cs="宋体"/>
          <w:color w:val="auto"/>
        </w:rPr>
        <w:t>招标文件的约束力</w:t>
      </w:r>
    </w:p>
    <w:p w14:paraId="09917BBB">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5.1投标人一旦参加本项目采购活动，即被认为接受了本招标文件的规定和约束。</w:t>
      </w:r>
    </w:p>
    <w:p w14:paraId="7C6D3E3B">
      <w:pPr>
        <w:pStyle w:val="36"/>
        <w:keepNext/>
        <w:keepLines/>
        <w:spacing w:beforeAutospacing="0" w:afterAutospacing="0" w:line="360" w:lineRule="auto"/>
        <w:ind w:firstLine="321"/>
        <w:jc w:val="both"/>
        <w:rPr>
          <w:rFonts w:ascii="宋体" w:hAnsi="宋体" w:eastAsia="宋体" w:cs="宋体"/>
          <w:color w:val="auto"/>
        </w:rPr>
      </w:pPr>
      <w:bookmarkStart w:id="51" w:name="_Toc120614215"/>
      <w:bookmarkStart w:id="52" w:name="_Toc20823281"/>
      <w:bookmarkStart w:id="53" w:name="_Toc16938525"/>
      <w:bookmarkStart w:id="54" w:name="_Toc513029209"/>
      <w:r>
        <w:rPr>
          <w:rFonts w:hint="eastAsia" w:ascii="宋体" w:hAnsi="宋体" w:eastAsia="宋体" w:cs="宋体"/>
          <w:b/>
          <w:color w:val="auto"/>
        </w:rPr>
        <w:t>二、招标文件</w:t>
      </w:r>
      <w:bookmarkEnd w:id="51"/>
      <w:bookmarkEnd w:id="52"/>
      <w:bookmarkEnd w:id="53"/>
      <w:bookmarkEnd w:id="54"/>
    </w:p>
    <w:p w14:paraId="559A6800">
      <w:pPr>
        <w:pStyle w:val="36"/>
        <w:keepNext/>
        <w:keepLines/>
        <w:spacing w:beforeAutospacing="0" w:afterAutospacing="0" w:line="360" w:lineRule="auto"/>
        <w:ind w:firstLine="420"/>
        <w:jc w:val="both"/>
        <w:rPr>
          <w:rFonts w:ascii="宋体" w:hAnsi="宋体" w:eastAsia="宋体" w:cs="宋体"/>
          <w:color w:val="auto"/>
        </w:rPr>
      </w:pPr>
      <w:bookmarkStart w:id="55" w:name="_Toc513029210"/>
      <w:bookmarkStart w:id="56" w:name="_Toc16938526"/>
      <w:bookmarkStart w:id="57" w:name="_Toc20823282"/>
      <w:r>
        <w:rPr>
          <w:rFonts w:hint="eastAsia" w:ascii="宋体" w:hAnsi="宋体" w:eastAsia="宋体" w:cs="宋体"/>
          <w:color w:val="auto"/>
        </w:rPr>
        <w:t>6、招标文件构成</w:t>
      </w:r>
      <w:bookmarkEnd w:id="55"/>
      <w:bookmarkEnd w:id="56"/>
      <w:bookmarkEnd w:id="57"/>
    </w:p>
    <w:p w14:paraId="74C74DE9">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6.1招标文件由以下部分组成：</w:t>
      </w:r>
    </w:p>
    <w:p w14:paraId="7AE83526">
      <w:pPr>
        <w:pStyle w:val="36"/>
        <w:spacing w:beforeAutospacing="0" w:afterAutospacing="0" w:line="360" w:lineRule="auto"/>
        <w:ind w:firstLine="360"/>
        <w:jc w:val="both"/>
        <w:rPr>
          <w:rFonts w:ascii="宋体" w:hAnsi="宋体" w:eastAsia="宋体" w:cs="宋体"/>
          <w:color w:val="auto"/>
        </w:rPr>
      </w:pPr>
      <w:r>
        <w:rPr>
          <w:rFonts w:hint="eastAsia" w:ascii="宋体" w:hAnsi="宋体" w:eastAsia="宋体" w:cs="宋体"/>
          <w:color w:val="auto"/>
        </w:rPr>
        <w:t>（1）招标公告</w:t>
      </w:r>
    </w:p>
    <w:p w14:paraId="5984B127">
      <w:pPr>
        <w:pStyle w:val="36"/>
        <w:spacing w:beforeAutospacing="0" w:afterAutospacing="0" w:line="360" w:lineRule="auto"/>
        <w:ind w:firstLine="360"/>
        <w:jc w:val="both"/>
        <w:rPr>
          <w:rFonts w:ascii="宋体" w:hAnsi="宋体" w:eastAsia="宋体" w:cs="宋体"/>
          <w:color w:val="auto"/>
        </w:rPr>
      </w:pPr>
      <w:r>
        <w:rPr>
          <w:rFonts w:hint="eastAsia" w:ascii="宋体" w:hAnsi="宋体" w:eastAsia="宋体" w:cs="宋体"/>
          <w:color w:val="auto"/>
        </w:rPr>
        <w:t>（2）投标人须知</w:t>
      </w:r>
    </w:p>
    <w:p w14:paraId="195824C0">
      <w:pPr>
        <w:pStyle w:val="36"/>
        <w:spacing w:beforeAutospacing="0" w:afterAutospacing="0" w:line="360" w:lineRule="auto"/>
        <w:ind w:firstLine="360"/>
        <w:jc w:val="both"/>
        <w:rPr>
          <w:rFonts w:ascii="宋体" w:hAnsi="宋体" w:eastAsia="宋体" w:cs="宋体"/>
          <w:color w:val="auto"/>
        </w:rPr>
      </w:pPr>
      <w:r>
        <w:rPr>
          <w:rFonts w:hint="eastAsia" w:ascii="宋体" w:hAnsi="宋体" w:eastAsia="宋体" w:cs="宋体"/>
          <w:color w:val="auto"/>
        </w:rPr>
        <w:t>（3）合同文本</w:t>
      </w:r>
    </w:p>
    <w:p w14:paraId="0888C123">
      <w:pPr>
        <w:pStyle w:val="36"/>
        <w:spacing w:beforeAutospacing="0" w:afterAutospacing="0" w:line="360" w:lineRule="auto"/>
        <w:ind w:firstLine="360"/>
        <w:jc w:val="both"/>
        <w:rPr>
          <w:rFonts w:ascii="宋体" w:hAnsi="宋体" w:eastAsia="宋体" w:cs="宋体"/>
          <w:color w:val="auto"/>
        </w:rPr>
      </w:pPr>
      <w:r>
        <w:rPr>
          <w:rFonts w:hint="eastAsia" w:ascii="宋体" w:hAnsi="宋体" w:eastAsia="宋体" w:cs="宋体"/>
          <w:color w:val="auto"/>
        </w:rPr>
        <w:t>（4）采购需求</w:t>
      </w:r>
    </w:p>
    <w:p w14:paraId="216978CD">
      <w:pPr>
        <w:pStyle w:val="36"/>
        <w:spacing w:beforeAutospacing="0" w:afterAutospacing="0" w:line="360" w:lineRule="auto"/>
        <w:ind w:firstLine="360"/>
        <w:jc w:val="both"/>
        <w:rPr>
          <w:rFonts w:ascii="宋体" w:hAnsi="宋体" w:eastAsia="宋体" w:cs="宋体"/>
          <w:color w:val="auto"/>
        </w:rPr>
      </w:pPr>
      <w:r>
        <w:rPr>
          <w:rFonts w:hint="eastAsia" w:ascii="宋体" w:hAnsi="宋体" w:eastAsia="宋体" w:cs="宋体"/>
          <w:color w:val="auto"/>
        </w:rPr>
        <w:t>（5）评标方法与评标标准</w:t>
      </w:r>
    </w:p>
    <w:p w14:paraId="3DBAFFA9">
      <w:pPr>
        <w:pStyle w:val="36"/>
        <w:spacing w:beforeAutospacing="0" w:afterAutospacing="0" w:line="360" w:lineRule="auto"/>
        <w:ind w:firstLine="360"/>
        <w:jc w:val="both"/>
        <w:rPr>
          <w:rFonts w:ascii="宋体" w:hAnsi="宋体" w:eastAsia="宋体" w:cs="宋体"/>
          <w:color w:val="auto"/>
        </w:rPr>
      </w:pPr>
      <w:r>
        <w:rPr>
          <w:rFonts w:hint="eastAsia" w:ascii="宋体" w:hAnsi="宋体" w:eastAsia="宋体" w:cs="宋体"/>
          <w:color w:val="auto"/>
        </w:rPr>
        <w:t>（6）投标文件格式</w:t>
      </w:r>
    </w:p>
    <w:p w14:paraId="37716936">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请仔细检查招标文件是否齐全，如有缺漏请立即与代理机构联系解决。</w:t>
      </w:r>
    </w:p>
    <w:p w14:paraId="1A019E60">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6.2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14:paraId="1FE627D3">
      <w:pPr>
        <w:pStyle w:val="36"/>
        <w:keepNext/>
        <w:keepLines/>
        <w:spacing w:beforeAutospacing="0" w:afterAutospacing="0" w:line="360" w:lineRule="auto"/>
        <w:ind w:firstLine="560"/>
        <w:jc w:val="both"/>
        <w:rPr>
          <w:rFonts w:ascii="宋体" w:hAnsi="宋体" w:eastAsia="宋体" w:cs="宋体"/>
          <w:color w:val="auto"/>
        </w:rPr>
      </w:pPr>
      <w:bookmarkStart w:id="58" w:name="_Toc513029211"/>
      <w:bookmarkStart w:id="59" w:name="_Toc462564070"/>
      <w:bookmarkStart w:id="60" w:name="_Toc16938527"/>
      <w:bookmarkStart w:id="61" w:name="_Toc20823283"/>
      <w:r>
        <w:rPr>
          <w:rFonts w:hint="eastAsia" w:ascii="宋体" w:hAnsi="宋体" w:eastAsia="宋体" w:cs="宋体"/>
          <w:color w:val="auto"/>
        </w:rPr>
        <w:t>7、招标文件的澄清</w:t>
      </w:r>
      <w:bookmarkEnd w:id="58"/>
      <w:bookmarkEnd w:id="59"/>
      <w:bookmarkEnd w:id="60"/>
      <w:bookmarkEnd w:id="61"/>
    </w:p>
    <w:p w14:paraId="61F966C3">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7.1任何要求对招标文件进行澄清的投标人，应在投标截止期</w:t>
      </w:r>
      <w:r>
        <w:rPr>
          <w:rFonts w:hint="eastAsia" w:ascii="宋体" w:hAnsi="宋体" w:eastAsia="宋体" w:cs="宋体"/>
          <w:b/>
          <w:color w:val="auto"/>
        </w:rPr>
        <w:t>十日</w:t>
      </w:r>
      <w:r>
        <w:rPr>
          <w:rFonts w:hint="eastAsia" w:ascii="宋体" w:hAnsi="宋体" w:eastAsia="宋体" w:cs="宋体"/>
          <w:color w:val="auto"/>
        </w:rPr>
        <w:t>前按招标公告中的通讯地址，以书面形式通知代理机构。</w:t>
      </w:r>
    </w:p>
    <w:p w14:paraId="747A9840">
      <w:pPr>
        <w:pStyle w:val="36"/>
        <w:keepNext/>
        <w:keepLines/>
        <w:spacing w:beforeAutospacing="0" w:afterAutospacing="0" w:line="360" w:lineRule="auto"/>
        <w:ind w:firstLine="560"/>
        <w:jc w:val="both"/>
        <w:rPr>
          <w:rFonts w:ascii="宋体" w:hAnsi="宋体" w:eastAsia="宋体" w:cs="宋体"/>
          <w:color w:val="auto"/>
        </w:rPr>
      </w:pPr>
      <w:bookmarkStart w:id="62" w:name="_Toc20823284"/>
      <w:bookmarkStart w:id="63" w:name="_Toc462564071"/>
      <w:bookmarkStart w:id="64" w:name="_Toc16938528"/>
      <w:bookmarkStart w:id="65" w:name="_Toc513029212"/>
      <w:r>
        <w:rPr>
          <w:rFonts w:hint="eastAsia" w:ascii="宋体" w:hAnsi="宋体" w:eastAsia="宋体" w:cs="宋体"/>
          <w:color w:val="auto"/>
        </w:rPr>
        <w:t>8、招标文件的修改</w:t>
      </w:r>
      <w:bookmarkEnd w:id="62"/>
      <w:bookmarkEnd w:id="63"/>
      <w:bookmarkEnd w:id="64"/>
      <w:bookmarkEnd w:id="65"/>
    </w:p>
    <w:p w14:paraId="5AA8026C">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8.1在投标截止时间前，代理机构可以对招标文件进行修改。</w:t>
      </w:r>
    </w:p>
    <w:p w14:paraId="5FCE32A3">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8.2代理机构有权按照法定的要求推迟投标截止日期和开标日期。</w:t>
      </w:r>
    </w:p>
    <w:p w14:paraId="4E538C03">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8.3招标文件的修改将在中国政府采购网</w:t>
      </w:r>
      <w:r>
        <w:rPr>
          <w:rFonts w:hint="eastAsia" w:ascii="宋体" w:hAnsi="宋体" w:eastAsia="宋体" w:cs="宋体"/>
          <w:color w:val="auto"/>
          <w:shd w:val="clear" w:color="auto" w:fill="FFFFFF"/>
        </w:rPr>
        <w:t>、</w:t>
      </w:r>
      <w:r>
        <w:rPr>
          <w:rFonts w:hint="eastAsia" w:ascii="宋体" w:hAnsi="宋体" w:eastAsia="宋体" w:cs="宋体"/>
          <w:color w:val="auto"/>
        </w:rPr>
        <w:t>江苏政府采购网、盐城市政府采购网公布，补充文件将作为招标文件的组成部分，并对投标人具有约束力。</w:t>
      </w:r>
    </w:p>
    <w:p w14:paraId="05E34397">
      <w:pPr>
        <w:pStyle w:val="36"/>
        <w:keepNext/>
        <w:keepLines/>
        <w:spacing w:beforeAutospacing="0" w:afterAutospacing="0" w:line="360" w:lineRule="auto"/>
        <w:ind w:firstLine="482"/>
        <w:jc w:val="both"/>
        <w:rPr>
          <w:rFonts w:ascii="宋体" w:hAnsi="宋体" w:eastAsia="宋体" w:cs="宋体"/>
          <w:color w:val="auto"/>
        </w:rPr>
      </w:pPr>
      <w:bookmarkStart w:id="66" w:name="_Toc120614216"/>
      <w:bookmarkStart w:id="67" w:name="_Toc462564072"/>
      <w:bookmarkStart w:id="68" w:name="_Toc20823285"/>
      <w:bookmarkStart w:id="69" w:name="_Toc513029213"/>
      <w:bookmarkStart w:id="70" w:name="_Toc16938529"/>
      <w:r>
        <w:rPr>
          <w:rFonts w:hint="eastAsia" w:ascii="宋体" w:hAnsi="宋体" w:eastAsia="宋体" w:cs="宋体"/>
          <w:b/>
          <w:color w:val="auto"/>
        </w:rPr>
        <w:t>三、投标文件的编制</w:t>
      </w:r>
      <w:bookmarkEnd w:id="66"/>
      <w:bookmarkEnd w:id="67"/>
      <w:bookmarkEnd w:id="68"/>
      <w:bookmarkEnd w:id="69"/>
      <w:bookmarkEnd w:id="70"/>
    </w:p>
    <w:p w14:paraId="3D32E024">
      <w:pPr>
        <w:pStyle w:val="36"/>
        <w:keepNext/>
        <w:keepLines/>
        <w:spacing w:beforeAutospacing="0" w:afterAutospacing="0" w:line="360" w:lineRule="auto"/>
        <w:ind w:firstLine="560"/>
        <w:jc w:val="both"/>
        <w:rPr>
          <w:rFonts w:ascii="宋体" w:hAnsi="宋体" w:eastAsia="宋体" w:cs="宋体"/>
          <w:color w:val="auto"/>
        </w:rPr>
      </w:pPr>
      <w:bookmarkStart w:id="71" w:name="_Toc16938530"/>
      <w:bookmarkStart w:id="72" w:name="_Toc462564073"/>
      <w:bookmarkStart w:id="73" w:name="_Toc513029214"/>
      <w:bookmarkStart w:id="74" w:name="_Toc20823286"/>
      <w:r>
        <w:rPr>
          <w:rFonts w:hint="eastAsia" w:ascii="宋体" w:hAnsi="宋体" w:eastAsia="宋体" w:cs="宋体"/>
          <w:color w:val="auto"/>
        </w:rPr>
        <w:t>9、投标文件的语言及度量衡单位</w:t>
      </w:r>
      <w:bookmarkEnd w:id="71"/>
      <w:bookmarkEnd w:id="72"/>
      <w:bookmarkEnd w:id="73"/>
      <w:bookmarkEnd w:id="74"/>
    </w:p>
    <w:p w14:paraId="3DD398E2">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9.1投标人提交的投标文件以及投标人与代理机构就有关投标的所有来往通知、函件和文件均应使用</w:t>
      </w:r>
      <w:r>
        <w:rPr>
          <w:rFonts w:hint="eastAsia" w:ascii="宋体" w:hAnsi="宋体" w:eastAsia="宋体" w:cs="宋体"/>
          <w:b/>
          <w:color w:val="auto"/>
        </w:rPr>
        <w:t>简体中文</w:t>
      </w:r>
      <w:r>
        <w:rPr>
          <w:rFonts w:hint="eastAsia" w:ascii="宋体" w:hAnsi="宋体" w:eastAsia="宋体" w:cs="宋体"/>
          <w:color w:val="auto"/>
        </w:rPr>
        <w:t>。</w:t>
      </w:r>
    </w:p>
    <w:p w14:paraId="07418AC9">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9.2除技术性能另有规定外，投标文件所使用的度量衡单位，均须采用国家法定计量单位。</w:t>
      </w:r>
    </w:p>
    <w:p w14:paraId="17136B04">
      <w:pPr>
        <w:pStyle w:val="36"/>
        <w:keepNext/>
        <w:keepLines/>
        <w:spacing w:beforeAutospacing="0" w:afterAutospacing="0" w:line="360" w:lineRule="auto"/>
        <w:ind w:firstLine="420"/>
        <w:jc w:val="both"/>
        <w:rPr>
          <w:rFonts w:ascii="宋体" w:hAnsi="宋体" w:eastAsia="宋体" w:cs="宋体"/>
          <w:color w:val="auto"/>
        </w:rPr>
      </w:pPr>
      <w:bookmarkStart w:id="75" w:name="_Toc513029215"/>
      <w:bookmarkStart w:id="76" w:name="_Toc462564074"/>
      <w:bookmarkStart w:id="77" w:name="_Toc16938531"/>
      <w:bookmarkStart w:id="78" w:name="_Toc20823287"/>
      <w:r>
        <w:rPr>
          <w:rFonts w:hint="eastAsia" w:ascii="宋体" w:hAnsi="宋体" w:eastAsia="宋体" w:cs="宋体"/>
          <w:color w:val="auto"/>
        </w:rPr>
        <w:t>10、投标文件构成</w:t>
      </w:r>
      <w:bookmarkEnd w:id="75"/>
      <w:bookmarkEnd w:id="76"/>
      <w:bookmarkEnd w:id="77"/>
      <w:bookmarkEnd w:id="78"/>
    </w:p>
    <w:p w14:paraId="344A5251">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10.1投标人编写的投标文件应包括资格证明文件、符合性证明文件、投标分项报价表、技术要求响应及偏离表、商务要求响应及偏离表、其他证明文件、投标函、开标一览表等部分。</w:t>
      </w:r>
    </w:p>
    <w:p w14:paraId="4E7B7465">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10.2如标书制作工具中格式和内容与</w:t>
      </w:r>
      <w:r>
        <w:rPr>
          <w:rFonts w:hint="eastAsia" w:ascii="宋体" w:hAnsi="宋体" w:eastAsia="宋体" w:cs="宋体"/>
          <w:color w:val="auto"/>
          <w:shd w:val="clear" w:color="auto" w:fill="FFFFFF"/>
        </w:rPr>
        <w:t>“</w:t>
      </w:r>
      <w:r>
        <w:rPr>
          <w:rFonts w:hint="eastAsia" w:ascii="宋体" w:hAnsi="宋体" w:eastAsia="宋体" w:cs="宋体"/>
          <w:color w:val="auto"/>
        </w:rPr>
        <w:t>中国政府采购网”“江苏政府采购网”“盐城市政府采购网</w:t>
      </w:r>
      <w:r>
        <w:rPr>
          <w:rFonts w:hint="eastAsia" w:ascii="宋体" w:hAnsi="宋体" w:eastAsia="宋体" w:cs="宋体"/>
          <w:color w:val="auto"/>
          <w:shd w:val="clear" w:color="auto" w:fill="FFFFFF"/>
        </w:rPr>
        <w:t>”</w:t>
      </w:r>
      <w:r>
        <w:rPr>
          <w:rFonts w:hint="eastAsia" w:ascii="宋体" w:hAnsi="宋体" w:eastAsia="宋体" w:cs="宋体"/>
          <w:color w:val="auto"/>
        </w:rPr>
        <w:t>发布的招标文件不一致，请以中国政府采购网”“江苏政府采购网”“盐城市政府采购网</w:t>
      </w:r>
      <w:r>
        <w:rPr>
          <w:rFonts w:hint="eastAsia" w:ascii="宋体" w:hAnsi="宋体" w:eastAsia="宋体" w:cs="宋体"/>
          <w:color w:val="auto"/>
          <w:shd w:val="clear" w:color="auto" w:fill="FFFFFF"/>
        </w:rPr>
        <w:t>”</w:t>
      </w:r>
      <w:r>
        <w:rPr>
          <w:rFonts w:hint="eastAsia" w:ascii="宋体" w:hAnsi="宋体" w:eastAsia="宋体" w:cs="宋体"/>
          <w:color w:val="auto"/>
        </w:rPr>
        <w:t>发布的招标文件为准。</w:t>
      </w:r>
    </w:p>
    <w:p w14:paraId="1BBD495A">
      <w:pPr>
        <w:pStyle w:val="36"/>
        <w:keepNext/>
        <w:keepLines/>
        <w:spacing w:beforeAutospacing="0" w:afterAutospacing="0" w:line="360" w:lineRule="auto"/>
        <w:ind w:firstLine="420"/>
        <w:jc w:val="both"/>
        <w:rPr>
          <w:rFonts w:ascii="宋体" w:hAnsi="宋体" w:eastAsia="宋体" w:cs="宋体"/>
          <w:color w:val="auto"/>
        </w:rPr>
      </w:pPr>
      <w:bookmarkStart w:id="79" w:name="_Toc49090507"/>
      <w:bookmarkStart w:id="80" w:name="_Toc513029216"/>
      <w:bookmarkStart w:id="81" w:name="_Toc14577354"/>
      <w:bookmarkStart w:id="82" w:name="_Toc14577355"/>
      <w:bookmarkStart w:id="83" w:name="_Toc49090509"/>
      <w:bookmarkStart w:id="84" w:name="_Toc14577357"/>
      <w:bookmarkStart w:id="85" w:name="_Toc49090508"/>
      <w:bookmarkStart w:id="86" w:name="_Toc513029219"/>
      <w:bookmarkStart w:id="87" w:name="_Hlt26670360"/>
      <w:bookmarkStart w:id="88" w:name="_Hlt26954838"/>
      <w:bookmarkStart w:id="89" w:name="_Hlt26668975"/>
      <w:r>
        <w:rPr>
          <w:rFonts w:hint="eastAsia" w:ascii="宋体" w:hAnsi="宋体" w:eastAsia="宋体" w:cs="宋体"/>
          <w:color w:val="auto"/>
        </w:rPr>
        <w:t>11、证明投标人及投标标的符合招标文件规定的文件</w:t>
      </w:r>
      <w:bookmarkEnd w:id="79"/>
      <w:bookmarkEnd w:id="80"/>
      <w:bookmarkEnd w:id="81"/>
      <w:bookmarkEnd w:id="82"/>
      <w:bookmarkEnd w:id="83"/>
      <w:bookmarkEnd w:id="84"/>
      <w:bookmarkEnd w:id="85"/>
      <w:bookmarkEnd w:id="86"/>
    </w:p>
    <w:p w14:paraId="00D1DCD3">
      <w:pPr>
        <w:pStyle w:val="36"/>
        <w:spacing w:beforeAutospacing="0" w:afterAutospacing="0" w:line="360" w:lineRule="auto"/>
        <w:jc w:val="both"/>
        <w:rPr>
          <w:rFonts w:ascii="宋体" w:hAnsi="宋体" w:eastAsia="宋体" w:cs="宋体"/>
          <w:color w:val="auto"/>
        </w:rPr>
      </w:pPr>
      <w:r>
        <w:rPr>
          <w:rFonts w:hint="eastAsia" w:ascii="宋体" w:hAnsi="宋体" w:eastAsia="宋体" w:cs="宋体"/>
          <w:color w:val="auto"/>
        </w:rPr>
        <w:t>11.1投标人应按照招标文件要求提交证明文件，证明其及投标标的符合招标文件规定。</w:t>
      </w:r>
    </w:p>
    <w:p w14:paraId="69223FBF">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11.2招标文件对证明文件无明确形式要求的，证明文件可以以文字资料、图纸和数据等形式提交。</w:t>
      </w:r>
    </w:p>
    <w:p w14:paraId="567172CA">
      <w:pPr>
        <w:pStyle w:val="36"/>
        <w:keepNext/>
        <w:keepLines/>
        <w:spacing w:beforeAutospacing="0" w:afterAutospacing="0" w:line="360" w:lineRule="auto"/>
        <w:ind w:firstLine="420"/>
        <w:jc w:val="both"/>
        <w:rPr>
          <w:rFonts w:ascii="宋体" w:hAnsi="宋体" w:eastAsia="宋体" w:cs="宋体"/>
          <w:color w:val="auto"/>
        </w:rPr>
      </w:pPr>
      <w:r>
        <w:rPr>
          <w:rFonts w:hint="eastAsia" w:ascii="宋体" w:hAnsi="宋体" w:eastAsia="宋体" w:cs="宋体"/>
          <w:color w:val="auto"/>
        </w:rPr>
        <w:t>12、投标分项报价表</w:t>
      </w:r>
    </w:p>
    <w:p w14:paraId="43351477">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12.1投标人应按照招标文件规定格式填报投标分项报价表。</w:t>
      </w:r>
    </w:p>
    <w:p w14:paraId="70FF88FB">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12.2投标货币。投标文件中的单价和总价无特殊规定的采用人民币报价，以元为单位标注。招标文件中另有规定的按规定执行。</w:t>
      </w:r>
    </w:p>
    <w:p w14:paraId="5290B6F4">
      <w:pPr>
        <w:pStyle w:val="36"/>
        <w:keepNext/>
        <w:keepLines/>
        <w:spacing w:beforeAutospacing="0" w:afterAutospacing="0" w:line="360" w:lineRule="auto"/>
        <w:ind w:firstLine="420"/>
        <w:jc w:val="both"/>
        <w:rPr>
          <w:rFonts w:ascii="宋体" w:hAnsi="宋体" w:eastAsia="宋体" w:cs="宋体"/>
          <w:color w:val="auto"/>
        </w:rPr>
      </w:pPr>
      <w:bookmarkStart w:id="90" w:name="_Hlt26954846"/>
      <w:bookmarkStart w:id="91" w:name="_Hlt26954848"/>
      <w:bookmarkStart w:id="92" w:name="_Hlt26670482"/>
      <w:bookmarkStart w:id="93" w:name="_Hlt26670486"/>
      <w:bookmarkStart w:id="94" w:name="_Hlt26954731"/>
      <w:r>
        <w:rPr>
          <w:rFonts w:hint="eastAsia" w:ascii="宋体" w:hAnsi="宋体" w:eastAsia="宋体" w:cs="宋体"/>
          <w:color w:val="auto"/>
        </w:rPr>
        <w:t>13、技术要求响应及偏离表、商务要求响应及偏离表</w:t>
      </w:r>
    </w:p>
    <w:p w14:paraId="25CF0D94">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13.1投标人需对招标文件中的技术要求与商务要求逐项作出响应或偏离，并说明原因。</w:t>
      </w:r>
    </w:p>
    <w:p w14:paraId="3B473DBF">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13.2投标人可在投标文件中提供认为需要的其他技术文件或说明。</w:t>
      </w:r>
    </w:p>
    <w:p w14:paraId="12843151">
      <w:pPr>
        <w:pStyle w:val="36"/>
        <w:keepNext/>
        <w:keepLines/>
        <w:spacing w:beforeAutospacing="0" w:afterAutospacing="0" w:line="360" w:lineRule="auto"/>
        <w:ind w:firstLine="420"/>
        <w:jc w:val="both"/>
        <w:rPr>
          <w:rFonts w:ascii="宋体" w:hAnsi="宋体" w:eastAsia="宋体" w:cs="宋体"/>
          <w:color w:val="auto"/>
        </w:rPr>
      </w:pPr>
      <w:r>
        <w:rPr>
          <w:rFonts w:hint="eastAsia" w:ascii="宋体" w:hAnsi="宋体" w:eastAsia="宋体" w:cs="宋体"/>
          <w:color w:val="auto"/>
        </w:rPr>
        <w:t>14、服务承诺、培训计划、人员安排及其他</w:t>
      </w:r>
    </w:p>
    <w:p w14:paraId="6C012CE0">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14.1投标人需根据招标文件要求提供有关售后服务的管理制度，售后服务机构的分布情况，售后服务人员的数量、素质、技术水平及售后服务的反应能力等。</w:t>
      </w:r>
    </w:p>
    <w:p w14:paraId="71D94816">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14.2投标人需根据招标文件要求提供培训计划。</w:t>
      </w:r>
    </w:p>
    <w:p w14:paraId="51B9D82A">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14.3投标人需根据招标文件要求提供所投标的的主要组成部分、功能设计、实现思路及关键技术等。</w:t>
      </w:r>
    </w:p>
    <w:p w14:paraId="6238C320">
      <w:pPr>
        <w:pStyle w:val="36"/>
        <w:keepNext/>
        <w:keepLines/>
        <w:spacing w:beforeAutospacing="0" w:afterAutospacing="0" w:line="360" w:lineRule="auto"/>
        <w:ind w:firstLine="420"/>
        <w:jc w:val="both"/>
        <w:rPr>
          <w:rFonts w:ascii="宋体" w:hAnsi="宋体" w:eastAsia="宋体" w:cs="宋体"/>
          <w:color w:val="auto"/>
        </w:rPr>
      </w:pPr>
      <w:bookmarkStart w:id="95" w:name="_Toc14577359"/>
      <w:bookmarkStart w:id="96" w:name="_Toc49090510"/>
      <w:r>
        <w:rPr>
          <w:rFonts w:hint="eastAsia" w:ascii="宋体" w:hAnsi="宋体" w:eastAsia="宋体" w:cs="宋体"/>
          <w:color w:val="auto"/>
        </w:rPr>
        <w:t>15、投标函和开标一览表</w:t>
      </w:r>
      <w:bookmarkEnd w:id="95"/>
      <w:bookmarkEnd w:id="96"/>
    </w:p>
    <w:p w14:paraId="32F03A5A">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15.1投标人应按照招标文件中提供的格式完整、正确填写投标函、开标一览表。</w:t>
      </w:r>
    </w:p>
    <w:p w14:paraId="0338C80A">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15.2对于采用货币报价的项目，开标一览表中的投标总报价应与投标分项报价表中的投标总报价一致，如不一致，不作为无效投标处理，但评标时按开标一览表中价格为准。</w:t>
      </w:r>
    </w:p>
    <w:p w14:paraId="52AD9619">
      <w:pPr>
        <w:pStyle w:val="36"/>
        <w:keepNext/>
        <w:keepLines/>
        <w:spacing w:beforeAutospacing="0" w:afterAutospacing="0" w:line="360" w:lineRule="auto"/>
        <w:ind w:firstLine="420"/>
        <w:jc w:val="both"/>
        <w:rPr>
          <w:rFonts w:ascii="宋体" w:hAnsi="宋体" w:eastAsia="宋体" w:cs="宋体"/>
          <w:color w:val="auto"/>
        </w:rPr>
      </w:pPr>
      <w:bookmarkStart w:id="97" w:name="_Toc14577360"/>
      <w:bookmarkStart w:id="98" w:name="_Toc49090511"/>
      <w:r>
        <w:rPr>
          <w:rFonts w:hint="eastAsia" w:ascii="宋体" w:hAnsi="宋体" w:eastAsia="宋体" w:cs="宋体"/>
          <w:color w:val="auto"/>
        </w:rPr>
        <w:t>16、投标有效期</w:t>
      </w:r>
      <w:bookmarkEnd w:id="97"/>
      <w:bookmarkEnd w:id="98"/>
    </w:p>
    <w:p w14:paraId="5F284081">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16.1投标有效期为代理机构规定的开标之日后</w:t>
      </w:r>
      <w:r>
        <w:rPr>
          <w:rFonts w:hint="eastAsia" w:ascii="宋体" w:hAnsi="宋体" w:eastAsia="宋体" w:cs="宋体"/>
          <w:b/>
          <w:color w:val="auto"/>
          <w:u w:val="single"/>
        </w:rPr>
        <w:t>九十（90）天</w:t>
      </w:r>
      <w:r>
        <w:rPr>
          <w:rFonts w:hint="eastAsia" w:ascii="宋体" w:hAnsi="宋体" w:eastAsia="宋体" w:cs="宋体"/>
          <w:color w:val="auto"/>
        </w:rPr>
        <w:t>。投标有效期比规定短的将被视为未实质性响应招标文件而予以拒绝。</w:t>
      </w:r>
    </w:p>
    <w:p w14:paraId="64096118">
      <w:pPr>
        <w:pStyle w:val="36"/>
        <w:keepNext/>
        <w:keepLines/>
        <w:spacing w:beforeAutospacing="0" w:afterAutospacing="0" w:line="360" w:lineRule="auto"/>
        <w:ind w:firstLine="420"/>
        <w:jc w:val="both"/>
        <w:rPr>
          <w:rFonts w:ascii="宋体" w:hAnsi="宋体" w:eastAsia="宋体" w:cs="宋体"/>
          <w:color w:val="auto"/>
        </w:rPr>
      </w:pPr>
      <w:r>
        <w:rPr>
          <w:rFonts w:hint="eastAsia" w:ascii="宋体" w:hAnsi="宋体" w:eastAsia="宋体" w:cs="宋体"/>
          <w:color w:val="auto"/>
        </w:rPr>
        <w:t>17、投标有效期的延长</w:t>
      </w:r>
    </w:p>
    <w:p w14:paraId="0C5770D1">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17.1在特殊情况下，代理机构于原投标有效期满之前，可向投标人提出延长投标有效期的要求。这种要求与答复均应采用书面形式。投标人可以拒绝代理机构的这一要求而放弃投标，同意延长投标有效期的投标人既不能要求也不允许修改其投标文件。受投标有效期约束的所有权利与义务均延长至新的有效期。</w:t>
      </w:r>
    </w:p>
    <w:p w14:paraId="6607953C">
      <w:pPr>
        <w:pStyle w:val="36"/>
        <w:keepNext/>
        <w:keepLines/>
        <w:spacing w:beforeAutospacing="0" w:afterAutospacing="0" w:line="360" w:lineRule="auto"/>
        <w:jc w:val="both"/>
        <w:rPr>
          <w:rFonts w:ascii="宋体" w:hAnsi="宋体" w:eastAsia="宋体" w:cs="宋体"/>
          <w:color w:val="auto"/>
        </w:rPr>
      </w:pPr>
      <w:bookmarkStart w:id="99" w:name="_Toc20823296"/>
      <w:bookmarkStart w:id="100" w:name="_Toc120614217"/>
      <w:bookmarkStart w:id="101" w:name="_Toc513029224"/>
      <w:bookmarkStart w:id="102" w:name="_Toc16938540"/>
      <w:bookmarkStart w:id="103" w:name="_Hlt26954852"/>
      <w:bookmarkStart w:id="104" w:name="_Hlt26954739"/>
      <w:r>
        <w:rPr>
          <w:rFonts w:hint="eastAsia" w:ascii="宋体" w:hAnsi="宋体" w:eastAsia="宋体" w:cs="宋体"/>
          <w:b/>
          <w:color w:val="auto"/>
        </w:rPr>
        <w:t>四、投标文件的递交</w:t>
      </w:r>
      <w:bookmarkEnd w:id="99"/>
      <w:bookmarkEnd w:id="100"/>
      <w:bookmarkEnd w:id="101"/>
      <w:bookmarkEnd w:id="102"/>
    </w:p>
    <w:p w14:paraId="7D3B0785">
      <w:pPr>
        <w:pStyle w:val="36"/>
        <w:keepNext/>
        <w:keepLines/>
        <w:spacing w:beforeAutospacing="0" w:afterAutospacing="0" w:line="360" w:lineRule="auto"/>
        <w:ind w:firstLine="420"/>
        <w:jc w:val="both"/>
        <w:rPr>
          <w:rFonts w:ascii="宋体" w:hAnsi="宋体" w:eastAsia="宋体" w:cs="宋体"/>
          <w:color w:val="auto"/>
        </w:rPr>
      </w:pPr>
      <w:bookmarkStart w:id="105" w:name="_Toc513029225"/>
      <w:bookmarkStart w:id="106" w:name="_Toc462564084"/>
      <w:bookmarkStart w:id="107" w:name="_Toc16938541"/>
      <w:bookmarkStart w:id="108" w:name="_Toc20823297"/>
      <w:r>
        <w:rPr>
          <w:rFonts w:hint="eastAsia" w:ascii="宋体" w:hAnsi="宋体" w:eastAsia="宋体" w:cs="宋体"/>
          <w:color w:val="auto"/>
        </w:rPr>
        <w:t>18、电子投标文件</w:t>
      </w:r>
      <w:bookmarkEnd w:id="105"/>
      <w:bookmarkEnd w:id="106"/>
      <w:bookmarkEnd w:id="107"/>
      <w:bookmarkEnd w:id="108"/>
      <w:r>
        <w:rPr>
          <w:rFonts w:hint="eastAsia" w:ascii="宋体" w:hAnsi="宋体" w:eastAsia="宋体" w:cs="宋体"/>
          <w:color w:val="auto"/>
        </w:rPr>
        <w:t>的递交</w:t>
      </w:r>
    </w:p>
    <w:p w14:paraId="381E5225">
      <w:pPr>
        <w:pStyle w:val="36"/>
        <w:spacing w:beforeAutospacing="0" w:afterAutospacing="0" w:line="360" w:lineRule="auto"/>
        <w:jc w:val="both"/>
        <w:rPr>
          <w:rFonts w:ascii="宋体" w:hAnsi="宋体" w:eastAsia="宋体" w:cs="宋体"/>
          <w:color w:val="auto"/>
        </w:rPr>
      </w:pPr>
      <w:r>
        <w:rPr>
          <w:rFonts w:hint="eastAsia" w:ascii="宋体" w:hAnsi="宋体" w:eastAsia="宋体" w:cs="宋体"/>
          <w:color w:val="auto"/>
        </w:rPr>
        <w:t>18.1投标人应当按照《操作手册》规定，在投标截止时间前制作并上传电子投标</w:t>
      </w:r>
    </w:p>
    <w:p w14:paraId="54B8296B">
      <w:pPr>
        <w:pStyle w:val="36"/>
        <w:spacing w:beforeAutospacing="0" w:afterAutospacing="0" w:line="360" w:lineRule="auto"/>
        <w:jc w:val="both"/>
        <w:rPr>
          <w:rFonts w:ascii="宋体" w:hAnsi="宋体" w:eastAsia="宋体" w:cs="宋体"/>
          <w:color w:val="auto"/>
        </w:rPr>
      </w:pPr>
      <w:r>
        <w:rPr>
          <w:rFonts w:hint="eastAsia" w:ascii="宋体" w:hAnsi="宋体" w:eastAsia="宋体" w:cs="宋体"/>
          <w:color w:val="auto"/>
        </w:rPr>
        <w:t>文件。</w:t>
      </w:r>
      <w:bookmarkStart w:id="109" w:name="_Toc16938542"/>
      <w:bookmarkEnd w:id="109"/>
      <w:bookmarkStart w:id="110" w:name="_Toc20823298"/>
      <w:bookmarkEnd w:id="110"/>
      <w:bookmarkStart w:id="111" w:name="_Toc513029226"/>
    </w:p>
    <w:p w14:paraId="53E2DFAD">
      <w:pPr>
        <w:pStyle w:val="36"/>
        <w:keepNext/>
        <w:keepLines/>
        <w:spacing w:beforeAutospacing="0" w:afterAutospacing="0" w:line="360" w:lineRule="auto"/>
        <w:ind w:firstLine="420"/>
        <w:jc w:val="both"/>
        <w:rPr>
          <w:rFonts w:ascii="宋体" w:hAnsi="宋体" w:eastAsia="宋体" w:cs="宋体"/>
          <w:color w:val="auto"/>
        </w:rPr>
      </w:pPr>
      <w:r>
        <w:rPr>
          <w:rFonts w:hint="eastAsia" w:ascii="宋体" w:hAnsi="宋体" w:eastAsia="宋体" w:cs="宋体"/>
          <w:color w:val="auto"/>
        </w:rPr>
        <w:t>19、投标截止日期</w:t>
      </w:r>
    </w:p>
    <w:p w14:paraId="0CAC2506">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i/>
          <w:color w:val="auto"/>
          <w:u w:val="single"/>
        </w:rPr>
        <w:t>19.1投标人上传电子投标文件的时间不得迟于招标公告中规定的投标截止时间。</w:t>
      </w:r>
    </w:p>
    <w:p w14:paraId="0C28E9D4">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投标人应充分考虑到网络环境、网络带宽等风险因素，如因投标人自身原因造成的电子投标文件上传不成功的按照本招标文件第二章第27.1.2条规定做无效投标处理。</w:t>
      </w:r>
    </w:p>
    <w:p w14:paraId="7DFB48DE">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19.2代理机构可以按照规定，通过修改招标文件酌情延长投标截止日期，在此情况下，投标人的所有权利和义务以及投标人受制的截止日期均应以延长后新的截止日期为准。</w:t>
      </w:r>
    </w:p>
    <w:p w14:paraId="59349833">
      <w:pPr>
        <w:pStyle w:val="36"/>
        <w:keepNext/>
        <w:keepLines/>
        <w:spacing w:beforeAutospacing="0" w:afterAutospacing="0" w:line="360" w:lineRule="auto"/>
        <w:ind w:firstLine="420"/>
        <w:jc w:val="both"/>
        <w:rPr>
          <w:rFonts w:ascii="宋体" w:hAnsi="宋体" w:eastAsia="宋体" w:cs="宋体"/>
          <w:color w:val="auto"/>
        </w:rPr>
      </w:pPr>
      <w:bookmarkStart w:id="112" w:name="_Toc16938543"/>
      <w:bookmarkStart w:id="113" w:name="_Toc20823299"/>
      <w:bookmarkStart w:id="114" w:name="_Toc513029227"/>
      <w:r>
        <w:rPr>
          <w:rFonts w:hint="eastAsia" w:ascii="宋体" w:hAnsi="宋体" w:eastAsia="宋体" w:cs="宋体"/>
          <w:color w:val="auto"/>
        </w:rPr>
        <w:t>20、投标文件</w:t>
      </w:r>
      <w:bookmarkEnd w:id="112"/>
      <w:bookmarkEnd w:id="113"/>
      <w:bookmarkEnd w:id="114"/>
      <w:r>
        <w:rPr>
          <w:rFonts w:hint="eastAsia" w:ascii="宋体" w:hAnsi="宋体" w:eastAsia="宋体" w:cs="宋体"/>
          <w:color w:val="auto"/>
        </w:rPr>
        <w:t>的拒收</w:t>
      </w:r>
    </w:p>
    <w:p w14:paraId="1EBBF6BA">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20.1代理机构拒绝接收在其规定的投标截止时间后上传的任何投标文件。</w:t>
      </w:r>
    </w:p>
    <w:p w14:paraId="5A940480">
      <w:pPr>
        <w:pStyle w:val="36"/>
        <w:keepNext/>
        <w:keepLines/>
        <w:spacing w:beforeAutospacing="0" w:afterAutospacing="0" w:line="360" w:lineRule="auto"/>
        <w:ind w:firstLine="420"/>
        <w:jc w:val="both"/>
        <w:rPr>
          <w:rFonts w:ascii="宋体" w:hAnsi="宋体" w:eastAsia="宋体" w:cs="宋体"/>
          <w:color w:val="auto"/>
        </w:rPr>
      </w:pPr>
      <w:bookmarkStart w:id="115" w:name="_Toc16938544"/>
      <w:bookmarkStart w:id="116" w:name="_Toc513029228"/>
      <w:bookmarkStart w:id="117" w:name="_Toc20823300"/>
      <w:r>
        <w:rPr>
          <w:rFonts w:hint="eastAsia" w:ascii="宋体" w:hAnsi="宋体" w:eastAsia="宋体" w:cs="宋体"/>
          <w:color w:val="auto"/>
        </w:rPr>
        <w:t>21、投标文件的撤回和修改</w:t>
      </w:r>
      <w:bookmarkEnd w:id="115"/>
      <w:bookmarkEnd w:id="116"/>
      <w:bookmarkEnd w:id="117"/>
    </w:p>
    <w:p w14:paraId="09EE3955">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21.1投标文件的撤回</w:t>
      </w:r>
    </w:p>
    <w:p w14:paraId="4C6BC102">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21.1.1电子投标文件的撤回</w:t>
      </w:r>
    </w:p>
    <w:p w14:paraId="7D3A7F4A">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投标人可在投标截止时间前，撤回其电子投标文件，具体操作方法见《操作手册》。</w:t>
      </w:r>
    </w:p>
    <w:p w14:paraId="29D1BAAE">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21.1.2投标人撤回电子投标文件，则认为其不再参与本项目投标活动。</w:t>
      </w:r>
    </w:p>
    <w:p w14:paraId="22A98020">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21.2投标文件的修改</w:t>
      </w:r>
    </w:p>
    <w:p w14:paraId="5F6F9580">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21.2.1投标人可在投标截止时间前，对其电子投标文件进行修改，具体操作方法见《操作手册》。</w:t>
      </w:r>
    </w:p>
    <w:p w14:paraId="0EE778FC">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21.2.2在投标截止时间之后，投标人不得对其电子投标文件作任何修改。</w:t>
      </w:r>
    </w:p>
    <w:p w14:paraId="1348A470">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21.3在投标截止时间至招标文件中规定的投标有效期满之间的这段时间内，投标人不得撤回其投标。</w:t>
      </w:r>
    </w:p>
    <w:p w14:paraId="29C3A7CF">
      <w:pPr>
        <w:pStyle w:val="36"/>
        <w:keepNext/>
        <w:keepLines/>
        <w:spacing w:beforeAutospacing="0" w:afterAutospacing="0" w:line="360" w:lineRule="auto"/>
        <w:ind w:firstLine="482"/>
        <w:jc w:val="both"/>
        <w:rPr>
          <w:rFonts w:ascii="宋体" w:hAnsi="宋体" w:eastAsia="宋体" w:cs="宋体"/>
          <w:color w:val="auto"/>
        </w:rPr>
      </w:pPr>
      <w:bookmarkStart w:id="118" w:name="_Toc20823301"/>
      <w:bookmarkStart w:id="119" w:name="_Toc120614218"/>
      <w:bookmarkStart w:id="120" w:name="_Toc513029229"/>
      <w:bookmarkStart w:id="121" w:name="_Toc16938545"/>
      <w:r>
        <w:rPr>
          <w:rFonts w:hint="eastAsia" w:ascii="宋体" w:hAnsi="宋体" w:eastAsia="宋体" w:cs="宋体"/>
          <w:b/>
          <w:color w:val="auto"/>
        </w:rPr>
        <w:t>五、开标与评标</w:t>
      </w:r>
      <w:bookmarkEnd w:id="118"/>
      <w:bookmarkEnd w:id="119"/>
      <w:bookmarkEnd w:id="120"/>
      <w:bookmarkEnd w:id="121"/>
    </w:p>
    <w:p w14:paraId="55598E65">
      <w:pPr>
        <w:pStyle w:val="36"/>
        <w:keepNext/>
        <w:keepLines/>
        <w:spacing w:beforeAutospacing="0" w:afterAutospacing="0" w:line="360" w:lineRule="auto"/>
        <w:ind w:firstLine="420"/>
        <w:jc w:val="both"/>
        <w:rPr>
          <w:rFonts w:ascii="宋体" w:hAnsi="宋体" w:eastAsia="宋体" w:cs="宋体"/>
          <w:color w:val="auto"/>
        </w:rPr>
      </w:pPr>
      <w:bookmarkStart w:id="122" w:name="_Toc16938546"/>
      <w:bookmarkStart w:id="123" w:name="_Toc513029230"/>
      <w:bookmarkStart w:id="124" w:name="_Toc20823302"/>
      <w:r>
        <w:rPr>
          <w:rFonts w:hint="eastAsia" w:ascii="宋体" w:hAnsi="宋体" w:eastAsia="宋体" w:cs="宋体"/>
          <w:color w:val="auto"/>
        </w:rPr>
        <w:t>22、开标</w:t>
      </w:r>
      <w:bookmarkEnd w:id="122"/>
      <w:bookmarkEnd w:id="123"/>
      <w:bookmarkEnd w:id="124"/>
    </w:p>
    <w:p w14:paraId="1B432114">
      <w:pPr>
        <w:pStyle w:val="36"/>
        <w:spacing w:beforeAutospacing="0" w:afterAutospacing="0" w:line="360" w:lineRule="auto"/>
        <w:ind w:firstLine="360"/>
        <w:jc w:val="both"/>
        <w:rPr>
          <w:rFonts w:ascii="宋体" w:hAnsi="宋体" w:eastAsia="宋体" w:cs="宋体"/>
          <w:color w:val="auto"/>
        </w:rPr>
      </w:pPr>
      <w:r>
        <w:rPr>
          <w:rFonts w:hint="eastAsia" w:ascii="宋体" w:hAnsi="宋体" w:eastAsia="宋体" w:cs="宋体"/>
          <w:color w:val="auto"/>
        </w:rPr>
        <w:t>22.1代理机构将在招标公告中规定的时间和地点组织公开开标。投标人应当按照《操作手册》规定，参加开标活动和在苏采云系统规定的时间内对投标文件进行解密。</w:t>
      </w:r>
    </w:p>
    <w:p w14:paraId="283F2D65">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22.2开标仪式由代理机构组织。苏采云系统将自动对项目进行开标，并宣布各投标人名称和投标价格。</w:t>
      </w:r>
    </w:p>
    <w:p w14:paraId="5429E1C6">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22.3投标人在开标过程中涉及到的投标文件解密、开标结果确认等工作，应按照《操作手册》规定执行。</w:t>
      </w:r>
    </w:p>
    <w:p w14:paraId="4F9D4812">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22.4投标人如果对开标过程和开标记录有疑义，应当根据《操作手册》规定提出，如苏采云系统中《开标记录表》宣布后5分钟内未提出的，视同认可开标结果。</w:t>
      </w:r>
    </w:p>
    <w:p w14:paraId="1175F184">
      <w:pPr>
        <w:pStyle w:val="36"/>
        <w:keepNext/>
        <w:keepLines/>
        <w:spacing w:beforeAutospacing="0" w:afterAutospacing="0" w:line="360" w:lineRule="auto"/>
        <w:ind w:firstLine="420"/>
        <w:jc w:val="both"/>
        <w:rPr>
          <w:rFonts w:ascii="宋体" w:hAnsi="宋体" w:eastAsia="宋体" w:cs="宋体"/>
          <w:color w:val="auto"/>
        </w:rPr>
      </w:pPr>
      <w:bookmarkStart w:id="125" w:name="_Toc20823303"/>
      <w:bookmarkStart w:id="126" w:name="_Toc16938547"/>
      <w:bookmarkStart w:id="127" w:name="_Toc513029231"/>
      <w:r>
        <w:rPr>
          <w:rFonts w:hint="eastAsia" w:ascii="宋体" w:hAnsi="宋体" w:eastAsia="宋体" w:cs="宋体"/>
          <w:color w:val="auto"/>
        </w:rPr>
        <w:t>23、评标委员会</w:t>
      </w:r>
      <w:bookmarkEnd w:id="125"/>
      <w:bookmarkEnd w:id="126"/>
      <w:bookmarkEnd w:id="127"/>
    </w:p>
    <w:p w14:paraId="723EDBC3">
      <w:pPr>
        <w:pStyle w:val="36"/>
        <w:spacing w:beforeAutospacing="0" w:afterAutospacing="0" w:line="360" w:lineRule="auto"/>
        <w:jc w:val="both"/>
        <w:rPr>
          <w:rFonts w:ascii="宋体" w:hAnsi="宋体" w:eastAsia="宋体" w:cs="宋体"/>
          <w:color w:val="auto"/>
        </w:rPr>
      </w:pPr>
      <w:r>
        <w:rPr>
          <w:rFonts w:hint="eastAsia" w:ascii="宋体" w:hAnsi="宋体" w:eastAsia="宋体" w:cs="宋体"/>
          <w:color w:val="auto"/>
        </w:rPr>
        <w:t>23.1开标后，代理机构将立即组织评标委员会（以下简称评委会）进行评标。</w:t>
      </w:r>
    </w:p>
    <w:p w14:paraId="411F0B45">
      <w:pPr>
        <w:pStyle w:val="36"/>
        <w:spacing w:beforeAutospacing="0" w:afterAutospacing="0" w:line="360" w:lineRule="auto"/>
        <w:jc w:val="both"/>
        <w:rPr>
          <w:rFonts w:ascii="宋体" w:hAnsi="宋体" w:eastAsia="宋体" w:cs="宋体"/>
          <w:color w:val="auto"/>
        </w:rPr>
      </w:pPr>
      <w:r>
        <w:rPr>
          <w:rFonts w:hint="eastAsia" w:ascii="宋体" w:hAnsi="宋体" w:eastAsia="宋体" w:cs="宋体"/>
          <w:color w:val="auto"/>
        </w:rPr>
        <w:t>23.2评委会由采购人代表和有关技术、经济等方面的专家组成，且人员构成符合政府采购有关规定。</w:t>
      </w:r>
    </w:p>
    <w:p w14:paraId="4ECF4152">
      <w:pPr>
        <w:pStyle w:val="36"/>
        <w:spacing w:beforeAutospacing="0" w:afterAutospacing="0" w:line="360" w:lineRule="auto"/>
        <w:jc w:val="both"/>
        <w:rPr>
          <w:rFonts w:ascii="宋体" w:hAnsi="宋体" w:eastAsia="宋体" w:cs="宋体"/>
          <w:color w:val="auto"/>
        </w:rPr>
      </w:pPr>
      <w:r>
        <w:rPr>
          <w:rFonts w:hint="eastAsia" w:ascii="宋体" w:hAnsi="宋体" w:eastAsia="宋体" w:cs="宋体"/>
          <w:color w:val="auto"/>
        </w:rPr>
        <w:t>23.3评委会独立工作，负责评审所有投标文件并确定中标候选人。</w:t>
      </w:r>
    </w:p>
    <w:p w14:paraId="1721E9C5">
      <w:pPr>
        <w:pStyle w:val="36"/>
        <w:keepNext/>
        <w:keepLines/>
        <w:spacing w:beforeAutospacing="0" w:afterAutospacing="0" w:line="360" w:lineRule="auto"/>
        <w:ind w:firstLine="420"/>
        <w:jc w:val="both"/>
        <w:rPr>
          <w:rFonts w:ascii="宋体" w:hAnsi="宋体" w:eastAsia="宋体" w:cs="宋体"/>
          <w:color w:val="auto"/>
        </w:rPr>
      </w:pPr>
      <w:r>
        <w:rPr>
          <w:rFonts w:hint="eastAsia" w:ascii="宋体" w:hAnsi="宋体" w:eastAsia="宋体" w:cs="宋体"/>
          <w:color w:val="auto"/>
        </w:rPr>
        <w:t>24．评标过程的保密与公正</w:t>
      </w:r>
    </w:p>
    <w:p w14:paraId="78AAFDBF">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24.1凡是与审查、澄清、评价和比较投标的有关资料以及授标建议等，采购人、评委、代理机构均不得向投标人或与评标无关的其他人员透露。</w:t>
      </w:r>
    </w:p>
    <w:p w14:paraId="13C03E87">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24.2在评标过程中，投标人不得以任何行为影响评标过程，否则其投标文件将被作为无效投标文件。</w:t>
      </w:r>
    </w:p>
    <w:p w14:paraId="7788E495">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24.3代理机构和评标委员会不向未中标的投标人解释未中标原因，也不公布评标过程中的相关细节。</w:t>
      </w:r>
    </w:p>
    <w:p w14:paraId="5A2E616C">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24.4采用综合评分法的项目，未中标的投标人可于中标结果公告期限届满之日起通过苏采云系统查看自己的评审得分及排序情况。（提醒：经办人在苏采云系统查询到中标结果公告后，再点击推送。招标文件定稿后该提醒删除）</w:t>
      </w:r>
    </w:p>
    <w:p w14:paraId="36FDF230">
      <w:pPr>
        <w:pStyle w:val="36"/>
        <w:keepNext/>
        <w:keepLines/>
        <w:spacing w:beforeAutospacing="0" w:afterAutospacing="0" w:line="360" w:lineRule="auto"/>
        <w:ind w:firstLine="420"/>
        <w:jc w:val="both"/>
        <w:rPr>
          <w:rFonts w:ascii="宋体" w:hAnsi="宋体" w:eastAsia="宋体" w:cs="宋体"/>
          <w:color w:val="auto"/>
        </w:rPr>
      </w:pPr>
      <w:bookmarkStart w:id="128" w:name="_Toc16938548"/>
      <w:bookmarkStart w:id="129" w:name="_Toc513029232"/>
      <w:bookmarkStart w:id="130" w:name="_Toc20823304"/>
      <w:r>
        <w:rPr>
          <w:rFonts w:hint="eastAsia" w:ascii="宋体" w:hAnsi="宋体" w:eastAsia="宋体" w:cs="宋体"/>
          <w:color w:val="auto"/>
        </w:rPr>
        <w:t>25．投标文件的澄清</w:t>
      </w:r>
      <w:bookmarkEnd w:id="128"/>
      <w:bookmarkEnd w:id="129"/>
      <w:bookmarkEnd w:id="130"/>
    </w:p>
    <w:p w14:paraId="75F45A40">
      <w:pPr>
        <w:pStyle w:val="36"/>
        <w:spacing w:beforeAutospacing="0" w:afterAutospacing="0" w:line="360" w:lineRule="auto"/>
        <w:ind w:firstLine="480"/>
        <w:jc w:val="both"/>
        <w:rPr>
          <w:rFonts w:ascii="宋体" w:hAnsi="宋体" w:eastAsia="宋体" w:cs="宋体"/>
          <w:color w:val="auto"/>
        </w:rPr>
      </w:pPr>
      <w:bookmarkStart w:id="131" w:name="_Toc16938549"/>
      <w:bookmarkStart w:id="132" w:name="_Toc513029233"/>
      <w:bookmarkStart w:id="133" w:name="_Toc20823305"/>
      <w:r>
        <w:rPr>
          <w:rFonts w:hint="eastAsia" w:ascii="宋体" w:hAnsi="宋体" w:eastAsia="宋体" w:cs="宋体"/>
          <w:color w:val="auto"/>
        </w:rPr>
        <w:t>25.1评标期间，评委会对投标文件中含义不明确、同类问题表述不一致或者有明显文字和计算错误的内容，有权要求投标人作出必要的澄清、说明或者补正。</w:t>
      </w:r>
      <w:bookmarkEnd w:id="131"/>
      <w:bookmarkEnd w:id="132"/>
      <w:bookmarkEnd w:id="133"/>
    </w:p>
    <w:p w14:paraId="5226E57D">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投标人的澄清、说明或者补正不得超出投标文件的范围或者改变投标文件的实质性内容。</w:t>
      </w:r>
    </w:p>
    <w:p w14:paraId="23498337">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评标委员会并非对每个投标人都做澄清要求。</w:t>
      </w:r>
    </w:p>
    <w:p w14:paraId="79A43701">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25.2需要供应商进行澄清、说明和补正的，评委会将通过苏采云系统向供应商发出“澄清要求函”，接到“澄清要求函”的投标人应当按照要求在苏采云系统中提交“澄清响应函”并加盖CA电子公章。澄清、说明和补正的内容作为投标文件的补充部分，具体操作方式见《操作手册》。</w:t>
      </w:r>
    </w:p>
    <w:p w14:paraId="13216083">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25.3接到评委会澄清、说明和补正要求的投标人如未按规定作出澄清、说明和补正，其风险由投标人自行承担。</w:t>
      </w:r>
    </w:p>
    <w:p w14:paraId="709E34FC">
      <w:pPr>
        <w:pStyle w:val="36"/>
        <w:keepNext/>
        <w:keepLines/>
        <w:spacing w:beforeAutospacing="0" w:afterAutospacing="0" w:line="360" w:lineRule="auto"/>
        <w:ind w:firstLine="420"/>
        <w:jc w:val="both"/>
        <w:rPr>
          <w:rFonts w:ascii="宋体" w:hAnsi="宋体" w:eastAsia="宋体" w:cs="宋体"/>
          <w:color w:val="auto"/>
        </w:rPr>
      </w:pPr>
      <w:r>
        <w:rPr>
          <w:rFonts w:hint="eastAsia" w:ascii="宋体" w:hAnsi="宋体" w:eastAsia="宋体" w:cs="宋体"/>
          <w:color w:val="auto"/>
        </w:rPr>
        <w:t>26、对投标文件的初审</w:t>
      </w:r>
    </w:p>
    <w:p w14:paraId="20077489">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26.1投标文件初审分为资格审查和符合性审查。</w:t>
      </w:r>
    </w:p>
    <w:p w14:paraId="57AAD0E9">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26.1.1资格审查：依据法律法规和招标文件的规定，由采购人对投标文件中的资格证明文件进行审查。资格审查的结论，采购人以书面形式向评委会进行反馈。</w:t>
      </w:r>
    </w:p>
    <w:p w14:paraId="78AEC35A">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采购人在进行资格性审查的同时，将在“信用中国”网站（www.creditchina.gov.cn）查询投标人的信用记录，以确定投标人是否具备投标资格,查询结果留存并归档。</w:t>
      </w:r>
    </w:p>
    <w:p w14:paraId="119A5944">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接受联合体的项目，两个以上的自然人、法人或者其他组织组成一个联合体，以一个供应商的身份共同参加政府采购活动的,联合体成员中任何一方存在不良信用记录的，视同联合体存在不良应用记录。</w:t>
      </w:r>
    </w:p>
    <w:p w14:paraId="65D45508">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26.1.2符合性审查：依据招标文件的规定，由评委会从投标文件的有效性、完整性和对招标文件的响应程度进行审查，以确定是否对招标文件的实质性要求作出响应。</w:t>
      </w:r>
    </w:p>
    <w:p w14:paraId="6F2D9176">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26.1.3未通过资格审查或符合性审查的投标人，代理机构将在苏采云系统中告知未通过资格审查或符合性审查的原因，评审结束后，代理机构将不再告知未通过资格审查或符合性审查的原因。</w:t>
      </w:r>
    </w:p>
    <w:p w14:paraId="3E91D6DE">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26.2在详细评标之前，评委会将首先审查每份投标文件是否实质性响应了招标文件的要求。实质性响应的投标应该是与招标文件要求的全部条款、条件和规格相符，没有重大偏离或保留的投标。</w:t>
      </w:r>
    </w:p>
    <w:p w14:paraId="2767150C">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所谓重大偏离或保留是指与招标文件规定的实质性要求存在负偏离，或者在实质上与招标文件不一致，而且限制了合同中买方和代理机构的权利或投标人的义务，纠正这些偏离或保留将会对其他实质性响应要求的投标人的竞争地位产生不公正的影响。重大偏离的认定需经过评委会以少数服从多数的原则作出结论。评委决定投标文件的响应性只根据投标文件本身的内容，而不寻求外部的证据。</w:t>
      </w:r>
    </w:p>
    <w:p w14:paraId="766850A2">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26.3如果投标文件实质上没有响应招标文件的要求，评委会将予以拒绝，投标人不得通过修改或撤销不符合要求的偏离或保留而使其投标成为实质性响应的投标。</w:t>
      </w:r>
    </w:p>
    <w:p w14:paraId="65138E0A">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26.4评委会将对确定为实质性响应的投标进行进一步审核，看其是否有计算上或累加上的算术错误，修正错误的原则如下：</w:t>
      </w:r>
    </w:p>
    <w:p w14:paraId="1348A7A8">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（1）投标文件中开标一览表内容与投标文件中相应内容不一致的，以开标一览表为准。</w:t>
      </w:r>
    </w:p>
    <w:p w14:paraId="6F11020A">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（2）大写金额和小写金额不一致的，以大写金额为准。</w:t>
      </w:r>
    </w:p>
    <w:p w14:paraId="3F3DDBCE">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（3）单价金额小数点或者百分比有明显错位的，以开标一览表的总价为准，并修改单价。</w:t>
      </w:r>
    </w:p>
    <w:p w14:paraId="09BA4D5A">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（4）总价金额与按单价汇总金额不一致的，以单价金额计算结果为准。</w:t>
      </w:r>
    </w:p>
    <w:p w14:paraId="20588956">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同时出现两种以上错误的，按照前款规定的顺序修正。</w:t>
      </w:r>
    </w:p>
    <w:p w14:paraId="4FF325AC">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26.5评委会将按上述修正错误的方法调整投标文件中的投标报价，并通过苏采云系统告知投标人，调整后的价格应对投标人具有约束力。如果投标人不接受修正后的价格，则其投标将被拒绝。</w:t>
      </w:r>
    </w:p>
    <w:p w14:paraId="535F5A84">
      <w:pPr>
        <w:pStyle w:val="36"/>
        <w:spacing w:beforeAutospacing="0" w:afterAutospacing="0" w:line="360" w:lineRule="auto"/>
        <w:ind w:firstLine="480"/>
        <w:jc w:val="both"/>
        <w:rPr>
          <w:rFonts w:ascii="宋体" w:hAnsi="宋体" w:eastAsia="宋体" w:cs="宋体"/>
          <w:color w:val="auto"/>
        </w:rPr>
      </w:pPr>
      <w:bookmarkStart w:id="134" w:name="_Toc16938550"/>
      <w:bookmarkStart w:id="135" w:name="_Toc20823306"/>
      <w:bookmarkStart w:id="136" w:name="_Toc513029234"/>
      <w:r>
        <w:rPr>
          <w:rFonts w:hint="eastAsia" w:ascii="宋体" w:hAnsi="宋体" w:eastAsia="宋体" w:cs="宋体"/>
          <w:color w:val="auto"/>
        </w:rPr>
        <w:t>26.6采用最低评标价法的采购项目，提供相同品牌产品的不同投标人参加同一合同项下投标的，以其中通过资格审查、符合性审查且报价最低的参加评标；报价相同的，由评标委员会按照招标文件规定的方式（招标文件未规定的通过随机抽取的方式）确定一个参加评标的投标人，其他投标无效。</w:t>
      </w:r>
      <w:bookmarkEnd w:id="134"/>
      <w:bookmarkEnd w:id="135"/>
      <w:bookmarkEnd w:id="136"/>
    </w:p>
    <w:p w14:paraId="478FA125">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使用综合评分法的采购项目，提供相同品牌产品且通过资格审查、符合性审查的不同投标人参加同一合同项下投标的，按一家投标人计算，评审后得分最高的同品牌投标人获得中标人推荐资格；评审得分相同的，由评标委员会根据招标文件规定的方式（招标文件未规定的采取随机抽取的方式）确定一个中标候选人，其他同品牌投标人不作为中标候选人。</w:t>
      </w:r>
    </w:p>
    <w:p w14:paraId="3252F1CD">
      <w:pPr>
        <w:pStyle w:val="36"/>
        <w:spacing w:beforeAutospacing="0" w:afterAutospacing="0" w:line="360" w:lineRule="auto"/>
        <w:ind w:firstLine="420"/>
        <w:jc w:val="both"/>
        <w:rPr>
          <w:rFonts w:ascii="宋体" w:hAnsi="宋体" w:eastAsia="宋体" w:cs="宋体"/>
          <w:color w:val="auto"/>
        </w:rPr>
      </w:pPr>
      <w:r>
        <w:rPr>
          <w:rFonts w:hint="eastAsia" w:ascii="宋体" w:hAnsi="宋体" w:eastAsia="宋体" w:cs="宋体"/>
          <w:color w:val="auto"/>
        </w:rPr>
        <w:t>非单一产品采购项目，招标文件中将载明其中的核心产品。多家投标人提供的核心产品品牌相同的，按前两款规定处理。</w:t>
      </w:r>
    </w:p>
    <w:p w14:paraId="0F6030BD">
      <w:pPr>
        <w:pStyle w:val="36"/>
        <w:spacing w:beforeAutospacing="0" w:afterAutospacing="0" w:line="360" w:lineRule="auto"/>
        <w:ind w:firstLine="420"/>
        <w:jc w:val="both"/>
        <w:rPr>
          <w:rFonts w:ascii="宋体" w:hAnsi="宋体" w:eastAsia="宋体" w:cs="宋体"/>
          <w:color w:val="auto"/>
        </w:rPr>
      </w:pPr>
      <w:r>
        <w:rPr>
          <w:rFonts w:hint="eastAsia" w:ascii="宋体" w:hAnsi="宋体" w:eastAsia="宋体" w:cs="宋体"/>
          <w:color w:val="auto"/>
        </w:rPr>
        <w:t>26.7投标人在开、评标全过程中应保持通信畅通，及时登录苏采云系统查阅、答复相关信息，并安排专人与代理机构及评标委员会联系。</w:t>
      </w:r>
    </w:p>
    <w:p w14:paraId="63D20FD0">
      <w:pPr>
        <w:pStyle w:val="36"/>
        <w:keepNext/>
        <w:keepLines/>
        <w:spacing w:beforeAutospacing="0" w:afterAutospacing="0" w:line="360" w:lineRule="auto"/>
        <w:ind w:firstLine="420"/>
        <w:jc w:val="both"/>
        <w:rPr>
          <w:rFonts w:ascii="宋体" w:hAnsi="宋体" w:eastAsia="宋体" w:cs="宋体"/>
          <w:color w:val="auto"/>
        </w:rPr>
      </w:pPr>
      <w:r>
        <w:rPr>
          <w:rFonts w:hint="eastAsia" w:ascii="宋体" w:hAnsi="宋体" w:eastAsia="宋体" w:cs="宋体"/>
          <w:color w:val="auto"/>
        </w:rPr>
        <w:t>27、无效投标条款和废标条款</w:t>
      </w:r>
    </w:p>
    <w:p w14:paraId="14D7AFD5">
      <w:pPr>
        <w:pStyle w:val="36"/>
        <w:spacing w:beforeAutospacing="0" w:afterAutospacing="0" w:line="360" w:lineRule="auto"/>
        <w:jc w:val="both"/>
        <w:rPr>
          <w:rFonts w:ascii="宋体" w:hAnsi="宋体" w:eastAsia="宋体" w:cs="宋体"/>
          <w:color w:val="auto"/>
        </w:rPr>
      </w:pPr>
      <w:bookmarkStart w:id="137" w:name="_Toc513029235"/>
      <w:bookmarkStart w:id="138" w:name="_Toc20823307"/>
      <w:bookmarkStart w:id="139" w:name="_Toc16938551"/>
      <w:r>
        <w:rPr>
          <w:rFonts w:hint="eastAsia" w:ascii="宋体" w:hAnsi="宋体" w:eastAsia="宋体" w:cs="宋体"/>
          <w:color w:val="auto"/>
        </w:rPr>
        <w:t>27.1无效投标条款</w:t>
      </w:r>
      <w:bookmarkEnd w:id="137"/>
      <w:bookmarkEnd w:id="138"/>
      <w:bookmarkEnd w:id="139"/>
    </w:p>
    <w:p w14:paraId="266D2453">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27.1.1投标人在苏采云系统规定的时间内未成功解密电子投标文件的。</w:t>
      </w:r>
    </w:p>
    <w:p w14:paraId="4F69B269">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27.1.2投标人未按照招标文件要求上传电子投标文件的。</w:t>
      </w:r>
    </w:p>
    <w:p w14:paraId="0548F66B">
      <w:pPr>
        <w:pStyle w:val="36"/>
        <w:spacing w:beforeAutospacing="0" w:afterAutospacing="0" w:line="360" w:lineRule="auto"/>
        <w:jc w:val="both"/>
        <w:rPr>
          <w:rFonts w:ascii="宋体" w:hAnsi="宋体" w:eastAsia="宋体" w:cs="宋体"/>
          <w:color w:val="auto"/>
        </w:rPr>
      </w:pPr>
      <w:r>
        <w:rPr>
          <w:rFonts w:hint="eastAsia" w:ascii="宋体" w:hAnsi="宋体" w:eastAsia="宋体" w:cs="宋体"/>
          <w:color w:val="auto"/>
        </w:rPr>
        <w:t>27.1.3同一投标人提交两个（含两个）以上不同的投标报价的。</w:t>
      </w:r>
    </w:p>
    <w:p w14:paraId="22AE7E52">
      <w:pPr>
        <w:pStyle w:val="36"/>
        <w:spacing w:beforeAutospacing="0" w:afterAutospacing="0" w:line="360" w:lineRule="auto"/>
        <w:jc w:val="both"/>
        <w:rPr>
          <w:rFonts w:ascii="宋体" w:hAnsi="宋体" w:eastAsia="宋体" w:cs="宋体"/>
          <w:color w:val="auto"/>
        </w:rPr>
      </w:pPr>
      <w:r>
        <w:rPr>
          <w:rFonts w:hint="eastAsia" w:ascii="宋体" w:hAnsi="宋体" w:eastAsia="宋体" w:cs="宋体"/>
          <w:color w:val="auto"/>
        </w:rPr>
        <w:t>27.1.4投标人不具备招标文件中规定资格要求的。</w:t>
      </w:r>
    </w:p>
    <w:p w14:paraId="203778C1">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27.1.5投标人的报价超过了采购预算或最高限价的。</w:t>
      </w:r>
    </w:p>
    <w:p w14:paraId="0DC01A52">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27.1.6未通过符合性审查的。</w:t>
      </w:r>
    </w:p>
    <w:p w14:paraId="5305F233">
      <w:pPr>
        <w:pStyle w:val="36"/>
        <w:spacing w:beforeAutospacing="0" w:afterAutospacing="0" w:line="360" w:lineRule="auto"/>
        <w:ind w:firstLine="360"/>
        <w:jc w:val="both"/>
        <w:rPr>
          <w:rFonts w:ascii="宋体" w:hAnsi="宋体" w:eastAsia="宋体" w:cs="宋体"/>
          <w:color w:val="auto"/>
        </w:rPr>
      </w:pPr>
      <w:r>
        <w:rPr>
          <w:rFonts w:hint="eastAsia" w:ascii="宋体" w:hAnsi="宋体" w:eastAsia="宋体" w:cs="宋体"/>
          <w:color w:val="auto"/>
        </w:rPr>
        <w:t>27.1.7不符合招标文件中规定的实质性要求和条件的（</w:t>
      </w:r>
      <w:r>
        <w:rPr>
          <w:rFonts w:hint="eastAsia" w:ascii="宋体" w:hAnsi="宋体" w:eastAsia="宋体" w:cs="宋体"/>
          <w:i/>
          <w:color w:val="auto"/>
          <w:u w:val="single"/>
        </w:rPr>
        <w:t>本招标文件中斜体且有下划线部分为实质性要求和条件）。</w:t>
      </w:r>
    </w:p>
    <w:p w14:paraId="76C1DB47">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27.1.8投标人被“信用中国”网站（www.creditchina.gov.cn）列入失信被执行人或重大税收违法案件当事人名单或政府采购严重失信行为记录名单。或查询“信用中国”网站后发现投标人存在其他不符合《中华人民共和国政府采购法》第二十二条规定条件的信用记录。</w:t>
      </w:r>
    </w:p>
    <w:p w14:paraId="682AD7D5">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27.1.9投标文件含有采购人不能接受的附加条件的。</w:t>
      </w:r>
    </w:p>
    <w:p w14:paraId="078D6160">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27.1.10投标人不能证明其报价合理性的，评标委员会应当将其作为无效投标处理。</w:t>
      </w:r>
    </w:p>
    <w:p w14:paraId="4615043F">
      <w:pPr>
        <w:pStyle w:val="36"/>
        <w:spacing w:beforeAutospacing="0" w:afterAutospacing="0" w:line="360" w:lineRule="auto"/>
        <w:ind w:firstLine="480"/>
        <w:jc w:val="both"/>
        <w:rPr>
          <w:rFonts w:ascii="宋体" w:hAnsi="宋体" w:eastAsia="宋体" w:cs="宋体"/>
          <w:b/>
          <w:bCs/>
          <w:color w:val="auto"/>
        </w:rPr>
      </w:pPr>
      <w:r>
        <w:rPr>
          <w:rFonts w:hint="eastAsia" w:ascii="宋体" w:hAnsi="宋体" w:eastAsia="宋体" w:cs="宋体"/>
          <w:b/>
          <w:bCs/>
          <w:color w:val="auto"/>
        </w:rPr>
        <w:t>（一）评审过程中出现下列情形之一的，评标委员会应当启动异常低价投标审查程序：</w:t>
      </w:r>
    </w:p>
    <w:p w14:paraId="3A275FFC">
      <w:pPr>
        <w:pStyle w:val="36"/>
        <w:spacing w:beforeAutospacing="0" w:afterAutospacing="0" w:line="360" w:lineRule="auto"/>
        <w:ind w:firstLine="480"/>
        <w:jc w:val="both"/>
        <w:rPr>
          <w:rFonts w:ascii="宋体" w:hAnsi="宋体" w:eastAsia="宋体" w:cs="宋体"/>
          <w:b/>
          <w:bCs/>
          <w:color w:val="auto"/>
        </w:rPr>
      </w:pPr>
      <w:r>
        <w:rPr>
          <w:rFonts w:hint="eastAsia" w:ascii="宋体" w:hAnsi="宋体" w:eastAsia="宋体" w:cs="宋体"/>
          <w:b/>
          <w:bCs/>
          <w:color w:val="auto"/>
        </w:rPr>
        <w:t>1.投标（响应）报价低于全部通过符合性审查供应商投标（响应）报价平均值50%的，即投标（响应）报价&lt;全部通过符合性审查供应商投标（响应）报价平均值×50%；</w:t>
      </w:r>
    </w:p>
    <w:p w14:paraId="5A1BFB16">
      <w:pPr>
        <w:pStyle w:val="36"/>
        <w:spacing w:beforeAutospacing="0" w:afterAutospacing="0" w:line="360" w:lineRule="auto"/>
        <w:ind w:firstLine="480"/>
        <w:jc w:val="both"/>
        <w:rPr>
          <w:rFonts w:ascii="宋体" w:hAnsi="宋体" w:eastAsia="宋体" w:cs="宋体"/>
          <w:b/>
          <w:bCs/>
          <w:color w:val="auto"/>
        </w:rPr>
      </w:pPr>
      <w:r>
        <w:rPr>
          <w:rFonts w:hint="eastAsia" w:ascii="宋体" w:hAnsi="宋体" w:eastAsia="宋体" w:cs="宋体"/>
          <w:b/>
          <w:bCs/>
          <w:color w:val="auto"/>
        </w:rPr>
        <w:t>2.投标（响应）报价低于通过符合性审查的次低报价供应商投标（响应）报价50%的，即投标（响应）报价&lt;通过符合性审查的次低报价供应商投标（响应）报价×50%；</w:t>
      </w:r>
    </w:p>
    <w:p w14:paraId="05393271">
      <w:pPr>
        <w:pStyle w:val="36"/>
        <w:spacing w:beforeAutospacing="0" w:afterAutospacing="0" w:line="360" w:lineRule="auto"/>
        <w:ind w:firstLine="480"/>
        <w:jc w:val="both"/>
        <w:rPr>
          <w:rFonts w:ascii="宋体" w:hAnsi="宋体" w:eastAsia="宋体" w:cs="宋体"/>
          <w:b/>
          <w:bCs/>
          <w:color w:val="auto"/>
        </w:rPr>
      </w:pPr>
      <w:r>
        <w:rPr>
          <w:rFonts w:hint="eastAsia" w:ascii="宋体" w:hAnsi="宋体" w:eastAsia="宋体" w:cs="宋体"/>
          <w:b/>
          <w:bCs/>
          <w:color w:val="auto"/>
        </w:rPr>
        <w:t>3.投标（响应）报价低于采购项目最高限价45%的，即投标（响应）报价&lt;采购项目最高限价×45%；</w:t>
      </w:r>
    </w:p>
    <w:p w14:paraId="611DAF65">
      <w:pPr>
        <w:pStyle w:val="36"/>
        <w:spacing w:beforeAutospacing="0" w:afterAutospacing="0" w:line="360" w:lineRule="auto"/>
        <w:ind w:firstLine="480"/>
        <w:jc w:val="both"/>
        <w:rPr>
          <w:rFonts w:ascii="宋体" w:hAnsi="宋体" w:eastAsia="宋体" w:cs="宋体"/>
          <w:b/>
          <w:bCs/>
          <w:color w:val="auto"/>
        </w:rPr>
      </w:pPr>
      <w:r>
        <w:rPr>
          <w:rFonts w:hint="eastAsia" w:ascii="宋体" w:hAnsi="宋体" w:eastAsia="宋体" w:cs="宋体"/>
          <w:b/>
          <w:bCs/>
          <w:color w:val="auto"/>
        </w:rPr>
        <w:t>4.评审委员会基于专业判断，认为供应商报价过低，有可能影响产品质量或者不能诚信履约的其他情形。</w:t>
      </w:r>
    </w:p>
    <w:p w14:paraId="4A11EA5A">
      <w:pPr>
        <w:pStyle w:val="36"/>
        <w:spacing w:beforeAutospacing="0" w:afterAutospacing="0" w:line="360" w:lineRule="auto"/>
        <w:ind w:firstLine="480"/>
        <w:jc w:val="both"/>
        <w:rPr>
          <w:rFonts w:ascii="宋体" w:hAnsi="宋体" w:eastAsia="宋体" w:cs="宋体"/>
          <w:b/>
          <w:bCs/>
          <w:color w:val="auto"/>
          <w:u w:val="single"/>
        </w:rPr>
      </w:pPr>
      <w:r>
        <w:rPr>
          <w:rFonts w:hint="eastAsia" w:ascii="宋体" w:hAnsi="宋体" w:eastAsia="宋体" w:cs="宋体"/>
          <w:b/>
          <w:bCs/>
          <w:color w:val="auto"/>
          <w:u w:val="single"/>
        </w:rPr>
        <w:t>提醒：采购人可以结合具体项目实际情况，提高上述第1项至第3项中启动异常低价投标（响应）审查的数值标准，但是最高不得超过65%。</w:t>
      </w:r>
    </w:p>
    <w:p w14:paraId="6852F507">
      <w:pPr>
        <w:pStyle w:val="36"/>
        <w:spacing w:beforeAutospacing="0" w:afterAutospacing="0" w:line="360" w:lineRule="auto"/>
        <w:ind w:firstLine="480"/>
        <w:jc w:val="both"/>
        <w:rPr>
          <w:rFonts w:ascii="宋体" w:hAnsi="宋体" w:eastAsia="宋体" w:cs="宋体"/>
          <w:b/>
          <w:bCs/>
          <w:color w:val="auto"/>
        </w:rPr>
      </w:pPr>
      <w:r>
        <w:rPr>
          <w:rFonts w:hint="eastAsia" w:ascii="宋体" w:hAnsi="宋体" w:eastAsia="宋体" w:cs="宋体"/>
          <w:b/>
          <w:bCs/>
          <w:color w:val="auto"/>
        </w:rPr>
        <w:t>相关法律法规对供应商报价有规定的，从其规定。</w:t>
      </w:r>
    </w:p>
    <w:p w14:paraId="7962F46A">
      <w:pPr>
        <w:pStyle w:val="36"/>
        <w:spacing w:beforeAutospacing="0" w:afterAutospacing="0" w:line="360" w:lineRule="auto"/>
        <w:ind w:firstLine="480"/>
        <w:jc w:val="both"/>
        <w:rPr>
          <w:rFonts w:ascii="宋体" w:hAnsi="宋体" w:eastAsia="宋体" w:cs="宋体"/>
          <w:b/>
          <w:bCs/>
          <w:color w:val="auto"/>
        </w:rPr>
      </w:pPr>
      <w:r>
        <w:rPr>
          <w:rFonts w:hint="eastAsia" w:ascii="宋体" w:hAnsi="宋体" w:eastAsia="宋体" w:cs="宋体"/>
          <w:b/>
          <w:bCs/>
          <w:color w:val="auto"/>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B4CF94E">
      <w:pPr>
        <w:pStyle w:val="36"/>
        <w:spacing w:beforeAutospacing="0" w:afterAutospacing="0" w:line="360" w:lineRule="auto"/>
        <w:ind w:firstLine="480"/>
        <w:jc w:val="both"/>
        <w:rPr>
          <w:rFonts w:ascii="宋体" w:hAnsi="宋体" w:eastAsia="宋体" w:cs="宋体"/>
          <w:b/>
          <w:bCs/>
          <w:color w:val="auto"/>
        </w:rPr>
      </w:pPr>
      <w:r>
        <w:rPr>
          <w:rFonts w:hint="eastAsia" w:ascii="宋体" w:hAnsi="宋体" w:eastAsia="宋体" w:cs="宋体"/>
          <w:b/>
          <w:bCs/>
          <w:color w:val="auto"/>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42B51B5">
      <w:pPr>
        <w:pStyle w:val="36"/>
        <w:spacing w:beforeAutospacing="0" w:afterAutospacing="0" w:line="360" w:lineRule="auto"/>
        <w:ind w:firstLine="480"/>
        <w:jc w:val="both"/>
        <w:rPr>
          <w:rFonts w:ascii="宋体" w:hAnsi="宋体" w:eastAsia="宋体" w:cs="宋体"/>
          <w:b/>
          <w:bCs/>
          <w:color w:val="auto"/>
        </w:rPr>
      </w:pPr>
      <w:r>
        <w:rPr>
          <w:rFonts w:hint="eastAsia" w:ascii="宋体" w:hAnsi="宋体" w:eastAsia="宋体" w:cs="宋体"/>
          <w:b/>
          <w:bCs/>
          <w:color w:val="auto"/>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3736152">
      <w:pPr>
        <w:pStyle w:val="36"/>
        <w:spacing w:beforeAutospacing="0" w:afterAutospacing="0" w:line="360" w:lineRule="auto"/>
        <w:ind w:firstLine="480"/>
        <w:jc w:val="both"/>
        <w:rPr>
          <w:rFonts w:ascii="宋体" w:hAnsi="宋体" w:eastAsia="宋体" w:cs="宋体"/>
          <w:b/>
          <w:bCs/>
          <w:color w:val="auto"/>
        </w:rPr>
      </w:pPr>
      <w:r>
        <w:rPr>
          <w:rFonts w:hint="eastAsia" w:ascii="宋体" w:hAnsi="宋体" w:eastAsia="宋体" w:cs="宋体"/>
          <w:b/>
          <w:bCs/>
          <w:color w:val="auto"/>
        </w:rPr>
        <w:t>异常低价投标（响应）审查的启动原因、审查意见和审查结果应当在评审报告中记录，并随供应商提供的相关书面说明及证明材料，以及评审委员会有关互联网浏览、查询历史一并归档。</w:t>
      </w:r>
    </w:p>
    <w:p w14:paraId="01EB4D3E">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27.1.11本项目采购产品被财政部、国家发展改革委、生态环境部等列入“节能产品品目清单”“环境标志产品品目清单”强制采购范围，而投标人所投标产品不在强制采购范围内的。（投标产品如属于政府强制采购节能产品品目清单范围内，投标文件中必须提供国家确定的认证机构出具的、处于有效期之内的该节能产品认证证书图片）</w:t>
      </w:r>
    </w:p>
    <w:p w14:paraId="1759855D">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27.1.12投标文件未按照招标文件要求加盖CA电子公章的。</w:t>
      </w:r>
    </w:p>
    <w:p w14:paraId="2AD444FB">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27.1.13其他法律、法规及本招标文件规定的属无效投标的情形。</w:t>
      </w:r>
    </w:p>
    <w:p w14:paraId="1FB3CE29">
      <w:pPr>
        <w:pStyle w:val="36"/>
        <w:spacing w:beforeAutospacing="0" w:afterAutospacing="0" w:line="360" w:lineRule="auto"/>
        <w:jc w:val="both"/>
        <w:rPr>
          <w:rFonts w:ascii="宋体" w:hAnsi="宋体" w:eastAsia="宋体" w:cs="宋体"/>
          <w:color w:val="auto"/>
        </w:rPr>
      </w:pPr>
      <w:r>
        <w:rPr>
          <w:rFonts w:hint="eastAsia" w:ascii="宋体" w:hAnsi="宋体" w:eastAsia="宋体" w:cs="宋体"/>
          <w:color w:val="auto"/>
        </w:rPr>
        <w:t>27.2废标条款</w:t>
      </w:r>
    </w:p>
    <w:p w14:paraId="567B7685">
      <w:pPr>
        <w:pStyle w:val="36"/>
        <w:spacing w:beforeAutospacing="0" w:afterAutospacing="0" w:line="360" w:lineRule="auto"/>
        <w:jc w:val="both"/>
        <w:rPr>
          <w:rFonts w:ascii="宋体" w:hAnsi="宋体" w:eastAsia="宋体" w:cs="宋体"/>
          <w:color w:val="auto"/>
        </w:rPr>
      </w:pPr>
      <w:r>
        <w:rPr>
          <w:rFonts w:hint="eastAsia" w:ascii="宋体" w:hAnsi="宋体" w:eastAsia="宋体" w:cs="宋体"/>
          <w:color w:val="auto"/>
        </w:rPr>
        <w:t>27.2.1符合专业条件的供应商或者对招标文件作实质响应的供应商不足三家的。27.2.2出现影响采购公正的违法、违规行为的。</w:t>
      </w:r>
    </w:p>
    <w:p w14:paraId="3754452F">
      <w:pPr>
        <w:pStyle w:val="36"/>
        <w:spacing w:beforeAutospacing="0" w:afterAutospacing="0" w:line="360" w:lineRule="auto"/>
        <w:jc w:val="both"/>
        <w:rPr>
          <w:rFonts w:ascii="宋体" w:hAnsi="宋体" w:eastAsia="宋体" w:cs="宋体"/>
          <w:color w:val="auto"/>
        </w:rPr>
      </w:pPr>
      <w:r>
        <w:rPr>
          <w:rFonts w:hint="eastAsia" w:ascii="宋体" w:hAnsi="宋体" w:eastAsia="宋体" w:cs="宋体"/>
          <w:color w:val="auto"/>
        </w:rPr>
        <w:t>27.2.3因重大变故，采购任务取消的。</w:t>
      </w:r>
    </w:p>
    <w:p w14:paraId="226C9CEC">
      <w:pPr>
        <w:pStyle w:val="36"/>
        <w:spacing w:beforeAutospacing="0" w:afterAutospacing="0" w:line="360" w:lineRule="auto"/>
        <w:jc w:val="both"/>
        <w:rPr>
          <w:rFonts w:ascii="宋体" w:hAnsi="宋体" w:eastAsia="宋体" w:cs="宋体"/>
          <w:color w:val="auto"/>
        </w:rPr>
      </w:pPr>
      <w:r>
        <w:rPr>
          <w:rFonts w:hint="eastAsia" w:ascii="宋体" w:hAnsi="宋体" w:eastAsia="宋体" w:cs="宋体"/>
          <w:color w:val="auto"/>
        </w:rPr>
        <w:t>27.2.4评标委员会认定招标文件存在歧义、重大缺陷导致评审工作无法进行。</w:t>
      </w:r>
    </w:p>
    <w:p w14:paraId="3BD36707">
      <w:pPr>
        <w:pStyle w:val="36"/>
        <w:spacing w:beforeAutospacing="0" w:afterAutospacing="0" w:line="360" w:lineRule="auto"/>
        <w:jc w:val="both"/>
        <w:rPr>
          <w:rFonts w:ascii="宋体" w:hAnsi="宋体" w:eastAsia="宋体" w:cs="宋体"/>
          <w:color w:val="auto"/>
        </w:rPr>
      </w:pPr>
      <w:r>
        <w:rPr>
          <w:rFonts w:hint="eastAsia" w:ascii="宋体" w:hAnsi="宋体" w:eastAsia="宋体" w:cs="宋体"/>
          <w:color w:val="auto"/>
        </w:rPr>
        <w:t>27.2.5因苏采云系统故障原因造成开标不成功的。</w:t>
      </w:r>
    </w:p>
    <w:p w14:paraId="3D8A19B3">
      <w:pPr>
        <w:pStyle w:val="36"/>
        <w:spacing w:beforeAutospacing="0" w:afterAutospacing="0" w:line="360" w:lineRule="auto"/>
        <w:jc w:val="both"/>
        <w:rPr>
          <w:rFonts w:ascii="宋体" w:hAnsi="宋体" w:eastAsia="宋体" w:cs="宋体"/>
          <w:color w:val="auto"/>
        </w:rPr>
      </w:pPr>
      <w:r>
        <w:rPr>
          <w:rFonts w:hint="eastAsia" w:ascii="宋体" w:hAnsi="宋体" w:eastAsia="宋体" w:cs="宋体"/>
          <w:color w:val="auto"/>
        </w:rPr>
        <w:t>27.3投标截止时间结束后参加投标的供应商不足三家的处理：</w:t>
      </w:r>
    </w:p>
    <w:p w14:paraId="3318AB31">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27.3.1如出现投标截止时间结束后参加投标的供应商或者在评标期间对招标文件做出实质响应的供应商不足三家情况，按政府采购相关规定执行。</w:t>
      </w:r>
    </w:p>
    <w:p w14:paraId="196FDC71">
      <w:pPr>
        <w:pStyle w:val="36"/>
        <w:keepNext/>
        <w:keepLines/>
        <w:spacing w:beforeAutospacing="0" w:afterAutospacing="0" w:line="360" w:lineRule="auto"/>
        <w:ind w:firstLine="482"/>
        <w:jc w:val="both"/>
        <w:rPr>
          <w:rFonts w:ascii="宋体" w:hAnsi="宋体" w:eastAsia="宋体" w:cs="宋体"/>
          <w:color w:val="auto"/>
        </w:rPr>
      </w:pPr>
      <w:bookmarkStart w:id="140" w:name="_Toc120614219"/>
      <w:r>
        <w:rPr>
          <w:rFonts w:hint="eastAsia" w:ascii="宋体" w:hAnsi="宋体" w:eastAsia="宋体" w:cs="宋体"/>
          <w:b/>
          <w:color w:val="auto"/>
        </w:rPr>
        <w:t>六、定标</w:t>
      </w:r>
      <w:bookmarkEnd w:id="140"/>
    </w:p>
    <w:p w14:paraId="4FF24D38">
      <w:pPr>
        <w:pStyle w:val="36"/>
        <w:keepNext/>
        <w:keepLines/>
        <w:spacing w:beforeAutospacing="0" w:afterAutospacing="0" w:line="360" w:lineRule="auto"/>
        <w:ind w:firstLine="600"/>
        <w:jc w:val="both"/>
        <w:rPr>
          <w:rFonts w:ascii="宋体" w:hAnsi="宋体" w:eastAsia="宋体" w:cs="宋体"/>
          <w:color w:val="auto"/>
        </w:rPr>
      </w:pPr>
      <w:bookmarkStart w:id="141" w:name="_Toc20823310"/>
      <w:bookmarkStart w:id="142" w:name="_Toc513029238"/>
      <w:bookmarkStart w:id="143" w:name="_Toc16938554"/>
      <w:r>
        <w:rPr>
          <w:rFonts w:hint="eastAsia" w:ascii="宋体" w:hAnsi="宋体" w:eastAsia="宋体" w:cs="宋体"/>
          <w:color w:val="auto"/>
        </w:rPr>
        <w:t>28、</w:t>
      </w:r>
      <w:bookmarkEnd w:id="141"/>
      <w:r>
        <w:rPr>
          <w:rFonts w:hint="eastAsia" w:ascii="宋体" w:hAnsi="宋体" w:eastAsia="宋体" w:cs="宋体"/>
          <w:color w:val="auto"/>
        </w:rPr>
        <w:t>确定</w:t>
      </w:r>
      <w:bookmarkEnd w:id="142"/>
      <w:bookmarkEnd w:id="143"/>
      <w:r>
        <w:rPr>
          <w:rFonts w:hint="eastAsia" w:ascii="宋体" w:hAnsi="宋体" w:eastAsia="宋体" w:cs="宋体"/>
          <w:color w:val="auto"/>
        </w:rPr>
        <w:t>中标单位</w:t>
      </w:r>
    </w:p>
    <w:p w14:paraId="4970BCC3">
      <w:pPr>
        <w:pStyle w:val="36"/>
        <w:spacing w:beforeAutospacing="0" w:afterAutospacing="0" w:line="360" w:lineRule="auto"/>
        <w:ind w:firstLine="480"/>
        <w:jc w:val="both"/>
        <w:rPr>
          <w:rFonts w:hint="eastAsia" w:ascii="宋体" w:hAnsi="宋体" w:eastAsia="宋体" w:cs="宋体"/>
          <w:color w:val="auto"/>
          <w:lang w:eastAsia="zh-CN"/>
        </w:rPr>
      </w:pPr>
      <w:r>
        <w:rPr>
          <w:rFonts w:hint="eastAsia" w:ascii="宋体" w:hAnsi="宋体" w:eastAsia="宋体" w:cs="宋体"/>
          <w:color w:val="auto"/>
        </w:rPr>
        <w:t>28.1中标候选人的选取原则和数量见招标文件第五章规定。</w:t>
      </w:r>
    </w:p>
    <w:p w14:paraId="138B612C">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28.2采购人应根据评委会推荐的中标候选人确定中标人。</w:t>
      </w:r>
    </w:p>
    <w:p w14:paraId="13BA2E3A">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28.3代理机构将在中国政府采购网”“江苏政府采购网”“盐城市政府采购网</w:t>
      </w:r>
      <w:r>
        <w:rPr>
          <w:rFonts w:hint="eastAsia" w:ascii="宋体" w:hAnsi="宋体" w:eastAsia="宋体" w:cs="宋体"/>
          <w:color w:val="auto"/>
          <w:shd w:val="clear" w:color="auto" w:fill="FFFFFF"/>
        </w:rPr>
        <w:t>”</w:t>
      </w:r>
      <w:r>
        <w:rPr>
          <w:rFonts w:hint="eastAsia" w:ascii="宋体" w:hAnsi="宋体" w:eastAsia="宋体" w:cs="宋体"/>
          <w:color w:val="auto"/>
        </w:rPr>
        <w:t>发布中标公告，公告期限为1个工作日。</w:t>
      </w:r>
    </w:p>
    <w:p w14:paraId="7CDA4280">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28.4若有充分证据证明，中标人出现下列情况之一的，一经查实，将被取消中标资格：</w:t>
      </w:r>
    </w:p>
    <w:p w14:paraId="49633450">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28.4.1提供虚假材料谋取中标的。</w:t>
      </w:r>
    </w:p>
    <w:p w14:paraId="6AAA4164">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28.4.2向采购人、代理机构行贿或者提供其他不正当利益的。</w:t>
      </w:r>
    </w:p>
    <w:p w14:paraId="70D750E2">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28.4.3属于本文件规定的无效条件，但在评标过程中又未被评委会发现的。</w:t>
      </w:r>
    </w:p>
    <w:p w14:paraId="4CB4F8FB">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28.4.4与采购人或者其他供应商恶意串通的。</w:t>
      </w:r>
    </w:p>
    <w:p w14:paraId="40965930">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28.4.5采取不正当手段诋毁、排挤其他供应商的。</w:t>
      </w:r>
    </w:p>
    <w:p w14:paraId="6A37E692">
      <w:pPr>
        <w:pStyle w:val="36"/>
        <w:spacing w:beforeAutospacing="0" w:afterAutospacing="0" w:line="360" w:lineRule="auto"/>
        <w:ind w:firstLine="480"/>
        <w:jc w:val="both"/>
        <w:rPr>
          <w:rFonts w:ascii="宋体" w:hAnsi="宋体" w:eastAsia="宋体" w:cs="宋体"/>
          <w:color w:val="auto"/>
        </w:rPr>
      </w:pPr>
      <w:bookmarkStart w:id="144" w:name="_Toc200451960"/>
      <w:r>
        <w:rPr>
          <w:rFonts w:hint="eastAsia" w:ascii="宋体" w:hAnsi="宋体" w:eastAsia="宋体" w:cs="宋体"/>
          <w:color w:val="auto"/>
        </w:rPr>
        <w:t>28.5.有下列情形之一的，视为投标人串通投标，投标无效：</w:t>
      </w:r>
      <w:bookmarkEnd w:id="144"/>
    </w:p>
    <w:p w14:paraId="46E5BB01">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28.5.1不同投标人的投标文件由同一单位或者个人编制；</w:t>
      </w:r>
    </w:p>
    <w:p w14:paraId="01B281E6">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28.5.2不同投标人委托同一单位或者个人办理投标事宜；</w:t>
      </w:r>
    </w:p>
    <w:p w14:paraId="6709B8FC">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28.5.3不同投标人的投标文件载明的项目管理成员或者联系人员为同一人；</w:t>
      </w:r>
    </w:p>
    <w:p w14:paraId="10ED2646">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28.5.4不同投标人的投标文件异常一致或者投标报价呈规律性差异；</w:t>
      </w:r>
    </w:p>
    <w:p w14:paraId="5F6F2AED">
      <w:pPr>
        <w:pStyle w:val="36"/>
        <w:keepNext/>
        <w:keepLines/>
        <w:spacing w:beforeAutospacing="0" w:afterAutospacing="0" w:line="360" w:lineRule="auto"/>
        <w:ind w:firstLine="600"/>
        <w:jc w:val="both"/>
        <w:rPr>
          <w:rFonts w:ascii="宋体" w:hAnsi="宋体" w:eastAsia="宋体" w:cs="宋体"/>
          <w:color w:val="auto"/>
        </w:rPr>
      </w:pPr>
      <w:r>
        <w:rPr>
          <w:rFonts w:hint="eastAsia" w:ascii="宋体" w:hAnsi="宋体" w:eastAsia="宋体" w:cs="宋体"/>
          <w:color w:val="auto"/>
        </w:rPr>
        <w:t>29、质疑处理</w:t>
      </w:r>
    </w:p>
    <w:p w14:paraId="4983E4C2">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29.1提出质疑的供应商应当是参与所质疑项目采购活动的供应商。潜在供应商依法获取其可质疑的采购文件的，可以对采购文件提出质疑。</w:t>
      </w:r>
    </w:p>
    <w:p w14:paraId="372AC284">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29.2供应商认为采购文件、采购过程和采购结果使自己的权益受到损害的，可以在知道或应知其权益受到损害之日起七个工作日内，以书面形式根据下述29.4条款的规定向代理机构或采购人提出质疑。上述应知其权益受到损害之日，是指：</w:t>
      </w:r>
    </w:p>
    <w:p w14:paraId="4EC383D7">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29.2.1对可以质疑的采购文件提出质疑的，为收到采购文件之日或者采购文件公告期限届满之日；</w:t>
      </w:r>
    </w:p>
    <w:p w14:paraId="66B3ED2A">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29.2.2对采购过程提出质疑的，为各采购程序环节结束之日；</w:t>
      </w:r>
    </w:p>
    <w:p w14:paraId="2AD643AF">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29.2.3对中标或者成交结果提出质疑的，为中标或者成交结果公告期限届满之日。</w:t>
      </w:r>
    </w:p>
    <w:p w14:paraId="59FB601A">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供应商应当在法定质疑期内一次性提出针对同一采购程序环节的质疑。供应商如在法定期限内对同一采购程序环节提出多次质疑的，代理机构、采购人将只对供应商第一次质疑作出答复。</w:t>
      </w:r>
    </w:p>
    <w:p w14:paraId="2CF57036">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29.3质疑函必须按照本招标文件中《质疑函范本》要求的格式和内容进行填写。供应商如组成联合体参加投标，则《质疑函范本》中要求签字、盖章、加盖公章之处，联合体各方均须按要求签字、盖章、加盖公章。</w:t>
      </w:r>
    </w:p>
    <w:p w14:paraId="727E1714">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29.4供应商（含潜在供应商）对采购方式、招标文件中采购需求、供应商资格条件、评标方法和评标标准、合同文本及资格审查结果的询问、质疑请向采购人提出，由采购人负责答复。供应商对其他事项的询问、质疑请向代理机构提出，由代理机构负责答复。</w:t>
      </w:r>
    </w:p>
    <w:p w14:paraId="20D2FBCA">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采购人及采购代理机构只接收以纸质原件形式送达的质疑,采购人和采购代理机构不接受未填写快递运单的快件。质疑接收部门联系地址:详见采购公告，联系电话:详见采购公告。</w:t>
      </w:r>
    </w:p>
    <w:p w14:paraId="0C820D17">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29.5以下情形的质疑不予受理</w:t>
      </w:r>
    </w:p>
    <w:p w14:paraId="4D66869C">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29.5.1内容不符合《政府采购质疑和投诉办法》第十二条规定的质疑。</w:t>
      </w:r>
    </w:p>
    <w:p w14:paraId="23C402E3">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29.5.2超出政府采购法定期限的质疑。</w:t>
      </w:r>
    </w:p>
    <w:p w14:paraId="0C8516E6">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29.5.3以传真、电子邮件等方式递交的非原件形式的质疑。</w:t>
      </w:r>
    </w:p>
    <w:p w14:paraId="6E4733BA">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29.5.4未参加投标活动的供应商或在投标活动中自身权益未受到损害的供应商所提出的质疑。</w:t>
      </w:r>
    </w:p>
    <w:p w14:paraId="3AD0D650">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29.5.5供应商组成联合体参加投标，联合体中任何一方或多方未按要求签字、盖章、加盖公章的质疑。</w:t>
      </w:r>
    </w:p>
    <w:p w14:paraId="0CB59B45">
      <w:pPr>
        <w:pStyle w:val="36"/>
        <w:spacing w:beforeAutospacing="0" w:afterAutospacing="0" w:line="360" w:lineRule="auto"/>
        <w:ind w:firstLine="468"/>
        <w:jc w:val="both"/>
        <w:rPr>
          <w:rFonts w:ascii="宋体" w:hAnsi="宋体" w:eastAsia="宋体" w:cs="宋体"/>
          <w:color w:val="auto"/>
        </w:rPr>
      </w:pPr>
      <w:r>
        <w:rPr>
          <w:rFonts w:hint="eastAsia" w:ascii="宋体" w:hAnsi="宋体" w:eastAsia="宋体" w:cs="宋体"/>
          <w:color w:val="auto"/>
        </w:rPr>
        <w:t>29.6供应商提出书面质疑必须有理、有据，不得捏造事实、提供虚假材料进行恶意质疑。否则，一经查实，代理机构有权依据政府采购的有关规定，报请政府采购监管部门对该供应商进行相应的行政处罚和记录该供应商的失信信息。</w:t>
      </w:r>
    </w:p>
    <w:p w14:paraId="1927AB53">
      <w:pPr>
        <w:pStyle w:val="36"/>
        <w:keepNext/>
        <w:keepLines/>
        <w:spacing w:beforeAutospacing="0" w:afterAutospacing="0" w:line="360" w:lineRule="auto"/>
        <w:ind w:firstLine="600"/>
        <w:jc w:val="both"/>
        <w:rPr>
          <w:rFonts w:ascii="宋体" w:hAnsi="宋体" w:eastAsia="宋体" w:cs="宋体"/>
          <w:color w:val="auto"/>
        </w:rPr>
      </w:pPr>
      <w:r>
        <w:rPr>
          <w:rFonts w:hint="eastAsia" w:ascii="宋体" w:hAnsi="宋体" w:eastAsia="宋体" w:cs="宋体"/>
          <w:color w:val="auto"/>
        </w:rPr>
        <w:t>30、中标通知书</w:t>
      </w:r>
    </w:p>
    <w:p w14:paraId="1118C84B">
      <w:pPr>
        <w:pStyle w:val="36"/>
        <w:spacing w:beforeAutospacing="0" w:afterAutospacing="0" w:line="360" w:lineRule="auto"/>
        <w:ind w:firstLine="600"/>
        <w:jc w:val="both"/>
        <w:rPr>
          <w:rFonts w:ascii="宋体" w:hAnsi="宋体" w:eastAsia="宋体" w:cs="宋体"/>
          <w:color w:val="auto"/>
        </w:rPr>
      </w:pPr>
      <w:r>
        <w:rPr>
          <w:rFonts w:hint="eastAsia" w:ascii="宋体" w:hAnsi="宋体" w:eastAsia="宋体" w:cs="宋体"/>
          <w:color w:val="auto"/>
        </w:rPr>
        <w:t>30.l中标结果确定后，代理机构将向中标人发出中标通知书。请中标人在中标结果公告届满之日起30日内,使用CA数字证书登录苏采云系统及时下载中标通知书。因系统存储空间有限，自中标结果公告届满之日起30日后，苏采云系统不再保证提供下载中标通知书服务,因未及时下载而造成的不利后果由中标人自行承担。</w:t>
      </w:r>
    </w:p>
    <w:p w14:paraId="52B9CDA2">
      <w:pPr>
        <w:pStyle w:val="36"/>
        <w:spacing w:beforeAutospacing="0" w:afterAutospacing="0" w:line="360" w:lineRule="auto"/>
        <w:ind w:firstLine="600"/>
        <w:jc w:val="both"/>
        <w:rPr>
          <w:rFonts w:ascii="宋体" w:hAnsi="宋体" w:eastAsia="宋体" w:cs="宋体"/>
          <w:color w:val="auto"/>
        </w:rPr>
      </w:pPr>
      <w:r>
        <w:rPr>
          <w:rFonts w:hint="eastAsia" w:ascii="宋体" w:hAnsi="宋体" w:eastAsia="宋体" w:cs="宋体"/>
          <w:color w:val="auto"/>
        </w:rPr>
        <w:t>30.2中标通知书将是合同的一个组成部分。对采购人和中标供应商均具有法律效力。中标通知书发出后，采购人改变中标结果的，或者中标供应商放弃中标项目的，应当依法承担法律责任。</w:t>
      </w:r>
    </w:p>
    <w:p w14:paraId="6B8FAC06">
      <w:pPr>
        <w:pStyle w:val="36"/>
        <w:keepNext/>
        <w:keepLines/>
        <w:spacing w:beforeAutospacing="0" w:afterAutospacing="0" w:line="360" w:lineRule="auto"/>
        <w:jc w:val="both"/>
        <w:rPr>
          <w:rFonts w:ascii="宋体" w:hAnsi="宋体" w:eastAsia="宋体" w:cs="宋体"/>
          <w:color w:val="auto"/>
        </w:rPr>
      </w:pPr>
      <w:bookmarkStart w:id="145" w:name="_Toc20823308"/>
      <w:bookmarkStart w:id="146" w:name="_Toc120614220"/>
      <w:bookmarkStart w:id="147" w:name="_Toc16938552"/>
      <w:bookmarkStart w:id="148" w:name="_Toc513029236"/>
      <w:r>
        <w:rPr>
          <w:rFonts w:hint="eastAsia" w:ascii="宋体" w:hAnsi="宋体" w:eastAsia="宋体" w:cs="宋体"/>
          <w:b/>
          <w:color w:val="auto"/>
        </w:rPr>
        <w:t>七、授予合同</w:t>
      </w:r>
      <w:bookmarkEnd w:id="145"/>
      <w:bookmarkEnd w:id="146"/>
      <w:bookmarkEnd w:id="147"/>
      <w:bookmarkEnd w:id="148"/>
    </w:p>
    <w:p w14:paraId="5E0667B3">
      <w:pPr>
        <w:pStyle w:val="36"/>
        <w:keepNext/>
        <w:keepLines/>
        <w:spacing w:beforeAutospacing="0" w:afterAutospacing="0" w:line="360" w:lineRule="auto"/>
        <w:ind w:firstLine="600"/>
        <w:jc w:val="both"/>
        <w:rPr>
          <w:rFonts w:ascii="宋体" w:hAnsi="宋体" w:eastAsia="宋体" w:cs="宋体"/>
          <w:color w:val="auto"/>
        </w:rPr>
      </w:pPr>
      <w:bookmarkStart w:id="149" w:name="_Toc16938553"/>
      <w:bookmarkStart w:id="150" w:name="_Toc20823309"/>
      <w:bookmarkStart w:id="151" w:name="_Toc513029237"/>
      <w:r>
        <w:rPr>
          <w:rFonts w:hint="eastAsia" w:ascii="宋体" w:hAnsi="宋体" w:eastAsia="宋体" w:cs="宋体"/>
          <w:color w:val="auto"/>
        </w:rPr>
        <w:t>31.签订合同</w:t>
      </w:r>
      <w:bookmarkEnd w:id="149"/>
      <w:bookmarkEnd w:id="150"/>
      <w:bookmarkEnd w:id="151"/>
    </w:p>
    <w:p w14:paraId="5B561567">
      <w:pPr>
        <w:pStyle w:val="36"/>
        <w:spacing w:beforeAutospacing="0" w:afterAutospacing="0" w:line="360" w:lineRule="auto"/>
        <w:ind w:firstLine="600"/>
        <w:jc w:val="both"/>
        <w:rPr>
          <w:rFonts w:ascii="宋体" w:hAnsi="宋体" w:eastAsia="宋体" w:cs="宋体"/>
          <w:color w:val="auto"/>
        </w:rPr>
      </w:pPr>
      <w:r>
        <w:rPr>
          <w:rFonts w:hint="eastAsia" w:ascii="宋体" w:hAnsi="宋体" w:eastAsia="宋体" w:cs="宋体"/>
          <w:color w:val="auto"/>
        </w:rPr>
        <w:t>31.l中标人应当在中标通知书发出之日起三十日内，按照招标文件确定的事项与采购人签订政府采购合同。</w:t>
      </w:r>
    </w:p>
    <w:p w14:paraId="3B060325">
      <w:pPr>
        <w:pStyle w:val="36"/>
        <w:spacing w:beforeAutospacing="0" w:afterAutospacing="0" w:line="360" w:lineRule="auto"/>
        <w:ind w:firstLine="600"/>
        <w:jc w:val="both"/>
        <w:rPr>
          <w:rFonts w:ascii="宋体" w:hAnsi="宋体" w:eastAsia="宋体" w:cs="宋体"/>
          <w:color w:val="auto"/>
        </w:rPr>
      </w:pPr>
      <w:r>
        <w:rPr>
          <w:rFonts w:hint="eastAsia" w:ascii="宋体" w:hAnsi="宋体" w:eastAsia="宋体" w:cs="宋体"/>
          <w:color w:val="auto"/>
        </w:rPr>
        <w:t>31.2招标文件、中标人的投标文件及招标过程中有关澄清、承诺文件均应作为合同附件。</w:t>
      </w:r>
    </w:p>
    <w:p w14:paraId="10560705">
      <w:pPr>
        <w:pStyle w:val="36"/>
        <w:spacing w:beforeAutospacing="0" w:afterAutospacing="0" w:line="360" w:lineRule="auto"/>
        <w:ind w:firstLine="600"/>
        <w:jc w:val="both"/>
        <w:rPr>
          <w:rFonts w:ascii="宋体" w:hAnsi="宋体" w:eastAsia="宋体" w:cs="宋体"/>
          <w:color w:val="auto"/>
        </w:rPr>
      </w:pPr>
      <w:r>
        <w:rPr>
          <w:rFonts w:hint="eastAsia" w:ascii="宋体" w:hAnsi="宋体" w:eastAsia="宋体" w:cs="宋体"/>
          <w:color w:val="auto"/>
        </w:rPr>
        <w:t>31.3签订合同后，</w:t>
      </w:r>
      <w:r>
        <w:rPr>
          <w:rFonts w:hint="eastAsia" w:ascii="宋体" w:hAnsi="宋体" w:eastAsia="宋体" w:cs="宋体"/>
          <w:i/>
          <w:color w:val="auto"/>
          <w:u w:val="single"/>
        </w:rPr>
        <w:t>中标人不得将合同标的进行转包</w:t>
      </w:r>
      <w:r>
        <w:rPr>
          <w:rFonts w:hint="eastAsia" w:ascii="宋体" w:hAnsi="宋体" w:eastAsia="宋体" w:cs="宋体"/>
          <w:color w:val="auto"/>
        </w:rPr>
        <w:t>。未经采购人同意，中标人也不得采用分包的形式履行合同，否则采购人有权终止合同。转包或分包造成采购人损失的，中标人应承担相应赔偿责任。</w:t>
      </w:r>
    </w:p>
    <w:p w14:paraId="5E6D5BE4">
      <w:pPr>
        <w:pStyle w:val="36"/>
        <w:keepNext/>
        <w:keepLines/>
        <w:spacing w:beforeAutospacing="0" w:afterAutospacing="0" w:line="360" w:lineRule="auto"/>
        <w:ind w:firstLine="600"/>
        <w:jc w:val="both"/>
        <w:rPr>
          <w:rFonts w:ascii="宋体" w:hAnsi="宋体" w:eastAsia="宋体" w:cs="宋体"/>
          <w:color w:val="auto"/>
        </w:rPr>
      </w:pPr>
      <w:r>
        <w:rPr>
          <w:rFonts w:hint="eastAsia" w:ascii="宋体" w:hAnsi="宋体" w:eastAsia="宋体" w:cs="宋体"/>
          <w:color w:val="auto"/>
        </w:rPr>
        <w:t>32、货物（包含与货物相关的服务）的追加</w:t>
      </w:r>
    </w:p>
    <w:p w14:paraId="07711004">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32.1政府采购合同履行中，采购人需追加与合同标的相同的货物（包含与货物相关的服务）的，在不改变合同其他条款的前提下，可以与中标人协商签订补充合同，但所有补充合同的采购金额不超过原合同金额10%。</w:t>
      </w:r>
    </w:p>
    <w:p w14:paraId="540D937F">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33.政府采购政策功能落实</w:t>
      </w:r>
    </w:p>
    <w:p w14:paraId="14C8FCA4">
      <w:pPr>
        <w:pStyle w:val="36"/>
        <w:keepNext/>
        <w:keepLines/>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33.1政府采购线上合同信用融资政策</w:t>
      </w:r>
    </w:p>
    <w:p w14:paraId="68E13838">
      <w:pPr>
        <w:pStyle w:val="36"/>
        <w:spacing w:beforeAutospacing="0" w:afterAutospacing="0" w:line="360" w:lineRule="auto"/>
        <w:ind w:firstLine="480"/>
        <w:jc w:val="both"/>
        <w:rPr>
          <w:rFonts w:hint="eastAsia" w:ascii="宋体" w:hAnsi="宋体" w:eastAsia="宋体" w:cs="宋体"/>
          <w:color w:val="auto"/>
          <w:lang w:eastAsia="zh-CN"/>
        </w:rPr>
      </w:pPr>
      <w:r>
        <w:rPr>
          <w:rFonts w:hint="eastAsia" w:ascii="宋体" w:hAnsi="宋体" w:eastAsia="宋体" w:cs="宋体"/>
          <w:color w:val="auto"/>
        </w:rPr>
        <w:t>根据《转发江苏省财政厅中国人民银行南京分行〈关于深入推进政府采购线上合同信用融资工作的通知〉的通知》（盐财购〔2021〕20号）规定，中标供应商如有融资需求，可持政府采购合同在线向相关金融机构（具体信息详见江苏省政府采购网“政采贷”栏目）申请贷款，相关金融机构按照双方自愿的原则提供便捷、优惠的贷款服务；具体操作流程请参考苏采云系统中操作手册。</w:t>
      </w:r>
    </w:p>
    <w:p w14:paraId="1FA9B6C8">
      <w:pPr>
        <w:tabs>
          <w:tab w:val="left" w:pos="1381"/>
        </w:tabs>
        <w:spacing w:line="360" w:lineRule="auto"/>
        <w:ind w:firstLine="482"/>
        <w:rPr>
          <w:rFonts w:ascii="宋体" w:hAnsi="宋体" w:eastAsia="宋体" w:cs="宋体"/>
          <w:color w:val="auto"/>
          <w:sz w:val="24"/>
        </w:rPr>
      </w:pPr>
      <w:r>
        <w:rPr>
          <w:rFonts w:hint="eastAsia" w:ascii="宋体" w:hAnsi="宋体" w:eastAsia="宋体" w:cs="宋体"/>
          <w:color w:val="auto"/>
          <w:sz w:val="24"/>
        </w:rPr>
        <w:t>33.2进口产品</w:t>
      </w:r>
    </w:p>
    <w:p w14:paraId="594C3F94">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1AA4A41">
      <w:pPr>
        <w:tabs>
          <w:tab w:val="left" w:pos="1381"/>
        </w:tabs>
        <w:spacing w:line="360" w:lineRule="auto"/>
        <w:ind w:firstLine="482"/>
        <w:rPr>
          <w:rFonts w:ascii="宋体" w:hAnsi="宋体" w:eastAsia="宋体" w:cs="宋体"/>
          <w:color w:val="auto"/>
          <w:sz w:val="24"/>
        </w:rPr>
      </w:pPr>
      <w:r>
        <w:rPr>
          <w:rFonts w:hint="eastAsia" w:ascii="宋体" w:hAnsi="宋体" w:eastAsia="宋体" w:cs="宋体"/>
          <w:color w:val="auto"/>
          <w:sz w:val="24"/>
        </w:rPr>
        <w:t>33.3中小企业、监狱企业及残疾人福利性单位</w:t>
      </w:r>
    </w:p>
    <w:p w14:paraId="72257EDD">
      <w:pPr>
        <w:spacing w:line="360" w:lineRule="auto"/>
        <w:ind w:firstLine="480"/>
        <w:rPr>
          <w:rFonts w:ascii="宋体" w:hAnsi="宋体" w:eastAsia="宋体" w:cs="宋体"/>
          <w:color w:val="auto"/>
          <w:sz w:val="24"/>
        </w:rPr>
      </w:pPr>
      <w:r>
        <w:rPr>
          <w:rFonts w:hint="eastAsia" w:ascii="宋体" w:hAnsi="宋体" w:eastAsia="宋体" w:cs="宋体"/>
          <w:color w:val="auto"/>
          <w:sz w:val="24"/>
        </w:rPr>
        <w:t>33.3.1中小企业定义：</w:t>
      </w:r>
    </w:p>
    <w:p w14:paraId="46F3FB93">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政府采购促进中小企业发展管理办法》（财库〔2020〕46号）、《关于印发中小企业划型标准规定的通知》（工信部联企业〔2011〕300号）、《国务院关于进一步促进中小企业发展的若干意见》（国发〔2009〕36号）。</w:t>
      </w:r>
    </w:p>
    <w:p w14:paraId="41035319">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33.3.2供应商提供的货物、工程或者服务符合下列情形的，享受中小企业扶持政策：</w:t>
      </w:r>
    </w:p>
    <w:p w14:paraId="493A665F">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33.3.2.1在货物采购项目中，货物由中小企业制造，即货物由中小企业生产且使用该中小企业商号或者注册商标；</w:t>
      </w:r>
    </w:p>
    <w:p w14:paraId="04101A3C">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33.3.2.2在工程采购项目中，工程由中小企业承建，即工程施工单位为中小企业；</w:t>
      </w:r>
    </w:p>
    <w:p w14:paraId="7C2D9867">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33.3.2.3在服务采购项目中，服务由中小企业承接，即提供服务的人员为中小企业依照《中华人民共和国劳动合同法》订立劳动合同的从业人员。</w:t>
      </w:r>
    </w:p>
    <w:p w14:paraId="7F4B90EF">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33.3.3在货物采购项目中，供应商提供的货物既有中小企业制造货物，也有大型企业制造货物的，不享受中小企业扶持政策。</w:t>
      </w:r>
    </w:p>
    <w:p w14:paraId="6D9BE522">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33.3.4以联合体形式参加政府采购活动，联合体各方均为中小企业的，联合体视同中小企业。其中，联合体各方均为小微企业的，联合体视同小微企业。</w:t>
      </w:r>
    </w:p>
    <w:p w14:paraId="77FD1A8A">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33.3.5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40C8A05">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33.3.6残疾人福利单位定义：享受政府采购支持政策的残疾人福利性单位应当同时满足以下条件：</w:t>
      </w:r>
    </w:p>
    <w:p w14:paraId="46212080">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33.3.6.1安置的残疾人占本单位在职职工人数的比例不低于25%（含25%），并且安置的残疾人人数不少于10人（含10人）；</w:t>
      </w:r>
    </w:p>
    <w:p w14:paraId="1F99EA2C">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33.3.6.2依法与安置的每位残疾人签订了一年以上（含一年）的劳动合同或服务协议；</w:t>
      </w:r>
    </w:p>
    <w:p w14:paraId="5AEC52A5">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33.3.6.3为安置的每位残疾人按月足额缴纳了基本养老保险、基本医疗保险、失业保险、工伤保险和生育保险等社会保险费；</w:t>
      </w:r>
    </w:p>
    <w:p w14:paraId="693457A0">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33.3.6.4通过银行等金融机构向安置的每位残疾人，按月支付了不低于单位所在区县适用的经省级人民政府批准的月最低工资标准的工资；</w:t>
      </w:r>
    </w:p>
    <w:p w14:paraId="18DD5172">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33.3.6.5提供本单位制造的货物、承担的工程或者服务（以下简称产品），或者提供其他残疾人福利性单位制造的货物（不包括使用非残疾人福利性单位注册商标的货物）；</w:t>
      </w:r>
    </w:p>
    <w:p w14:paraId="484B74E6">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33.3.6.6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4AD9D512">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33.3.7本项目是否专门面向中小企业预留采购份额见第一章《招标公告》。</w:t>
      </w:r>
    </w:p>
    <w:p w14:paraId="5BBF8D00">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33.3.8采购标的对应的中小企业划分标准所属行业见第四章《采购需求》。</w:t>
      </w:r>
    </w:p>
    <w:p w14:paraId="6FFBF83A">
      <w:pPr>
        <w:pStyle w:val="36"/>
        <w:spacing w:beforeAutospacing="0" w:afterAutospacing="0" w:line="360" w:lineRule="auto"/>
        <w:ind w:firstLine="480"/>
        <w:jc w:val="both"/>
        <w:rPr>
          <w:rFonts w:ascii="宋体" w:hAnsi="宋体" w:eastAsia="宋体" w:cs="宋体"/>
          <w:color w:val="auto"/>
        </w:rPr>
      </w:pPr>
      <w:r>
        <w:rPr>
          <w:rFonts w:hint="eastAsia" w:ascii="宋体" w:hAnsi="宋体" w:eastAsia="宋体" w:cs="宋体"/>
          <w:color w:val="auto"/>
        </w:rPr>
        <w:t>33.3.9小微企业价格评审优惠的政策：见第五章《评标方法和评标标准》。</w:t>
      </w:r>
    </w:p>
    <w:p w14:paraId="07E6C802">
      <w:pPr>
        <w:tabs>
          <w:tab w:val="left" w:pos="1381"/>
        </w:tabs>
        <w:spacing w:line="360" w:lineRule="auto"/>
        <w:ind w:firstLine="482"/>
        <w:rPr>
          <w:rFonts w:ascii="宋体" w:hAnsi="宋体" w:eastAsia="宋体" w:cs="宋体"/>
          <w:color w:val="auto"/>
          <w:sz w:val="24"/>
        </w:rPr>
      </w:pPr>
      <w:r>
        <w:rPr>
          <w:rFonts w:hint="eastAsia" w:ascii="宋体" w:hAnsi="宋体" w:eastAsia="宋体" w:cs="宋体"/>
          <w:color w:val="auto"/>
          <w:sz w:val="24"/>
        </w:rPr>
        <w:t>33.4政府采购节能产品、环境标志产品</w:t>
      </w:r>
    </w:p>
    <w:p w14:paraId="7AE0C7D7">
      <w:pPr>
        <w:spacing w:line="360" w:lineRule="auto"/>
        <w:ind w:firstLine="480"/>
        <w:rPr>
          <w:rFonts w:ascii="宋体" w:hAnsi="宋体" w:eastAsia="宋体" w:cs="宋体"/>
          <w:color w:val="auto"/>
          <w:sz w:val="24"/>
        </w:rPr>
      </w:pPr>
      <w:r>
        <w:rPr>
          <w:rFonts w:hint="eastAsia" w:ascii="宋体" w:hAnsi="宋体" w:eastAsia="宋体" w:cs="宋体"/>
          <w:color w:val="auto"/>
          <w:sz w:val="24"/>
        </w:rPr>
        <w:t>33.4.1严格执行政府采购关于支持节能产品、环境标志产品的相关政策规定。如本次采购的产品属于财政部、国家发展改革委、生态环境部、市场监管总局等部门发布的节能产品、环境标志产品品目清单政府强制采购范围的，供应商必须在响应文件中提供所投产品的相关证书(由国家确定的认证机构出具的、处于有效期之内的节能产品、环境标志产品认证证书)。节能产品、环境标志产品品目清单以递交响应文件截止时已正式公布的最近一期信息为准，</w:t>
      </w:r>
      <w:r>
        <w:rPr>
          <w:rFonts w:hint="eastAsia" w:ascii="宋体" w:hAnsi="宋体" w:eastAsia="宋体" w:cs="宋体"/>
          <w:b/>
          <w:i/>
          <w:color w:val="auto"/>
          <w:sz w:val="24"/>
        </w:rPr>
        <w:t>如属政府强制采购产品未提供认证证书的或认证证书提供不全的将视为未实质性响应采购要求</w:t>
      </w:r>
      <w:r>
        <w:rPr>
          <w:rFonts w:hint="eastAsia" w:ascii="宋体" w:hAnsi="宋体" w:eastAsia="宋体" w:cs="宋体"/>
          <w:i/>
          <w:color w:val="auto"/>
          <w:sz w:val="24"/>
        </w:rPr>
        <w:t>。</w:t>
      </w:r>
      <w:r>
        <w:rPr>
          <w:rFonts w:hint="eastAsia" w:ascii="宋体" w:hAnsi="宋体" w:eastAsia="宋体" w:cs="宋体"/>
          <w:color w:val="auto"/>
          <w:sz w:val="24"/>
        </w:rPr>
        <w:t>其他条件相同情况下，应当优先采购节能产品、环境标志产品。</w:t>
      </w:r>
    </w:p>
    <w:p w14:paraId="7763313C">
      <w:pPr>
        <w:spacing w:line="360" w:lineRule="auto"/>
        <w:ind w:firstLine="480"/>
        <w:rPr>
          <w:rFonts w:ascii="宋体" w:hAnsi="宋体" w:eastAsia="宋体" w:cs="宋体"/>
          <w:color w:val="auto"/>
          <w:sz w:val="24"/>
        </w:rPr>
      </w:pPr>
      <w:r>
        <w:rPr>
          <w:rFonts w:hint="eastAsia" w:ascii="宋体" w:hAnsi="宋体" w:eastAsia="宋体" w:cs="宋体"/>
          <w:color w:val="auto"/>
          <w:sz w:val="24"/>
        </w:rPr>
        <w:t>33.4.2节能、环保产品的品目清单按照《关于印发环境标志产品政府采购品目清单的通知》（财库〔2019〕18号）、《关于印发节能产品政府采购品目清单的通知》（财库〔2019〕19号）执行。国家对品目清单进行调整的，按照最新调整的品目清单执行。</w:t>
      </w:r>
    </w:p>
    <w:p w14:paraId="3C368B5F">
      <w:pPr>
        <w:tabs>
          <w:tab w:val="left" w:pos="1381"/>
        </w:tabs>
        <w:spacing w:line="360" w:lineRule="auto"/>
        <w:ind w:firstLine="482"/>
        <w:rPr>
          <w:rFonts w:ascii="宋体" w:hAnsi="宋体" w:eastAsia="宋体" w:cs="宋体"/>
          <w:color w:val="auto"/>
          <w:sz w:val="24"/>
        </w:rPr>
      </w:pPr>
      <w:r>
        <w:rPr>
          <w:rFonts w:hint="eastAsia" w:ascii="宋体" w:hAnsi="宋体" w:eastAsia="宋体" w:cs="宋体"/>
          <w:color w:val="auto"/>
          <w:sz w:val="24"/>
        </w:rPr>
        <w:t>33.5绿色包装</w:t>
      </w:r>
    </w:p>
    <w:p w14:paraId="02A4DAFC">
      <w:pPr>
        <w:spacing w:line="360" w:lineRule="auto"/>
        <w:ind w:firstLine="480"/>
        <w:rPr>
          <w:rFonts w:ascii="宋体" w:hAnsi="宋体" w:eastAsia="宋体" w:cs="宋体"/>
          <w:color w:val="auto"/>
          <w:sz w:val="24"/>
        </w:rPr>
      </w:pPr>
      <w:r>
        <w:rPr>
          <w:rFonts w:hint="eastAsia" w:ascii="宋体" w:hAnsi="宋体" w:eastAsia="宋体" w:cs="宋体"/>
          <w:color w:val="auto"/>
          <w:sz w:val="24"/>
        </w:rPr>
        <w:t>本项目中涉及商品的包装应按照“财办库〔2020〕123号《关于印发《商品包装政府采购需求标准（试行）》《快递包装政府采购需求标准（试行）》的通知》”执行,在供货、安装过程中能做到低碳物流、环保节约、提高资源利用率。</w:t>
      </w:r>
    </w:p>
    <w:p w14:paraId="0DA426FA">
      <w:pPr>
        <w:tabs>
          <w:tab w:val="left" w:pos="1381"/>
        </w:tabs>
        <w:spacing w:line="360" w:lineRule="auto"/>
        <w:ind w:firstLine="482"/>
        <w:rPr>
          <w:rFonts w:ascii="宋体" w:hAnsi="宋体" w:eastAsia="宋体" w:cs="宋体"/>
          <w:color w:val="auto"/>
          <w:sz w:val="24"/>
        </w:rPr>
      </w:pPr>
      <w:r>
        <w:rPr>
          <w:rFonts w:hint="eastAsia" w:ascii="宋体" w:hAnsi="宋体" w:eastAsia="宋体" w:cs="宋体"/>
          <w:color w:val="auto"/>
          <w:sz w:val="24"/>
        </w:rPr>
        <w:t>33.6政府采购创新产品</w:t>
      </w:r>
    </w:p>
    <w:p w14:paraId="2D63D4D3">
      <w:pPr>
        <w:pBdr>
          <w:top w:val="none" w:color="000000" w:sz="0" w:space="0"/>
          <w:left w:val="none" w:color="000000" w:sz="0" w:space="0"/>
          <w:bottom w:val="none" w:color="000000" w:sz="0" w:space="0"/>
          <w:right w:val="none" w:color="000000" w:sz="0" w:space="0"/>
        </w:pBdr>
        <w:spacing w:line="360" w:lineRule="auto"/>
        <w:ind w:firstLine="478"/>
        <w:rPr>
          <w:rFonts w:ascii="宋体" w:hAnsi="宋体" w:eastAsia="宋体" w:cs="宋体"/>
          <w:color w:val="auto"/>
          <w:sz w:val="24"/>
        </w:rPr>
      </w:pPr>
      <w:r>
        <w:rPr>
          <w:rFonts w:hint="eastAsia" w:ascii="宋体" w:hAnsi="宋体" w:eastAsia="宋体" w:cs="宋体"/>
          <w:color w:val="auto"/>
          <w:sz w:val="24"/>
        </w:rPr>
        <w:t>采购人优先采购各级政府部门公开发布的有效期内的创新产品、创新服务、首台套、首购首用等《目录》的创新产品。</w:t>
      </w:r>
    </w:p>
    <w:p w14:paraId="76F2947B">
      <w:pPr>
        <w:tabs>
          <w:tab w:val="left" w:pos="1381"/>
        </w:tabs>
        <w:spacing w:line="360" w:lineRule="auto"/>
        <w:ind w:firstLine="482"/>
        <w:rPr>
          <w:rFonts w:hint="eastAsia" w:ascii="宋体" w:hAnsi="宋体" w:eastAsia="宋体" w:cs="宋体"/>
          <w:color w:val="auto"/>
          <w:sz w:val="24"/>
          <w:lang w:eastAsia="zh-CN"/>
        </w:rPr>
      </w:pPr>
      <w:r>
        <w:rPr>
          <w:rFonts w:hint="eastAsia" w:ascii="宋体" w:hAnsi="宋体" w:eastAsia="宋体" w:cs="宋体"/>
          <w:color w:val="auto"/>
          <w:sz w:val="24"/>
        </w:rPr>
        <w:t>33.7绿色数据中心政策</w:t>
      </w:r>
    </w:p>
    <w:p w14:paraId="76409C53">
      <w:pPr>
        <w:spacing w:line="360" w:lineRule="auto"/>
        <w:ind w:firstLine="480"/>
        <w:rPr>
          <w:rFonts w:ascii="宋体" w:hAnsi="宋体" w:eastAsia="宋体" w:cs="宋体"/>
          <w:color w:val="auto"/>
          <w:sz w:val="24"/>
        </w:rPr>
      </w:pPr>
      <w:r>
        <w:rPr>
          <w:rFonts w:hint="eastAsia" w:ascii="宋体" w:hAnsi="宋体" w:eastAsia="宋体" w:cs="宋体"/>
          <w:color w:val="auto"/>
          <w:sz w:val="24"/>
        </w:rPr>
        <w:t>本文件中若涉及到数据中心采购，采购人应依据《绿色数据中心政府采购需求标准（试行）》（财办库〔2023〕7号）文件精神，在采购数据中心相关设备、运维服务，应当有利于节约能源、环境保护和资源循环利用，按照《需求标准》实施相关采购活动。采购人应当加强采购需求管理，根据《需求标准》提出的指标编制数据中心相关设备、运维服务政府采购项目的采购文件，并在合同中明确对相关指标的验收方式和违约责任。采购人应当在履约验收中对供应商提供的产品或服务进行抽查检测，必要时可委托取得相关资质的第三方机构对其进行检测、认证。因检测、认证涉及生产过程或检测时间长等原因，不能在验收过程中开展检测、认证的，可要求供应商在验收阶段提供相关检测报告、认证报告。</w:t>
      </w:r>
    </w:p>
    <w:p w14:paraId="5A202885">
      <w:pPr>
        <w:spacing w:line="360" w:lineRule="auto"/>
        <w:ind w:firstLine="482"/>
        <w:rPr>
          <w:rFonts w:ascii="宋体" w:hAnsi="宋体" w:eastAsia="宋体" w:cs="宋体"/>
          <w:b/>
          <w:bCs/>
          <w:color w:val="auto"/>
          <w:sz w:val="24"/>
        </w:rPr>
      </w:pPr>
      <w:r>
        <w:rPr>
          <w:rFonts w:hint="eastAsia" w:ascii="宋体" w:hAnsi="宋体" w:eastAsia="宋体" w:cs="宋体"/>
          <w:b/>
          <w:bCs/>
          <w:color w:val="auto"/>
          <w:sz w:val="24"/>
        </w:rPr>
        <w:t>33.8实施本国产品标准及相关政策</w:t>
      </w:r>
    </w:p>
    <w:p w14:paraId="3BB8F729">
      <w:pPr>
        <w:spacing w:line="360" w:lineRule="auto"/>
        <w:ind w:firstLine="482"/>
        <w:rPr>
          <w:rFonts w:ascii="宋体" w:hAnsi="宋体" w:eastAsia="宋体" w:cs="宋体"/>
          <w:b/>
          <w:bCs/>
          <w:color w:val="auto"/>
          <w:sz w:val="24"/>
        </w:rPr>
      </w:pPr>
      <w:r>
        <w:rPr>
          <w:rFonts w:hint="eastAsia" w:ascii="宋体" w:hAnsi="宋体" w:eastAsia="宋体" w:cs="宋体"/>
          <w:b/>
          <w:bCs/>
          <w:color w:val="auto"/>
          <w:sz w:val="24"/>
        </w:rPr>
        <w:t>1.本项目对采购本国产品给予政策支持，具体内容见招标文件“第五章评标方法与评标标准”。</w:t>
      </w:r>
    </w:p>
    <w:p w14:paraId="3F708FDA">
      <w:pPr>
        <w:spacing w:line="360" w:lineRule="auto"/>
        <w:ind w:firstLine="482"/>
        <w:rPr>
          <w:rFonts w:ascii="宋体" w:hAnsi="宋体" w:eastAsia="宋体" w:cs="宋体"/>
          <w:b/>
          <w:bCs/>
          <w:color w:val="auto"/>
          <w:sz w:val="24"/>
        </w:rPr>
      </w:pPr>
      <w:r>
        <w:rPr>
          <w:rFonts w:hint="eastAsia" w:ascii="宋体" w:hAnsi="宋体" w:eastAsia="宋体" w:cs="宋体"/>
          <w:b/>
          <w:bCs/>
          <w:color w:val="auto"/>
          <w:sz w:val="24"/>
        </w:rPr>
        <w:t>2.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57DF8B9">
      <w:pPr>
        <w:spacing w:line="360" w:lineRule="auto"/>
        <w:ind w:firstLine="482"/>
        <w:rPr>
          <w:rFonts w:ascii="宋体" w:hAnsi="宋体" w:eastAsia="宋体" w:cs="宋体"/>
          <w:b/>
          <w:bCs/>
          <w:color w:val="auto"/>
          <w:sz w:val="24"/>
        </w:rPr>
      </w:pPr>
      <w:r>
        <w:rPr>
          <w:rFonts w:hint="eastAsia" w:ascii="宋体" w:hAnsi="宋体" w:eastAsia="宋体" w:cs="宋体"/>
          <w:b/>
          <w:bCs/>
          <w:color w:val="auto"/>
          <w:sz w:val="24"/>
        </w:rPr>
        <w:t>3.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1433D342">
      <w:pPr>
        <w:spacing w:line="360" w:lineRule="auto"/>
        <w:ind w:firstLine="482"/>
        <w:rPr>
          <w:rFonts w:ascii="宋体" w:hAnsi="宋体" w:eastAsia="宋体" w:cs="宋体"/>
          <w:b/>
          <w:bCs/>
          <w:color w:val="auto"/>
          <w:sz w:val="24"/>
        </w:rPr>
      </w:pPr>
      <w:r>
        <w:rPr>
          <w:rFonts w:hint="eastAsia" w:ascii="宋体" w:hAnsi="宋体" w:eastAsia="宋体" w:cs="宋体"/>
          <w:b/>
          <w:bCs/>
          <w:color w:val="auto"/>
          <w:sz w:val="24"/>
        </w:rPr>
        <w:t>4.进口产品属于非本国产品。但对一些非进口产品，如果不满足《国务院办公厅关于在政府采购中实施本国产品标准及相关政策的通知》（国办发〔2025〕34号，以下简称《通知》）规定的“在中国境内生产”等条件，这些产品也属于非本国产品。</w:t>
      </w:r>
      <w:r>
        <w:rPr>
          <w:rFonts w:hint="eastAsia" w:ascii="宋体" w:hAnsi="宋体" w:eastAsia="宋体" w:cs="宋体"/>
          <w:b/>
          <w:bCs/>
          <w:color w:val="auto"/>
          <w:sz w:val="24"/>
          <w:u w:val="single"/>
        </w:rPr>
        <w:t>故，如供应商所提供产品为本国产品的，应当对其提供的产品出具《关于符合本国产品标准的声明函》（以下简称《声明函》），不出具《声明函》的，不享受政府采购对本国产品的支持政策。</w:t>
      </w:r>
    </w:p>
    <w:p w14:paraId="4835EDBB">
      <w:pPr>
        <w:tabs>
          <w:tab w:val="left" w:pos="1381"/>
        </w:tabs>
        <w:spacing w:line="360" w:lineRule="auto"/>
        <w:ind w:firstLine="482"/>
        <w:rPr>
          <w:rFonts w:ascii="宋体" w:hAnsi="宋体" w:eastAsia="宋体" w:cs="宋体"/>
          <w:color w:val="auto"/>
          <w:sz w:val="24"/>
        </w:rPr>
      </w:pPr>
      <w:r>
        <w:rPr>
          <w:rFonts w:hint="eastAsia" w:ascii="宋体" w:hAnsi="宋体" w:eastAsia="宋体" w:cs="宋体"/>
          <w:color w:val="auto"/>
          <w:sz w:val="24"/>
        </w:rPr>
        <w:t>33.9履约保证金政策</w:t>
      </w:r>
    </w:p>
    <w:p w14:paraId="651F0842">
      <w:pPr>
        <w:pStyle w:val="205"/>
        <w:spacing w:after="0" w:line="360" w:lineRule="auto"/>
        <w:ind w:left="0" w:firstLine="560"/>
        <w:rPr>
          <w:rFonts w:ascii="宋体" w:hAnsi="宋体" w:eastAsia="宋体" w:cs="宋体"/>
          <w:color w:val="auto"/>
          <w:sz w:val="24"/>
        </w:rPr>
      </w:pPr>
      <w:r>
        <w:rPr>
          <w:rFonts w:hint="eastAsia" w:ascii="宋体" w:hAnsi="宋体" w:eastAsia="宋体" w:cs="宋体"/>
          <w:color w:val="auto"/>
          <w:sz w:val="24"/>
        </w:rPr>
        <w:t>确需收取履约保证金的，履约保证金的缴纳形式：</w:t>
      </w:r>
    </w:p>
    <w:p w14:paraId="057E17F5">
      <w:pPr>
        <w:spacing w:line="360" w:lineRule="auto"/>
        <w:ind w:firstLine="480"/>
        <w:rPr>
          <w:rFonts w:ascii="宋体" w:hAnsi="宋体" w:eastAsia="宋体" w:cs="宋体"/>
          <w:color w:val="auto"/>
          <w:sz w:val="24"/>
        </w:rPr>
      </w:pPr>
      <w:r>
        <w:rPr>
          <w:rFonts w:hint="eastAsia" w:ascii="宋体" w:hAnsi="宋体" w:eastAsia="宋体" w:cs="宋体"/>
          <w:color w:val="auto"/>
          <w:sz w:val="24"/>
        </w:rPr>
        <w:t>供应商应当以支票、汇票、本票或者金融机构、担保机构出具的保函等非现金形式提交履约保证金。依据《关于在全省政府采购领域推行电子履约保函（保险）的通知》，鼓励供应商自愿使用电子履约保函（保险）代替缴纳履约保证金。</w:t>
      </w:r>
    </w:p>
    <w:p w14:paraId="417DF5FE">
      <w:pPr>
        <w:spacing w:line="360" w:lineRule="auto"/>
        <w:ind w:firstLine="480"/>
        <w:rPr>
          <w:rFonts w:ascii="宋体" w:hAnsi="宋体" w:eastAsia="宋体" w:cs="宋体"/>
          <w:color w:val="auto"/>
          <w:sz w:val="24"/>
        </w:rPr>
      </w:pPr>
      <w:r>
        <w:rPr>
          <w:rFonts w:hint="eastAsia" w:ascii="宋体" w:hAnsi="宋体" w:eastAsia="宋体" w:cs="宋体"/>
          <w:color w:val="auto"/>
          <w:sz w:val="24"/>
        </w:rPr>
        <w:t>如以履约保函（保险）形式缴纳履约保证金，供应商可通过政府采购电子履约保函（保险）平台（www.jsdzbh.com）在线申请履约保函（保险）。</w:t>
      </w:r>
    </w:p>
    <w:p w14:paraId="4AF8FBF8">
      <w:pPr>
        <w:spacing w:line="360" w:lineRule="auto"/>
        <w:ind w:firstLine="480"/>
        <w:rPr>
          <w:rFonts w:ascii="宋体" w:hAnsi="宋体" w:eastAsia="宋体" w:cs="宋体"/>
          <w:color w:val="auto"/>
          <w:sz w:val="24"/>
        </w:rPr>
      </w:pPr>
      <w:r>
        <w:rPr>
          <w:rFonts w:hint="eastAsia" w:ascii="宋体" w:hAnsi="宋体" w:cs="宋体"/>
          <w:color w:val="auto"/>
          <w:sz w:val="24"/>
          <w:highlight w:val="none"/>
        </w:rPr>
        <w:t>履约保证金金额不得超过合同金额的10%，采购人对第三方信用服务机构依据标准规范评定为AA级及以上的政府采购供应商（需在签订采购合同前提供信用管理部门备案的第三方信用报告，且信用报告通过“信用盐城网”可查实），</w:t>
      </w:r>
      <w:r>
        <w:rPr>
          <w:rFonts w:hint="eastAsia" w:ascii="宋体" w:hAnsi="宋体" w:cs="宋体"/>
          <w:b/>
          <w:bCs/>
          <w:color w:val="auto"/>
          <w:sz w:val="24"/>
          <w:highlight w:val="none"/>
        </w:rPr>
        <w:t>降低履约保证金缴纳比例为</w:t>
      </w:r>
      <w:r>
        <w:rPr>
          <w:rFonts w:hint="eastAsia" w:ascii="宋体" w:hAnsi="宋体" w:cs="宋体"/>
          <w:b/>
          <w:bCs/>
          <w:color w:val="auto"/>
          <w:sz w:val="24"/>
          <w:highlight w:val="none"/>
          <w:u w:val="single"/>
        </w:rPr>
        <w:t>5%</w:t>
      </w:r>
      <w:r>
        <w:rPr>
          <w:rFonts w:hint="eastAsia" w:ascii="宋体" w:hAnsi="宋体" w:eastAsia="宋体" w:cs="宋体"/>
          <w:color w:val="auto"/>
          <w:sz w:val="24"/>
        </w:rPr>
        <w:t>。</w:t>
      </w:r>
    </w:p>
    <w:p w14:paraId="72AC28B1">
      <w:pPr>
        <w:tabs>
          <w:tab w:val="left" w:pos="1381"/>
        </w:tabs>
        <w:spacing w:line="360" w:lineRule="auto"/>
        <w:ind w:firstLine="482"/>
        <w:rPr>
          <w:rFonts w:ascii="宋体" w:hAnsi="宋体" w:eastAsia="宋体" w:cs="宋体"/>
          <w:color w:val="auto"/>
          <w:sz w:val="24"/>
        </w:rPr>
      </w:pPr>
      <w:r>
        <w:rPr>
          <w:rFonts w:hint="eastAsia" w:ascii="宋体" w:hAnsi="宋体" w:eastAsia="宋体" w:cs="宋体"/>
          <w:color w:val="auto"/>
          <w:sz w:val="24"/>
        </w:rPr>
        <w:t>34.预付款制度</w:t>
      </w:r>
    </w:p>
    <w:p w14:paraId="21F94757">
      <w:pPr>
        <w:spacing w:line="360" w:lineRule="auto"/>
        <w:ind w:firstLine="480"/>
        <w:rPr>
          <w:rFonts w:ascii="宋体" w:hAnsi="宋体" w:eastAsia="宋体" w:cs="宋体"/>
          <w:color w:val="auto"/>
          <w:sz w:val="24"/>
        </w:rPr>
      </w:pPr>
      <w:r>
        <w:rPr>
          <w:rFonts w:hint="eastAsia" w:ascii="宋体" w:hAnsi="宋体" w:eastAsia="宋体" w:cs="宋体"/>
          <w:color w:val="auto"/>
          <w:sz w:val="24"/>
        </w:rPr>
        <w:t>本项目落实预付款制度，预付款比例为_</w:t>
      </w:r>
      <w:r>
        <w:rPr>
          <w:rFonts w:ascii="宋体" w:hAnsi="宋体" w:eastAsia="宋体" w:cs="宋体"/>
          <w:color w:val="auto"/>
          <w:sz w:val="24"/>
          <w:u w:val="single"/>
        </w:rPr>
        <w:t>30</w:t>
      </w:r>
      <w:r>
        <w:rPr>
          <w:rFonts w:hint="eastAsia" w:ascii="宋体" w:hAnsi="宋体" w:eastAsia="宋体" w:cs="宋体"/>
          <w:color w:val="auto"/>
          <w:sz w:val="24"/>
        </w:rPr>
        <w:t>_%（原则上不低于合同金额的30%）。在签订合同时，中标、成交供应商明确书面表示无需预付款或者主动要求降低预付款比例的，采购人可就预付款比例作相应调整。</w:t>
      </w:r>
    </w:p>
    <w:p w14:paraId="377E0582">
      <w:pPr>
        <w:pStyle w:val="205"/>
        <w:spacing w:after="0" w:line="520" w:lineRule="exact"/>
        <w:ind w:left="0" w:firstLine="560"/>
        <w:rPr>
          <w:rFonts w:ascii="宋体" w:hAnsi="宋体" w:eastAsia="宋体" w:cs="宋体"/>
          <w:color w:val="auto"/>
          <w:sz w:val="24"/>
        </w:rPr>
      </w:pPr>
    </w:p>
    <w:p w14:paraId="445D39C6">
      <w:pPr>
        <w:pStyle w:val="36"/>
        <w:spacing w:beforeAutospacing="0" w:afterAutospacing="0"/>
        <w:jc w:val="both"/>
        <w:rPr>
          <w:rFonts w:hint="eastAsia" w:ascii="宋体" w:hAnsi="宋体" w:eastAsia="宋体" w:cs="宋体"/>
          <w:color w:val="auto"/>
          <w:lang w:eastAsia="zh-CN"/>
        </w:rPr>
      </w:pPr>
    </w:p>
    <w:p w14:paraId="6B4142CA">
      <w:pPr>
        <w:pStyle w:val="36"/>
        <w:spacing w:beforeAutospacing="0" w:afterAutospacing="0"/>
        <w:jc w:val="both"/>
        <w:rPr>
          <w:rFonts w:hint="eastAsia" w:ascii="宋体" w:hAnsi="宋体" w:eastAsia="宋体" w:cs="宋体"/>
          <w:color w:val="auto"/>
          <w:lang w:eastAsia="zh-CN"/>
        </w:rPr>
      </w:pPr>
    </w:p>
    <w:p w14:paraId="5B80E79C">
      <w:pPr>
        <w:pStyle w:val="36"/>
        <w:spacing w:beforeAutospacing="0" w:afterAutospacing="0"/>
        <w:jc w:val="both"/>
        <w:rPr>
          <w:rFonts w:hint="eastAsia" w:ascii="宋体" w:hAnsi="宋体" w:eastAsia="宋体" w:cs="宋体"/>
          <w:color w:val="auto"/>
          <w:lang w:eastAsia="zh-CN"/>
        </w:rPr>
      </w:pPr>
    </w:p>
    <w:p w14:paraId="7A701B9E">
      <w:pPr>
        <w:pStyle w:val="36"/>
        <w:spacing w:beforeAutospacing="0" w:afterAutospacing="0"/>
        <w:jc w:val="both"/>
        <w:rPr>
          <w:rFonts w:ascii="宋体" w:hAnsi="宋体" w:eastAsia="宋体" w:cs="宋体"/>
          <w:color w:val="auto"/>
        </w:rPr>
      </w:pPr>
    </w:p>
    <w:p w14:paraId="446F60DE">
      <w:pPr>
        <w:pStyle w:val="36"/>
        <w:spacing w:beforeAutospacing="0" w:afterAutospacing="0"/>
        <w:jc w:val="both"/>
        <w:rPr>
          <w:rFonts w:ascii="宋体" w:hAnsi="宋体" w:eastAsia="宋体" w:cs="宋体"/>
          <w:color w:val="auto"/>
        </w:rPr>
      </w:pPr>
    </w:p>
    <w:p w14:paraId="29F12B70">
      <w:pPr>
        <w:pStyle w:val="36"/>
        <w:spacing w:beforeAutospacing="0" w:afterAutospacing="0"/>
        <w:jc w:val="both"/>
        <w:rPr>
          <w:rFonts w:ascii="宋体" w:hAnsi="宋体" w:eastAsia="宋体" w:cs="宋体"/>
          <w:color w:val="auto"/>
        </w:rPr>
      </w:pPr>
    </w:p>
    <w:p w14:paraId="61BD1B84">
      <w:pPr>
        <w:pStyle w:val="36"/>
        <w:spacing w:beforeAutospacing="0" w:afterAutospacing="0"/>
        <w:jc w:val="both"/>
        <w:rPr>
          <w:color w:val="auto"/>
        </w:rPr>
      </w:pPr>
    </w:p>
    <w:p w14:paraId="65A024B8">
      <w:pPr>
        <w:pStyle w:val="36"/>
        <w:spacing w:beforeAutospacing="0" w:afterAutospacing="0"/>
        <w:jc w:val="both"/>
        <w:rPr>
          <w:color w:val="auto"/>
        </w:rPr>
      </w:pPr>
    </w:p>
    <w:p w14:paraId="14590022">
      <w:pPr>
        <w:pStyle w:val="36"/>
        <w:spacing w:beforeAutospacing="0" w:afterAutospacing="0"/>
        <w:jc w:val="both"/>
        <w:rPr>
          <w:color w:val="auto"/>
        </w:rPr>
      </w:pPr>
    </w:p>
    <w:p w14:paraId="1E8EBEBF">
      <w:pPr>
        <w:pStyle w:val="36"/>
        <w:spacing w:beforeAutospacing="0" w:afterAutospacing="0" w:line="0" w:lineRule="atLeast"/>
        <w:jc w:val="both"/>
        <w:rPr>
          <w:rFonts w:hint="eastAsia" w:eastAsiaTheme="minorEastAsia"/>
          <w:color w:val="auto"/>
          <w:lang w:eastAsia="zh-CN"/>
        </w:rPr>
      </w:pPr>
    </w:p>
    <w:p w14:paraId="47CF3708">
      <w:pPr>
        <w:pStyle w:val="36"/>
        <w:spacing w:beforeAutospacing="0" w:afterAutospacing="0" w:line="0" w:lineRule="atLeast"/>
        <w:jc w:val="both"/>
        <w:rPr>
          <w:rFonts w:hint="eastAsia" w:eastAsiaTheme="minorEastAsia"/>
          <w:color w:val="auto"/>
          <w:lang w:eastAsia="zh-CN"/>
        </w:rPr>
      </w:pPr>
    </w:p>
    <w:p w14:paraId="763D0800">
      <w:pPr>
        <w:pStyle w:val="36"/>
        <w:spacing w:beforeAutospacing="0" w:afterAutospacing="0" w:line="0" w:lineRule="atLeast"/>
        <w:jc w:val="both"/>
        <w:rPr>
          <w:rFonts w:hint="eastAsia" w:eastAsiaTheme="minorEastAsia"/>
          <w:color w:val="auto"/>
          <w:lang w:eastAsia="zh-CN"/>
        </w:rPr>
      </w:pPr>
    </w:p>
    <w:p w14:paraId="4FCEA76C">
      <w:pPr>
        <w:widowControl/>
        <w:spacing w:line="360" w:lineRule="auto"/>
        <w:jc w:val="center"/>
        <w:rPr>
          <w:rFonts w:hint="eastAsia" w:eastAsiaTheme="minorEastAsia"/>
          <w:color w:val="auto"/>
          <w:sz w:val="36"/>
          <w:szCs w:val="44"/>
          <w:lang w:eastAsia="zh-CN"/>
        </w:rPr>
      </w:pPr>
      <w:bookmarkStart w:id="152" w:name="_Toc479757211"/>
      <w:bookmarkStart w:id="153" w:name="_Toc16938590"/>
      <w:bookmarkStart w:id="154" w:name="_Toc120614244"/>
      <w:bookmarkStart w:id="155" w:name="_Hlt16619350"/>
      <w:bookmarkStart w:id="156" w:name="_Toc462564139"/>
      <w:bookmarkStart w:id="157" w:name="_Toc20823346"/>
      <w:bookmarkStart w:id="158" w:name="_Hlt16619369"/>
    </w:p>
    <w:p w14:paraId="70AC626B">
      <w:pPr>
        <w:rPr>
          <w:color w:val="auto"/>
          <w:sz w:val="36"/>
          <w:szCs w:val="44"/>
        </w:rPr>
      </w:pPr>
      <w:r>
        <w:rPr>
          <w:color w:val="auto"/>
          <w:sz w:val="36"/>
          <w:szCs w:val="44"/>
        </w:rPr>
        <w:br w:type="page" w:clear="all"/>
      </w:r>
    </w:p>
    <w:p w14:paraId="153A067D">
      <w:pPr>
        <w:pStyle w:val="209"/>
        <w:rPr>
          <w:color w:val="auto"/>
        </w:rPr>
      </w:pPr>
      <w:bookmarkStart w:id="159" w:name="_Toc234256915"/>
      <w:r>
        <w:rPr>
          <w:rFonts w:hint="eastAsia"/>
          <w:color w:val="auto"/>
        </w:rPr>
        <w:t>第三章合同条款</w:t>
      </w:r>
      <w:bookmarkEnd w:id="159"/>
    </w:p>
    <w:p w14:paraId="164343D2">
      <w:pPr>
        <w:rPr>
          <w:rFonts w:ascii="宋体" w:hAnsi="宋体" w:cs="宋体"/>
          <w:color w:val="auto"/>
        </w:rPr>
      </w:pPr>
      <w:bookmarkStart w:id="160" w:name="EB6d2006462e294de090c16e672cecc3bd"/>
      <w:bookmarkEnd w:id="160"/>
    </w:p>
    <w:p w14:paraId="7285CEF3">
      <w:pPr>
        <w:jc w:val="center"/>
        <w:rPr>
          <w:rFonts w:ascii="宋体" w:hAnsi="宋体" w:cs="宋体"/>
          <w:color w:val="auto"/>
          <w:sz w:val="30"/>
          <w:highlight w:val="none"/>
        </w:rPr>
      </w:pPr>
    </w:p>
    <w:p w14:paraId="0D73BB23">
      <w:pPr>
        <w:jc w:val="center"/>
        <w:rPr>
          <w:rFonts w:hint="eastAsia" w:ascii="宋体" w:hAnsi="宋体" w:eastAsia="宋体" w:cs="宋体"/>
          <w:color w:val="auto"/>
          <w:sz w:val="52"/>
          <w:szCs w:val="52"/>
        </w:rPr>
      </w:pPr>
      <w:r>
        <w:rPr>
          <w:rFonts w:hint="eastAsia" w:ascii="宋体" w:hAnsi="宋体" w:eastAsia="宋体" w:cs="宋体"/>
          <w:color w:val="auto"/>
          <w:sz w:val="52"/>
          <w:szCs w:val="52"/>
        </w:rPr>
        <w:t>政府采购货物买卖合同</w:t>
      </w:r>
    </w:p>
    <w:p w14:paraId="2FE2753B">
      <w:pPr>
        <w:jc w:val="center"/>
        <w:rPr>
          <w:rFonts w:ascii="宋体" w:hAnsi="宋体" w:cs="宋体"/>
          <w:color w:val="auto"/>
          <w:sz w:val="30"/>
          <w:highlight w:val="none"/>
        </w:rPr>
      </w:pPr>
    </w:p>
    <w:p w14:paraId="29800A94">
      <w:pPr>
        <w:rPr>
          <w:rFonts w:ascii="宋体" w:hAnsi="宋体" w:cs="宋体"/>
          <w:color w:val="auto"/>
          <w:sz w:val="30"/>
          <w:highlight w:val="none"/>
        </w:rPr>
      </w:pPr>
    </w:p>
    <w:p w14:paraId="7BEF465E">
      <w:pPr>
        <w:rPr>
          <w:rFonts w:ascii="宋体" w:hAnsi="宋体" w:cs="宋体"/>
          <w:color w:val="auto"/>
          <w:sz w:val="30"/>
          <w:highlight w:val="none"/>
        </w:rPr>
      </w:pPr>
    </w:p>
    <w:p w14:paraId="278E66DF">
      <w:pPr>
        <w:rPr>
          <w:rFonts w:ascii="宋体" w:hAnsi="宋体" w:cs="宋体"/>
          <w:color w:val="auto"/>
          <w:sz w:val="30"/>
          <w:highlight w:val="none"/>
        </w:rPr>
      </w:pPr>
    </w:p>
    <w:p w14:paraId="4595CF8B">
      <w:pPr>
        <w:spacing w:line="360" w:lineRule="auto"/>
        <w:ind w:left="420"/>
        <w:rPr>
          <w:rFonts w:ascii="宋体" w:hAnsi="宋体" w:cs="宋体"/>
          <w:color w:val="auto"/>
          <w:sz w:val="30"/>
          <w:highlight w:val="none"/>
        </w:rPr>
      </w:pPr>
      <w:r>
        <w:rPr>
          <w:rFonts w:hint="eastAsia" w:ascii="宋体" w:hAnsi="宋体" w:cs="宋体"/>
          <w:color w:val="auto"/>
          <w:sz w:val="30"/>
          <w:highlight w:val="none"/>
        </w:rPr>
        <w:t>项目名称：</w:t>
      </w:r>
      <w:r>
        <w:rPr>
          <w:rFonts w:hint="eastAsia" w:ascii="宋体" w:hAnsi="宋体" w:cs="宋体"/>
          <w:color w:val="auto"/>
          <w:sz w:val="30"/>
          <w:highlight w:val="none"/>
          <w:lang w:eastAsia="zh-CN"/>
        </w:rPr>
        <w:t>江苏省盐城技师学院智能制造学院工业机器人操作与运维一体化学习工作站建设项目</w:t>
      </w:r>
    </w:p>
    <w:p w14:paraId="3547A24F">
      <w:pPr>
        <w:spacing w:line="360" w:lineRule="auto"/>
        <w:ind w:left="420"/>
        <w:rPr>
          <w:rFonts w:hint="eastAsia" w:ascii="宋体" w:hAnsi="宋体" w:eastAsia="宋体" w:cs="宋体"/>
          <w:color w:val="auto"/>
          <w:sz w:val="30"/>
          <w:highlight w:val="none"/>
          <w:lang w:eastAsia="zh-CN"/>
        </w:rPr>
      </w:pPr>
      <w:r>
        <w:rPr>
          <w:rFonts w:hint="eastAsia" w:ascii="宋体" w:hAnsi="宋体" w:cs="宋体"/>
          <w:color w:val="auto"/>
          <w:sz w:val="30"/>
          <w:highlight w:val="none"/>
        </w:rPr>
        <w:t>合同编号：</w:t>
      </w:r>
    </w:p>
    <w:p w14:paraId="43560CC3">
      <w:pPr>
        <w:spacing w:line="360" w:lineRule="auto"/>
        <w:ind w:left="420"/>
        <w:rPr>
          <w:rFonts w:ascii="宋体" w:hAnsi="宋体" w:cs="宋体"/>
          <w:color w:val="auto"/>
          <w:sz w:val="30"/>
          <w:highlight w:val="none"/>
        </w:rPr>
      </w:pPr>
      <w:r>
        <w:rPr>
          <w:rFonts w:hint="eastAsia" w:ascii="宋体" w:hAnsi="宋体" w:cs="宋体"/>
          <w:color w:val="auto"/>
          <w:sz w:val="30"/>
          <w:highlight w:val="none"/>
        </w:rPr>
        <w:t>甲方：江苏省盐城技师学院</w:t>
      </w:r>
    </w:p>
    <w:p w14:paraId="4ED201AF">
      <w:pPr>
        <w:spacing w:line="360" w:lineRule="auto"/>
        <w:ind w:left="420"/>
        <w:rPr>
          <w:rFonts w:ascii="宋体" w:hAnsi="宋体" w:cs="宋体"/>
          <w:color w:val="auto"/>
          <w:sz w:val="30"/>
          <w:highlight w:val="none"/>
        </w:rPr>
      </w:pPr>
      <w:r>
        <w:rPr>
          <w:rFonts w:hint="eastAsia" w:ascii="宋体" w:hAnsi="宋体" w:cs="宋体"/>
          <w:color w:val="auto"/>
          <w:sz w:val="30"/>
          <w:highlight w:val="none"/>
        </w:rPr>
        <w:t>乙方：</w:t>
      </w:r>
    </w:p>
    <w:p w14:paraId="240C17F4">
      <w:pPr>
        <w:spacing w:line="360" w:lineRule="auto"/>
        <w:ind w:left="420"/>
        <w:rPr>
          <w:rFonts w:ascii="宋体" w:hAnsi="宋体" w:cs="宋体"/>
          <w:color w:val="auto"/>
          <w:sz w:val="30"/>
          <w:highlight w:val="none"/>
        </w:rPr>
      </w:pPr>
      <w:r>
        <w:rPr>
          <w:rFonts w:hint="eastAsia" w:ascii="宋体" w:hAnsi="宋体" w:cs="宋体"/>
          <w:color w:val="auto"/>
          <w:sz w:val="30"/>
          <w:highlight w:val="none"/>
        </w:rPr>
        <w:t>签订时间：</w:t>
      </w:r>
    </w:p>
    <w:p w14:paraId="741FC572">
      <w:pPr>
        <w:rPr>
          <w:color w:val="auto"/>
          <w:highlight w:val="none"/>
        </w:rPr>
      </w:pPr>
    </w:p>
    <w:p w14:paraId="50B41DE2">
      <w:pPr>
        <w:rPr>
          <w:rFonts w:eastAsia="黑体"/>
          <w:color w:val="auto"/>
          <w:sz w:val="44"/>
          <w:szCs w:val="44"/>
          <w:highlight w:val="none"/>
        </w:rPr>
      </w:pPr>
      <w:r>
        <w:rPr>
          <w:rFonts w:eastAsia="黑体"/>
          <w:color w:val="auto"/>
          <w:sz w:val="44"/>
          <w:szCs w:val="44"/>
          <w:highlight w:val="none"/>
        </w:rPr>
        <w:br w:type="page" w:clear="all"/>
      </w:r>
    </w:p>
    <w:p w14:paraId="1BF23042">
      <w:pPr>
        <w:jc w:val="center"/>
        <w:rPr>
          <w:rFonts w:eastAsia="黑体"/>
          <w:color w:val="auto"/>
          <w:sz w:val="44"/>
          <w:szCs w:val="44"/>
          <w:highlight w:val="none"/>
        </w:rPr>
      </w:pPr>
      <w:r>
        <w:rPr>
          <w:rFonts w:hint="eastAsia" w:eastAsia="黑体"/>
          <w:color w:val="auto"/>
          <w:sz w:val="44"/>
          <w:szCs w:val="44"/>
          <w:highlight w:val="none"/>
        </w:rPr>
        <w:t>使用说明</w:t>
      </w:r>
    </w:p>
    <w:p w14:paraId="4DC15F14">
      <w:pPr>
        <w:ind w:firstLine="640"/>
        <w:rPr>
          <w:rFonts w:ascii="仿宋_GB2312" w:hAnsi="仿宋_GB2312" w:eastAsia="仿宋_GB2312" w:cs="仿宋_GB2312"/>
          <w:color w:val="auto"/>
          <w:sz w:val="32"/>
          <w:szCs w:val="32"/>
          <w:highlight w:val="none"/>
        </w:rPr>
      </w:pPr>
    </w:p>
    <w:p w14:paraId="3D44728C">
      <w:pPr>
        <w:ind w:firstLine="640"/>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1.本合同标准文本适用于购买现成货物的采购项目，不包括需要供应商定制开发、创新研发的货物采购项目。</w:t>
      </w:r>
    </w:p>
    <w:p w14:paraId="7C48F5F1">
      <w:pPr>
        <w:rPr>
          <w:rFonts w:hint="eastAsia" w:ascii="宋体" w:hAnsi="宋体" w:eastAsia="宋体" w:cs="宋体"/>
          <w:color w:val="auto"/>
          <w:sz w:val="44"/>
          <w:szCs w:val="44"/>
          <w:highlight w:val="none"/>
        </w:rPr>
      </w:pPr>
      <w:r>
        <w:rPr>
          <w:rFonts w:hint="eastAsia" w:ascii="宋体" w:hAnsi="宋体" w:eastAsia="宋体" w:cs="宋体"/>
          <w:color w:val="auto"/>
          <w:sz w:val="32"/>
          <w:szCs w:val="32"/>
          <w:highlight w:val="none"/>
        </w:rPr>
        <w:t>2.本合同标准文本为政府采购货物买卖合同编制提供参考，可以结合采购项目具体情况，对文本作必要的调整修订后使用。</w:t>
      </w:r>
    </w:p>
    <w:p w14:paraId="2A29FB44">
      <w:pPr>
        <w:ind w:firstLine="640"/>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3.本合同标准文本各条款中，如涉及填写多家供应商、制造商，多种采购标的、分包主要内容等信息的，可根据采购项目具体情况添加信息项。</w:t>
      </w:r>
    </w:p>
    <w:p w14:paraId="46A948D2">
      <w:pPr>
        <w:ind w:firstLine="880"/>
        <w:rPr>
          <w:rFonts w:hint="eastAsia" w:ascii="宋体" w:hAnsi="宋体" w:eastAsia="宋体" w:cs="宋体"/>
          <w:color w:val="auto"/>
          <w:sz w:val="44"/>
          <w:szCs w:val="44"/>
          <w:highlight w:val="none"/>
        </w:rPr>
        <w:sectPr>
          <w:footerReference r:id="rId3" w:type="default"/>
          <w:pgSz w:w="11906" w:h="16838"/>
          <w:pgMar w:top="1440" w:right="1463" w:bottom="1440" w:left="1463" w:header="851" w:footer="992" w:gutter="0"/>
          <w:cols w:space="425" w:num="1"/>
          <w:docGrid w:linePitch="360" w:charSpace="0"/>
        </w:sectPr>
      </w:pPr>
    </w:p>
    <w:p w14:paraId="145BFAA3">
      <w:pPr>
        <w:keepNext/>
        <w:keepLines/>
        <w:spacing w:line="400" w:lineRule="exact"/>
        <w:jc w:val="center"/>
        <w:outlineLvl w:val="1"/>
        <w:rPr>
          <w:rFonts w:hint="eastAsia" w:ascii="黑体" w:hAnsi="华文中宋" w:eastAsia="黑体"/>
          <w:color w:val="auto"/>
          <w:sz w:val="28"/>
          <w:szCs w:val="28"/>
        </w:rPr>
      </w:pPr>
      <w:bookmarkStart w:id="161" w:name="_Toc27624"/>
      <w:r>
        <w:rPr>
          <w:rFonts w:hint="eastAsia" w:ascii="黑体" w:hAnsi="黑体" w:eastAsia="黑体"/>
          <w:color w:val="auto"/>
          <w:sz w:val="28"/>
          <w:szCs w:val="28"/>
        </w:rPr>
        <w:t>第一节</w:t>
      </w:r>
      <w:r>
        <w:rPr>
          <w:rFonts w:hint="eastAsia" w:ascii="黑体" w:hAnsi="华文中宋" w:eastAsia="黑体"/>
          <w:color w:val="auto"/>
          <w:sz w:val="28"/>
          <w:szCs w:val="28"/>
        </w:rPr>
        <w:t>政府采购合同协议书</w:t>
      </w:r>
    </w:p>
    <w:p w14:paraId="3ED22423">
      <w:pPr>
        <w:widowControl/>
        <w:spacing w:before="0" w:after="0" w:line="560" w:lineRule="exact"/>
        <w:ind w:firstLine="480"/>
        <w:jc w:val="left"/>
        <w:rPr>
          <w:rFonts w:hint="default" w:ascii="宋体" w:hAnsi="宋体" w:eastAsia="Arial" w:cs="宋体"/>
          <w:bCs w:val="0"/>
          <w:color w:val="auto"/>
          <w:sz w:val="24"/>
          <w:szCs w:val="20"/>
          <w:lang w:eastAsia="zh-CN"/>
        </w:rPr>
      </w:pPr>
      <w:r>
        <w:rPr>
          <w:rFonts w:hint="default" w:ascii="宋体" w:hAnsi="宋体" w:eastAsia="Arial" w:cs="宋体"/>
          <w:color w:val="auto"/>
          <w:sz w:val="24"/>
          <w:szCs w:val="20"/>
          <w:lang w:val="zh-CN"/>
        </w:rPr>
        <w:t>甲方（全称）：</w:t>
      </w:r>
      <w:r>
        <w:rPr>
          <w:rFonts w:hint="default" w:ascii="宋体" w:hAnsi="宋体" w:eastAsia="Arial" w:cs="宋体"/>
          <w:color w:val="auto"/>
          <w:sz w:val="24"/>
          <w:szCs w:val="20"/>
          <w:u w:val="single"/>
          <w:lang w:eastAsia="zh-CN"/>
        </w:rPr>
        <w:t>江苏省盐城技师学院</w:t>
      </w:r>
    </w:p>
    <w:p w14:paraId="5BA9E148">
      <w:pPr>
        <w:widowControl/>
        <w:spacing w:line="560" w:lineRule="exact"/>
        <w:ind w:firstLine="482"/>
        <w:jc w:val="left"/>
        <w:rPr>
          <w:rFonts w:hint="eastAsia" w:ascii="宋体" w:hAnsi="宋体" w:eastAsia="宋体" w:cs="宋体"/>
          <w:color w:val="auto"/>
          <w:sz w:val="24"/>
          <w:szCs w:val="20"/>
          <w:lang w:val="zh-CN" w:eastAsia="zh-CN"/>
        </w:rPr>
      </w:pPr>
      <w:r>
        <w:rPr>
          <w:rFonts w:hint="default" w:ascii="宋体" w:hAnsi="宋体" w:eastAsia="Arial" w:cs="宋体"/>
          <w:color w:val="auto"/>
          <w:sz w:val="24"/>
          <w:szCs w:val="20"/>
          <w:lang w:val="zh-CN"/>
        </w:rPr>
        <w:t>乙方（全称）：</w:t>
      </w:r>
    </w:p>
    <w:p w14:paraId="2E92DCB2">
      <w:pPr>
        <w:widowControl/>
        <w:spacing w:line="560" w:lineRule="exact"/>
        <w:ind w:firstLine="482"/>
        <w:jc w:val="left"/>
        <w:rPr>
          <w:rFonts w:ascii="宋体" w:hAnsi="宋体" w:cs="宋体"/>
          <w:color w:val="auto"/>
          <w:sz w:val="24"/>
          <w:szCs w:val="20"/>
          <w:lang w:val="zh-CN"/>
        </w:rPr>
      </w:pPr>
      <w:r>
        <w:rPr>
          <w:rFonts w:hint="default" w:ascii="宋体" w:hAnsi="宋体" w:eastAsia="Arial" w:cs="宋体"/>
          <w:color w:val="auto"/>
          <w:sz w:val="24"/>
          <w:szCs w:val="20"/>
          <w:lang w:val="zh-CN"/>
        </w:rPr>
        <w:t>依据《中华人民共和国民法典》、《中华人民共和国政府采购法》等有关的法律法规，以及本采购项目的招标文件等采购文件、乙方的《投标（响应）文件》及《中标（成交）通知书》，甲乙双方同意签订本合同。具体情况及要求如下：</w:t>
      </w:r>
    </w:p>
    <w:p w14:paraId="474FAC8F">
      <w:pPr>
        <w:widowControl/>
        <w:spacing w:line="560" w:lineRule="exact"/>
        <w:ind w:firstLine="482"/>
        <w:jc w:val="left"/>
        <w:rPr>
          <w:rFonts w:ascii="宋体" w:hAnsi="宋体" w:eastAsia="Arial" w:cs="宋体"/>
          <w:b w:val="0"/>
          <w:bCs w:val="0"/>
          <w:color w:val="auto"/>
          <w:sz w:val="24"/>
          <w:szCs w:val="20"/>
          <w:lang w:val="zh-CN"/>
        </w:rPr>
      </w:pPr>
      <w:r>
        <w:rPr>
          <w:rFonts w:hint="default" w:ascii="宋体" w:hAnsi="宋体" w:eastAsia="Arial" w:cs="宋体"/>
          <w:b w:val="0"/>
          <w:bCs w:val="0"/>
          <w:color w:val="auto"/>
          <w:sz w:val="24"/>
          <w:szCs w:val="20"/>
          <w:lang w:val="zh-CN"/>
        </w:rPr>
        <w:t>1.项目信息</w:t>
      </w:r>
    </w:p>
    <w:p w14:paraId="2D44B442">
      <w:pPr>
        <w:widowControl/>
        <w:spacing w:line="560" w:lineRule="exact"/>
        <w:ind w:firstLine="482"/>
        <w:jc w:val="left"/>
        <w:rPr>
          <w:rFonts w:hint="default" w:ascii="宋体" w:hAnsi="宋体" w:eastAsia="Arial" w:cs="宋体"/>
          <w:bCs w:val="0"/>
          <w:color w:val="auto"/>
          <w:sz w:val="24"/>
          <w:szCs w:val="20"/>
          <w:u w:val="single"/>
          <w:lang w:val="zh-CN" w:eastAsia="zh-CN"/>
        </w:rPr>
      </w:pPr>
      <w:r>
        <w:rPr>
          <w:rFonts w:hint="default" w:ascii="宋体" w:hAnsi="宋体" w:eastAsia="Arial" w:cs="宋体"/>
          <w:color w:val="auto"/>
          <w:sz w:val="24"/>
          <w:szCs w:val="20"/>
          <w:lang w:val="zh-CN"/>
        </w:rPr>
        <w:t>（1）采购项目名称：</w:t>
      </w:r>
      <w:r>
        <w:rPr>
          <w:rFonts w:hint="eastAsia" w:ascii="宋体" w:hAnsi="宋体" w:eastAsia="Arial" w:cs="宋体"/>
          <w:color w:val="auto"/>
          <w:sz w:val="24"/>
          <w:szCs w:val="20"/>
          <w:u w:val="single"/>
          <w:lang w:val="zh-CN" w:eastAsia="zh-CN"/>
        </w:rPr>
        <w:t>江苏省盐城技师学院智能制造学院工业机器人操作与运维一体化学习工作站建设项目</w:t>
      </w:r>
    </w:p>
    <w:p w14:paraId="5B15015F">
      <w:pPr>
        <w:widowControl/>
        <w:spacing w:line="560" w:lineRule="exact"/>
        <w:ind w:firstLine="482"/>
        <w:jc w:val="left"/>
        <w:rPr>
          <w:rFonts w:ascii="宋体" w:hAnsi="宋体" w:eastAsia="Arial" w:cs="宋体"/>
          <w:bCs w:val="0"/>
          <w:color w:val="auto"/>
          <w:sz w:val="24"/>
          <w:szCs w:val="20"/>
          <w:u w:val="none"/>
          <w:lang w:val="zh-CN"/>
        </w:rPr>
      </w:pPr>
      <w:r>
        <w:rPr>
          <w:rFonts w:hint="default" w:ascii="宋体" w:hAnsi="宋体" w:eastAsia="Arial" w:cs="宋体"/>
          <w:bCs w:val="0"/>
          <w:color w:val="auto"/>
          <w:sz w:val="24"/>
          <w:szCs w:val="20"/>
          <w:lang w:val="zh-CN"/>
        </w:rPr>
        <w:t>采购项目编号：</w:t>
      </w:r>
      <w:r>
        <w:rPr>
          <w:rFonts w:hint="eastAsia" w:ascii="宋体" w:hAnsi="宋体" w:eastAsia="Arial" w:cs="宋体"/>
          <w:bCs w:val="0"/>
          <w:color w:val="auto"/>
          <w:sz w:val="24"/>
          <w:szCs w:val="20"/>
          <w:u w:val="single"/>
          <w:lang w:val="en-US" w:eastAsia="zh-CN"/>
        </w:rPr>
        <w:t>JSZC-320900-JSZH-G2026-0087</w:t>
      </w:r>
    </w:p>
    <w:p w14:paraId="724FF571">
      <w:pPr>
        <w:widowControl/>
        <w:spacing w:line="560" w:lineRule="exact"/>
        <w:ind w:firstLine="482"/>
        <w:jc w:val="left"/>
        <w:rPr>
          <w:rFonts w:ascii="宋体" w:hAnsi="宋体" w:eastAsia="Arial" w:cs="宋体"/>
          <w:color w:val="auto"/>
          <w:sz w:val="24"/>
          <w:szCs w:val="20"/>
          <w:u w:val="none"/>
          <w:lang w:val="zh-CN"/>
        </w:rPr>
      </w:pPr>
      <w:r>
        <w:rPr>
          <w:rFonts w:hint="default" w:ascii="宋体" w:hAnsi="宋体" w:eastAsia="Arial" w:cs="宋体"/>
          <w:color w:val="auto"/>
          <w:sz w:val="24"/>
          <w:szCs w:val="20"/>
          <w:lang w:val="zh-CN"/>
        </w:rPr>
        <w:t>（2）采购计划编号：</w:t>
      </w:r>
    </w:p>
    <w:p w14:paraId="294D992E">
      <w:pPr>
        <w:widowControl/>
        <w:spacing w:line="560" w:lineRule="exact"/>
        <w:ind w:firstLine="482"/>
        <w:jc w:val="left"/>
        <w:rPr>
          <w:rFonts w:ascii="宋体" w:hAnsi="宋体" w:eastAsia="Arial" w:cs="宋体"/>
          <w:color w:val="auto"/>
          <w:sz w:val="24"/>
          <w:szCs w:val="20"/>
          <w:lang w:val="zh-CN"/>
        </w:rPr>
      </w:pPr>
      <w:r>
        <w:rPr>
          <w:rFonts w:hint="default" w:ascii="宋体" w:hAnsi="宋体" w:eastAsia="Arial" w:cs="宋体"/>
          <w:color w:val="auto"/>
          <w:sz w:val="24"/>
          <w:szCs w:val="20"/>
          <w:lang w:val="zh-CN"/>
        </w:rPr>
        <w:t>（3）项目内容：</w:t>
      </w:r>
    </w:p>
    <w:p w14:paraId="4A5BA3F1">
      <w:pPr>
        <w:widowControl/>
        <w:spacing w:line="520" w:lineRule="exact"/>
        <w:ind w:firstLine="480"/>
        <w:rPr>
          <w:rFonts w:hint="eastAsia" w:ascii="宋体" w:hAnsi="宋体" w:eastAsia="宋体" w:cs="宋体"/>
          <w:color w:val="auto"/>
          <w:sz w:val="24"/>
          <w:szCs w:val="20"/>
          <w:u w:val="single"/>
          <w:lang w:eastAsia="zh-CN"/>
        </w:rPr>
      </w:pPr>
      <w:r>
        <w:rPr>
          <w:rFonts w:hint="eastAsia" w:ascii="宋体" w:hAnsi="宋体" w:cs="宋体"/>
          <w:color w:val="auto"/>
          <w:sz w:val="24"/>
          <w:szCs w:val="20"/>
          <w:lang w:val="zh-CN"/>
        </w:rPr>
        <w:t>（</w:t>
      </w:r>
      <w:r>
        <w:rPr>
          <w:rFonts w:hint="eastAsia" w:ascii="宋体" w:hAnsi="宋体" w:cs="宋体"/>
          <w:color w:val="auto"/>
          <w:sz w:val="24"/>
          <w:szCs w:val="20"/>
          <w:lang w:val="en-US" w:eastAsia="zh-CN"/>
        </w:rPr>
        <w:t>4</w:t>
      </w:r>
      <w:r>
        <w:rPr>
          <w:rFonts w:hint="eastAsia" w:ascii="宋体" w:hAnsi="宋体" w:cs="宋体"/>
          <w:color w:val="auto"/>
          <w:sz w:val="24"/>
          <w:szCs w:val="20"/>
          <w:lang w:val="zh-CN"/>
        </w:rPr>
        <w:t>）采购标的及数量（台/套/个/架/组等）：</w:t>
      </w:r>
    </w:p>
    <w:p w14:paraId="5586A5A3">
      <w:pPr>
        <w:widowControl/>
        <w:spacing w:line="520" w:lineRule="exact"/>
        <w:ind w:firstLine="480"/>
        <w:rPr>
          <w:rFonts w:hint="eastAsia" w:ascii="宋体" w:hAnsi="宋体" w:eastAsia="宋体" w:cs="宋体"/>
          <w:color w:val="auto"/>
          <w:sz w:val="24"/>
          <w:szCs w:val="20"/>
          <w:u w:val="single"/>
          <w:lang w:eastAsia="zh-CN"/>
        </w:rPr>
      </w:pPr>
      <w:r>
        <w:rPr>
          <w:rFonts w:hint="eastAsia" w:ascii="宋体" w:hAnsi="宋体" w:cs="宋体"/>
          <w:color w:val="auto"/>
          <w:sz w:val="24"/>
          <w:szCs w:val="20"/>
          <w:lang w:val="zh-CN"/>
        </w:rPr>
        <w:t>品牌：规格型号：</w:t>
      </w:r>
    </w:p>
    <w:p w14:paraId="5E925F1D">
      <w:pPr>
        <w:widowControl/>
        <w:spacing w:line="520" w:lineRule="exact"/>
        <w:ind w:firstLine="480"/>
        <w:rPr>
          <w:rFonts w:ascii="宋体" w:hAnsi="宋体" w:cs="宋体"/>
          <w:color w:val="auto"/>
          <w:sz w:val="24"/>
          <w:szCs w:val="20"/>
          <w:lang w:val="zh-CN"/>
        </w:rPr>
      </w:pPr>
      <w:r>
        <w:rPr>
          <w:rFonts w:hint="eastAsia" w:ascii="宋体" w:hAnsi="宋体" w:cs="宋体"/>
          <w:color w:val="auto"/>
          <w:sz w:val="24"/>
          <w:szCs w:val="20"/>
          <w:lang w:val="zh-CN"/>
        </w:rPr>
        <w:t>采购标的的技术要求、商务要求具体见附件。</w:t>
      </w:r>
    </w:p>
    <w:p w14:paraId="668F731E">
      <w:pPr>
        <w:widowControl/>
        <w:spacing w:line="520" w:lineRule="exact"/>
        <w:ind w:firstLine="480"/>
        <w:rPr>
          <w:rFonts w:ascii="宋体" w:hAnsi="宋体" w:cs="宋体"/>
          <w:color w:val="auto"/>
          <w:sz w:val="24"/>
          <w:szCs w:val="20"/>
          <w:lang w:val="zh-CN"/>
        </w:rPr>
      </w:pPr>
      <w:r>
        <w:rPr>
          <w:rFonts w:hint="eastAsia" w:ascii="宋体" w:hAnsi="宋体" w:cs="宋体"/>
          <w:color w:val="auto"/>
          <w:sz w:val="24"/>
          <w:szCs w:val="20"/>
          <w:lang w:val="zh-CN"/>
        </w:rPr>
        <w:t>①涉及信息类产品，请填写该产品关键部件的品牌、型号：</w:t>
      </w:r>
    </w:p>
    <w:p w14:paraId="6E6210E5">
      <w:pPr>
        <w:widowControl/>
        <w:spacing w:line="520" w:lineRule="exact"/>
        <w:ind w:firstLine="480"/>
        <w:rPr>
          <w:rFonts w:hint="eastAsia" w:ascii="宋体" w:hAnsi="宋体" w:eastAsia="宋体" w:cs="宋体"/>
          <w:color w:val="auto"/>
          <w:sz w:val="24"/>
          <w:szCs w:val="20"/>
          <w:u w:val="single"/>
          <w:lang w:eastAsia="zh-CN"/>
        </w:rPr>
      </w:pPr>
      <w:r>
        <w:rPr>
          <w:rFonts w:hint="eastAsia" w:ascii="宋体" w:hAnsi="宋体" w:cs="宋体"/>
          <w:color w:val="auto"/>
          <w:sz w:val="24"/>
          <w:szCs w:val="20"/>
          <w:lang w:val="zh-CN"/>
        </w:rPr>
        <w:t>标的名称：</w:t>
      </w:r>
    </w:p>
    <w:p w14:paraId="326D4D2E">
      <w:pPr>
        <w:widowControl/>
        <w:spacing w:line="520" w:lineRule="exact"/>
        <w:ind w:firstLine="480"/>
        <w:rPr>
          <w:rFonts w:hint="eastAsia" w:ascii="宋体" w:hAnsi="宋体" w:eastAsia="宋体" w:cs="宋体"/>
          <w:color w:val="auto"/>
          <w:sz w:val="24"/>
          <w:szCs w:val="20"/>
          <w:lang w:val="zh-CN" w:eastAsia="zh-CN"/>
        </w:rPr>
      </w:pPr>
      <w:r>
        <w:rPr>
          <w:rFonts w:hint="eastAsia" w:ascii="宋体" w:hAnsi="宋体" w:cs="宋体"/>
          <w:color w:val="auto"/>
          <w:sz w:val="24"/>
          <w:szCs w:val="20"/>
          <w:lang w:val="zh-CN"/>
        </w:rPr>
        <w:t>关键部件：品牌：型号：</w:t>
      </w:r>
    </w:p>
    <w:p w14:paraId="0D73FE7B">
      <w:pPr>
        <w:widowControl/>
        <w:spacing w:line="520" w:lineRule="exact"/>
        <w:ind w:firstLine="480"/>
        <w:rPr>
          <w:rFonts w:ascii="宋体" w:hAnsi="宋体" w:cs="宋体"/>
          <w:color w:val="auto"/>
          <w:sz w:val="24"/>
          <w:szCs w:val="20"/>
          <w:lang w:val="zh-CN"/>
        </w:rPr>
      </w:pPr>
      <w:r>
        <w:rPr>
          <w:rFonts w:hint="eastAsia" w:ascii="宋体" w:hAnsi="宋体" w:cs="宋体"/>
          <w:color w:val="auto"/>
          <w:sz w:val="24"/>
          <w:szCs w:val="20"/>
          <w:lang w:val="zh-CN"/>
        </w:rPr>
        <w:t>关键部件：品牌：型号：</w:t>
      </w:r>
    </w:p>
    <w:p w14:paraId="5E9ED96E">
      <w:pPr>
        <w:widowControl/>
        <w:spacing w:line="520" w:lineRule="exact"/>
        <w:ind w:firstLine="480"/>
        <w:rPr>
          <w:rFonts w:ascii="宋体" w:hAnsi="宋体" w:cs="宋体"/>
          <w:color w:val="auto"/>
          <w:sz w:val="24"/>
          <w:szCs w:val="20"/>
          <w:lang w:val="zh-CN"/>
        </w:rPr>
      </w:pPr>
      <w:r>
        <w:rPr>
          <w:rFonts w:hint="eastAsia" w:ascii="宋体" w:hAnsi="宋体" w:cs="宋体"/>
          <w:color w:val="auto"/>
          <w:sz w:val="24"/>
          <w:szCs w:val="20"/>
          <w:lang w:val="zh-CN"/>
        </w:rPr>
        <w:t>关键部件：品牌：型号：</w:t>
      </w:r>
    </w:p>
    <w:p w14:paraId="0E3A3F42">
      <w:pPr>
        <w:widowControl/>
        <w:spacing w:line="520" w:lineRule="exact"/>
        <w:ind w:firstLine="480"/>
        <w:rPr>
          <w:rFonts w:ascii="宋体" w:hAnsi="宋体" w:cs="宋体"/>
          <w:color w:val="auto"/>
          <w:sz w:val="24"/>
          <w:szCs w:val="20"/>
          <w:lang w:val="zh-CN"/>
        </w:rPr>
      </w:pPr>
      <w:r>
        <w:rPr>
          <w:rFonts w:hint="eastAsia" w:ascii="宋体" w:hAnsi="宋体" w:cs="宋体"/>
          <w:color w:val="auto"/>
          <w:sz w:val="24"/>
          <w:szCs w:val="20"/>
          <w:lang w:val="zh-CN"/>
        </w:rPr>
        <w:t>（注：关键部件是指财政部会同有关部门发布的政府采购需求标准规定的需要通过国家有关部门指定的测评机构开展的安全可靠测评的软硬件，如CPU芯片、操作系统、数据库等。）</w:t>
      </w:r>
    </w:p>
    <w:p w14:paraId="41608C86">
      <w:pPr>
        <w:widowControl/>
        <w:spacing w:line="520" w:lineRule="exact"/>
        <w:ind w:firstLine="480"/>
        <w:rPr>
          <w:rFonts w:ascii="宋体" w:hAnsi="宋体" w:cs="宋体"/>
          <w:color w:val="auto"/>
          <w:sz w:val="24"/>
          <w:szCs w:val="20"/>
          <w:lang w:val="zh-CN"/>
        </w:rPr>
      </w:pPr>
      <w:r>
        <w:rPr>
          <w:rFonts w:hint="eastAsia" w:ascii="宋体" w:hAnsi="宋体" w:cs="宋体"/>
          <w:color w:val="auto"/>
          <w:sz w:val="24"/>
          <w:szCs w:val="20"/>
          <w:lang w:val="zh-CN"/>
        </w:rPr>
        <w:t>②涉及车辆采购，请填写是否属于新能源汽车：</w:t>
      </w:r>
    </w:p>
    <w:p w14:paraId="0ED76044">
      <w:pPr>
        <w:widowControl/>
        <w:spacing w:line="520" w:lineRule="exact"/>
        <w:ind w:firstLine="480"/>
        <w:rPr>
          <w:rFonts w:hint="eastAsia" w:ascii="宋体" w:hAnsi="宋体" w:eastAsia="宋体" w:cs="宋体"/>
          <w:color w:val="auto"/>
          <w:sz w:val="24"/>
          <w:szCs w:val="20"/>
          <w:lang w:val="zh-CN" w:eastAsia="zh-CN"/>
        </w:rPr>
      </w:pPr>
      <w:r>
        <w:rPr>
          <w:rFonts w:ascii="Wingdings" w:hAnsi="Wingdings" w:eastAsia="Wingdings" w:cs="Wingdings"/>
          <w:color w:val="auto"/>
          <w:sz w:val="24"/>
          <w:szCs w:val="20"/>
          <w:lang w:val="zh-CN"/>
        </w:rPr>
        <w:t></w:t>
      </w:r>
      <w:r>
        <w:rPr>
          <w:rFonts w:hint="eastAsia" w:ascii="宋体" w:hAnsi="宋体" w:cs="宋体"/>
          <w:color w:val="auto"/>
          <w:sz w:val="24"/>
          <w:szCs w:val="20"/>
          <w:lang w:val="zh-CN"/>
        </w:rPr>
        <w:t>是，《政府采购品目分类目录》底级品目名称：数量：金额：</w:t>
      </w:r>
    </w:p>
    <w:p w14:paraId="44760B4C">
      <w:pPr>
        <w:widowControl/>
        <w:spacing w:line="520" w:lineRule="exact"/>
        <w:ind w:firstLine="480"/>
        <w:rPr>
          <w:rFonts w:ascii="宋体" w:hAnsi="宋体" w:cs="宋体"/>
          <w:color w:val="auto"/>
          <w:sz w:val="24"/>
          <w:szCs w:val="20"/>
          <w:lang w:val="zh-CN"/>
        </w:rPr>
      </w:pPr>
      <w:r>
        <w:rPr>
          <w:rFonts w:ascii="Wingdings" w:hAnsi="Wingdings" w:eastAsia="Wingdings" w:cs="Wingdings"/>
          <w:color w:val="auto"/>
          <w:sz w:val="24"/>
          <w:szCs w:val="20"/>
          <w:lang w:val="zh-CN"/>
        </w:rPr>
        <w:t></w:t>
      </w:r>
      <w:r>
        <w:rPr>
          <w:rFonts w:hint="eastAsia" w:ascii="宋体" w:hAnsi="宋体" w:cs="宋体"/>
          <w:color w:val="auto"/>
          <w:sz w:val="24"/>
          <w:szCs w:val="20"/>
          <w:lang w:val="zh-CN"/>
        </w:rPr>
        <w:t>否</w:t>
      </w:r>
    </w:p>
    <w:p w14:paraId="4101C81E">
      <w:pPr>
        <w:widowControl/>
        <w:spacing w:line="520" w:lineRule="exact"/>
        <w:ind w:firstLine="480"/>
        <w:rPr>
          <w:rFonts w:ascii="宋体" w:hAnsi="宋体" w:cs="宋体"/>
          <w:color w:val="auto"/>
          <w:sz w:val="24"/>
          <w:szCs w:val="20"/>
          <w:lang w:val="zh-CN"/>
        </w:rPr>
      </w:pPr>
      <w:r>
        <w:rPr>
          <w:rFonts w:hint="eastAsia" w:ascii="宋体" w:hAnsi="宋体" w:cs="宋体"/>
          <w:color w:val="auto"/>
          <w:sz w:val="24"/>
          <w:szCs w:val="20"/>
          <w:lang w:val="zh-CN"/>
        </w:rPr>
        <w:t>（4）政府采购组织形式：</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政府集中采购</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部门集中采购</w:t>
      </w:r>
      <w:r>
        <w:rPr>
          <w:rFonts w:ascii="Wingdings" w:hAnsi="Wingdings" w:eastAsia="Wingdings" w:cs="Wingdings"/>
          <w:color w:val="auto"/>
          <w:sz w:val="24"/>
          <w:szCs w:val="20"/>
          <w:lang w:val="zh-CN"/>
        </w:rPr>
        <w:t>þ</w:t>
      </w:r>
      <w:r>
        <w:rPr>
          <w:rFonts w:hint="eastAsia" w:ascii="宋体" w:hAnsi="宋体" w:cs="宋体"/>
          <w:color w:val="auto"/>
          <w:sz w:val="24"/>
          <w:szCs w:val="20"/>
          <w:lang w:val="zh-CN"/>
        </w:rPr>
        <w:t>分散采购</w:t>
      </w:r>
    </w:p>
    <w:p w14:paraId="436E6496">
      <w:pPr>
        <w:widowControl/>
        <w:spacing w:line="520" w:lineRule="exact"/>
        <w:ind w:firstLine="480"/>
        <w:rPr>
          <w:rFonts w:ascii="宋体" w:hAnsi="宋体" w:cs="宋体"/>
          <w:color w:val="auto"/>
          <w:sz w:val="24"/>
          <w:szCs w:val="20"/>
          <w:lang w:val="zh-CN"/>
        </w:rPr>
      </w:pPr>
      <w:r>
        <w:rPr>
          <w:rFonts w:hint="eastAsia" w:ascii="宋体" w:hAnsi="宋体" w:cs="宋体"/>
          <w:color w:val="auto"/>
          <w:sz w:val="24"/>
          <w:szCs w:val="20"/>
          <w:lang w:val="zh-CN"/>
        </w:rPr>
        <w:t>（5）政府采购方式：</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公开招标</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邀请招标</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竞争性谈判</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竞争性磋商</w:t>
      </w:r>
    </w:p>
    <w:p w14:paraId="682D75C7">
      <w:pPr>
        <w:widowControl/>
        <w:spacing w:line="520" w:lineRule="exact"/>
        <w:ind w:firstLine="480"/>
        <w:rPr>
          <w:rFonts w:hint="eastAsia" w:ascii="宋体" w:hAnsi="宋体" w:eastAsia="宋体" w:cs="宋体"/>
          <w:color w:val="auto"/>
          <w:sz w:val="24"/>
          <w:szCs w:val="20"/>
          <w:u w:val="single"/>
          <w:lang w:eastAsia="zh-CN"/>
        </w:rPr>
      </w:pPr>
      <w:r>
        <w:rPr>
          <w:rFonts w:hint="eastAsia" w:ascii="宋体" w:hAnsi="宋体" w:cs="宋体"/>
          <w:color w:val="auto"/>
          <w:sz w:val="24"/>
          <w:szCs w:val="20"/>
          <w:lang w:val="zh-CN"/>
        </w:rPr>
        <w:t></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询价</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单一来源</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框架协议其他：</w:t>
      </w:r>
    </w:p>
    <w:p w14:paraId="018B9D5D">
      <w:pPr>
        <w:widowControl/>
        <w:spacing w:line="520" w:lineRule="exact"/>
        <w:ind w:firstLine="480"/>
        <w:rPr>
          <w:rFonts w:ascii="宋体" w:hAnsi="宋体" w:cs="宋体"/>
          <w:color w:val="auto"/>
          <w:sz w:val="24"/>
          <w:szCs w:val="20"/>
          <w:lang w:val="zh-CN"/>
        </w:rPr>
      </w:pPr>
      <w:r>
        <w:rPr>
          <w:rFonts w:hint="eastAsia" w:ascii="宋体" w:hAnsi="宋体" w:cs="宋体"/>
          <w:color w:val="auto"/>
          <w:sz w:val="24"/>
          <w:szCs w:val="20"/>
          <w:lang w:val="zh-CN"/>
        </w:rPr>
        <w:t>（6）中标（成交）采购标的制造商是否为中小企业：</w:t>
      </w:r>
      <w:r>
        <w:rPr>
          <w:rFonts w:ascii="Wingdings" w:hAnsi="Wingdings" w:eastAsia="Wingdings" w:cs="Wingdings"/>
          <w:color w:val="auto"/>
          <w:sz w:val="24"/>
          <w:szCs w:val="20"/>
          <w:lang w:val="zh-CN"/>
        </w:rPr>
        <w:t>þ</w:t>
      </w:r>
      <w:r>
        <w:rPr>
          <w:rFonts w:hint="eastAsia" w:ascii="宋体" w:hAnsi="宋体" w:cs="宋体"/>
          <w:color w:val="auto"/>
          <w:sz w:val="24"/>
          <w:szCs w:val="20"/>
          <w:lang w:val="zh-CN"/>
        </w:rPr>
        <w:t>是</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否</w:t>
      </w:r>
    </w:p>
    <w:p w14:paraId="3C3B5A92">
      <w:pPr>
        <w:widowControl/>
        <w:spacing w:line="520" w:lineRule="exact"/>
        <w:ind w:firstLine="480"/>
        <w:rPr>
          <w:rFonts w:ascii="宋体" w:hAnsi="宋体" w:cs="宋体"/>
          <w:color w:val="auto"/>
          <w:sz w:val="24"/>
          <w:szCs w:val="20"/>
          <w:lang w:val="zh-CN"/>
        </w:rPr>
      </w:pPr>
      <w:r>
        <w:rPr>
          <w:rFonts w:hint="eastAsia" w:ascii="宋体" w:hAnsi="宋体" w:cs="宋体"/>
          <w:color w:val="auto"/>
          <w:sz w:val="24"/>
          <w:szCs w:val="20"/>
          <w:lang w:val="zh-CN"/>
        </w:rPr>
        <w:t>本合同是否为专门面向中小企业的采购合同（中小企业预留合同）：</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是</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否</w:t>
      </w:r>
    </w:p>
    <w:p w14:paraId="7C977D24">
      <w:pPr>
        <w:widowControl/>
        <w:spacing w:line="520" w:lineRule="exact"/>
        <w:ind w:firstLine="480"/>
        <w:rPr>
          <w:rFonts w:ascii="宋体" w:hAnsi="宋体" w:cs="宋体"/>
          <w:color w:val="auto"/>
          <w:sz w:val="24"/>
          <w:szCs w:val="20"/>
          <w:lang w:val="zh-CN"/>
        </w:rPr>
      </w:pPr>
      <w:r>
        <w:rPr>
          <w:rFonts w:hint="eastAsia" w:ascii="宋体" w:hAnsi="宋体" w:cs="宋体"/>
          <w:color w:val="auto"/>
          <w:sz w:val="24"/>
          <w:szCs w:val="20"/>
          <w:lang w:val="zh-CN"/>
        </w:rPr>
        <w:t>若本项目不专门面向中小企业采购，是否给予小微企业评审优惠：</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是</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否</w:t>
      </w:r>
    </w:p>
    <w:p w14:paraId="610C10C3">
      <w:pPr>
        <w:widowControl/>
        <w:spacing w:line="520" w:lineRule="exact"/>
        <w:ind w:firstLine="480"/>
        <w:rPr>
          <w:rFonts w:ascii="宋体" w:hAnsi="宋体" w:cs="宋体"/>
          <w:color w:val="auto"/>
          <w:sz w:val="24"/>
          <w:szCs w:val="20"/>
          <w:lang w:val="zh-CN"/>
        </w:rPr>
      </w:pPr>
      <w:r>
        <w:rPr>
          <w:rFonts w:hint="eastAsia" w:ascii="宋体" w:hAnsi="宋体" w:cs="宋体"/>
          <w:color w:val="auto"/>
          <w:sz w:val="24"/>
          <w:szCs w:val="20"/>
          <w:lang w:val="zh-CN"/>
        </w:rPr>
        <w:t>中标（成交）采购标的制造商是否为残疾人福利性单位：</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是</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否</w:t>
      </w:r>
    </w:p>
    <w:p w14:paraId="44B0E0C4">
      <w:pPr>
        <w:widowControl/>
        <w:spacing w:line="520" w:lineRule="exact"/>
        <w:ind w:firstLine="480"/>
        <w:rPr>
          <w:rFonts w:ascii="宋体" w:hAnsi="宋体" w:cs="宋体"/>
          <w:color w:val="auto"/>
          <w:sz w:val="24"/>
          <w:szCs w:val="20"/>
          <w:lang w:val="zh-CN"/>
        </w:rPr>
      </w:pPr>
      <w:r>
        <w:rPr>
          <w:rFonts w:hint="eastAsia" w:ascii="宋体" w:hAnsi="宋体" w:cs="宋体"/>
          <w:color w:val="auto"/>
          <w:sz w:val="24"/>
          <w:szCs w:val="20"/>
          <w:lang w:val="zh-CN"/>
        </w:rPr>
        <w:t>中标（成交）采购标的制造商是否为监狱企业：</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是</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否</w:t>
      </w:r>
    </w:p>
    <w:p w14:paraId="0839E520">
      <w:pPr>
        <w:widowControl/>
        <w:numPr>
          <w:ilvl w:val="0"/>
          <w:numId w:val="2"/>
        </w:numPr>
        <w:spacing w:line="520" w:lineRule="exact"/>
        <w:ind w:firstLine="480"/>
        <w:rPr>
          <w:rFonts w:ascii="宋体" w:hAnsi="宋体" w:cs="宋体"/>
          <w:color w:val="auto"/>
          <w:sz w:val="24"/>
          <w:szCs w:val="20"/>
          <w:lang w:val="zh-CN"/>
        </w:rPr>
      </w:pPr>
      <w:r>
        <w:rPr>
          <w:rFonts w:hint="eastAsia" w:ascii="宋体" w:hAnsi="宋体" w:cs="宋体"/>
          <w:color w:val="auto"/>
          <w:sz w:val="24"/>
          <w:szCs w:val="20"/>
          <w:lang w:val="zh-CN"/>
        </w:rPr>
        <w:t>合同是否分包：</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是</w:t>
      </w:r>
      <w:r>
        <w:rPr>
          <w:rFonts w:ascii="Wingdings" w:hAnsi="Wingdings" w:eastAsia="Wingdings" w:cs="Wingdings"/>
          <w:color w:val="auto"/>
          <w:sz w:val="24"/>
          <w:szCs w:val="20"/>
          <w:lang w:val="zh-CN"/>
        </w:rPr>
        <w:t>þ</w:t>
      </w:r>
      <w:r>
        <w:rPr>
          <w:rFonts w:hint="eastAsia" w:ascii="宋体" w:hAnsi="宋体" w:cs="宋体"/>
          <w:color w:val="auto"/>
          <w:sz w:val="24"/>
          <w:szCs w:val="20"/>
          <w:lang w:val="zh-CN"/>
        </w:rPr>
        <w:t>否</w:t>
      </w:r>
    </w:p>
    <w:p w14:paraId="7E473B4B">
      <w:pPr>
        <w:widowControl/>
        <w:spacing w:line="520" w:lineRule="exact"/>
        <w:ind w:firstLine="960"/>
        <w:rPr>
          <w:rFonts w:hint="eastAsia" w:ascii="宋体" w:hAnsi="宋体" w:eastAsia="宋体" w:cs="宋体"/>
          <w:color w:val="auto"/>
          <w:sz w:val="24"/>
          <w:szCs w:val="20"/>
          <w:u w:val="single"/>
          <w:lang w:eastAsia="zh-CN"/>
        </w:rPr>
      </w:pPr>
      <w:r>
        <w:rPr>
          <w:rFonts w:hint="eastAsia" w:ascii="宋体" w:hAnsi="宋体" w:cs="宋体"/>
          <w:color w:val="auto"/>
          <w:sz w:val="24"/>
          <w:szCs w:val="20"/>
          <w:lang w:val="zh-CN"/>
        </w:rPr>
        <w:t>分包主要内容：</w:t>
      </w:r>
    </w:p>
    <w:p w14:paraId="1153E766">
      <w:pPr>
        <w:widowControl/>
        <w:spacing w:line="520" w:lineRule="exact"/>
        <w:ind w:firstLine="480"/>
        <w:rPr>
          <w:rFonts w:hint="eastAsia" w:ascii="宋体" w:hAnsi="宋体" w:eastAsia="宋体" w:cs="宋体"/>
          <w:color w:val="auto"/>
          <w:sz w:val="24"/>
          <w:szCs w:val="20"/>
          <w:u w:val="single"/>
          <w:lang w:eastAsia="zh-CN"/>
        </w:rPr>
      </w:pPr>
      <w:r>
        <w:rPr>
          <w:rFonts w:hint="eastAsia" w:ascii="宋体" w:hAnsi="宋体" w:cs="宋体"/>
          <w:color w:val="auto"/>
          <w:sz w:val="24"/>
          <w:szCs w:val="20"/>
          <w:lang w:val="zh-CN"/>
        </w:rPr>
        <w:t>分包供应商/制造商名称（如供应商和制造商不同，请分别填写）：</w:t>
      </w:r>
    </w:p>
    <w:p w14:paraId="7C48C372">
      <w:pPr>
        <w:widowControl/>
        <w:spacing w:line="520" w:lineRule="exact"/>
        <w:ind w:firstLine="480"/>
        <w:rPr>
          <w:rFonts w:ascii="宋体" w:hAnsi="宋体" w:cs="宋体"/>
          <w:color w:val="auto"/>
          <w:sz w:val="24"/>
          <w:szCs w:val="20"/>
          <w:lang w:val="zh-CN"/>
        </w:rPr>
      </w:pPr>
      <w:r>
        <w:rPr>
          <w:rFonts w:hint="eastAsia" w:ascii="宋体" w:hAnsi="宋体" w:cs="宋体"/>
          <w:color w:val="auto"/>
          <w:sz w:val="24"/>
          <w:szCs w:val="20"/>
          <w:lang w:val="zh-CN"/>
        </w:rPr>
        <w:t>分包供应商/制造商类型（如果供应商和制造商不同，只填写制造商类型）：</w:t>
      </w:r>
    </w:p>
    <w:p w14:paraId="68462B17">
      <w:pPr>
        <w:widowControl/>
        <w:spacing w:line="520" w:lineRule="exact"/>
        <w:ind w:firstLine="480"/>
        <w:rPr>
          <w:rFonts w:ascii="宋体" w:hAnsi="宋体" w:cs="宋体"/>
          <w:color w:val="auto"/>
          <w:sz w:val="24"/>
          <w:szCs w:val="20"/>
          <w:lang w:val="zh-CN"/>
        </w:rPr>
      </w:pPr>
      <w:r>
        <w:rPr>
          <w:rFonts w:ascii="Wingdings" w:hAnsi="Wingdings" w:eastAsia="Wingdings" w:cs="Wingdings"/>
          <w:color w:val="auto"/>
          <w:sz w:val="24"/>
          <w:szCs w:val="20"/>
          <w:lang w:val="zh-CN"/>
        </w:rPr>
        <w:t></w:t>
      </w:r>
      <w:r>
        <w:rPr>
          <w:rFonts w:hint="eastAsia" w:ascii="宋体" w:hAnsi="宋体" w:cs="宋体"/>
          <w:color w:val="auto"/>
          <w:sz w:val="24"/>
          <w:szCs w:val="20"/>
          <w:lang w:val="zh-CN"/>
        </w:rPr>
        <w:t>大型企业</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中型企业</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小微型企业</w:t>
      </w:r>
    </w:p>
    <w:p w14:paraId="4B18F6EB">
      <w:pPr>
        <w:widowControl/>
        <w:spacing w:line="520" w:lineRule="exact"/>
        <w:ind w:firstLine="480"/>
        <w:rPr>
          <w:rFonts w:ascii="宋体" w:hAnsi="宋体" w:cs="宋体"/>
          <w:color w:val="auto"/>
          <w:sz w:val="24"/>
          <w:szCs w:val="20"/>
          <w:lang w:val="zh-CN"/>
        </w:rPr>
      </w:pPr>
      <w:r>
        <w:rPr>
          <w:rFonts w:ascii="Wingdings" w:hAnsi="Wingdings" w:eastAsia="Wingdings" w:cs="Wingdings"/>
          <w:color w:val="auto"/>
          <w:sz w:val="24"/>
          <w:szCs w:val="20"/>
          <w:lang w:val="zh-CN"/>
        </w:rPr>
        <w:t></w:t>
      </w:r>
      <w:r>
        <w:rPr>
          <w:rFonts w:hint="eastAsia" w:ascii="宋体" w:hAnsi="宋体" w:cs="宋体"/>
          <w:color w:val="auto"/>
          <w:sz w:val="24"/>
          <w:szCs w:val="20"/>
          <w:lang w:val="zh-CN"/>
        </w:rPr>
        <w:t>残疾人福利性单位</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监狱企业</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其他</w:t>
      </w:r>
    </w:p>
    <w:p w14:paraId="6B64C5AC">
      <w:pPr>
        <w:widowControl/>
        <w:spacing w:line="520" w:lineRule="exact"/>
        <w:ind w:firstLine="480"/>
        <w:rPr>
          <w:rFonts w:ascii="宋体" w:hAnsi="宋体" w:cs="宋体"/>
          <w:color w:val="auto"/>
          <w:sz w:val="24"/>
          <w:szCs w:val="20"/>
          <w:lang w:val="zh-CN"/>
        </w:rPr>
      </w:pPr>
      <w:r>
        <w:rPr>
          <w:rFonts w:hint="eastAsia" w:ascii="宋体" w:hAnsi="宋体" w:cs="宋体"/>
          <w:color w:val="auto"/>
          <w:sz w:val="24"/>
          <w:szCs w:val="20"/>
          <w:lang w:val="zh-CN"/>
        </w:rPr>
        <w:t>（8）中标（成交）供应商是否为外商投资企业：</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是</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否</w:t>
      </w:r>
    </w:p>
    <w:p w14:paraId="6871E549">
      <w:pPr>
        <w:widowControl/>
        <w:spacing w:line="520" w:lineRule="exact"/>
        <w:ind w:firstLine="480"/>
        <w:rPr>
          <w:rFonts w:ascii="宋体" w:hAnsi="宋体" w:cs="宋体"/>
          <w:color w:val="auto"/>
          <w:sz w:val="24"/>
          <w:szCs w:val="20"/>
          <w:lang w:val="zh-CN"/>
        </w:rPr>
      </w:pPr>
      <w:r>
        <w:rPr>
          <w:rFonts w:hint="eastAsia" w:ascii="宋体" w:hAnsi="宋体" w:cs="宋体"/>
          <w:color w:val="auto"/>
          <w:sz w:val="24"/>
          <w:szCs w:val="20"/>
          <w:lang w:val="zh-CN"/>
        </w:rPr>
        <w:t>外商投资企业类型：</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全部由外国投资者投资</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部分由外国投资者投资</w:t>
      </w:r>
    </w:p>
    <w:p w14:paraId="1858B414">
      <w:pPr>
        <w:widowControl/>
        <w:spacing w:line="520" w:lineRule="exact"/>
        <w:ind w:firstLine="480"/>
        <w:rPr>
          <w:rFonts w:ascii="宋体" w:hAnsi="宋体" w:cs="宋体"/>
          <w:color w:val="auto"/>
          <w:sz w:val="24"/>
          <w:szCs w:val="20"/>
          <w:lang w:val="zh-CN"/>
        </w:rPr>
      </w:pPr>
      <w:r>
        <w:rPr>
          <w:rFonts w:hint="eastAsia" w:ascii="宋体" w:hAnsi="宋体" w:cs="宋体"/>
          <w:color w:val="auto"/>
          <w:sz w:val="24"/>
          <w:szCs w:val="20"/>
          <w:lang w:val="zh-CN"/>
        </w:rPr>
        <w:t>（9）是否涉及进口产品：</w:t>
      </w:r>
    </w:p>
    <w:p w14:paraId="2783E8F9">
      <w:pPr>
        <w:widowControl/>
        <w:spacing w:line="520" w:lineRule="exact"/>
        <w:ind w:firstLine="480"/>
        <w:rPr>
          <w:rFonts w:hint="eastAsia" w:ascii="宋体" w:hAnsi="宋体" w:eastAsia="宋体" w:cs="宋体"/>
          <w:color w:val="auto"/>
          <w:sz w:val="24"/>
          <w:szCs w:val="20"/>
          <w:u w:val="single"/>
          <w:lang w:eastAsia="zh-CN"/>
        </w:rPr>
      </w:pPr>
      <w:r>
        <w:rPr>
          <w:rFonts w:hint="eastAsia" w:ascii="宋体" w:hAnsi="宋体" w:cs="宋体"/>
          <w:color w:val="auto"/>
          <w:sz w:val="24"/>
          <w:szCs w:val="20"/>
          <w:lang w:val="zh-CN"/>
        </w:rPr>
        <w:t></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是，《政府采购品目分类目录》底级品目名称：金额：</w:t>
      </w:r>
    </w:p>
    <w:p w14:paraId="18F513C2">
      <w:pPr>
        <w:widowControl/>
        <w:spacing w:line="520" w:lineRule="exact"/>
        <w:ind w:firstLine="480"/>
        <w:rPr>
          <w:rFonts w:hint="eastAsia" w:ascii="宋体" w:hAnsi="宋体" w:eastAsia="宋体" w:cs="宋体"/>
          <w:color w:val="auto"/>
          <w:sz w:val="24"/>
          <w:szCs w:val="20"/>
          <w:lang w:eastAsia="zh-CN"/>
        </w:rPr>
      </w:pPr>
      <w:r>
        <w:rPr>
          <w:rFonts w:hint="eastAsia" w:ascii="宋体" w:hAnsi="宋体" w:cs="宋体"/>
          <w:color w:val="auto"/>
          <w:sz w:val="24"/>
          <w:szCs w:val="20"/>
          <w:lang w:val="zh-CN"/>
        </w:rPr>
        <w:t>国别：品牌：规格型号：</w:t>
      </w:r>
    </w:p>
    <w:p w14:paraId="311AE6FD">
      <w:pPr>
        <w:widowControl/>
        <w:spacing w:line="520" w:lineRule="exact"/>
        <w:ind w:firstLine="480"/>
        <w:rPr>
          <w:rFonts w:ascii="宋体" w:hAnsi="宋体" w:cs="宋体"/>
          <w:color w:val="auto"/>
          <w:sz w:val="24"/>
          <w:szCs w:val="20"/>
          <w:lang w:val="zh-CN"/>
        </w:rPr>
      </w:pPr>
      <w:r>
        <w:rPr>
          <w:rFonts w:hint="eastAsia" w:ascii="宋体" w:hAnsi="宋体" w:cs="宋体"/>
          <w:color w:val="auto"/>
          <w:sz w:val="24"/>
          <w:szCs w:val="20"/>
          <w:lang w:val="zh-CN"/>
        </w:rPr>
        <w:t></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否</w:t>
      </w:r>
    </w:p>
    <w:p w14:paraId="28F19FC7">
      <w:pPr>
        <w:widowControl/>
        <w:spacing w:line="520" w:lineRule="exact"/>
        <w:ind w:firstLine="480"/>
        <w:rPr>
          <w:rFonts w:ascii="宋体" w:hAnsi="宋体" w:cs="宋体"/>
          <w:color w:val="auto"/>
          <w:sz w:val="24"/>
          <w:szCs w:val="20"/>
          <w:lang w:val="zh-CN"/>
        </w:rPr>
      </w:pPr>
      <w:r>
        <w:rPr>
          <w:rFonts w:hint="eastAsia" w:ascii="宋体" w:hAnsi="宋体" w:cs="宋体"/>
          <w:color w:val="auto"/>
          <w:sz w:val="24"/>
          <w:szCs w:val="20"/>
          <w:lang w:val="zh-CN"/>
        </w:rPr>
        <w:t>（10）是否涉及节能产品：</w:t>
      </w:r>
    </w:p>
    <w:p w14:paraId="2A2B5FD6">
      <w:pPr>
        <w:widowControl/>
        <w:spacing w:line="520" w:lineRule="exact"/>
        <w:ind w:firstLine="480"/>
        <w:rPr>
          <w:rFonts w:hint="eastAsia" w:ascii="宋体" w:hAnsi="宋体" w:eastAsia="宋体" w:cs="宋体"/>
          <w:color w:val="auto"/>
          <w:sz w:val="24"/>
          <w:szCs w:val="20"/>
          <w:u w:val="single"/>
          <w:lang w:eastAsia="zh-CN"/>
        </w:rPr>
      </w:pPr>
      <w:r>
        <w:rPr>
          <w:rFonts w:hint="eastAsia" w:ascii="宋体" w:hAnsi="宋体" w:cs="宋体"/>
          <w:color w:val="auto"/>
          <w:sz w:val="24"/>
          <w:szCs w:val="20"/>
          <w:lang w:val="zh-CN"/>
        </w:rPr>
        <w:t></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是，《节能产品政府采购品目清单》的底级品目名称：</w:t>
      </w:r>
    </w:p>
    <w:p w14:paraId="121732E3">
      <w:pPr>
        <w:widowControl/>
        <w:spacing w:line="520" w:lineRule="exact"/>
        <w:ind w:firstLine="480"/>
        <w:rPr>
          <w:rFonts w:ascii="宋体" w:hAnsi="宋体" w:cs="宋体"/>
          <w:color w:val="auto"/>
          <w:sz w:val="24"/>
          <w:szCs w:val="20"/>
          <w:lang w:val="zh-CN"/>
        </w:rPr>
      </w:pPr>
      <w:r>
        <w:rPr>
          <w:rFonts w:hint="eastAsia" w:ascii="宋体" w:hAnsi="宋体" w:cs="宋体"/>
          <w:color w:val="auto"/>
          <w:sz w:val="24"/>
          <w:szCs w:val="20"/>
          <w:lang w:val="zh-CN"/>
        </w:rPr>
        <w:t></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强制采购</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优先采购</w:t>
      </w:r>
    </w:p>
    <w:p w14:paraId="2EEEE67A">
      <w:pPr>
        <w:widowControl/>
        <w:spacing w:line="520" w:lineRule="exact"/>
        <w:ind w:firstLine="480"/>
        <w:rPr>
          <w:rFonts w:ascii="宋体" w:hAnsi="宋体" w:cs="宋体"/>
          <w:color w:val="auto"/>
          <w:sz w:val="24"/>
          <w:szCs w:val="20"/>
          <w:lang w:val="zh-CN"/>
        </w:rPr>
      </w:pPr>
      <w:r>
        <w:rPr>
          <w:rFonts w:hint="eastAsia" w:ascii="宋体" w:hAnsi="宋体" w:cs="宋体"/>
          <w:color w:val="auto"/>
          <w:sz w:val="24"/>
          <w:szCs w:val="20"/>
          <w:lang w:val="zh-CN"/>
        </w:rPr>
        <w:t></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否</w:t>
      </w:r>
    </w:p>
    <w:p w14:paraId="68A88860">
      <w:pPr>
        <w:widowControl/>
        <w:spacing w:line="520" w:lineRule="exact"/>
        <w:ind w:firstLine="787"/>
        <w:rPr>
          <w:rFonts w:ascii="宋体" w:hAnsi="宋体" w:cs="宋体"/>
          <w:color w:val="auto"/>
          <w:sz w:val="24"/>
          <w:szCs w:val="20"/>
          <w:lang w:val="zh-CN"/>
        </w:rPr>
      </w:pPr>
      <w:r>
        <w:rPr>
          <w:rFonts w:hint="eastAsia" w:ascii="宋体" w:hAnsi="宋体" w:cs="宋体"/>
          <w:color w:val="auto"/>
          <w:sz w:val="24"/>
          <w:szCs w:val="20"/>
          <w:lang w:val="zh-CN"/>
        </w:rPr>
        <w:t>是否涉及环境标志产品：</w:t>
      </w:r>
    </w:p>
    <w:p w14:paraId="3FF394B6">
      <w:pPr>
        <w:widowControl/>
        <w:spacing w:line="520" w:lineRule="exact"/>
        <w:ind w:firstLine="480"/>
        <w:rPr>
          <w:rFonts w:hint="default" w:ascii="宋体" w:hAnsi="宋体" w:eastAsiaTheme="minorEastAsia"/>
          <w:b/>
          <w:bCs/>
          <w:color w:val="auto"/>
          <w:sz w:val="24"/>
          <w:u w:val="single"/>
          <w:lang w:val="en-US" w:eastAsia="zh-CN"/>
        </w:rPr>
      </w:pPr>
      <w:r>
        <w:rPr>
          <w:rFonts w:hint="eastAsia" w:ascii="宋体" w:hAnsi="宋体" w:cs="宋体"/>
          <w:color w:val="auto"/>
          <w:sz w:val="24"/>
          <w:szCs w:val="20"/>
          <w:lang w:val="zh-CN"/>
        </w:rPr>
        <w:t></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是，《环境标志产品政府采购品目清单》的底级品目名称：</w:t>
      </w:r>
    </w:p>
    <w:p w14:paraId="7C061060">
      <w:pPr>
        <w:widowControl/>
        <w:spacing w:line="520" w:lineRule="exact"/>
        <w:ind w:firstLine="480"/>
        <w:rPr>
          <w:rFonts w:ascii="宋体" w:hAnsi="宋体" w:cs="宋体"/>
          <w:color w:val="auto"/>
          <w:sz w:val="24"/>
          <w:szCs w:val="20"/>
          <w:lang w:val="zh-CN"/>
        </w:rPr>
      </w:pPr>
      <w:r>
        <w:rPr>
          <w:rFonts w:ascii="Wingdings" w:hAnsi="Wingdings" w:eastAsia="Wingdings" w:cs="Wingdings"/>
          <w:color w:val="auto"/>
          <w:sz w:val="24"/>
          <w:szCs w:val="20"/>
          <w:lang w:val="zh-CN"/>
        </w:rPr>
        <w:t></w:t>
      </w:r>
      <w:r>
        <w:rPr>
          <w:rFonts w:hint="eastAsia" w:ascii="宋体" w:hAnsi="宋体" w:cs="宋体"/>
          <w:color w:val="auto"/>
          <w:sz w:val="24"/>
          <w:szCs w:val="20"/>
          <w:lang w:val="zh-CN"/>
        </w:rPr>
        <w:t>强制采购</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优先采购</w:t>
      </w:r>
    </w:p>
    <w:p w14:paraId="63D6659A">
      <w:pPr>
        <w:widowControl/>
        <w:spacing w:line="520" w:lineRule="exact"/>
        <w:ind w:firstLine="480"/>
        <w:rPr>
          <w:rFonts w:ascii="宋体" w:hAnsi="宋体" w:cs="宋体"/>
          <w:color w:val="auto"/>
          <w:sz w:val="24"/>
          <w:szCs w:val="20"/>
          <w:lang w:val="zh-CN"/>
        </w:rPr>
      </w:pPr>
      <w:r>
        <w:rPr>
          <w:rFonts w:ascii="Wingdings" w:hAnsi="Wingdings" w:eastAsia="Wingdings" w:cs="Wingdings"/>
          <w:color w:val="auto"/>
          <w:sz w:val="24"/>
          <w:szCs w:val="20"/>
          <w:lang w:val="zh-CN"/>
        </w:rPr>
        <w:t></w:t>
      </w:r>
      <w:r>
        <w:rPr>
          <w:rFonts w:hint="eastAsia" w:ascii="宋体" w:hAnsi="宋体" w:cs="宋体"/>
          <w:color w:val="auto"/>
          <w:sz w:val="24"/>
          <w:szCs w:val="20"/>
          <w:lang w:val="zh-CN"/>
        </w:rPr>
        <w:t>否</w:t>
      </w:r>
    </w:p>
    <w:p w14:paraId="0A153ED8">
      <w:pPr>
        <w:widowControl/>
        <w:spacing w:line="520" w:lineRule="exact"/>
        <w:ind w:firstLine="480"/>
        <w:rPr>
          <w:rFonts w:ascii="宋体" w:hAnsi="宋体" w:cs="宋体"/>
          <w:color w:val="auto"/>
          <w:sz w:val="24"/>
          <w:szCs w:val="20"/>
          <w:lang w:val="zh-CN"/>
        </w:rPr>
      </w:pPr>
      <w:r>
        <w:rPr>
          <w:rFonts w:hint="eastAsia" w:ascii="宋体" w:hAnsi="宋体" w:cs="宋体"/>
          <w:color w:val="auto"/>
          <w:sz w:val="24"/>
          <w:szCs w:val="20"/>
          <w:lang w:val="zh-CN"/>
        </w:rPr>
        <w:t>是否涉及绿色产品：</w:t>
      </w:r>
    </w:p>
    <w:p w14:paraId="56B6C43B">
      <w:pPr>
        <w:widowControl/>
        <w:spacing w:line="520" w:lineRule="exact"/>
        <w:ind w:firstLine="480"/>
        <w:rPr>
          <w:rFonts w:ascii="宋体" w:hAnsi="宋体" w:cs="宋体"/>
          <w:color w:val="auto"/>
          <w:sz w:val="24"/>
          <w:szCs w:val="20"/>
          <w:lang w:val="zh-CN"/>
        </w:rPr>
      </w:pPr>
      <w:r>
        <w:rPr>
          <w:rFonts w:ascii="Wingdings" w:hAnsi="Wingdings" w:eastAsia="Wingdings" w:cs="Wingdings"/>
          <w:color w:val="auto"/>
          <w:sz w:val="24"/>
          <w:szCs w:val="20"/>
          <w:lang w:val="zh-CN"/>
        </w:rPr>
        <w:t></w:t>
      </w:r>
      <w:r>
        <w:rPr>
          <w:rFonts w:hint="eastAsia" w:ascii="宋体" w:hAnsi="宋体" w:cs="宋体"/>
          <w:color w:val="auto"/>
          <w:sz w:val="24"/>
          <w:szCs w:val="20"/>
          <w:lang w:val="zh-CN"/>
        </w:rPr>
        <w:t>是，绿色产品政府采购相关政策确定的底级品目名称：</w:t>
      </w:r>
    </w:p>
    <w:p w14:paraId="06C6F8F8">
      <w:pPr>
        <w:widowControl/>
        <w:spacing w:line="520" w:lineRule="exact"/>
        <w:ind w:firstLine="480"/>
        <w:rPr>
          <w:rFonts w:ascii="宋体" w:hAnsi="宋体" w:cs="宋体"/>
          <w:color w:val="auto"/>
          <w:sz w:val="24"/>
          <w:szCs w:val="20"/>
          <w:lang w:val="zh-CN"/>
        </w:rPr>
      </w:pPr>
      <w:r>
        <w:rPr>
          <w:rFonts w:ascii="Wingdings" w:hAnsi="Wingdings" w:eastAsia="Wingdings" w:cs="Wingdings"/>
          <w:color w:val="auto"/>
          <w:sz w:val="24"/>
          <w:szCs w:val="20"/>
          <w:lang w:val="zh-CN"/>
        </w:rPr>
        <w:t></w:t>
      </w:r>
      <w:r>
        <w:rPr>
          <w:rFonts w:hint="eastAsia" w:ascii="宋体" w:hAnsi="宋体" w:cs="宋体"/>
          <w:color w:val="auto"/>
          <w:sz w:val="24"/>
          <w:szCs w:val="20"/>
          <w:lang w:val="zh-CN"/>
        </w:rPr>
        <w:t>强制采购</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优先采购</w:t>
      </w:r>
    </w:p>
    <w:p w14:paraId="7CF81D2E">
      <w:pPr>
        <w:widowControl/>
        <w:spacing w:line="520" w:lineRule="exact"/>
        <w:ind w:firstLine="480"/>
        <w:rPr>
          <w:rFonts w:ascii="宋体" w:hAnsi="宋体" w:cs="宋体"/>
          <w:color w:val="auto"/>
          <w:sz w:val="24"/>
          <w:szCs w:val="20"/>
          <w:lang w:val="zh-CN"/>
        </w:rPr>
      </w:pPr>
      <w:r>
        <w:rPr>
          <w:rFonts w:ascii="Wingdings" w:hAnsi="Wingdings" w:eastAsia="Wingdings" w:cs="Wingdings"/>
          <w:color w:val="auto"/>
          <w:sz w:val="24"/>
          <w:szCs w:val="20"/>
          <w:lang w:val="zh-CN"/>
        </w:rPr>
        <w:t>¨</w:t>
      </w:r>
      <w:r>
        <w:rPr>
          <w:rFonts w:hint="eastAsia" w:ascii="宋体" w:hAnsi="宋体" w:cs="宋体"/>
          <w:color w:val="auto"/>
          <w:sz w:val="24"/>
          <w:szCs w:val="20"/>
          <w:lang w:val="zh-CN"/>
        </w:rPr>
        <w:t>否</w:t>
      </w:r>
    </w:p>
    <w:p w14:paraId="492674B5">
      <w:pPr>
        <w:widowControl/>
        <w:numPr>
          <w:ilvl w:val="0"/>
          <w:numId w:val="3"/>
        </w:numPr>
        <w:spacing w:line="520" w:lineRule="exact"/>
        <w:ind w:firstLine="480"/>
        <w:rPr>
          <w:rFonts w:ascii="宋体" w:hAnsi="宋体" w:cs="宋体"/>
          <w:color w:val="auto"/>
          <w:sz w:val="24"/>
          <w:szCs w:val="20"/>
          <w:lang w:val="zh-CN"/>
        </w:rPr>
      </w:pPr>
      <w:r>
        <w:rPr>
          <w:rFonts w:hint="eastAsia" w:ascii="宋体" w:hAnsi="宋体" w:cs="宋体"/>
          <w:color w:val="auto"/>
          <w:sz w:val="24"/>
          <w:szCs w:val="20"/>
          <w:lang w:val="zh-CN"/>
        </w:rPr>
        <w:t>涉及商品包装和快递包装的，是否参考《商品包装政府采购需求标准（试行）》、《快递包装政府采购需求标准（试行）》明确产品及相关快递服务的具体包装要求：</w:t>
      </w:r>
    </w:p>
    <w:p w14:paraId="752DDDB5">
      <w:pPr>
        <w:widowControl/>
        <w:spacing w:line="520" w:lineRule="exact"/>
        <w:ind w:firstLine="480"/>
        <w:rPr>
          <w:rFonts w:ascii="宋体" w:hAnsi="宋体" w:cs="宋体"/>
          <w:color w:val="auto"/>
          <w:sz w:val="24"/>
          <w:szCs w:val="20"/>
          <w:lang w:val="zh-CN"/>
        </w:rPr>
      </w:pPr>
      <w:r>
        <w:rPr>
          <w:rFonts w:ascii="Wingdings" w:hAnsi="Wingdings" w:eastAsia="Wingdings" w:cs="Wingdings"/>
          <w:color w:val="auto"/>
          <w:sz w:val="24"/>
          <w:szCs w:val="20"/>
          <w:lang w:val="zh-CN"/>
        </w:rPr>
        <w:t></w:t>
      </w:r>
      <w:r>
        <w:rPr>
          <w:rFonts w:hint="eastAsia" w:ascii="宋体" w:hAnsi="宋体" w:cs="宋体"/>
          <w:color w:val="auto"/>
          <w:sz w:val="24"/>
          <w:szCs w:val="20"/>
          <w:lang w:val="zh-CN"/>
        </w:rPr>
        <w:t>是</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否</w:t>
      </w:r>
      <w:r>
        <w:rPr>
          <w:rFonts w:ascii="Wingdings" w:hAnsi="Wingdings" w:eastAsia="Wingdings" w:cs="Wingdings"/>
          <w:color w:val="auto"/>
          <w:sz w:val="24"/>
          <w:szCs w:val="20"/>
          <w:lang w:val="zh-CN"/>
        </w:rPr>
        <w:t></w:t>
      </w:r>
      <w:r>
        <w:rPr>
          <w:rFonts w:hint="eastAsia" w:ascii="宋体" w:hAnsi="宋体" w:cs="宋体"/>
          <w:color w:val="auto"/>
          <w:sz w:val="24"/>
          <w:szCs w:val="20"/>
          <w:lang w:val="zh-CN"/>
        </w:rPr>
        <w:t>不涉及</w:t>
      </w:r>
    </w:p>
    <w:p w14:paraId="0E25D822">
      <w:pPr>
        <w:widowControl/>
        <w:spacing w:line="520" w:lineRule="exact"/>
        <w:ind w:firstLine="480"/>
        <w:rPr>
          <w:rFonts w:ascii="宋体" w:hAnsi="宋体" w:cs="宋体"/>
          <w:b/>
          <w:bCs/>
          <w:color w:val="auto"/>
          <w:sz w:val="24"/>
          <w:szCs w:val="20"/>
          <w:lang w:val="zh-CN"/>
        </w:rPr>
      </w:pPr>
      <w:r>
        <w:rPr>
          <w:rFonts w:hint="eastAsia" w:ascii="宋体" w:hAnsi="宋体" w:cs="宋体"/>
          <w:b/>
          <w:bCs/>
          <w:color w:val="auto"/>
          <w:sz w:val="24"/>
          <w:szCs w:val="20"/>
        </w:rPr>
        <w:t>2.</w:t>
      </w:r>
      <w:r>
        <w:rPr>
          <w:rFonts w:hint="eastAsia" w:ascii="宋体" w:hAnsi="宋体" w:cs="宋体"/>
          <w:b/>
          <w:bCs/>
          <w:color w:val="auto"/>
          <w:sz w:val="24"/>
          <w:szCs w:val="20"/>
          <w:lang w:val="zh-CN"/>
        </w:rPr>
        <w:t>合同金额</w:t>
      </w:r>
    </w:p>
    <w:p w14:paraId="793737F9">
      <w:pPr>
        <w:widowControl/>
        <w:spacing w:line="520" w:lineRule="exact"/>
        <w:ind w:firstLine="480"/>
        <w:rPr>
          <w:rFonts w:hint="eastAsia" w:ascii="宋体" w:hAnsi="宋体" w:eastAsia="宋体" w:cs="宋体"/>
          <w:color w:val="auto"/>
          <w:sz w:val="24"/>
          <w:szCs w:val="20"/>
          <w:lang w:eastAsia="zh-CN"/>
        </w:rPr>
      </w:pPr>
      <w:r>
        <w:rPr>
          <w:rFonts w:hint="eastAsia" w:ascii="宋体" w:hAnsi="宋体" w:cs="宋体"/>
          <w:color w:val="auto"/>
          <w:sz w:val="24"/>
          <w:szCs w:val="20"/>
          <w:lang w:val="zh-CN"/>
        </w:rPr>
        <w:t>（1）合同金额小写：</w:t>
      </w:r>
    </w:p>
    <w:p w14:paraId="134A22C1">
      <w:pPr>
        <w:widowControl/>
        <w:spacing w:line="520" w:lineRule="exact"/>
        <w:ind w:firstLine="1982"/>
        <w:rPr>
          <w:rFonts w:hint="eastAsia" w:ascii="宋体" w:hAnsi="宋体" w:eastAsia="宋体" w:cs="宋体"/>
          <w:color w:val="auto"/>
          <w:sz w:val="24"/>
          <w:szCs w:val="20"/>
          <w:lang w:eastAsia="zh-CN"/>
        </w:rPr>
      </w:pPr>
      <w:r>
        <w:rPr>
          <w:rFonts w:hint="eastAsia" w:ascii="宋体" w:hAnsi="宋体" w:cs="宋体"/>
          <w:color w:val="auto"/>
          <w:sz w:val="24"/>
          <w:szCs w:val="20"/>
          <w:lang w:val="zh-CN"/>
        </w:rPr>
        <w:t>大写：</w:t>
      </w:r>
    </w:p>
    <w:p w14:paraId="5AE974C2">
      <w:pPr>
        <w:widowControl/>
        <w:spacing w:line="520" w:lineRule="exact"/>
        <w:ind w:firstLine="480"/>
        <w:rPr>
          <w:rFonts w:hint="eastAsia" w:ascii="宋体" w:hAnsi="宋体" w:eastAsia="宋体" w:cs="宋体"/>
          <w:color w:val="auto"/>
          <w:sz w:val="24"/>
          <w:szCs w:val="20"/>
          <w:lang w:eastAsia="zh-CN"/>
        </w:rPr>
      </w:pPr>
      <w:r>
        <w:rPr>
          <w:rFonts w:hint="eastAsia" w:ascii="宋体" w:hAnsi="宋体" w:cs="宋体"/>
          <w:color w:val="auto"/>
          <w:sz w:val="24"/>
          <w:szCs w:val="20"/>
          <w:lang w:val="zh-CN"/>
        </w:rPr>
        <w:t>分包金额（如有）小写：</w:t>
      </w:r>
    </w:p>
    <w:p w14:paraId="72C1A5B8">
      <w:pPr>
        <w:widowControl/>
        <w:spacing w:line="520" w:lineRule="exact"/>
        <w:ind w:firstLine="2400"/>
        <w:rPr>
          <w:rFonts w:hint="eastAsia" w:ascii="宋体" w:hAnsi="宋体" w:eastAsia="宋体" w:cs="宋体"/>
          <w:color w:val="auto"/>
          <w:sz w:val="24"/>
          <w:szCs w:val="20"/>
          <w:lang w:eastAsia="zh-CN"/>
        </w:rPr>
      </w:pPr>
      <w:r>
        <w:rPr>
          <w:rFonts w:hint="eastAsia" w:ascii="宋体" w:hAnsi="宋体" w:cs="宋体"/>
          <w:color w:val="auto"/>
          <w:sz w:val="24"/>
          <w:szCs w:val="20"/>
          <w:lang w:val="zh-CN"/>
        </w:rPr>
        <w:t>大写：</w:t>
      </w:r>
    </w:p>
    <w:p w14:paraId="55CA6217">
      <w:pPr>
        <w:widowControl/>
        <w:spacing w:line="520" w:lineRule="exact"/>
        <w:ind w:firstLine="480"/>
        <w:rPr>
          <w:rFonts w:ascii="宋体" w:hAnsi="宋体" w:cs="宋体"/>
          <w:color w:val="auto"/>
          <w:sz w:val="24"/>
          <w:szCs w:val="20"/>
          <w:lang w:val="zh-CN"/>
        </w:rPr>
      </w:pPr>
      <w:r>
        <w:rPr>
          <w:rFonts w:hint="eastAsia" w:ascii="宋体" w:hAnsi="宋体" w:cs="宋体"/>
          <w:color w:val="auto"/>
          <w:sz w:val="24"/>
          <w:szCs w:val="20"/>
          <w:lang w:val="zh-CN"/>
        </w:rPr>
        <w:t>（2）付款方式</w:t>
      </w:r>
      <w:r>
        <w:rPr>
          <w:rFonts w:hint="eastAsia" w:ascii="宋体" w:hAnsi="宋体" w:cs="宋体"/>
          <w:color w:val="auto"/>
          <w:sz w:val="24"/>
          <w:szCs w:val="20"/>
          <w:u w:val="single"/>
          <w:lang w:val="zh-CN"/>
        </w:rPr>
        <w:t>（按项目实际勾选填写，具体详见专用条款第二节第12.2款）</w:t>
      </w:r>
      <w:r>
        <w:rPr>
          <w:rFonts w:hint="eastAsia" w:ascii="宋体" w:hAnsi="宋体" w:cs="宋体"/>
          <w:color w:val="auto"/>
          <w:sz w:val="24"/>
          <w:szCs w:val="20"/>
          <w:lang w:val="zh-CN"/>
        </w:rPr>
        <w:t>：</w:t>
      </w:r>
    </w:p>
    <w:p w14:paraId="6F14C854">
      <w:pPr>
        <w:widowControl/>
        <w:spacing w:line="520" w:lineRule="exact"/>
        <w:ind w:firstLine="480"/>
        <w:rPr>
          <w:rFonts w:ascii="宋体" w:hAnsi="宋体" w:cs="宋体"/>
          <w:color w:val="auto"/>
          <w:sz w:val="24"/>
          <w:szCs w:val="20"/>
          <w:lang w:val="zh-CN"/>
        </w:rPr>
      </w:pPr>
      <w:r>
        <w:rPr>
          <w:rFonts w:ascii="Wingdings" w:hAnsi="Wingdings" w:eastAsia="Wingdings" w:cs="Wingdings"/>
          <w:color w:val="auto"/>
          <w:sz w:val="24"/>
          <w:szCs w:val="20"/>
          <w:lang w:val="zh-CN"/>
        </w:rPr>
        <w:t></w:t>
      </w:r>
      <w:r>
        <w:rPr>
          <w:rFonts w:hint="eastAsia" w:ascii="宋体" w:hAnsi="宋体" w:cs="宋体"/>
          <w:color w:val="auto"/>
          <w:sz w:val="24"/>
          <w:szCs w:val="20"/>
          <w:lang w:val="zh-CN"/>
        </w:rPr>
        <w:t>全额付款：</w:t>
      </w:r>
      <w:r>
        <w:rPr>
          <w:rFonts w:hint="eastAsia" w:ascii="宋体" w:hAnsi="宋体" w:cs="宋体"/>
          <w:color w:val="auto"/>
          <w:sz w:val="24"/>
          <w:szCs w:val="20"/>
          <w:u w:val="single"/>
          <w:lang w:val="zh-CN"/>
        </w:rPr>
        <w:t>（应明确一次性支付合同款项的条件）</w:t>
      </w:r>
    </w:p>
    <w:p w14:paraId="5319019E">
      <w:pPr>
        <w:widowControl/>
        <w:spacing w:line="520" w:lineRule="exact"/>
        <w:ind w:firstLine="480"/>
        <w:rPr>
          <w:rFonts w:ascii="宋体" w:hAnsi="宋体" w:cs="宋体"/>
          <w:color w:val="auto"/>
          <w:sz w:val="24"/>
          <w:szCs w:val="20"/>
          <w:lang w:val="zh-CN"/>
        </w:rPr>
      </w:pPr>
      <w:r>
        <w:rPr>
          <w:rFonts w:ascii="Wingdings" w:hAnsi="Wingdings" w:eastAsia="Wingdings" w:cs="Wingdings"/>
          <w:color w:val="auto"/>
          <w:sz w:val="24"/>
          <w:szCs w:val="20"/>
          <w:lang w:val="zh-CN"/>
        </w:rPr>
        <w:t></w:t>
      </w:r>
      <w:r>
        <w:rPr>
          <w:rFonts w:hint="eastAsia" w:ascii="宋体" w:hAnsi="宋体" w:cs="宋体"/>
          <w:color w:val="auto"/>
          <w:sz w:val="24"/>
          <w:szCs w:val="20"/>
          <w:lang w:val="zh-CN"/>
        </w:rPr>
        <w:t>分期付款：</w:t>
      </w:r>
      <w:r>
        <w:rPr>
          <w:rFonts w:hint="eastAsia" w:ascii="宋体" w:hAnsi="宋体" w:cs="宋体"/>
          <w:color w:val="auto"/>
          <w:sz w:val="24"/>
          <w:szCs w:val="20"/>
          <w:u w:val="single"/>
          <w:lang w:val="zh-CN"/>
        </w:rPr>
        <w:t>（</w:t>
      </w:r>
      <w:r>
        <w:rPr>
          <w:rFonts w:hint="eastAsia" w:ascii="宋体" w:hAnsi="宋体" w:cs="宋体"/>
          <w:color w:val="auto"/>
          <w:sz w:val="24"/>
          <w:u w:val="single"/>
        </w:rPr>
        <w:t>具体详见专用条款第二节第12.2款</w:t>
      </w:r>
      <w:r>
        <w:rPr>
          <w:rFonts w:hint="eastAsia" w:ascii="宋体" w:hAnsi="宋体" w:cs="宋体"/>
          <w:color w:val="auto"/>
          <w:sz w:val="24"/>
          <w:szCs w:val="20"/>
          <w:u w:val="single"/>
          <w:lang w:val="zh-CN"/>
        </w:rPr>
        <w:t>）</w:t>
      </w:r>
      <w:r>
        <w:rPr>
          <w:rFonts w:hint="eastAsia" w:ascii="宋体" w:hAnsi="宋体" w:cs="宋体"/>
          <w:color w:val="auto"/>
          <w:sz w:val="24"/>
          <w:szCs w:val="20"/>
          <w:lang w:val="zh-CN"/>
        </w:rPr>
        <w:t>，其中涉及预付款的：</w:t>
      </w:r>
      <w:r>
        <w:rPr>
          <w:rFonts w:hint="eastAsia" w:ascii="宋体" w:hAnsi="宋体" w:cs="宋体"/>
          <w:color w:val="auto"/>
          <w:sz w:val="24"/>
          <w:szCs w:val="20"/>
          <w:u w:val="single"/>
          <w:lang w:val="zh-CN"/>
        </w:rPr>
        <w:t>（</w:t>
      </w:r>
      <w:r>
        <w:rPr>
          <w:rFonts w:hint="eastAsia" w:ascii="宋体" w:hAnsi="宋体" w:cs="宋体"/>
          <w:color w:val="auto"/>
          <w:sz w:val="24"/>
          <w:u w:val="single"/>
        </w:rPr>
        <w:t>具体详见专用条款第二节第12.2款</w:t>
      </w:r>
      <w:r>
        <w:rPr>
          <w:rFonts w:hint="eastAsia" w:ascii="宋体" w:hAnsi="宋体" w:cs="宋体"/>
          <w:color w:val="auto"/>
          <w:sz w:val="24"/>
          <w:szCs w:val="20"/>
          <w:u w:val="single"/>
          <w:lang w:val="zh-CN"/>
        </w:rPr>
        <w:t>）</w:t>
      </w:r>
    </w:p>
    <w:p w14:paraId="566D4D03">
      <w:pPr>
        <w:widowControl/>
        <w:spacing w:line="520" w:lineRule="exact"/>
        <w:ind w:firstLine="480"/>
        <w:rPr>
          <w:rFonts w:ascii="宋体" w:hAnsi="宋体" w:cs="宋体"/>
          <w:color w:val="auto"/>
          <w:sz w:val="24"/>
          <w:szCs w:val="20"/>
          <w:lang w:val="zh-CN"/>
        </w:rPr>
      </w:pPr>
      <w:r>
        <w:rPr>
          <w:rFonts w:ascii="Wingdings" w:hAnsi="Wingdings" w:eastAsia="Wingdings" w:cs="Wingdings"/>
          <w:color w:val="auto"/>
          <w:sz w:val="24"/>
          <w:szCs w:val="20"/>
          <w:lang w:val="zh-CN"/>
        </w:rPr>
        <w:t></w:t>
      </w:r>
      <w:r>
        <w:rPr>
          <w:rFonts w:hint="eastAsia" w:ascii="宋体" w:hAnsi="宋体" w:cs="宋体"/>
          <w:color w:val="auto"/>
          <w:sz w:val="24"/>
          <w:szCs w:val="20"/>
          <w:lang w:val="zh-CN"/>
        </w:rPr>
        <w:t>成本补偿：</w:t>
      </w:r>
      <w:r>
        <w:rPr>
          <w:rFonts w:hint="eastAsia" w:ascii="宋体" w:hAnsi="宋体" w:cs="宋体"/>
          <w:color w:val="auto"/>
          <w:sz w:val="24"/>
          <w:szCs w:val="20"/>
          <w:u w:val="single"/>
          <w:lang w:val="zh-CN"/>
        </w:rPr>
        <w:t>（应明确按照成本补偿方式的支付方式和支付条件）</w:t>
      </w:r>
    </w:p>
    <w:p w14:paraId="7000BBAE">
      <w:pPr>
        <w:widowControl/>
        <w:spacing w:line="520" w:lineRule="exact"/>
        <w:ind w:firstLine="480"/>
        <w:rPr>
          <w:rFonts w:hint="eastAsia" w:ascii="宋体" w:hAnsi="宋体" w:eastAsia="宋体" w:cs="宋体"/>
          <w:color w:val="auto"/>
          <w:sz w:val="24"/>
          <w:szCs w:val="20"/>
          <w:lang w:val="zh-CN" w:eastAsia="zh-CN"/>
        </w:rPr>
      </w:pPr>
      <w:r>
        <w:rPr>
          <w:rFonts w:ascii="Wingdings" w:hAnsi="Wingdings" w:eastAsia="Wingdings" w:cs="Wingdings"/>
          <w:color w:val="auto"/>
          <w:sz w:val="24"/>
          <w:szCs w:val="20"/>
          <w:lang w:val="zh-CN"/>
        </w:rPr>
        <w:t></w:t>
      </w:r>
      <w:r>
        <w:rPr>
          <w:rFonts w:hint="eastAsia" w:ascii="宋体" w:hAnsi="宋体" w:cs="宋体"/>
          <w:color w:val="auto"/>
          <w:sz w:val="24"/>
          <w:szCs w:val="20"/>
          <w:lang w:val="zh-CN"/>
        </w:rPr>
        <w:t>绩效激励：</w:t>
      </w:r>
      <w:r>
        <w:rPr>
          <w:rFonts w:hint="eastAsia" w:ascii="宋体" w:hAnsi="宋体" w:cs="宋体"/>
          <w:color w:val="auto"/>
          <w:sz w:val="24"/>
          <w:szCs w:val="20"/>
          <w:u w:val="single"/>
          <w:lang w:val="zh-CN"/>
        </w:rPr>
        <w:t>（应明确按照绩效激励方式的支付方式和支付条件）</w:t>
      </w:r>
    </w:p>
    <w:p w14:paraId="03F4E2D2">
      <w:pPr>
        <w:widowControl/>
        <w:spacing w:line="520" w:lineRule="exact"/>
        <w:ind w:firstLine="482"/>
        <w:rPr>
          <w:rFonts w:ascii="宋体" w:hAnsi="宋体" w:cs="宋体"/>
          <w:b/>
          <w:bCs/>
          <w:color w:val="auto"/>
          <w:sz w:val="24"/>
          <w:lang w:val="zh-CN"/>
        </w:rPr>
      </w:pPr>
      <w:r>
        <w:rPr>
          <w:rFonts w:hint="eastAsia" w:ascii="宋体" w:hAnsi="宋体" w:cs="宋体"/>
          <w:b/>
          <w:bCs/>
          <w:color w:val="auto"/>
          <w:sz w:val="24"/>
          <w:szCs w:val="20"/>
        </w:rPr>
        <w:t>3.</w:t>
      </w:r>
      <w:r>
        <w:rPr>
          <w:rFonts w:hint="eastAsia" w:ascii="宋体" w:hAnsi="宋体" w:cs="宋体"/>
          <w:b/>
          <w:bCs/>
          <w:color w:val="auto"/>
          <w:sz w:val="24"/>
          <w:szCs w:val="20"/>
          <w:lang w:val="zh-CN"/>
        </w:rPr>
        <w:t>合同履行</w:t>
      </w:r>
    </w:p>
    <w:p w14:paraId="535B3AC1">
      <w:pPr>
        <w:widowControl/>
        <w:spacing w:line="520" w:lineRule="exact"/>
        <w:ind w:firstLine="480"/>
        <w:rPr>
          <w:rFonts w:ascii="宋体" w:hAnsi="宋体" w:cs="宋体"/>
          <w:color w:val="auto"/>
          <w:sz w:val="24"/>
        </w:rPr>
      </w:pPr>
      <w:r>
        <w:rPr>
          <w:rFonts w:hint="eastAsia" w:ascii="宋体" w:hAnsi="宋体" w:cs="宋体"/>
          <w:color w:val="auto"/>
          <w:sz w:val="24"/>
          <w:szCs w:val="20"/>
          <w:lang w:val="zh-CN"/>
        </w:rPr>
        <w:t>（1）起始日期：</w:t>
      </w:r>
      <w:r>
        <w:rPr>
          <w:rFonts w:hint="eastAsia" w:ascii="宋体" w:hAnsi="宋体" w:cs="宋体"/>
          <w:color w:val="auto"/>
          <w:sz w:val="24"/>
        </w:rPr>
        <w:t>年月日，完成日期：年月日。</w:t>
      </w:r>
    </w:p>
    <w:p w14:paraId="183FA5D1">
      <w:pPr>
        <w:widowControl/>
        <w:spacing w:line="560" w:lineRule="exact"/>
        <w:ind w:firstLine="482"/>
        <w:jc w:val="left"/>
        <w:rPr>
          <w:rFonts w:hint="eastAsia" w:ascii="宋体" w:hAnsi="宋体" w:eastAsia="Arial" w:cs="宋体"/>
          <w:bCs w:val="0"/>
          <w:color w:val="auto"/>
          <w:sz w:val="24"/>
          <w:szCs w:val="20"/>
          <w:lang w:val="zh-CN"/>
        </w:rPr>
      </w:pPr>
      <w:r>
        <w:rPr>
          <w:rFonts w:hint="eastAsia" w:ascii="宋体" w:hAnsi="宋体" w:eastAsia="Arial" w:cs="宋体"/>
          <w:color w:val="auto"/>
          <w:sz w:val="24"/>
          <w:szCs w:val="20"/>
          <w:lang w:val="zh-CN"/>
        </w:rPr>
        <w:t>（2）履约地点</w:t>
      </w:r>
      <w:r>
        <w:rPr>
          <w:rFonts w:hint="eastAsia" w:ascii="宋体" w:hAnsi="宋体" w:eastAsia="Arial" w:cs="宋体"/>
          <w:bCs w:val="0"/>
          <w:color w:val="auto"/>
          <w:sz w:val="24"/>
          <w:szCs w:val="20"/>
          <w:lang w:val="zh-CN"/>
        </w:rPr>
        <w:t>：</w:t>
      </w:r>
      <w:r>
        <w:rPr>
          <w:rFonts w:hint="eastAsia" w:ascii="宋体" w:hAnsi="宋体" w:eastAsia="Arial" w:cs="宋体"/>
          <w:color w:val="auto"/>
          <w:sz w:val="24"/>
          <w:szCs w:val="20"/>
          <w:u w:val="single"/>
          <w:lang w:val="zh-CN" w:eastAsia="zh-CN"/>
        </w:rPr>
        <w:t>江苏省盐城技师学院</w:t>
      </w:r>
    </w:p>
    <w:p w14:paraId="5F793971">
      <w:pPr>
        <w:widowControl/>
        <w:spacing w:line="520" w:lineRule="exact"/>
        <w:ind w:firstLine="480"/>
        <w:rPr>
          <w:rFonts w:ascii="宋体" w:hAnsi="宋体" w:cs="宋体"/>
          <w:color w:val="auto"/>
          <w:sz w:val="24"/>
        </w:rPr>
      </w:pPr>
      <w:r>
        <w:rPr>
          <w:rFonts w:hint="eastAsia" w:ascii="宋体" w:hAnsi="宋体" w:cs="宋体"/>
          <w:bCs/>
          <w:color w:val="auto"/>
          <w:sz w:val="24"/>
        </w:rPr>
        <w:t>（3）</w:t>
      </w:r>
      <w:r>
        <w:rPr>
          <w:rFonts w:hint="eastAsia" w:ascii="宋体" w:hAnsi="宋体" w:cs="宋体"/>
          <w:color w:val="auto"/>
          <w:sz w:val="24"/>
        </w:rPr>
        <w:t>履约担保：履约担保：是否收取履约保证金：</w:t>
      </w:r>
      <w:r>
        <w:rPr>
          <w:rFonts w:ascii="Wingdings" w:hAnsi="Wingdings" w:eastAsia="Wingdings" w:cs="Wingdings"/>
          <w:color w:val="auto"/>
          <w:sz w:val="24"/>
        </w:rPr>
        <w:t>þ</w:t>
      </w:r>
      <w:r>
        <w:rPr>
          <w:rFonts w:hint="eastAsia" w:ascii="宋体" w:hAnsi="宋体" w:cs="宋体"/>
          <w:color w:val="auto"/>
          <w:sz w:val="24"/>
        </w:rPr>
        <w:t>是</w:t>
      </w:r>
      <w:r>
        <w:rPr>
          <w:rFonts w:ascii="Wingdings" w:hAnsi="Wingdings" w:eastAsia="Wingdings" w:cs="Wingdings"/>
          <w:color w:val="auto"/>
          <w:sz w:val="24"/>
        </w:rPr>
        <w:t></w:t>
      </w:r>
      <w:r>
        <w:rPr>
          <w:rFonts w:hint="eastAsia" w:ascii="宋体" w:hAnsi="宋体" w:cs="宋体"/>
          <w:color w:val="auto"/>
          <w:sz w:val="24"/>
        </w:rPr>
        <w:t>否</w:t>
      </w:r>
    </w:p>
    <w:p w14:paraId="49ABD309">
      <w:pPr>
        <w:widowControl/>
        <w:spacing w:line="560" w:lineRule="exact"/>
        <w:ind w:firstLine="482"/>
        <w:jc w:val="left"/>
        <w:rPr>
          <w:rFonts w:hint="eastAsia" w:ascii="宋体" w:hAnsi="宋体" w:eastAsia="宋体" w:cs="宋体"/>
          <w:color w:val="auto"/>
          <w:sz w:val="24"/>
          <w:szCs w:val="20"/>
          <w:highlight w:val="none"/>
          <w:lang w:eastAsia="zh-CN"/>
        </w:rPr>
      </w:pPr>
      <w:r>
        <w:rPr>
          <w:rFonts w:hint="eastAsia" w:ascii="宋体" w:hAnsi="宋体" w:eastAsia="Arial" w:cs="宋体"/>
          <w:color w:val="auto"/>
          <w:sz w:val="24"/>
          <w:szCs w:val="20"/>
        </w:rPr>
        <w:t>收取履约保证金形式：</w:t>
      </w:r>
      <w:r>
        <w:rPr>
          <w:rFonts w:hint="eastAsia" w:ascii="宋体" w:hAnsi="宋体" w:eastAsia="Arial" w:cs="宋体"/>
          <w:color w:val="auto"/>
          <w:sz w:val="24"/>
          <w:szCs w:val="20"/>
          <w:highlight w:val="none"/>
          <w:u w:val="single"/>
        </w:rPr>
        <w:t>见3.（4）</w:t>
      </w:r>
    </w:p>
    <w:p w14:paraId="504B0BF8">
      <w:pPr>
        <w:widowControl/>
        <w:spacing w:line="560" w:lineRule="exact"/>
        <w:ind w:firstLine="1027"/>
        <w:jc w:val="left"/>
        <w:rPr>
          <w:rFonts w:hint="eastAsia" w:ascii="宋体" w:hAnsi="宋体" w:eastAsia="宋体" w:cs="宋体"/>
          <w:color w:val="auto"/>
          <w:sz w:val="24"/>
          <w:szCs w:val="20"/>
          <w:lang w:eastAsia="zh-CN"/>
        </w:rPr>
      </w:pPr>
      <w:r>
        <w:rPr>
          <w:rFonts w:hint="eastAsia" w:ascii="宋体" w:hAnsi="宋体" w:eastAsia="Arial" w:cs="宋体"/>
          <w:color w:val="auto"/>
          <w:sz w:val="24"/>
          <w:szCs w:val="20"/>
          <w:highlight w:val="none"/>
        </w:rPr>
        <w:t>收取履约保证金金额：</w:t>
      </w:r>
      <w:r>
        <w:rPr>
          <w:rFonts w:hint="eastAsia" w:ascii="宋体" w:hAnsi="宋体" w:eastAsia="Arial" w:cs="宋体"/>
          <w:color w:val="auto"/>
          <w:sz w:val="24"/>
          <w:szCs w:val="20"/>
          <w:u w:val="single"/>
        </w:rPr>
        <w:t>合同价的10%</w:t>
      </w:r>
    </w:p>
    <w:p w14:paraId="1F84F676">
      <w:pPr>
        <w:widowControl/>
        <w:spacing w:line="560" w:lineRule="exact"/>
        <w:ind w:firstLine="1027"/>
        <w:jc w:val="left"/>
        <w:rPr>
          <w:rFonts w:hint="eastAsia" w:ascii="宋体" w:hAnsi="宋体" w:eastAsia="宋体" w:cs="宋体"/>
          <w:bCs w:val="0"/>
          <w:color w:val="auto"/>
          <w:sz w:val="24"/>
          <w:szCs w:val="20"/>
          <w:u w:val="none"/>
          <w:lang w:eastAsia="zh-CN"/>
        </w:rPr>
      </w:pPr>
      <w:r>
        <w:rPr>
          <w:rFonts w:hint="eastAsia" w:ascii="宋体" w:hAnsi="宋体" w:eastAsia="Arial" w:cs="宋体"/>
          <w:color w:val="auto"/>
          <w:sz w:val="24"/>
          <w:szCs w:val="20"/>
        </w:rPr>
        <w:t>履约担保期限：</w:t>
      </w:r>
    </w:p>
    <w:p w14:paraId="46F7E27B">
      <w:pPr>
        <w:widowControl/>
        <w:spacing w:line="560" w:lineRule="exact"/>
        <w:ind w:firstLine="482"/>
        <w:jc w:val="left"/>
        <w:rPr>
          <w:rFonts w:hint="eastAsia" w:ascii="宋体" w:hAnsi="宋体" w:eastAsia="Arial" w:cs="宋体"/>
          <w:color w:val="auto"/>
          <w:sz w:val="24"/>
          <w:szCs w:val="20"/>
          <w:lang w:val="zh-CN"/>
        </w:rPr>
      </w:pPr>
      <w:r>
        <w:rPr>
          <w:rFonts w:hint="eastAsia" w:ascii="宋体" w:hAnsi="宋体" w:eastAsia="Arial" w:cs="宋体"/>
          <w:color w:val="auto"/>
          <w:sz w:val="24"/>
          <w:szCs w:val="20"/>
          <w:lang w:val="zh-CN"/>
        </w:rPr>
        <w:t>（</w:t>
      </w:r>
      <w:r>
        <w:rPr>
          <w:rFonts w:hint="eastAsia" w:ascii="宋体" w:hAnsi="宋体" w:eastAsia="Arial" w:cs="宋体"/>
          <w:color w:val="auto"/>
          <w:sz w:val="24"/>
          <w:szCs w:val="20"/>
        </w:rPr>
        <w:t>4</w:t>
      </w:r>
      <w:r>
        <w:rPr>
          <w:rFonts w:hint="eastAsia" w:ascii="宋体" w:hAnsi="宋体" w:eastAsia="Arial" w:cs="宋体"/>
          <w:color w:val="auto"/>
          <w:sz w:val="24"/>
          <w:szCs w:val="20"/>
          <w:lang w:val="zh-CN"/>
        </w:rPr>
        <w:t>）确需收取履约保证金的，履约保证金的缴纳形式：</w:t>
      </w:r>
    </w:p>
    <w:p w14:paraId="25DE66DD">
      <w:pPr>
        <w:widowControl/>
        <w:spacing w:line="560" w:lineRule="exact"/>
        <w:ind w:firstLine="482"/>
        <w:jc w:val="left"/>
        <w:rPr>
          <w:rFonts w:hint="eastAsia" w:ascii="宋体" w:hAnsi="宋体" w:eastAsia="Arial" w:cs="宋体"/>
          <w:color w:val="auto"/>
          <w:sz w:val="24"/>
          <w:szCs w:val="20"/>
          <w:lang w:val="zh-CN"/>
        </w:rPr>
      </w:pPr>
      <w:r>
        <w:rPr>
          <w:rFonts w:hint="eastAsia" w:ascii="宋体" w:hAnsi="宋体" w:eastAsia="Arial" w:cs="宋体"/>
          <w:color w:val="auto"/>
          <w:sz w:val="24"/>
          <w:szCs w:val="20"/>
          <w:lang w:val="zh-CN"/>
        </w:rPr>
        <w:t>供应商应当以支票、汇票、本票或者金融机构、担保机构出具的保函等非现金形式提交履约保证金。依据《关于在全省政府采购领域推行电子履约保函（保险）的通知》，鼓励供应商自愿使用电子履约保函（保险）代替缴纳履约保证金。</w:t>
      </w:r>
    </w:p>
    <w:p w14:paraId="06EE7684">
      <w:pPr>
        <w:widowControl/>
        <w:spacing w:line="560" w:lineRule="exact"/>
        <w:ind w:firstLine="482"/>
        <w:jc w:val="left"/>
        <w:rPr>
          <w:rFonts w:hint="eastAsia" w:ascii="宋体" w:hAnsi="宋体" w:eastAsia="Arial" w:cs="宋体"/>
          <w:color w:val="auto"/>
          <w:sz w:val="24"/>
          <w:szCs w:val="20"/>
          <w:lang w:val="zh-CN"/>
        </w:rPr>
      </w:pPr>
      <w:r>
        <w:rPr>
          <w:rFonts w:hint="eastAsia" w:ascii="宋体" w:hAnsi="宋体" w:eastAsia="Arial" w:cs="宋体"/>
          <w:color w:val="auto"/>
          <w:sz w:val="24"/>
          <w:szCs w:val="20"/>
          <w:lang w:val="zh-CN"/>
        </w:rPr>
        <w:t>如以履约保函（保险）形式缴纳履约保证金，供应商可通过政府采购电子履约保函（保险）平台（www.jsdzbh.com）在线申请履约保函（保险）。</w:t>
      </w:r>
    </w:p>
    <w:p w14:paraId="221743D5">
      <w:pPr>
        <w:widowControl/>
        <w:spacing w:line="560" w:lineRule="exact"/>
        <w:ind w:firstLine="482"/>
        <w:jc w:val="left"/>
        <w:rPr>
          <w:rFonts w:ascii="宋体" w:hAnsi="宋体" w:cs="宋体"/>
          <w:color w:val="auto"/>
          <w:sz w:val="24"/>
          <w:szCs w:val="20"/>
          <w:lang w:val="zh-CN"/>
        </w:rPr>
      </w:pPr>
      <w:r>
        <w:rPr>
          <w:rFonts w:hint="eastAsia" w:ascii="宋体" w:hAnsi="宋体" w:eastAsia="Arial" w:cs="宋体"/>
          <w:color w:val="auto"/>
          <w:sz w:val="24"/>
          <w:szCs w:val="20"/>
        </w:rPr>
        <w:t>履约保证金金额为合同金额的10%，采购人对第三方信用服务机构依据标准规范评定为AA级政府采购供应商</w:t>
      </w:r>
      <w:r>
        <w:rPr>
          <w:rFonts w:hint="eastAsia" w:ascii="宋体" w:hAnsi="宋体" w:eastAsia="Arial" w:cs="宋体"/>
          <w:color w:val="auto"/>
          <w:sz w:val="24"/>
          <w:szCs w:val="20"/>
          <w:lang w:val="zh-CN"/>
        </w:rPr>
        <w:t>（需在签订采购合同前提供信用管理部门备案的第三方信用报告，且信用报告通过“信用盐城网”可查实），降低履约保证金缴纳比例为5%。</w:t>
      </w:r>
    </w:p>
    <w:p w14:paraId="2CC4CB5E">
      <w:pPr>
        <w:widowControl/>
        <w:numPr>
          <w:ilvl w:val="0"/>
          <w:numId w:val="4"/>
        </w:numPr>
        <w:spacing w:line="520" w:lineRule="exact"/>
        <w:ind w:firstLine="480"/>
        <w:rPr>
          <w:rFonts w:ascii="宋体" w:hAnsi="宋体" w:cs="宋体"/>
          <w:color w:val="auto"/>
          <w:sz w:val="24"/>
          <w:szCs w:val="20"/>
          <w:u w:val="single"/>
        </w:rPr>
      </w:pPr>
      <w:r>
        <w:rPr>
          <w:rFonts w:hint="eastAsia" w:ascii="宋体" w:hAnsi="宋体" w:cs="宋体"/>
          <w:color w:val="auto"/>
          <w:sz w:val="24"/>
          <w:szCs w:val="20"/>
          <w:lang w:val="zh-CN"/>
        </w:rPr>
        <w:t>分期履行要求：</w:t>
      </w:r>
    </w:p>
    <w:p w14:paraId="1DFA4C3B">
      <w:pPr>
        <w:widowControl/>
        <w:spacing w:line="520" w:lineRule="exact"/>
        <w:ind w:firstLine="480"/>
        <w:rPr>
          <w:rFonts w:hint="eastAsia" w:ascii="宋体" w:hAnsi="宋体" w:eastAsia="宋体" w:cs="宋体"/>
          <w:color w:val="auto"/>
          <w:sz w:val="24"/>
          <w:szCs w:val="20"/>
          <w:u w:val="single"/>
          <w:lang w:eastAsia="zh-CN"/>
        </w:rPr>
      </w:pPr>
      <w:r>
        <w:rPr>
          <w:rFonts w:hint="eastAsia" w:ascii="宋体" w:hAnsi="宋体" w:cs="宋体"/>
          <w:color w:val="auto"/>
          <w:sz w:val="24"/>
          <w:szCs w:val="20"/>
          <w:lang w:val="zh-CN"/>
        </w:rPr>
        <w:t>（6）风险处置措施和替代方案：</w:t>
      </w:r>
    </w:p>
    <w:p w14:paraId="7D70615D">
      <w:pPr>
        <w:widowControl/>
        <w:spacing w:line="520" w:lineRule="exact"/>
        <w:ind w:firstLine="480"/>
        <w:rPr>
          <w:rFonts w:ascii="宋体" w:hAnsi="宋体" w:cs="宋体"/>
          <w:b/>
          <w:bCs/>
          <w:color w:val="auto"/>
          <w:sz w:val="24"/>
          <w:szCs w:val="20"/>
          <w:lang w:val="zh-CN"/>
        </w:rPr>
      </w:pPr>
      <w:r>
        <w:rPr>
          <w:rFonts w:hint="eastAsia" w:ascii="宋体" w:hAnsi="宋体" w:cs="宋体"/>
          <w:b/>
          <w:bCs/>
          <w:color w:val="auto"/>
          <w:sz w:val="24"/>
          <w:szCs w:val="20"/>
        </w:rPr>
        <w:t>4.</w:t>
      </w:r>
      <w:r>
        <w:rPr>
          <w:rFonts w:hint="eastAsia" w:ascii="宋体" w:hAnsi="宋体" w:cs="宋体"/>
          <w:b/>
          <w:bCs/>
          <w:color w:val="auto"/>
          <w:sz w:val="24"/>
          <w:szCs w:val="20"/>
          <w:lang w:val="zh-CN"/>
        </w:rPr>
        <w:t>合同验收</w:t>
      </w:r>
    </w:p>
    <w:p w14:paraId="32A49FA5">
      <w:pPr>
        <w:widowControl/>
        <w:spacing w:line="520" w:lineRule="exact"/>
        <w:ind w:firstLine="480"/>
        <w:rPr>
          <w:rFonts w:ascii="宋体" w:hAnsi="宋体" w:cs="宋体"/>
          <w:color w:val="auto"/>
          <w:sz w:val="24"/>
          <w:szCs w:val="20"/>
          <w:lang w:val="zh-CN"/>
        </w:rPr>
      </w:pPr>
      <w:r>
        <w:rPr>
          <w:rFonts w:hint="eastAsia" w:ascii="宋体" w:hAnsi="宋体" w:cs="宋体"/>
          <w:color w:val="auto"/>
          <w:sz w:val="24"/>
          <w:szCs w:val="20"/>
          <w:lang w:val="zh-CN"/>
        </w:rPr>
        <w:t>（</w:t>
      </w:r>
      <w:r>
        <w:rPr>
          <w:rFonts w:hint="eastAsia" w:ascii="宋体" w:hAnsi="宋体" w:cs="宋体"/>
          <w:color w:val="auto"/>
          <w:sz w:val="24"/>
          <w:szCs w:val="20"/>
        </w:rPr>
        <w:t>1</w:t>
      </w:r>
      <w:r>
        <w:rPr>
          <w:rFonts w:hint="eastAsia" w:ascii="宋体" w:hAnsi="宋体" w:cs="宋体"/>
          <w:color w:val="auto"/>
          <w:sz w:val="24"/>
          <w:szCs w:val="20"/>
          <w:lang w:val="zh-CN"/>
        </w:rPr>
        <w:t>）验收组织方式：</w:t>
      </w:r>
      <w:r>
        <w:rPr>
          <w:rFonts w:ascii="Wingdings" w:hAnsi="Wingdings" w:eastAsia="Wingdings" w:cs="Wingdings"/>
          <w:color w:val="auto"/>
          <w:sz w:val="24"/>
        </w:rPr>
        <w:t></w:t>
      </w:r>
      <w:r>
        <w:rPr>
          <w:rFonts w:hint="eastAsia" w:ascii="宋体" w:hAnsi="宋体" w:cs="宋体"/>
          <w:color w:val="auto"/>
          <w:sz w:val="24"/>
          <w:szCs w:val="20"/>
          <w:lang w:val="zh-CN"/>
        </w:rPr>
        <w:t>自行组织</w:t>
      </w:r>
      <w:r>
        <w:rPr>
          <w:rFonts w:ascii="Wingdings" w:hAnsi="Wingdings" w:eastAsia="Wingdings" w:cs="Wingdings"/>
          <w:color w:val="auto"/>
          <w:sz w:val="24"/>
        </w:rPr>
        <w:t></w:t>
      </w:r>
      <w:r>
        <w:rPr>
          <w:rFonts w:hint="eastAsia" w:ascii="宋体" w:hAnsi="宋体" w:cs="宋体"/>
          <w:color w:val="auto"/>
          <w:sz w:val="24"/>
          <w:szCs w:val="20"/>
          <w:lang w:val="zh-CN"/>
        </w:rPr>
        <w:t>委托第三方组织</w:t>
      </w:r>
    </w:p>
    <w:p w14:paraId="4DFADCF2">
      <w:pPr>
        <w:widowControl/>
        <w:spacing w:line="560" w:lineRule="exact"/>
        <w:ind w:firstLine="482"/>
        <w:jc w:val="left"/>
        <w:rPr>
          <w:rFonts w:hint="eastAsia" w:ascii="宋体" w:hAnsi="宋体" w:eastAsia="宋体" w:cs="宋体"/>
          <w:color w:val="auto"/>
          <w:sz w:val="24"/>
          <w:szCs w:val="20"/>
          <w:lang w:val="zh-CN" w:eastAsia="zh-CN"/>
        </w:rPr>
      </w:pPr>
      <w:r>
        <w:rPr>
          <w:rFonts w:hint="eastAsia" w:ascii="宋体" w:hAnsi="宋体" w:eastAsia="Arial" w:cs="宋体"/>
          <w:color w:val="auto"/>
          <w:sz w:val="24"/>
          <w:szCs w:val="20"/>
          <w:lang w:val="zh-CN"/>
        </w:rPr>
        <w:t>验收主体：</w:t>
      </w:r>
    </w:p>
    <w:p w14:paraId="27369E23">
      <w:pPr>
        <w:widowControl/>
        <w:spacing w:line="560" w:lineRule="exact"/>
        <w:ind w:firstLine="482"/>
        <w:jc w:val="left"/>
        <w:rPr>
          <w:rFonts w:hint="eastAsia" w:ascii="宋体" w:hAnsi="宋体" w:eastAsia="Arial" w:cs="宋体"/>
          <w:color w:val="auto"/>
          <w:sz w:val="24"/>
          <w:szCs w:val="20"/>
          <w:lang w:val="zh-CN"/>
        </w:rPr>
      </w:pPr>
      <w:r>
        <w:rPr>
          <w:rFonts w:hint="eastAsia" w:ascii="宋体" w:hAnsi="宋体" w:eastAsia="Arial" w:cs="宋体"/>
          <w:color w:val="auto"/>
          <w:sz w:val="24"/>
          <w:szCs w:val="20"/>
          <w:lang w:val="zh-CN"/>
        </w:rPr>
        <w:t>是否邀请本项目的其他供应商参加验收：</w:t>
      </w:r>
      <w:r>
        <w:rPr>
          <w:rFonts w:ascii="Wingdings" w:hAnsi="Wingdings" w:eastAsia="Wingdings" w:cs="Wingdings"/>
          <w:color w:val="auto"/>
          <w:sz w:val="24"/>
        </w:rPr>
        <w:t></w:t>
      </w:r>
      <w:r>
        <w:rPr>
          <w:rFonts w:hint="eastAsia" w:ascii="宋体" w:hAnsi="宋体" w:eastAsia="Arial" w:cs="宋体"/>
          <w:color w:val="auto"/>
          <w:sz w:val="24"/>
          <w:szCs w:val="20"/>
          <w:lang w:val="zh-CN"/>
        </w:rPr>
        <w:t>是</w:t>
      </w:r>
      <w:r>
        <w:rPr>
          <w:rFonts w:ascii="Wingdings" w:hAnsi="Wingdings" w:eastAsia="Wingdings" w:cs="Wingdings"/>
          <w:color w:val="auto"/>
          <w:sz w:val="24"/>
        </w:rPr>
        <w:t></w:t>
      </w:r>
      <w:r>
        <w:rPr>
          <w:rFonts w:hint="eastAsia" w:ascii="宋体" w:hAnsi="宋体" w:eastAsia="Arial" w:cs="宋体"/>
          <w:color w:val="auto"/>
          <w:sz w:val="24"/>
          <w:szCs w:val="20"/>
          <w:lang w:val="zh-CN"/>
        </w:rPr>
        <w:t>否</w:t>
      </w:r>
    </w:p>
    <w:p w14:paraId="2736C839">
      <w:pPr>
        <w:widowControl/>
        <w:spacing w:line="560" w:lineRule="exact"/>
        <w:ind w:firstLine="482"/>
        <w:jc w:val="left"/>
        <w:rPr>
          <w:rFonts w:hint="eastAsia" w:ascii="宋体" w:hAnsi="宋体" w:eastAsia="Arial" w:cs="宋体"/>
          <w:color w:val="auto"/>
          <w:sz w:val="24"/>
          <w:szCs w:val="20"/>
          <w:lang w:val="zh-CN"/>
        </w:rPr>
      </w:pPr>
      <w:r>
        <w:rPr>
          <w:rFonts w:hint="eastAsia" w:ascii="宋体" w:hAnsi="宋体" w:eastAsia="Arial" w:cs="宋体"/>
          <w:color w:val="auto"/>
          <w:sz w:val="24"/>
          <w:szCs w:val="20"/>
          <w:lang w:val="zh-CN"/>
        </w:rPr>
        <w:t>是否邀请专家参加验收：</w:t>
      </w:r>
      <w:r>
        <w:rPr>
          <w:rFonts w:ascii="Wingdings" w:hAnsi="Wingdings" w:eastAsia="Wingdings" w:cs="Wingdings"/>
          <w:color w:val="auto"/>
          <w:sz w:val="24"/>
        </w:rPr>
        <w:t></w:t>
      </w:r>
      <w:r>
        <w:rPr>
          <w:rFonts w:hint="eastAsia" w:ascii="宋体" w:hAnsi="宋体" w:eastAsia="Arial" w:cs="宋体"/>
          <w:color w:val="auto"/>
          <w:sz w:val="24"/>
          <w:szCs w:val="20"/>
          <w:lang w:val="zh-CN"/>
        </w:rPr>
        <w:t>是</w:t>
      </w:r>
      <w:r>
        <w:rPr>
          <w:rFonts w:hint="eastAsia" w:ascii="宋体" w:hAnsi="宋体" w:eastAsia="Arial" w:cs="宋体"/>
          <w:color w:val="auto"/>
          <w:sz w:val="24"/>
          <w:szCs w:val="20"/>
        </w:rPr>
        <w:t></w:t>
      </w:r>
      <w:r>
        <w:rPr>
          <w:rFonts w:ascii="Wingdings" w:hAnsi="Wingdings" w:eastAsia="Wingdings" w:cs="Wingdings"/>
          <w:color w:val="auto"/>
          <w:sz w:val="24"/>
        </w:rPr>
        <w:t></w:t>
      </w:r>
      <w:r>
        <w:rPr>
          <w:rFonts w:hint="eastAsia" w:ascii="宋体" w:hAnsi="宋体" w:eastAsia="Arial" w:cs="宋体"/>
          <w:color w:val="auto"/>
          <w:sz w:val="24"/>
          <w:szCs w:val="20"/>
          <w:lang w:val="zh-CN"/>
        </w:rPr>
        <w:t>否</w:t>
      </w:r>
    </w:p>
    <w:p w14:paraId="2495D565">
      <w:pPr>
        <w:widowControl/>
        <w:spacing w:line="560" w:lineRule="exact"/>
        <w:ind w:firstLine="482"/>
        <w:jc w:val="left"/>
        <w:rPr>
          <w:rFonts w:hint="eastAsia" w:ascii="宋体" w:hAnsi="宋体" w:eastAsia="Arial" w:cs="宋体"/>
          <w:color w:val="auto"/>
          <w:sz w:val="24"/>
          <w:szCs w:val="20"/>
          <w:lang w:val="zh-CN"/>
        </w:rPr>
      </w:pPr>
      <w:r>
        <w:rPr>
          <w:rFonts w:hint="eastAsia" w:ascii="宋体" w:hAnsi="宋体" w:eastAsia="Arial" w:cs="宋体"/>
          <w:color w:val="auto"/>
          <w:sz w:val="24"/>
          <w:szCs w:val="20"/>
          <w:lang w:val="zh-CN"/>
        </w:rPr>
        <w:t>是否邀请服务对象参加验收：</w:t>
      </w:r>
      <w:r>
        <w:rPr>
          <w:rFonts w:ascii="Wingdings" w:hAnsi="Wingdings" w:eastAsia="Wingdings" w:cs="Wingdings"/>
          <w:color w:val="auto"/>
          <w:sz w:val="24"/>
        </w:rPr>
        <w:t></w:t>
      </w:r>
      <w:r>
        <w:rPr>
          <w:rFonts w:hint="eastAsia" w:ascii="宋体" w:hAnsi="宋体" w:eastAsia="Arial" w:cs="宋体"/>
          <w:color w:val="auto"/>
          <w:sz w:val="24"/>
          <w:szCs w:val="20"/>
          <w:lang w:val="zh-CN"/>
        </w:rPr>
        <w:t>是</w:t>
      </w:r>
      <w:r>
        <w:rPr>
          <w:rFonts w:ascii="Wingdings" w:hAnsi="Wingdings" w:eastAsia="Wingdings" w:cs="Wingdings"/>
          <w:color w:val="auto"/>
          <w:sz w:val="24"/>
        </w:rPr>
        <w:t></w:t>
      </w:r>
      <w:r>
        <w:rPr>
          <w:rFonts w:hint="eastAsia" w:ascii="宋体" w:hAnsi="宋体" w:eastAsia="Arial" w:cs="宋体"/>
          <w:color w:val="auto"/>
          <w:sz w:val="24"/>
          <w:szCs w:val="20"/>
          <w:lang w:val="zh-CN"/>
        </w:rPr>
        <w:t>否</w:t>
      </w:r>
    </w:p>
    <w:p w14:paraId="0C092AFF">
      <w:pPr>
        <w:widowControl/>
        <w:spacing w:line="560" w:lineRule="exact"/>
        <w:ind w:firstLine="482"/>
        <w:jc w:val="left"/>
        <w:rPr>
          <w:rFonts w:hint="eastAsia" w:ascii="宋体" w:hAnsi="宋体" w:eastAsia="Arial" w:cs="宋体"/>
          <w:color w:val="auto"/>
          <w:sz w:val="24"/>
          <w:szCs w:val="20"/>
          <w:lang w:val="zh-CN"/>
        </w:rPr>
      </w:pPr>
      <w:r>
        <w:rPr>
          <w:rFonts w:hint="eastAsia" w:ascii="宋体" w:hAnsi="宋体" w:eastAsia="Arial" w:cs="宋体"/>
          <w:color w:val="auto"/>
          <w:sz w:val="24"/>
          <w:szCs w:val="20"/>
          <w:lang w:val="zh-CN"/>
        </w:rPr>
        <w:t>是否邀请第三方检测机构参加验收：</w:t>
      </w:r>
      <w:r>
        <w:rPr>
          <w:rFonts w:ascii="Wingdings" w:hAnsi="Wingdings" w:eastAsia="Wingdings" w:cs="Wingdings"/>
          <w:color w:val="auto"/>
          <w:sz w:val="24"/>
        </w:rPr>
        <w:t></w:t>
      </w:r>
      <w:r>
        <w:rPr>
          <w:rFonts w:hint="eastAsia" w:ascii="宋体" w:hAnsi="宋体" w:eastAsia="Arial" w:cs="宋体"/>
          <w:color w:val="auto"/>
          <w:sz w:val="24"/>
          <w:szCs w:val="20"/>
          <w:lang w:val="zh-CN"/>
        </w:rPr>
        <w:t>是</w:t>
      </w:r>
      <w:r>
        <w:rPr>
          <w:rFonts w:ascii="Wingdings" w:hAnsi="Wingdings" w:eastAsia="Wingdings" w:cs="Wingdings"/>
          <w:color w:val="auto"/>
          <w:sz w:val="24"/>
        </w:rPr>
        <w:t></w:t>
      </w:r>
      <w:r>
        <w:rPr>
          <w:rFonts w:hint="eastAsia" w:ascii="宋体" w:hAnsi="宋体" w:eastAsia="Arial" w:cs="宋体"/>
          <w:color w:val="auto"/>
          <w:sz w:val="24"/>
          <w:szCs w:val="20"/>
          <w:lang w:val="zh-CN"/>
        </w:rPr>
        <w:t>否</w:t>
      </w:r>
    </w:p>
    <w:p w14:paraId="0A6C9ACD">
      <w:pPr>
        <w:widowControl/>
        <w:spacing w:line="560" w:lineRule="exact"/>
        <w:ind w:firstLine="482"/>
        <w:jc w:val="left"/>
        <w:rPr>
          <w:rFonts w:hint="eastAsia" w:ascii="宋体" w:hAnsi="宋体" w:eastAsia="Arial" w:cs="宋体"/>
          <w:color w:val="auto"/>
          <w:sz w:val="24"/>
          <w:szCs w:val="20"/>
          <w:lang w:val="zh-CN"/>
        </w:rPr>
      </w:pPr>
      <w:r>
        <w:rPr>
          <w:rFonts w:hint="eastAsia" w:ascii="宋体" w:hAnsi="宋体" w:eastAsia="Arial" w:cs="宋体"/>
          <w:color w:val="auto"/>
          <w:sz w:val="24"/>
          <w:szCs w:val="20"/>
          <w:lang w:val="zh-CN"/>
        </w:rPr>
        <w:t>是否进行抽查检测：是，抽查比例：</w:t>
      </w:r>
      <w:r>
        <w:rPr>
          <w:rFonts w:hint="eastAsia" w:ascii="宋体" w:hAnsi="宋体" w:eastAsia="Arial" w:cs="宋体"/>
          <w:color w:val="auto"/>
          <w:sz w:val="24"/>
          <w:szCs w:val="20"/>
          <w:u w:val="single"/>
          <w:lang w:val="zh-CN"/>
        </w:rPr>
        <w:t></w:t>
      </w:r>
      <w:r>
        <w:rPr>
          <w:rFonts w:hint="eastAsia" w:ascii="宋体" w:hAnsi="宋体" w:eastAsia="Arial" w:cs="宋体"/>
          <w:color w:val="auto"/>
          <w:sz w:val="24"/>
          <w:szCs w:val="20"/>
          <w:lang w:val="zh-CN"/>
        </w:rPr>
        <w:t>否</w:t>
      </w:r>
    </w:p>
    <w:p w14:paraId="6ECD7D43">
      <w:pPr>
        <w:widowControl/>
        <w:spacing w:line="560" w:lineRule="exact"/>
        <w:ind w:left="0" w:firstLine="482"/>
        <w:jc w:val="left"/>
        <w:rPr>
          <w:rFonts w:hint="eastAsia" w:ascii="宋体" w:hAnsi="宋体" w:eastAsia="Arial" w:cs="宋体"/>
          <w:color w:val="auto"/>
          <w:sz w:val="24"/>
          <w:szCs w:val="20"/>
          <w:lang w:val="zh-CN"/>
        </w:rPr>
      </w:pPr>
      <w:r>
        <w:rPr>
          <w:rFonts w:hint="eastAsia" w:ascii="宋体" w:hAnsi="宋体" w:eastAsia="Arial" w:cs="宋体"/>
          <w:color w:val="auto"/>
          <w:sz w:val="24"/>
          <w:szCs w:val="20"/>
          <w:lang w:val="zh-CN"/>
        </w:rPr>
        <w:t>是否存在破坏性检测：</w:t>
      </w:r>
      <w:r>
        <w:rPr>
          <w:rFonts w:ascii="Wingdings" w:hAnsi="Wingdings" w:eastAsia="Wingdings" w:cs="Wingdings"/>
          <w:color w:val="auto"/>
          <w:sz w:val="24"/>
        </w:rPr>
        <w:t></w:t>
      </w:r>
      <w:r>
        <w:rPr>
          <w:rFonts w:hint="eastAsia" w:ascii="宋体" w:hAnsi="宋体" w:eastAsia="Arial" w:cs="宋体"/>
          <w:color w:val="auto"/>
          <w:sz w:val="24"/>
          <w:szCs w:val="20"/>
          <w:lang w:val="zh-CN"/>
        </w:rPr>
        <w:t>是，</w:t>
      </w:r>
      <w:r>
        <w:rPr>
          <w:rFonts w:hint="eastAsia" w:ascii="宋体" w:hAnsi="宋体" w:eastAsia="Arial" w:cs="宋体"/>
          <w:color w:val="auto"/>
          <w:sz w:val="24"/>
          <w:szCs w:val="20"/>
          <w:u w:val="none"/>
          <w:lang w:val="zh-CN"/>
        </w:rPr>
        <w:t>（应明确对被破坏的检测产品的处理方式</w:t>
      </w:r>
      <w:r>
        <w:rPr>
          <w:rFonts w:hint="eastAsia" w:ascii="宋体" w:hAnsi="宋体" w:eastAsia="Arial" w:cs="宋体"/>
          <w:color w:val="auto"/>
          <w:sz w:val="24"/>
          <w:szCs w:val="20"/>
          <w:lang w:val="zh-CN"/>
        </w:rPr>
        <w:t>否</w:t>
      </w:r>
    </w:p>
    <w:p w14:paraId="4C08611A">
      <w:pPr>
        <w:widowControl/>
        <w:spacing w:line="520" w:lineRule="exact"/>
        <w:ind w:firstLine="480"/>
        <w:rPr>
          <w:rFonts w:hint="eastAsia" w:ascii="宋体" w:hAnsi="宋体" w:eastAsia="宋体" w:cs="宋体"/>
          <w:color w:val="auto"/>
          <w:sz w:val="24"/>
          <w:szCs w:val="20"/>
          <w:u w:val="single"/>
          <w:lang w:eastAsia="zh-CN"/>
        </w:rPr>
      </w:pPr>
      <w:r>
        <w:rPr>
          <w:rFonts w:hint="eastAsia" w:ascii="宋体" w:hAnsi="宋体" w:cs="宋体"/>
          <w:color w:val="auto"/>
          <w:sz w:val="24"/>
          <w:szCs w:val="20"/>
          <w:lang w:val="zh-CN"/>
        </w:rPr>
        <w:t>验收组织的其他事项：</w:t>
      </w:r>
    </w:p>
    <w:p w14:paraId="4B69EFE0">
      <w:pPr>
        <w:widowControl/>
        <w:spacing w:line="520" w:lineRule="exact"/>
        <w:ind w:firstLine="480"/>
        <w:rPr>
          <w:rFonts w:ascii="宋体" w:hAnsi="宋体" w:cs="宋体"/>
          <w:color w:val="auto"/>
          <w:sz w:val="24"/>
          <w:szCs w:val="20"/>
          <w:u w:val="single"/>
          <w:lang w:val="zh-CN"/>
        </w:rPr>
      </w:pPr>
      <w:r>
        <w:rPr>
          <w:rFonts w:hint="eastAsia" w:ascii="宋体" w:hAnsi="宋体" w:cs="宋体"/>
          <w:color w:val="auto"/>
          <w:sz w:val="24"/>
          <w:szCs w:val="20"/>
          <w:lang w:val="zh-CN"/>
        </w:rPr>
        <w:t>（2）履约验收时间：</w:t>
      </w:r>
      <w:r>
        <w:rPr>
          <w:rFonts w:hint="eastAsia" w:ascii="宋体" w:hAnsi="宋体" w:cs="宋体"/>
          <w:color w:val="auto"/>
          <w:sz w:val="24"/>
          <w:szCs w:val="20"/>
          <w:u w:val="single"/>
          <w:lang w:val="zh-CN"/>
        </w:rPr>
        <w:t>（计划于何时验收/供应商提出验收申请之日起日内组织验收）</w:t>
      </w:r>
    </w:p>
    <w:p w14:paraId="3D6E5FF8">
      <w:pPr>
        <w:widowControl/>
        <w:spacing w:line="520" w:lineRule="exact"/>
        <w:ind w:firstLine="480"/>
        <w:rPr>
          <w:rFonts w:ascii="宋体" w:hAnsi="宋体" w:cs="宋体"/>
          <w:color w:val="auto"/>
          <w:sz w:val="24"/>
          <w:szCs w:val="20"/>
          <w:lang w:val="zh-CN"/>
        </w:rPr>
      </w:pPr>
      <w:r>
        <w:rPr>
          <w:rFonts w:hint="eastAsia" w:ascii="宋体" w:hAnsi="宋体" w:cs="宋体"/>
          <w:color w:val="auto"/>
          <w:sz w:val="24"/>
          <w:szCs w:val="20"/>
          <w:lang w:val="zh-CN"/>
        </w:rPr>
        <w:t>（3）履约验收方式：</w:t>
      </w:r>
      <w:r>
        <w:rPr>
          <w:rFonts w:ascii="Wingdings" w:hAnsi="Wingdings" w:eastAsia="Wingdings" w:cs="Wingdings"/>
          <w:color w:val="auto"/>
          <w:sz w:val="24"/>
        </w:rPr>
        <w:t></w:t>
      </w:r>
      <w:r>
        <w:rPr>
          <w:rFonts w:hint="eastAsia" w:ascii="宋体" w:hAnsi="宋体" w:cs="宋体"/>
          <w:color w:val="auto"/>
          <w:sz w:val="24"/>
          <w:szCs w:val="20"/>
          <w:lang w:val="zh-CN"/>
        </w:rPr>
        <w:t>一次性验收</w:t>
      </w:r>
    </w:p>
    <w:p w14:paraId="700E8716">
      <w:pPr>
        <w:widowControl/>
        <w:spacing w:line="520" w:lineRule="exact"/>
        <w:ind w:firstLine="480"/>
        <w:rPr>
          <w:rFonts w:ascii="宋体" w:hAnsi="宋体" w:cs="宋体"/>
          <w:color w:val="auto"/>
          <w:sz w:val="24"/>
          <w:szCs w:val="20"/>
          <w:lang w:val="zh-CN"/>
        </w:rPr>
      </w:pPr>
      <w:r>
        <w:rPr>
          <w:rFonts w:hint="eastAsia" w:ascii="宋体" w:hAnsi="宋体" w:cs="宋体"/>
          <w:color w:val="auto"/>
          <w:sz w:val="24"/>
          <w:szCs w:val="20"/>
          <w:lang w:val="zh-CN"/>
        </w:rPr>
        <w:t></w:t>
      </w:r>
      <w:r>
        <w:rPr>
          <w:rFonts w:ascii="Wingdings" w:hAnsi="Wingdings" w:eastAsia="Wingdings" w:cs="Wingdings"/>
          <w:color w:val="auto"/>
          <w:sz w:val="24"/>
        </w:rPr>
        <w:t></w:t>
      </w:r>
      <w:r>
        <w:rPr>
          <w:rFonts w:hint="eastAsia" w:ascii="宋体" w:hAnsi="宋体" w:cs="宋体"/>
          <w:color w:val="auto"/>
          <w:sz w:val="24"/>
          <w:szCs w:val="20"/>
          <w:lang w:val="zh-CN"/>
        </w:rPr>
        <w:t>分期/分项验收：</w:t>
      </w:r>
      <w:r>
        <w:rPr>
          <w:rFonts w:hint="eastAsia" w:ascii="宋体" w:hAnsi="宋体" w:cs="宋体"/>
          <w:color w:val="auto"/>
          <w:sz w:val="24"/>
          <w:szCs w:val="20"/>
          <w:u w:val="single"/>
          <w:lang w:val="zh-CN"/>
        </w:rPr>
        <w:t>（应明确分期/分项验收的工作安排）</w:t>
      </w:r>
    </w:p>
    <w:p w14:paraId="6B9628A9">
      <w:pPr>
        <w:widowControl/>
        <w:spacing w:line="520" w:lineRule="exact"/>
        <w:ind w:firstLine="480"/>
        <w:rPr>
          <w:rFonts w:hint="eastAsia" w:ascii="宋体" w:hAnsi="宋体" w:eastAsia="宋体" w:cs="宋体"/>
          <w:color w:val="auto"/>
          <w:sz w:val="24"/>
          <w:szCs w:val="20"/>
          <w:u w:val="single"/>
          <w:lang w:eastAsia="zh-CN"/>
        </w:rPr>
      </w:pPr>
      <w:r>
        <w:rPr>
          <w:rFonts w:hint="eastAsia" w:ascii="宋体" w:hAnsi="宋体" w:cs="宋体"/>
          <w:color w:val="auto"/>
          <w:sz w:val="24"/>
          <w:szCs w:val="20"/>
          <w:lang w:val="zh-CN"/>
        </w:rPr>
        <w:t>（4）履约验收程序：</w:t>
      </w:r>
    </w:p>
    <w:p w14:paraId="54D2ACDA">
      <w:pPr>
        <w:widowControl/>
        <w:spacing w:line="520" w:lineRule="exact"/>
        <w:ind w:firstLine="480"/>
        <w:rPr>
          <w:rFonts w:ascii="宋体" w:hAnsi="宋体" w:cs="宋体"/>
          <w:color w:val="auto"/>
          <w:sz w:val="24"/>
          <w:szCs w:val="20"/>
          <w:lang w:val="zh-CN"/>
        </w:rPr>
      </w:pPr>
      <w:r>
        <w:rPr>
          <w:rFonts w:hint="eastAsia" w:ascii="宋体" w:hAnsi="宋体" w:cs="宋体"/>
          <w:color w:val="auto"/>
          <w:sz w:val="24"/>
          <w:szCs w:val="20"/>
          <w:lang w:val="zh-CN"/>
        </w:rPr>
        <w:t>（5）履约验收的内容：</w:t>
      </w:r>
      <w:r>
        <w:rPr>
          <w:rFonts w:hint="eastAsia" w:ascii="宋体" w:hAnsi="宋体" w:cs="宋体"/>
          <w:color w:val="auto"/>
          <w:sz w:val="24"/>
          <w:szCs w:val="20"/>
          <w:u w:val="single"/>
          <w:lang w:val="zh-CN"/>
        </w:rPr>
        <w:t>（应当包括每一项技术和商务要求的履约情况，特别是落实政府采购扶持中小企业，支持绿色发展和乡村振兴等政策情况）</w:t>
      </w:r>
    </w:p>
    <w:p w14:paraId="22F1C4BC">
      <w:pPr>
        <w:widowControl/>
        <w:spacing w:line="520" w:lineRule="exact"/>
        <w:ind w:firstLine="480"/>
        <w:rPr>
          <w:rFonts w:hint="eastAsia" w:ascii="宋体" w:hAnsi="宋体" w:eastAsia="宋体" w:cs="宋体"/>
          <w:color w:val="auto"/>
          <w:sz w:val="24"/>
          <w:szCs w:val="20"/>
          <w:u w:val="single"/>
          <w:lang w:eastAsia="zh-CN"/>
        </w:rPr>
      </w:pPr>
      <w:r>
        <w:rPr>
          <w:rFonts w:hint="eastAsia" w:ascii="宋体" w:hAnsi="宋体" w:cs="宋体"/>
          <w:color w:val="auto"/>
          <w:sz w:val="24"/>
          <w:szCs w:val="20"/>
          <w:lang w:val="zh-CN"/>
        </w:rPr>
        <w:t>（6）履约验收标准：</w:t>
      </w:r>
    </w:p>
    <w:p w14:paraId="4E2F7089">
      <w:pPr>
        <w:widowControl/>
        <w:spacing w:line="520" w:lineRule="exact"/>
        <w:ind w:firstLine="480"/>
        <w:rPr>
          <w:rFonts w:ascii="宋体" w:hAnsi="宋体" w:cs="宋体"/>
          <w:color w:val="auto"/>
          <w:sz w:val="24"/>
          <w:szCs w:val="20"/>
          <w:lang w:val="zh-CN"/>
        </w:rPr>
      </w:pPr>
      <w:r>
        <w:rPr>
          <w:rFonts w:hint="eastAsia" w:ascii="宋体" w:hAnsi="宋体" w:cs="宋体"/>
          <w:color w:val="auto"/>
          <w:sz w:val="24"/>
          <w:szCs w:val="20"/>
          <w:lang w:val="zh-CN"/>
        </w:rPr>
        <w:t>（7）是否以采购活动中供应商提供的样品作为参考：</w:t>
      </w:r>
      <w:r>
        <w:rPr>
          <w:rFonts w:ascii="Wingdings" w:hAnsi="Wingdings" w:eastAsia="Wingdings" w:cs="Wingdings"/>
          <w:color w:val="auto"/>
          <w:sz w:val="24"/>
        </w:rPr>
        <w:t></w:t>
      </w:r>
      <w:r>
        <w:rPr>
          <w:rFonts w:hint="eastAsia" w:ascii="宋体" w:hAnsi="宋体" w:cs="宋体"/>
          <w:color w:val="auto"/>
          <w:sz w:val="24"/>
          <w:szCs w:val="20"/>
          <w:lang w:val="zh-CN"/>
        </w:rPr>
        <w:t>是</w:t>
      </w:r>
      <w:r>
        <w:rPr>
          <w:rFonts w:ascii="Wingdings" w:hAnsi="Wingdings" w:eastAsia="Wingdings" w:cs="Wingdings"/>
          <w:color w:val="auto"/>
          <w:sz w:val="24"/>
        </w:rPr>
        <w:t></w:t>
      </w:r>
      <w:r>
        <w:rPr>
          <w:rFonts w:hint="eastAsia" w:ascii="宋体" w:hAnsi="宋体" w:cs="宋体"/>
          <w:color w:val="auto"/>
          <w:sz w:val="24"/>
          <w:szCs w:val="20"/>
          <w:lang w:val="zh-CN"/>
        </w:rPr>
        <w:t>否</w:t>
      </w:r>
    </w:p>
    <w:p w14:paraId="06540415">
      <w:pPr>
        <w:widowControl/>
        <w:spacing w:line="520" w:lineRule="exact"/>
        <w:ind w:firstLine="480"/>
        <w:rPr>
          <w:rFonts w:hint="eastAsia" w:ascii="宋体" w:hAnsi="宋体" w:eastAsia="宋体" w:cs="宋体"/>
          <w:color w:val="auto"/>
          <w:sz w:val="24"/>
          <w:szCs w:val="20"/>
          <w:lang w:eastAsia="zh-CN"/>
        </w:rPr>
      </w:pPr>
      <w:r>
        <w:rPr>
          <w:rFonts w:hint="eastAsia" w:ascii="宋体" w:hAnsi="宋体" w:cs="宋体"/>
          <w:color w:val="auto"/>
          <w:sz w:val="24"/>
          <w:szCs w:val="20"/>
          <w:lang w:val="zh-CN"/>
        </w:rPr>
        <w:t>（8）履约验收其他事项：</w:t>
      </w:r>
      <w:r>
        <w:rPr>
          <w:rFonts w:hint="eastAsia" w:ascii="宋体" w:hAnsi="宋体" w:cs="宋体"/>
          <w:color w:val="auto"/>
          <w:sz w:val="24"/>
          <w:szCs w:val="20"/>
          <w:u w:val="single"/>
          <w:lang w:val="zh-CN"/>
        </w:rPr>
        <w:t>（产权过户登记等）</w:t>
      </w:r>
    </w:p>
    <w:p w14:paraId="610F515D">
      <w:pPr>
        <w:widowControl/>
        <w:spacing w:line="560" w:lineRule="exact"/>
        <w:ind w:firstLine="482"/>
        <w:jc w:val="left"/>
        <w:rPr>
          <w:rFonts w:hint="eastAsia" w:ascii="宋体" w:hAnsi="宋体" w:eastAsia="Arial" w:cs="宋体"/>
          <w:b/>
          <w:bCs/>
          <w:color w:val="auto"/>
          <w:sz w:val="24"/>
          <w:szCs w:val="20"/>
          <w:lang w:val="zh-CN"/>
        </w:rPr>
      </w:pPr>
      <w:r>
        <w:rPr>
          <w:rFonts w:hint="eastAsia" w:ascii="宋体" w:hAnsi="宋体" w:eastAsia="Arial" w:cs="宋体"/>
          <w:b/>
          <w:bCs/>
          <w:color w:val="auto"/>
          <w:sz w:val="24"/>
          <w:szCs w:val="20"/>
          <w:lang w:val="zh-CN"/>
        </w:rPr>
        <w:t>5.组成合同的文件</w:t>
      </w:r>
    </w:p>
    <w:p w14:paraId="4D6ECE71">
      <w:pPr>
        <w:widowControl/>
        <w:spacing w:line="560" w:lineRule="exact"/>
        <w:ind w:firstLine="482"/>
        <w:jc w:val="left"/>
        <w:rPr>
          <w:rFonts w:hint="eastAsia" w:ascii="宋体" w:hAnsi="宋体" w:eastAsia="Arial" w:cs="宋体"/>
          <w:color w:val="auto"/>
          <w:sz w:val="24"/>
          <w:szCs w:val="20"/>
          <w:lang w:val="zh-CN"/>
        </w:rPr>
      </w:pPr>
      <w:r>
        <w:rPr>
          <w:rFonts w:hint="eastAsia" w:ascii="宋体" w:hAnsi="宋体" w:eastAsia="Arial" w:cs="宋体"/>
          <w:color w:val="auto"/>
          <w:sz w:val="24"/>
          <w:szCs w:val="20"/>
          <w:lang w:val="zh-CN"/>
        </w:rPr>
        <w:t>本协议书与下列文件一起构成合同文件，如下述文件之间有任何抵触、矛盾或歧义，应按以下顺序解释：</w:t>
      </w:r>
    </w:p>
    <w:p w14:paraId="2364F7C0">
      <w:pPr>
        <w:widowControl/>
        <w:spacing w:line="560" w:lineRule="exact"/>
        <w:ind w:firstLine="482"/>
        <w:jc w:val="left"/>
        <w:rPr>
          <w:rFonts w:hint="eastAsia" w:ascii="宋体" w:hAnsi="宋体" w:eastAsia="Arial" w:cs="宋体"/>
          <w:color w:val="auto"/>
          <w:sz w:val="24"/>
          <w:szCs w:val="20"/>
          <w:lang w:val="zh-CN"/>
        </w:rPr>
      </w:pPr>
      <w:r>
        <w:rPr>
          <w:rFonts w:hint="eastAsia" w:ascii="宋体" w:hAnsi="宋体" w:eastAsia="Arial" w:cs="宋体"/>
          <w:color w:val="auto"/>
          <w:sz w:val="24"/>
          <w:szCs w:val="20"/>
          <w:lang w:val="zh-CN"/>
        </w:rPr>
        <w:t>（1）政府采购合同协议书及其变更、补充协议</w:t>
      </w:r>
    </w:p>
    <w:p w14:paraId="0E0E5913">
      <w:pPr>
        <w:widowControl/>
        <w:spacing w:line="560" w:lineRule="exact"/>
        <w:ind w:firstLine="482"/>
        <w:jc w:val="left"/>
        <w:rPr>
          <w:rFonts w:hint="eastAsia" w:ascii="宋体" w:hAnsi="宋体" w:eastAsia="Arial" w:cs="宋体"/>
          <w:color w:val="auto"/>
          <w:sz w:val="24"/>
          <w:szCs w:val="20"/>
          <w:lang w:val="zh-CN"/>
        </w:rPr>
      </w:pPr>
      <w:r>
        <w:rPr>
          <w:rFonts w:hint="eastAsia" w:ascii="宋体" w:hAnsi="宋体" w:eastAsia="Arial" w:cs="宋体"/>
          <w:color w:val="auto"/>
          <w:sz w:val="24"/>
          <w:szCs w:val="20"/>
          <w:lang w:val="zh-CN"/>
        </w:rPr>
        <w:t>（2）政府采购合同专用条款</w:t>
      </w:r>
    </w:p>
    <w:p w14:paraId="0280548C">
      <w:pPr>
        <w:widowControl/>
        <w:spacing w:line="560" w:lineRule="exact"/>
        <w:ind w:firstLine="482"/>
        <w:jc w:val="left"/>
        <w:rPr>
          <w:rFonts w:hint="eastAsia" w:ascii="宋体" w:hAnsi="宋体" w:eastAsia="Arial" w:cs="宋体"/>
          <w:color w:val="auto"/>
          <w:sz w:val="24"/>
          <w:szCs w:val="20"/>
          <w:lang w:val="zh-CN"/>
        </w:rPr>
      </w:pPr>
      <w:r>
        <w:rPr>
          <w:rFonts w:hint="eastAsia" w:ascii="宋体" w:hAnsi="宋体" w:eastAsia="Arial" w:cs="宋体"/>
          <w:color w:val="auto"/>
          <w:sz w:val="24"/>
          <w:szCs w:val="20"/>
          <w:lang w:val="zh-CN"/>
        </w:rPr>
        <w:t>（3）政府采购合同通用条款</w:t>
      </w:r>
    </w:p>
    <w:p w14:paraId="124ED0D0">
      <w:pPr>
        <w:widowControl/>
        <w:spacing w:line="560" w:lineRule="exact"/>
        <w:ind w:firstLine="482"/>
        <w:jc w:val="left"/>
        <w:rPr>
          <w:rFonts w:hint="eastAsia" w:ascii="宋体" w:hAnsi="宋体" w:eastAsia="Arial" w:cs="宋体"/>
          <w:color w:val="auto"/>
          <w:sz w:val="24"/>
          <w:szCs w:val="20"/>
          <w:lang w:val="zh-CN"/>
        </w:rPr>
      </w:pPr>
      <w:r>
        <w:rPr>
          <w:rFonts w:hint="eastAsia" w:ascii="宋体" w:hAnsi="宋体" w:eastAsia="Arial" w:cs="宋体"/>
          <w:color w:val="auto"/>
          <w:sz w:val="24"/>
          <w:szCs w:val="20"/>
          <w:lang w:val="zh-CN"/>
        </w:rPr>
        <w:t>（4）中标（成交）通知书</w:t>
      </w:r>
    </w:p>
    <w:p w14:paraId="081C6BE1">
      <w:pPr>
        <w:widowControl/>
        <w:spacing w:line="560" w:lineRule="exact"/>
        <w:ind w:firstLine="482"/>
        <w:jc w:val="left"/>
        <w:rPr>
          <w:rFonts w:hint="eastAsia" w:ascii="宋体" w:hAnsi="宋体" w:eastAsia="Arial" w:cs="宋体"/>
          <w:color w:val="auto"/>
          <w:sz w:val="24"/>
          <w:szCs w:val="20"/>
          <w:lang w:val="zh-CN"/>
        </w:rPr>
      </w:pPr>
      <w:r>
        <w:rPr>
          <w:rFonts w:hint="eastAsia" w:ascii="宋体" w:hAnsi="宋体" w:eastAsia="Arial" w:cs="宋体"/>
          <w:color w:val="auto"/>
          <w:sz w:val="24"/>
          <w:szCs w:val="20"/>
          <w:lang w:val="zh-CN"/>
        </w:rPr>
        <w:t>（5）投标（响应）文件</w:t>
      </w:r>
    </w:p>
    <w:p w14:paraId="0F6C1C7D">
      <w:pPr>
        <w:widowControl/>
        <w:spacing w:line="560" w:lineRule="exact"/>
        <w:ind w:firstLine="482"/>
        <w:jc w:val="left"/>
        <w:rPr>
          <w:rFonts w:hint="eastAsia" w:ascii="宋体" w:hAnsi="宋体" w:eastAsia="Arial" w:cs="宋体"/>
          <w:color w:val="auto"/>
          <w:sz w:val="24"/>
          <w:szCs w:val="20"/>
          <w:lang w:val="zh-CN"/>
        </w:rPr>
      </w:pPr>
      <w:r>
        <w:rPr>
          <w:rFonts w:hint="eastAsia" w:ascii="宋体" w:hAnsi="宋体" w:eastAsia="Arial" w:cs="宋体"/>
          <w:color w:val="auto"/>
          <w:sz w:val="24"/>
          <w:szCs w:val="20"/>
          <w:lang w:val="zh-CN"/>
        </w:rPr>
        <w:t>（6）采购文件</w:t>
      </w:r>
    </w:p>
    <w:p w14:paraId="71A00E0D">
      <w:pPr>
        <w:widowControl/>
        <w:spacing w:line="560" w:lineRule="exact"/>
        <w:ind w:firstLine="482"/>
        <w:jc w:val="left"/>
        <w:rPr>
          <w:rFonts w:hint="eastAsia" w:ascii="宋体" w:hAnsi="宋体" w:eastAsia="Arial" w:cs="宋体"/>
          <w:color w:val="auto"/>
          <w:sz w:val="24"/>
          <w:szCs w:val="20"/>
          <w:lang w:val="zh-CN"/>
        </w:rPr>
      </w:pPr>
      <w:r>
        <w:rPr>
          <w:rFonts w:hint="eastAsia" w:ascii="宋体" w:hAnsi="宋体" w:eastAsia="Arial" w:cs="宋体"/>
          <w:color w:val="auto"/>
          <w:sz w:val="24"/>
          <w:szCs w:val="20"/>
          <w:lang w:val="zh-CN"/>
        </w:rPr>
        <w:t>（7）有关技术文件，图纸</w:t>
      </w:r>
    </w:p>
    <w:p w14:paraId="0E798C94">
      <w:pPr>
        <w:widowControl/>
        <w:spacing w:line="560" w:lineRule="exact"/>
        <w:ind w:firstLine="482"/>
        <w:jc w:val="left"/>
        <w:rPr>
          <w:rFonts w:hint="eastAsia" w:ascii="宋体" w:hAnsi="宋体" w:eastAsia="Arial" w:cs="宋体"/>
          <w:color w:val="auto"/>
          <w:sz w:val="24"/>
          <w:szCs w:val="20"/>
          <w:lang w:val="zh-CN"/>
        </w:rPr>
      </w:pPr>
      <w:r>
        <w:rPr>
          <w:rFonts w:hint="eastAsia" w:ascii="宋体" w:hAnsi="宋体" w:eastAsia="Arial" w:cs="宋体"/>
          <w:color w:val="auto"/>
          <w:sz w:val="24"/>
          <w:szCs w:val="20"/>
          <w:lang w:val="zh-CN"/>
        </w:rPr>
        <w:t>（8）国家法律、行政法规和规章制度规定或合同约定的作为合同组成部分的其他文件</w:t>
      </w:r>
    </w:p>
    <w:p w14:paraId="4E31860E">
      <w:pPr>
        <w:widowControl/>
        <w:spacing w:line="560" w:lineRule="exact"/>
        <w:ind w:firstLine="482"/>
        <w:jc w:val="left"/>
        <w:rPr>
          <w:rFonts w:hint="eastAsia" w:ascii="宋体" w:hAnsi="宋体" w:eastAsia="Arial" w:cs="宋体"/>
          <w:b/>
          <w:bCs/>
          <w:color w:val="auto"/>
          <w:sz w:val="24"/>
          <w:szCs w:val="20"/>
          <w:lang w:val="zh-CN"/>
        </w:rPr>
      </w:pPr>
      <w:r>
        <w:rPr>
          <w:rFonts w:hint="eastAsia" w:ascii="宋体" w:hAnsi="宋体" w:eastAsia="Arial" w:cs="宋体"/>
          <w:b/>
          <w:bCs/>
          <w:color w:val="auto"/>
          <w:sz w:val="24"/>
          <w:szCs w:val="20"/>
          <w:lang w:val="zh-CN"/>
        </w:rPr>
        <w:t>6.合同生效</w:t>
      </w:r>
    </w:p>
    <w:p w14:paraId="0CD9E143">
      <w:pPr>
        <w:widowControl/>
        <w:spacing w:line="560" w:lineRule="exact"/>
        <w:ind w:firstLine="482"/>
        <w:jc w:val="left"/>
        <w:rPr>
          <w:rFonts w:hint="eastAsia" w:ascii="宋体" w:hAnsi="宋体" w:eastAsia="Arial" w:cs="宋体"/>
          <w:color w:val="auto"/>
          <w:sz w:val="24"/>
          <w:szCs w:val="20"/>
          <w:lang w:val="zh-CN"/>
        </w:rPr>
      </w:pPr>
      <w:r>
        <w:rPr>
          <w:rFonts w:hint="eastAsia" w:ascii="宋体" w:hAnsi="宋体" w:eastAsia="Arial" w:cs="宋体"/>
          <w:color w:val="auto"/>
          <w:sz w:val="24"/>
          <w:szCs w:val="20"/>
          <w:lang w:val="zh-CN"/>
        </w:rPr>
        <w:t>本合同自年月日生效。</w:t>
      </w:r>
    </w:p>
    <w:p w14:paraId="0D8C6F4A">
      <w:pPr>
        <w:widowControl/>
        <w:spacing w:line="520" w:lineRule="exact"/>
        <w:ind w:firstLine="480"/>
        <w:rPr>
          <w:rFonts w:ascii="宋体" w:hAnsi="宋体" w:cs="宋体"/>
          <w:b/>
          <w:bCs/>
          <w:color w:val="auto"/>
          <w:sz w:val="24"/>
          <w:szCs w:val="20"/>
          <w:lang w:val="zh-CN"/>
        </w:rPr>
      </w:pPr>
      <w:r>
        <w:rPr>
          <w:rFonts w:hint="eastAsia" w:ascii="宋体" w:hAnsi="宋体" w:cs="宋体"/>
          <w:b/>
          <w:bCs/>
          <w:color w:val="auto"/>
          <w:sz w:val="24"/>
          <w:szCs w:val="20"/>
          <w:lang w:val="zh-CN"/>
        </w:rPr>
        <w:t>7.合同份数</w:t>
      </w:r>
    </w:p>
    <w:p w14:paraId="1040ACC2">
      <w:pPr>
        <w:widowControl/>
        <w:spacing w:line="560" w:lineRule="exact"/>
        <w:ind w:firstLine="482"/>
        <w:jc w:val="left"/>
        <w:rPr>
          <w:rFonts w:hint="eastAsia" w:ascii="宋体" w:hAnsi="宋体" w:eastAsia="Arial" w:cs="宋体"/>
          <w:color w:val="auto"/>
          <w:sz w:val="24"/>
          <w:szCs w:val="20"/>
          <w:lang w:val="zh-CN"/>
        </w:rPr>
      </w:pPr>
      <w:r>
        <w:rPr>
          <w:rFonts w:hint="eastAsia" w:ascii="宋体" w:hAnsi="宋体" w:eastAsia="Arial" w:cs="宋体"/>
          <w:color w:val="auto"/>
          <w:sz w:val="24"/>
          <w:szCs w:val="20"/>
          <w:lang w:val="zh-CN"/>
        </w:rPr>
        <w:t>本合同一式份，甲方执份，乙方执份，均具有同等法律效力。</w:t>
      </w:r>
    </w:p>
    <w:p w14:paraId="65AE8CC9">
      <w:pPr>
        <w:widowControl/>
        <w:spacing w:line="560" w:lineRule="exact"/>
        <w:ind w:firstLine="482"/>
        <w:jc w:val="left"/>
        <w:rPr>
          <w:rFonts w:hint="eastAsia" w:ascii="宋体" w:hAnsi="宋体" w:eastAsia="Arial" w:cs="宋体"/>
          <w:color w:val="auto"/>
          <w:sz w:val="24"/>
          <w:szCs w:val="20"/>
          <w:lang w:val="zh-CN"/>
        </w:rPr>
      </w:pPr>
      <w:r>
        <w:rPr>
          <w:rFonts w:hint="eastAsia" w:ascii="宋体" w:hAnsi="宋体" w:eastAsia="Arial" w:cs="宋体"/>
          <w:color w:val="auto"/>
          <w:sz w:val="24"/>
          <w:szCs w:val="20"/>
          <w:lang w:val="zh-CN"/>
        </w:rPr>
        <w:t>合同订立时间：年月日</w:t>
      </w:r>
    </w:p>
    <w:p w14:paraId="78FBB014">
      <w:pPr>
        <w:widowControl/>
        <w:spacing w:line="560" w:lineRule="exact"/>
        <w:ind w:firstLine="482"/>
        <w:jc w:val="left"/>
        <w:rPr>
          <w:rFonts w:hint="eastAsia" w:ascii="宋体" w:hAnsi="宋体" w:eastAsia="Arial" w:cs="宋体"/>
          <w:color w:val="auto"/>
          <w:sz w:val="24"/>
          <w:szCs w:val="20"/>
          <w:lang w:val="zh-CN"/>
        </w:rPr>
      </w:pPr>
      <w:r>
        <w:rPr>
          <w:rFonts w:hint="eastAsia" w:ascii="宋体" w:hAnsi="宋体" w:eastAsia="Arial" w:cs="宋体"/>
          <w:color w:val="auto"/>
          <w:sz w:val="24"/>
          <w:szCs w:val="20"/>
          <w:lang w:val="zh-CN"/>
        </w:rPr>
        <w:t>合同订立地点：</w:t>
      </w:r>
      <w:r>
        <w:rPr>
          <w:rFonts w:hint="eastAsia" w:ascii="宋体" w:hAnsi="宋体" w:eastAsia="Arial" w:cs="宋体"/>
          <w:color w:val="auto"/>
          <w:sz w:val="24"/>
          <w:szCs w:val="20"/>
          <w:u w:val="single"/>
          <w:lang w:eastAsia="zh-CN"/>
        </w:rPr>
        <w:t>江苏省盐城技师学院</w:t>
      </w:r>
    </w:p>
    <w:p w14:paraId="60C9884B">
      <w:pPr>
        <w:widowControl/>
        <w:spacing w:line="560" w:lineRule="exact"/>
        <w:ind w:firstLine="482"/>
        <w:jc w:val="left"/>
        <w:rPr>
          <w:rFonts w:hint="eastAsia" w:ascii="宋体" w:hAnsi="宋体" w:eastAsia="Arial" w:cs="宋体"/>
          <w:color w:val="auto"/>
          <w:sz w:val="24"/>
          <w:szCs w:val="20"/>
          <w:lang w:val="zh-CN"/>
        </w:rPr>
      </w:pPr>
      <w:r>
        <w:rPr>
          <w:rFonts w:hint="eastAsia" w:ascii="宋体" w:hAnsi="宋体" w:eastAsia="Arial" w:cs="宋体"/>
          <w:color w:val="auto"/>
          <w:sz w:val="24"/>
          <w:szCs w:val="20"/>
          <w:lang w:val="zh-CN"/>
        </w:rPr>
        <w:t>附件：具体标的及其技术要求和商务要求、联合协议、分包意向协议等。</w:t>
      </w:r>
    </w:p>
    <w:p w14:paraId="48635D59">
      <w:pPr>
        <w:pStyle w:val="226"/>
        <w:spacing w:before="156"/>
        <w:rPr>
          <w:rFonts w:hint="default" w:ascii="黑体" w:hAnsi="黑体" w:eastAsia="黑体"/>
          <w:b w:val="0"/>
          <w:bCs w:val="0"/>
          <w:color w:val="auto"/>
          <w:sz w:val="28"/>
          <w:szCs w:val="28"/>
        </w:rPr>
      </w:pPr>
      <w:r>
        <w:rPr>
          <w:rFonts w:ascii="黑体" w:hAnsi="黑体" w:eastAsia="黑体"/>
          <w:b w:val="0"/>
          <w:bCs w:val="0"/>
          <w:color w:val="auto"/>
          <w:sz w:val="28"/>
          <w:szCs w:val="28"/>
        </w:rPr>
        <w:br w:type="page" w:clear="all"/>
      </w:r>
    </w:p>
    <w:tbl>
      <w:tblPr>
        <w:tblStyle w:val="42"/>
        <w:tblW w:w="4824" w:type="pct"/>
        <w:tblInd w:w="181" w:type="dxa"/>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Layout w:type="autofit"/>
        <w:tblCellMar>
          <w:top w:w="0" w:type="dxa"/>
          <w:left w:w="108" w:type="dxa"/>
          <w:bottom w:w="0" w:type="dxa"/>
          <w:right w:w="108" w:type="dxa"/>
        </w:tblCellMar>
      </w:tblPr>
      <w:tblGrid>
        <w:gridCol w:w="1846"/>
        <w:gridCol w:w="2495"/>
        <w:gridCol w:w="2118"/>
        <w:gridCol w:w="2195"/>
      </w:tblGrid>
      <w:tr w14:paraId="3A54C3FF">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90" w:hRule="atLeast"/>
        </w:trPr>
        <w:tc>
          <w:tcPr>
            <w:tcW w:w="4287" w:type="dxa"/>
            <w:gridSpan w:val="2"/>
            <w:tcBorders>
              <w:bottom w:val="single" w:color="000000" w:sz="2" w:space="0"/>
              <w:right w:val="single" w:color="000000" w:sz="2" w:space="0"/>
            </w:tcBorders>
            <w:noWrap w:val="0"/>
            <w:vAlign w:val="center"/>
          </w:tcPr>
          <w:p w14:paraId="4804501B">
            <w:pPr>
              <w:keepNext w:val="0"/>
              <w:keepLines w:val="0"/>
              <w:suppressLineNumbers w:val="0"/>
              <w:spacing w:before="0" w:beforeAutospacing="0" w:after="0" w:afterAutospacing="0" w:line="360" w:lineRule="auto"/>
              <w:ind w:left="0" w:right="0"/>
              <w:jc w:val="center"/>
              <w:rPr>
                <w:rFonts w:hint="eastAsia"/>
                <w:color w:val="auto"/>
                <w:sz w:val="24"/>
              </w:rPr>
            </w:pPr>
            <w:r>
              <w:rPr>
                <w:rFonts w:hint="eastAsia"/>
                <w:color w:val="auto"/>
                <w:sz w:val="24"/>
              </w:rPr>
              <w:t>甲方（采购人</w:t>
            </w:r>
            <w:r>
              <w:rPr>
                <w:rFonts w:hint="eastAsia" w:ascii="宋体" w:hAnsi="宋体"/>
                <w:color w:val="auto"/>
                <w:sz w:val="24"/>
              </w:rPr>
              <w:t>、受采购人委托签订合同的单位或</w:t>
            </w:r>
            <w:r>
              <w:rPr>
                <w:rFonts w:hint="eastAsia"/>
                <w:color w:val="auto"/>
                <w:sz w:val="24"/>
              </w:rPr>
              <w:t>采购文件约定的合同甲方）</w:t>
            </w:r>
          </w:p>
        </w:tc>
        <w:tc>
          <w:tcPr>
            <w:tcW w:w="4259" w:type="dxa"/>
            <w:gridSpan w:val="2"/>
            <w:tcBorders>
              <w:left w:val="single" w:color="000000" w:sz="2" w:space="0"/>
              <w:bottom w:val="single" w:color="000000" w:sz="2" w:space="0"/>
            </w:tcBorders>
            <w:noWrap w:val="0"/>
            <w:vAlign w:val="center"/>
          </w:tcPr>
          <w:p w14:paraId="0734FFDB">
            <w:pPr>
              <w:keepNext w:val="0"/>
              <w:keepLines w:val="0"/>
              <w:suppressLineNumbers w:val="0"/>
              <w:spacing w:before="0" w:beforeAutospacing="0" w:after="0" w:afterAutospacing="0" w:line="360" w:lineRule="auto"/>
              <w:ind w:left="0" w:right="0"/>
              <w:jc w:val="center"/>
              <w:rPr>
                <w:rFonts w:hint="eastAsia"/>
                <w:color w:val="auto"/>
                <w:sz w:val="24"/>
              </w:rPr>
            </w:pPr>
            <w:r>
              <w:rPr>
                <w:rFonts w:hint="eastAsia"/>
                <w:color w:val="auto"/>
                <w:sz w:val="24"/>
              </w:rPr>
              <w:t>乙方（供应商）</w:t>
            </w:r>
          </w:p>
        </w:tc>
      </w:tr>
      <w:tr w14:paraId="45FFE2D1">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917" w:hRule="atLeast"/>
        </w:trPr>
        <w:tc>
          <w:tcPr>
            <w:tcW w:w="1823" w:type="dxa"/>
            <w:tcBorders>
              <w:top w:val="single" w:color="000000" w:sz="2" w:space="0"/>
              <w:bottom w:val="single" w:color="000000" w:sz="2" w:space="0"/>
              <w:right w:val="single" w:color="000000" w:sz="2" w:space="0"/>
            </w:tcBorders>
            <w:noWrap w:val="0"/>
            <w:vAlign w:val="center"/>
          </w:tcPr>
          <w:p w14:paraId="64396502">
            <w:pPr>
              <w:keepNext w:val="0"/>
              <w:keepLines w:val="0"/>
              <w:suppressLineNumbers w:val="0"/>
              <w:spacing w:before="0" w:beforeAutospacing="0" w:after="0" w:afterAutospacing="0" w:line="360" w:lineRule="auto"/>
              <w:ind w:left="0" w:right="0"/>
              <w:jc w:val="center"/>
              <w:rPr>
                <w:rFonts w:hint="eastAsia"/>
                <w:color w:val="auto"/>
                <w:sz w:val="24"/>
              </w:rPr>
            </w:pPr>
            <w:r>
              <w:rPr>
                <w:rFonts w:hint="eastAsia"/>
                <w:color w:val="auto"/>
                <w:sz w:val="24"/>
              </w:rPr>
              <w:t>单位名称（公章或合同章）</w:t>
            </w:r>
          </w:p>
        </w:tc>
        <w:tc>
          <w:tcPr>
            <w:tcW w:w="2464" w:type="dxa"/>
            <w:tcBorders>
              <w:top w:val="single" w:color="000000" w:sz="2" w:space="0"/>
              <w:left w:val="single" w:color="000000" w:sz="2" w:space="0"/>
              <w:bottom w:val="single" w:color="000000" w:sz="2" w:space="0"/>
              <w:right w:val="single" w:color="000000" w:sz="2" w:space="0"/>
            </w:tcBorders>
            <w:noWrap w:val="0"/>
            <w:vAlign w:val="center"/>
          </w:tcPr>
          <w:p w14:paraId="4C90D262">
            <w:pPr>
              <w:keepNext w:val="0"/>
              <w:keepLines w:val="0"/>
              <w:suppressLineNumbers w:val="0"/>
              <w:spacing w:before="0" w:beforeAutospacing="0" w:after="0" w:afterAutospacing="0" w:line="360" w:lineRule="auto"/>
              <w:ind w:left="0" w:right="0"/>
              <w:jc w:val="center"/>
              <w:rPr>
                <w:rFonts w:hint="eastAsia"/>
                <w:color w:val="auto"/>
                <w:sz w:val="24"/>
              </w:rPr>
            </w:pPr>
          </w:p>
        </w:tc>
        <w:tc>
          <w:tcPr>
            <w:tcW w:w="2092" w:type="dxa"/>
            <w:tcBorders>
              <w:top w:val="single" w:color="000000" w:sz="2" w:space="0"/>
              <w:left w:val="single" w:color="000000" w:sz="2" w:space="0"/>
              <w:bottom w:val="single" w:color="000000" w:sz="2" w:space="0"/>
              <w:right w:val="single" w:color="000000" w:sz="2" w:space="0"/>
            </w:tcBorders>
            <w:noWrap w:val="0"/>
            <w:vAlign w:val="center"/>
          </w:tcPr>
          <w:p w14:paraId="5F48DFBD">
            <w:pPr>
              <w:keepNext w:val="0"/>
              <w:keepLines w:val="0"/>
              <w:suppressLineNumbers w:val="0"/>
              <w:spacing w:before="0" w:beforeAutospacing="0" w:after="0" w:afterAutospacing="0" w:line="360" w:lineRule="auto"/>
              <w:ind w:left="0" w:right="0"/>
              <w:jc w:val="center"/>
              <w:rPr>
                <w:rFonts w:hint="eastAsia"/>
                <w:color w:val="auto"/>
                <w:sz w:val="24"/>
              </w:rPr>
            </w:pPr>
            <w:r>
              <w:rPr>
                <w:rFonts w:hint="eastAsia"/>
                <w:color w:val="auto"/>
                <w:sz w:val="24"/>
              </w:rPr>
              <w:t>单位名称（公章或合同章）</w:t>
            </w:r>
          </w:p>
        </w:tc>
        <w:tc>
          <w:tcPr>
            <w:tcW w:w="2167" w:type="dxa"/>
            <w:tcBorders>
              <w:top w:val="single" w:color="000000" w:sz="2" w:space="0"/>
              <w:left w:val="single" w:color="000000" w:sz="2" w:space="0"/>
              <w:bottom w:val="single" w:color="000000" w:sz="2" w:space="0"/>
            </w:tcBorders>
            <w:noWrap w:val="0"/>
            <w:vAlign w:val="center"/>
          </w:tcPr>
          <w:p w14:paraId="02FE476B">
            <w:pPr>
              <w:keepNext w:val="0"/>
              <w:keepLines w:val="0"/>
              <w:suppressLineNumbers w:val="0"/>
              <w:spacing w:before="0" w:beforeAutospacing="0" w:after="0" w:afterAutospacing="0" w:line="360" w:lineRule="auto"/>
              <w:ind w:left="0" w:right="0"/>
              <w:jc w:val="center"/>
              <w:rPr>
                <w:rFonts w:hint="eastAsia"/>
                <w:color w:val="auto"/>
                <w:spacing w:val="20"/>
                <w:sz w:val="24"/>
              </w:rPr>
            </w:pPr>
          </w:p>
        </w:tc>
      </w:tr>
      <w:tr w14:paraId="1D4FE788">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cantSplit/>
          <w:trHeight w:val="1171" w:hRule="atLeast"/>
        </w:trPr>
        <w:tc>
          <w:tcPr>
            <w:tcW w:w="1823" w:type="dxa"/>
            <w:vMerge w:val="restart"/>
            <w:tcBorders>
              <w:top w:val="single" w:color="000000" w:sz="2" w:space="0"/>
              <w:right w:val="single" w:color="000000" w:sz="2" w:space="0"/>
            </w:tcBorders>
            <w:noWrap w:val="0"/>
            <w:vAlign w:val="center"/>
          </w:tcPr>
          <w:p w14:paraId="1A6D02FA">
            <w:pPr>
              <w:keepNext w:val="0"/>
              <w:keepLines w:val="0"/>
              <w:suppressLineNumbers w:val="0"/>
              <w:spacing w:before="0" w:beforeAutospacing="0" w:after="0" w:afterAutospacing="0" w:line="360" w:lineRule="auto"/>
              <w:ind w:left="0" w:right="0"/>
              <w:jc w:val="center"/>
              <w:rPr>
                <w:rFonts w:hint="eastAsia"/>
                <w:color w:val="auto"/>
                <w:sz w:val="24"/>
              </w:rPr>
            </w:pPr>
            <w:r>
              <w:rPr>
                <w:rFonts w:hint="eastAsia"/>
                <w:color w:val="auto"/>
                <w:sz w:val="24"/>
              </w:rPr>
              <w:t>法定代表人</w:t>
            </w:r>
          </w:p>
          <w:p w14:paraId="4E8EF0F3">
            <w:pPr>
              <w:keepNext w:val="0"/>
              <w:keepLines w:val="0"/>
              <w:suppressLineNumbers w:val="0"/>
              <w:spacing w:before="0" w:beforeAutospacing="0" w:after="0" w:afterAutospacing="0" w:line="360" w:lineRule="auto"/>
              <w:ind w:left="0" w:right="0" w:firstLine="115"/>
              <w:jc w:val="center"/>
              <w:rPr>
                <w:rFonts w:hint="eastAsia"/>
                <w:color w:val="auto"/>
                <w:sz w:val="24"/>
              </w:rPr>
            </w:pPr>
            <w:r>
              <w:rPr>
                <w:rFonts w:hint="eastAsia"/>
                <w:color w:val="auto"/>
                <w:sz w:val="24"/>
              </w:rPr>
              <w:t>或其委托代理人（签章）</w:t>
            </w:r>
          </w:p>
        </w:tc>
        <w:tc>
          <w:tcPr>
            <w:tcW w:w="2464" w:type="dxa"/>
            <w:vMerge w:val="restart"/>
            <w:tcBorders>
              <w:top w:val="single" w:color="000000" w:sz="2" w:space="0"/>
              <w:left w:val="single" w:color="000000" w:sz="2" w:space="0"/>
              <w:right w:val="single" w:color="000000" w:sz="2" w:space="0"/>
            </w:tcBorders>
            <w:noWrap w:val="0"/>
            <w:vAlign w:val="center"/>
          </w:tcPr>
          <w:p w14:paraId="0A8CC767">
            <w:pPr>
              <w:keepNext w:val="0"/>
              <w:keepLines w:val="0"/>
              <w:suppressLineNumbers w:val="0"/>
              <w:spacing w:before="0" w:beforeAutospacing="0" w:after="0" w:afterAutospacing="0" w:line="360" w:lineRule="auto"/>
              <w:ind w:left="0" w:right="0"/>
              <w:jc w:val="center"/>
              <w:rPr>
                <w:rFonts w:hint="eastAsia"/>
                <w:color w:val="auto"/>
                <w:sz w:val="24"/>
              </w:rPr>
            </w:pPr>
          </w:p>
        </w:tc>
        <w:tc>
          <w:tcPr>
            <w:tcW w:w="2092" w:type="dxa"/>
            <w:tcBorders>
              <w:top w:val="single" w:color="000000" w:sz="2" w:space="0"/>
              <w:left w:val="single" w:color="000000" w:sz="2" w:space="0"/>
              <w:right w:val="single" w:color="000000" w:sz="2" w:space="0"/>
            </w:tcBorders>
            <w:noWrap w:val="0"/>
            <w:vAlign w:val="center"/>
          </w:tcPr>
          <w:p w14:paraId="7A26C303">
            <w:pPr>
              <w:keepNext w:val="0"/>
              <w:keepLines w:val="0"/>
              <w:suppressLineNumbers w:val="0"/>
              <w:spacing w:before="0" w:beforeAutospacing="0" w:after="0" w:afterAutospacing="0" w:line="360" w:lineRule="auto"/>
              <w:ind w:left="0" w:right="0"/>
              <w:jc w:val="center"/>
              <w:rPr>
                <w:rFonts w:hint="eastAsia"/>
                <w:color w:val="auto"/>
                <w:sz w:val="24"/>
              </w:rPr>
            </w:pPr>
            <w:r>
              <w:rPr>
                <w:rFonts w:hint="eastAsia"/>
                <w:color w:val="auto"/>
                <w:sz w:val="24"/>
              </w:rPr>
              <w:t>法定代表人</w:t>
            </w:r>
          </w:p>
          <w:p w14:paraId="658BA3F3">
            <w:pPr>
              <w:keepNext w:val="0"/>
              <w:keepLines w:val="0"/>
              <w:suppressLineNumbers w:val="0"/>
              <w:spacing w:before="0" w:beforeAutospacing="0" w:after="0" w:afterAutospacing="0" w:line="360" w:lineRule="auto"/>
              <w:ind w:left="0" w:right="0"/>
              <w:jc w:val="center"/>
              <w:rPr>
                <w:rFonts w:hint="eastAsia"/>
                <w:color w:val="auto"/>
                <w:sz w:val="24"/>
              </w:rPr>
            </w:pPr>
            <w:r>
              <w:rPr>
                <w:rFonts w:hint="eastAsia"/>
                <w:color w:val="auto"/>
                <w:sz w:val="24"/>
              </w:rPr>
              <w:t>或其委托代理人（签章）</w:t>
            </w:r>
          </w:p>
        </w:tc>
        <w:tc>
          <w:tcPr>
            <w:tcW w:w="2167" w:type="dxa"/>
            <w:tcBorders>
              <w:top w:val="single" w:color="000000" w:sz="2" w:space="0"/>
              <w:left w:val="single" w:color="000000" w:sz="2" w:space="0"/>
              <w:bottom w:val="single" w:color="000000" w:sz="2" w:space="0"/>
            </w:tcBorders>
            <w:noWrap w:val="0"/>
            <w:vAlign w:val="center"/>
          </w:tcPr>
          <w:p w14:paraId="17EE16EF">
            <w:pPr>
              <w:keepNext w:val="0"/>
              <w:keepLines w:val="0"/>
              <w:suppressLineNumbers w:val="0"/>
              <w:spacing w:before="0" w:beforeAutospacing="0" w:after="0" w:afterAutospacing="0" w:line="360" w:lineRule="auto"/>
              <w:ind w:left="0" w:right="0"/>
              <w:jc w:val="center"/>
              <w:rPr>
                <w:rFonts w:hint="eastAsia"/>
                <w:color w:val="auto"/>
                <w:sz w:val="24"/>
              </w:rPr>
            </w:pPr>
          </w:p>
        </w:tc>
      </w:tr>
      <w:tr w14:paraId="46D8655E">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cantSplit/>
          <w:trHeight w:val="483" w:hRule="atLeast"/>
        </w:trPr>
        <w:tc>
          <w:tcPr>
            <w:tcW w:w="1823" w:type="dxa"/>
            <w:vMerge w:val="continue"/>
            <w:tcBorders>
              <w:bottom w:val="single" w:color="000000" w:sz="2" w:space="0"/>
              <w:right w:val="single" w:color="000000" w:sz="2" w:space="0"/>
            </w:tcBorders>
            <w:noWrap w:val="0"/>
            <w:vAlign w:val="center"/>
          </w:tcPr>
          <w:p w14:paraId="3BC1998F">
            <w:pPr>
              <w:keepNext w:val="0"/>
              <w:keepLines w:val="0"/>
              <w:suppressLineNumbers w:val="0"/>
              <w:spacing w:before="0" w:beforeAutospacing="0" w:after="0" w:afterAutospacing="0" w:line="360" w:lineRule="auto"/>
              <w:ind w:left="0" w:right="0"/>
              <w:jc w:val="center"/>
              <w:rPr>
                <w:rFonts w:hint="eastAsia"/>
                <w:color w:val="auto"/>
                <w:sz w:val="24"/>
              </w:rPr>
            </w:pPr>
          </w:p>
        </w:tc>
        <w:tc>
          <w:tcPr>
            <w:tcW w:w="2464" w:type="dxa"/>
            <w:vMerge w:val="continue"/>
            <w:tcBorders>
              <w:left w:val="single" w:color="000000" w:sz="2" w:space="0"/>
              <w:bottom w:val="single" w:color="000000" w:sz="2" w:space="0"/>
              <w:right w:val="single" w:color="000000" w:sz="2" w:space="0"/>
            </w:tcBorders>
            <w:noWrap w:val="0"/>
            <w:vAlign w:val="center"/>
          </w:tcPr>
          <w:p w14:paraId="5DE084D1">
            <w:pPr>
              <w:keepNext w:val="0"/>
              <w:keepLines w:val="0"/>
              <w:suppressLineNumbers w:val="0"/>
              <w:spacing w:before="0" w:beforeAutospacing="0" w:after="0" w:afterAutospacing="0" w:line="360" w:lineRule="auto"/>
              <w:ind w:left="0" w:right="0"/>
              <w:jc w:val="center"/>
              <w:rPr>
                <w:rFonts w:hint="eastAsia"/>
                <w:color w:val="auto"/>
                <w:sz w:val="24"/>
              </w:rPr>
            </w:pPr>
          </w:p>
        </w:tc>
        <w:tc>
          <w:tcPr>
            <w:tcW w:w="2092" w:type="dxa"/>
            <w:tcBorders>
              <w:top w:val="single" w:color="000000" w:sz="2" w:space="0"/>
              <w:left w:val="single" w:color="000000" w:sz="2" w:space="0"/>
              <w:bottom w:val="single" w:color="000000" w:sz="2" w:space="0"/>
              <w:right w:val="single" w:color="000000" w:sz="2" w:space="0"/>
            </w:tcBorders>
            <w:noWrap w:val="0"/>
            <w:vAlign w:val="center"/>
          </w:tcPr>
          <w:p w14:paraId="1BF6AD83">
            <w:pPr>
              <w:keepNext w:val="0"/>
              <w:keepLines w:val="0"/>
              <w:suppressLineNumbers w:val="0"/>
              <w:spacing w:before="0" w:beforeAutospacing="0" w:after="0" w:afterAutospacing="0" w:line="360" w:lineRule="auto"/>
              <w:ind w:left="0" w:right="0"/>
              <w:jc w:val="center"/>
              <w:rPr>
                <w:rFonts w:hint="eastAsia"/>
                <w:color w:val="auto"/>
                <w:sz w:val="24"/>
              </w:rPr>
            </w:pPr>
            <w:r>
              <w:rPr>
                <w:rFonts w:hint="eastAsia"/>
                <w:color w:val="auto"/>
                <w:sz w:val="24"/>
              </w:rPr>
              <w:t>拥有者性别</w:t>
            </w:r>
          </w:p>
        </w:tc>
        <w:tc>
          <w:tcPr>
            <w:tcW w:w="2167" w:type="dxa"/>
            <w:tcBorders>
              <w:top w:val="single" w:color="000000" w:sz="2" w:space="0"/>
              <w:left w:val="single" w:color="000000" w:sz="2" w:space="0"/>
              <w:bottom w:val="single" w:color="000000" w:sz="2" w:space="0"/>
            </w:tcBorders>
            <w:noWrap w:val="0"/>
            <w:vAlign w:val="center"/>
          </w:tcPr>
          <w:p w14:paraId="22CD2B15">
            <w:pPr>
              <w:keepNext w:val="0"/>
              <w:keepLines w:val="0"/>
              <w:suppressLineNumbers w:val="0"/>
              <w:spacing w:before="0" w:beforeAutospacing="0" w:after="0" w:afterAutospacing="0" w:line="360" w:lineRule="auto"/>
              <w:ind w:left="0" w:right="0"/>
              <w:jc w:val="center"/>
              <w:rPr>
                <w:rFonts w:hint="eastAsia"/>
                <w:color w:val="auto"/>
                <w:spacing w:val="20"/>
                <w:sz w:val="24"/>
              </w:rPr>
            </w:pPr>
          </w:p>
        </w:tc>
      </w:tr>
      <w:tr w14:paraId="626A3EDE">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823" w:type="dxa"/>
            <w:tcBorders>
              <w:top w:val="single" w:color="000000" w:sz="2" w:space="0"/>
              <w:bottom w:val="single" w:color="000000" w:sz="2" w:space="0"/>
              <w:right w:val="single" w:color="000000" w:sz="2" w:space="0"/>
            </w:tcBorders>
            <w:noWrap w:val="0"/>
            <w:vAlign w:val="center"/>
          </w:tcPr>
          <w:p w14:paraId="4BCC350F">
            <w:pPr>
              <w:keepNext w:val="0"/>
              <w:keepLines w:val="0"/>
              <w:suppressLineNumbers w:val="0"/>
              <w:spacing w:before="0" w:beforeAutospacing="0" w:after="0" w:afterAutospacing="0" w:line="360" w:lineRule="auto"/>
              <w:ind w:left="0" w:right="0"/>
              <w:jc w:val="center"/>
              <w:rPr>
                <w:rFonts w:hint="eastAsia"/>
                <w:color w:val="auto"/>
                <w:sz w:val="24"/>
              </w:rPr>
            </w:pPr>
            <w:r>
              <w:rPr>
                <w:rFonts w:hint="eastAsia"/>
                <w:color w:val="auto"/>
                <w:sz w:val="24"/>
              </w:rPr>
              <w:t>住所</w:t>
            </w:r>
          </w:p>
        </w:tc>
        <w:tc>
          <w:tcPr>
            <w:tcW w:w="2464" w:type="dxa"/>
            <w:tcBorders>
              <w:top w:val="single" w:color="000000" w:sz="2" w:space="0"/>
              <w:left w:val="single" w:color="000000" w:sz="2" w:space="0"/>
              <w:bottom w:val="single" w:color="000000" w:sz="2" w:space="0"/>
              <w:right w:val="single" w:color="000000" w:sz="2" w:space="0"/>
            </w:tcBorders>
            <w:noWrap w:val="0"/>
            <w:vAlign w:val="center"/>
          </w:tcPr>
          <w:p w14:paraId="79E48125">
            <w:pPr>
              <w:keepNext w:val="0"/>
              <w:keepLines w:val="0"/>
              <w:suppressLineNumbers w:val="0"/>
              <w:spacing w:before="0" w:beforeAutospacing="0" w:after="0" w:afterAutospacing="0" w:line="360" w:lineRule="auto"/>
              <w:ind w:left="0" w:right="0"/>
              <w:jc w:val="center"/>
              <w:rPr>
                <w:rFonts w:hint="eastAsia"/>
                <w:color w:val="auto"/>
                <w:sz w:val="24"/>
              </w:rPr>
            </w:pPr>
          </w:p>
        </w:tc>
        <w:tc>
          <w:tcPr>
            <w:tcW w:w="2092" w:type="dxa"/>
            <w:tcBorders>
              <w:top w:val="single" w:color="000000" w:sz="2" w:space="0"/>
              <w:left w:val="single" w:color="000000" w:sz="2" w:space="0"/>
              <w:bottom w:val="single" w:color="000000" w:sz="2" w:space="0"/>
              <w:right w:val="single" w:color="000000" w:sz="2" w:space="0"/>
            </w:tcBorders>
            <w:noWrap w:val="0"/>
            <w:vAlign w:val="center"/>
          </w:tcPr>
          <w:p w14:paraId="0B7154E6">
            <w:pPr>
              <w:keepNext w:val="0"/>
              <w:keepLines w:val="0"/>
              <w:suppressLineNumbers w:val="0"/>
              <w:spacing w:before="0" w:beforeAutospacing="0" w:after="0" w:afterAutospacing="0" w:line="360" w:lineRule="auto"/>
              <w:ind w:left="0" w:right="0"/>
              <w:jc w:val="center"/>
              <w:rPr>
                <w:rFonts w:hint="eastAsia"/>
                <w:color w:val="auto"/>
                <w:sz w:val="24"/>
              </w:rPr>
            </w:pPr>
            <w:r>
              <w:rPr>
                <w:rFonts w:hint="eastAsia"/>
                <w:color w:val="auto"/>
                <w:sz w:val="24"/>
              </w:rPr>
              <w:t>住所</w:t>
            </w:r>
          </w:p>
        </w:tc>
        <w:tc>
          <w:tcPr>
            <w:tcW w:w="2167" w:type="dxa"/>
            <w:tcBorders>
              <w:top w:val="single" w:color="000000" w:sz="2" w:space="0"/>
              <w:left w:val="single" w:color="000000" w:sz="2" w:space="0"/>
              <w:bottom w:val="single" w:color="000000" w:sz="2" w:space="0"/>
            </w:tcBorders>
            <w:noWrap w:val="0"/>
            <w:vAlign w:val="center"/>
          </w:tcPr>
          <w:p w14:paraId="05270D8A">
            <w:pPr>
              <w:keepNext w:val="0"/>
              <w:keepLines w:val="0"/>
              <w:suppressLineNumbers w:val="0"/>
              <w:spacing w:before="0" w:beforeAutospacing="0" w:after="0" w:afterAutospacing="0" w:line="360" w:lineRule="auto"/>
              <w:ind w:left="0" w:right="0"/>
              <w:jc w:val="center"/>
              <w:rPr>
                <w:rFonts w:hint="eastAsia"/>
                <w:color w:val="auto"/>
                <w:spacing w:val="20"/>
                <w:sz w:val="24"/>
              </w:rPr>
            </w:pPr>
          </w:p>
        </w:tc>
      </w:tr>
      <w:tr w14:paraId="2726CAB5">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823" w:type="dxa"/>
            <w:tcBorders>
              <w:top w:val="single" w:color="000000" w:sz="2" w:space="0"/>
              <w:bottom w:val="single" w:color="000000" w:sz="2" w:space="0"/>
              <w:right w:val="single" w:color="000000" w:sz="2" w:space="0"/>
            </w:tcBorders>
            <w:noWrap w:val="0"/>
            <w:vAlign w:val="center"/>
          </w:tcPr>
          <w:p w14:paraId="6A908867">
            <w:pPr>
              <w:keepNext w:val="0"/>
              <w:keepLines w:val="0"/>
              <w:suppressLineNumbers w:val="0"/>
              <w:spacing w:before="0" w:beforeAutospacing="0" w:after="0" w:afterAutospacing="0" w:line="360" w:lineRule="auto"/>
              <w:ind w:left="0" w:right="0"/>
              <w:jc w:val="center"/>
              <w:rPr>
                <w:rFonts w:hint="eastAsia"/>
                <w:color w:val="auto"/>
                <w:sz w:val="24"/>
              </w:rPr>
            </w:pPr>
            <w:r>
              <w:rPr>
                <w:rFonts w:hint="eastAsia"/>
                <w:color w:val="auto"/>
                <w:sz w:val="24"/>
              </w:rPr>
              <w:t>联系人</w:t>
            </w:r>
          </w:p>
        </w:tc>
        <w:tc>
          <w:tcPr>
            <w:tcW w:w="2464" w:type="dxa"/>
            <w:tcBorders>
              <w:top w:val="single" w:color="000000" w:sz="2" w:space="0"/>
              <w:left w:val="single" w:color="000000" w:sz="2" w:space="0"/>
              <w:bottom w:val="single" w:color="000000" w:sz="2" w:space="0"/>
              <w:right w:val="single" w:color="000000" w:sz="2" w:space="0"/>
            </w:tcBorders>
            <w:noWrap w:val="0"/>
            <w:vAlign w:val="center"/>
          </w:tcPr>
          <w:p w14:paraId="74F481EB">
            <w:pPr>
              <w:keepNext w:val="0"/>
              <w:keepLines w:val="0"/>
              <w:suppressLineNumbers w:val="0"/>
              <w:spacing w:before="0" w:beforeAutospacing="0" w:after="0" w:afterAutospacing="0" w:line="360" w:lineRule="auto"/>
              <w:ind w:left="0" w:right="0"/>
              <w:jc w:val="center"/>
              <w:rPr>
                <w:rFonts w:hint="eastAsia"/>
                <w:color w:val="auto"/>
                <w:sz w:val="24"/>
              </w:rPr>
            </w:pPr>
          </w:p>
        </w:tc>
        <w:tc>
          <w:tcPr>
            <w:tcW w:w="2092" w:type="dxa"/>
            <w:tcBorders>
              <w:top w:val="single" w:color="000000" w:sz="2" w:space="0"/>
              <w:left w:val="single" w:color="000000" w:sz="2" w:space="0"/>
              <w:bottom w:val="single" w:color="000000" w:sz="2" w:space="0"/>
              <w:right w:val="single" w:color="000000" w:sz="2" w:space="0"/>
            </w:tcBorders>
            <w:noWrap w:val="0"/>
            <w:vAlign w:val="center"/>
          </w:tcPr>
          <w:p w14:paraId="4F9D1690">
            <w:pPr>
              <w:keepNext w:val="0"/>
              <w:keepLines w:val="0"/>
              <w:suppressLineNumbers w:val="0"/>
              <w:spacing w:before="0" w:beforeAutospacing="0" w:after="0" w:afterAutospacing="0" w:line="360" w:lineRule="auto"/>
              <w:ind w:left="0" w:right="0"/>
              <w:jc w:val="center"/>
              <w:rPr>
                <w:rFonts w:hint="eastAsia"/>
                <w:color w:val="auto"/>
                <w:sz w:val="24"/>
              </w:rPr>
            </w:pPr>
            <w:r>
              <w:rPr>
                <w:rFonts w:hint="eastAsia"/>
                <w:color w:val="auto"/>
                <w:sz w:val="24"/>
              </w:rPr>
              <w:t>联系人</w:t>
            </w:r>
          </w:p>
        </w:tc>
        <w:tc>
          <w:tcPr>
            <w:tcW w:w="2167" w:type="dxa"/>
            <w:tcBorders>
              <w:top w:val="single" w:color="000000" w:sz="2" w:space="0"/>
              <w:left w:val="single" w:color="000000" w:sz="2" w:space="0"/>
              <w:bottom w:val="single" w:color="000000" w:sz="2" w:space="0"/>
            </w:tcBorders>
            <w:noWrap w:val="0"/>
            <w:vAlign w:val="center"/>
          </w:tcPr>
          <w:p w14:paraId="3D1B1979">
            <w:pPr>
              <w:keepNext w:val="0"/>
              <w:keepLines w:val="0"/>
              <w:suppressLineNumbers w:val="0"/>
              <w:spacing w:before="0" w:beforeAutospacing="0" w:after="0" w:afterAutospacing="0" w:line="360" w:lineRule="auto"/>
              <w:ind w:left="0" w:right="0"/>
              <w:jc w:val="center"/>
              <w:rPr>
                <w:rFonts w:hint="eastAsia"/>
                <w:color w:val="auto"/>
                <w:spacing w:val="20"/>
                <w:sz w:val="24"/>
              </w:rPr>
            </w:pPr>
          </w:p>
        </w:tc>
      </w:tr>
      <w:tr w14:paraId="1342E8F6">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823" w:type="dxa"/>
            <w:tcBorders>
              <w:top w:val="single" w:color="000000" w:sz="2" w:space="0"/>
              <w:bottom w:val="single" w:color="000000" w:sz="2" w:space="0"/>
              <w:right w:val="single" w:color="000000" w:sz="2" w:space="0"/>
            </w:tcBorders>
            <w:noWrap w:val="0"/>
            <w:vAlign w:val="center"/>
          </w:tcPr>
          <w:p w14:paraId="4FCD7810">
            <w:pPr>
              <w:keepNext w:val="0"/>
              <w:keepLines w:val="0"/>
              <w:suppressLineNumbers w:val="0"/>
              <w:spacing w:before="0" w:beforeAutospacing="0" w:after="0" w:afterAutospacing="0" w:line="360" w:lineRule="auto"/>
              <w:ind w:left="0" w:right="0"/>
              <w:jc w:val="center"/>
              <w:rPr>
                <w:rFonts w:hint="eastAsia"/>
                <w:color w:val="auto"/>
                <w:sz w:val="24"/>
              </w:rPr>
            </w:pPr>
            <w:r>
              <w:rPr>
                <w:rFonts w:hint="eastAsia"/>
                <w:color w:val="auto"/>
                <w:sz w:val="24"/>
              </w:rPr>
              <w:t>联系电话</w:t>
            </w:r>
          </w:p>
        </w:tc>
        <w:tc>
          <w:tcPr>
            <w:tcW w:w="2464" w:type="dxa"/>
            <w:tcBorders>
              <w:top w:val="single" w:color="000000" w:sz="2" w:space="0"/>
              <w:left w:val="single" w:color="000000" w:sz="2" w:space="0"/>
              <w:bottom w:val="single" w:color="000000" w:sz="2" w:space="0"/>
              <w:right w:val="single" w:color="000000" w:sz="2" w:space="0"/>
            </w:tcBorders>
            <w:noWrap w:val="0"/>
            <w:vAlign w:val="center"/>
          </w:tcPr>
          <w:p w14:paraId="0B319F95">
            <w:pPr>
              <w:keepNext w:val="0"/>
              <w:keepLines w:val="0"/>
              <w:suppressLineNumbers w:val="0"/>
              <w:spacing w:before="0" w:beforeAutospacing="0" w:after="0" w:afterAutospacing="0" w:line="360" w:lineRule="auto"/>
              <w:ind w:left="0" w:right="0"/>
              <w:jc w:val="center"/>
              <w:rPr>
                <w:rFonts w:hint="eastAsia"/>
                <w:color w:val="auto"/>
                <w:sz w:val="24"/>
              </w:rPr>
            </w:pPr>
          </w:p>
        </w:tc>
        <w:tc>
          <w:tcPr>
            <w:tcW w:w="2092" w:type="dxa"/>
            <w:tcBorders>
              <w:top w:val="single" w:color="000000" w:sz="2" w:space="0"/>
              <w:left w:val="single" w:color="000000" w:sz="2" w:space="0"/>
              <w:bottom w:val="single" w:color="000000" w:sz="2" w:space="0"/>
              <w:right w:val="single" w:color="000000" w:sz="2" w:space="0"/>
            </w:tcBorders>
            <w:noWrap w:val="0"/>
            <w:vAlign w:val="center"/>
          </w:tcPr>
          <w:p w14:paraId="6D8ABAB5">
            <w:pPr>
              <w:keepNext w:val="0"/>
              <w:keepLines w:val="0"/>
              <w:suppressLineNumbers w:val="0"/>
              <w:spacing w:before="0" w:beforeAutospacing="0" w:after="0" w:afterAutospacing="0" w:line="360" w:lineRule="auto"/>
              <w:ind w:left="0" w:right="0"/>
              <w:jc w:val="center"/>
              <w:rPr>
                <w:rFonts w:hint="eastAsia"/>
                <w:color w:val="auto"/>
                <w:sz w:val="24"/>
              </w:rPr>
            </w:pPr>
            <w:r>
              <w:rPr>
                <w:rFonts w:hint="eastAsia"/>
                <w:color w:val="auto"/>
                <w:sz w:val="24"/>
              </w:rPr>
              <w:t>联系电话</w:t>
            </w:r>
          </w:p>
        </w:tc>
        <w:tc>
          <w:tcPr>
            <w:tcW w:w="2167" w:type="dxa"/>
            <w:tcBorders>
              <w:top w:val="single" w:color="000000" w:sz="2" w:space="0"/>
              <w:left w:val="single" w:color="000000" w:sz="2" w:space="0"/>
              <w:bottom w:val="single" w:color="000000" w:sz="2" w:space="0"/>
            </w:tcBorders>
            <w:noWrap w:val="0"/>
            <w:vAlign w:val="center"/>
          </w:tcPr>
          <w:p w14:paraId="54C9DE94">
            <w:pPr>
              <w:keepNext w:val="0"/>
              <w:keepLines w:val="0"/>
              <w:suppressLineNumbers w:val="0"/>
              <w:spacing w:before="0" w:beforeAutospacing="0" w:after="0" w:afterAutospacing="0" w:line="360" w:lineRule="auto"/>
              <w:ind w:left="0" w:right="0"/>
              <w:jc w:val="center"/>
              <w:rPr>
                <w:rFonts w:hint="eastAsia"/>
                <w:color w:val="auto"/>
                <w:spacing w:val="20"/>
                <w:sz w:val="24"/>
              </w:rPr>
            </w:pPr>
          </w:p>
        </w:tc>
      </w:tr>
      <w:tr w14:paraId="2D3952E4">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823" w:type="dxa"/>
            <w:tcBorders>
              <w:top w:val="single" w:color="000000" w:sz="2" w:space="0"/>
              <w:bottom w:val="single" w:color="000000" w:sz="2" w:space="0"/>
              <w:right w:val="single" w:color="000000" w:sz="2" w:space="0"/>
            </w:tcBorders>
            <w:noWrap w:val="0"/>
            <w:vAlign w:val="center"/>
          </w:tcPr>
          <w:p w14:paraId="5CF83852">
            <w:pPr>
              <w:keepNext w:val="0"/>
              <w:keepLines w:val="0"/>
              <w:suppressLineNumbers w:val="0"/>
              <w:spacing w:before="0" w:beforeAutospacing="0" w:after="0" w:afterAutospacing="0" w:line="360" w:lineRule="auto"/>
              <w:ind w:left="0" w:right="0"/>
              <w:jc w:val="center"/>
              <w:rPr>
                <w:rFonts w:hint="eastAsia"/>
                <w:color w:val="auto"/>
                <w:sz w:val="24"/>
              </w:rPr>
            </w:pPr>
            <w:r>
              <w:rPr>
                <w:rFonts w:hint="eastAsia"/>
                <w:color w:val="auto"/>
                <w:sz w:val="24"/>
              </w:rPr>
              <w:t>通信地址</w:t>
            </w:r>
          </w:p>
        </w:tc>
        <w:tc>
          <w:tcPr>
            <w:tcW w:w="2464" w:type="dxa"/>
            <w:tcBorders>
              <w:top w:val="single" w:color="000000" w:sz="2" w:space="0"/>
              <w:left w:val="single" w:color="000000" w:sz="2" w:space="0"/>
              <w:bottom w:val="single" w:color="000000" w:sz="2" w:space="0"/>
              <w:right w:val="single" w:color="000000" w:sz="2" w:space="0"/>
            </w:tcBorders>
            <w:noWrap w:val="0"/>
            <w:vAlign w:val="center"/>
          </w:tcPr>
          <w:p w14:paraId="5FC5F1F8">
            <w:pPr>
              <w:keepNext w:val="0"/>
              <w:keepLines w:val="0"/>
              <w:suppressLineNumbers w:val="0"/>
              <w:spacing w:before="0" w:beforeAutospacing="0" w:after="0" w:afterAutospacing="0" w:line="360" w:lineRule="auto"/>
              <w:ind w:left="0" w:right="0"/>
              <w:jc w:val="center"/>
              <w:rPr>
                <w:rFonts w:hint="eastAsia"/>
                <w:color w:val="auto"/>
                <w:sz w:val="24"/>
              </w:rPr>
            </w:pPr>
          </w:p>
        </w:tc>
        <w:tc>
          <w:tcPr>
            <w:tcW w:w="2092" w:type="dxa"/>
            <w:tcBorders>
              <w:top w:val="single" w:color="000000" w:sz="2" w:space="0"/>
              <w:left w:val="single" w:color="000000" w:sz="2" w:space="0"/>
              <w:bottom w:val="single" w:color="000000" w:sz="2" w:space="0"/>
              <w:right w:val="single" w:color="000000" w:sz="2" w:space="0"/>
            </w:tcBorders>
            <w:noWrap w:val="0"/>
            <w:vAlign w:val="center"/>
          </w:tcPr>
          <w:p w14:paraId="147C8877">
            <w:pPr>
              <w:keepNext w:val="0"/>
              <w:keepLines w:val="0"/>
              <w:suppressLineNumbers w:val="0"/>
              <w:spacing w:before="0" w:beforeAutospacing="0" w:after="0" w:afterAutospacing="0" w:line="360" w:lineRule="auto"/>
              <w:ind w:left="0" w:right="0"/>
              <w:jc w:val="center"/>
              <w:rPr>
                <w:rFonts w:hint="eastAsia"/>
                <w:color w:val="auto"/>
                <w:sz w:val="24"/>
              </w:rPr>
            </w:pPr>
            <w:r>
              <w:rPr>
                <w:rFonts w:hint="eastAsia"/>
                <w:color w:val="auto"/>
                <w:sz w:val="24"/>
              </w:rPr>
              <w:t>通信地址</w:t>
            </w:r>
          </w:p>
        </w:tc>
        <w:tc>
          <w:tcPr>
            <w:tcW w:w="2167" w:type="dxa"/>
            <w:tcBorders>
              <w:top w:val="single" w:color="000000" w:sz="2" w:space="0"/>
              <w:left w:val="single" w:color="000000" w:sz="2" w:space="0"/>
              <w:bottom w:val="single" w:color="000000" w:sz="2" w:space="0"/>
            </w:tcBorders>
            <w:noWrap w:val="0"/>
            <w:vAlign w:val="center"/>
          </w:tcPr>
          <w:p w14:paraId="2E6DB3D2">
            <w:pPr>
              <w:keepNext w:val="0"/>
              <w:keepLines w:val="0"/>
              <w:suppressLineNumbers w:val="0"/>
              <w:spacing w:before="0" w:beforeAutospacing="0" w:after="0" w:afterAutospacing="0" w:line="360" w:lineRule="auto"/>
              <w:ind w:left="0" w:right="0"/>
              <w:jc w:val="center"/>
              <w:rPr>
                <w:rFonts w:hint="eastAsia"/>
                <w:color w:val="auto"/>
                <w:spacing w:val="20"/>
                <w:sz w:val="24"/>
              </w:rPr>
            </w:pPr>
          </w:p>
        </w:tc>
      </w:tr>
      <w:tr w14:paraId="021B34C4">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823" w:type="dxa"/>
            <w:tcBorders>
              <w:top w:val="single" w:color="000000" w:sz="2" w:space="0"/>
              <w:bottom w:val="single" w:color="000000" w:sz="2" w:space="0"/>
              <w:right w:val="single" w:color="000000" w:sz="2" w:space="0"/>
            </w:tcBorders>
            <w:noWrap w:val="0"/>
            <w:vAlign w:val="center"/>
          </w:tcPr>
          <w:p w14:paraId="1947707F">
            <w:pPr>
              <w:keepNext w:val="0"/>
              <w:keepLines w:val="0"/>
              <w:suppressLineNumbers w:val="0"/>
              <w:spacing w:before="0" w:beforeAutospacing="0" w:after="0" w:afterAutospacing="0" w:line="360" w:lineRule="auto"/>
              <w:ind w:left="0" w:right="0"/>
              <w:jc w:val="center"/>
              <w:rPr>
                <w:rFonts w:hint="eastAsia"/>
                <w:color w:val="auto"/>
                <w:sz w:val="24"/>
              </w:rPr>
            </w:pPr>
            <w:r>
              <w:rPr>
                <w:rFonts w:hint="eastAsia"/>
                <w:color w:val="auto"/>
                <w:sz w:val="24"/>
              </w:rPr>
              <w:t>邮政编码</w:t>
            </w:r>
          </w:p>
        </w:tc>
        <w:tc>
          <w:tcPr>
            <w:tcW w:w="2464" w:type="dxa"/>
            <w:tcBorders>
              <w:top w:val="single" w:color="000000" w:sz="2" w:space="0"/>
              <w:left w:val="single" w:color="000000" w:sz="2" w:space="0"/>
              <w:bottom w:val="single" w:color="000000" w:sz="2" w:space="0"/>
              <w:right w:val="single" w:color="000000" w:sz="2" w:space="0"/>
            </w:tcBorders>
            <w:noWrap w:val="0"/>
            <w:vAlign w:val="center"/>
          </w:tcPr>
          <w:p w14:paraId="77F1C7FD">
            <w:pPr>
              <w:keepNext w:val="0"/>
              <w:keepLines w:val="0"/>
              <w:suppressLineNumbers w:val="0"/>
              <w:spacing w:before="0" w:beforeAutospacing="0" w:after="0" w:afterAutospacing="0" w:line="360" w:lineRule="auto"/>
              <w:ind w:left="0" w:right="0"/>
              <w:jc w:val="center"/>
              <w:rPr>
                <w:rFonts w:hint="eastAsia"/>
                <w:color w:val="auto"/>
                <w:sz w:val="24"/>
              </w:rPr>
            </w:pPr>
          </w:p>
        </w:tc>
        <w:tc>
          <w:tcPr>
            <w:tcW w:w="2092" w:type="dxa"/>
            <w:tcBorders>
              <w:top w:val="single" w:color="000000" w:sz="2" w:space="0"/>
              <w:left w:val="single" w:color="000000" w:sz="2" w:space="0"/>
              <w:bottom w:val="single" w:color="000000" w:sz="2" w:space="0"/>
              <w:right w:val="single" w:color="000000" w:sz="2" w:space="0"/>
            </w:tcBorders>
            <w:noWrap w:val="0"/>
            <w:vAlign w:val="center"/>
          </w:tcPr>
          <w:p w14:paraId="4F54057A">
            <w:pPr>
              <w:keepNext w:val="0"/>
              <w:keepLines w:val="0"/>
              <w:suppressLineNumbers w:val="0"/>
              <w:spacing w:before="0" w:beforeAutospacing="0" w:after="0" w:afterAutospacing="0" w:line="360" w:lineRule="auto"/>
              <w:ind w:left="0" w:right="0"/>
              <w:jc w:val="center"/>
              <w:rPr>
                <w:rFonts w:hint="eastAsia"/>
                <w:color w:val="auto"/>
                <w:sz w:val="24"/>
              </w:rPr>
            </w:pPr>
            <w:r>
              <w:rPr>
                <w:rFonts w:hint="eastAsia"/>
                <w:color w:val="auto"/>
                <w:sz w:val="24"/>
              </w:rPr>
              <w:t>邮政编码</w:t>
            </w:r>
          </w:p>
        </w:tc>
        <w:tc>
          <w:tcPr>
            <w:tcW w:w="2167" w:type="dxa"/>
            <w:tcBorders>
              <w:top w:val="single" w:color="000000" w:sz="2" w:space="0"/>
              <w:left w:val="single" w:color="000000" w:sz="2" w:space="0"/>
              <w:bottom w:val="single" w:color="000000" w:sz="2" w:space="0"/>
            </w:tcBorders>
            <w:noWrap w:val="0"/>
            <w:vAlign w:val="center"/>
          </w:tcPr>
          <w:p w14:paraId="5D1A622F">
            <w:pPr>
              <w:keepNext w:val="0"/>
              <w:keepLines w:val="0"/>
              <w:suppressLineNumbers w:val="0"/>
              <w:spacing w:before="0" w:beforeAutospacing="0" w:after="0" w:afterAutospacing="0" w:line="360" w:lineRule="auto"/>
              <w:ind w:left="0" w:right="0"/>
              <w:jc w:val="center"/>
              <w:rPr>
                <w:rFonts w:hint="eastAsia"/>
                <w:color w:val="auto"/>
                <w:spacing w:val="20"/>
                <w:sz w:val="24"/>
              </w:rPr>
            </w:pPr>
          </w:p>
        </w:tc>
      </w:tr>
      <w:tr w14:paraId="72BFCBEA">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823" w:type="dxa"/>
            <w:tcBorders>
              <w:top w:val="single" w:color="000000" w:sz="2" w:space="0"/>
              <w:bottom w:val="single" w:color="000000" w:sz="2" w:space="0"/>
              <w:right w:val="single" w:color="000000" w:sz="2" w:space="0"/>
            </w:tcBorders>
            <w:noWrap w:val="0"/>
            <w:vAlign w:val="center"/>
          </w:tcPr>
          <w:p w14:paraId="3247B3EE">
            <w:pPr>
              <w:keepNext w:val="0"/>
              <w:keepLines w:val="0"/>
              <w:suppressLineNumbers w:val="0"/>
              <w:spacing w:before="0" w:beforeAutospacing="0" w:after="0" w:afterAutospacing="0" w:line="360" w:lineRule="auto"/>
              <w:ind w:left="0" w:right="0"/>
              <w:jc w:val="center"/>
              <w:rPr>
                <w:rFonts w:hint="eastAsia"/>
                <w:color w:val="auto"/>
                <w:sz w:val="24"/>
              </w:rPr>
            </w:pPr>
            <w:r>
              <w:rPr>
                <w:rFonts w:hint="eastAsia"/>
                <w:color w:val="auto"/>
                <w:sz w:val="24"/>
              </w:rPr>
              <w:t>电子邮箱</w:t>
            </w:r>
          </w:p>
        </w:tc>
        <w:tc>
          <w:tcPr>
            <w:tcW w:w="2464" w:type="dxa"/>
            <w:tcBorders>
              <w:top w:val="single" w:color="000000" w:sz="2" w:space="0"/>
              <w:left w:val="single" w:color="000000" w:sz="2" w:space="0"/>
              <w:bottom w:val="single" w:color="000000" w:sz="2" w:space="0"/>
              <w:right w:val="single" w:color="000000" w:sz="2" w:space="0"/>
            </w:tcBorders>
            <w:noWrap w:val="0"/>
            <w:vAlign w:val="center"/>
          </w:tcPr>
          <w:p w14:paraId="40DB77F2">
            <w:pPr>
              <w:keepNext w:val="0"/>
              <w:keepLines w:val="0"/>
              <w:suppressLineNumbers w:val="0"/>
              <w:spacing w:before="0" w:beforeAutospacing="0" w:after="0" w:afterAutospacing="0" w:line="360" w:lineRule="auto"/>
              <w:ind w:left="0" w:right="0"/>
              <w:jc w:val="center"/>
              <w:rPr>
                <w:rFonts w:hint="eastAsia"/>
                <w:color w:val="auto"/>
                <w:sz w:val="24"/>
              </w:rPr>
            </w:pPr>
          </w:p>
        </w:tc>
        <w:tc>
          <w:tcPr>
            <w:tcW w:w="2092" w:type="dxa"/>
            <w:tcBorders>
              <w:top w:val="single" w:color="000000" w:sz="2" w:space="0"/>
              <w:left w:val="single" w:color="000000" w:sz="2" w:space="0"/>
              <w:bottom w:val="single" w:color="000000" w:sz="2" w:space="0"/>
              <w:right w:val="single" w:color="000000" w:sz="2" w:space="0"/>
            </w:tcBorders>
            <w:noWrap w:val="0"/>
            <w:vAlign w:val="center"/>
          </w:tcPr>
          <w:p w14:paraId="07B6799C">
            <w:pPr>
              <w:keepNext w:val="0"/>
              <w:keepLines w:val="0"/>
              <w:suppressLineNumbers w:val="0"/>
              <w:spacing w:before="0" w:beforeAutospacing="0" w:after="0" w:afterAutospacing="0" w:line="360" w:lineRule="auto"/>
              <w:ind w:left="0" w:right="0"/>
              <w:jc w:val="center"/>
              <w:rPr>
                <w:rFonts w:hint="eastAsia"/>
                <w:color w:val="auto"/>
                <w:sz w:val="24"/>
              </w:rPr>
            </w:pPr>
            <w:r>
              <w:rPr>
                <w:rFonts w:hint="eastAsia"/>
                <w:color w:val="auto"/>
                <w:sz w:val="24"/>
              </w:rPr>
              <w:t>电子邮箱</w:t>
            </w:r>
          </w:p>
        </w:tc>
        <w:tc>
          <w:tcPr>
            <w:tcW w:w="2167" w:type="dxa"/>
            <w:tcBorders>
              <w:top w:val="single" w:color="000000" w:sz="2" w:space="0"/>
              <w:left w:val="single" w:color="000000" w:sz="2" w:space="0"/>
              <w:bottom w:val="single" w:color="000000" w:sz="2" w:space="0"/>
            </w:tcBorders>
            <w:noWrap w:val="0"/>
            <w:vAlign w:val="center"/>
          </w:tcPr>
          <w:p w14:paraId="446E7271">
            <w:pPr>
              <w:keepNext w:val="0"/>
              <w:keepLines w:val="0"/>
              <w:suppressLineNumbers w:val="0"/>
              <w:spacing w:before="0" w:beforeAutospacing="0" w:after="0" w:afterAutospacing="0" w:line="360" w:lineRule="auto"/>
              <w:ind w:left="0" w:right="0"/>
              <w:jc w:val="center"/>
              <w:rPr>
                <w:rFonts w:hint="eastAsia"/>
                <w:color w:val="auto"/>
                <w:spacing w:val="20"/>
                <w:sz w:val="24"/>
              </w:rPr>
            </w:pPr>
          </w:p>
        </w:tc>
      </w:tr>
      <w:tr w14:paraId="3BE24790">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823" w:type="dxa"/>
            <w:tcBorders>
              <w:top w:val="single" w:color="000000" w:sz="2" w:space="0"/>
              <w:bottom w:val="single" w:color="000000" w:sz="2" w:space="0"/>
              <w:right w:val="single" w:color="000000" w:sz="2" w:space="0"/>
            </w:tcBorders>
            <w:noWrap w:val="0"/>
            <w:vAlign w:val="center"/>
          </w:tcPr>
          <w:p w14:paraId="1FA52A21">
            <w:pPr>
              <w:keepNext w:val="0"/>
              <w:keepLines w:val="0"/>
              <w:suppressLineNumbers w:val="0"/>
              <w:spacing w:before="0" w:beforeAutospacing="0" w:after="0" w:afterAutospacing="0" w:line="360" w:lineRule="auto"/>
              <w:ind w:left="0" w:right="0"/>
              <w:jc w:val="center"/>
              <w:rPr>
                <w:rFonts w:hint="eastAsia"/>
                <w:color w:val="auto"/>
                <w:sz w:val="24"/>
              </w:rPr>
            </w:pPr>
            <w:r>
              <w:rPr>
                <w:rFonts w:hint="eastAsia"/>
                <w:color w:val="auto"/>
                <w:sz w:val="24"/>
              </w:rPr>
              <w:t>统一社会信用代码</w:t>
            </w:r>
          </w:p>
        </w:tc>
        <w:tc>
          <w:tcPr>
            <w:tcW w:w="2464" w:type="dxa"/>
            <w:tcBorders>
              <w:top w:val="single" w:color="000000" w:sz="2" w:space="0"/>
              <w:left w:val="single" w:color="000000" w:sz="2" w:space="0"/>
              <w:bottom w:val="single" w:color="000000" w:sz="2" w:space="0"/>
              <w:right w:val="single" w:color="000000" w:sz="2" w:space="0"/>
            </w:tcBorders>
            <w:noWrap w:val="0"/>
            <w:vAlign w:val="center"/>
          </w:tcPr>
          <w:p w14:paraId="4073E174">
            <w:pPr>
              <w:keepNext w:val="0"/>
              <w:keepLines w:val="0"/>
              <w:suppressLineNumbers w:val="0"/>
              <w:spacing w:before="0" w:beforeAutospacing="0" w:after="0" w:afterAutospacing="0" w:line="360" w:lineRule="auto"/>
              <w:ind w:left="0" w:right="0"/>
              <w:jc w:val="center"/>
              <w:rPr>
                <w:rFonts w:hint="eastAsia"/>
                <w:color w:val="auto"/>
                <w:sz w:val="24"/>
              </w:rPr>
            </w:pPr>
          </w:p>
        </w:tc>
        <w:tc>
          <w:tcPr>
            <w:tcW w:w="2092" w:type="dxa"/>
            <w:tcBorders>
              <w:top w:val="single" w:color="000000" w:sz="2" w:space="0"/>
              <w:left w:val="single" w:color="000000" w:sz="2" w:space="0"/>
              <w:bottom w:val="single" w:color="000000" w:sz="2" w:space="0"/>
              <w:right w:val="single" w:color="000000" w:sz="2" w:space="0"/>
            </w:tcBorders>
            <w:noWrap w:val="0"/>
            <w:vAlign w:val="center"/>
          </w:tcPr>
          <w:p w14:paraId="01EC5297">
            <w:pPr>
              <w:keepNext w:val="0"/>
              <w:keepLines w:val="0"/>
              <w:suppressLineNumbers w:val="0"/>
              <w:spacing w:before="0" w:beforeAutospacing="0" w:after="0" w:afterAutospacing="0" w:line="360" w:lineRule="auto"/>
              <w:ind w:left="0" w:right="0"/>
              <w:jc w:val="center"/>
              <w:rPr>
                <w:rFonts w:hint="eastAsia"/>
                <w:color w:val="auto"/>
                <w:sz w:val="24"/>
              </w:rPr>
            </w:pPr>
            <w:r>
              <w:rPr>
                <w:rFonts w:hint="eastAsia"/>
                <w:color w:val="auto"/>
                <w:sz w:val="24"/>
              </w:rPr>
              <w:t>统一社会信用代码</w:t>
            </w:r>
          </w:p>
        </w:tc>
        <w:tc>
          <w:tcPr>
            <w:tcW w:w="2167" w:type="dxa"/>
            <w:tcBorders>
              <w:top w:val="single" w:color="000000" w:sz="2" w:space="0"/>
              <w:left w:val="single" w:color="000000" w:sz="2" w:space="0"/>
              <w:bottom w:val="single" w:color="000000" w:sz="2" w:space="0"/>
            </w:tcBorders>
            <w:noWrap w:val="0"/>
            <w:vAlign w:val="center"/>
          </w:tcPr>
          <w:p w14:paraId="2747304B">
            <w:pPr>
              <w:keepNext w:val="0"/>
              <w:keepLines w:val="0"/>
              <w:suppressLineNumbers w:val="0"/>
              <w:spacing w:before="0" w:beforeAutospacing="0" w:after="0" w:afterAutospacing="0" w:line="360" w:lineRule="auto"/>
              <w:ind w:left="0" w:right="0"/>
              <w:jc w:val="center"/>
              <w:rPr>
                <w:rFonts w:hint="eastAsia"/>
                <w:color w:val="auto"/>
                <w:spacing w:val="20"/>
                <w:sz w:val="24"/>
              </w:rPr>
            </w:pPr>
          </w:p>
        </w:tc>
      </w:tr>
      <w:tr w14:paraId="78F00148">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823" w:type="dxa"/>
            <w:tcBorders>
              <w:top w:val="single" w:color="000000" w:sz="2" w:space="0"/>
              <w:bottom w:val="single" w:color="000000" w:sz="2" w:space="0"/>
              <w:right w:val="single" w:color="000000" w:sz="2" w:space="0"/>
            </w:tcBorders>
            <w:noWrap w:val="0"/>
            <w:vAlign w:val="center"/>
          </w:tcPr>
          <w:p w14:paraId="431FE6A0">
            <w:pPr>
              <w:keepNext w:val="0"/>
              <w:keepLines w:val="0"/>
              <w:suppressLineNumbers w:val="0"/>
              <w:spacing w:before="0" w:beforeAutospacing="0" w:after="0" w:afterAutospacing="0" w:line="360" w:lineRule="auto"/>
              <w:ind w:left="0" w:right="0"/>
              <w:jc w:val="center"/>
              <w:rPr>
                <w:rFonts w:hint="eastAsia"/>
                <w:color w:val="auto"/>
                <w:sz w:val="24"/>
              </w:rPr>
            </w:pPr>
          </w:p>
        </w:tc>
        <w:tc>
          <w:tcPr>
            <w:tcW w:w="2464" w:type="dxa"/>
            <w:tcBorders>
              <w:top w:val="single" w:color="000000" w:sz="2" w:space="0"/>
              <w:left w:val="single" w:color="000000" w:sz="2" w:space="0"/>
              <w:bottom w:val="single" w:color="000000" w:sz="2" w:space="0"/>
              <w:right w:val="single" w:color="000000" w:sz="2" w:space="0"/>
            </w:tcBorders>
            <w:noWrap w:val="0"/>
            <w:vAlign w:val="center"/>
          </w:tcPr>
          <w:p w14:paraId="08996164">
            <w:pPr>
              <w:keepNext w:val="0"/>
              <w:keepLines w:val="0"/>
              <w:suppressLineNumbers w:val="0"/>
              <w:spacing w:before="0" w:beforeAutospacing="0" w:after="0" w:afterAutospacing="0" w:line="360" w:lineRule="auto"/>
              <w:ind w:left="0" w:right="0"/>
              <w:jc w:val="center"/>
              <w:rPr>
                <w:rFonts w:hint="eastAsia"/>
                <w:color w:val="auto"/>
                <w:sz w:val="24"/>
              </w:rPr>
            </w:pPr>
          </w:p>
        </w:tc>
        <w:tc>
          <w:tcPr>
            <w:tcW w:w="2092" w:type="dxa"/>
            <w:tcBorders>
              <w:top w:val="single" w:color="000000" w:sz="2" w:space="0"/>
              <w:left w:val="single" w:color="000000" w:sz="2" w:space="0"/>
              <w:bottom w:val="single" w:color="000000" w:sz="2" w:space="0"/>
              <w:right w:val="single" w:color="000000" w:sz="2" w:space="0"/>
            </w:tcBorders>
            <w:noWrap w:val="0"/>
            <w:vAlign w:val="center"/>
          </w:tcPr>
          <w:p w14:paraId="0330C6BF">
            <w:pPr>
              <w:keepNext w:val="0"/>
              <w:keepLines w:val="0"/>
              <w:suppressLineNumbers w:val="0"/>
              <w:spacing w:before="0" w:beforeAutospacing="0" w:after="0" w:afterAutospacing="0" w:line="360" w:lineRule="auto"/>
              <w:ind w:left="0" w:right="0"/>
              <w:jc w:val="center"/>
              <w:rPr>
                <w:rFonts w:hint="eastAsia"/>
                <w:color w:val="auto"/>
                <w:sz w:val="24"/>
              </w:rPr>
            </w:pPr>
            <w:r>
              <w:rPr>
                <w:rFonts w:hint="eastAsia"/>
                <w:color w:val="auto"/>
                <w:sz w:val="24"/>
              </w:rPr>
              <w:t>开户名称</w:t>
            </w:r>
          </w:p>
        </w:tc>
        <w:tc>
          <w:tcPr>
            <w:tcW w:w="2167" w:type="dxa"/>
            <w:tcBorders>
              <w:top w:val="single" w:color="000000" w:sz="2" w:space="0"/>
              <w:left w:val="single" w:color="000000" w:sz="2" w:space="0"/>
              <w:bottom w:val="single" w:color="000000" w:sz="2" w:space="0"/>
            </w:tcBorders>
            <w:noWrap w:val="0"/>
            <w:vAlign w:val="center"/>
          </w:tcPr>
          <w:p w14:paraId="4C6A4D85">
            <w:pPr>
              <w:keepNext w:val="0"/>
              <w:keepLines w:val="0"/>
              <w:suppressLineNumbers w:val="0"/>
              <w:spacing w:before="0" w:beforeAutospacing="0" w:after="0" w:afterAutospacing="0" w:line="360" w:lineRule="auto"/>
              <w:ind w:left="0" w:right="0"/>
              <w:jc w:val="center"/>
              <w:rPr>
                <w:rFonts w:hint="eastAsia"/>
                <w:color w:val="auto"/>
                <w:spacing w:val="20"/>
                <w:sz w:val="24"/>
              </w:rPr>
            </w:pPr>
          </w:p>
        </w:tc>
      </w:tr>
      <w:tr w14:paraId="621F67C6">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823" w:type="dxa"/>
            <w:tcBorders>
              <w:top w:val="single" w:color="000000" w:sz="2" w:space="0"/>
              <w:bottom w:val="single" w:color="000000" w:sz="2" w:space="0"/>
              <w:right w:val="single" w:color="000000" w:sz="2" w:space="0"/>
            </w:tcBorders>
            <w:noWrap w:val="0"/>
            <w:vAlign w:val="center"/>
          </w:tcPr>
          <w:p w14:paraId="773C380F">
            <w:pPr>
              <w:keepNext w:val="0"/>
              <w:keepLines w:val="0"/>
              <w:suppressLineNumbers w:val="0"/>
              <w:spacing w:before="0" w:beforeAutospacing="0" w:after="0" w:afterAutospacing="0" w:line="360" w:lineRule="auto"/>
              <w:ind w:left="0" w:right="0"/>
              <w:jc w:val="center"/>
              <w:rPr>
                <w:rFonts w:hint="eastAsia"/>
                <w:color w:val="auto"/>
                <w:sz w:val="24"/>
              </w:rPr>
            </w:pPr>
          </w:p>
        </w:tc>
        <w:tc>
          <w:tcPr>
            <w:tcW w:w="2464" w:type="dxa"/>
            <w:tcBorders>
              <w:top w:val="single" w:color="000000" w:sz="2" w:space="0"/>
              <w:left w:val="single" w:color="000000" w:sz="2" w:space="0"/>
              <w:bottom w:val="single" w:color="000000" w:sz="2" w:space="0"/>
              <w:right w:val="single" w:color="000000" w:sz="2" w:space="0"/>
            </w:tcBorders>
            <w:noWrap w:val="0"/>
            <w:vAlign w:val="center"/>
          </w:tcPr>
          <w:p w14:paraId="7FA689DC">
            <w:pPr>
              <w:keepNext w:val="0"/>
              <w:keepLines w:val="0"/>
              <w:suppressLineNumbers w:val="0"/>
              <w:spacing w:before="0" w:beforeAutospacing="0" w:after="0" w:afterAutospacing="0" w:line="360" w:lineRule="auto"/>
              <w:ind w:left="0" w:right="0"/>
              <w:jc w:val="center"/>
              <w:rPr>
                <w:rFonts w:hint="eastAsia"/>
                <w:color w:val="auto"/>
                <w:sz w:val="24"/>
              </w:rPr>
            </w:pPr>
          </w:p>
        </w:tc>
        <w:tc>
          <w:tcPr>
            <w:tcW w:w="2092" w:type="dxa"/>
            <w:tcBorders>
              <w:top w:val="single" w:color="000000" w:sz="2" w:space="0"/>
              <w:left w:val="single" w:color="000000" w:sz="2" w:space="0"/>
              <w:bottom w:val="single" w:color="000000" w:sz="2" w:space="0"/>
              <w:right w:val="single" w:color="000000" w:sz="2" w:space="0"/>
            </w:tcBorders>
            <w:noWrap w:val="0"/>
            <w:vAlign w:val="center"/>
          </w:tcPr>
          <w:p w14:paraId="44BD4C54">
            <w:pPr>
              <w:keepNext w:val="0"/>
              <w:keepLines w:val="0"/>
              <w:suppressLineNumbers w:val="0"/>
              <w:spacing w:before="0" w:beforeAutospacing="0" w:after="0" w:afterAutospacing="0" w:line="360" w:lineRule="auto"/>
              <w:ind w:left="0" w:right="0"/>
              <w:jc w:val="center"/>
              <w:rPr>
                <w:rFonts w:hint="eastAsia"/>
                <w:color w:val="auto"/>
                <w:sz w:val="24"/>
              </w:rPr>
            </w:pPr>
            <w:r>
              <w:rPr>
                <w:rFonts w:hint="eastAsia"/>
                <w:color w:val="auto"/>
                <w:sz w:val="24"/>
              </w:rPr>
              <w:t>开户银行</w:t>
            </w:r>
          </w:p>
        </w:tc>
        <w:tc>
          <w:tcPr>
            <w:tcW w:w="2167" w:type="dxa"/>
            <w:tcBorders>
              <w:top w:val="single" w:color="000000" w:sz="2" w:space="0"/>
              <w:left w:val="single" w:color="000000" w:sz="2" w:space="0"/>
              <w:bottom w:val="single" w:color="000000" w:sz="2" w:space="0"/>
            </w:tcBorders>
            <w:noWrap w:val="0"/>
            <w:vAlign w:val="center"/>
          </w:tcPr>
          <w:p w14:paraId="7A2E51D8">
            <w:pPr>
              <w:keepNext w:val="0"/>
              <w:keepLines w:val="0"/>
              <w:suppressLineNumbers w:val="0"/>
              <w:spacing w:before="0" w:beforeAutospacing="0" w:after="0" w:afterAutospacing="0" w:line="360" w:lineRule="auto"/>
              <w:ind w:left="0" w:right="0"/>
              <w:jc w:val="center"/>
              <w:rPr>
                <w:rFonts w:hint="eastAsia"/>
                <w:color w:val="auto"/>
                <w:spacing w:val="20"/>
                <w:sz w:val="24"/>
              </w:rPr>
            </w:pPr>
          </w:p>
        </w:tc>
      </w:tr>
      <w:tr w14:paraId="3725F29E">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823" w:type="dxa"/>
            <w:tcBorders>
              <w:top w:val="single" w:color="000000" w:sz="2" w:space="0"/>
              <w:bottom w:val="single" w:color="000000" w:sz="2" w:space="0"/>
              <w:right w:val="single" w:color="000000" w:sz="2" w:space="0"/>
            </w:tcBorders>
            <w:noWrap w:val="0"/>
            <w:vAlign w:val="center"/>
          </w:tcPr>
          <w:p w14:paraId="35EA7A70">
            <w:pPr>
              <w:keepNext w:val="0"/>
              <w:keepLines w:val="0"/>
              <w:suppressLineNumbers w:val="0"/>
              <w:spacing w:before="0" w:beforeAutospacing="0" w:after="0" w:afterAutospacing="0" w:line="360" w:lineRule="auto"/>
              <w:ind w:left="0" w:right="0"/>
              <w:jc w:val="center"/>
              <w:rPr>
                <w:rFonts w:hint="eastAsia"/>
                <w:color w:val="auto"/>
                <w:sz w:val="24"/>
              </w:rPr>
            </w:pPr>
          </w:p>
        </w:tc>
        <w:tc>
          <w:tcPr>
            <w:tcW w:w="2464" w:type="dxa"/>
            <w:tcBorders>
              <w:top w:val="single" w:color="000000" w:sz="2" w:space="0"/>
              <w:left w:val="single" w:color="000000" w:sz="2" w:space="0"/>
              <w:bottom w:val="single" w:color="000000" w:sz="2" w:space="0"/>
              <w:right w:val="single" w:color="000000" w:sz="2" w:space="0"/>
            </w:tcBorders>
            <w:noWrap w:val="0"/>
            <w:vAlign w:val="center"/>
          </w:tcPr>
          <w:p w14:paraId="57412122">
            <w:pPr>
              <w:keepNext w:val="0"/>
              <w:keepLines w:val="0"/>
              <w:suppressLineNumbers w:val="0"/>
              <w:spacing w:before="0" w:beforeAutospacing="0" w:after="0" w:afterAutospacing="0" w:line="360" w:lineRule="auto"/>
              <w:ind w:left="0" w:right="0"/>
              <w:jc w:val="center"/>
              <w:rPr>
                <w:rFonts w:hint="eastAsia"/>
                <w:color w:val="auto"/>
                <w:sz w:val="24"/>
              </w:rPr>
            </w:pPr>
          </w:p>
        </w:tc>
        <w:tc>
          <w:tcPr>
            <w:tcW w:w="2092" w:type="dxa"/>
            <w:tcBorders>
              <w:top w:val="single" w:color="000000" w:sz="2" w:space="0"/>
              <w:left w:val="single" w:color="000000" w:sz="2" w:space="0"/>
              <w:bottom w:val="single" w:color="000000" w:sz="2" w:space="0"/>
              <w:right w:val="single" w:color="000000" w:sz="2" w:space="0"/>
            </w:tcBorders>
            <w:noWrap w:val="0"/>
            <w:vAlign w:val="center"/>
          </w:tcPr>
          <w:p w14:paraId="6CB96914">
            <w:pPr>
              <w:keepNext w:val="0"/>
              <w:keepLines w:val="0"/>
              <w:suppressLineNumbers w:val="0"/>
              <w:spacing w:before="0" w:beforeAutospacing="0" w:after="0" w:afterAutospacing="0" w:line="360" w:lineRule="auto"/>
              <w:ind w:left="0" w:right="0"/>
              <w:jc w:val="center"/>
              <w:rPr>
                <w:rFonts w:hint="eastAsia"/>
                <w:color w:val="auto"/>
                <w:sz w:val="24"/>
              </w:rPr>
            </w:pPr>
            <w:r>
              <w:rPr>
                <w:rFonts w:hint="eastAsia"/>
                <w:color w:val="auto"/>
                <w:sz w:val="24"/>
              </w:rPr>
              <w:t>银行账号</w:t>
            </w:r>
          </w:p>
        </w:tc>
        <w:tc>
          <w:tcPr>
            <w:tcW w:w="2167" w:type="dxa"/>
            <w:tcBorders>
              <w:top w:val="single" w:color="000000" w:sz="2" w:space="0"/>
              <w:left w:val="single" w:color="000000" w:sz="2" w:space="0"/>
              <w:bottom w:val="single" w:color="000000" w:sz="2" w:space="0"/>
            </w:tcBorders>
            <w:noWrap w:val="0"/>
            <w:vAlign w:val="center"/>
          </w:tcPr>
          <w:p w14:paraId="029FD88D">
            <w:pPr>
              <w:keepNext w:val="0"/>
              <w:keepLines w:val="0"/>
              <w:suppressLineNumbers w:val="0"/>
              <w:spacing w:before="0" w:beforeAutospacing="0" w:after="0" w:afterAutospacing="0" w:line="360" w:lineRule="auto"/>
              <w:ind w:left="0" w:right="0"/>
              <w:jc w:val="center"/>
              <w:rPr>
                <w:rFonts w:hint="eastAsia"/>
                <w:color w:val="auto"/>
                <w:spacing w:val="20"/>
                <w:sz w:val="24"/>
              </w:rPr>
            </w:pPr>
          </w:p>
        </w:tc>
      </w:tr>
      <w:tr w14:paraId="17B4EAC6">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586" w:hRule="atLeast"/>
        </w:trPr>
        <w:tc>
          <w:tcPr>
            <w:tcW w:w="8546" w:type="dxa"/>
            <w:gridSpan w:val="4"/>
            <w:tcBorders>
              <w:top w:val="single" w:color="000000" w:sz="2" w:space="0"/>
            </w:tcBorders>
            <w:noWrap w:val="0"/>
            <w:vAlign w:val="center"/>
          </w:tcPr>
          <w:p w14:paraId="585688B5">
            <w:pPr>
              <w:keepNext w:val="0"/>
              <w:keepLines w:val="0"/>
              <w:suppressLineNumbers w:val="0"/>
              <w:spacing w:before="0" w:beforeAutospacing="0" w:after="0" w:afterAutospacing="0" w:line="360" w:lineRule="auto"/>
              <w:ind w:left="0" w:right="0"/>
              <w:jc w:val="center"/>
              <w:rPr>
                <w:rFonts w:hint="eastAsia"/>
                <w:color w:val="auto"/>
                <w:spacing w:val="20"/>
                <w:sz w:val="24"/>
              </w:rPr>
            </w:pPr>
            <w:r>
              <w:rPr>
                <w:rFonts w:hint="eastAsia" w:ascii="宋体" w:hAnsi="宋体"/>
                <w:color w:val="auto"/>
                <w:sz w:val="24"/>
              </w:rPr>
              <w:t>注：涉及联合体或其他合同主体的信息应按上表格式加列。</w:t>
            </w:r>
          </w:p>
        </w:tc>
      </w:tr>
    </w:tbl>
    <w:p w14:paraId="6A8AEA53">
      <w:pPr>
        <w:pStyle w:val="226"/>
        <w:spacing w:before="156" w:afterAutospacing="0" w:line="400" w:lineRule="exact"/>
        <w:jc w:val="center"/>
        <w:rPr>
          <w:rFonts w:hint="default" w:ascii="黑体" w:hAnsi="黑体" w:eastAsia="黑体"/>
          <w:color w:val="auto"/>
          <w:sz w:val="28"/>
          <w:szCs w:val="28"/>
        </w:rPr>
      </w:pPr>
      <w:r>
        <w:rPr>
          <w:rFonts w:ascii="黑体" w:hAnsi="黑体" w:eastAsia="黑体"/>
          <w:b w:val="0"/>
          <w:bCs w:val="0"/>
          <w:color w:val="auto"/>
          <w:sz w:val="28"/>
          <w:szCs w:val="28"/>
        </w:rPr>
        <w:br w:type="page" w:clear="all"/>
      </w:r>
      <w:r>
        <w:rPr>
          <w:rFonts w:ascii="黑体" w:hAnsi="黑体" w:eastAsia="黑体"/>
          <w:b w:val="0"/>
          <w:bCs w:val="0"/>
          <w:color w:val="auto"/>
          <w:sz w:val="28"/>
          <w:szCs w:val="28"/>
        </w:rPr>
        <w:t>第二节政府采购合同通用条款</w:t>
      </w:r>
      <w:bookmarkEnd w:id="161"/>
    </w:p>
    <w:p w14:paraId="2513F50D">
      <w:pPr>
        <w:keepNext w:val="0"/>
        <w:keepLines w:val="0"/>
        <w:pageBreakBefore w:val="0"/>
        <w:widowControl w:val="0"/>
        <w:spacing w:line="400" w:lineRule="exact"/>
        <w:ind w:firstLine="482"/>
        <w:jc w:val="left"/>
        <w:rPr>
          <w:rFonts w:hint="eastAsia" w:ascii="宋体" w:hAnsi="宋体" w:eastAsia="宋体" w:cs="宋体"/>
          <w:b/>
          <w:bCs/>
          <w:color w:val="auto"/>
          <w:sz w:val="24"/>
          <w:szCs w:val="20"/>
          <w:lang w:val="zh-CN"/>
        </w:rPr>
      </w:pPr>
      <w:r>
        <w:rPr>
          <w:rFonts w:hint="eastAsia" w:ascii="宋体" w:hAnsi="宋体" w:eastAsia="宋体" w:cs="宋体"/>
          <w:b/>
          <w:bCs/>
          <w:color w:val="auto"/>
          <w:sz w:val="24"/>
          <w:szCs w:val="20"/>
        </w:rPr>
        <w:t>1.</w:t>
      </w:r>
      <w:r>
        <w:rPr>
          <w:rFonts w:hint="eastAsia" w:ascii="宋体" w:hAnsi="宋体" w:eastAsia="宋体" w:cs="宋体"/>
          <w:b/>
          <w:bCs/>
          <w:color w:val="auto"/>
          <w:sz w:val="24"/>
          <w:szCs w:val="20"/>
          <w:lang w:val="zh-CN"/>
        </w:rPr>
        <w:t>定义</w:t>
      </w:r>
    </w:p>
    <w:p w14:paraId="70B95217">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1.1合同当事人</w:t>
      </w:r>
    </w:p>
    <w:p w14:paraId="096524AD">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（1）采购人（以下称甲方）是指使用财政性资金，通过政府采购方式向供应商购买货物及其相关服务的国家机关、事业单位、团体组织。</w:t>
      </w:r>
    </w:p>
    <w:p w14:paraId="3F30B76F">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（2）供应商（以下称乙方）是指参加政府采购活动并且中标（成交），向采购人提供合同约定的货物及其相关服务的法人、非法人组织或者自然人。</w:t>
      </w:r>
    </w:p>
    <w:p w14:paraId="31B951F0">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（3）其他合同主体是指除采购人和供应商以外，依法参与合同缔结或履行，享有权利、承担义务的合同当事人。</w:t>
      </w:r>
    </w:p>
    <w:p w14:paraId="62A80DEE">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1.2本合同下列术语应解释为：</w:t>
      </w:r>
    </w:p>
    <w:p w14:paraId="25AAE38E">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19AFE096">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（2）“合同价款”系指根据本合同规定乙方在全面履行合同义务后甲方应支付给乙方的价款。</w:t>
      </w:r>
    </w:p>
    <w:p w14:paraId="7476EE19">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（3）“货物”系指乙方根据本合同规定须向甲方提供的各种形态和种类的物品，包括原材料、设备、产品（包括软件）及相关的其备品备件、工具、手册及</w:t>
      </w:r>
      <w:r>
        <w:rPr>
          <w:rFonts w:hint="eastAsia" w:ascii="宋体" w:hAnsi="宋体" w:eastAsia="宋体" w:cs="宋体"/>
          <w:color w:val="auto"/>
          <w:sz w:val="24"/>
          <w:szCs w:val="20"/>
        </w:rPr>
        <w:t>其他</w:t>
      </w:r>
      <w:r>
        <w:rPr>
          <w:rFonts w:hint="eastAsia" w:ascii="宋体" w:hAnsi="宋体" w:eastAsia="宋体" w:cs="宋体"/>
          <w:color w:val="auto"/>
          <w:sz w:val="24"/>
          <w:szCs w:val="20"/>
          <w:lang w:val="zh-CN"/>
        </w:rPr>
        <w:t>技术资料和材料等。</w:t>
      </w:r>
    </w:p>
    <w:p w14:paraId="6608E5C9">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（4）“相关服务”系指根据合同规定，乙方应提供的与货物有关的技术、管理和</w:t>
      </w:r>
      <w:r>
        <w:rPr>
          <w:rFonts w:hint="eastAsia" w:ascii="宋体" w:hAnsi="宋体" w:eastAsia="宋体" w:cs="宋体"/>
          <w:color w:val="auto"/>
          <w:sz w:val="24"/>
          <w:szCs w:val="20"/>
        </w:rPr>
        <w:t>其他</w:t>
      </w:r>
      <w:r>
        <w:rPr>
          <w:rFonts w:hint="eastAsia" w:ascii="宋体" w:hAnsi="宋体" w:eastAsia="宋体" w:cs="宋体"/>
          <w:color w:val="auto"/>
          <w:sz w:val="24"/>
          <w:szCs w:val="20"/>
          <w:lang w:val="zh-CN"/>
        </w:rPr>
        <w:t>服务，包括但不限于：管理和质量保证、运输、保险、检验、现场准备、安装、集成、调试、培训、维修、废弃处置、技术支持等以及合同中规定乙方应承担的</w:t>
      </w:r>
      <w:r>
        <w:rPr>
          <w:rFonts w:hint="eastAsia" w:ascii="宋体" w:hAnsi="宋体" w:eastAsia="宋体" w:cs="宋体"/>
          <w:color w:val="auto"/>
          <w:sz w:val="24"/>
          <w:szCs w:val="20"/>
        </w:rPr>
        <w:t>其他</w:t>
      </w:r>
      <w:r>
        <w:rPr>
          <w:rFonts w:hint="eastAsia" w:ascii="宋体" w:hAnsi="宋体" w:eastAsia="宋体" w:cs="宋体"/>
          <w:color w:val="auto"/>
          <w:sz w:val="24"/>
          <w:szCs w:val="20"/>
          <w:lang w:val="zh-CN"/>
        </w:rPr>
        <w:t>义务。</w:t>
      </w:r>
    </w:p>
    <w:p w14:paraId="661502EB">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（5）“分包”系指中标（成交）供应商按采购文件、投标（响应）文件的规定，根据分包意向协议，将中标（成交）项目中的部分履约内容，分给具有相应资质条件的供应商履行合同的行为。</w:t>
      </w:r>
    </w:p>
    <w:p w14:paraId="55F5B0E5">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eastAsia="宋体" w:cs="宋体"/>
          <w:b/>
          <w:bCs/>
          <w:color w:val="auto"/>
          <w:sz w:val="24"/>
          <w:szCs w:val="20"/>
          <w:lang w:val="zh-CN"/>
        </w:rPr>
        <w:t>【政府采购合同专用条款】</w:t>
      </w:r>
      <w:r>
        <w:rPr>
          <w:rFonts w:hint="eastAsia" w:ascii="宋体" w:hAnsi="宋体" w:eastAsia="宋体" w:cs="宋体"/>
          <w:color w:val="auto"/>
          <w:sz w:val="24"/>
          <w:szCs w:val="20"/>
          <w:lang w:val="zh-CN"/>
        </w:rPr>
        <w:t>。</w:t>
      </w:r>
    </w:p>
    <w:p w14:paraId="48C3EBD6">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（7）其他术语解释，见</w:t>
      </w:r>
      <w:r>
        <w:rPr>
          <w:rFonts w:hint="eastAsia" w:ascii="宋体" w:hAnsi="宋体" w:eastAsia="宋体" w:cs="宋体"/>
          <w:b/>
          <w:bCs/>
          <w:color w:val="auto"/>
          <w:sz w:val="24"/>
          <w:szCs w:val="20"/>
          <w:lang w:val="zh-CN"/>
        </w:rPr>
        <w:t>【政府采购合同专用条款】</w:t>
      </w:r>
      <w:r>
        <w:rPr>
          <w:rFonts w:hint="eastAsia" w:ascii="宋体" w:hAnsi="宋体" w:eastAsia="宋体" w:cs="宋体"/>
          <w:b w:val="0"/>
          <w:bCs w:val="0"/>
          <w:color w:val="auto"/>
          <w:sz w:val="24"/>
          <w:szCs w:val="20"/>
          <w:lang w:val="zh-CN"/>
        </w:rPr>
        <w:t>。</w:t>
      </w:r>
    </w:p>
    <w:p w14:paraId="0897BEA4">
      <w:pPr>
        <w:keepNext w:val="0"/>
        <w:keepLines w:val="0"/>
        <w:pageBreakBefore w:val="0"/>
        <w:widowControl w:val="0"/>
        <w:spacing w:line="560" w:lineRule="exact"/>
        <w:ind w:firstLine="482"/>
        <w:jc w:val="left"/>
        <w:rPr>
          <w:rFonts w:hint="eastAsia" w:ascii="宋体" w:hAnsi="宋体" w:eastAsia="宋体" w:cs="宋体"/>
          <w:b/>
          <w:bCs/>
          <w:color w:val="auto"/>
          <w:sz w:val="24"/>
          <w:szCs w:val="20"/>
          <w:lang w:val="zh-CN"/>
        </w:rPr>
      </w:pPr>
      <w:r>
        <w:rPr>
          <w:rFonts w:hint="eastAsia" w:ascii="宋体" w:hAnsi="宋体" w:eastAsia="宋体" w:cs="宋体"/>
          <w:b/>
          <w:bCs/>
          <w:color w:val="auto"/>
          <w:sz w:val="24"/>
          <w:szCs w:val="20"/>
          <w:lang w:val="zh-CN"/>
        </w:rPr>
        <w:t>2.合同标的及金额</w:t>
      </w:r>
    </w:p>
    <w:p w14:paraId="7C4E382B">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2.1合同标的及金额应与中标（成交）结果一致。乙方为履行本合同而发生的所有费用均应包含在合同价款中，甲方不再另行支付其他任何费用。</w:t>
      </w:r>
    </w:p>
    <w:p w14:paraId="60FB9A7A">
      <w:pPr>
        <w:keepNext w:val="0"/>
        <w:keepLines w:val="0"/>
        <w:pageBreakBefore w:val="0"/>
        <w:widowControl w:val="0"/>
        <w:spacing w:line="560" w:lineRule="exact"/>
        <w:ind w:firstLine="482"/>
        <w:jc w:val="left"/>
        <w:rPr>
          <w:rFonts w:hint="eastAsia" w:ascii="宋体" w:hAnsi="宋体" w:eastAsia="宋体" w:cs="宋体"/>
          <w:b/>
          <w:bCs/>
          <w:color w:val="auto"/>
          <w:sz w:val="24"/>
          <w:szCs w:val="20"/>
          <w:lang w:val="zh-CN"/>
        </w:rPr>
      </w:pPr>
      <w:r>
        <w:rPr>
          <w:rFonts w:hint="eastAsia" w:ascii="宋体" w:hAnsi="宋体" w:eastAsia="宋体" w:cs="宋体"/>
          <w:b/>
          <w:bCs/>
          <w:color w:val="auto"/>
          <w:sz w:val="24"/>
          <w:szCs w:val="20"/>
          <w:lang w:val="zh-CN"/>
        </w:rPr>
        <w:t>3.履行合同的时间、地点和方式</w:t>
      </w:r>
    </w:p>
    <w:p w14:paraId="2645B46A">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3.1乙方应当在约定的时间、地点，按照约定方式履行合同。</w:t>
      </w:r>
    </w:p>
    <w:p w14:paraId="085D4D5A">
      <w:pPr>
        <w:keepNext w:val="0"/>
        <w:keepLines w:val="0"/>
        <w:pageBreakBefore w:val="0"/>
        <w:widowControl w:val="0"/>
        <w:spacing w:line="560" w:lineRule="exact"/>
        <w:ind w:firstLine="482"/>
        <w:jc w:val="left"/>
        <w:rPr>
          <w:rFonts w:hint="eastAsia" w:ascii="宋体" w:hAnsi="宋体" w:eastAsia="宋体" w:cs="宋体"/>
          <w:b/>
          <w:bCs/>
          <w:color w:val="auto"/>
          <w:sz w:val="24"/>
          <w:szCs w:val="20"/>
          <w:lang w:val="zh-CN"/>
        </w:rPr>
      </w:pPr>
      <w:r>
        <w:rPr>
          <w:rFonts w:hint="eastAsia" w:ascii="宋体" w:hAnsi="宋体" w:eastAsia="宋体" w:cs="宋体"/>
          <w:b/>
          <w:bCs/>
          <w:color w:val="auto"/>
          <w:sz w:val="24"/>
          <w:szCs w:val="20"/>
          <w:lang w:val="zh-CN"/>
        </w:rPr>
        <w:t>4.甲方的权利和义务</w:t>
      </w:r>
    </w:p>
    <w:p w14:paraId="024B9581">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4.1签署合同后，甲方应确定项目负责人（或项目联系人），负责与本合同有关的事务。甲方有权对乙方的履约行为进行检查，并及时确认乙方提交的事项。甲方应当配合乙方完成相关项目实施工作。</w:t>
      </w:r>
    </w:p>
    <w:p w14:paraId="1FB47ED9">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4.2甲方有权要求乙方按时提交各阶段有关安排计划，并有权定期核对乙方提供货物数量、规格、质量等内容。甲方有权督促乙方工作并要求乙方更换不符合要求的货物。</w:t>
      </w:r>
    </w:p>
    <w:p w14:paraId="12350A16">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4.3甲方有权要求乙方对缺陷部分予以修复，并按合同约定享有货物保修及其他合同约定的权利。</w:t>
      </w:r>
    </w:p>
    <w:p w14:paraId="4B0E61BF">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4.4甲方应当按照合同约定及时对交付的货物进行验收，未在【</w:t>
      </w:r>
      <w:r>
        <w:rPr>
          <w:rFonts w:hint="eastAsia" w:ascii="宋体" w:hAnsi="宋体" w:eastAsia="宋体" w:cs="宋体"/>
          <w:b/>
          <w:bCs/>
          <w:color w:val="auto"/>
          <w:sz w:val="24"/>
          <w:szCs w:val="20"/>
          <w:lang w:val="zh-CN"/>
        </w:rPr>
        <w:t>政府采购合同专用条款</w:t>
      </w:r>
      <w:r>
        <w:rPr>
          <w:rFonts w:hint="eastAsia" w:ascii="宋体" w:hAnsi="宋体" w:eastAsia="宋体" w:cs="宋体"/>
          <w:color w:val="auto"/>
          <w:sz w:val="24"/>
          <w:szCs w:val="20"/>
          <w:lang w:val="zh-CN"/>
        </w:rPr>
        <w:t>】约定的期限内对乙方履约提出任何异议或者向乙方作出任何说明的，视为验收通过。</w:t>
      </w:r>
    </w:p>
    <w:p w14:paraId="0EEEF74D">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4.5甲方应当根据合同约定及时向乙方支付合同价款，不得以内部人员变更、履行内部付款流程等为由，拒绝或迟延支付。</w:t>
      </w:r>
    </w:p>
    <w:p w14:paraId="3872333A">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4.6国家法律法规规定及【</w:t>
      </w:r>
      <w:r>
        <w:rPr>
          <w:rFonts w:hint="eastAsia" w:ascii="宋体" w:hAnsi="宋体" w:eastAsia="宋体" w:cs="宋体"/>
          <w:b/>
          <w:bCs/>
          <w:color w:val="auto"/>
          <w:sz w:val="24"/>
          <w:szCs w:val="20"/>
          <w:lang w:val="zh-CN"/>
        </w:rPr>
        <w:t>政府采购合同专用条款</w:t>
      </w:r>
      <w:r>
        <w:rPr>
          <w:rFonts w:hint="eastAsia" w:ascii="宋体" w:hAnsi="宋体" w:eastAsia="宋体" w:cs="宋体"/>
          <w:color w:val="auto"/>
          <w:sz w:val="24"/>
          <w:szCs w:val="20"/>
          <w:lang w:val="zh-CN"/>
        </w:rPr>
        <w:t>】约定应由甲方承担的其他义务和责任。</w:t>
      </w:r>
    </w:p>
    <w:p w14:paraId="70C197FA">
      <w:pPr>
        <w:keepNext w:val="0"/>
        <w:keepLines w:val="0"/>
        <w:pageBreakBefore w:val="0"/>
        <w:widowControl w:val="0"/>
        <w:spacing w:line="560" w:lineRule="exact"/>
        <w:ind w:firstLine="482"/>
        <w:jc w:val="left"/>
        <w:rPr>
          <w:rFonts w:hint="eastAsia" w:ascii="宋体" w:hAnsi="宋体" w:eastAsia="宋体" w:cs="宋体"/>
          <w:b/>
          <w:bCs/>
          <w:color w:val="auto"/>
          <w:sz w:val="24"/>
          <w:szCs w:val="20"/>
          <w:lang w:val="zh-CN"/>
        </w:rPr>
      </w:pPr>
      <w:r>
        <w:rPr>
          <w:rFonts w:hint="eastAsia" w:ascii="宋体" w:hAnsi="宋体" w:eastAsia="宋体" w:cs="宋体"/>
          <w:b/>
          <w:bCs/>
          <w:color w:val="auto"/>
          <w:sz w:val="24"/>
          <w:szCs w:val="20"/>
          <w:lang w:val="zh-CN"/>
        </w:rPr>
        <w:t>5.乙方的权利和义务</w:t>
      </w:r>
    </w:p>
    <w:p w14:paraId="3567EAA0">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5.1签署合同后，乙方应确定项目负责人（或项目联系人），负责与本合同有关的事务。</w:t>
      </w:r>
    </w:p>
    <w:p w14:paraId="40062ADE">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5.2乙方应按照合同要求履约，充分合理安排，确保提供的货物及相关服务符合合同有关要求。接受项目行业管理部门及政府有关部门的指导，配合甲方的履约检查及验收，并负责项目实施过程中的所有协调工作。</w:t>
      </w:r>
    </w:p>
    <w:p w14:paraId="7C385AA4">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5.3乙方有权根据合同约定向甲方收取合同价款。</w:t>
      </w:r>
    </w:p>
    <w:p w14:paraId="47F43874">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5.4国家法律法规规定及【</w:t>
      </w:r>
      <w:r>
        <w:rPr>
          <w:rFonts w:hint="eastAsia" w:ascii="宋体" w:hAnsi="宋体" w:eastAsia="宋体" w:cs="宋体"/>
          <w:b/>
          <w:bCs/>
          <w:color w:val="auto"/>
          <w:sz w:val="24"/>
          <w:szCs w:val="20"/>
          <w:lang w:val="zh-CN"/>
        </w:rPr>
        <w:t>政府采购合同专用条款</w:t>
      </w:r>
      <w:r>
        <w:rPr>
          <w:rFonts w:hint="eastAsia" w:ascii="宋体" w:hAnsi="宋体" w:eastAsia="宋体" w:cs="宋体"/>
          <w:color w:val="auto"/>
          <w:sz w:val="24"/>
          <w:szCs w:val="20"/>
          <w:lang w:val="zh-CN"/>
        </w:rPr>
        <w:t>】约定应由乙方承担的其他义务和责任。</w:t>
      </w:r>
    </w:p>
    <w:p w14:paraId="4932CF23">
      <w:pPr>
        <w:keepNext w:val="0"/>
        <w:keepLines w:val="0"/>
        <w:pageBreakBefore w:val="0"/>
        <w:widowControl w:val="0"/>
        <w:spacing w:line="560" w:lineRule="exact"/>
        <w:ind w:firstLine="482"/>
        <w:jc w:val="left"/>
        <w:rPr>
          <w:rFonts w:hint="eastAsia" w:ascii="宋体" w:hAnsi="宋体" w:eastAsia="宋体" w:cs="宋体"/>
          <w:b/>
          <w:bCs/>
          <w:color w:val="auto"/>
          <w:sz w:val="24"/>
          <w:szCs w:val="20"/>
          <w:lang w:val="zh-CN"/>
        </w:rPr>
      </w:pPr>
      <w:r>
        <w:rPr>
          <w:rFonts w:hint="eastAsia" w:ascii="宋体" w:hAnsi="宋体" w:eastAsia="宋体" w:cs="宋体"/>
          <w:b/>
          <w:bCs/>
          <w:color w:val="auto"/>
          <w:sz w:val="24"/>
          <w:szCs w:val="20"/>
          <w:lang w:val="zh-CN"/>
        </w:rPr>
        <w:t>6.合同履行</w:t>
      </w:r>
    </w:p>
    <w:p w14:paraId="05B541C9">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6.1甲乙双方应当按照【</w:t>
      </w:r>
      <w:r>
        <w:rPr>
          <w:rFonts w:hint="eastAsia" w:ascii="宋体" w:hAnsi="宋体" w:eastAsia="宋体" w:cs="宋体"/>
          <w:b/>
          <w:bCs/>
          <w:color w:val="auto"/>
          <w:sz w:val="24"/>
          <w:szCs w:val="20"/>
          <w:lang w:val="zh-CN"/>
        </w:rPr>
        <w:t>政府采购合同专用条款</w:t>
      </w:r>
      <w:r>
        <w:rPr>
          <w:rFonts w:hint="eastAsia" w:ascii="宋体" w:hAnsi="宋体" w:eastAsia="宋体" w:cs="宋体"/>
          <w:color w:val="auto"/>
          <w:sz w:val="24"/>
          <w:szCs w:val="20"/>
          <w:lang w:val="zh-CN"/>
        </w:rPr>
        <w:t>】约定顺序履行合同义务；如果没有先后顺序的，应当同时履行。</w:t>
      </w:r>
    </w:p>
    <w:p w14:paraId="6DD05DAD">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6.2甲乙双方按照合同约定顺序履行合同义务时，应当先履行一方未履行的，后履行一方有权拒绝其履行请求。先履行一方履行不符合约定的，后履行一方有权拒绝其相应的履行请求。</w:t>
      </w:r>
    </w:p>
    <w:p w14:paraId="571B58D1">
      <w:pPr>
        <w:keepNext w:val="0"/>
        <w:keepLines w:val="0"/>
        <w:pageBreakBefore w:val="0"/>
        <w:widowControl w:val="0"/>
        <w:spacing w:line="560" w:lineRule="exact"/>
        <w:ind w:firstLine="482"/>
        <w:jc w:val="left"/>
        <w:rPr>
          <w:rFonts w:hint="eastAsia" w:ascii="宋体" w:hAnsi="宋体" w:eastAsia="宋体" w:cs="宋体"/>
          <w:b/>
          <w:bCs/>
          <w:color w:val="auto"/>
          <w:sz w:val="24"/>
          <w:szCs w:val="20"/>
          <w:lang w:val="zh-CN"/>
        </w:rPr>
      </w:pPr>
      <w:r>
        <w:rPr>
          <w:rFonts w:hint="eastAsia" w:ascii="宋体" w:hAnsi="宋体" w:eastAsia="宋体" w:cs="宋体"/>
          <w:b/>
          <w:bCs/>
          <w:color w:val="auto"/>
          <w:sz w:val="24"/>
          <w:szCs w:val="20"/>
          <w:lang w:val="zh-CN"/>
        </w:rPr>
        <w:t>7.货物包装、运输、保险和交付要求</w:t>
      </w:r>
    </w:p>
    <w:p w14:paraId="050BCA44">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7.1本合同涉及商品包装、快递包装的，除【</w:t>
      </w:r>
      <w:r>
        <w:rPr>
          <w:rFonts w:hint="eastAsia" w:ascii="宋体" w:hAnsi="宋体" w:eastAsia="宋体" w:cs="宋体"/>
          <w:b/>
          <w:bCs/>
          <w:color w:val="auto"/>
          <w:sz w:val="24"/>
          <w:szCs w:val="20"/>
          <w:lang w:val="zh-CN"/>
        </w:rPr>
        <w:t>政府采购合同专用条款</w:t>
      </w:r>
      <w:r>
        <w:rPr>
          <w:rFonts w:hint="eastAsia" w:ascii="宋体" w:hAnsi="宋体" w:eastAsia="宋体" w:cs="宋体"/>
          <w:color w:val="auto"/>
          <w:sz w:val="24"/>
          <w:szCs w:val="20"/>
          <w:lang w:val="zh-CN"/>
        </w:rPr>
        <w:t>】另有约定外，包装应适应远距离运输、防潮、防震、防锈和防野蛮装卸等要求，确保货物安全无损地运抵【</w:t>
      </w:r>
      <w:r>
        <w:rPr>
          <w:rFonts w:hint="eastAsia" w:ascii="宋体" w:hAnsi="宋体" w:eastAsia="宋体" w:cs="宋体"/>
          <w:b/>
          <w:bCs/>
          <w:color w:val="auto"/>
          <w:sz w:val="24"/>
          <w:szCs w:val="20"/>
          <w:lang w:val="zh-CN"/>
        </w:rPr>
        <w:t>政府采购合同专用条款】</w:t>
      </w:r>
      <w:r>
        <w:rPr>
          <w:rFonts w:hint="eastAsia" w:ascii="宋体" w:hAnsi="宋体" w:eastAsia="宋体" w:cs="宋体"/>
          <w:color w:val="auto"/>
          <w:sz w:val="24"/>
          <w:szCs w:val="20"/>
          <w:lang w:val="zh-CN"/>
        </w:rPr>
        <w:t>约定的指定现场。</w:t>
      </w:r>
    </w:p>
    <w:p w14:paraId="0403B91B">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7.2除【</w:t>
      </w:r>
      <w:r>
        <w:rPr>
          <w:rFonts w:hint="eastAsia" w:ascii="宋体" w:hAnsi="宋体" w:eastAsia="宋体" w:cs="宋体"/>
          <w:b/>
          <w:bCs/>
          <w:color w:val="auto"/>
          <w:sz w:val="24"/>
          <w:szCs w:val="20"/>
          <w:lang w:val="zh-CN"/>
        </w:rPr>
        <w:t>政府采购合同专用条款</w:t>
      </w:r>
      <w:r>
        <w:rPr>
          <w:rFonts w:hint="eastAsia" w:ascii="宋体" w:hAnsi="宋体" w:eastAsia="宋体" w:cs="宋体"/>
          <w:color w:val="auto"/>
          <w:sz w:val="24"/>
          <w:szCs w:val="20"/>
          <w:lang w:val="zh-CN"/>
        </w:rPr>
        <w:t>】另有约定外，乙方负责办理将货物运抵本合同规定的交货地点，并装卸、交付至甲方的一切运输事项，相关费用应包含在合同价款中。</w:t>
      </w:r>
    </w:p>
    <w:p w14:paraId="5B872851">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7.3货物保险要求按【</w:t>
      </w:r>
      <w:r>
        <w:rPr>
          <w:rFonts w:hint="eastAsia" w:ascii="宋体" w:hAnsi="宋体" w:eastAsia="宋体" w:cs="宋体"/>
          <w:b/>
          <w:bCs/>
          <w:color w:val="auto"/>
          <w:sz w:val="24"/>
          <w:szCs w:val="20"/>
          <w:lang w:val="zh-CN"/>
        </w:rPr>
        <w:t>政府采购合同专用条款</w:t>
      </w:r>
      <w:r>
        <w:rPr>
          <w:rFonts w:hint="eastAsia" w:ascii="宋体" w:hAnsi="宋体" w:eastAsia="宋体" w:cs="宋体"/>
          <w:color w:val="auto"/>
          <w:sz w:val="24"/>
          <w:szCs w:val="20"/>
          <w:lang w:val="zh-CN"/>
        </w:rPr>
        <w:t>】规定执行。</w:t>
      </w:r>
    </w:p>
    <w:p w14:paraId="58A412A4">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7.4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00B6E57D">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7.5乙方在运输到达之前应提前通知甲方，并提示货物运输装卸的注意事项，甲方配合乙方做好货物的接收工作。</w:t>
      </w:r>
    </w:p>
    <w:p w14:paraId="771B32DC">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7.6如因包装、运输问题导致货物损毁、丢失或者品质下降，甲方有权要求降价、换货、拒收部分或整批货物，由此产生的费用和损失，均由乙方承担。</w:t>
      </w:r>
    </w:p>
    <w:p w14:paraId="524EC960">
      <w:pPr>
        <w:keepNext w:val="0"/>
        <w:keepLines w:val="0"/>
        <w:pageBreakBefore w:val="0"/>
        <w:widowControl w:val="0"/>
        <w:spacing w:line="560" w:lineRule="exact"/>
        <w:ind w:firstLine="482"/>
        <w:jc w:val="left"/>
        <w:rPr>
          <w:rFonts w:hint="eastAsia" w:ascii="宋体" w:hAnsi="宋体" w:eastAsia="宋体" w:cs="宋体"/>
          <w:b/>
          <w:bCs/>
          <w:color w:val="auto"/>
          <w:sz w:val="24"/>
          <w:szCs w:val="20"/>
          <w:lang w:val="zh-CN"/>
        </w:rPr>
      </w:pPr>
      <w:r>
        <w:rPr>
          <w:rFonts w:hint="eastAsia" w:ascii="宋体" w:hAnsi="宋体" w:eastAsia="宋体" w:cs="宋体"/>
          <w:b/>
          <w:bCs/>
          <w:color w:val="auto"/>
          <w:sz w:val="24"/>
          <w:szCs w:val="20"/>
          <w:lang w:val="zh-CN"/>
        </w:rPr>
        <w:t>8.质量标准和保证</w:t>
      </w:r>
    </w:p>
    <w:p w14:paraId="353455C8">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8.1质量标准</w:t>
      </w:r>
    </w:p>
    <w:p w14:paraId="6AE88E06">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4D1EDD46">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（2）采用中华人民共和国法定计量单位。</w:t>
      </w:r>
    </w:p>
    <w:p w14:paraId="5946B2BE">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（3）乙方所提供的货物应符合国家有关安全、环保、卫生的规定。</w:t>
      </w:r>
    </w:p>
    <w:p w14:paraId="10A159B6">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（4）乙方应向甲方提交所提供货物的技术文件，包括相应的中文技术文件，如：产品目录、图纸、操作手册、使用说明、维护手册或服务指南等。上述文件应包装好随货物一同发运。</w:t>
      </w:r>
    </w:p>
    <w:p w14:paraId="27878337">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8.2保证</w:t>
      </w:r>
    </w:p>
    <w:p w14:paraId="008A5D96">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ascii="宋体" w:hAnsi="宋体" w:eastAsia="宋体" w:cs="宋体"/>
          <w:b/>
          <w:bCs/>
          <w:color w:val="auto"/>
          <w:sz w:val="24"/>
          <w:szCs w:val="20"/>
          <w:lang w:val="zh-CN"/>
        </w:rPr>
        <w:t>政府采购合同专用条款</w:t>
      </w:r>
      <w:r>
        <w:rPr>
          <w:rFonts w:hint="eastAsia" w:ascii="宋体" w:hAnsi="宋体" w:eastAsia="宋体" w:cs="宋体"/>
          <w:color w:val="auto"/>
          <w:sz w:val="24"/>
          <w:szCs w:val="20"/>
          <w:lang w:val="zh-CN"/>
        </w:rPr>
        <w:t>】规定或乙方书面承诺（两者以较长的为准）的质量保证期内，本保证保持有效。</w:t>
      </w:r>
    </w:p>
    <w:p w14:paraId="05A56AC5">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（2）在质量保证期内所发现的缺陷，甲方应尽快以书面形式通知乙方。</w:t>
      </w:r>
    </w:p>
    <w:p w14:paraId="3ED874FB">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（3）乙方收到通知后，应在【</w:t>
      </w:r>
      <w:r>
        <w:rPr>
          <w:rFonts w:hint="eastAsia" w:ascii="宋体" w:hAnsi="宋体" w:eastAsia="宋体" w:cs="宋体"/>
          <w:b/>
          <w:bCs/>
          <w:color w:val="auto"/>
          <w:sz w:val="24"/>
          <w:szCs w:val="20"/>
          <w:lang w:val="zh-CN"/>
        </w:rPr>
        <w:t>政府采购合同专用条款</w:t>
      </w:r>
      <w:r>
        <w:rPr>
          <w:rFonts w:hint="eastAsia" w:ascii="宋体" w:hAnsi="宋体" w:eastAsia="宋体" w:cs="宋体"/>
          <w:color w:val="auto"/>
          <w:sz w:val="24"/>
          <w:szCs w:val="20"/>
          <w:lang w:val="zh-CN"/>
        </w:rPr>
        <w:t>】规定的响应时间内以合理的速度免费维修或更换有缺陷的货物或部件。</w:t>
      </w:r>
    </w:p>
    <w:p w14:paraId="350A4902">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（4）在质量保证期内，如果货物的质量或规格与合同不符，或证实货物是有缺陷的，包括潜在的缺陷或使用不符合要求的材料等，甲方可以根据本合同第15.1条规定以书面形式追究乙方的违约责任。</w:t>
      </w:r>
    </w:p>
    <w:p w14:paraId="3E965460">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（5）乙方在约定的时间内未能弥补缺陷，甲方可采取必要的补救措施，但其风险和费用将由乙方承担，甲方根据合同约定对乙方行使的其他权利不受影响。</w:t>
      </w:r>
    </w:p>
    <w:p w14:paraId="3E616DA1">
      <w:pPr>
        <w:keepNext w:val="0"/>
        <w:keepLines w:val="0"/>
        <w:pageBreakBefore w:val="0"/>
        <w:widowControl w:val="0"/>
        <w:spacing w:line="560" w:lineRule="exact"/>
        <w:ind w:firstLine="482"/>
        <w:jc w:val="left"/>
        <w:rPr>
          <w:rFonts w:hint="eastAsia" w:ascii="宋体" w:hAnsi="宋体" w:eastAsia="宋体" w:cs="宋体"/>
          <w:b/>
          <w:bCs/>
          <w:color w:val="auto"/>
          <w:sz w:val="24"/>
          <w:szCs w:val="20"/>
          <w:lang w:val="zh-CN"/>
        </w:rPr>
      </w:pPr>
      <w:r>
        <w:rPr>
          <w:rFonts w:hint="eastAsia" w:ascii="宋体" w:hAnsi="宋体" w:eastAsia="宋体" w:cs="宋体"/>
          <w:b/>
          <w:bCs/>
          <w:color w:val="auto"/>
          <w:sz w:val="24"/>
          <w:szCs w:val="20"/>
          <w:lang w:val="zh-CN"/>
        </w:rPr>
        <w:t>9.权利瑕疵担保</w:t>
      </w:r>
    </w:p>
    <w:p w14:paraId="612684DF">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9.1乙方保证对其出售的货物享有合法的权利。</w:t>
      </w:r>
    </w:p>
    <w:p w14:paraId="413D48C4">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9.2乙方保证在交付的货物上不存在抵押权等担保物权。</w:t>
      </w:r>
    </w:p>
    <w:p w14:paraId="6DEB5132">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9.3如甲方使用上述货物构成对第三人侵权的，则由乙方承担全部责任。</w:t>
      </w:r>
    </w:p>
    <w:p w14:paraId="09768774">
      <w:pPr>
        <w:keepNext w:val="0"/>
        <w:keepLines w:val="0"/>
        <w:pageBreakBefore w:val="0"/>
        <w:widowControl w:val="0"/>
        <w:spacing w:line="560" w:lineRule="exact"/>
        <w:ind w:firstLine="482"/>
        <w:jc w:val="left"/>
        <w:rPr>
          <w:rFonts w:hint="eastAsia" w:ascii="宋体" w:hAnsi="宋体" w:eastAsia="宋体" w:cs="宋体"/>
          <w:b/>
          <w:bCs/>
          <w:color w:val="auto"/>
          <w:sz w:val="24"/>
          <w:szCs w:val="20"/>
          <w:lang w:val="zh-CN"/>
        </w:rPr>
      </w:pPr>
      <w:r>
        <w:rPr>
          <w:rFonts w:hint="eastAsia" w:ascii="宋体" w:hAnsi="宋体" w:eastAsia="宋体" w:cs="宋体"/>
          <w:b/>
          <w:bCs/>
          <w:color w:val="auto"/>
          <w:sz w:val="24"/>
          <w:szCs w:val="20"/>
          <w:lang w:val="zh-CN"/>
        </w:rPr>
        <w:t>10.知识产权保护</w:t>
      </w:r>
    </w:p>
    <w:p w14:paraId="2BBACAD4">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10.1乙方对其所销售的货物应当享有知识产权或经权利人合法授权，保证没有侵犯任何第三人的知识产权等权利。</w:t>
      </w:r>
      <w:bookmarkStart w:id="162" w:name="_Hlk163047038"/>
      <w:r>
        <w:rPr>
          <w:rFonts w:hint="eastAsia" w:ascii="宋体" w:hAnsi="宋体" w:eastAsia="宋体" w:cs="宋体"/>
          <w:color w:val="auto"/>
          <w:sz w:val="24"/>
          <w:szCs w:val="20"/>
          <w:lang w:val="zh-CN"/>
        </w:rPr>
        <w:t>因违反前述约定对第三人构成侵权的，应当由乙方向第三人承担法律责任；甲方依法向第三人赔偿后，有权向乙方追偿。甲方有其他损失的，乙方应当赔偿</w:t>
      </w:r>
      <w:bookmarkEnd w:id="162"/>
      <w:r>
        <w:rPr>
          <w:rFonts w:hint="eastAsia" w:ascii="宋体" w:hAnsi="宋体" w:eastAsia="宋体" w:cs="宋体"/>
          <w:color w:val="auto"/>
          <w:sz w:val="24"/>
          <w:szCs w:val="20"/>
          <w:lang w:val="zh-CN"/>
        </w:rPr>
        <w:t>。</w:t>
      </w:r>
    </w:p>
    <w:p w14:paraId="1BDA86E4">
      <w:pPr>
        <w:keepNext w:val="0"/>
        <w:keepLines w:val="0"/>
        <w:pageBreakBefore w:val="0"/>
        <w:widowControl w:val="0"/>
        <w:spacing w:line="560" w:lineRule="exact"/>
        <w:ind w:firstLine="482"/>
        <w:jc w:val="left"/>
        <w:rPr>
          <w:rFonts w:hint="eastAsia" w:ascii="宋体" w:hAnsi="宋体" w:eastAsia="宋体" w:cs="宋体"/>
          <w:b/>
          <w:bCs/>
          <w:color w:val="auto"/>
          <w:sz w:val="24"/>
          <w:szCs w:val="20"/>
          <w:lang w:val="zh-CN"/>
        </w:rPr>
      </w:pPr>
      <w:r>
        <w:rPr>
          <w:rFonts w:hint="eastAsia" w:ascii="宋体" w:hAnsi="宋体" w:eastAsia="宋体" w:cs="宋体"/>
          <w:b/>
          <w:bCs/>
          <w:color w:val="auto"/>
          <w:sz w:val="24"/>
          <w:szCs w:val="20"/>
          <w:lang w:val="zh-CN"/>
        </w:rPr>
        <w:t>11.保密义务</w:t>
      </w:r>
    </w:p>
    <w:p w14:paraId="7C4FE565">
      <w:pPr>
        <w:keepNext w:val="0"/>
        <w:keepLines w:val="0"/>
        <w:pageBreakBefore w:val="0"/>
        <w:widowControl w:val="0"/>
        <w:spacing w:line="560" w:lineRule="exact"/>
        <w:ind w:firstLine="482"/>
        <w:jc w:val="left"/>
        <w:rPr>
          <w:rFonts w:ascii="宋体" w:hAnsi="宋体" w:cs="宋体"/>
          <w:color w:val="auto"/>
          <w:sz w:val="24"/>
          <w:szCs w:val="20"/>
          <w:lang w:val="zh-CN"/>
        </w:rPr>
      </w:pPr>
      <w:r>
        <w:rPr>
          <w:rFonts w:hint="eastAsia" w:ascii="宋体" w:hAnsi="宋体" w:eastAsia="宋体" w:cs="宋体"/>
          <w:color w:val="auto"/>
          <w:sz w:val="24"/>
          <w:szCs w:val="20"/>
          <w:lang w:val="zh-CN"/>
        </w:rPr>
        <w:t>11.1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color w:val="auto"/>
          <w:sz w:val="24"/>
          <w:szCs w:val="20"/>
          <w:lang w:val="zh-CN"/>
        </w:rPr>
        <w:t>【</w:t>
      </w:r>
      <w:r>
        <w:rPr>
          <w:rFonts w:hint="eastAsia" w:ascii="宋体" w:hAnsi="宋体" w:cs="宋体"/>
          <w:b/>
          <w:bCs/>
          <w:color w:val="auto"/>
          <w:sz w:val="24"/>
          <w:szCs w:val="20"/>
          <w:lang w:val="zh-CN"/>
        </w:rPr>
        <w:t>政府采购合同专用条款</w:t>
      </w:r>
      <w:r>
        <w:rPr>
          <w:rFonts w:hint="eastAsia" w:ascii="宋体" w:hAnsi="宋体" w:cs="宋体"/>
          <w:color w:val="auto"/>
          <w:sz w:val="24"/>
          <w:szCs w:val="20"/>
          <w:lang w:val="zh-CN"/>
        </w:rPr>
        <w:t>】中约定。</w:t>
      </w:r>
    </w:p>
    <w:p w14:paraId="05098B02">
      <w:pPr>
        <w:keepNext w:val="0"/>
        <w:keepLines w:val="0"/>
        <w:pageBreakBefore w:val="0"/>
        <w:widowControl w:val="0"/>
        <w:spacing w:line="560" w:lineRule="exact"/>
        <w:ind w:firstLine="482"/>
        <w:jc w:val="left"/>
        <w:rPr>
          <w:rFonts w:hint="eastAsia" w:ascii="宋体" w:hAnsi="宋体" w:eastAsia="宋体" w:cs="宋体"/>
          <w:b/>
          <w:bCs/>
          <w:color w:val="auto"/>
          <w:sz w:val="24"/>
          <w:szCs w:val="20"/>
          <w:lang w:val="zh-CN"/>
        </w:rPr>
      </w:pPr>
      <w:r>
        <w:rPr>
          <w:rFonts w:hint="eastAsia" w:ascii="宋体" w:hAnsi="宋体" w:eastAsia="宋体" w:cs="宋体"/>
          <w:b/>
          <w:bCs/>
          <w:color w:val="auto"/>
          <w:sz w:val="24"/>
          <w:szCs w:val="20"/>
          <w:lang w:val="zh-CN"/>
        </w:rPr>
        <w:t>12.合同价款支付</w:t>
      </w:r>
    </w:p>
    <w:p w14:paraId="2D06C7EB">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12.1合同价款支付按照国库集中支付制度及财政管理相关规定执行。</w:t>
      </w:r>
    </w:p>
    <w:p w14:paraId="6F15422E">
      <w:pPr>
        <w:keepNext w:val="0"/>
        <w:keepLines w:val="0"/>
        <w:pageBreakBefore w:val="0"/>
        <w:widowControl w:val="0"/>
        <w:spacing w:line="560" w:lineRule="exact"/>
        <w:ind w:firstLine="482"/>
        <w:jc w:val="left"/>
        <w:rPr>
          <w:rFonts w:hint="eastAsia" w:ascii="宋体" w:hAnsi="宋体" w:eastAsia="Arial" w:cs="宋体"/>
          <w:color w:val="auto"/>
          <w:sz w:val="24"/>
          <w:szCs w:val="20"/>
          <w:lang w:val="zh-CN"/>
        </w:rPr>
      </w:pPr>
      <w:r>
        <w:rPr>
          <w:rFonts w:hint="eastAsia" w:ascii="宋体" w:hAnsi="宋体" w:eastAsia="宋体" w:cs="宋体"/>
          <w:color w:val="auto"/>
          <w:sz w:val="24"/>
          <w:szCs w:val="20"/>
          <w:lang w:val="zh-CN"/>
        </w:rPr>
        <w:t>12.2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eastAsia="Arial" w:cs="宋体"/>
          <w:color w:val="auto"/>
          <w:sz w:val="24"/>
          <w:szCs w:val="20"/>
          <w:lang w:val="zh-CN"/>
        </w:rPr>
        <w:t>【</w:t>
      </w:r>
      <w:r>
        <w:rPr>
          <w:rFonts w:hint="eastAsia" w:ascii="宋体" w:hAnsi="宋体" w:eastAsia="Arial" w:cs="宋体"/>
          <w:b/>
          <w:bCs/>
          <w:color w:val="auto"/>
          <w:sz w:val="24"/>
          <w:szCs w:val="20"/>
          <w:lang w:val="zh-CN"/>
        </w:rPr>
        <w:t>政府采购合同专用条款</w:t>
      </w:r>
      <w:r>
        <w:rPr>
          <w:rFonts w:hint="eastAsia" w:ascii="宋体" w:hAnsi="宋体" w:eastAsia="Arial" w:cs="宋体"/>
          <w:color w:val="auto"/>
          <w:sz w:val="24"/>
          <w:szCs w:val="20"/>
          <w:lang w:val="zh-CN"/>
        </w:rPr>
        <w:t>】中约定。</w:t>
      </w:r>
    </w:p>
    <w:p w14:paraId="339F5F11">
      <w:pPr>
        <w:keepNext w:val="0"/>
        <w:keepLines w:val="0"/>
        <w:pageBreakBefore w:val="0"/>
        <w:widowControl w:val="0"/>
        <w:spacing w:line="520" w:lineRule="exact"/>
        <w:ind w:firstLine="480"/>
        <w:rPr>
          <w:rFonts w:hint="eastAsia" w:ascii="宋体" w:hAnsi="宋体" w:eastAsia="Arial" w:cs="宋体"/>
          <w:b/>
          <w:bCs/>
          <w:color w:val="auto"/>
          <w:sz w:val="24"/>
          <w:szCs w:val="20"/>
          <w:lang w:val="zh-CN"/>
        </w:rPr>
      </w:pPr>
      <w:r>
        <w:rPr>
          <w:rFonts w:hint="eastAsia" w:ascii="宋体" w:hAnsi="宋体" w:eastAsia="Arial" w:cs="宋体"/>
          <w:b/>
          <w:bCs/>
          <w:color w:val="auto"/>
          <w:sz w:val="24"/>
          <w:szCs w:val="20"/>
          <w:lang w:val="zh-CN"/>
        </w:rPr>
        <w:t>13.履约保证金</w:t>
      </w:r>
    </w:p>
    <w:p w14:paraId="46A9FE7C">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13.1乙方应当以支票、汇票、本票或者金融机构、担保机构出具的保函等非现金形式提交。</w:t>
      </w:r>
    </w:p>
    <w:p w14:paraId="780A0D6C">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13.2如果乙方出现【</w:t>
      </w:r>
      <w:r>
        <w:rPr>
          <w:rFonts w:hint="eastAsia" w:ascii="宋体" w:hAnsi="宋体" w:eastAsia="宋体" w:cs="宋体"/>
          <w:b/>
          <w:bCs/>
          <w:color w:val="auto"/>
          <w:sz w:val="24"/>
          <w:szCs w:val="20"/>
          <w:lang w:val="zh-CN"/>
        </w:rPr>
        <w:t>政府采购合同专用条款</w:t>
      </w:r>
      <w:r>
        <w:rPr>
          <w:rFonts w:hint="eastAsia" w:ascii="宋体" w:hAnsi="宋体" w:eastAsia="宋体" w:cs="宋体"/>
          <w:color w:val="auto"/>
          <w:sz w:val="24"/>
          <w:szCs w:val="20"/>
          <w:lang w:val="zh-CN"/>
        </w:rPr>
        <w:t>】约定情形的，履约保证金不予退还；如果乙方未能按合同约定全面履行义务，甲方有权从履约保证金中取得补偿或赔偿，且不影响甲方要求乙方承担合同约定的超过履约保证金的违约责任的权利。</w:t>
      </w:r>
    </w:p>
    <w:p w14:paraId="21138E6B">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13.3甲方在项目通过验收后按照【</w:t>
      </w:r>
      <w:r>
        <w:rPr>
          <w:rFonts w:hint="eastAsia" w:ascii="宋体" w:hAnsi="宋体" w:eastAsia="宋体" w:cs="宋体"/>
          <w:b/>
          <w:bCs/>
          <w:color w:val="auto"/>
          <w:sz w:val="24"/>
          <w:szCs w:val="20"/>
          <w:lang w:val="zh-CN"/>
        </w:rPr>
        <w:t>政府采购合同专用条款</w:t>
      </w:r>
      <w:r>
        <w:rPr>
          <w:rFonts w:hint="eastAsia" w:ascii="宋体" w:hAnsi="宋体" w:eastAsia="宋体" w:cs="宋体"/>
          <w:color w:val="auto"/>
          <w:sz w:val="24"/>
          <w:szCs w:val="20"/>
          <w:lang w:val="zh-CN"/>
        </w:rPr>
        <w:t>】规定的时间内将履约保证金退还乙方；逾期退还的，乙方可要求甲方支付违约金，违约金按照【</w:t>
      </w:r>
      <w:r>
        <w:rPr>
          <w:rFonts w:hint="eastAsia" w:ascii="宋体" w:hAnsi="宋体" w:eastAsia="宋体" w:cs="宋体"/>
          <w:b/>
          <w:bCs/>
          <w:color w:val="auto"/>
          <w:sz w:val="24"/>
          <w:szCs w:val="20"/>
          <w:lang w:val="zh-CN"/>
        </w:rPr>
        <w:t>政府采购合同专用条款</w:t>
      </w:r>
      <w:r>
        <w:rPr>
          <w:rFonts w:hint="eastAsia" w:ascii="宋体" w:hAnsi="宋体" w:eastAsia="宋体" w:cs="宋体"/>
          <w:color w:val="auto"/>
          <w:sz w:val="24"/>
          <w:szCs w:val="20"/>
          <w:lang w:val="zh-CN"/>
        </w:rPr>
        <w:t>】规定支付。</w:t>
      </w:r>
    </w:p>
    <w:p w14:paraId="28440B6A">
      <w:pPr>
        <w:keepNext w:val="0"/>
        <w:keepLines w:val="0"/>
        <w:pageBreakBefore w:val="0"/>
        <w:widowControl w:val="0"/>
        <w:spacing w:line="520" w:lineRule="exact"/>
        <w:ind w:firstLine="480"/>
        <w:rPr>
          <w:rFonts w:ascii="宋体" w:hAnsi="宋体" w:cs="宋体"/>
          <w:b/>
          <w:bCs/>
          <w:color w:val="auto"/>
          <w:sz w:val="24"/>
          <w:szCs w:val="20"/>
          <w:lang w:val="zh-CN"/>
        </w:rPr>
      </w:pPr>
      <w:r>
        <w:rPr>
          <w:rFonts w:hint="eastAsia" w:ascii="宋体" w:hAnsi="宋体" w:cs="宋体"/>
          <w:b/>
          <w:bCs/>
          <w:color w:val="auto"/>
          <w:sz w:val="24"/>
          <w:szCs w:val="20"/>
          <w:lang w:val="zh-CN"/>
        </w:rPr>
        <w:t>14.售后服务</w:t>
      </w:r>
    </w:p>
    <w:p w14:paraId="5A3A17B0">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14.1除项目不涉及或采购活动中明确约定无须承担外，乙方还应提供下列服务：</w:t>
      </w:r>
    </w:p>
    <w:p w14:paraId="58958FB7">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（1）货物的现场移动、安装、调试、启动监督及技术支持；</w:t>
      </w:r>
    </w:p>
    <w:p w14:paraId="5B8476C4">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（2）提供货物组装和维修所需的专用工具和辅助材料；</w:t>
      </w:r>
    </w:p>
    <w:p w14:paraId="0BDE9F87">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（3）在【</w:t>
      </w:r>
      <w:r>
        <w:rPr>
          <w:rFonts w:hint="eastAsia" w:ascii="宋体" w:hAnsi="宋体" w:eastAsia="宋体" w:cs="宋体"/>
          <w:b/>
          <w:bCs/>
          <w:color w:val="auto"/>
          <w:sz w:val="24"/>
          <w:szCs w:val="20"/>
          <w:lang w:val="zh-CN"/>
        </w:rPr>
        <w:t>政府采购合同专用条款</w:t>
      </w:r>
      <w:r>
        <w:rPr>
          <w:rFonts w:hint="eastAsia" w:ascii="宋体" w:hAnsi="宋体" w:eastAsia="宋体" w:cs="宋体"/>
          <w:color w:val="auto"/>
          <w:sz w:val="24"/>
          <w:szCs w:val="20"/>
          <w:lang w:val="zh-CN"/>
        </w:rPr>
        <w:t>】约定的期限内对所有的货物实施运行监督、维修，但前提条件是该服务并不能免除乙方在质量保证期内所承担的义务；</w:t>
      </w:r>
    </w:p>
    <w:p w14:paraId="66CEBB43">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（4）在制造商所在地或指定现场就货物的安装、启动、运营、维护、废弃处置等对甲方操作人员进行培训；</w:t>
      </w:r>
    </w:p>
    <w:p w14:paraId="1F87FA6C">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（5）依照法律、行政法规的规定或者按照【</w:t>
      </w:r>
      <w:r>
        <w:rPr>
          <w:rFonts w:hint="eastAsia" w:ascii="宋体" w:hAnsi="宋体" w:eastAsia="宋体" w:cs="宋体"/>
          <w:b/>
          <w:bCs/>
          <w:color w:val="auto"/>
          <w:sz w:val="24"/>
          <w:szCs w:val="20"/>
          <w:lang w:val="zh-CN"/>
        </w:rPr>
        <w:t>政府采购合同专用条款</w:t>
      </w:r>
      <w:r>
        <w:rPr>
          <w:rFonts w:hint="eastAsia" w:ascii="宋体" w:hAnsi="宋体" w:eastAsia="宋体" w:cs="宋体"/>
          <w:color w:val="auto"/>
          <w:sz w:val="24"/>
          <w:szCs w:val="20"/>
          <w:lang w:val="zh-CN"/>
        </w:rPr>
        <w:t>】约定，货物在有效使用年限届满后应予回收的，乙方负有自行或者委托第三人对货物予以回收的义务；</w:t>
      </w:r>
    </w:p>
    <w:p w14:paraId="559A0C68">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（6）</w:t>
      </w:r>
      <w:r>
        <w:rPr>
          <w:rFonts w:hint="eastAsia" w:ascii="宋体" w:hAnsi="宋体" w:eastAsia="宋体" w:cs="宋体"/>
          <w:b/>
          <w:bCs/>
          <w:color w:val="auto"/>
          <w:sz w:val="24"/>
          <w:szCs w:val="20"/>
          <w:lang w:val="zh-CN"/>
        </w:rPr>
        <w:t>【政府采购合同专用条款</w:t>
      </w:r>
      <w:r>
        <w:rPr>
          <w:rFonts w:hint="eastAsia" w:ascii="宋体" w:hAnsi="宋体" w:eastAsia="宋体" w:cs="宋体"/>
          <w:color w:val="auto"/>
          <w:sz w:val="24"/>
          <w:szCs w:val="20"/>
          <w:lang w:val="zh-CN"/>
        </w:rPr>
        <w:t>】规定由乙方提供的其他服务。</w:t>
      </w:r>
    </w:p>
    <w:p w14:paraId="77FB4572">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14.2乙方提供的售后服务的费用已包含在合同价款中，甲方不再另行支付。</w:t>
      </w:r>
    </w:p>
    <w:p w14:paraId="4E1354DC">
      <w:pPr>
        <w:keepNext w:val="0"/>
        <w:keepLines w:val="0"/>
        <w:pageBreakBefore w:val="0"/>
        <w:widowControl w:val="0"/>
        <w:spacing w:line="560" w:lineRule="exact"/>
        <w:ind w:firstLine="482"/>
        <w:jc w:val="left"/>
        <w:rPr>
          <w:rFonts w:hint="eastAsia" w:ascii="宋体" w:hAnsi="宋体" w:eastAsia="宋体" w:cs="宋体"/>
          <w:b w:val="0"/>
          <w:bCs w:val="0"/>
          <w:color w:val="auto"/>
          <w:sz w:val="24"/>
          <w:szCs w:val="20"/>
          <w:lang w:val="zh-CN"/>
        </w:rPr>
      </w:pPr>
      <w:r>
        <w:rPr>
          <w:rFonts w:hint="eastAsia" w:ascii="宋体" w:hAnsi="宋体" w:eastAsia="宋体" w:cs="宋体"/>
          <w:b w:val="0"/>
          <w:bCs w:val="0"/>
          <w:color w:val="auto"/>
          <w:sz w:val="24"/>
          <w:szCs w:val="20"/>
          <w:lang w:val="zh-CN"/>
        </w:rPr>
        <w:t>15.违约责任</w:t>
      </w:r>
    </w:p>
    <w:p w14:paraId="5D56D0CB">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15.1质量瑕疵的违约责任</w:t>
      </w:r>
    </w:p>
    <w:p w14:paraId="1CB1A667">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乙方提供的产品不符合合同约定的质量标准或存在产品质量缺陷，甲方有权要求乙方根据【</w:t>
      </w:r>
      <w:r>
        <w:rPr>
          <w:rFonts w:hint="eastAsia" w:ascii="宋体" w:hAnsi="宋体" w:eastAsia="宋体" w:cs="宋体"/>
          <w:b/>
          <w:bCs/>
          <w:color w:val="auto"/>
          <w:sz w:val="24"/>
          <w:szCs w:val="20"/>
          <w:lang w:val="zh-CN"/>
        </w:rPr>
        <w:t>政府采购合同专用条款</w:t>
      </w:r>
      <w:r>
        <w:rPr>
          <w:rFonts w:hint="eastAsia" w:ascii="宋体" w:hAnsi="宋体" w:eastAsia="宋体" w:cs="宋体"/>
          <w:color w:val="auto"/>
          <w:sz w:val="24"/>
          <w:szCs w:val="20"/>
          <w:lang w:val="zh-CN"/>
        </w:rPr>
        <w:t>】要求及时修理、重作、更换，并承担由此给甲方造成的损失。</w:t>
      </w:r>
    </w:p>
    <w:p w14:paraId="1374B98F">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15.2迟延交货的违约责任</w:t>
      </w:r>
    </w:p>
    <w:p w14:paraId="6D7F5DA7">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486C1477">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（2）如果乙方没有按照合同规定的时间交货和提供相关服务，甲方有权从货款中扣除误期赔偿费而不影响合同项下的其他补救方法，赔偿费按【</w:t>
      </w:r>
      <w:r>
        <w:rPr>
          <w:rFonts w:hint="eastAsia" w:ascii="宋体" w:hAnsi="宋体" w:eastAsia="宋体" w:cs="宋体"/>
          <w:b w:val="0"/>
          <w:bCs w:val="0"/>
          <w:color w:val="auto"/>
          <w:sz w:val="24"/>
          <w:szCs w:val="20"/>
          <w:lang w:val="zh-CN"/>
        </w:rPr>
        <w:t>政府采购合同专用条款</w:t>
      </w:r>
      <w:r>
        <w:rPr>
          <w:rFonts w:hint="eastAsia" w:ascii="宋体" w:hAnsi="宋体" w:eastAsia="宋体" w:cs="宋体"/>
          <w:color w:val="auto"/>
          <w:sz w:val="24"/>
          <w:szCs w:val="20"/>
          <w:lang w:val="zh-CN"/>
        </w:rPr>
        <w:t>】规定执行。如果涉及公共利益，且赔偿金额无法弥补公共利益损失，甲方可要求继续履行或者采取其他补救措施。</w:t>
      </w:r>
    </w:p>
    <w:p w14:paraId="212D43E4">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15.3迟延支付的违约责任</w:t>
      </w:r>
    </w:p>
    <w:p w14:paraId="24393C57">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甲方存在迟延支付乙方合同款项的，应当承担【</w:t>
      </w:r>
      <w:r>
        <w:rPr>
          <w:rFonts w:hint="eastAsia" w:ascii="宋体" w:hAnsi="宋体" w:eastAsia="宋体" w:cs="宋体"/>
          <w:b/>
          <w:bCs/>
          <w:color w:val="auto"/>
          <w:sz w:val="24"/>
          <w:szCs w:val="20"/>
          <w:lang w:val="zh-CN"/>
        </w:rPr>
        <w:t>政府采购合同专用条款</w:t>
      </w:r>
      <w:r>
        <w:rPr>
          <w:rFonts w:hint="eastAsia" w:ascii="宋体" w:hAnsi="宋体" w:eastAsia="宋体" w:cs="宋体"/>
          <w:color w:val="auto"/>
          <w:sz w:val="24"/>
          <w:szCs w:val="20"/>
          <w:lang w:val="zh-CN"/>
        </w:rPr>
        <w:t>】规定的逾期付款利息。</w:t>
      </w:r>
    </w:p>
    <w:p w14:paraId="1AC95D99">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15.4其他违约责任根据项目实际需要按【</w:t>
      </w:r>
      <w:r>
        <w:rPr>
          <w:rFonts w:hint="eastAsia" w:ascii="宋体" w:hAnsi="宋体" w:eastAsia="宋体" w:cs="宋体"/>
          <w:b/>
          <w:bCs/>
          <w:color w:val="auto"/>
          <w:sz w:val="24"/>
          <w:szCs w:val="20"/>
          <w:lang w:val="zh-CN"/>
        </w:rPr>
        <w:t>政府采购合同专用条款</w:t>
      </w:r>
      <w:r>
        <w:rPr>
          <w:rFonts w:hint="eastAsia" w:ascii="宋体" w:hAnsi="宋体" w:eastAsia="宋体" w:cs="宋体"/>
          <w:color w:val="auto"/>
          <w:sz w:val="24"/>
          <w:szCs w:val="20"/>
          <w:lang w:val="zh-CN"/>
        </w:rPr>
        <w:t>】规定执行。</w:t>
      </w:r>
    </w:p>
    <w:p w14:paraId="6107F554">
      <w:pPr>
        <w:keepNext w:val="0"/>
        <w:keepLines w:val="0"/>
        <w:pageBreakBefore w:val="0"/>
        <w:widowControl w:val="0"/>
        <w:spacing w:line="560" w:lineRule="exact"/>
        <w:ind w:firstLine="482"/>
        <w:jc w:val="left"/>
        <w:rPr>
          <w:rFonts w:hint="eastAsia" w:ascii="宋体" w:hAnsi="宋体" w:eastAsia="宋体" w:cs="宋体"/>
          <w:b/>
          <w:bCs/>
          <w:color w:val="auto"/>
          <w:sz w:val="24"/>
          <w:szCs w:val="20"/>
          <w:lang w:val="zh-CN"/>
        </w:rPr>
      </w:pPr>
      <w:r>
        <w:rPr>
          <w:rFonts w:hint="eastAsia" w:ascii="宋体" w:hAnsi="宋体" w:eastAsia="宋体" w:cs="宋体"/>
          <w:b/>
          <w:bCs/>
          <w:color w:val="auto"/>
          <w:sz w:val="24"/>
          <w:szCs w:val="20"/>
          <w:lang w:val="zh-CN"/>
        </w:rPr>
        <w:t>16.合同变更、中止与终止</w:t>
      </w:r>
    </w:p>
    <w:p w14:paraId="283298E8">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16.1合同的变更</w:t>
      </w:r>
    </w:p>
    <w:p w14:paraId="7BDE5A11">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政府采购合同履行中，在不改变合同其他条款的前提下，甲方可以在合同价款10%的范围内追加与合同标的相同的货物，并就此与乙方协商一致后签订补充协议。</w:t>
      </w:r>
    </w:p>
    <w:p w14:paraId="7DD583D8">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16.2合同的中止</w:t>
      </w:r>
    </w:p>
    <w:p w14:paraId="6DA178A2">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（1）合同履行过程中因供应商就采购文件、采购过程或结果提起投诉的，甲方认为有必要的，可以中止合同的履行。</w:t>
      </w:r>
    </w:p>
    <w:p w14:paraId="269B7B2F">
      <w:pPr>
        <w:keepNext w:val="0"/>
        <w:keepLines w:val="0"/>
        <w:pageBreakBefore w:val="0"/>
        <w:widowControl w:val="0"/>
        <w:spacing w:line="560" w:lineRule="exact"/>
        <w:ind w:left="0"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42313E1C">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（3）乙方分立、合并或者变更住所的，应当及时以书面形式告知甲方。乙方没有及时告知甲方，致使合同履行发生困难的，甲方可以中止合同履行并要求乙方承担由此给甲方造成的损失。</w:t>
      </w:r>
    </w:p>
    <w:p w14:paraId="31153C38">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（4）甲方不得以行政区划调整、政府换届、机构或者职能调整以及相关责任人更替为由中止合同。</w:t>
      </w:r>
    </w:p>
    <w:p w14:paraId="2D178123">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16.3合同的终止</w:t>
      </w:r>
    </w:p>
    <w:p w14:paraId="30221E8A">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（1）合同因有效期限届满而终止；</w:t>
      </w:r>
    </w:p>
    <w:p w14:paraId="1D5E8623">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（2）乙方未按合同约定履行，构成根本性违约的，甲方有权终止合同，并追究乙方的违约责任。</w:t>
      </w:r>
    </w:p>
    <w:p w14:paraId="4DFA8F3C">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16.4涉及国家利益、社会公共利益的情形</w:t>
      </w:r>
    </w:p>
    <w:p w14:paraId="6599D287">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政府采购合同继续履行将损害国家利益和社会公共利益的，双方当事人应当变更、中止或者终止合同。有过错的一方应当承担赔偿责任，双方都有过错的，各自承担相应的责任。</w:t>
      </w:r>
    </w:p>
    <w:p w14:paraId="560AB9DA">
      <w:pPr>
        <w:keepNext w:val="0"/>
        <w:keepLines w:val="0"/>
        <w:pageBreakBefore w:val="0"/>
        <w:widowControl w:val="0"/>
        <w:spacing w:line="560" w:lineRule="exact"/>
        <w:ind w:firstLine="482"/>
        <w:jc w:val="left"/>
        <w:rPr>
          <w:rFonts w:hint="eastAsia" w:ascii="宋体" w:hAnsi="宋体" w:eastAsia="宋体" w:cs="宋体"/>
          <w:b/>
          <w:bCs/>
          <w:color w:val="auto"/>
          <w:sz w:val="24"/>
          <w:szCs w:val="20"/>
          <w:lang w:val="zh-CN"/>
        </w:rPr>
      </w:pPr>
      <w:r>
        <w:rPr>
          <w:rFonts w:hint="eastAsia" w:ascii="宋体" w:hAnsi="宋体" w:eastAsia="宋体" w:cs="宋体"/>
          <w:b/>
          <w:bCs/>
          <w:color w:val="auto"/>
          <w:sz w:val="24"/>
          <w:szCs w:val="20"/>
          <w:lang w:val="zh-CN"/>
        </w:rPr>
        <w:t>17.合同分包</w:t>
      </w:r>
    </w:p>
    <w:p w14:paraId="377C0EE1">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17.1乙方不得将合同转包给其他供应商。涉及合同分包的，乙方应根据采购文件和投标（响应）文件规定进行合同分包。</w:t>
      </w:r>
    </w:p>
    <w:p w14:paraId="4E47E707">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17.2乙方执行政府采购政策向中小企业依法分包的，乙方应当按采购文件和投标（响应）文件签订分包意向协议，分包意向协议属于本合同组成部分。</w:t>
      </w:r>
    </w:p>
    <w:p w14:paraId="5C5A0D92">
      <w:pPr>
        <w:keepNext w:val="0"/>
        <w:keepLines w:val="0"/>
        <w:pageBreakBefore w:val="0"/>
        <w:widowControl w:val="0"/>
        <w:spacing w:line="560" w:lineRule="exact"/>
        <w:ind w:firstLine="482"/>
        <w:jc w:val="left"/>
        <w:rPr>
          <w:rFonts w:hint="eastAsia" w:ascii="宋体" w:hAnsi="宋体" w:eastAsia="宋体" w:cs="宋体"/>
          <w:b/>
          <w:bCs/>
          <w:color w:val="auto"/>
          <w:sz w:val="24"/>
          <w:szCs w:val="20"/>
          <w:lang w:val="zh-CN"/>
        </w:rPr>
      </w:pPr>
      <w:r>
        <w:rPr>
          <w:rFonts w:hint="eastAsia" w:ascii="宋体" w:hAnsi="宋体" w:eastAsia="宋体" w:cs="宋体"/>
          <w:b/>
          <w:bCs/>
          <w:color w:val="auto"/>
          <w:sz w:val="24"/>
          <w:szCs w:val="20"/>
          <w:lang w:val="zh-CN"/>
        </w:rPr>
        <w:t>18.不可抗力</w:t>
      </w:r>
    </w:p>
    <w:p w14:paraId="003AB63B">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18.1不可抗力是指合同双方不能预见、不能避免且不能克服的客观情况。</w:t>
      </w:r>
    </w:p>
    <w:p w14:paraId="272FB67C">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18.2任何一方对由于不可抗力造成的部分或全部不能履行合同不承担违约责任。但迟延履行后发生不可抗力的，不能免除责任。</w:t>
      </w:r>
    </w:p>
    <w:p w14:paraId="6C4A31DA">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18.3遇有不可抗力的一方，应及时将事件情况以书面形式告知另一方，并在事件发生后及时向另一方提交合同不能履行或部分不能履行或需要延期履行的详细报告，以及证明不可抗力发生及其持续时间的证据。</w:t>
      </w:r>
    </w:p>
    <w:p w14:paraId="171F0410">
      <w:pPr>
        <w:keepNext w:val="0"/>
        <w:keepLines w:val="0"/>
        <w:pageBreakBefore w:val="0"/>
        <w:widowControl w:val="0"/>
        <w:spacing w:line="560" w:lineRule="exact"/>
        <w:ind w:firstLine="482"/>
        <w:jc w:val="left"/>
        <w:rPr>
          <w:rFonts w:hint="eastAsia" w:ascii="宋体" w:hAnsi="宋体" w:eastAsia="宋体" w:cs="宋体"/>
          <w:b/>
          <w:bCs/>
          <w:color w:val="auto"/>
          <w:sz w:val="24"/>
          <w:szCs w:val="20"/>
          <w:lang w:val="zh-CN"/>
        </w:rPr>
      </w:pPr>
      <w:r>
        <w:rPr>
          <w:rFonts w:hint="eastAsia" w:ascii="宋体" w:hAnsi="宋体" w:eastAsia="宋体" w:cs="宋体"/>
          <w:b/>
          <w:bCs/>
          <w:color w:val="auto"/>
          <w:sz w:val="24"/>
          <w:szCs w:val="20"/>
          <w:lang w:val="zh-CN"/>
        </w:rPr>
        <w:t>19.解决争议的方法</w:t>
      </w:r>
    </w:p>
    <w:p w14:paraId="7020650B">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19.1因本合同及合同有关事项发生的争议，由甲乙双方友好协商解决。协商不成时，可以向有关组织申请调解。合同一方或双方不愿调解或调解不成的，可以通过仲裁或诉讼的方式解决争议。</w:t>
      </w:r>
    </w:p>
    <w:p w14:paraId="7F8E1F4F">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19.2选择仲裁的，应在【</w:t>
      </w:r>
      <w:r>
        <w:rPr>
          <w:rFonts w:hint="eastAsia" w:ascii="宋体" w:hAnsi="宋体" w:eastAsia="宋体" w:cs="宋体"/>
          <w:b w:val="0"/>
          <w:bCs w:val="0"/>
          <w:color w:val="auto"/>
          <w:sz w:val="24"/>
          <w:szCs w:val="20"/>
          <w:lang w:val="zh-CN"/>
        </w:rPr>
        <w:t>政府采购合同专用条款</w:t>
      </w:r>
      <w:r>
        <w:rPr>
          <w:rFonts w:hint="eastAsia" w:ascii="宋体" w:hAnsi="宋体" w:eastAsia="宋体" w:cs="宋体"/>
          <w:color w:val="auto"/>
          <w:sz w:val="24"/>
          <w:szCs w:val="20"/>
          <w:lang w:val="zh-CN"/>
        </w:rPr>
        <w:t>】中明确仲裁机构及仲裁地；通过诉讼方式解决的，可以在【</w:t>
      </w:r>
      <w:r>
        <w:rPr>
          <w:rFonts w:hint="eastAsia" w:ascii="宋体" w:hAnsi="宋体" w:eastAsia="宋体" w:cs="宋体"/>
          <w:b w:val="0"/>
          <w:bCs w:val="0"/>
          <w:color w:val="auto"/>
          <w:sz w:val="24"/>
          <w:szCs w:val="20"/>
          <w:lang w:val="zh-CN"/>
        </w:rPr>
        <w:t>政府采购合同专用条款</w:t>
      </w:r>
      <w:r>
        <w:rPr>
          <w:rFonts w:hint="eastAsia" w:ascii="宋体" w:hAnsi="宋体" w:eastAsia="宋体" w:cs="宋体"/>
          <w:color w:val="auto"/>
          <w:sz w:val="24"/>
          <w:szCs w:val="20"/>
          <w:lang w:val="zh-CN"/>
        </w:rPr>
        <w:t>】中进一步约定选择与争议有实际联系的地点的人民法院管辖，但管辖法院的约定不得违反级别管辖和专属管辖的规定。</w:t>
      </w:r>
    </w:p>
    <w:p w14:paraId="60EA0C5F">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19.3如甲乙双方有争议的事项不影响合同其他部分的履行，在争议解决期间，合同其他部分应当继续履行。</w:t>
      </w:r>
    </w:p>
    <w:p w14:paraId="0E28B811">
      <w:pPr>
        <w:keepNext w:val="0"/>
        <w:keepLines w:val="0"/>
        <w:pageBreakBefore w:val="0"/>
        <w:widowControl w:val="0"/>
        <w:spacing w:line="560" w:lineRule="exact"/>
        <w:ind w:firstLine="482"/>
        <w:jc w:val="left"/>
        <w:rPr>
          <w:rFonts w:hint="eastAsia" w:ascii="宋体" w:hAnsi="宋体" w:eastAsia="宋体" w:cs="宋体"/>
          <w:b/>
          <w:bCs/>
          <w:color w:val="auto"/>
          <w:sz w:val="24"/>
          <w:szCs w:val="20"/>
          <w:lang w:val="zh-CN"/>
        </w:rPr>
      </w:pPr>
      <w:r>
        <w:rPr>
          <w:rFonts w:hint="eastAsia" w:ascii="宋体" w:hAnsi="宋体" w:eastAsia="宋体" w:cs="宋体"/>
          <w:b/>
          <w:bCs/>
          <w:color w:val="auto"/>
          <w:sz w:val="24"/>
          <w:szCs w:val="20"/>
          <w:lang w:val="zh-CN"/>
        </w:rPr>
        <w:t>20.政府采购政策</w:t>
      </w:r>
    </w:p>
    <w:p w14:paraId="4569A8B7">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20.1本合同应当按照规定执行政府采购政策。</w:t>
      </w:r>
    </w:p>
    <w:p w14:paraId="6C12EC9D">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20.2本合同依法执行政府采购政策的方式和内容，属于合同履约验收的范围。甲乙双方未按规定要求执行政府采购政策造成损失的，有过错的一方应当承担赔偿责任，双方都有过错的，各自承担相应的责任。</w:t>
      </w:r>
    </w:p>
    <w:p w14:paraId="152336C0">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20.3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7CC9CDC7">
      <w:pPr>
        <w:keepNext w:val="0"/>
        <w:keepLines w:val="0"/>
        <w:pageBreakBefore w:val="0"/>
        <w:widowControl w:val="0"/>
        <w:spacing w:line="560" w:lineRule="exact"/>
        <w:ind w:firstLine="482"/>
        <w:jc w:val="left"/>
        <w:rPr>
          <w:rFonts w:hint="eastAsia" w:ascii="宋体" w:hAnsi="宋体" w:eastAsia="宋体" w:cs="宋体"/>
          <w:b/>
          <w:bCs/>
          <w:color w:val="auto"/>
          <w:sz w:val="24"/>
          <w:szCs w:val="20"/>
          <w:lang w:val="zh-CN"/>
        </w:rPr>
      </w:pPr>
      <w:r>
        <w:rPr>
          <w:rFonts w:hint="eastAsia" w:ascii="宋体" w:hAnsi="宋体" w:eastAsia="宋体" w:cs="宋体"/>
          <w:b/>
          <w:bCs/>
          <w:color w:val="auto"/>
          <w:sz w:val="24"/>
          <w:szCs w:val="20"/>
          <w:lang w:val="zh-CN"/>
        </w:rPr>
        <w:t>21.法律适用</w:t>
      </w:r>
    </w:p>
    <w:p w14:paraId="242DA359">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21.1本合同的订立、生效、解释、履行及与本合同有关的争议解决，均适用法律、行政法规。</w:t>
      </w:r>
    </w:p>
    <w:p w14:paraId="375E1D1F">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21.2本合同条款与法律、行政法规的强制性规定不一致的，双方当事人应按照法律、行政法规的强制性规定修改本合同的相关条款。</w:t>
      </w:r>
    </w:p>
    <w:p w14:paraId="5EF37F2E">
      <w:pPr>
        <w:keepNext w:val="0"/>
        <w:keepLines w:val="0"/>
        <w:pageBreakBefore w:val="0"/>
        <w:widowControl w:val="0"/>
        <w:spacing w:line="560" w:lineRule="exact"/>
        <w:ind w:firstLine="482"/>
        <w:jc w:val="left"/>
        <w:rPr>
          <w:rFonts w:hint="eastAsia" w:ascii="宋体" w:hAnsi="宋体" w:eastAsia="宋体" w:cs="宋体"/>
          <w:b/>
          <w:bCs/>
          <w:color w:val="auto"/>
          <w:sz w:val="24"/>
          <w:szCs w:val="20"/>
          <w:lang w:val="zh-CN"/>
        </w:rPr>
      </w:pPr>
      <w:r>
        <w:rPr>
          <w:rFonts w:hint="eastAsia" w:ascii="宋体" w:hAnsi="宋体" w:eastAsia="宋体" w:cs="宋体"/>
          <w:b/>
          <w:bCs/>
          <w:color w:val="auto"/>
          <w:sz w:val="24"/>
          <w:szCs w:val="20"/>
          <w:lang w:val="zh-CN"/>
        </w:rPr>
        <w:t>22.通知</w:t>
      </w:r>
    </w:p>
    <w:p w14:paraId="735B03D1">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22.1本合同任何一方向对方发出的通知、信件、数据电文等，应当发送至本合同第一部分《政府采购合同协议书》所约定的通讯地址、联系人、联系电话或电子邮箱。</w:t>
      </w:r>
    </w:p>
    <w:p w14:paraId="490E7435">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22.2一方当事人变更名称、住所、联系人、联系电话或电子邮箱等信息的，应当在变更后3日内及时书面通知对方，对方实际收到变更通知前的送达仍为有效送达。</w:t>
      </w:r>
    </w:p>
    <w:p w14:paraId="6786ABC1">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22.3本合同一方给另一方的通知均应采用书面形式，传真或快递送到本合同中规定的对方的地址和办理签收手续。</w:t>
      </w:r>
    </w:p>
    <w:p w14:paraId="7FB2FA68">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22.4通知以送达之日或通知书中规定的生效之日起生效，两者中以较迟之日为准。</w:t>
      </w:r>
    </w:p>
    <w:p w14:paraId="116AA919">
      <w:pPr>
        <w:keepNext w:val="0"/>
        <w:keepLines w:val="0"/>
        <w:pageBreakBefore w:val="0"/>
        <w:widowControl w:val="0"/>
        <w:numPr>
          <w:ilvl w:val="0"/>
          <w:numId w:val="5"/>
        </w:numPr>
        <w:spacing w:line="560" w:lineRule="exact"/>
        <w:ind w:firstLine="482"/>
        <w:jc w:val="left"/>
        <w:rPr>
          <w:rFonts w:hint="eastAsia" w:ascii="宋体" w:hAnsi="宋体" w:eastAsia="宋体" w:cs="宋体"/>
          <w:b/>
          <w:bCs/>
          <w:color w:val="auto"/>
          <w:sz w:val="24"/>
          <w:szCs w:val="20"/>
          <w:lang w:val="zh-CN"/>
        </w:rPr>
      </w:pPr>
      <w:r>
        <w:rPr>
          <w:rFonts w:hint="eastAsia" w:ascii="宋体" w:hAnsi="宋体" w:eastAsia="宋体" w:cs="宋体"/>
          <w:b/>
          <w:bCs/>
          <w:color w:val="auto"/>
          <w:sz w:val="24"/>
          <w:szCs w:val="20"/>
          <w:lang w:val="zh-CN"/>
        </w:rPr>
        <w:t>合同未尽事项</w:t>
      </w:r>
    </w:p>
    <w:p w14:paraId="507231BA">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23.1合同未尽事项见</w:t>
      </w:r>
      <w:r>
        <w:rPr>
          <w:rFonts w:hint="eastAsia" w:ascii="宋体" w:hAnsi="宋体" w:eastAsia="宋体" w:cs="宋体"/>
          <w:b/>
          <w:bCs/>
          <w:color w:val="auto"/>
          <w:sz w:val="24"/>
          <w:szCs w:val="20"/>
          <w:lang w:val="zh-CN"/>
        </w:rPr>
        <w:t>【政府采购合同专用条款】</w:t>
      </w:r>
      <w:r>
        <w:rPr>
          <w:rFonts w:hint="eastAsia" w:ascii="宋体" w:hAnsi="宋体" w:eastAsia="宋体" w:cs="宋体"/>
          <w:color w:val="auto"/>
          <w:sz w:val="24"/>
          <w:szCs w:val="20"/>
          <w:lang w:val="zh-CN"/>
        </w:rPr>
        <w:t>。</w:t>
      </w:r>
    </w:p>
    <w:p w14:paraId="60D44B7C">
      <w:pPr>
        <w:keepNext w:val="0"/>
        <w:keepLines w:val="0"/>
        <w:pageBreakBefore w:val="0"/>
        <w:widowControl w:val="0"/>
        <w:spacing w:line="560" w:lineRule="exact"/>
        <w:ind w:firstLine="482"/>
        <w:jc w:val="left"/>
        <w:rPr>
          <w:rFonts w:hint="eastAsia" w:ascii="宋体" w:hAnsi="宋体" w:eastAsia="宋体" w:cs="宋体"/>
          <w:color w:val="auto"/>
          <w:sz w:val="24"/>
          <w:szCs w:val="20"/>
          <w:lang w:val="zh-CN"/>
        </w:rPr>
      </w:pPr>
      <w:r>
        <w:rPr>
          <w:rFonts w:hint="eastAsia" w:ascii="宋体" w:hAnsi="宋体" w:eastAsia="宋体" w:cs="宋体"/>
          <w:color w:val="auto"/>
          <w:sz w:val="24"/>
          <w:szCs w:val="20"/>
          <w:lang w:val="zh-CN"/>
        </w:rPr>
        <w:t>23.2合同附件与合同正文具有同等的法律效力。</w:t>
      </w:r>
    </w:p>
    <w:p w14:paraId="6E43FC74">
      <w:pPr>
        <w:keepNext/>
        <w:keepLines/>
        <w:spacing w:line="360" w:lineRule="auto"/>
        <w:jc w:val="center"/>
        <w:outlineLvl w:val="1"/>
        <w:rPr>
          <w:rFonts w:hint="eastAsia" w:ascii="黑体" w:hAnsi="华文中宋" w:eastAsia="黑体"/>
          <w:color w:val="auto"/>
          <w:sz w:val="24"/>
        </w:rPr>
      </w:pPr>
      <w:r>
        <w:rPr>
          <w:rFonts w:hint="eastAsia" w:ascii="黑体" w:hAnsi="华文中宋" w:eastAsia="黑体"/>
          <w:color w:val="auto"/>
          <w:sz w:val="24"/>
        </w:rPr>
        <w:br w:type="page" w:clear="all"/>
      </w:r>
      <w:r>
        <w:rPr>
          <w:rFonts w:hint="eastAsia" w:ascii="黑体" w:hAnsi="华文中宋" w:eastAsia="黑体"/>
          <w:color w:val="auto"/>
          <w:sz w:val="24"/>
        </w:rPr>
        <w:t>第三节政府采购合同专用条款</w:t>
      </w:r>
    </w:p>
    <w:tbl>
      <w:tblPr>
        <w:tblStyle w:val="42"/>
        <w:tblW w:w="9144"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301"/>
        <w:gridCol w:w="1476"/>
        <w:gridCol w:w="6367"/>
      </w:tblGrid>
      <w:tr w14:paraId="0FBB57DE">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301" w:type="dxa"/>
            <w:noWrap w:val="0"/>
            <w:vAlign w:val="center"/>
          </w:tcPr>
          <w:p w14:paraId="4DF447BF">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第二节</w:t>
            </w:r>
          </w:p>
          <w:p w14:paraId="01311CC1">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第1.2（6）项</w:t>
            </w:r>
          </w:p>
        </w:tc>
        <w:tc>
          <w:tcPr>
            <w:tcW w:w="1476" w:type="dxa"/>
            <w:noWrap w:val="0"/>
            <w:vAlign w:val="center"/>
          </w:tcPr>
          <w:p w14:paraId="2A4425E2">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联合体具体要求</w:t>
            </w:r>
          </w:p>
        </w:tc>
        <w:tc>
          <w:tcPr>
            <w:tcW w:w="6367" w:type="dxa"/>
            <w:noWrap w:val="0"/>
            <w:vAlign w:val="center"/>
          </w:tcPr>
          <w:p w14:paraId="09E1494C">
            <w:pPr>
              <w:keepNext w:val="0"/>
              <w:keepLines w:val="0"/>
              <w:suppressLineNumbers w:val="0"/>
              <w:spacing w:before="0" w:beforeAutospacing="0" w:after="0" w:afterAutospacing="0"/>
              <w:ind w:left="0" w:right="0"/>
              <w:jc w:val="left"/>
              <w:rPr>
                <w:rFonts w:hint="eastAsia" w:ascii="宋体" w:hAnsi="宋体" w:eastAsiaTheme="minorEastAsia"/>
                <w:color w:val="auto"/>
                <w:sz w:val="24"/>
                <w:lang w:val="en-US" w:eastAsia="zh-CN"/>
              </w:rPr>
            </w:pPr>
            <w:r>
              <w:rPr>
                <w:rFonts w:hint="eastAsia" w:ascii="宋体" w:hAnsi="宋体"/>
                <w:color w:val="auto"/>
                <w:sz w:val="24"/>
                <w:lang w:val="en-US" w:eastAsia="zh-CN"/>
              </w:rPr>
              <w:t>/</w:t>
            </w:r>
          </w:p>
        </w:tc>
      </w:tr>
      <w:tr w14:paraId="06C5C42E">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854" w:hRule="atLeast"/>
          <w:jc w:val="center"/>
        </w:trPr>
        <w:tc>
          <w:tcPr>
            <w:tcW w:w="1301" w:type="dxa"/>
            <w:noWrap w:val="0"/>
            <w:vAlign w:val="center"/>
          </w:tcPr>
          <w:p w14:paraId="504EE45F">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第二节</w:t>
            </w:r>
          </w:p>
          <w:p w14:paraId="0161B95A">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第1.2（7）项</w:t>
            </w:r>
          </w:p>
        </w:tc>
        <w:tc>
          <w:tcPr>
            <w:tcW w:w="1476" w:type="dxa"/>
            <w:noWrap w:val="0"/>
            <w:vAlign w:val="center"/>
          </w:tcPr>
          <w:p w14:paraId="4567115C">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其他术语解释</w:t>
            </w:r>
          </w:p>
        </w:tc>
        <w:tc>
          <w:tcPr>
            <w:tcW w:w="6367" w:type="dxa"/>
            <w:noWrap w:val="0"/>
            <w:vAlign w:val="center"/>
          </w:tcPr>
          <w:p w14:paraId="6F5F3732">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同合同通用条款</w:t>
            </w:r>
          </w:p>
        </w:tc>
      </w:tr>
      <w:tr w14:paraId="178CDE3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1415" w:hRule="atLeast"/>
          <w:jc w:val="center"/>
        </w:trPr>
        <w:tc>
          <w:tcPr>
            <w:tcW w:w="1301" w:type="dxa"/>
            <w:noWrap w:val="0"/>
            <w:vAlign w:val="center"/>
          </w:tcPr>
          <w:p w14:paraId="3FFB60FE">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第二节</w:t>
            </w:r>
          </w:p>
          <w:p w14:paraId="30EF252E">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第4.4款</w:t>
            </w:r>
          </w:p>
        </w:tc>
        <w:tc>
          <w:tcPr>
            <w:tcW w:w="1476" w:type="dxa"/>
            <w:noWrap w:val="0"/>
            <w:vAlign w:val="center"/>
          </w:tcPr>
          <w:p w14:paraId="52D50552">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履约验收中甲方提出异议或作出说明的期限</w:t>
            </w:r>
          </w:p>
        </w:tc>
        <w:tc>
          <w:tcPr>
            <w:tcW w:w="6367" w:type="dxa"/>
            <w:noWrap w:val="0"/>
            <w:vAlign w:val="center"/>
          </w:tcPr>
          <w:p w14:paraId="0D7CAA5C">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十五个工作日内</w:t>
            </w:r>
          </w:p>
        </w:tc>
      </w:tr>
      <w:tr w14:paraId="3D3159F8">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1135" w:hRule="atLeast"/>
          <w:jc w:val="center"/>
        </w:trPr>
        <w:tc>
          <w:tcPr>
            <w:tcW w:w="1301" w:type="dxa"/>
            <w:noWrap w:val="0"/>
            <w:vAlign w:val="center"/>
          </w:tcPr>
          <w:p w14:paraId="103EE353">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第二节</w:t>
            </w:r>
          </w:p>
          <w:p w14:paraId="65A32D37">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第4.6款</w:t>
            </w:r>
          </w:p>
        </w:tc>
        <w:tc>
          <w:tcPr>
            <w:tcW w:w="1476" w:type="dxa"/>
            <w:noWrap w:val="0"/>
            <w:vAlign w:val="center"/>
          </w:tcPr>
          <w:p w14:paraId="0AE36991">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约定甲方承担的其他义务和责任</w:t>
            </w:r>
          </w:p>
        </w:tc>
        <w:tc>
          <w:tcPr>
            <w:tcW w:w="6367" w:type="dxa"/>
            <w:noWrap w:val="0"/>
            <w:vAlign w:val="center"/>
          </w:tcPr>
          <w:p w14:paraId="36B3F808">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同合同通用条款</w:t>
            </w:r>
          </w:p>
        </w:tc>
      </w:tr>
      <w:tr w14:paraId="0EE66C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1135" w:hRule="atLeast"/>
          <w:jc w:val="center"/>
        </w:trPr>
        <w:tc>
          <w:tcPr>
            <w:tcW w:w="1301" w:type="dxa"/>
            <w:noWrap w:val="0"/>
            <w:vAlign w:val="center"/>
          </w:tcPr>
          <w:p w14:paraId="535FE39E">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第二节</w:t>
            </w:r>
          </w:p>
          <w:p w14:paraId="031E0A15">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第5.4款</w:t>
            </w:r>
          </w:p>
        </w:tc>
        <w:tc>
          <w:tcPr>
            <w:tcW w:w="1476" w:type="dxa"/>
            <w:noWrap w:val="0"/>
            <w:vAlign w:val="center"/>
          </w:tcPr>
          <w:p w14:paraId="6BF35452">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约定乙方承担的其他义务和责任</w:t>
            </w:r>
          </w:p>
        </w:tc>
        <w:tc>
          <w:tcPr>
            <w:tcW w:w="6367" w:type="dxa"/>
            <w:noWrap w:val="0"/>
            <w:vAlign w:val="center"/>
          </w:tcPr>
          <w:p w14:paraId="36CD9C75">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同合同通用条款</w:t>
            </w:r>
          </w:p>
        </w:tc>
      </w:tr>
      <w:tr w14:paraId="6276986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854" w:hRule="atLeast"/>
          <w:jc w:val="center"/>
        </w:trPr>
        <w:tc>
          <w:tcPr>
            <w:tcW w:w="1301" w:type="dxa"/>
            <w:noWrap w:val="0"/>
            <w:vAlign w:val="center"/>
          </w:tcPr>
          <w:p w14:paraId="0001E704">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第二节</w:t>
            </w:r>
          </w:p>
          <w:p w14:paraId="4B671816">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第6.1款</w:t>
            </w:r>
          </w:p>
        </w:tc>
        <w:tc>
          <w:tcPr>
            <w:tcW w:w="1476" w:type="dxa"/>
            <w:noWrap w:val="0"/>
            <w:vAlign w:val="center"/>
          </w:tcPr>
          <w:p w14:paraId="08E06B3B">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履行合同义务的顺序</w:t>
            </w:r>
          </w:p>
        </w:tc>
        <w:tc>
          <w:tcPr>
            <w:tcW w:w="6367" w:type="dxa"/>
            <w:noWrap w:val="0"/>
            <w:vAlign w:val="center"/>
          </w:tcPr>
          <w:p w14:paraId="149EBB68">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同协议书</w:t>
            </w:r>
          </w:p>
        </w:tc>
      </w:tr>
      <w:tr w14:paraId="3AAB31B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545" w:hRule="atLeast"/>
          <w:jc w:val="center"/>
        </w:trPr>
        <w:tc>
          <w:tcPr>
            <w:tcW w:w="1301" w:type="dxa"/>
            <w:vMerge w:val="restart"/>
            <w:noWrap w:val="0"/>
            <w:vAlign w:val="center"/>
          </w:tcPr>
          <w:p w14:paraId="4DA61D0B">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第二节</w:t>
            </w:r>
          </w:p>
          <w:p w14:paraId="323F0FB0">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第7.1款</w:t>
            </w:r>
          </w:p>
        </w:tc>
        <w:tc>
          <w:tcPr>
            <w:tcW w:w="1476" w:type="dxa"/>
            <w:noWrap w:val="0"/>
            <w:vAlign w:val="center"/>
          </w:tcPr>
          <w:p w14:paraId="748311AA">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包装特殊要求</w:t>
            </w:r>
          </w:p>
        </w:tc>
        <w:tc>
          <w:tcPr>
            <w:tcW w:w="6367" w:type="dxa"/>
            <w:noWrap w:val="0"/>
            <w:vAlign w:val="center"/>
          </w:tcPr>
          <w:p w14:paraId="1A80A3B1">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本项目中涉及商品包装和快递包装的，金属件:使用泡泡纸覆盖包装防止碰撞；板式件:不同板件用捆扎带分类打包，边角处用瓦楞纸覆盖，防止损坏；塑料件和五金件:使用瓦楞纸箱包装。使用包装材料应达参考《财政部办公厅关于印发《商品包装政府采购需求标准（试行）》、《快递包装政府采购需求标准（试行）》的通知》（财办库〔2020〕123号）规定的包装需求标准，现场包装物有供应商负责清理，做到：</w:t>
            </w:r>
          </w:p>
          <w:p w14:paraId="05D50B1A">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1.商品包装层数不得超过3层，空隙率不大于40%；</w:t>
            </w:r>
          </w:p>
          <w:p w14:paraId="18538A19">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2.商品包装尽可能使用单一材质的包装材料，如因功能需求必需使用不同材质，不同材质间应便于分离；</w:t>
            </w:r>
          </w:p>
          <w:p w14:paraId="48641B39">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3.商品包装中铅、汞、镉、六价铬的总含量应不大于100mg/kg；</w:t>
            </w:r>
          </w:p>
          <w:p w14:paraId="65B91E3C">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4.商品包装印刷使用的油墨中挥发性有机化合物(VOCs)含量应不大于5%（以重量计）；</w:t>
            </w:r>
          </w:p>
          <w:p w14:paraId="0323DB46">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5.塑料材质商品包装上呈现的印刷颜色不得超过6色；</w:t>
            </w:r>
          </w:p>
          <w:p w14:paraId="4B0E7F39">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6.纸质商品包装应使用75%以上的可再生纤维原料生产；</w:t>
            </w:r>
          </w:p>
          <w:p w14:paraId="4EE693EC">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7.木质商品包装的原料应来源于可持续性森林。</w:t>
            </w:r>
          </w:p>
          <w:p w14:paraId="65E7F5AF">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8.除合同另有规定外，乙方提供的全部货物均应按标准保护措施进行包装。该包装应适应于远距离运输、防潮、防震、防锈和防野蛮装卸，以确保货物安全无损运抵指定现场。由于包装不善所引起的货物锈蚀、损坏和损失均由乙方承担。</w:t>
            </w:r>
          </w:p>
          <w:p w14:paraId="61A943DA">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9每件包装箱内应附一份详细装箱单和质量合格凭证。</w:t>
            </w:r>
          </w:p>
        </w:tc>
      </w:tr>
      <w:tr w14:paraId="5B3035E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17" w:hRule="atLeast"/>
          <w:jc w:val="center"/>
        </w:trPr>
        <w:tc>
          <w:tcPr>
            <w:tcW w:w="1301" w:type="dxa"/>
            <w:vMerge w:val="continue"/>
            <w:noWrap w:val="0"/>
            <w:vAlign w:val="center"/>
          </w:tcPr>
          <w:p w14:paraId="6B0C80F7">
            <w:pPr>
              <w:keepNext w:val="0"/>
              <w:keepLines w:val="0"/>
              <w:suppressLineNumbers w:val="0"/>
              <w:spacing w:before="0" w:beforeAutospacing="0" w:after="0" w:afterAutospacing="0"/>
              <w:ind w:left="0" w:right="0"/>
              <w:jc w:val="center"/>
              <w:rPr>
                <w:rFonts w:hint="eastAsia" w:ascii="宋体" w:hAnsi="宋体"/>
                <w:color w:val="auto"/>
                <w:sz w:val="24"/>
              </w:rPr>
            </w:pPr>
          </w:p>
        </w:tc>
        <w:tc>
          <w:tcPr>
            <w:tcW w:w="1476" w:type="dxa"/>
            <w:noWrap w:val="0"/>
            <w:vAlign w:val="center"/>
          </w:tcPr>
          <w:p w14:paraId="61AED4D9">
            <w:pPr>
              <w:keepNext w:val="0"/>
              <w:keepLines w:val="0"/>
              <w:suppressLineNumbers w:val="0"/>
              <w:spacing w:before="0" w:beforeAutospacing="0" w:after="0" w:afterAutospacing="0"/>
              <w:ind w:left="0" w:right="0"/>
              <w:jc w:val="left"/>
              <w:rPr>
                <w:rFonts w:hint="eastAsia" w:ascii="宋体" w:hAnsi="宋体"/>
                <w:color w:val="auto"/>
                <w:sz w:val="24"/>
              </w:rPr>
            </w:pPr>
            <w:r>
              <w:rPr>
                <w:rFonts w:hint="eastAsia" w:ascii="宋体" w:hAnsi="宋体"/>
                <w:color w:val="auto"/>
                <w:sz w:val="24"/>
              </w:rPr>
              <w:t>指定现场</w:t>
            </w:r>
          </w:p>
        </w:tc>
        <w:tc>
          <w:tcPr>
            <w:tcW w:w="6367" w:type="dxa"/>
            <w:noWrap w:val="0"/>
            <w:vAlign w:val="center"/>
          </w:tcPr>
          <w:p w14:paraId="2CBE7C2F">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同协议书</w:t>
            </w:r>
          </w:p>
        </w:tc>
      </w:tr>
      <w:tr w14:paraId="4C47263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534" w:hRule="atLeast"/>
          <w:jc w:val="center"/>
        </w:trPr>
        <w:tc>
          <w:tcPr>
            <w:tcW w:w="1301" w:type="dxa"/>
            <w:noWrap w:val="0"/>
            <w:vAlign w:val="center"/>
          </w:tcPr>
          <w:p w14:paraId="770D07C4">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第二节</w:t>
            </w:r>
          </w:p>
          <w:p w14:paraId="5987AF4F">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第7.2款</w:t>
            </w:r>
          </w:p>
        </w:tc>
        <w:tc>
          <w:tcPr>
            <w:tcW w:w="1476" w:type="dxa"/>
            <w:noWrap w:val="0"/>
            <w:vAlign w:val="center"/>
          </w:tcPr>
          <w:p w14:paraId="2A837E00">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运输特殊要求</w:t>
            </w:r>
          </w:p>
        </w:tc>
        <w:tc>
          <w:tcPr>
            <w:tcW w:w="6367" w:type="dxa"/>
            <w:noWrap w:val="0"/>
            <w:vAlign w:val="center"/>
          </w:tcPr>
          <w:p w14:paraId="0FA0A1DA">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1.货物验收合格、交付使用并提供所需单据的日期视为交货日期。</w:t>
            </w:r>
          </w:p>
          <w:p w14:paraId="38D11A41">
            <w:pPr>
              <w:keepNext w:val="0"/>
              <w:keepLines w:val="0"/>
              <w:numPr>
                <w:ilvl w:val="0"/>
                <w:numId w:val="0"/>
              </w:numPr>
              <w:suppressLineNumbers w:val="0"/>
              <w:spacing w:before="0" w:beforeAutospacing="0" w:after="0" w:afterAutospacing="0" w:line="560" w:lineRule="exact"/>
              <w:ind w:left="0" w:right="0" w:firstLine="482"/>
              <w:rPr>
                <w:rFonts w:hint="eastAsia" w:ascii="宋体" w:hAnsi="宋体" w:eastAsia="宋体" w:cs="宋体"/>
                <w:color w:val="auto"/>
                <w:sz w:val="24"/>
                <w:szCs w:val="20"/>
              </w:rPr>
            </w:pPr>
            <w:r>
              <w:rPr>
                <w:rFonts w:hint="eastAsia" w:ascii="宋体" w:hAnsi="宋体" w:eastAsia="宋体" w:cs="宋体"/>
                <w:color w:val="auto"/>
                <w:sz w:val="24"/>
                <w:szCs w:val="20"/>
              </w:rPr>
              <w:t>2.乙方在货物发运手续办理完毕后24小时内或货到48小时前通知甲方，以准备接货。</w:t>
            </w:r>
          </w:p>
          <w:p w14:paraId="162B32E5">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3.乙方装运的货物不应超过合同规定的数量或重量。乙方应对超交数量或超重而产生的一切后果负责。</w:t>
            </w:r>
          </w:p>
          <w:p w14:paraId="1AB66021">
            <w:pPr>
              <w:keepNext w:val="0"/>
              <w:keepLines w:val="0"/>
              <w:numPr>
                <w:ilvl w:val="0"/>
                <w:numId w:val="0"/>
              </w:numPr>
              <w:suppressLineNumbers w:val="0"/>
              <w:spacing w:before="0" w:beforeAutospacing="0" w:after="0" w:afterAutospacing="0" w:line="560" w:lineRule="exact"/>
              <w:ind w:left="0" w:right="0" w:firstLine="482"/>
              <w:rPr>
                <w:rFonts w:hint="eastAsia" w:ascii="宋体" w:hAnsi="宋体" w:eastAsia="宋体" w:cs="宋体"/>
                <w:color w:val="auto"/>
                <w:sz w:val="24"/>
                <w:szCs w:val="20"/>
              </w:rPr>
            </w:pPr>
            <w:r>
              <w:rPr>
                <w:rFonts w:hint="eastAsia" w:ascii="宋体" w:hAnsi="宋体" w:eastAsia="宋体" w:cs="宋体"/>
                <w:color w:val="auto"/>
                <w:sz w:val="24"/>
                <w:szCs w:val="20"/>
              </w:rPr>
              <w:t>4.货物在交付甲方前发生的风险均由乙方负责。</w:t>
            </w:r>
          </w:p>
        </w:tc>
      </w:tr>
      <w:tr w14:paraId="34B4BAE8">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74" w:hRule="atLeast"/>
          <w:jc w:val="center"/>
        </w:trPr>
        <w:tc>
          <w:tcPr>
            <w:tcW w:w="1301" w:type="dxa"/>
            <w:noWrap w:val="0"/>
            <w:vAlign w:val="center"/>
          </w:tcPr>
          <w:p w14:paraId="3DF4F86E">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第二节</w:t>
            </w:r>
          </w:p>
          <w:p w14:paraId="4435EDA9">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第7.3款</w:t>
            </w:r>
          </w:p>
        </w:tc>
        <w:tc>
          <w:tcPr>
            <w:tcW w:w="1476" w:type="dxa"/>
            <w:noWrap w:val="0"/>
            <w:vAlign w:val="center"/>
          </w:tcPr>
          <w:p w14:paraId="126225B0">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保险要求</w:t>
            </w:r>
          </w:p>
        </w:tc>
        <w:tc>
          <w:tcPr>
            <w:tcW w:w="6367" w:type="dxa"/>
            <w:noWrap w:val="0"/>
            <w:vAlign w:val="center"/>
          </w:tcPr>
          <w:p w14:paraId="7F3D594E">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货物交货前由乙方承担保险义务</w:t>
            </w:r>
          </w:p>
        </w:tc>
      </w:tr>
      <w:tr w14:paraId="5E915DA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241" w:hRule="atLeast"/>
          <w:jc w:val="center"/>
        </w:trPr>
        <w:tc>
          <w:tcPr>
            <w:tcW w:w="1301" w:type="dxa"/>
            <w:noWrap w:val="0"/>
            <w:vAlign w:val="center"/>
          </w:tcPr>
          <w:p w14:paraId="4FC111DB">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第二节</w:t>
            </w:r>
          </w:p>
          <w:p w14:paraId="5F34CC61">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第8.2（1）项</w:t>
            </w:r>
          </w:p>
        </w:tc>
        <w:tc>
          <w:tcPr>
            <w:tcW w:w="1476" w:type="dxa"/>
            <w:noWrap w:val="0"/>
            <w:vAlign w:val="center"/>
          </w:tcPr>
          <w:p w14:paraId="12AC2CDD">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质量保证期</w:t>
            </w:r>
          </w:p>
        </w:tc>
        <w:tc>
          <w:tcPr>
            <w:tcW w:w="6367" w:type="dxa"/>
            <w:noWrap w:val="0"/>
            <w:vAlign w:val="center"/>
          </w:tcPr>
          <w:p w14:paraId="48327F4F">
            <w:pPr>
              <w:keepNext w:val="0"/>
              <w:keepLines w:val="0"/>
              <w:widowControl/>
              <w:numPr>
                <w:ilvl w:val="0"/>
                <w:numId w:val="0"/>
              </w:numPr>
              <w:suppressLineNumbers w:val="0"/>
              <w:spacing w:before="120" w:beforeAutospacing="0" w:after="12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1.货物免费质保期</w:t>
            </w:r>
            <w:r>
              <w:rPr>
                <w:rFonts w:hint="eastAsia" w:ascii="宋体" w:hAnsi="宋体" w:eastAsia="宋体" w:cs="宋体"/>
                <w:color w:val="auto"/>
                <w:sz w:val="24"/>
                <w:szCs w:val="20"/>
                <w:u w:val="single"/>
                <w:lang w:val="en-US" w:eastAsia="zh-CN"/>
              </w:rPr>
              <w:t>不少于三</w:t>
            </w:r>
            <w:r>
              <w:rPr>
                <w:rFonts w:hint="eastAsia" w:ascii="宋体" w:hAnsi="宋体" w:eastAsia="宋体" w:cs="宋体"/>
                <w:color w:val="auto"/>
                <w:sz w:val="24"/>
                <w:szCs w:val="20"/>
              </w:rPr>
              <w:t>年</w:t>
            </w:r>
            <w:r>
              <w:rPr>
                <w:rStyle w:val="45"/>
                <w:rFonts w:hint="eastAsia" w:ascii="Segoe UI" w:hAnsi="Segoe UI" w:eastAsia="Segoe UI" w:cs="Segoe UI"/>
                <w:b/>
                <w:bCs/>
                <w:i w:val="0"/>
                <w:iCs w:val="0"/>
                <w:caps w:val="0"/>
                <w:color w:val="auto"/>
                <w:spacing w:val="0"/>
                <w:sz w:val="24"/>
                <w:szCs w:val="24"/>
                <w:shd w:val="clear" w:color="auto" w:fill="FFFFFF"/>
              </w:rPr>
              <w:t>（由中标供应商在投标文件中承诺并填写）</w:t>
            </w:r>
            <w:r>
              <w:rPr>
                <w:rFonts w:hint="eastAsia" w:ascii="宋体" w:hAnsi="宋体" w:eastAsia="宋体" w:cs="宋体"/>
                <w:color w:val="auto"/>
                <w:sz w:val="24"/>
                <w:szCs w:val="20"/>
              </w:rPr>
              <w:t>。（自交货验收合格之日起计），因人为因素出现的故障不在免费保修范围内。超过保修期的机器设备，终生维修，维修时只收部件成本费。</w:t>
            </w:r>
          </w:p>
        </w:tc>
      </w:tr>
      <w:tr w14:paraId="0B7ACAD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1020" w:hRule="atLeast"/>
          <w:jc w:val="center"/>
        </w:trPr>
        <w:tc>
          <w:tcPr>
            <w:tcW w:w="1301" w:type="dxa"/>
            <w:noWrap w:val="0"/>
            <w:vAlign w:val="center"/>
          </w:tcPr>
          <w:p w14:paraId="55D3BB63">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第二节</w:t>
            </w:r>
          </w:p>
          <w:p w14:paraId="2B61983E">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第8.2（3）项</w:t>
            </w:r>
          </w:p>
        </w:tc>
        <w:tc>
          <w:tcPr>
            <w:tcW w:w="1476" w:type="dxa"/>
            <w:noWrap w:val="0"/>
            <w:vAlign w:val="center"/>
          </w:tcPr>
          <w:p w14:paraId="317F3289">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货物质量缺陷</w:t>
            </w:r>
          </w:p>
          <w:p w14:paraId="67ADE397">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响应时间</w:t>
            </w:r>
          </w:p>
        </w:tc>
        <w:tc>
          <w:tcPr>
            <w:tcW w:w="6367" w:type="dxa"/>
            <w:noWrap w:val="0"/>
            <w:vAlign w:val="center"/>
          </w:tcPr>
          <w:p w14:paraId="1FC39C4F">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如在使用过程中发生质量问题，乙方在接到甲方通知后在</w:t>
            </w:r>
            <w:r>
              <w:rPr>
                <w:rFonts w:hint="eastAsia" w:ascii="宋体" w:hAnsi="宋体" w:eastAsia="宋体" w:cs="宋体"/>
                <w:color w:val="auto"/>
                <w:sz w:val="24"/>
                <w:szCs w:val="20"/>
                <w:u w:val="none"/>
              </w:rPr>
              <w:t>8</w:t>
            </w:r>
            <w:r>
              <w:rPr>
                <w:rFonts w:hint="eastAsia" w:ascii="宋体" w:hAnsi="宋体" w:eastAsia="宋体" w:cs="宋体"/>
                <w:color w:val="auto"/>
                <w:sz w:val="24"/>
                <w:szCs w:val="20"/>
              </w:rPr>
              <w:t>小时内到达甲方现场。</w:t>
            </w:r>
          </w:p>
        </w:tc>
      </w:tr>
      <w:tr w14:paraId="08243AF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8562" w:hRule="atLeast"/>
          <w:jc w:val="center"/>
        </w:trPr>
        <w:tc>
          <w:tcPr>
            <w:tcW w:w="1301" w:type="dxa"/>
            <w:noWrap w:val="0"/>
            <w:vAlign w:val="center"/>
          </w:tcPr>
          <w:p w14:paraId="68CC08FF">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第二节</w:t>
            </w:r>
          </w:p>
          <w:p w14:paraId="50CB2B51">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第8款补充</w:t>
            </w:r>
          </w:p>
        </w:tc>
        <w:tc>
          <w:tcPr>
            <w:tcW w:w="1476" w:type="dxa"/>
            <w:noWrap w:val="0"/>
            <w:vAlign w:val="center"/>
          </w:tcPr>
          <w:p w14:paraId="1F71867E">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质量保证要求</w:t>
            </w:r>
          </w:p>
        </w:tc>
        <w:tc>
          <w:tcPr>
            <w:tcW w:w="6367" w:type="dxa"/>
            <w:noWrap w:val="0"/>
            <w:vAlign w:val="center"/>
          </w:tcPr>
          <w:p w14:paraId="2C616621">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rPr>
              <w:t>1.在质保期内，乙方应对货物出现的质量及安全问题负责处理解决并承担一切费用</w:t>
            </w:r>
            <w:r>
              <w:rPr>
                <w:rFonts w:hint="eastAsia" w:ascii="宋体" w:hAnsi="宋体" w:eastAsia="宋体" w:cs="宋体"/>
                <w:color w:val="auto"/>
                <w:sz w:val="24"/>
                <w:szCs w:val="20"/>
                <w:highlight w:val="none"/>
              </w:rPr>
              <w:t>（因甲方不当使用的除外）。</w:t>
            </w:r>
          </w:p>
          <w:p w14:paraId="73646FBD">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2.乙方应按照国家有关法律法规规章和“三包”规定以及招标文件售后服务要求及投标文件售后服务承诺提供售后服务。</w:t>
            </w:r>
          </w:p>
          <w:p w14:paraId="744531A4">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3.所有货物保修服务方式均为乙方上门保修，由乙方派员到货物使用现场维修，所产生的一切费用由乙方承担。</w:t>
            </w:r>
          </w:p>
          <w:p w14:paraId="0551163A">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4.乙方负责提供本项目范围内所使用的所有货物、材料、装置的原产地证明、质保文件和相应的等级标准证明并承诺向甲方提供有关产品制造的质保证明。乙方所提供的货物，若技术性能无特殊说明，则按国家有关部门最新颁布的产品标准为准。</w:t>
            </w:r>
          </w:p>
          <w:p w14:paraId="668F199E">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5.甲方有权对乙方进行飞行检查，如果发现任何问题乙方必须无条件返工，甚至可以终止合同，乙方需赔偿甲方因此而造成的所有损失，飞行检查过程中发生的食宿、交通等费用由甲方自行承担。</w:t>
            </w:r>
          </w:p>
          <w:p w14:paraId="4EA3000D">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6.货物、材料运抵现场后，在甲方和甲方聘请的监理或质检人员在场的情况下进行开箱检验后由乙方负责保管。必要时甲方可以采取破坏性检验，将有关货物和材料送货物到达地的质检部门检验，如果检验合格，检验费由甲方负担；如果检验不合格，则检验费由乙方负担。</w:t>
            </w:r>
          </w:p>
          <w:p w14:paraId="21B4934A">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7.对货物的品牌、型号、数量、产地等进行检查和清点，同类型的所有货物和材料应属同一制造商的同一地产品。如检验中发现短缺、损坏或假冒伪劣商品，乙方应立即采取补救措施，不得因此影响供货，否则一切损失由乙方负责。</w:t>
            </w:r>
          </w:p>
          <w:p w14:paraId="5D9A73DF">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8.乙方应保证货物是全新、未使用过的，是用一流的工艺和最佳材料制造的、合法渠道进货的正宗、未使用过的原装合格正品，产品质量完全符合国家规定的产品质量标准，并完全符合合同规定的质量、规格和性能的要求。乙方应保证其货物在正确安装、正常使用和保养条件下，在其使用寿命期内应具有满意的性能。</w:t>
            </w:r>
          </w:p>
        </w:tc>
      </w:tr>
      <w:tr w14:paraId="1205AFC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854" w:hRule="atLeast"/>
          <w:jc w:val="center"/>
        </w:trPr>
        <w:tc>
          <w:tcPr>
            <w:tcW w:w="1301" w:type="dxa"/>
            <w:noWrap w:val="0"/>
            <w:vAlign w:val="center"/>
          </w:tcPr>
          <w:p w14:paraId="6AC126AD">
            <w:pPr>
              <w:keepNext w:val="0"/>
              <w:keepLines w:val="0"/>
              <w:suppressLineNumbers w:val="0"/>
              <w:spacing w:before="0" w:beforeAutospacing="0" w:after="0" w:afterAutospacing="0"/>
              <w:ind w:left="0" w:right="0"/>
              <w:jc w:val="center"/>
              <w:rPr>
                <w:rFonts w:hint="eastAsia" w:ascii="宋体" w:hAnsi="宋体" w:cstheme="minorBidi"/>
                <w:color w:val="auto"/>
                <w:sz w:val="24"/>
              </w:rPr>
            </w:pPr>
            <w:r>
              <w:rPr>
                <w:rFonts w:hint="eastAsia" w:ascii="宋体" w:hAnsi="宋体" w:cstheme="minorBidi"/>
                <w:color w:val="auto"/>
                <w:sz w:val="24"/>
              </w:rPr>
              <w:t>第二节</w:t>
            </w:r>
          </w:p>
          <w:p w14:paraId="3E706CBD">
            <w:pPr>
              <w:keepNext w:val="0"/>
              <w:keepLines w:val="0"/>
              <w:widowControl/>
              <w:suppressLineNumbers w:val="0"/>
              <w:spacing w:before="0" w:beforeAutospacing="0" w:after="0" w:afterAutospacing="0" w:line="240" w:lineRule="auto"/>
              <w:ind w:left="0" w:right="0"/>
              <w:jc w:val="center"/>
              <w:rPr>
                <w:rFonts w:hint="eastAsia" w:ascii="宋体" w:hAnsi="宋体" w:eastAsiaTheme="minorEastAsia" w:cstheme="minorBidi"/>
                <w:color w:val="auto"/>
                <w:sz w:val="24"/>
              </w:rPr>
            </w:pPr>
            <w:r>
              <w:rPr>
                <w:rFonts w:hint="eastAsia" w:ascii="宋体" w:hAnsi="宋体" w:cstheme="minorBidi"/>
                <w:color w:val="auto"/>
                <w:sz w:val="24"/>
              </w:rPr>
              <w:t>第11.1款</w:t>
            </w:r>
          </w:p>
        </w:tc>
        <w:tc>
          <w:tcPr>
            <w:tcW w:w="1476" w:type="dxa"/>
            <w:noWrap w:val="0"/>
            <w:vAlign w:val="center"/>
          </w:tcPr>
          <w:p w14:paraId="01AEACFD">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其他应当保密的信息</w:t>
            </w:r>
          </w:p>
        </w:tc>
        <w:tc>
          <w:tcPr>
            <w:tcW w:w="6367" w:type="dxa"/>
            <w:noWrap w:val="0"/>
            <w:vAlign w:val="center"/>
          </w:tcPr>
          <w:p w14:paraId="5CBFBD93">
            <w:pPr>
              <w:keepNext w:val="0"/>
              <w:keepLines w:val="0"/>
              <w:suppressLineNumbers w:val="0"/>
              <w:spacing w:before="0" w:beforeAutospacing="0" w:after="0" w:afterAutospacing="0"/>
              <w:ind w:left="0" w:right="0"/>
              <w:jc w:val="left"/>
              <w:rPr>
                <w:rFonts w:hint="eastAsia" w:ascii="宋体" w:hAnsi="宋体" w:eastAsiaTheme="minorEastAsia"/>
                <w:color w:val="auto"/>
                <w:sz w:val="24"/>
                <w:lang w:val="en-US" w:eastAsia="zh-CN"/>
              </w:rPr>
            </w:pPr>
            <w:r>
              <w:rPr>
                <w:rFonts w:hint="eastAsia" w:ascii="宋体" w:hAnsi="宋体"/>
                <w:color w:val="auto"/>
                <w:sz w:val="24"/>
                <w:lang w:val="en-US" w:eastAsia="zh-CN"/>
              </w:rPr>
              <w:t>/</w:t>
            </w:r>
          </w:p>
        </w:tc>
      </w:tr>
      <w:tr w14:paraId="24208698">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528" w:hRule="atLeast"/>
          <w:jc w:val="center"/>
        </w:trPr>
        <w:tc>
          <w:tcPr>
            <w:tcW w:w="1301" w:type="dxa"/>
            <w:noWrap w:val="0"/>
            <w:vAlign w:val="center"/>
          </w:tcPr>
          <w:p w14:paraId="425B514F">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第二节</w:t>
            </w:r>
          </w:p>
          <w:p w14:paraId="61DEEE18">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第12.2款</w:t>
            </w:r>
          </w:p>
        </w:tc>
        <w:tc>
          <w:tcPr>
            <w:tcW w:w="1476" w:type="dxa"/>
            <w:noWrap w:val="0"/>
            <w:vAlign w:val="center"/>
          </w:tcPr>
          <w:p w14:paraId="01E07F28">
            <w:pPr>
              <w:keepNext w:val="0"/>
              <w:keepLines w:val="0"/>
              <w:suppressLineNumbers w:val="0"/>
              <w:spacing w:before="0" w:beforeAutospacing="0" w:after="0" w:afterAutospacing="0"/>
              <w:ind w:left="0" w:right="0"/>
              <w:jc w:val="center"/>
              <w:rPr>
                <w:rFonts w:hint="eastAsia" w:ascii="宋体" w:hAnsi="宋体"/>
                <w:color w:val="auto"/>
                <w:sz w:val="24"/>
                <w:highlight w:val="none"/>
              </w:rPr>
            </w:pPr>
            <w:r>
              <w:rPr>
                <w:rFonts w:hint="eastAsia" w:ascii="宋体" w:hAnsi="宋体"/>
                <w:color w:val="auto"/>
                <w:sz w:val="24"/>
              </w:rPr>
              <w:t>合同价款支付时</w:t>
            </w:r>
            <w:r>
              <w:rPr>
                <w:rFonts w:hint="eastAsia" w:ascii="宋体" w:hAnsi="宋体"/>
                <w:color w:val="auto"/>
                <w:sz w:val="24"/>
                <w:highlight w:val="none"/>
              </w:rPr>
              <w:t>间及要求</w:t>
            </w:r>
          </w:p>
        </w:tc>
        <w:tc>
          <w:tcPr>
            <w:tcW w:w="6367" w:type="dxa"/>
            <w:noWrap w:val="0"/>
            <w:vAlign w:val="center"/>
          </w:tcPr>
          <w:p w14:paraId="78F77BB3">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rPr>
              <w:t>1.合同款</w:t>
            </w:r>
            <w:r>
              <w:rPr>
                <w:rFonts w:hint="eastAsia" w:ascii="宋体" w:hAnsi="宋体" w:eastAsia="宋体" w:cs="宋体"/>
                <w:color w:val="auto"/>
                <w:sz w:val="24"/>
                <w:szCs w:val="20"/>
                <w:highlight w:val="none"/>
              </w:rPr>
              <w:t>项的支付方式及进度安排：</w:t>
            </w:r>
          </w:p>
          <w:p w14:paraId="76379B7D">
            <w:pPr>
              <w:keepNext w:val="0"/>
              <w:keepLines w:val="0"/>
              <w:widowControl/>
              <w:numPr>
                <w:ilvl w:val="0"/>
                <w:numId w:val="6"/>
              </w:numPr>
              <w:suppressLineNumbers w:val="0"/>
              <w:spacing w:before="0" w:beforeAutospacing="0" w:after="0" w:afterAutospacing="0" w:line="560" w:lineRule="exact"/>
              <w:ind w:left="0" w:right="0" w:firstLine="480"/>
              <w:jc w:val="left"/>
              <w:rPr>
                <w:rFonts w:hint="eastAsia" w:ascii="宋体" w:hAnsi="宋体" w:eastAsia="宋体" w:cs="宋体"/>
                <w:color w:val="auto"/>
                <w:sz w:val="24"/>
                <w:szCs w:val="20"/>
                <w:u w:val="single"/>
              </w:rPr>
            </w:pPr>
            <w:r>
              <w:rPr>
                <w:rFonts w:hint="eastAsia" w:ascii="宋体" w:hAnsi="宋体" w:eastAsia="宋体" w:cs="宋体"/>
                <w:color w:val="auto"/>
                <w:sz w:val="24"/>
                <w:szCs w:val="20"/>
                <w:u w:val="single"/>
              </w:rPr>
              <w:t>预付款：合同签订生效并收到合规发票后10个工作日内，支付合同总价的30%；</w:t>
            </w:r>
          </w:p>
          <w:p w14:paraId="68698159">
            <w:pPr>
              <w:keepNext w:val="0"/>
              <w:keepLines w:val="0"/>
              <w:widowControl/>
              <w:numPr>
                <w:ilvl w:val="0"/>
                <w:numId w:val="6"/>
              </w:numPr>
              <w:suppressLineNumbers w:val="0"/>
              <w:spacing w:before="0" w:beforeAutospacing="0" w:after="0" w:afterAutospacing="0" w:line="560" w:lineRule="exact"/>
              <w:ind w:left="0" w:right="0" w:firstLine="480"/>
              <w:jc w:val="left"/>
              <w:rPr>
                <w:rFonts w:hint="eastAsia" w:ascii="宋体" w:hAnsi="宋体" w:eastAsia="宋体" w:cs="宋体"/>
                <w:color w:val="auto"/>
                <w:sz w:val="24"/>
                <w:szCs w:val="20"/>
                <w:u w:val="single"/>
              </w:rPr>
            </w:pPr>
            <w:r>
              <w:rPr>
                <w:rFonts w:hint="eastAsia" w:ascii="宋体" w:hAnsi="宋体" w:eastAsia="宋体" w:cs="宋体"/>
                <w:color w:val="auto"/>
                <w:sz w:val="24"/>
                <w:szCs w:val="20"/>
                <w:u w:val="single"/>
              </w:rPr>
              <w:t>进度款：货物安装调试完毕并初步验收合格后，收到合规发票后10个工作日内，支付至合同总价的</w:t>
            </w:r>
            <w:r>
              <w:rPr>
                <w:rFonts w:hint="eastAsia" w:ascii="宋体" w:hAnsi="宋体" w:eastAsia="宋体" w:cs="宋体"/>
                <w:color w:val="auto"/>
                <w:sz w:val="24"/>
                <w:szCs w:val="20"/>
                <w:u w:val="single"/>
                <w:lang w:val="en-US" w:eastAsia="zh-CN"/>
              </w:rPr>
              <w:t>100</w:t>
            </w:r>
            <w:r>
              <w:rPr>
                <w:rFonts w:hint="eastAsia" w:ascii="宋体" w:hAnsi="宋体" w:eastAsia="宋体" w:cs="宋体"/>
                <w:color w:val="auto"/>
                <w:sz w:val="24"/>
                <w:szCs w:val="20"/>
                <w:u w:val="single"/>
              </w:rPr>
              <w:t>%；</w:t>
            </w:r>
          </w:p>
          <w:p w14:paraId="4E997CC4">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2.当合同采购数量与实际使用数量不一致时，乙方应根据实际使用量供货，合同的最终结算金额按实际使用量乘以成交单价进行计算。乙方应按照与甲方签订的合同规定交货。交货后乙方应向甲方提供下列单据，甲方按合同规定审核后付款：</w:t>
            </w:r>
          </w:p>
          <w:p w14:paraId="47B5BCEE">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(1)发票；</w:t>
            </w:r>
          </w:p>
          <w:p w14:paraId="1F4A20B5">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(2)制造厂家出具的质量检验证书等；</w:t>
            </w:r>
          </w:p>
          <w:p w14:paraId="79ED5E36">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(3)装箱单；</w:t>
            </w:r>
          </w:p>
          <w:p w14:paraId="4329D0FB">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color w:val="auto"/>
                <w:sz w:val="24"/>
              </w:rPr>
            </w:pPr>
            <w:r>
              <w:rPr>
                <w:rFonts w:hint="eastAsia" w:ascii="宋体" w:hAnsi="宋体" w:eastAsia="宋体" w:cs="宋体"/>
                <w:color w:val="auto"/>
                <w:sz w:val="24"/>
                <w:szCs w:val="20"/>
              </w:rPr>
              <w:t>(4)甲方加盖公章证明交付使用合格的验收单。</w:t>
            </w:r>
          </w:p>
        </w:tc>
      </w:tr>
      <w:tr w14:paraId="43264B8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1424" w:hRule="atLeast"/>
          <w:jc w:val="center"/>
        </w:trPr>
        <w:tc>
          <w:tcPr>
            <w:tcW w:w="1301" w:type="dxa"/>
            <w:noWrap w:val="0"/>
            <w:vAlign w:val="center"/>
          </w:tcPr>
          <w:p w14:paraId="1F8D95BB">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第二节</w:t>
            </w:r>
          </w:p>
          <w:p w14:paraId="13182B0B">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第13.2款</w:t>
            </w:r>
          </w:p>
        </w:tc>
        <w:tc>
          <w:tcPr>
            <w:tcW w:w="1476" w:type="dxa"/>
            <w:noWrap w:val="0"/>
            <w:vAlign w:val="center"/>
          </w:tcPr>
          <w:p w14:paraId="29EAF9C8">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履约保证金不予退还的情形</w:t>
            </w:r>
          </w:p>
        </w:tc>
        <w:tc>
          <w:tcPr>
            <w:tcW w:w="6367" w:type="dxa"/>
            <w:noWrap w:val="0"/>
            <w:vAlign w:val="center"/>
          </w:tcPr>
          <w:p w14:paraId="4395ECEC">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除不可抗力情况外，投标人出现下列情形之一的，其履约保证金，招标人将视情节决定不予退还或部分不予退还。</w:t>
            </w:r>
          </w:p>
          <w:p w14:paraId="616F2851">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（1）中标人无正当理由拒绝签订合同的，或者在签订合同时向采购人提出附加条件或者更改合同实质性内容要求的；</w:t>
            </w:r>
          </w:p>
          <w:p w14:paraId="290091FA">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（2）中标人不履行与采购人订立的合同的；</w:t>
            </w:r>
          </w:p>
          <w:p w14:paraId="5AB8D901">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（3）中标人所供货物或服务不符合招标文件规定要求的；</w:t>
            </w:r>
          </w:p>
          <w:p w14:paraId="5C7BCB44">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（4）中标人采取欺骗、弄虚作假方式投标的或与其它投标人串通投标的；</w:t>
            </w:r>
          </w:p>
          <w:p w14:paraId="698E37A0">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（5）中标人将合同内容转包、违法分包的；</w:t>
            </w:r>
          </w:p>
          <w:p w14:paraId="0810465A">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（6）中标人故意捏造事实或伪造证明材料，进行虚假恶意投诉或反映的。</w:t>
            </w:r>
          </w:p>
        </w:tc>
      </w:tr>
      <w:tr w14:paraId="0090D97E">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545" w:hRule="atLeast"/>
          <w:jc w:val="center"/>
        </w:trPr>
        <w:tc>
          <w:tcPr>
            <w:tcW w:w="1301" w:type="dxa"/>
            <w:noWrap w:val="0"/>
            <w:vAlign w:val="center"/>
          </w:tcPr>
          <w:p w14:paraId="602DC006">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第二节</w:t>
            </w:r>
          </w:p>
          <w:p w14:paraId="080C5BE3">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第13.3款</w:t>
            </w:r>
          </w:p>
        </w:tc>
        <w:tc>
          <w:tcPr>
            <w:tcW w:w="1476" w:type="dxa"/>
            <w:noWrap w:val="0"/>
            <w:vAlign w:val="center"/>
          </w:tcPr>
          <w:p w14:paraId="3C57CC32">
            <w:pPr>
              <w:keepNext w:val="0"/>
              <w:keepLines w:val="0"/>
              <w:suppressLineNumbers w:val="0"/>
              <w:spacing w:before="0" w:beforeAutospacing="0" w:after="0" w:afterAutospacing="0"/>
              <w:ind w:left="0" w:right="0"/>
              <w:jc w:val="center"/>
              <w:rPr>
                <w:rFonts w:hint="eastAsia" w:ascii="宋体" w:hAnsi="宋体" w:cstheme="minorBidi"/>
                <w:color w:val="auto"/>
                <w:sz w:val="24"/>
              </w:rPr>
            </w:pPr>
            <w:r>
              <w:rPr>
                <w:rFonts w:hint="eastAsia" w:ascii="宋体" w:hAnsi="宋体" w:cstheme="minorBidi"/>
                <w:color w:val="auto"/>
                <w:sz w:val="24"/>
              </w:rPr>
              <w:t>履约保证金退还时间及逾期退还的违约金</w:t>
            </w:r>
          </w:p>
        </w:tc>
        <w:tc>
          <w:tcPr>
            <w:tcW w:w="6367" w:type="dxa"/>
            <w:noWrap w:val="0"/>
            <w:vAlign w:val="center"/>
          </w:tcPr>
          <w:p w14:paraId="2E194769">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1、合同履行结束后，甲方应及时退还交纳的履约保证金。</w:t>
            </w:r>
          </w:p>
          <w:p w14:paraId="756E60FC">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2、退还方式：无息退还至投标人缴纳履约保证金的账户。如为保函，在到期时自行失效。</w:t>
            </w:r>
          </w:p>
          <w:p w14:paraId="153BE47C">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rPr>
              <w:t>3、退还时间：</w:t>
            </w:r>
            <w:r>
              <w:rPr>
                <w:rFonts w:hint="eastAsia" w:ascii="宋体" w:hAnsi="宋体" w:eastAsia="宋体" w:cs="宋体"/>
                <w:color w:val="auto"/>
                <w:sz w:val="24"/>
                <w:szCs w:val="20"/>
                <w:highlight w:val="none"/>
              </w:rPr>
              <w:t>验收合格且甲方收到发票后30日内。</w:t>
            </w:r>
          </w:p>
          <w:p w14:paraId="4E33ECBF">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4、退还条件：按合同要求全部履约完成并经采购人验收合格，且采购人收到中标人出具的发票。</w:t>
            </w:r>
          </w:p>
          <w:p w14:paraId="11F84E99">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5、逾期退还的违约责任：采购人逾期无故未退还履约保证金的，按中国人民银行同期贷款基准利率上浮20%后的利率支付超期资金占用费，但因供应商自身原因导致无法及时退还的除外。</w:t>
            </w:r>
          </w:p>
        </w:tc>
      </w:tr>
      <w:tr w14:paraId="263D482E">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1523" w:hRule="atLeast"/>
          <w:jc w:val="center"/>
        </w:trPr>
        <w:tc>
          <w:tcPr>
            <w:tcW w:w="1301" w:type="dxa"/>
            <w:noWrap w:val="0"/>
            <w:vAlign w:val="center"/>
          </w:tcPr>
          <w:p w14:paraId="2D545990">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第二节</w:t>
            </w:r>
          </w:p>
          <w:p w14:paraId="67A69E76">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第14.1（3）项</w:t>
            </w:r>
          </w:p>
        </w:tc>
        <w:tc>
          <w:tcPr>
            <w:tcW w:w="1476" w:type="dxa"/>
            <w:noWrap w:val="0"/>
            <w:vAlign w:val="center"/>
          </w:tcPr>
          <w:p w14:paraId="137E1818">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运行监督、维修期限</w:t>
            </w:r>
          </w:p>
        </w:tc>
        <w:tc>
          <w:tcPr>
            <w:tcW w:w="6367" w:type="dxa"/>
            <w:noWrap w:val="0"/>
            <w:vAlign w:val="center"/>
          </w:tcPr>
          <w:p w14:paraId="2CC1F528">
            <w:pPr>
              <w:keepNext w:val="0"/>
              <w:keepLines w:val="0"/>
              <w:widowControl/>
              <w:numPr>
                <w:ilvl w:val="0"/>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上述的货物免费保修期为</w:t>
            </w:r>
            <w:r>
              <w:rPr>
                <w:rFonts w:hint="eastAsia" w:ascii="宋体" w:hAnsi="宋体" w:eastAsia="宋体" w:cs="宋体"/>
                <w:color w:val="auto"/>
                <w:sz w:val="24"/>
                <w:szCs w:val="20"/>
                <w:u w:val="single"/>
                <w:lang w:val="en-US" w:eastAsia="zh-CN"/>
              </w:rPr>
              <w:t>不少于三</w:t>
            </w:r>
            <w:r>
              <w:rPr>
                <w:rFonts w:hint="eastAsia" w:ascii="宋体" w:hAnsi="宋体" w:eastAsia="宋体" w:cs="宋体"/>
                <w:color w:val="auto"/>
                <w:sz w:val="24"/>
                <w:szCs w:val="20"/>
              </w:rPr>
              <w:t>年，在质保期内，乙方应对货物出现的质量及安全问题负责处理解决并承担一切费用。</w:t>
            </w:r>
          </w:p>
        </w:tc>
      </w:tr>
      <w:tr w14:paraId="3350401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854" w:hRule="atLeast"/>
          <w:jc w:val="center"/>
        </w:trPr>
        <w:tc>
          <w:tcPr>
            <w:tcW w:w="1301" w:type="dxa"/>
            <w:noWrap w:val="0"/>
            <w:vAlign w:val="center"/>
          </w:tcPr>
          <w:p w14:paraId="7186B860">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第二节</w:t>
            </w:r>
          </w:p>
          <w:p w14:paraId="0ED75262">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第14.1（5）项</w:t>
            </w:r>
          </w:p>
        </w:tc>
        <w:tc>
          <w:tcPr>
            <w:tcW w:w="1476" w:type="dxa"/>
            <w:noWrap w:val="0"/>
            <w:vAlign w:val="center"/>
          </w:tcPr>
          <w:p w14:paraId="638D83DC">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货物回收的约定</w:t>
            </w:r>
          </w:p>
        </w:tc>
        <w:tc>
          <w:tcPr>
            <w:tcW w:w="6367" w:type="dxa"/>
            <w:noWrap w:val="0"/>
            <w:vAlign w:val="center"/>
          </w:tcPr>
          <w:p w14:paraId="30139233">
            <w:pPr>
              <w:keepNext w:val="0"/>
              <w:keepLines w:val="0"/>
              <w:suppressLineNumbers w:val="0"/>
              <w:spacing w:before="0" w:beforeAutospacing="0" w:after="0" w:afterAutospacing="0"/>
              <w:ind w:left="0" w:right="0"/>
              <w:jc w:val="left"/>
              <w:rPr>
                <w:rFonts w:hint="eastAsia" w:ascii="宋体" w:hAnsi="宋体" w:eastAsiaTheme="minorEastAsia"/>
                <w:color w:val="auto"/>
                <w:sz w:val="24"/>
                <w:lang w:val="en-US" w:eastAsia="zh-CN"/>
              </w:rPr>
            </w:pPr>
            <w:r>
              <w:rPr>
                <w:rFonts w:hint="eastAsia" w:ascii="宋体" w:hAnsi="宋体"/>
                <w:color w:val="auto"/>
                <w:sz w:val="24"/>
                <w:lang w:val="en-US" w:eastAsia="zh-CN"/>
              </w:rPr>
              <w:t>/</w:t>
            </w:r>
          </w:p>
        </w:tc>
      </w:tr>
      <w:tr w14:paraId="496ED07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1020" w:hRule="atLeast"/>
          <w:jc w:val="center"/>
        </w:trPr>
        <w:tc>
          <w:tcPr>
            <w:tcW w:w="1301" w:type="dxa"/>
            <w:noWrap w:val="0"/>
            <w:vAlign w:val="center"/>
          </w:tcPr>
          <w:p w14:paraId="34630FE2">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第二节</w:t>
            </w:r>
          </w:p>
          <w:p w14:paraId="2A2BC2FA">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第14.1（6）项</w:t>
            </w:r>
          </w:p>
        </w:tc>
        <w:tc>
          <w:tcPr>
            <w:tcW w:w="1476" w:type="dxa"/>
            <w:noWrap w:val="0"/>
            <w:vAlign w:val="center"/>
          </w:tcPr>
          <w:p w14:paraId="6FCA0686">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乙方提供的其他服务</w:t>
            </w:r>
          </w:p>
        </w:tc>
        <w:tc>
          <w:tcPr>
            <w:tcW w:w="6367" w:type="dxa"/>
            <w:noWrap w:val="0"/>
            <w:vAlign w:val="center"/>
          </w:tcPr>
          <w:p w14:paraId="3AD6EC49">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rPr>
            </w:pPr>
            <w:r>
              <w:rPr>
                <w:rFonts w:hint="eastAsia" w:ascii="宋体" w:hAnsi="宋体" w:eastAsia="宋体" w:cs="宋体"/>
                <w:color w:val="auto"/>
                <w:sz w:val="24"/>
                <w:szCs w:val="20"/>
              </w:rPr>
              <w:t>超过保修期的货物，终生维修，维修时只收部件成本费。</w:t>
            </w:r>
          </w:p>
        </w:tc>
      </w:tr>
      <w:tr w14:paraId="45FFA43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534" w:hRule="atLeast"/>
          <w:jc w:val="center"/>
        </w:trPr>
        <w:tc>
          <w:tcPr>
            <w:tcW w:w="1301" w:type="dxa"/>
            <w:noWrap w:val="0"/>
            <w:vAlign w:val="center"/>
          </w:tcPr>
          <w:p w14:paraId="40AACA55">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第二节</w:t>
            </w:r>
          </w:p>
          <w:p w14:paraId="6D88D4B6">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第15.1款</w:t>
            </w:r>
          </w:p>
        </w:tc>
        <w:tc>
          <w:tcPr>
            <w:tcW w:w="1476" w:type="dxa"/>
            <w:noWrap w:val="0"/>
            <w:vAlign w:val="center"/>
          </w:tcPr>
          <w:p w14:paraId="580188E5">
            <w:pPr>
              <w:keepNext w:val="0"/>
              <w:keepLines w:val="0"/>
              <w:suppressLineNumbers w:val="0"/>
              <w:spacing w:before="0" w:beforeAutospacing="0" w:after="0" w:afterAutospacing="0"/>
              <w:ind w:left="0" w:right="0"/>
              <w:jc w:val="center"/>
              <w:rPr>
                <w:rFonts w:hint="eastAsia" w:ascii="宋体" w:hAnsi="宋体"/>
                <w:color w:val="auto"/>
                <w:sz w:val="24"/>
                <w:highlight w:val="none"/>
              </w:rPr>
            </w:pPr>
            <w:r>
              <w:rPr>
                <w:rFonts w:hint="eastAsia" w:ascii="宋体" w:hAnsi="宋体"/>
                <w:color w:val="auto"/>
                <w:sz w:val="24"/>
                <w:highlight w:val="none"/>
              </w:rPr>
              <w:t>修理、重作、更换相关具体规定</w:t>
            </w:r>
          </w:p>
        </w:tc>
        <w:tc>
          <w:tcPr>
            <w:tcW w:w="6367" w:type="dxa"/>
            <w:noWrap w:val="0"/>
            <w:vAlign w:val="center"/>
          </w:tcPr>
          <w:p w14:paraId="791050B4">
            <w:pPr>
              <w:keepNext w:val="0"/>
              <w:keepLines w:val="0"/>
              <w:widowControl/>
              <w:numPr>
                <w:ilvl w:val="-1"/>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详见合同通用条款8.2条款、合同专用条款第二节第8款补充条款及合同专用条款中索赔条款。</w:t>
            </w:r>
          </w:p>
          <w:p w14:paraId="299550FA">
            <w:pPr>
              <w:keepNext w:val="0"/>
              <w:keepLines w:val="0"/>
              <w:widowControl/>
              <w:numPr>
                <w:ilvl w:val="-1"/>
                <w:numId w:val="0"/>
              </w:numPr>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乙方所交的货物品种、型号、规格、技术参数、质量不符合合同规定及招标文件规定标准的，甲方有权拒收该货物，乙方愿意更换货物但逾期交货的，按乙方逾期交货处理。乙方拒绝更换货物的，甲方可单方面解除合同。</w:t>
            </w:r>
          </w:p>
        </w:tc>
      </w:tr>
      <w:tr w14:paraId="32099E2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1139" w:hRule="atLeast"/>
          <w:jc w:val="center"/>
        </w:trPr>
        <w:tc>
          <w:tcPr>
            <w:tcW w:w="1301" w:type="dxa"/>
            <w:noWrap w:val="0"/>
            <w:vAlign w:val="center"/>
          </w:tcPr>
          <w:p w14:paraId="62443AB6">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第二节</w:t>
            </w:r>
          </w:p>
          <w:p w14:paraId="19F24D7A">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第15.2（2）项</w:t>
            </w:r>
          </w:p>
        </w:tc>
        <w:tc>
          <w:tcPr>
            <w:tcW w:w="1476" w:type="dxa"/>
            <w:noWrap w:val="0"/>
            <w:vAlign w:val="center"/>
          </w:tcPr>
          <w:p w14:paraId="5AD5C7AC">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迟延交货赔偿费</w:t>
            </w:r>
          </w:p>
        </w:tc>
        <w:tc>
          <w:tcPr>
            <w:tcW w:w="6367" w:type="dxa"/>
            <w:noWrap w:val="0"/>
            <w:vAlign w:val="center"/>
          </w:tcPr>
          <w:p w14:paraId="5C4A2A1A">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1.乙方应按照“开标（报价）一览表”中规定的交货期或承诺交货和提供服务，并交付甲方验收使用。</w:t>
            </w:r>
          </w:p>
          <w:p w14:paraId="4BA04A99">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2.如果乙方无正当理由拖延交货，将受到以下制裁：加收误期赔偿或终止合同。</w:t>
            </w:r>
          </w:p>
          <w:p w14:paraId="03485D1A">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lang w:eastAsia="zh-CN"/>
              </w:rPr>
            </w:pPr>
            <w:r>
              <w:rPr>
                <w:rFonts w:hint="eastAsia" w:ascii="宋体" w:hAnsi="宋体" w:eastAsia="宋体" w:cs="宋体"/>
                <w:color w:val="auto"/>
                <w:sz w:val="24"/>
                <w:szCs w:val="20"/>
                <w:highlight w:val="none"/>
              </w:rPr>
              <w:t>3.乙方逾期交付货物的，乙方应按逾期交货总额每日</w:t>
            </w:r>
            <w:r>
              <w:rPr>
                <w:rFonts w:hint="eastAsia" w:ascii="宋体" w:hAnsi="宋体" w:eastAsia="宋体" w:cs="宋体"/>
                <w:color w:val="auto"/>
                <w:sz w:val="24"/>
                <w:szCs w:val="20"/>
                <w:highlight w:val="none"/>
                <w:u w:val="single"/>
              </w:rPr>
              <w:t>6‰</w:t>
            </w:r>
            <w:r>
              <w:rPr>
                <w:rFonts w:hint="eastAsia" w:ascii="宋体" w:hAnsi="宋体" w:eastAsia="宋体" w:cs="宋体"/>
                <w:color w:val="auto"/>
                <w:sz w:val="24"/>
                <w:szCs w:val="20"/>
                <w:highlight w:val="none"/>
              </w:rPr>
              <w:t>向甲方支付违约金，由甲方从待付货款中扣除。逾期超过约定日期</w:t>
            </w:r>
            <w:r>
              <w:rPr>
                <w:rFonts w:hint="eastAsia" w:ascii="宋体" w:hAnsi="宋体" w:eastAsia="宋体" w:cs="宋体"/>
                <w:color w:val="auto"/>
                <w:sz w:val="24"/>
                <w:szCs w:val="20"/>
                <w:highlight w:val="none"/>
                <w:u w:val="none"/>
              </w:rPr>
              <w:t>10</w:t>
            </w:r>
            <w:r>
              <w:rPr>
                <w:rFonts w:hint="eastAsia" w:ascii="宋体" w:hAnsi="宋体" w:eastAsia="宋体" w:cs="宋体"/>
                <w:color w:val="auto"/>
                <w:sz w:val="24"/>
                <w:szCs w:val="20"/>
                <w:highlight w:val="none"/>
              </w:rPr>
              <w:t>个工作日不能交货的，甲方可解除本合同。乙方因逾期交货或因其他违约行为导致甲方解除合同的，乙方应向甲方支付合同总值</w:t>
            </w:r>
            <w:r>
              <w:rPr>
                <w:rFonts w:hint="eastAsia" w:ascii="宋体" w:hAnsi="宋体" w:eastAsia="宋体" w:cs="宋体"/>
                <w:color w:val="auto"/>
                <w:sz w:val="24"/>
                <w:szCs w:val="20"/>
                <w:highlight w:val="none"/>
                <w:u w:val="single"/>
              </w:rPr>
              <w:t>5%</w:t>
            </w:r>
            <w:r>
              <w:rPr>
                <w:rFonts w:hint="eastAsia" w:ascii="宋体" w:hAnsi="宋体" w:eastAsia="宋体" w:cs="宋体"/>
                <w:color w:val="auto"/>
                <w:sz w:val="24"/>
                <w:szCs w:val="20"/>
                <w:highlight w:val="none"/>
              </w:rPr>
              <w:t>的违约金，如造成甲方损失超过违约金的，超出部分由乙方继续承担赔偿责任。</w:t>
            </w:r>
          </w:p>
          <w:p w14:paraId="3F2CCD3E">
            <w:pPr>
              <w:keepNext w:val="0"/>
              <w:keepLines w:val="0"/>
              <w:widowControl/>
              <w:suppressLineNumbers w:val="0"/>
              <w:spacing w:before="0" w:beforeAutospacing="0" w:after="0" w:afterAutospacing="0" w:line="560" w:lineRule="exact"/>
              <w:ind w:left="0" w:right="0" w:firstLine="482"/>
              <w:jc w:val="left"/>
              <w:rPr>
                <w:rFonts w:hint="eastAsia" w:ascii="宋体" w:hAnsi="宋体"/>
                <w:color w:val="auto"/>
                <w:sz w:val="24"/>
                <w:highlight w:val="white"/>
                <w:u w:val="single"/>
              </w:rPr>
            </w:pPr>
            <w:r>
              <w:rPr>
                <w:rFonts w:hint="eastAsia" w:ascii="宋体" w:hAnsi="宋体" w:eastAsia="宋体" w:cs="宋体"/>
                <w:color w:val="auto"/>
                <w:sz w:val="24"/>
                <w:szCs w:val="20"/>
                <w:highlight w:val="none"/>
              </w:rPr>
              <w:t>4.如乙方不能交付货物，或者有违法转包他人情形，乙方应向甲方支付合同总价</w:t>
            </w:r>
            <w:r>
              <w:rPr>
                <w:rFonts w:hint="eastAsia" w:ascii="宋体" w:hAnsi="宋体" w:eastAsia="宋体" w:cs="宋体"/>
                <w:color w:val="auto"/>
                <w:sz w:val="24"/>
                <w:szCs w:val="20"/>
                <w:highlight w:val="none"/>
                <w:u w:val="single"/>
              </w:rPr>
              <w:t>5%</w:t>
            </w:r>
            <w:r>
              <w:rPr>
                <w:rFonts w:hint="eastAsia" w:ascii="宋体" w:hAnsi="宋体" w:eastAsia="宋体" w:cs="宋体"/>
                <w:color w:val="auto"/>
                <w:sz w:val="24"/>
                <w:szCs w:val="20"/>
                <w:highlight w:val="none"/>
              </w:rPr>
              <w:t>的滞纳金。</w:t>
            </w:r>
          </w:p>
        </w:tc>
      </w:tr>
      <w:tr w14:paraId="1670E0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025" w:hRule="atLeast"/>
          <w:jc w:val="center"/>
        </w:trPr>
        <w:tc>
          <w:tcPr>
            <w:tcW w:w="1301" w:type="dxa"/>
            <w:noWrap w:val="0"/>
            <w:vAlign w:val="center"/>
          </w:tcPr>
          <w:p w14:paraId="58C8617A">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第二节</w:t>
            </w:r>
          </w:p>
          <w:p w14:paraId="1AC3614F">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第15.3款</w:t>
            </w:r>
          </w:p>
        </w:tc>
        <w:tc>
          <w:tcPr>
            <w:tcW w:w="1476" w:type="dxa"/>
            <w:noWrap w:val="0"/>
            <w:vAlign w:val="center"/>
          </w:tcPr>
          <w:p w14:paraId="0B37A7D1">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逾期付款利息</w:t>
            </w:r>
          </w:p>
        </w:tc>
        <w:tc>
          <w:tcPr>
            <w:tcW w:w="6367" w:type="dxa"/>
            <w:noWrap w:val="0"/>
            <w:vAlign w:val="center"/>
          </w:tcPr>
          <w:p w14:paraId="6C667892">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1.甲方无正当理由拒收货物的，甲方向乙方偿付拒收货款总值5%的违约金。</w:t>
            </w:r>
          </w:p>
          <w:p w14:paraId="5A038F2B">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white"/>
                <w:u w:val="none"/>
              </w:rPr>
            </w:pPr>
            <w:r>
              <w:rPr>
                <w:rFonts w:hint="eastAsia" w:ascii="宋体" w:hAnsi="宋体" w:eastAsia="宋体" w:cs="宋体"/>
                <w:color w:val="auto"/>
                <w:sz w:val="24"/>
                <w:szCs w:val="20"/>
                <w:highlight w:val="none"/>
              </w:rPr>
              <w:t>2.甲方无故逾期验收和办理货款支付手续的,甲方应按逾期付款总额每日5‰向乙方支付违约金。</w:t>
            </w:r>
          </w:p>
        </w:tc>
      </w:tr>
      <w:tr w14:paraId="542CAB4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1523" w:hRule="atLeast"/>
          <w:jc w:val="center"/>
        </w:trPr>
        <w:tc>
          <w:tcPr>
            <w:tcW w:w="1301" w:type="dxa"/>
            <w:tcBorders>
              <w:bottom w:val="single" w:color="000000" w:sz="2" w:space="0"/>
              <w:right w:val="single" w:color="000000" w:sz="2" w:space="0"/>
            </w:tcBorders>
            <w:noWrap w:val="0"/>
            <w:vAlign w:val="center"/>
          </w:tcPr>
          <w:p w14:paraId="49CB859B">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第二节</w:t>
            </w:r>
          </w:p>
          <w:p w14:paraId="7F6F6B14">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第15.4款</w:t>
            </w:r>
          </w:p>
        </w:tc>
        <w:tc>
          <w:tcPr>
            <w:tcW w:w="1476" w:type="dxa"/>
            <w:tcBorders>
              <w:left w:val="single" w:color="000000" w:sz="2" w:space="0"/>
              <w:bottom w:val="single" w:color="000000" w:sz="2" w:space="0"/>
              <w:right w:val="single" w:color="000000" w:sz="2" w:space="0"/>
            </w:tcBorders>
            <w:noWrap w:val="0"/>
            <w:vAlign w:val="center"/>
          </w:tcPr>
          <w:p w14:paraId="3CE738EE">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其他违约责任</w:t>
            </w:r>
          </w:p>
        </w:tc>
        <w:tc>
          <w:tcPr>
            <w:tcW w:w="6367" w:type="dxa"/>
            <w:tcBorders>
              <w:left w:val="single" w:color="000000" w:sz="2" w:space="0"/>
              <w:bottom w:val="single" w:color="000000" w:sz="2" w:space="0"/>
            </w:tcBorders>
            <w:noWrap w:val="0"/>
            <w:vAlign w:val="center"/>
          </w:tcPr>
          <w:p w14:paraId="645EA42D">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u w:val="none"/>
              </w:rPr>
            </w:pPr>
            <w:r>
              <w:rPr>
                <w:rFonts w:hint="eastAsia" w:ascii="宋体" w:hAnsi="宋体" w:eastAsia="宋体" w:cs="宋体"/>
                <w:color w:val="auto"/>
                <w:sz w:val="24"/>
                <w:szCs w:val="20"/>
                <w:highlight w:val="none"/>
              </w:rPr>
              <w:t>乙方交付合同标的的标准不符合合同规定及招标文件规定标准的，甲方有权拒绝接受合同标的，并可单方面解除合同。</w:t>
            </w:r>
          </w:p>
        </w:tc>
      </w:tr>
      <w:tr w14:paraId="3ABA25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016" w:hRule="atLeast"/>
          <w:jc w:val="center"/>
        </w:trPr>
        <w:tc>
          <w:tcPr>
            <w:tcW w:w="1301" w:type="dxa"/>
            <w:tcBorders>
              <w:top w:val="single" w:color="000000" w:sz="2" w:space="0"/>
              <w:right w:val="single" w:color="000000" w:sz="2" w:space="0"/>
            </w:tcBorders>
            <w:noWrap w:val="0"/>
            <w:vAlign w:val="center"/>
          </w:tcPr>
          <w:p w14:paraId="43DB6D4A">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第二节</w:t>
            </w:r>
          </w:p>
          <w:p w14:paraId="596805C0">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第19.2款</w:t>
            </w:r>
          </w:p>
        </w:tc>
        <w:tc>
          <w:tcPr>
            <w:tcW w:w="1476" w:type="dxa"/>
            <w:tcBorders>
              <w:top w:val="single" w:color="000000" w:sz="2" w:space="0"/>
              <w:left w:val="single" w:color="000000" w:sz="2" w:space="0"/>
              <w:right w:val="single" w:color="000000" w:sz="2" w:space="0"/>
            </w:tcBorders>
            <w:noWrap w:val="0"/>
            <w:vAlign w:val="center"/>
          </w:tcPr>
          <w:p w14:paraId="5B78B736">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解决争议的方法</w:t>
            </w:r>
          </w:p>
        </w:tc>
        <w:tc>
          <w:tcPr>
            <w:tcW w:w="6367" w:type="dxa"/>
            <w:tcBorders>
              <w:top w:val="single" w:color="000000" w:sz="2" w:space="0"/>
              <w:left w:val="single" w:color="000000" w:sz="2" w:space="0"/>
            </w:tcBorders>
            <w:noWrap w:val="0"/>
            <w:vAlign w:val="center"/>
          </w:tcPr>
          <w:p w14:paraId="10890A03">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1.因本合同及合同有关事项发生的争议，由双方协商解决，协商不成时，按下列第</w:t>
            </w:r>
            <w:r>
              <w:rPr>
                <w:rFonts w:hint="eastAsia" w:ascii="宋体" w:hAnsi="宋体" w:eastAsia="宋体" w:cs="宋体"/>
                <w:color w:val="auto"/>
                <w:sz w:val="24"/>
                <w:szCs w:val="20"/>
                <w:highlight w:val="none"/>
                <w:u w:val="single"/>
              </w:rPr>
              <w:t>2</w:t>
            </w:r>
            <w:r>
              <w:rPr>
                <w:rFonts w:hint="eastAsia" w:ascii="宋体" w:hAnsi="宋体" w:eastAsia="宋体" w:cs="宋体"/>
                <w:color w:val="auto"/>
                <w:sz w:val="24"/>
                <w:szCs w:val="20"/>
                <w:highlight w:val="none"/>
              </w:rPr>
              <w:t>种方式解决：</w:t>
            </w:r>
          </w:p>
          <w:p w14:paraId="0F7D23AC">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（1）向仲裁委员会申请仲裁，仲裁地点为</w:t>
            </w:r>
            <w:r>
              <w:rPr>
                <w:rFonts w:hint="eastAsia" w:ascii="宋体" w:hAnsi="宋体" w:eastAsia="宋体" w:cs="宋体"/>
                <w:color w:val="auto"/>
                <w:sz w:val="24"/>
                <w:szCs w:val="20"/>
                <w:highlight w:val="none"/>
                <w:u w:val="single"/>
              </w:rPr>
              <w:t>盐城市</w:t>
            </w:r>
            <w:r>
              <w:rPr>
                <w:rFonts w:hint="eastAsia" w:ascii="宋体" w:hAnsi="宋体" w:eastAsia="宋体" w:cs="宋体"/>
                <w:color w:val="auto"/>
                <w:sz w:val="24"/>
                <w:szCs w:val="20"/>
                <w:highlight w:val="none"/>
              </w:rPr>
              <w:t>；</w:t>
            </w:r>
          </w:p>
          <w:p w14:paraId="464081AB">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（2）向甲方所在地人民法院起诉。</w:t>
            </w:r>
          </w:p>
          <w:p w14:paraId="111020F2">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2.纠纷解决办法</w:t>
            </w:r>
          </w:p>
          <w:p w14:paraId="3C1DC8D2">
            <w:pPr>
              <w:keepNext w:val="0"/>
              <w:keepLines w:val="0"/>
              <w:widowControl/>
              <w:suppressLineNumbers w:val="0"/>
              <w:spacing w:before="0" w:beforeAutospacing="0" w:after="0" w:afterAutospacing="0" w:line="560" w:lineRule="exact"/>
              <w:ind w:left="0" w:right="0" w:firstLine="482"/>
              <w:jc w:val="left"/>
              <w:rPr>
                <w:rFonts w:hint="eastAsia" w:ascii="宋体" w:hAnsi="宋体"/>
                <w:color w:val="auto"/>
                <w:sz w:val="24"/>
                <w:highlight w:val="white"/>
              </w:rPr>
            </w:pPr>
            <w:r>
              <w:rPr>
                <w:rFonts w:hint="eastAsia" w:ascii="宋体" w:hAnsi="宋体" w:eastAsia="宋体" w:cs="宋体"/>
                <w:color w:val="auto"/>
                <w:sz w:val="24"/>
                <w:szCs w:val="20"/>
                <w:highlight w:val="none"/>
              </w:rPr>
              <w:t>2.1因货物的质量问题发生争议的，应当邀请国家认可的质量检测机构对货物质量进行鉴定。货物符合标准的，鉴定费由甲方承担；货物不符合质量标准的，鉴定费由乙方承担，并更换问题货物。</w:t>
            </w:r>
          </w:p>
        </w:tc>
      </w:tr>
      <w:tr w14:paraId="34E1DD1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9568" w:hRule="atLeast"/>
          <w:jc w:val="center"/>
        </w:trPr>
        <w:tc>
          <w:tcPr>
            <w:tcW w:w="1301" w:type="dxa"/>
            <w:noWrap w:val="0"/>
            <w:vAlign w:val="center"/>
          </w:tcPr>
          <w:p w14:paraId="7E317085">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第二节</w:t>
            </w:r>
          </w:p>
          <w:p w14:paraId="7FD20BCB">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第23.1款</w:t>
            </w:r>
          </w:p>
        </w:tc>
        <w:tc>
          <w:tcPr>
            <w:tcW w:w="1476" w:type="dxa"/>
            <w:noWrap w:val="0"/>
            <w:vAlign w:val="center"/>
          </w:tcPr>
          <w:p w14:paraId="158CB4DE">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bCs w:val="0"/>
                <w:color w:val="auto"/>
                <w:sz w:val="24"/>
              </w:rPr>
              <w:t>其他专用条款</w:t>
            </w:r>
          </w:p>
        </w:tc>
        <w:tc>
          <w:tcPr>
            <w:tcW w:w="6367" w:type="dxa"/>
            <w:noWrap w:val="0"/>
            <w:vAlign w:val="center"/>
          </w:tcPr>
          <w:p w14:paraId="2639497F">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在发货前，乙方应对货物的质量、规格、性能、数量和重量等进行准确而全面的检验，并出具一份证明货物符合合同规定的证书。该证书将作为提交付款单据的一部分，但有关质量、规格、性能、数量或重量的检验不应视为最终检验。乙方检验的结果和细节应附在检验证书后面。</w:t>
            </w:r>
          </w:p>
          <w:p w14:paraId="01AD3B2C">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2.甲方将在乙方交货现场组织验收，如果货物的质量和规格与合同规定相符，甲方应及时填写验收单。如果货物的质量和规格与合同规定不符，或在质量保证期内发现货物是有缺陷的，包括潜在缺陷或使用不符合要求的材料，甲方应报请当地质检部门进行检查，并有权凭其出具的检验报告向乙方提出索赔。</w:t>
            </w:r>
          </w:p>
          <w:p w14:paraId="27E2BC1A">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3.验收不合格的货物，乙方应在</w:t>
            </w:r>
            <w:r>
              <w:rPr>
                <w:rFonts w:hint="eastAsia" w:ascii="宋体" w:hAnsi="宋体" w:eastAsia="宋体" w:cs="宋体"/>
                <w:color w:val="auto"/>
                <w:sz w:val="24"/>
                <w:szCs w:val="20"/>
                <w:highlight w:val="none"/>
                <w:u w:val="single"/>
              </w:rPr>
              <w:t>三个工作日</w:t>
            </w:r>
            <w:r>
              <w:rPr>
                <w:rFonts w:hint="eastAsia" w:ascii="宋体" w:hAnsi="宋体" w:eastAsia="宋体" w:cs="宋体"/>
                <w:color w:val="auto"/>
                <w:sz w:val="24"/>
                <w:szCs w:val="20"/>
                <w:highlight w:val="none"/>
              </w:rPr>
              <w:t>内予以更换，逾期按交货延误予以处罚。乙方所交付的货物品种、型号、规格不符合合同规定的，甲方有权拒收。甲方拒收的，乙方向甲方支付货款总额</w:t>
            </w:r>
            <w:r>
              <w:rPr>
                <w:rFonts w:hint="eastAsia" w:ascii="宋体" w:hAnsi="宋体" w:eastAsia="宋体" w:cs="宋体"/>
                <w:color w:val="auto"/>
                <w:sz w:val="24"/>
                <w:szCs w:val="20"/>
                <w:highlight w:val="none"/>
                <w:u w:val="single"/>
              </w:rPr>
              <w:t>5%</w:t>
            </w:r>
            <w:r>
              <w:rPr>
                <w:rFonts w:hint="eastAsia" w:ascii="宋体" w:hAnsi="宋体" w:eastAsia="宋体" w:cs="宋体"/>
                <w:color w:val="auto"/>
                <w:sz w:val="24"/>
                <w:szCs w:val="20"/>
                <w:highlight w:val="none"/>
              </w:rPr>
              <w:t>的违约金。在乙方承诺的或国家规定的质量保证期内，若经乙方维修或更换，货物仍不能达到合同约定的质量标准，甲方有权退货，乙方应退回全部货款，同时，乙方还须赔偿甲方因此遭受的损失。</w:t>
            </w:r>
          </w:p>
          <w:p w14:paraId="2838795C">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4.货物验收要求</w:t>
            </w:r>
          </w:p>
          <w:p w14:paraId="129412E6">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（1）依照招标文件要求对全部货物、型号、规格、数量、外型、外观、包装及资料、文件（如装箱单、保修单、随箱介质等）进行验收。</w:t>
            </w:r>
          </w:p>
          <w:p w14:paraId="451D2707">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（2）甲方与乙方对货物到货后共同进行开箱检查，出现损坏、数量不全或产品不对等问题时，由乙方负责解决。</w:t>
            </w:r>
          </w:p>
          <w:p w14:paraId="40B1E374">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（3）甲方有权从乙方所送货物中任意抽出不同型号的产品送采购人所在地的质检部门检验，如果检验合格，检验费由甲方负担；如果检验不合格，则检验费由乙方负担。</w:t>
            </w:r>
          </w:p>
          <w:p w14:paraId="6A1A4B3B">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（4）乙方应按照本合同规定的时间、地点和方式向乙方交付货物。</w:t>
            </w:r>
          </w:p>
          <w:p w14:paraId="4E3D2179">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u w:val="single"/>
                <w:lang w:eastAsia="zh-CN"/>
              </w:rPr>
            </w:pPr>
            <w:r>
              <w:rPr>
                <w:rFonts w:hint="eastAsia" w:ascii="宋体" w:hAnsi="宋体" w:eastAsia="宋体" w:cs="宋体"/>
                <w:color w:val="auto"/>
                <w:sz w:val="24"/>
                <w:szCs w:val="20"/>
                <w:highlight w:val="none"/>
              </w:rPr>
              <w:t>交货时间：</w:t>
            </w:r>
            <w:r>
              <w:rPr>
                <w:rFonts w:hint="eastAsia" w:ascii="宋体" w:hAnsi="宋体" w:eastAsia="宋体" w:cs="宋体"/>
                <w:color w:val="auto"/>
                <w:sz w:val="24"/>
                <w:szCs w:val="20"/>
                <w:highlight w:val="none"/>
                <w:u w:val="single"/>
              </w:rPr>
              <w:t>合同生效后</w:t>
            </w:r>
            <w:r>
              <w:rPr>
                <w:rFonts w:hint="eastAsia" w:ascii="宋体" w:hAnsi="宋体" w:eastAsia="宋体" w:cs="宋体"/>
                <w:color w:val="auto"/>
                <w:sz w:val="24"/>
                <w:szCs w:val="20"/>
                <w:highlight w:val="none"/>
                <w:u w:val="single"/>
                <w:lang w:val="en-US" w:eastAsia="zh-CN"/>
              </w:rPr>
              <w:t>45</w:t>
            </w:r>
            <w:r>
              <w:rPr>
                <w:rFonts w:hint="eastAsia" w:ascii="宋体" w:hAnsi="宋体" w:eastAsia="宋体" w:cs="宋体"/>
                <w:color w:val="auto"/>
                <w:sz w:val="24"/>
                <w:szCs w:val="20"/>
                <w:highlight w:val="none"/>
                <w:u w:val="single"/>
              </w:rPr>
              <w:t>个日历天（此期限不包括采购人验收时间），供应商应在此期限内完成全部货物的交付、安装与调试</w:t>
            </w:r>
            <w:r>
              <w:rPr>
                <w:rFonts w:hint="eastAsia" w:ascii="宋体" w:hAnsi="宋体" w:eastAsia="宋体" w:cs="宋体"/>
                <w:color w:val="auto"/>
                <w:sz w:val="24"/>
                <w:szCs w:val="20"/>
                <w:highlight w:val="none"/>
                <w:u w:val="single"/>
                <w:lang w:eastAsia="zh-CN"/>
              </w:rPr>
              <w:t>。</w:t>
            </w:r>
          </w:p>
          <w:p w14:paraId="02ADEE73">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u w:val="single"/>
              </w:rPr>
            </w:pPr>
            <w:r>
              <w:rPr>
                <w:rFonts w:hint="eastAsia" w:ascii="宋体" w:hAnsi="宋体" w:eastAsia="宋体" w:cs="宋体"/>
                <w:color w:val="auto"/>
                <w:sz w:val="24"/>
                <w:szCs w:val="20"/>
                <w:highlight w:val="none"/>
                <w:u w:val="single"/>
                <w:lang w:val="en-US" w:eastAsia="zh-CN"/>
              </w:rPr>
              <w:t>注：</w:t>
            </w:r>
            <w:r>
              <w:rPr>
                <w:rFonts w:hint="eastAsia" w:ascii="宋体" w:hAnsi="宋体" w:eastAsia="宋体" w:cs="宋体"/>
                <w:color w:val="auto"/>
                <w:sz w:val="24"/>
                <w:szCs w:val="20"/>
                <w:highlight w:val="none"/>
                <w:u w:val="single"/>
              </w:rPr>
              <w:t>若因不可抗力（需提供县级及以上相关部门出具的不可抗力证明）或采购人场地、需求变更等非中标人原因需延期，中标人可提前10个工作日向采购人提交书面延期申请，说明延期理由及预计完成时间，经采购人书面同意后可调整交付时间，延期时间最长不超过30个日历日；因中标人自身原因导致延期的，按合同约定承担违约责任。</w:t>
            </w:r>
          </w:p>
          <w:p w14:paraId="5FDC8306">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交货地点：</w:t>
            </w:r>
            <w:r>
              <w:rPr>
                <w:rFonts w:hint="eastAsia" w:ascii="宋体" w:hAnsi="宋体" w:eastAsia="宋体" w:cs="宋体"/>
                <w:color w:val="auto"/>
                <w:sz w:val="24"/>
                <w:szCs w:val="20"/>
                <w:highlight w:val="none"/>
                <w:u w:val="single"/>
                <w:lang w:eastAsia="zh-CN"/>
              </w:rPr>
              <w:t>江苏省盐城技师学院</w:t>
            </w:r>
            <w:r>
              <w:rPr>
                <w:rFonts w:hint="eastAsia" w:ascii="宋体" w:hAnsi="宋体" w:eastAsia="宋体" w:cs="宋体"/>
                <w:color w:val="auto"/>
                <w:sz w:val="24"/>
                <w:szCs w:val="20"/>
                <w:highlight w:val="none"/>
                <w:u w:val="single"/>
              </w:rPr>
              <w:t>指定地点</w:t>
            </w:r>
            <w:r>
              <w:rPr>
                <w:rFonts w:hint="eastAsia" w:ascii="宋体" w:hAnsi="宋体" w:eastAsia="宋体" w:cs="宋体"/>
                <w:color w:val="auto"/>
                <w:sz w:val="24"/>
                <w:szCs w:val="20"/>
                <w:highlight w:val="none"/>
              </w:rPr>
              <w:t>。</w:t>
            </w:r>
          </w:p>
          <w:p w14:paraId="25DC38F0">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（5）甲方应在全部货物到货安装完毕后的</w:t>
            </w:r>
            <w:r>
              <w:rPr>
                <w:rFonts w:hint="eastAsia" w:ascii="宋体" w:hAnsi="宋体" w:eastAsia="宋体" w:cs="宋体"/>
                <w:color w:val="auto"/>
                <w:sz w:val="24"/>
                <w:szCs w:val="20"/>
                <w:highlight w:val="none"/>
                <w:u w:val="single"/>
              </w:rPr>
              <w:t>五个工作日</w:t>
            </w:r>
            <w:r>
              <w:rPr>
                <w:rFonts w:hint="eastAsia" w:ascii="宋体" w:hAnsi="宋体" w:eastAsia="宋体" w:cs="宋体"/>
                <w:color w:val="auto"/>
                <w:sz w:val="24"/>
                <w:szCs w:val="20"/>
                <w:highlight w:val="none"/>
              </w:rPr>
              <w:t>内进行验收，验收包括：型号、规格、数量、外观是否完好，安装调试是否合格等。验收合格后甲方应在验收报告上签字盖章，初步验收合格且</w:t>
            </w:r>
            <w:r>
              <w:rPr>
                <w:rFonts w:hint="eastAsia" w:ascii="宋体" w:hAnsi="宋体" w:eastAsia="宋体" w:cs="宋体"/>
                <w:color w:val="auto"/>
                <w:sz w:val="24"/>
                <w:szCs w:val="20"/>
                <w:highlight w:val="none"/>
                <w:lang w:val="en-US" w:eastAsia="zh-CN"/>
              </w:rPr>
              <w:t>按合同要求</w:t>
            </w:r>
            <w:r>
              <w:rPr>
                <w:rFonts w:hint="eastAsia" w:ascii="宋体" w:hAnsi="宋体" w:eastAsia="宋体" w:cs="宋体"/>
                <w:color w:val="auto"/>
                <w:sz w:val="24"/>
                <w:szCs w:val="20"/>
                <w:highlight w:val="none"/>
              </w:rPr>
              <w:t>项目运行</w:t>
            </w:r>
            <w:r>
              <w:rPr>
                <w:rFonts w:hint="eastAsia" w:ascii="宋体" w:hAnsi="宋体" w:eastAsia="宋体" w:cs="宋体"/>
                <w:color w:val="auto"/>
                <w:sz w:val="24"/>
                <w:szCs w:val="20"/>
                <w:highlight w:val="none"/>
                <w:lang w:val="en-US" w:eastAsia="zh-CN"/>
              </w:rPr>
              <w:t>期</w:t>
            </w:r>
            <w:r>
              <w:rPr>
                <w:rFonts w:hint="eastAsia" w:ascii="宋体" w:hAnsi="宋体" w:eastAsia="宋体" w:cs="宋体"/>
                <w:color w:val="auto"/>
                <w:sz w:val="24"/>
                <w:szCs w:val="20"/>
                <w:highlight w:val="none"/>
              </w:rPr>
              <w:t>满后，甲方组织对货物的质量及使用状况等进行最终验收。</w:t>
            </w:r>
          </w:p>
          <w:p w14:paraId="6A61EFF0">
            <w:pPr>
              <w:keepNext w:val="0"/>
              <w:keepLines w:val="0"/>
              <w:widowControl/>
              <w:suppressLineNumbers w:val="0"/>
              <w:spacing w:before="0" w:beforeAutospacing="0" w:after="0" w:afterAutospacing="0" w:line="560" w:lineRule="exact"/>
              <w:ind w:left="0" w:right="0" w:firstLine="482"/>
              <w:jc w:val="left"/>
              <w:rPr>
                <w:rFonts w:hint="eastAsia" w:ascii="宋体" w:hAnsi="宋体"/>
                <w:color w:val="auto"/>
                <w:sz w:val="24"/>
                <w:highlight w:val="white"/>
              </w:rPr>
            </w:pPr>
            <w:r>
              <w:rPr>
                <w:rFonts w:hint="eastAsia" w:ascii="宋体" w:hAnsi="宋体" w:eastAsia="宋体" w:cs="宋体"/>
                <w:color w:val="auto"/>
                <w:sz w:val="24"/>
                <w:szCs w:val="20"/>
                <w:highlight w:val="none"/>
              </w:rPr>
              <w:t>（6）货到现场后，甲方人员根据招标要求，对包装物进行视检和抽检，如包装物不符合招标要求，甲方有权将包装物送至市级及以上检测机构送检。因检测不合格延误了交付进度，乙方应承担相应的违约责任。供货时须提供所供货物的原厂合格</w:t>
            </w:r>
            <w:r>
              <w:rPr>
                <w:rFonts w:hint="eastAsia" w:ascii="宋体" w:hAnsi="宋体" w:eastAsia="宋体" w:cs="宋体"/>
                <w:color w:val="auto"/>
                <w:sz w:val="24"/>
                <w:szCs w:val="20"/>
              </w:rPr>
              <w:t>证明，否则将会被拒收；</w:t>
            </w:r>
            <w:r>
              <w:rPr>
                <w:rFonts w:hint="eastAsia" w:ascii="宋体" w:hAnsi="宋体" w:eastAsia="宋体" w:cs="宋体"/>
                <w:color w:val="auto"/>
                <w:sz w:val="24"/>
                <w:szCs w:val="20"/>
                <w:lang w:val="en-US" w:eastAsia="zh-CN"/>
              </w:rPr>
              <w:t>采购人有权</w:t>
            </w:r>
            <w:r>
              <w:rPr>
                <w:rFonts w:hint="eastAsia" w:ascii="宋体" w:hAnsi="宋体" w:eastAsia="宋体" w:cs="宋体"/>
                <w:color w:val="auto"/>
                <w:sz w:val="24"/>
                <w:szCs w:val="20"/>
              </w:rPr>
              <w:t>到货后的7日内组织对货物进行验收，</w:t>
            </w:r>
            <w:r>
              <w:rPr>
                <w:rFonts w:hint="eastAsia" w:ascii="宋体" w:hAnsi="宋体" w:eastAsia="宋体" w:cs="宋体"/>
                <w:color w:val="auto"/>
                <w:sz w:val="24"/>
                <w:szCs w:val="20"/>
                <w:lang w:val="en-US" w:eastAsia="zh-CN"/>
              </w:rPr>
              <w:t>采购人有权</w:t>
            </w:r>
            <w:r>
              <w:rPr>
                <w:rFonts w:hint="eastAsia" w:ascii="宋体" w:hAnsi="宋体" w:eastAsia="宋体" w:cs="宋体"/>
                <w:color w:val="auto"/>
                <w:sz w:val="24"/>
                <w:szCs w:val="20"/>
              </w:rPr>
              <w:t>每批次随机抽取两套送至具备资质的第三方检测机构进行检验、检测。检验、检测的各种参数和指标都要符合国家标准和采购文件要求。若第三方检测机构的检验、检测为不合格，必须无条件整改，对</w:t>
            </w:r>
            <w:r>
              <w:rPr>
                <w:rFonts w:hint="eastAsia" w:ascii="宋体" w:hAnsi="宋体" w:eastAsia="宋体" w:cs="宋体"/>
                <w:color w:val="auto"/>
                <w:sz w:val="24"/>
                <w:szCs w:val="20"/>
                <w:lang w:val="en-US" w:eastAsia="zh-CN"/>
              </w:rPr>
              <w:t>中标供应商</w:t>
            </w:r>
            <w:r>
              <w:rPr>
                <w:rFonts w:hint="eastAsia" w:ascii="宋体" w:hAnsi="宋体" w:eastAsia="宋体" w:cs="宋体"/>
                <w:color w:val="auto"/>
                <w:sz w:val="24"/>
                <w:szCs w:val="20"/>
              </w:rPr>
              <w:t>处以书面警告，并依据合同约定处以合同总价5%的违约金。该违约金系对采购人因此遭受的管理成本增加、风险扩大等损失的预先估算。若该违约金不足以弥补采购人因此遭受的全部实际损失（包括但不限于第三方检测费、工期延误损失等），</w:t>
            </w:r>
            <w:r>
              <w:rPr>
                <w:rFonts w:hint="eastAsia" w:ascii="宋体" w:hAnsi="宋体" w:eastAsia="宋体" w:cs="宋体"/>
                <w:color w:val="auto"/>
                <w:sz w:val="24"/>
                <w:szCs w:val="20"/>
                <w:lang w:val="en-US" w:eastAsia="zh-CN"/>
              </w:rPr>
              <w:t>中标</w:t>
            </w:r>
            <w:r>
              <w:rPr>
                <w:rFonts w:hint="eastAsia" w:ascii="宋体" w:hAnsi="宋体" w:eastAsia="宋体" w:cs="宋体"/>
                <w:color w:val="auto"/>
                <w:sz w:val="24"/>
                <w:szCs w:val="20"/>
              </w:rPr>
              <w:t>供应商应继续赔偿。并将有关结果报相关职能部门对所涉企业进行相关行政和刑事处罚</w:t>
            </w:r>
            <w:r>
              <w:rPr>
                <w:rFonts w:hint="eastAsia" w:ascii="宋体" w:hAnsi="宋体" w:eastAsia="宋体" w:cs="宋体"/>
                <w:color w:val="auto"/>
                <w:sz w:val="24"/>
                <w:szCs w:val="20"/>
                <w:lang w:eastAsia="zh-CN"/>
              </w:rPr>
              <w:t>。</w:t>
            </w:r>
          </w:p>
        </w:tc>
      </w:tr>
      <w:tr w14:paraId="2FE2826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528" w:hRule="atLeast"/>
          <w:jc w:val="center"/>
        </w:trPr>
        <w:tc>
          <w:tcPr>
            <w:tcW w:w="1301" w:type="dxa"/>
            <w:noWrap w:val="0"/>
            <w:vAlign w:val="center"/>
          </w:tcPr>
          <w:p w14:paraId="64D98B20">
            <w:pPr>
              <w:keepNext w:val="0"/>
              <w:keepLines w:val="0"/>
              <w:suppressLineNumbers w:val="0"/>
              <w:spacing w:before="0" w:beforeAutospacing="0" w:after="0" w:afterAutospacing="0"/>
              <w:ind w:left="0" w:right="0"/>
              <w:jc w:val="center"/>
              <w:rPr>
                <w:rFonts w:hint="eastAsia" w:ascii="宋体" w:hAnsi="宋体"/>
                <w:color w:val="auto"/>
                <w:sz w:val="24"/>
              </w:rPr>
            </w:pPr>
          </w:p>
        </w:tc>
        <w:tc>
          <w:tcPr>
            <w:tcW w:w="1476" w:type="dxa"/>
            <w:noWrap w:val="0"/>
            <w:vAlign w:val="center"/>
          </w:tcPr>
          <w:p w14:paraId="1624511D">
            <w:pPr>
              <w:keepNext w:val="0"/>
              <w:keepLines w:val="0"/>
              <w:suppressLineNumbers w:val="0"/>
              <w:spacing w:before="0" w:beforeAutospacing="0" w:after="0" w:afterAutospacing="0"/>
              <w:ind w:left="0" w:right="0"/>
              <w:jc w:val="center"/>
              <w:rPr>
                <w:rFonts w:hint="eastAsia" w:ascii="宋体" w:hAnsi="宋体"/>
                <w:bCs/>
                <w:color w:val="auto"/>
                <w:sz w:val="24"/>
              </w:rPr>
            </w:pPr>
            <w:r>
              <w:rPr>
                <w:rFonts w:hint="eastAsia" w:ascii="宋体" w:hAnsi="宋体"/>
                <w:bCs/>
                <w:color w:val="auto"/>
                <w:sz w:val="24"/>
              </w:rPr>
              <w:t>税费</w:t>
            </w:r>
          </w:p>
        </w:tc>
        <w:tc>
          <w:tcPr>
            <w:tcW w:w="6367" w:type="dxa"/>
            <w:noWrap w:val="0"/>
            <w:vAlign w:val="center"/>
          </w:tcPr>
          <w:p w14:paraId="1E3E2957">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1.中国政府根据现行税法规定对甲方征收的与本合同有关的一切税费均由甲方负担（免税部分除外），招标文件另有规定的除外。</w:t>
            </w:r>
          </w:p>
          <w:p w14:paraId="0125649B">
            <w:pPr>
              <w:keepNext w:val="0"/>
              <w:keepLines w:val="0"/>
              <w:widowControl/>
              <w:suppressLineNumbers w:val="0"/>
              <w:spacing w:before="0" w:beforeAutospacing="0" w:after="0" w:afterAutospacing="0" w:line="560" w:lineRule="exact"/>
              <w:ind w:left="0" w:right="0" w:firstLine="482"/>
              <w:jc w:val="left"/>
              <w:rPr>
                <w:rFonts w:hint="eastAsia" w:ascii="宋体" w:hAnsi="宋体"/>
                <w:color w:val="auto"/>
                <w:sz w:val="24"/>
                <w:highlight w:val="white"/>
              </w:rPr>
            </w:pPr>
            <w:r>
              <w:rPr>
                <w:rFonts w:hint="eastAsia" w:ascii="宋体" w:hAnsi="宋体" w:eastAsia="宋体" w:cs="宋体"/>
                <w:color w:val="auto"/>
                <w:sz w:val="24"/>
                <w:szCs w:val="20"/>
                <w:highlight w:val="none"/>
              </w:rPr>
              <w:t>2.中国政府根据现行税法规定对乙方征收的与本合同有关的一切税费均由乙方负担（免税部分除外）。</w:t>
            </w:r>
          </w:p>
        </w:tc>
      </w:tr>
      <w:tr w14:paraId="4B573878">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054" w:hRule="atLeast"/>
          <w:jc w:val="center"/>
        </w:trPr>
        <w:tc>
          <w:tcPr>
            <w:tcW w:w="1301" w:type="dxa"/>
            <w:noWrap w:val="0"/>
            <w:vAlign w:val="center"/>
          </w:tcPr>
          <w:p w14:paraId="638E0554">
            <w:pPr>
              <w:keepNext w:val="0"/>
              <w:keepLines w:val="0"/>
              <w:suppressLineNumbers w:val="0"/>
              <w:spacing w:before="0" w:beforeAutospacing="0" w:after="0" w:afterAutospacing="0"/>
              <w:ind w:left="0" w:right="0"/>
              <w:jc w:val="center"/>
              <w:rPr>
                <w:rFonts w:hint="eastAsia" w:ascii="宋体" w:hAnsi="宋体"/>
                <w:color w:val="auto"/>
                <w:sz w:val="24"/>
                <w:highlight w:val="yellow"/>
              </w:rPr>
            </w:pPr>
          </w:p>
        </w:tc>
        <w:tc>
          <w:tcPr>
            <w:tcW w:w="1476" w:type="dxa"/>
            <w:noWrap w:val="0"/>
            <w:vAlign w:val="center"/>
          </w:tcPr>
          <w:p w14:paraId="3731DCC5">
            <w:pPr>
              <w:keepNext w:val="0"/>
              <w:keepLines w:val="0"/>
              <w:suppressLineNumbers w:val="0"/>
              <w:spacing w:before="0" w:beforeAutospacing="0" w:after="0" w:afterAutospacing="0"/>
              <w:ind w:left="0" w:right="0"/>
              <w:jc w:val="center"/>
              <w:rPr>
                <w:rFonts w:hint="eastAsia" w:ascii="宋体" w:hAnsi="宋体"/>
                <w:bCs/>
                <w:color w:val="auto"/>
                <w:sz w:val="24"/>
              </w:rPr>
            </w:pPr>
            <w:r>
              <w:rPr>
                <w:rFonts w:hint="eastAsia" w:ascii="宋体" w:hAnsi="宋体"/>
                <w:bCs/>
                <w:color w:val="auto"/>
                <w:sz w:val="24"/>
              </w:rPr>
              <w:t>伴随服务</w:t>
            </w:r>
          </w:p>
        </w:tc>
        <w:tc>
          <w:tcPr>
            <w:tcW w:w="6367" w:type="dxa"/>
            <w:noWrap w:val="0"/>
            <w:vAlign w:val="center"/>
          </w:tcPr>
          <w:p w14:paraId="7F8B7BF5">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1.乙方应按照国家</w:t>
            </w:r>
            <w:r>
              <w:rPr>
                <w:rFonts w:hint="eastAsia" w:ascii="宋体" w:hAnsi="宋体" w:eastAsia="宋体" w:cs="宋体"/>
                <w:b w:val="0"/>
                <w:color w:val="auto"/>
                <w:sz w:val="24"/>
                <w:szCs w:val="20"/>
                <w:highlight w:val="none"/>
              </w:rPr>
              <w:t>“</w:t>
            </w:r>
            <w:r>
              <w:rPr>
                <w:rFonts w:hint="eastAsia" w:ascii="宋体" w:hAnsi="宋体" w:eastAsia="宋体" w:cs="宋体"/>
                <w:b/>
                <w:bCs/>
                <w:color w:val="auto"/>
                <w:sz w:val="24"/>
                <w:szCs w:val="20"/>
                <w:highlight w:val="none"/>
              </w:rPr>
              <w:t>新三包</w:t>
            </w:r>
            <w:r>
              <w:rPr>
                <w:rFonts w:hint="eastAsia" w:ascii="宋体" w:hAnsi="宋体" w:eastAsia="宋体" w:cs="宋体"/>
                <w:b w:val="0"/>
                <w:color w:val="auto"/>
                <w:sz w:val="24"/>
                <w:szCs w:val="20"/>
                <w:highlight w:val="none"/>
              </w:rPr>
              <w:t>”</w:t>
            </w:r>
            <w:r>
              <w:rPr>
                <w:rFonts w:hint="eastAsia" w:ascii="宋体" w:hAnsi="宋体" w:eastAsia="宋体" w:cs="宋体"/>
                <w:color w:val="auto"/>
                <w:sz w:val="24"/>
                <w:szCs w:val="20"/>
                <w:highlight w:val="none"/>
              </w:rPr>
              <w:t>规定和合同中所附的服务承诺提供服务。</w:t>
            </w:r>
          </w:p>
          <w:p w14:paraId="3F689D2E">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2.除第1条规定外，乙方还应提供下列服务：</w:t>
            </w:r>
          </w:p>
          <w:p w14:paraId="09FF9E50">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b w:val="0"/>
                <w:color w:val="auto"/>
                <w:sz w:val="24"/>
                <w:szCs w:val="20"/>
                <w:highlight w:val="none"/>
              </w:rPr>
            </w:pPr>
            <w:r>
              <w:rPr>
                <w:rFonts w:hint="eastAsia" w:ascii="宋体" w:hAnsi="宋体" w:eastAsia="宋体" w:cs="宋体"/>
                <w:b/>
                <w:bCs/>
                <w:color w:val="auto"/>
                <w:sz w:val="24"/>
                <w:szCs w:val="20"/>
                <w:highlight w:val="none"/>
              </w:rPr>
              <w:t>(1)招标文件中的“服务要求”所规定的服务内容以及投标文件承诺提供的其他服务内容；</w:t>
            </w:r>
          </w:p>
          <w:p w14:paraId="7FAF0771">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(2)负责货物的开孔，货物的现场安装；</w:t>
            </w:r>
          </w:p>
          <w:p w14:paraId="4099089D">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(3)提供货物组装和维修所需的工具；</w:t>
            </w:r>
          </w:p>
          <w:p w14:paraId="501291DF">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(4)在合同中乙方承诺的质保期限内对所提供货物正常使用实施监督、维修，但前提条件是该服务并不能免除乙方在质量保证期内应承担的义务；</w:t>
            </w:r>
          </w:p>
          <w:p w14:paraId="102E2AB1">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(5)在货物交货现场就货物的安装、启用、维护等对甲方人员进行培训。</w:t>
            </w:r>
          </w:p>
          <w:p w14:paraId="7FD017B7">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highlight w:val="white"/>
              </w:rPr>
            </w:pPr>
            <w:r>
              <w:rPr>
                <w:rFonts w:hint="eastAsia" w:ascii="宋体" w:hAnsi="宋体" w:eastAsia="宋体" w:cs="宋体"/>
                <w:color w:val="auto"/>
                <w:sz w:val="24"/>
                <w:szCs w:val="20"/>
                <w:highlight w:val="none"/>
              </w:rPr>
              <w:t>3.伴随服务的费用应含在合同价中，不单独进行支付。</w:t>
            </w:r>
          </w:p>
        </w:tc>
      </w:tr>
      <w:tr w14:paraId="4A722D7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528" w:hRule="atLeast"/>
          <w:jc w:val="center"/>
        </w:trPr>
        <w:tc>
          <w:tcPr>
            <w:tcW w:w="1301" w:type="dxa"/>
            <w:noWrap w:val="0"/>
            <w:vAlign w:val="center"/>
          </w:tcPr>
          <w:p w14:paraId="20CCB2F1">
            <w:pPr>
              <w:keepNext w:val="0"/>
              <w:keepLines w:val="0"/>
              <w:suppressLineNumbers w:val="0"/>
              <w:spacing w:before="0" w:beforeAutospacing="0" w:after="0" w:afterAutospacing="0"/>
              <w:ind w:left="0" w:right="0"/>
              <w:jc w:val="center"/>
              <w:rPr>
                <w:rFonts w:hint="eastAsia" w:ascii="宋体" w:hAnsi="宋体"/>
                <w:color w:val="auto"/>
                <w:sz w:val="24"/>
              </w:rPr>
            </w:pPr>
          </w:p>
        </w:tc>
        <w:tc>
          <w:tcPr>
            <w:tcW w:w="1476" w:type="dxa"/>
            <w:noWrap w:val="0"/>
            <w:vAlign w:val="center"/>
          </w:tcPr>
          <w:p w14:paraId="0DF3EC8A">
            <w:pPr>
              <w:keepNext w:val="0"/>
              <w:keepLines w:val="0"/>
              <w:suppressLineNumbers w:val="0"/>
              <w:spacing w:before="0" w:beforeAutospacing="0" w:after="0" w:afterAutospacing="0"/>
              <w:ind w:left="0" w:right="0"/>
              <w:jc w:val="center"/>
              <w:rPr>
                <w:rFonts w:hint="eastAsia" w:ascii="宋体" w:hAnsi="宋体"/>
                <w:color w:val="auto"/>
                <w:sz w:val="24"/>
              </w:rPr>
            </w:pPr>
            <w:r>
              <w:rPr>
                <w:rFonts w:hint="eastAsia" w:ascii="宋体" w:hAnsi="宋体"/>
                <w:color w:val="auto"/>
                <w:sz w:val="24"/>
              </w:rPr>
              <w:t>索赔</w:t>
            </w:r>
          </w:p>
        </w:tc>
        <w:tc>
          <w:tcPr>
            <w:tcW w:w="6367" w:type="dxa"/>
            <w:noWrap w:val="0"/>
            <w:vAlign w:val="center"/>
          </w:tcPr>
          <w:p w14:paraId="7CAA690C">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1.甲方有权根据当地质检部门出具的检验报告，向乙方提出索赔。</w:t>
            </w:r>
          </w:p>
          <w:p w14:paraId="7A092DA4">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2.根据合同规定的检验期和质量保证期内，如果乙方对甲方提出的索赔和差异负有责任，乙方应按照甲方同意的下列一种或多种方式解决索赔事宜：</w:t>
            </w:r>
          </w:p>
          <w:p w14:paraId="6E2B00F8">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(1)乙方同意退货，并用合同中规定的货币将货款退还给甲方，并承担由此发生的一切损失和费用，包括利息、银行手续费、运费、保险费、检验费、仓储费、装卸费以及为保护退回货物所需的其它必要费用。</w:t>
            </w:r>
          </w:p>
          <w:p w14:paraId="3631880E">
            <w:pPr>
              <w:keepNext w:val="0"/>
              <w:keepLines w:val="0"/>
              <w:widowControl/>
              <w:suppressLineNumbers w:val="0"/>
              <w:spacing w:before="0" w:beforeAutospacing="0" w:after="0" w:afterAutospacing="0" w:line="560" w:lineRule="exact"/>
              <w:ind w:left="0" w:right="0" w:firstLine="480"/>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(2)根据货物的低劣程度、损坏程度以及甲方所遭受损失的数额，乙方必须降低货物的价格。</w:t>
            </w:r>
          </w:p>
          <w:p w14:paraId="293AC0F5">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(3)用符合合同规定的规格、质量和性能要求的新零件或部件来更换有缺陷的部分，乙方应承担一切费用和风险并负担甲方所蒙受的全部直接损失费用。同时，乙方应按合同规定，对更换件相应延长质量保证期。</w:t>
            </w:r>
          </w:p>
          <w:p w14:paraId="39688E6B">
            <w:pPr>
              <w:keepNext w:val="0"/>
              <w:keepLines w:val="0"/>
              <w:widowControl/>
              <w:suppressLineNumbers w:val="0"/>
              <w:spacing w:before="0" w:beforeAutospacing="0" w:after="0" w:afterAutospacing="0" w:line="560" w:lineRule="exact"/>
              <w:ind w:left="0" w:right="0" w:firstLine="482"/>
              <w:jc w:val="left"/>
              <w:rPr>
                <w:rFonts w:hint="eastAsia" w:ascii="宋体" w:hAnsi="宋体" w:eastAsia="宋体" w:cs="宋体"/>
                <w:color w:val="auto"/>
                <w:sz w:val="24"/>
                <w:highlight w:val="white"/>
              </w:rPr>
            </w:pPr>
            <w:r>
              <w:rPr>
                <w:rFonts w:hint="eastAsia" w:ascii="宋体" w:hAnsi="宋体" w:eastAsia="宋体" w:cs="宋体"/>
                <w:color w:val="auto"/>
                <w:sz w:val="24"/>
                <w:szCs w:val="20"/>
                <w:highlight w:val="none"/>
              </w:rPr>
              <w:t>3.如果在甲方发出索赔通知后20天内，乙方未作答复，上述索赔应视为已被乙方接受，如乙方未能在甲方提出索赔通知后20天内或甲方同意的更长时间内，按照本合同规定的任何一种方法解决索赔事宜，甲方将从乙方开具的履约保证金中扣回索赔金额，或采用法律手段解决索赔事宜。</w:t>
            </w:r>
          </w:p>
        </w:tc>
      </w:tr>
      <w:tr w14:paraId="77A2D927">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1758" w:hRule="atLeast"/>
          <w:jc w:val="center"/>
        </w:trPr>
        <w:tc>
          <w:tcPr>
            <w:tcW w:w="1301" w:type="dxa"/>
            <w:noWrap w:val="0"/>
            <w:vAlign w:val="center"/>
          </w:tcPr>
          <w:p w14:paraId="5D1516BE">
            <w:pPr>
              <w:keepNext w:val="0"/>
              <w:keepLines w:val="0"/>
              <w:suppressLineNumbers w:val="0"/>
              <w:spacing w:before="0" w:beforeAutospacing="0" w:after="0" w:afterAutospacing="0"/>
              <w:ind w:left="0" w:right="0"/>
              <w:jc w:val="center"/>
              <w:rPr>
                <w:rFonts w:hint="eastAsia" w:ascii="宋体" w:hAnsi="宋体"/>
                <w:color w:val="auto"/>
                <w:sz w:val="24"/>
                <w:highlight w:val="white"/>
              </w:rPr>
            </w:pPr>
          </w:p>
        </w:tc>
        <w:tc>
          <w:tcPr>
            <w:tcW w:w="1476" w:type="dxa"/>
            <w:noWrap w:val="0"/>
            <w:vAlign w:val="center"/>
          </w:tcPr>
          <w:p w14:paraId="043D9BD3">
            <w:pPr>
              <w:keepNext w:val="0"/>
              <w:keepLines w:val="0"/>
              <w:suppressLineNumbers w:val="0"/>
              <w:spacing w:before="0" w:beforeAutospacing="0" w:after="0" w:afterAutospacing="0"/>
              <w:ind w:left="0" w:right="0"/>
              <w:jc w:val="center"/>
              <w:rPr>
                <w:rFonts w:hint="eastAsia" w:ascii="宋体" w:hAnsi="宋体"/>
                <w:bCs/>
                <w:color w:val="auto"/>
                <w:sz w:val="24"/>
                <w:highlight w:val="white"/>
              </w:rPr>
            </w:pPr>
            <w:r>
              <w:rPr>
                <w:rFonts w:hint="eastAsia" w:ascii="宋体" w:hAnsi="宋体" w:eastAsia="Arial" w:cs="宋体"/>
                <w:color w:val="auto"/>
                <w:sz w:val="24"/>
                <w:szCs w:val="20"/>
                <w:highlight w:val="none"/>
              </w:rPr>
              <w:t>合同生效及其它</w:t>
            </w:r>
          </w:p>
        </w:tc>
        <w:tc>
          <w:tcPr>
            <w:tcW w:w="6367" w:type="dxa"/>
            <w:noWrap w:val="0"/>
            <w:vAlign w:val="center"/>
          </w:tcPr>
          <w:p w14:paraId="2D6D6ABF">
            <w:pPr>
              <w:keepNext w:val="0"/>
              <w:keepLines w:val="0"/>
              <w:widowControl/>
              <w:suppressLineNumbers w:val="0"/>
              <w:spacing w:before="0" w:beforeAutospacing="0" w:after="0" w:afterAutospacing="0" w:line="560" w:lineRule="exact"/>
              <w:ind w:left="0" w:right="0" w:firstLine="482"/>
              <w:jc w:val="left"/>
              <w:rPr>
                <w:rFonts w:hint="eastAsia" w:ascii="宋体" w:hAnsi="宋体" w:eastAsia="Arial" w:cs="宋体"/>
                <w:color w:val="auto"/>
                <w:sz w:val="24"/>
                <w:szCs w:val="20"/>
                <w:highlight w:val="none"/>
              </w:rPr>
            </w:pPr>
            <w:r>
              <w:rPr>
                <w:rFonts w:hint="eastAsia" w:ascii="宋体" w:hAnsi="宋体" w:eastAsia="Arial" w:cs="宋体"/>
                <w:color w:val="auto"/>
                <w:sz w:val="24"/>
                <w:szCs w:val="20"/>
                <w:highlight w:val="none"/>
              </w:rPr>
              <w:t>1.合同经甲方、乙方盖章后生效。</w:t>
            </w:r>
          </w:p>
          <w:p w14:paraId="26BED13B">
            <w:pPr>
              <w:keepNext w:val="0"/>
              <w:keepLines w:val="0"/>
              <w:widowControl/>
              <w:suppressLineNumbers w:val="0"/>
              <w:spacing w:before="0" w:beforeAutospacing="0" w:after="0" w:afterAutospacing="0" w:line="560" w:lineRule="exact"/>
              <w:ind w:left="0" w:right="0" w:firstLine="482"/>
              <w:jc w:val="left"/>
              <w:rPr>
                <w:rFonts w:hint="eastAsia" w:ascii="宋体" w:hAnsi="宋体" w:eastAsia="Arial" w:cs="宋体"/>
                <w:color w:val="auto"/>
                <w:sz w:val="24"/>
                <w:szCs w:val="20"/>
                <w:highlight w:val="none"/>
              </w:rPr>
            </w:pPr>
            <w:r>
              <w:rPr>
                <w:rFonts w:hint="eastAsia" w:ascii="宋体" w:hAnsi="宋体" w:eastAsia="Arial" w:cs="宋体"/>
                <w:color w:val="auto"/>
                <w:sz w:val="24"/>
                <w:szCs w:val="20"/>
                <w:highlight w:val="none"/>
              </w:rPr>
              <w:t>2.货物交付使用后所发生的合同纠纷，由甲方与乙方协商处理。</w:t>
            </w:r>
          </w:p>
          <w:p w14:paraId="2642D477">
            <w:pPr>
              <w:keepNext w:val="0"/>
              <w:keepLines w:val="0"/>
              <w:widowControl/>
              <w:suppressLineNumbers w:val="0"/>
              <w:spacing w:before="0" w:beforeAutospacing="0" w:after="0" w:afterAutospacing="0" w:line="560" w:lineRule="exact"/>
              <w:ind w:left="0" w:right="0" w:firstLine="482"/>
              <w:jc w:val="left"/>
              <w:rPr>
                <w:rFonts w:hint="eastAsia" w:ascii="宋体" w:hAnsi="宋体" w:eastAsia="Arial" w:cs="宋体"/>
                <w:color w:val="auto"/>
                <w:sz w:val="24"/>
                <w:szCs w:val="20"/>
                <w:highlight w:val="none"/>
              </w:rPr>
            </w:pPr>
            <w:r>
              <w:rPr>
                <w:rFonts w:hint="eastAsia" w:ascii="宋体" w:hAnsi="宋体" w:eastAsia="Arial" w:cs="宋体"/>
                <w:color w:val="auto"/>
                <w:sz w:val="24"/>
                <w:szCs w:val="20"/>
                <w:highlight w:val="none"/>
              </w:rPr>
              <w:t>3.如需修改（指非主要合同条款）或补充合同内容，应经甲方、乙方协商，且修改及补充内容不得对本合同主要条款、招标文件和中标人的投标文件作实质性修改，并签署书面修改或补充协议。该协议将作为本合同不可分割的一部分。</w:t>
            </w:r>
          </w:p>
          <w:p w14:paraId="6339422B">
            <w:pPr>
              <w:keepNext w:val="0"/>
              <w:keepLines w:val="0"/>
              <w:widowControl/>
              <w:suppressLineNumbers w:val="0"/>
              <w:spacing w:before="0" w:beforeAutospacing="0" w:after="0" w:afterAutospacing="0" w:line="560" w:lineRule="exact"/>
              <w:ind w:left="0" w:right="0" w:firstLine="482"/>
              <w:jc w:val="left"/>
              <w:rPr>
                <w:rFonts w:hint="eastAsia" w:ascii="宋体" w:hAnsi="宋体"/>
                <w:color w:val="auto"/>
                <w:sz w:val="24"/>
                <w:highlight w:val="white"/>
              </w:rPr>
            </w:pPr>
            <w:r>
              <w:rPr>
                <w:rFonts w:hint="eastAsia" w:ascii="宋体" w:hAnsi="宋体" w:eastAsia="Arial" w:cs="宋体"/>
                <w:color w:val="auto"/>
                <w:sz w:val="24"/>
                <w:szCs w:val="20"/>
                <w:highlight w:val="none"/>
              </w:rPr>
              <w:t>4.本合同应按照中华人民共和国的现行法律进行解释。本合同未尽事宜，遵照《</w:t>
            </w:r>
            <w:r>
              <w:rPr>
                <w:rFonts w:hint="eastAsia" w:ascii="宋体" w:hAnsi="宋体" w:eastAsia="Arial" w:cs="宋体"/>
                <w:color w:val="auto"/>
                <w:sz w:val="24"/>
                <w:szCs w:val="20"/>
                <w:highlight w:val="none"/>
                <w:lang w:val="en-US" w:eastAsia="zh-CN"/>
              </w:rPr>
              <w:t>中华人民共和国</w:t>
            </w:r>
            <w:r>
              <w:rPr>
                <w:rFonts w:hint="eastAsia" w:ascii="宋体" w:hAnsi="宋体" w:eastAsia="Arial" w:cs="宋体"/>
                <w:color w:val="auto"/>
                <w:sz w:val="24"/>
                <w:szCs w:val="20"/>
                <w:highlight w:val="none"/>
              </w:rPr>
              <w:t>民法典》、《</w:t>
            </w:r>
            <w:r>
              <w:rPr>
                <w:rFonts w:hint="eastAsia" w:ascii="宋体" w:hAnsi="宋体" w:eastAsia="Arial" w:cs="宋体"/>
                <w:color w:val="auto"/>
                <w:sz w:val="24"/>
                <w:szCs w:val="20"/>
                <w:highlight w:val="none"/>
                <w:lang w:val="en-US" w:eastAsia="zh-CN"/>
              </w:rPr>
              <w:t>中华人民共和国</w:t>
            </w:r>
            <w:r>
              <w:rPr>
                <w:rFonts w:hint="eastAsia" w:ascii="宋体" w:hAnsi="宋体" w:eastAsia="Arial" w:cs="宋体"/>
                <w:color w:val="auto"/>
                <w:sz w:val="24"/>
                <w:szCs w:val="20"/>
                <w:highlight w:val="none"/>
              </w:rPr>
              <w:t>政府采购法》等有关条文执行。</w:t>
            </w:r>
          </w:p>
        </w:tc>
      </w:tr>
    </w:tbl>
    <w:p w14:paraId="239E9C84">
      <w:pPr>
        <w:pStyle w:val="36"/>
        <w:spacing w:before="120" w:beforeAutospacing="0" w:after="120" w:afterAutospacing="0" w:line="0" w:lineRule="atLeast"/>
        <w:jc w:val="center"/>
        <w:rPr>
          <w:rFonts w:ascii="黑体" w:hAnsi="宋体" w:eastAsia="黑体" w:cs="黑体"/>
          <w:color w:val="auto"/>
          <w:sz w:val="44"/>
          <w:szCs w:val="44"/>
        </w:rPr>
      </w:pPr>
    </w:p>
    <w:p w14:paraId="516DA78F">
      <w:pPr>
        <w:pStyle w:val="209"/>
        <w:rPr>
          <w:rFonts w:ascii="宋体" w:hAnsi="宋体" w:eastAsia="宋体" w:cs="宋体"/>
          <w:color w:val="auto"/>
        </w:rPr>
      </w:pPr>
      <w:bookmarkStart w:id="163" w:name="_Toc234256916"/>
      <w:r>
        <w:rPr>
          <w:rFonts w:hint="eastAsia"/>
          <w:color w:val="auto"/>
        </w:rPr>
        <w:t>第</w:t>
      </w:r>
      <w:bookmarkEnd w:id="152"/>
      <w:r>
        <w:rPr>
          <w:rFonts w:hint="eastAsia"/>
          <w:color w:val="auto"/>
        </w:rPr>
        <w:t>四章采购需求</w:t>
      </w:r>
      <w:bookmarkEnd w:id="153"/>
      <w:bookmarkEnd w:id="154"/>
      <w:bookmarkEnd w:id="155"/>
      <w:bookmarkEnd w:id="156"/>
      <w:bookmarkEnd w:id="157"/>
      <w:bookmarkEnd w:id="163"/>
    </w:p>
    <w:p w14:paraId="351F862E">
      <w:pPr>
        <w:pStyle w:val="209"/>
        <w:jc w:val="left"/>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rPr>
        <w:t>项目属性:货物类项目</w:t>
      </w:r>
      <w:r>
        <w:rPr>
          <w:rFonts w:hint="eastAsia" w:ascii="宋体" w:hAnsi="宋体" w:eastAsia="宋体" w:cs="宋体"/>
          <w:color w:val="auto"/>
          <w:sz w:val="24"/>
          <w:szCs w:val="24"/>
          <w:highlight w:val="none"/>
          <w:shd w:val="clear" w:color="auto" w:fill="auto"/>
        </w:rPr>
        <w:t>。</w:t>
      </w:r>
    </w:p>
    <w:p w14:paraId="46684B1E">
      <w:pPr>
        <w:pStyle w:val="209"/>
        <w:jc w:val="left"/>
        <w:rPr>
          <w:rFonts w:hint="eastAsia" w:ascii="宋体" w:hAnsi="宋体" w:eastAsia="宋体" w:cs="宋体"/>
          <w:color w:val="auto"/>
          <w:sz w:val="24"/>
          <w:szCs w:val="24"/>
          <w:highlight w:val="none"/>
          <w:shd w:val="clear" w:color="auto" w:fill="auto"/>
          <w:lang w:val="zh-CN"/>
        </w:rPr>
      </w:pPr>
    </w:p>
    <w:p w14:paraId="56A0FCE5">
      <w:pPr>
        <w:pStyle w:val="36"/>
        <w:keepNext/>
        <w:keepLines/>
        <w:spacing w:beforeAutospacing="0" w:afterAutospacing="0" w:line="360" w:lineRule="auto"/>
        <w:ind w:firstLine="498"/>
        <w:jc w:val="both"/>
        <w:rPr>
          <w:rFonts w:ascii="宋体" w:hAnsi="宋体" w:eastAsia="宋体" w:cs="宋体"/>
          <w:color w:val="auto"/>
        </w:rPr>
      </w:pPr>
      <w:r>
        <w:rPr>
          <w:rFonts w:hint="eastAsia" w:ascii="宋体" w:hAnsi="宋体" w:eastAsia="宋体" w:cs="宋体"/>
          <w:b/>
          <w:color w:val="auto"/>
        </w:rPr>
        <w:t>一、项目基本情况</w:t>
      </w:r>
    </w:p>
    <w:p w14:paraId="276D08B4">
      <w:pPr>
        <w:pStyle w:val="36"/>
        <w:spacing w:beforeAutospacing="0" w:afterAutospacing="0" w:line="360" w:lineRule="auto"/>
        <w:ind w:firstLine="480"/>
        <w:jc w:val="both"/>
        <w:rPr>
          <w:rFonts w:hint="eastAsia" w:ascii="宋体" w:hAnsi="宋体" w:eastAsia="宋体" w:cs="宋体"/>
          <w:color w:val="auto"/>
          <w:shd w:val="clear" w:color="auto" w:fill="FFFFFF"/>
          <w:lang w:eastAsia="zh-CN"/>
        </w:rPr>
      </w:pPr>
      <w:r>
        <w:rPr>
          <w:rFonts w:hint="eastAsia" w:ascii="宋体" w:hAnsi="宋体" w:eastAsia="宋体" w:cs="宋体"/>
          <w:color w:val="auto"/>
          <w:shd w:val="clear" w:color="auto" w:fill="FFFFFF"/>
        </w:rPr>
        <w:t>1.项目编号：JSZC-320900-JSZH-G2026-0087</w:t>
      </w:r>
    </w:p>
    <w:p w14:paraId="5679172C">
      <w:pPr>
        <w:pStyle w:val="36"/>
        <w:spacing w:beforeAutospacing="0" w:afterAutospacing="0" w:line="360" w:lineRule="auto"/>
        <w:ind w:firstLine="480"/>
        <w:jc w:val="both"/>
        <w:rPr>
          <w:rFonts w:hint="eastAsia" w:ascii="宋体" w:hAnsi="宋体" w:eastAsia="宋体" w:cs="宋体"/>
          <w:color w:val="auto"/>
          <w:shd w:val="clear" w:color="auto" w:fill="FFFFFF"/>
          <w:lang w:eastAsia="zh-CN"/>
        </w:rPr>
      </w:pPr>
      <w:r>
        <w:rPr>
          <w:rFonts w:hint="eastAsia" w:ascii="宋体" w:hAnsi="宋体" w:eastAsia="宋体" w:cs="宋体"/>
          <w:color w:val="auto"/>
          <w:shd w:val="clear" w:color="auto" w:fill="FFFFFF"/>
        </w:rPr>
        <w:t>2.项目名称：</w:t>
      </w:r>
      <w:r>
        <w:rPr>
          <w:rFonts w:hint="eastAsia" w:ascii="宋体" w:hAnsi="宋体" w:eastAsia="宋体" w:cs="宋体"/>
          <w:color w:val="auto"/>
          <w:shd w:val="clear" w:color="auto" w:fill="FFFFFF"/>
          <w:lang w:eastAsia="zh-CN"/>
        </w:rPr>
        <w:t>江苏省盐城技师学院智能制造学院工业机器人操作与运维一体化学习工作站建设项目</w:t>
      </w:r>
    </w:p>
    <w:p w14:paraId="69412D91">
      <w:pPr>
        <w:pStyle w:val="36"/>
        <w:spacing w:beforeAutospacing="0" w:afterAutospacing="0" w:line="360" w:lineRule="auto"/>
        <w:ind w:firstLine="480"/>
        <w:jc w:val="both"/>
        <w:rPr>
          <w:rFonts w:hint="eastAsia" w:ascii="宋体" w:hAnsi="宋体" w:eastAsia="宋体" w:cs="宋体"/>
          <w:color w:val="auto"/>
          <w:shd w:val="clear" w:color="auto" w:fill="FFFFFF"/>
        </w:rPr>
      </w:pPr>
      <w:r>
        <w:rPr>
          <w:rFonts w:hint="eastAsia" w:ascii="宋体" w:hAnsi="宋体" w:eastAsia="宋体" w:cs="宋体"/>
          <w:color w:val="auto"/>
          <w:shd w:val="clear" w:color="auto" w:fill="FFFFFF"/>
        </w:rPr>
        <w:t>3.采购方式：公开招标</w:t>
      </w:r>
    </w:p>
    <w:p w14:paraId="143E2531">
      <w:pPr>
        <w:pStyle w:val="36"/>
        <w:spacing w:beforeAutospacing="0" w:afterAutospacing="0" w:line="360" w:lineRule="auto"/>
        <w:ind w:firstLine="480"/>
        <w:jc w:val="both"/>
        <w:rPr>
          <w:rFonts w:hint="eastAsia" w:ascii="宋体" w:hAnsi="宋体" w:eastAsia="宋体" w:cs="宋体"/>
          <w:color w:val="auto"/>
          <w:shd w:val="clear" w:color="auto" w:fill="FFFFFF"/>
          <w:lang w:eastAsia="zh-CN"/>
        </w:rPr>
      </w:pPr>
      <w:r>
        <w:rPr>
          <w:rFonts w:hint="eastAsia" w:ascii="宋体" w:hAnsi="宋体" w:eastAsia="宋体" w:cs="宋体"/>
          <w:color w:val="auto"/>
          <w:shd w:val="clear" w:color="auto" w:fill="FFFFFF"/>
        </w:rPr>
        <w:t>4.预算金额：</w:t>
      </w:r>
      <w:r>
        <w:rPr>
          <w:rFonts w:hint="eastAsia" w:ascii="宋体" w:hAnsi="宋体" w:eastAsia="宋体" w:cs="宋体"/>
          <w:color w:val="auto"/>
          <w:shd w:val="clear" w:color="auto" w:fill="FFFFFF"/>
          <w:lang w:val="en-US" w:eastAsia="zh-CN"/>
        </w:rPr>
        <w:t>246.48</w:t>
      </w:r>
      <w:r>
        <w:rPr>
          <w:rFonts w:hint="eastAsia" w:ascii="宋体" w:hAnsi="宋体" w:eastAsia="宋体" w:cs="宋体"/>
          <w:color w:val="auto"/>
          <w:shd w:val="clear" w:color="auto" w:fill="FFFFFF"/>
        </w:rPr>
        <w:t>万元</w:t>
      </w:r>
    </w:p>
    <w:p w14:paraId="075B470C">
      <w:pPr>
        <w:pStyle w:val="36"/>
        <w:spacing w:beforeAutospacing="0" w:afterAutospacing="0" w:line="360" w:lineRule="auto"/>
        <w:ind w:firstLine="480"/>
        <w:jc w:val="both"/>
        <w:rPr>
          <w:rFonts w:hint="eastAsia" w:ascii="宋体" w:hAnsi="宋体" w:eastAsia="宋体" w:cs="宋体"/>
          <w:color w:val="auto"/>
          <w:shd w:val="clear" w:color="auto" w:fill="FFFFFF"/>
        </w:rPr>
      </w:pPr>
      <w:r>
        <w:rPr>
          <w:rFonts w:hint="eastAsia" w:ascii="宋体" w:hAnsi="宋体" w:eastAsia="宋体" w:cs="宋体"/>
          <w:color w:val="auto"/>
          <w:shd w:val="clear" w:color="auto" w:fill="FFFFFF"/>
        </w:rPr>
        <w:t>5.最高限价（如有）：</w:t>
      </w:r>
      <w:r>
        <w:rPr>
          <w:rFonts w:hint="eastAsia" w:ascii="宋体" w:hAnsi="宋体" w:eastAsia="宋体" w:cs="宋体"/>
          <w:color w:val="auto"/>
          <w:shd w:val="clear" w:color="auto" w:fill="FFFFFF"/>
          <w:lang w:val="en-US" w:eastAsia="zh-CN"/>
        </w:rPr>
        <w:t>246.48</w:t>
      </w:r>
      <w:r>
        <w:rPr>
          <w:rFonts w:hint="eastAsia" w:ascii="宋体" w:hAnsi="宋体" w:eastAsia="宋体" w:cs="宋体"/>
          <w:color w:val="auto"/>
          <w:shd w:val="clear" w:color="auto" w:fill="FFFFFF"/>
        </w:rPr>
        <w:t>万元</w:t>
      </w:r>
    </w:p>
    <w:p w14:paraId="2A0F987A">
      <w:pPr>
        <w:pStyle w:val="36"/>
        <w:spacing w:beforeAutospacing="0" w:afterAutospacing="0" w:line="360" w:lineRule="auto"/>
        <w:ind w:firstLine="480"/>
        <w:jc w:val="both"/>
        <w:rPr>
          <w:rFonts w:hint="eastAsia" w:ascii="宋体" w:hAnsi="宋体" w:eastAsia="宋体" w:cs="宋体"/>
          <w:color w:val="auto"/>
          <w:shd w:val="clear" w:color="auto" w:fill="FFFFFF"/>
        </w:rPr>
      </w:pPr>
      <w:r>
        <w:rPr>
          <w:rFonts w:hint="eastAsia" w:ascii="宋体" w:hAnsi="宋体" w:eastAsia="宋体" w:cs="宋体"/>
          <w:color w:val="auto"/>
          <w:shd w:val="clear" w:color="auto" w:fill="FFFFFF"/>
        </w:rPr>
        <w:t>6.采购需求（简介）：</w:t>
      </w:r>
      <w:r>
        <w:rPr>
          <w:rFonts w:hint="eastAsia" w:ascii="宋体" w:hAnsi="宋体" w:eastAsia="宋体" w:cs="宋体"/>
          <w:color w:val="auto"/>
          <w:shd w:val="clear" w:color="auto" w:fill="FFFFFF"/>
          <w:lang w:eastAsia="zh-CN"/>
        </w:rPr>
        <w:t>江苏省盐城技师学院智能制造学院工业机器人操作与运维一体化学习工作站建设项目</w:t>
      </w:r>
      <w:r>
        <w:rPr>
          <w:rFonts w:hint="eastAsia" w:ascii="宋体" w:hAnsi="宋体" w:eastAsia="宋体" w:cs="宋体"/>
          <w:color w:val="auto"/>
          <w:shd w:val="clear" w:color="auto" w:fill="FFFFFF"/>
          <w:lang w:val="en-US" w:eastAsia="zh-CN"/>
        </w:rPr>
        <w:t>。</w:t>
      </w:r>
      <w:r>
        <w:rPr>
          <w:rFonts w:hint="eastAsia" w:ascii="宋体" w:hAnsi="宋体" w:eastAsia="宋体" w:cs="宋体"/>
          <w:color w:val="auto"/>
          <w:shd w:val="clear" w:color="auto" w:fill="FFFFFF"/>
        </w:rPr>
        <w:t>详见本招标文件第四章采购需求。</w:t>
      </w:r>
    </w:p>
    <w:p w14:paraId="0F7C3E8F">
      <w:pPr>
        <w:pStyle w:val="36"/>
        <w:spacing w:beforeAutospacing="0" w:afterAutospacing="0" w:line="360" w:lineRule="auto"/>
        <w:ind w:firstLine="480"/>
        <w:jc w:val="both"/>
        <w:rPr>
          <w:rFonts w:hint="eastAsia" w:ascii="宋体" w:hAnsi="宋体" w:eastAsia="宋体" w:cs="宋体"/>
          <w:color w:val="auto"/>
          <w:shd w:val="clear" w:color="auto" w:fill="FFFFFF"/>
        </w:rPr>
      </w:pPr>
      <w:r>
        <w:rPr>
          <w:rFonts w:hint="eastAsia" w:ascii="宋体" w:hAnsi="宋体" w:eastAsia="宋体" w:cs="宋体"/>
          <w:color w:val="auto"/>
          <w:shd w:val="clear" w:color="auto" w:fill="FFFFFF"/>
        </w:rPr>
        <w:t>7.合同履行期限：合同生效后</w:t>
      </w:r>
      <w:r>
        <w:rPr>
          <w:rFonts w:hint="eastAsia" w:ascii="宋体" w:hAnsi="宋体" w:eastAsia="宋体" w:cs="宋体"/>
          <w:color w:val="auto"/>
          <w:shd w:val="clear" w:color="auto" w:fill="FFFFFF"/>
          <w:lang w:val="en-US" w:eastAsia="zh-CN"/>
        </w:rPr>
        <w:t>45</w:t>
      </w:r>
      <w:r>
        <w:rPr>
          <w:rFonts w:hint="eastAsia" w:ascii="宋体" w:hAnsi="宋体" w:eastAsia="宋体" w:cs="宋体"/>
          <w:color w:val="auto"/>
          <w:shd w:val="clear" w:color="auto" w:fill="FFFFFF"/>
        </w:rPr>
        <w:t>个日历天（此期限不包括采购人验收时间），供应商应在此期限内完成全部货物的交付、安装与调试。</w:t>
      </w:r>
    </w:p>
    <w:p w14:paraId="715C456B">
      <w:pPr>
        <w:pStyle w:val="36"/>
        <w:spacing w:beforeAutospacing="0" w:afterAutospacing="0" w:line="360" w:lineRule="auto"/>
        <w:jc w:val="both"/>
        <w:rPr>
          <w:rFonts w:hint="default" w:ascii="宋体" w:hAnsi="宋体" w:eastAsia="宋体" w:cs="Times New Roman"/>
          <w:b/>
          <w:color w:val="auto"/>
          <w:sz w:val="24"/>
          <w:szCs w:val="21"/>
          <w:lang w:val="en-US" w:eastAsia="zh-CN"/>
        </w:rPr>
      </w:pPr>
      <w:r>
        <w:rPr>
          <w:rFonts w:hint="eastAsia" w:ascii="宋体" w:hAnsi="宋体" w:eastAsia="宋体" w:cs="宋体"/>
          <w:color w:val="auto"/>
          <w:shd w:val="clear" w:color="auto" w:fill="FFFFFF"/>
        </w:rPr>
        <w:t>8.本项目（是/否）接受联合体：不接受联合体。</w:t>
      </w:r>
    </w:p>
    <w:p w14:paraId="411D4620">
      <w:pPr>
        <w:pStyle w:val="227"/>
        <w:keepNext w:val="0"/>
        <w:keepLines w:val="0"/>
        <w:pageBreakBefore w:val="0"/>
        <w:widowControl w:val="0"/>
        <w:numPr>
          <w:ilvl w:val="0"/>
          <w:numId w:val="7"/>
        </w:numPr>
        <w:spacing w:beforeAutospacing="0" w:afterAutospacing="0" w:line="480" w:lineRule="exact"/>
        <w:jc w:val="both"/>
        <w:rPr>
          <w:rFonts w:hint="eastAsia" w:ascii="宋体" w:hAnsi="宋体" w:eastAsia="宋体" w:cs="宋体"/>
          <w:b/>
          <w:bCs/>
          <w:color w:val="auto"/>
          <w:sz w:val="24"/>
          <w:szCs w:val="24"/>
          <w:highlight w:val="none"/>
        </w:rPr>
      </w:pPr>
      <w:bookmarkStart w:id="164" w:name="_Toc234256917"/>
      <w:bookmarkStart w:id="165" w:name="_Toc120614281"/>
      <w:r>
        <w:rPr>
          <w:rFonts w:hint="eastAsia" w:ascii="宋体" w:hAnsi="宋体" w:eastAsia="宋体" w:cs="宋体"/>
          <w:b/>
          <w:bCs/>
          <w:color w:val="auto"/>
          <w:sz w:val="24"/>
          <w:szCs w:val="24"/>
          <w:highlight w:val="none"/>
        </w:rPr>
        <w:t>技术要求</w:t>
      </w:r>
    </w:p>
    <w:p w14:paraId="1597C1A4">
      <w:pPr>
        <w:pStyle w:val="227"/>
        <w:keepNext w:val="0"/>
        <w:keepLines w:val="0"/>
        <w:pageBreakBefore w:val="0"/>
        <w:widowControl w:val="0"/>
        <w:spacing w:beforeAutospacing="0" w:afterAutospacing="0" w:line="480" w:lineRule="exact"/>
        <w:jc w:val="both"/>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本项目核心产品为</w:t>
      </w:r>
      <w:r>
        <w:rPr>
          <w:rFonts w:hint="eastAsia" w:ascii="宋体" w:hAnsi="宋体" w:cs="宋体"/>
          <w:b/>
          <w:bCs/>
          <w:color w:val="auto"/>
          <w:sz w:val="24"/>
          <w:szCs w:val="24"/>
          <w:highlight w:val="none"/>
          <w:lang w:val="en-US" w:eastAsia="zh-CN"/>
        </w:rPr>
        <w:t>_</w:t>
      </w:r>
      <w:r>
        <w:rPr>
          <w:rFonts w:hint="eastAsia" w:ascii="宋体" w:hAnsi="宋体" w:cs="宋体"/>
          <w:b/>
          <w:bCs/>
          <w:color w:val="auto"/>
          <w:sz w:val="24"/>
          <w:szCs w:val="24"/>
          <w:highlight w:val="none"/>
          <w:u w:val="single"/>
          <w:lang w:val="en-US" w:eastAsia="zh-CN"/>
        </w:rPr>
        <w:t>工业机器人综合实训平台</w:t>
      </w:r>
      <w:r>
        <w:rPr>
          <w:rFonts w:hint="eastAsia" w:ascii="宋体" w:hAnsi="宋体" w:cs="宋体"/>
          <w:b/>
          <w:bCs/>
          <w:color w:val="auto"/>
          <w:sz w:val="24"/>
          <w:szCs w:val="24"/>
          <w:highlight w:val="none"/>
          <w:lang w:val="en-US" w:eastAsia="zh-CN"/>
        </w:rPr>
        <w:t>_</w:t>
      </w:r>
      <w:r>
        <w:rPr>
          <w:rFonts w:hint="eastAsia" w:ascii="宋体" w:hAnsi="宋体" w:eastAsia="宋体" w:cs="宋体"/>
          <w:b/>
          <w:bCs/>
          <w:color w:val="auto"/>
          <w:sz w:val="24"/>
          <w:szCs w:val="24"/>
          <w:highlight w:val="none"/>
        </w:rPr>
        <w:t>。</w:t>
      </w:r>
    </w:p>
    <w:tbl>
      <w:tblPr>
        <w:tblStyle w:val="42"/>
        <w:tblW w:w="92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752"/>
        <w:gridCol w:w="6625"/>
        <w:gridCol w:w="602"/>
        <w:gridCol w:w="753"/>
      </w:tblGrid>
      <w:tr w14:paraId="61215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567" w:type="dxa"/>
            <w:vAlign w:val="center"/>
          </w:tcPr>
          <w:p w14:paraId="1E6033CC">
            <w:pPr>
              <w:keepNext w:val="0"/>
              <w:keepLines w:val="0"/>
              <w:suppressLineNumbers w:val="0"/>
              <w:spacing w:before="0" w:beforeAutospacing="0" w:after="0" w:afterAutospacing="0"/>
              <w:ind w:left="0" w:right="0"/>
            </w:pPr>
            <w:r>
              <w:rPr>
                <w:rFonts w:hint="eastAsia"/>
              </w:rPr>
              <w:t>序号</w:t>
            </w:r>
          </w:p>
        </w:tc>
        <w:tc>
          <w:tcPr>
            <w:tcW w:w="752" w:type="dxa"/>
            <w:vAlign w:val="center"/>
          </w:tcPr>
          <w:p w14:paraId="6C52F0F9">
            <w:pPr>
              <w:keepNext w:val="0"/>
              <w:keepLines w:val="0"/>
              <w:suppressLineNumbers w:val="0"/>
              <w:spacing w:before="0" w:beforeAutospacing="0" w:after="0" w:afterAutospacing="0"/>
              <w:ind w:left="0" w:right="0"/>
            </w:pPr>
            <w:r>
              <w:rPr>
                <w:rFonts w:hint="eastAsia"/>
              </w:rPr>
              <w:t>设备名称</w:t>
            </w:r>
          </w:p>
        </w:tc>
        <w:tc>
          <w:tcPr>
            <w:tcW w:w="6625" w:type="dxa"/>
            <w:vAlign w:val="center"/>
          </w:tcPr>
          <w:p w14:paraId="3FD1DEA4">
            <w:pPr>
              <w:keepNext w:val="0"/>
              <w:keepLines w:val="0"/>
              <w:suppressLineNumbers w:val="0"/>
              <w:spacing w:before="0" w:beforeAutospacing="0" w:after="0" w:afterAutospacing="0"/>
              <w:ind w:left="0" w:right="0"/>
              <w:jc w:val="center"/>
            </w:pPr>
            <w:r>
              <w:rPr>
                <w:rFonts w:hint="eastAsia"/>
              </w:rPr>
              <w:t>技术参数</w:t>
            </w:r>
          </w:p>
        </w:tc>
        <w:tc>
          <w:tcPr>
            <w:tcW w:w="602" w:type="dxa"/>
            <w:vAlign w:val="center"/>
          </w:tcPr>
          <w:p w14:paraId="34324FF9">
            <w:pPr>
              <w:keepNext w:val="0"/>
              <w:keepLines w:val="0"/>
              <w:suppressLineNumbers w:val="0"/>
              <w:spacing w:before="0" w:beforeAutospacing="0" w:after="0" w:afterAutospacing="0"/>
              <w:ind w:left="0" w:right="0"/>
              <w:jc w:val="center"/>
            </w:pPr>
            <w:r>
              <w:rPr>
                <w:rFonts w:hint="eastAsia"/>
              </w:rPr>
              <w:t>单位</w:t>
            </w:r>
          </w:p>
        </w:tc>
        <w:tc>
          <w:tcPr>
            <w:tcW w:w="753" w:type="dxa"/>
            <w:vAlign w:val="center"/>
          </w:tcPr>
          <w:p w14:paraId="05DA73BE">
            <w:pPr>
              <w:keepNext w:val="0"/>
              <w:keepLines w:val="0"/>
              <w:suppressLineNumbers w:val="0"/>
              <w:spacing w:before="0" w:beforeAutospacing="0" w:after="0" w:afterAutospacing="0"/>
              <w:ind w:left="0" w:right="0"/>
              <w:jc w:val="center"/>
            </w:pPr>
            <w:r>
              <w:rPr>
                <w:rFonts w:hint="eastAsia"/>
              </w:rPr>
              <w:t>数量</w:t>
            </w:r>
          </w:p>
        </w:tc>
      </w:tr>
      <w:tr w14:paraId="23DCC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trPr>
        <w:tc>
          <w:tcPr>
            <w:tcW w:w="567" w:type="dxa"/>
            <w:vAlign w:val="center"/>
          </w:tcPr>
          <w:p w14:paraId="748E05A4">
            <w:pPr>
              <w:keepNext w:val="0"/>
              <w:keepLines w:val="0"/>
              <w:suppressLineNumbers w:val="0"/>
              <w:spacing w:before="0" w:beforeAutospacing="0" w:after="0" w:afterAutospacing="0"/>
              <w:ind w:left="0" w:right="0"/>
            </w:pPr>
            <w:bookmarkStart w:id="166" w:name="_Hlk237264503"/>
            <w:r>
              <w:t>1</w:t>
            </w:r>
          </w:p>
        </w:tc>
        <w:tc>
          <w:tcPr>
            <w:tcW w:w="752" w:type="dxa"/>
            <w:vAlign w:val="center"/>
          </w:tcPr>
          <w:p w14:paraId="108BBE11">
            <w:pPr>
              <w:keepNext w:val="0"/>
              <w:keepLines w:val="0"/>
              <w:suppressLineNumbers w:val="0"/>
              <w:spacing w:before="0" w:beforeAutospacing="0" w:after="0" w:afterAutospacing="0"/>
              <w:ind w:left="0" w:right="0"/>
              <w:rPr>
                <w:rFonts w:hAnsi="Times New Roman" w:eastAsia="仿宋_GB2312"/>
                <w:b/>
                <w:bCs/>
              </w:rPr>
            </w:pPr>
            <w:r>
              <w:rPr>
                <w:rFonts w:hint="eastAsia"/>
              </w:rPr>
              <w:t>工业机器人综合实训平台</w:t>
            </w:r>
          </w:p>
        </w:tc>
        <w:tc>
          <w:tcPr>
            <w:tcW w:w="6625" w:type="dxa"/>
            <w:vAlign w:val="center"/>
          </w:tcPr>
          <w:p w14:paraId="19BD151C">
            <w:pPr>
              <w:keepNext w:val="0"/>
              <w:keepLines w:val="0"/>
              <w:suppressLineNumbers w:val="0"/>
              <w:spacing w:before="0" w:beforeAutospacing="0" w:after="0" w:afterAutospacing="0"/>
              <w:ind w:left="0" w:right="0"/>
            </w:pPr>
            <w:r>
              <w:rPr>
                <w:rFonts w:hint="eastAsia"/>
              </w:rPr>
              <w:t>一、设备总体要求</w:t>
            </w:r>
          </w:p>
          <w:p w14:paraId="78016FE3">
            <w:pPr>
              <w:keepNext w:val="0"/>
              <w:keepLines w:val="0"/>
              <w:suppressLineNumbers w:val="0"/>
              <w:spacing w:before="0" w:beforeAutospacing="0" w:after="0" w:afterAutospacing="0"/>
              <w:ind w:left="0" w:right="0"/>
            </w:pPr>
            <w:r>
              <w:rPr>
                <w:rFonts w:hint="eastAsia"/>
              </w:rPr>
              <w:t>1.1产品主要由工业机器人本体、基础平台、基础操作考核模块、气动系统、电控及通讯系统、机加工自动化任务单元、智能转运-分拣-码垛任务单元、典型行业包装任务单元、焊接任务单元、打磨任务单元等组成；该平台可进行工业机器人坐标标定、轨迹编程与操作、装配、搬运、码垛、包装、焊接、打磨、涂胶、工业视觉检测等贴近工业现场应用的工业机器人的技能教学、培训与考核，也可实现机器人离线编程、仿真等功能。</w:t>
            </w:r>
          </w:p>
          <w:p w14:paraId="1169E081">
            <w:pPr>
              <w:keepNext w:val="0"/>
              <w:keepLines w:val="0"/>
              <w:suppressLineNumbers w:val="0"/>
              <w:spacing w:before="0" w:beforeAutospacing="0" w:after="0" w:afterAutospacing="0"/>
              <w:ind w:left="0" w:right="0"/>
              <w:rPr>
                <w:rFonts w:asciiTheme="minorEastAsia" w:hAnsiTheme="minorEastAsia" w:eastAsiaTheme="minorEastAsia"/>
              </w:rPr>
            </w:pPr>
            <w:bookmarkStart w:id="167" w:name="OLE_LINK12"/>
            <w:r>
              <w:rPr>
                <w:rFonts w:hint="eastAsia" w:asciiTheme="minorEastAsia" w:hAnsiTheme="minorEastAsia" w:eastAsiaTheme="minorEastAsia"/>
              </w:rPr>
              <w:t>1.2.</w:t>
            </w:r>
            <w:r>
              <w:rPr>
                <w:rFonts w:hint="eastAsia"/>
              </w:rPr>
              <w:t xml:space="preserve"> </w:t>
            </w:r>
            <w:bookmarkStart w:id="168" w:name="OLE_LINK45"/>
            <w:r>
              <w:rPr>
                <w:rFonts w:hint="eastAsia"/>
              </w:rPr>
              <w:t>工业机器人综合实训平台</w:t>
            </w:r>
            <w:bookmarkEnd w:id="168"/>
            <w:bookmarkStart w:id="169" w:name="OLE_LINK57"/>
            <w:r>
              <w:rPr>
                <w:rFonts w:hint="eastAsia" w:asciiTheme="minorEastAsia" w:hAnsiTheme="minorEastAsia" w:eastAsiaTheme="minorEastAsia"/>
              </w:rPr>
              <w:t>需采用实训平台加实训功能模块的组合式结构</w:t>
            </w:r>
            <w:bookmarkEnd w:id="169"/>
            <w:r>
              <w:rPr>
                <w:rFonts w:hint="eastAsia" w:asciiTheme="minorEastAsia" w:hAnsiTheme="minorEastAsia" w:eastAsiaTheme="minorEastAsia"/>
              </w:rPr>
              <w:t>，</w:t>
            </w:r>
            <w:r>
              <w:rPr>
                <w:rFonts w:hint="eastAsia"/>
              </w:rPr>
              <w:t>至少提供以下模块动作流程并提供相应的仿真模型（本项功能需提供视频演示）</w:t>
            </w:r>
            <w:r>
              <w:rPr>
                <w:rFonts w:hint="eastAsia" w:asciiTheme="minorEastAsia" w:hAnsiTheme="minorEastAsia" w:eastAsiaTheme="minorEastAsia"/>
              </w:rPr>
              <w:t>。</w:t>
            </w:r>
          </w:p>
          <w:p w14:paraId="1262217E">
            <w:pPr>
              <w:keepNext w:val="0"/>
              <w:keepLines w:val="0"/>
              <w:suppressLineNumbers w:val="0"/>
              <w:spacing w:before="0" w:beforeAutospacing="0" w:after="0" w:afterAutospacing="0"/>
              <w:ind w:left="0" w:right="0"/>
            </w:pPr>
            <w:r>
              <w:rPr>
                <w:rFonts w:hint="eastAsia"/>
              </w:rPr>
              <w:t>（1）搬运码垛模块运行流程：机器人取夹具将料块从码垛单元A点搬运至码垛单元B点完成工业机器人物料的搬运。</w:t>
            </w:r>
          </w:p>
          <w:p w14:paraId="5C1946AE">
            <w:pPr>
              <w:keepNext w:val="0"/>
              <w:keepLines w:val="0"/>
              <w:suppressLineNumbers w:val="0"/>
              <w:spacing w:before="0" w:beforeAutospacing="0" w:after="0" w:afterAutospacing="0"/>
              <w:ind w:left="0" w:right="0"/>
            </w:pPr>
            <w:r>
              <w:rPr>
                <w:rFonts w:hint="eastAsia"/>
              </w:rPr>
              <w:t>（2）视觉模块随机抓取运行流程：将料块随机摆放至视觉检测区域内，通过2D视觉识别定位料块当前位置，机器人将随机摆放的料块精准放入固定位置，该流程需重复运行3次以上。</w:t>
            </w:r>
          </w:p>
          <w:p w14:paraId="3061DAA1">
            <w:pPr>
              <w:keepNext w:val="0"/>
              <w:keepLines w:val="0"/>
              <w:suppressLineNumbers w:val="0"/>
              <w:spacing w:before="0" w:beforeAutospacing="0" w:after="0" w:afterAutospacing="0"/>
              <w:ind w:left="0" w:right="0"/>
            </w:pPr>
            <w:r>
              <w:rPr>
                <w:rFonts w:hint="eastAsia"/>
              </w:rPr>
              <w:t>（3）模拟焊接运行流程：机器人取吸盘夹具，吸取物料放至焊接变位机，放回吸盘夹具；取模拟焊枪夹具焊接，完成后变位机旋转角度，放回焊枪夹具；取吸盘夹具，至可移动式立体仓储吸取物料放至变位机，放回吸盘夹具；取模拟焊枪夹具焊接，完成后放回焊枪夹具，变位机旋转角度。</w:t>
            </w:r>
          </w:p>
          <w:p w14:paraId="4EC0FC26">
            <w:pPr>
              <w:keepNext w:val="0"/>
              <w:keepLines w:val="0"/>
              <w:suppressLineNumbers w:val="0"/>
              <w:spacing w:before="0" w:beforeAutospacing="0" w:after="0" w:afterAutospacing="0"/>
              <w:ind w:left="0" w:right="0"/>
            </w:pPr>
            <w:r>
              <w:rPr>
                <w:rFonts w:hint="eastAsia"/>
              </w:rPr>
              <w:t>（4）装配运行流程：机器人取夹爪，供料模块推出物料盒，输送带运至末端后，机器人抓取并依次放至模拟数控加工单元、装配单元；机器人换吸盘夹具，通过 2D 视觉识别物料图案及位置并抓取，放入物料盒；至可移动式立体仓储吸取盖子装配，换夹爪夹具将装好的物料盒入库；机器人放回夹爪，运行至原点。</w:t>
            </w:r>
          </w:p>
          <w:p w14:paraId="36382407">
            <w:pPr>
              <w:keepNext w:val="0"/>
              <w:keepLines w:val="0"/>
              <w:suppressLineNumbers w:val="0"/>
              <w:spacing w:before="0" w:beforeAutospacing="0" w:after="0" w:afterAutospacing="0"/>
              <w:ind w:left="0" w:right="0"/>
            </w:pPr>
            <w:r>
              <w:rPr>
                <w:rFonts w:hint="eastAsia"/>
                <w:sz w:val="24"/>
              </w:rPr>
              <w:t>▲</w:t>
            </w:r>
            <w:r>
              <w:rPr>
                <w:rFonts w:hint="eastAsia"/>
              </w:rPr>
              <w:t>1.3工业机器人综合实训平台需提供《工业机器人系统操作员》《工业机器人系统运维员》国家职业技能标准各自对应工作任务的教学PPT课件及对应的教学视频。</w:t>
            </w:r>
            <w:bookmarkStart w:id="170" w:name="OLE_LINK1"/>
            <w:r>
              <w:rPr>
                <w:rFonts w:hint="eastAsia"/>
              </w:rPr>
              <w:t>配套的教学PPT及视频，应至少包含：</w:t>
            </w:r>
          </w:p>
          <w:bookmarkEnd w:id="170"/>
          <w:p w14:paraId="4A987259">
            <w:pPr>
              <w:keepNext w:val="0"/>
              <w:keepLines w:val="0"/>
              <w:suppressLineNumbers w:val="0"/>
              <w:spacing w:before="0" w:beforeAutospacing="0" w:after="0" w:afterAutospacing="0"/>
              <w:ind w:left="0" w:right="0"/>
            </w:pPr>
            <w:r>
              <w:rPr>
                <w:rFonts w:hint="eastAsia"/>
              </w:rPr>
              <w:t>1）工业机器人操作安全保护讲解PPT及视频；</w:t>
            </w:r>
          </w:p>
          <w:p w14:paraId="397F0F1A">
            <w:pPr>
              <w:keepNext w:val="0"/>
              <w:keepLines w:val="0"/>
              <w:suppressLineNumbers w:val="0"/>
              <w:spacing w:before="0" w:beforeAutospacing="0" w:after="0" w:afterAutospacing="0"/>
              <w:ind w:left="0" w:right="0"/>
            </w:pPr>
            <w:r>
              <w:rPr>
                <w:rFonts w:hint="eastAsia"/>
              </w:rPr>
              <w:t>2）工业机器人安装讲解PPT及视频；</w:t>
            </w:r>
          </w:p>
          <w:p w14:paraId="03CAE346">
            <w:pPr>
              <w:keepNext w:val="0"/>
              <w:keepLines w:val="0"/>
              <w:suppressLineNumbers w:val="0"/>
              <w:spacing w:before="0" w:beforeAutospacing="0" w:after="0" w:afterAutospacing="0"/>
              <w:ind w:left="0" w:right="0"/>
            </w:pPr>
            <w:r>
              <w:rPr>
                <w:rFonts w:hint="eastAsia"/>
              </w:rPr>
              <w:t>3）工业机器人操作与示教编程讲解PPT及视频；</w:t>
            </w:r>
          </w:p>
          <w:p w14:paraId="2195A47F">
            <w:pPr>
              <w:keepNext w:val="0"/>
              <w:keepLines w:val="0"/>
              <w:suppressLineNumbers w:val="0"/>
              <w:spacing w:before="0" w:beforeAutospacing="0" w:after="0" w:afterAutospacing="0"/>
              <w:ind w:left="0" w:right="0"/>
            </w:pPr>
            <w:r>
              <w:rPr>
                <w:rFonts w:hint="eastAsia"/>
              </w:rPr>
              <w:t>4）工业机器人数据备份及恢复讲解PPT及视频；</w:t>
            </w:r>
          </w:p>
          <w:p w14:paraId="71FB753D">
            <w:pPr>
              <w:keepNext w:val="0"/>
              <w:keepLines w:val="0"/>
              <w:suppressLineNumbers w:val="0"/>
              <w:spacing w:before="0" w:beforeAutospacing="0" w:after="0" w:afterAutospacing="0"/>
              <w:ind w:left="0" w:right="0"/>
            </w:pPr>
            <w:r>
              <w:rPr>
                <w:rFonts w:hint="eastAsia"/>
              </w:rPr>
              <w:t>5）工业机器人系统维护讲解PPT及视频；</w:t>
            </w:r>
          </w:p>
          <w:p w14:paraId="463EE62C">
            <w:pPr>
              <w:keepNext w:val="0"/>
              <w:keepLines w:val="0"/>
              <w:suppressLineNumbers w:val="0"/>
              <w:spacing w:before="0" w:beforeAutospacing="0" w:after="0" w:afterAutospacing="0"/>
              <w:ind w:left="0" w:right="0"/>
            </w:pPr>
            <w:r>
              <w:rPr>
                <w:rFonts w:hint="eastAsia"/>
              </w:rPr>
              <w:t>6）工业机器人校对与调试讲解PPT及视频；</w:t>
            </w:r>
          </w:p>
          <w:p w14:paraId="653C2E5A">
            <w:pPr>
              <w:keepNext w:val="0"/>
              <w:keepLines w:val="0"/>
              <w:suppressLineNumbers w:val="0"/>
              <w:spacing w:before="0" w:beforeAutospacing="0" w:after="0" w:afterAutospacing="0"/>
              <w:ind w:left="0" w:right="0"/>
            </w:pPr>
            <w:r>
              <w:rPr>
                <w:rFonts w:hint="eastAsia"/>
              </w:rPr>
              <w:t>7）工业机器人操作与编程讲解PPT及视频；</w:t>
            </w:r>
          </w:p>
          <w:p w14:paraId="0F06A707">
            <w:pPr>
              <w:keepNext w:val="0"/>
              <w:keepLines w:val="0"/>
              <w:suppressLineNumbers w:val="0"/>
              <w:spacing w:before="0" w:beforeAutospacing="0" w:after="0" w:afterAutospacing="0"/>
              <w:ind w:left="0" w:right="0"/>
            </w:pPr>
            <w:r>
              <w:rPr>
                <w:rFonts w:hint="eastAsia"/>
              </w:rPr>
              <w:t>8）工业机器人系统故障诊断及处理讲解PPT及视频。</w:t>
            </w:r>
          </w:p>
          <w:p w14:paraId="611F2C2E">
            <w:pPr>
              <w:keepNext w:val="0"/>
              <w:keepLines w:val="0"/>
              <w:suppressLineNumbers w:val="0"/>
              <w:spacing w:before="0" w:beforeAutospacing="0" w:after="0" w:afterAutospacing="0"/>
              <w:ind w:left="0" w:right="0"/>
            </w:pPr>
            <w:r>
              <w:rPr>
                <w:rFonts w:hint="eastAsia"/>
              </w:rPr>
              <w:t>注：投标文件中需附满足1-8项功能要求的PPT及视频界面截图，每项不低于2张。</w:t>
            </w:r>
          </w:p>
          <w:p w14:paraId="6FEA976D">
            <w:pPr>
              <w:keepNext w:val="0"/>
              <w:keepLines w:val="0"/>
              <w:suppressLineNumbers w:val="0"/>
              <w:spacing w:before="0" w:beforeAutospacing="0" w:after="0" w:afterAutospacing="0"/>
              <w:ind w:left="0" w:right="0"/>
            </w:pPr>
          </w:p>
          <w:p w14:paraId="5145F895">
            <w:pPr>
              <w:keepNext w:val="0"/>
              <w:keepLines w:val="0"/>
              <w:suppressLineNumbers w:val="0"/>
              <w:spacing w:before="0" w:beforeAutospacing="0" w:after="0" w:afterAutospacing="0"/>
              <w:ind w:left="0" w:right="0"/>
            </w:pPr>
            <w:r>
              <w:rPr>
                <w:rFonts w:hint="eastAsia"/>
              </w:rPr>
              <w:t>二、工业机器人综合实训平台配置要求</w:t>
            </w:r>
          </w:p>
          <w:p w14:paraId="0ED833A3">
            <w:pPr>
              <w:keepNext w:val="0"/>
              <w:keepLines w:val="0"/>
              <w:suppressLineNumbers w:val="0"/>
              <w:spacing w:before="0" w:beforeAutospacing="0" w:after="0" w:afterAutospacing="0"/>
              <w:ind w:left="0" w:right="0"/>
            </w:pPr>
            <w:r>
              <w:rPr>
                <w:rFonts w:hint="eastAsia"/>
              </w:rPr>
              <w:t>2.1 机器人智能交互系统</w:t>
            </w:r>
          </w:p>
          <w:bookmarkEnd w:id="167"/>
          <w:p w14:paraId="09931EDC">
            <w:pPr>
              <w:keepNext w:val="0"/>
              <w:keepLines w:val="0"/>
              <w:suppressLineNumbers w:val="0"/>
              <w:spacing w:before="0" w:beforeAutospacing="0" w:after="0" w:afterAutospacing="0"/>
              <w:ind w:left="0" w:right="0"/>
            </w:pPr>
            <w:r>
              <w:t>（1）系统概述</w:t>
            </w:r>
          </w:p>
          <w:p w14:paraId="6382CE4B">
            <w:pPr>
              <w:keepNext w:val="0"/>
              <w:keepLines w:val="0"/>
              <w:suppressLineNumbers w:val="0"/>
              <w:spacing w:before="0" w:beforeAutospacing="0" w:after="0" w:afterAutospacing="0"/>
              <w:ind w:left="0" w:right="0"/>
            </w:pPr>
            <w:r>
              <w:t>硬件包含麦克风、音箱，软件以 AI 为主，辅助以问答、编程工具。AI 系统可私有化部署在 PC 端运行，能进行语音问答服务、编程服务、知识库检索服务。</w:t>
            </w:r>
          </w:p>
          <w:p w14:paraId="25AA6CF0">
            <w:pPr>
              <w:keepNext w:val="0"/>
              <w:keepLines w:val="0"/>
              <w:suppressLineNumbers w:val="0"/>
              <w:spacing w:before="0" w:beforeAutospacing="0" w:after="0" w:afterAutospacing="0"/>
              <w:ind w:left="0" w:right="0"/>
            </w:pPr>
            <w:r>
              <w:t>（2）功能要求（本项功能需求需提供视频演示）</w:t>
            </w:r>
          </w:p>
          <w:p w14:paraId="2FAB4F45">
            <w:pPr>
              <w:keepNext w:val="0"/>
              <w:keepLines w:val="0"/>
              <w:suppressLineNumbers w:val="0"/>
              <w:spacing w:before="0" w:beforeAutospacing="0" w:after="0" w:afterAutospacing="0"/>
              <w:ind w:left="0" w:right="0"/>
            </w:pPr>
            <w:r>
              <w:t>1）语音交互与问答</w:t>
            </w:r>
          </w:p>
          <w:p w14:paraId="285CB340">
            <w:pPr>
              <w:keepNext w:val="0"/>
              <w:keepLines w:val="0"/>
              <w:suppressLineNumbers w:val="0"/>
              <w:spacing w:before="0" w:beforeAutospacing="0" w:after="0" w:afterAutospacing="0"/>
              <w:ind w:left="0" w:right="0"/>
            </w:pPr>
            <w:r>
              <w:t>支持语音唤醒和语音对话</w:t>
            </w:r>
          </w:p>
          <w:p w14:paraId="63D73546">
            <w:pPr>
              <w:keepNext w:val="0"/>
              <w:keepLines w:val="0"/>
              <w:suppressLineNumbers w:val="0"/>
              <w:spacing w:before="0" w:beforeAutospacing="0" w:after="0" w:afterAutospacing="0"/>
              <w:ind w:left="0" w:right="0"/>
            </w:pPr>
            <w:r>
              <w:t>可实现与设备应用平台的语音交互</w:t>
            </w:r>
          </w:p>
          <w:p w14:paraId="4DF0028B">
            <w:pPr>
              <w:keepNext w:val="0"/>
              <w:keepLines w:val="0"/>
              <w:suppressLineNumbers w:val="0"/>
              <w:spacing w:before="0" w:beforeAutospacing="0" w:after="0" w:afterAutospacing="0"/>
              <w:ind w:left="0" w:right="0"/>
            </w:pPr>
            <w:r>
              <w:t>完成工业机器人运行动作答疑、知识库答疑</w:t>
            </w:r>
          </w:p>
          <w:p w14:paraId="0CA4E13F">
            <w:pPr>
              <w:keepNext w:val="0"/>
              <w:keepLines w:val="0"/>
              <w:suppressLineNumbers w:val="0"/>
              <w:spacing w:before="0" w:beforeAutospacing="0" w:after="0" w:afterAutospacing="0"/>
              <w:ind w:left="0" w:right="0"/>
            </w:pPr>
            <w:r>
              <w:t>支持日常教学问题解答</w:t>
            </w:r>
          </w:p>
          <w:p w14:paraId="02CC8003">
            <w:pPr>
              <w:keepNext w:val="0"/>
              <w:keepLines w:val="0"/>
              <w:suppressLineNumbers w:val="0"/>
              <w:spacing w:before="0" w:beforeAutospacing="0" w:after="0" w:afterAutospacing="0"/>
              <w:ind w:left="0" w:right="0"/>
            </w:pPr>
            <w:r>
              <w:t>2）辅助编程功能</w:t>
            </w:r>
          </w:p>
          <w:p w14:paraId="58ECF4A5">
            <w:pPr>
              <w:keepNext w:val="0"/>
              <w:keepLines w:val="0"/>
              <w:suppressLineNumbers w:val="0"/>
              <w:spacing w:before="0" w:beforeAutospacing="0" w:after="0" w:afterAutospacing="0"/>
              <w:ind w:left="0" w:right="0"/>
            </w:pPr>
            <w:r>
              <w:t>支持 PLC 引导编程</w:t>
            </w:r>
          </w:p>
          <w:p w14:paraId="7EE5A9E2">
            <w:pPr>
              <w:keepNext w:val="0"/>
              <w:keepLines w:val="0"/>
              <w:suppressLineNumbers w:val="0"/>
              <w:spacing w:before="0" w:beforeAutospacing="0" w:after="0" w:afterAutospacing="0"/>
              <w:ind w:left="0" w:right="0"/>
            </w:pPr>
            <w:r>
              <w:t>设定初学者、入门级和工程师三重身份</w:t>
            </w:r>
          </w:p>
          <w:p w14:paraId="4718909F">
            <w:pPr>
              <w:keepNext w:val="0"/>
              <w:keepLines w:val="0"/>
              <w:suppressLineNumbers w:val="0"/>
              <w:spacing w:before="0" w:beforeAutospacing="0" w:after="0" w:afterAutospacing="0"/>
              <w:ind w:left="0" w:right="0"/>
            </w:pPr>
            <w:r>
              <w:t>引导用户选择角色、输入任务、定义 I/O 等</w:t>
            </w:r>
          </w:p>
          <w:p w14:paraId="24F49819">
            <w:pPr>
              <w:keepNext w:val="0"/>
              <w:keepLines w:val="0"/>
              <w:suppressLineNumbers w:val="0"/>
              <w:spacing w:before="0" w:beforeAutospacing="0" w:after="0" w:afterAutospacing="0"/>
              <w:ind w:left="0" w:right="0"/>
            </w:pPr>
            <w:r>
              <w:t>根据用户描述自动生成规范代码，并提供注释与解释</w:t>
            </w:r>
          </w:p>
          <w:p w14:paraId="6BD6C4FD">
            <w:pPr>
              <w:keepNext w:val="0"/>
              <w:keepLines w:val="0"/>
              <w:suppressLineNumbers w:val="0"/>
              <w:spacing w:before="0" w:beforeAutospacing="0" w:after="0" w:afterAutospacing="0"/>
              <w:ind w:left="0" w:right="0"/>
            </w:pPr>
            <w:r>
              <w:t>3）机器人控制功能</w:t>
            </w:r>
          </w:p>
          <w:p w14:paraId="420D3860">
            <w:pPr>
              <w:keepNext w:val="0"/>
              <w:keepLines w:val="0"/>
              <w:suppressLineNumbers w:val="0"/>
              <w:spacing w:before="0" w:beforeAutospacing="0" w:after="0" w:afterAutospacing="0"/>
              <w:ind w:left="0" w:right="0"/>
            </w:pPr>
            <w:r>
              <w:t>支持通过语音指导机器人运动（任意方向、任意距离）</w:t>
            </w:r>
          </w:p>
          <w:p w14:paraId="4AFEE034">
            <w:pPr>
              <w:keepNext w:val="0"/>
              <w:keepLines w:val="0"/>
              <w:suppressLineNumbers w:val="0"/>
              <w:spacing w:before="0" w:beforeAutospacing="0" w:after="0" w:afterAutospacing="0"/>
              <w:ind w:left="0" w:right="0"/>
            </w:pPr>
            <w:r>
              <w:t>支持游戏手柄无线连接控制（点动、常动控制）</w:t>
            </w:r>
          </w:p>
          <w:p w14:paraId="7861CF1D">
            <w:pPr>
              <w:keepNext w:val="0"/>
              <w:keepLines w:val="0"/>
              <w:suppressLineNumbers w:val="0"/>
              <w:spacing w:before="0" w:beforeAutospacing="0" w:after="0" w:afterAutospacing="0"/>
              <w:ind w:left="0" w:right="0"/>
            </w:pPr>
            <w:r>
              <w:t>支持上下左右前后六个方位操作</w:t>
            </w:r>
          </w:p>
          <w:p w14:paraId="7F3C5BF8">
            <w:pPr>
              <w:keepNext w:val="0"/>
              <w:keepLines w:val="0"/>
              <w:suppressLineNumbers w:val="0"/>
              <w:spacing w:before="0" w:beforeAutospacing="0" w:after="0" w:afterAutospacing="0"/>
              <w:ind w:left="0" w:right="0"/>
            </w:pPr>
            <w:r>
              <w:t>支持通过手柄记录有效点位</w:t>
            </w:r>
          </w:p>
          <w:p w14:paraId="71F8AA3B">
            <w:pPr>
              <w:keepNext w:val="0"/>
              <w:keepLines w:val="0"/>
              <w:suppressLineNumbers w:val="0"/>
              <w:spacing w:before="0" w:beforeAutospacing="0" w:after="0" w:afterAutospacing="0"/>
              <w:ind w:left="0" w:right="0"/>
            </w:pPr>
            <w:r>
              <w:t>4）界面要求</w:t>
            </w:r>
          </w:p>
          <w:p w14:paraId="2ED3C7DD">
            <w:pPr>
              <w:keepNext w:val="0"/>
              <w:keepLines w:val="0"/>
              <w:suppressLineNumbers w:val="0"/>
              <w:spacing w:before="0" w:beforeAutospacing="0" w:after="0" w:afterAutospacing="0"/>
              <w:ind w:left="0" w:right="0"/>
            </w:pPr>
            <w:r>
              <w:t>平台启动首页</w:t>
            </w:r>
            <w:r>
              <w:rPr>
                <w:rFonts w:hint="eastAsia"/>
              </w:rPr>
              <w:t>可定制（如</w:t>
            </w:r>
            <w:r>
              <w:t>"江苏省盐城技师学院欢迎您"</w:t>
            </w:r>
            <w:r>
              <w:rPr>
                <w:rFonts w:hint="eastAsia"/>
              </w:rPr>
              <w:t>）</w:t>
            </w:r>
          </w:p>
          <w:p w14:paraId="278724AF">
            <w:pPr>
              <w:keepNext w:val="0"/>
              <w:keepLines w:val="0"/>
              <w:suppressLineNumbers w:val="0"/>
              <w:spacing w:before="0" w:beforeAutospacing="0" w:after="0" w:afterAutospacing="0"/>
              <w:ind w:left="0" w:right="0"/>
            </w:pPr>
            <w:r>
              <w:t>提供简洁的桌面端运行程序</w:t>
            </w:r>
          </w:p>
          <w:p w14:paraId="596845E9">
            <w:pPr>
              <w:keepNext w:val="0"/>
              <w:keepLines w:val="0"/>
              <w:suppressLineNumbers w:val="0"/>
              <w:spacing w:before="0" w:beforeAutospacing="0" w:after="0" w:afterAutospacing="0"/>
              <w:ind w:left="0" w:right="0"/>
            </w:pPr>
            <w:r>
              <w:t>静默状态可收缩至悬浮窗，节省系统资源</w:t>
            </w:r>
          </w:p>
          <w:p w14:paraId="03E8617E">
            <w:pPr>
              <w:keepNext w:val="0"/>
              <w:keepLines w:val="0"/>
              <w:suppressLineNumbers w:val="0"/>
              <w:spacing w:before="0" w:beforeAutospacing="0" w:after="0" w:afterAutospacing="0"/>
              <w:ind w:left="0" w:right="0"/>
            </w:pPr>
            <w:r>
              <w:t>提供对话框和语音控制的快捷入口</w:t>
            </w:r>
          </w:p>
          <w:p w14:paraId="0FB42AA6">
            <w:pPr>
              <w:keepNext w:val="0"/>
              <w:keepLines w:val="0"/>
              <w:suppressLineNumbers w:val="0"/>
              <w:spacing w:before="0" w:beforeAutospacing="0" w:after="0" w:afterAutospacing="0"/>
              <w:ind w:left="0" w:right="0"/>
            </w:pPr>
            <w:r>
              <w:rPr>
                <w:rFonts w:hint="eastAsia"/>
              </w:rPr>
              <w:t>（3）基础指标</w:t>
            </w:r>
          </w:p>
          <w:tbl>
            <w:tblPr>
              <w:tblStyle w:val="43"/>
              <w:tblW w:w="5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7"/>
              <w:gridCol w:w="709"/>
              <w:gridCol w:w="4688"/>
            </w:tblGrid>
            <w:tr w14:paraId="602DA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7" w:hRule="atLeast"/>
              </w:trPr>
              <w:tc>
                <w:tcPr>
                  <w:tcW w:w="457" w:type="dxa"/>
                  <w:tcBorders>
                    <w:top w:val="single" w:color="auto" w:sz="4" w:space="0"/>
                    <w:left w:val="single" w:color="auto" w:sz="4" w:space="0"/>
                    <w:bottom w:val="single" w:color="auto" w:sz="4" w:space="0"/>
                    <w:right w:val="single" w:color="auto" w:sz="4" w:space="0"/>
                  </w:tcBorders>
                  <w:vAlign w:val="center"/>
                </w:tcPr>
                <w:p w14:paraId="308B90E2">
                  <w:pPr>
                    <w:keepNext w:val="0"/>
                    <w:keepLines w:val="0"/>
                    <w:widowControl w:val="0"/>
                    <w:suppressLineNumbers w:val="0"/>
                    <w:spacing w:before="0" w:beforeAutospacing="0" w:after="0" w:afterAutospacing="0"/>
                    <w:ind w:left="0" w:right="0"/>
                  </w:pPr>
                  <w:r>
                    <w:t>序号</w:t>
                  </w:r>
                </w:p>
              </w:tc>
              <w:tc>
                <w:tcPr>
                  <w:tcW w:w="709" w:type="dxa"/>
                  <w:tcBorders>
                    <w:top w:val="single" w:color="auto" w:sz="4" w:space="0"/>
                    <w:left w:val="single" w:color="auto" w:sz="4" w:space="0"/>
                    <w:bottom w:val="single" w:color="auto" w:sz="4" w:space="0"/>
                    <w:right w:val="single" w:color="auto" w:sz="4" w:space="0"/>
                  </w:tcBorders>
                  <w:vAlign w:val="center"/>
                </w:tcPr>
                <w:p w14:paraId="09177496">
                  <w:pPr>
                    <w:keepNext w:val="0"/>
                    <w:keepLines w:val="0"/>
                    <w:widowControl w:val="0"/>
                    <w:suppressLineNumbers w:val="0"/>
                    <w:spacing w:before="0" w:beforeAutospacing="0" w:after="0" w:afterAutospacing="0"/>
                    <w:ind w:left="0" w:right="0"/>
                  </w:pPr>
                  <w:r>
                    <w:t>指</w:t>
                  </w:r>
                  <w:r>
                    <w:rPr>
                      <w:rFonts w:hint="eastAsia"/>
                    </w:rPr>
                    <w:t>标项</w:t>
                  </w:r>
                </w:p>
              </w:tc>
              <w:tc>
                <w:tcPr>
                  <w:tcW w:w="4688" w:type="dxa"/>
                  <w:tcBorders>
                    <w:top w:val="single" w:color="auto" w:sz="4" w:space="0"/>
                    <w:left w:val="single" w:color="auto" w:sz="4" w:space="0"/>
                    <w:bottom w:val="single" w:color="auto" w:sz="4" w:space="0"/>
                    <w:right w:val="single" w:color="auto" w:sz="4" w:space="0"/>
                  </w:tcBorders>
                  <w:vAlign w:val="center"/>
                </w:tcPr>
                <w:p w14:paraId="16EB74C8">
                  <w:pPr>
                    <w:keepNext w:val="0"/>
                    <w:keepLines w:val="0"/>
                    <w:widowControl w:val="0"/>
                    <w:suppressLineNumbers w:val="0"/>
                    <w:spacing w:before="0" w:beforeAutospacing="0" w:after="0" w:afterAutospacing="0"/>
                    <w:ind w:left="0" w:right="0"/>
                  </w:pPr>
                  <w:r>
                    <w:t>技</w:t>
                  </w:r>
                  <w:r>
                    <w:rPr>
                      <w:rFonts w:hint="eastAsia"/>
                    </w:rPr>
                    <w:t>术</w:t>
                  </w:r>
                  <w:r>
                    <w:t>要求</w:t>
                  </w:r>
                </w:p>
              </w:tc>
            </w:tr>
            <w:tr w14:paraId="116E6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457" w:type="dxa"/>
                  <w:tcBorders>
                    <w:top w:val="single" w:color="auto" w:sz="4" w:space="0"/>
                    <w:left w:val="single" w:color="auto" w:sz="4" w:space="0"/>
                    <w:bottom w:val="single" w:color="auto" w:sz="4" w:space="0"/>
                    <w:right w:val="single" w:color="auto" w:sz="4" w:space="0"/>
                  </w:tcBorders>
                  <w:vAlign w:val="center"/>
                </w:tcPr>
                <w:p w14:paraId="640C2212">
                  <w:pPr>
                    <w:keepNext w:val="0"/>
                    <w:keepLines w:val="0"/>
                    <w:widowControl w:val="0"/>
                    <w:suppressLineNumbers w:val="0"/>
                    <w:spacing w:before="0" w:beforeAutospacing="0" w:after="0" w:afterAutospacing="0"/>
                    <w:ind w:left="0" w:right="0"/>
                  </w:pPr>
                  <w:r>
                    <w:t>1</w:t>
                  </w:r>
                </w:p>
              </w:tc>
              <w:tc>
                <w:tcPr>
                  <w:tcW w:w="709" w:type="dxa"/>
                  <w:tcBorders>
                    <w:top w:val="single" w:color="auto" w:sz="4" w:space="0"/>
                    <w:left w:val="single" w:color="auto" w:sz="4" w:space="0"/>
                    <w:bottom w:val="single" w:color="auto" w:sz="4" w:space="0"/>
                    <w:right w:val="single" w:color="auto" w:sz="4" w:space="0"/>
                  </w:tcBorders>
                  <w:vAlign w:val="center"/>
                </w:tcPr>
                <w:p w14:paraId="7D3EE2BA">
                  <w:pPr>
                    <w:keepNext w:val="0"/>
                    <w:keepLines w:val="0"/>
                    <w:widowControl w:val="0"/>
                    <w:suppressLineNumbers w:val="0"/>
                    <w:spacing w:before="0" w:beforeAutospacing="0" w:after="0" w:afterAutospacing="0"/>
                    <w:ind w:left="0" w:right="0"/>
                  </w:pPr>
                  <w:r>
                    <w:t>部署方式</w:t>
                  </w:r>
                </w:p>
              </w:tc>
              <w:tc>
                <w:tcPr>
                  <w:tcW w:w="4688" w:type="dxa"/>
                  <w:tcBorders>
                    <w:top w:val="single" w:color="auto" w:sz="4" w:space="0"/>
                    <w:left w:val="single" w:color="auto" w:sz="4" w:space="0"/>
                    <w:bottom w:val="single" w:color="auto" w:sz="4" w:space="0"/>
                    <w:right w:val="single" w:color="auto" w:sz="4" w:space="0"/>
                  </w:tcBorders>
                  <w:vAlign w:val="center"/>
                </w:tcPr>
                <w:p w14:paraId="419C1FA7">
                  <w:pPr>
                    <w:keepNext w:val="0"/>
                    <w:keepLines w:val="0"/>
                    <w:widowControl w:val="0"/>
                    <w:suppressLineNumbers w:val="0"/>
                    <w:spacing w:before="0" w:beforeAutospacing="0" w:after="0" w:afterAutospacing="0"/>
                    <w:ind w:left="0" w:right="0"/>
                  </w:pPr>
                  <w:r>
                    <w:t>支持</w:t>
                  </w:r>
                  <w:r>
                    <w:rPr>
                      <w:rFonts w:hint="eastAsia"/>
                    </w:rPr>
                    <w:t>单</w:t>
                  </w:r>
                  <w:r>
                    <w:t>机部署，服</w:t>
                  </w:r>
                  <w:r>
                    <w:rPr>
                      <w:rFonts w:hint="eastAsia"/>
                    </w:rPr>
                    <w:t>务</w:t>
                  </w:r>
                  <w:r>
                    <w:t>端和客</w:t>
                  </w:r>
                  <w:r>
                    <w:rPr>
                      <w:rFonts w:hint="eastAsia"/>
                    </w:rPr>
                    <w:t>户</w:t>
                  </w:r>
                  <w:r>
                    <w:t>端可在同一</w:t>
                  </w:r>
                  <w:r>
                    <w:rPr>
                      <w:rFonts w:hint="eastAsia"/>
                    </w:rPr>
                    <w:t>电脑</w:t>
                  </w:r>
                  <w:r>
                    <w:t>上运行</w:t>
                  </w:r>
                </w:p>
              </w:tc>
            </w:tr>
            <w:tr w14:paraId="04B9E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457" w:type="dxa"/>
                  <w:tcBorders>
                    <w:top w:val="single" w:color="auto" w:sz="4" w:space="0"/>
                    <w:left w:val="single" w:color="auto" w:sz="4" w:space="0"/>
                    <w:bottom w:val="single" w:color="auto" w:sz="4" w:space="0"/>
                    <w:right w:val="single" w:color="auto" w:sz="4" w:space="0"/>
                  </w:tcBorders>
                  <w:vAlign w:val="center"/>
                </w:tcPr>
                <w:p w14:paraId="64DCA80C">
                  <w:pPr>
                    <w:keepNext w:val="0"/>
                    <w:keepLines w:val="0"/>
                    <w:widowControl w:val="0"/>
                    <w:suppressLineNumbers w:val="0"/>
                    <w:spacing w:before="0" w:beforeAutospacing="0" w:after="0" w:afterAutospacing="0"/>
                    <w:ind w:left="0" w:right="0"/>
                  </w:pPr>
                  <w:r>
                    <w:t>2</w:t>
                  </w:r>
                </w:p>
              </w:tc>
              <w:tc>
                <w:tcPr>
                  <w:tcW w:w="709" w:type="dxa"/>
                  <w:tcBorders>
                    <w:top w:val="single" w:color="auto" w:sz="4" w:space="0"/>
                    <w:left w:val="single" w:color="auto" w:sz="4" w:space="0"/>
                    <w:bottom w:val="single" w:color="auto" w:sz="4" w:space="0"/>
                    <w:right w:val="single" w:color="auto" w:sz="4" w:space="0"/>
                  </w:tcBorders>
                  <w:vAlign w:val="center"/>
                </w:tcPr>
                <w:p w14:paraId="30F0173D">
                  <w:pPr>
                    <w:keepNext w:val="0"/>
                    <w:keepLines w:val="0"/>
                    <w:widowControl w:val="0"/>
                    <w:suppressLineNumbers w:val="0"/>
                    <w:spacing w:before="0" w:beforeAutospacing="0" w:after="0" w:afterAutospacing="0"/>
                    <w:ind w:left="0" w:right="0"/>
                  </w:pPr>
                  <w:r>
                    <w:t>系</w:t>
                  </w:r>
                  <w:r>
                    <w:rPr>
                      <w:rFonts w:hint="eastAsia"/>
                    </w:rPr>
                    <w:t>统</w:t>
                  </w:r>
                  <w:r>
                    <w:t>架构</w:t>
                  </w:r>
                </w:p>
              </w:tc>
              <w:tc>
                <w:tcPr>
                  <w:tcW w:w="4688" w:type="dxa"/>
                  <w:tcBorders>
                    <w:top w:val="single" w:color="auto" w:sz="4" w:space="0"/>
                    <w:left w:val="single" w:color="auto" w:sz="4" w:space="0"/>
                    <w:bottom w:val="single" w:color="auto" w:sz="4" w:space="0"/>
                    <w:right w:val="single" w:color="auto" w:sz="4" w:space="0"/>
                  </w:tcBorders>
                  <w:vAlign w:val="center"/>
                </w:tcPr>
                <w:p w14:paraId="75DD8A2D">
                  <w:pPr>
                    <w:keepNext w:val="0"/>
                    <w:keepLines w:val="0"/>
                    <w:widowControl w:val="0"/>
                    <w:suppressLineNumbers w:val="0"/>
                    <w:spacing w:before="0" w:beforeAutospacing="0" w:after="0" w:afterAutospacing="0"/>
                    <w:ind w:left="0" w:right="0"/>
                  </w:pPr>
                  <w:r>
                    <w:t>采用深度学</w:t>
                  </w:r>
                  <w:r>
                    <w:rPr>
                      <w:rFonts w:hint="eastAsia"/>
                    </w:rPr>
                    <w:t>习</w:t>
                  </w:r>
                  <w:r>
                    <w:t>架构与自然</w:t>
                  </w:r>
                  <w:r>
                    <w:rPr>
                      <w:rFonts w:hint="eastAsia"/>
                    </w:rPr>
                    <w:t>语</w:t>
                  </w:r>
                  <w:r>
                    <w:t>言</w:t>
                  </w:r>
                  <w:r>
                    <w:rPr>
                      <w:rFonts w:hint="eastAsia"/>
                    </w:rPr>
                    <w:t>处</w:t>
                  </w:r>
                  <w:r>
                    <w:t>理技</w:t>
                  </w:r>
                  <w:r>
                    <w:rPr>
                      <w:rFonts w:hint="eastAsia"/>
                    </w:rPr>
                    <w:t>术</w:t>
                  </w:r>
                </w:p>
              </w:tc>
            </w:tr>
            <w:tr w14:paraId="79C3D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457" w:type="dxa"/>
                  <w:tcBorders>
                    <w:top w:val="single" w:color="auto" w:sz="4" w:space="0"/>
                    <w:left w:val="single" w:color="auto" w:sz="4" w:space="0"/>
                    <w:bottom w:val="single" w:color="auto" w:sz="4" w:space="0"/>
                    <w:right w:val="single" w:color="auto" w:sz="4" w:space="0"/>
                  </w:tcBorders>
                  <w:vAlign w:val="center"/>
                </w:tcPr>
                <w:p w14:paraId="74FC7A04">
                  <w:pPr>
                    <w:keepNext w:val="0"/>
                    <w:keepLines w:val="0"/>
                    <w:widowControl w:val="0"/>
                    <w:suppressLineNumbers w:val="0"/>
                    <w:spacing w:before="0" w:beforeAutospacing="0" w:after="0" w:afterAutospacing="0"/>
                    <w:ind w:left="0" w:right="0"/>
                  </w:pPr>
                  <w:r>
                    <w:t>3</w:t>
                  </w:r>
                </w:p>
              </w:tc>
              <w:tc>
                <w:tcPr>
                  <w:tcW w:w="709" w:type="dxa"/>
                  <w:tcBorders>
                    <w:top w:val="single" w:color="auto" w:sz="4" w:space="0"/>
                    <w:left w:val="single" w:color="auto" w:sz="4" w:space="0"/>
                    <w:bottom w:val="single" w:color="auto" w:sz="4" w:space="0"/>
                    <w:right w:val="single" w:color="auto" w:sz="4" w:space="0"/>
                  </w:tcBorders>
                  <w:vAlign w:val="center"/>
                </w:tcPr>
                <w:p w14:paraId="0780C3FD">
                  <w:pPr>
                    <w:keepNext w:val="0"/>
                    <w:keepLines w:val="0"/>
                    <w:widowControl w:val="0"/>
                    <w:suppressLineNumbers w:val="0"/>
                    <w:spacing w:before="0" w:beforeAutospacing="0" w:after="0" w:afterAutospacing="0"/>
                    <w:ind w:left="0" w:right="0"/>
                  </w:pPr>
                  <w:r>
                    <w:rPr>
                      <w:rFonts w:hint="eastAsia"/>
                    </w:rPr>
                    <w:t>编</w:t>
                  </w:r>
                  <w:r>
                    <w:t>程</w:t>
                  </w:r>
                  <w:r>
                    <w:rPr>
                      <w:rFonts w:hint="eastAsia"/>
                    </w:rPr>
                    <w:t>语</w:t>
                  </w:r>
                  <w:r>
                    <w:t>言支持</w:t>
                  </w:r>
                </w:p>
              </w:tc>
              <w:tc>
                <w:tcPr>
                  <w:tcW w:w="4688" w:type="dxa"/>
                  <w:tcBorders>
                    <w:top w:val="single" w:color="auto" w:sz="4" w:space="0"/>
                    <w:left w:val="single" w:color="auto" w:sz="4" w:space="0"/>
                    <w:bottom w:val="single" w:color="auto" w:sz="4" w:space="0"/>
                    <w:right w:val="single" w:color="auto" w:sz="4" w:space="0"/>
                  </w:tcBorders>
                  <w:vAlign w:val="center"/>
                </w:tcPr>
                <w:p w14:paraId="59902999">
                  <w:pPr>
                    <w:keepNext w:val="0"/>
                    <w:keepLines w:val="0"/>
                    <w:widowControl w:val="0"/>
                    <w:suppressLineNumbers w:val="0"/>
                    <w:spacing w:before="0" w:beforeAutospacing="0" w:after="0" w:afterAutospacing="0"/>
                    <w:ind w:left="0" w:right="0"/>
                  </w:pPr>
                  <w:r>
                    <w:t>支持多种</w:t>
                  </w:r>
                  <w:r>
                    <w:rPr>
                      <w:rFonts w:hint="eastAsia"/>
                    </w:rPr>
                    <w:t>编</w:t>
                  </w:r>
                  <w:r>
                    <w:t>程</w:t>
                  </w:r>
                  <w:r>
                    <w:rPr>
                      <w:rFonts w:hint="eastAsia"/>
                    </w:rPr>
                    <w:t>语</w:t>
                  </w:r>
                  <w:r>
                    <w:t>言（至少 3 种），可根据用</w:t>
                  </w:r>
                  <w:r>
                    <w:rPr>
                      <w:rFonts w:hint="eastAsia"/>
                    </w:rPr>
                    <w:t>户</w:t>
                  </w:r>
                  <w:r>
                    <w:t>需求自</w:t>
                  </w:r>
                  <w:r>
                    <w:rPr>
                      <w:rFonts w:hint="eastAsia"/>
                    </w:rPr>
                    <w:t>动</w:t>
                  </w:r>
                  <w:r>
                    <w:t>生成</w:t>
                  </w:r>
                  <w:r>
                    <w:rPr>
                      <w:rFonts w:hint="eastAsia"/>
                    </w:rPr>
                    <w:t>规</w:t>
                  </w:r>
                  <w:r>
                    <w:t>范代</w:t>
                  </w:r>
                  <w:r>
                    <w:rPr>
                      <w:rFonts w:hint="eastAsia"/>
                    </w:rPr>
                    <w:t>码</w:t>
                  </w:r>
                </w:p>
              </w:tc>
            </w:tr>
            <w:tr w14:paraId="714DD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457" w:type="dxa"/>
                  <w:tcBorders>
                    <w:top w:val="single" w:color="auto" w:sz="4" w:space="0"/>
                    <w:left w:val="single" w:color="auto" w:sz="4" w:space="0"/>
                    <w:bottom w:val="single" w:color="auto" w:sz="4" w:space="0"/>
                    <w:right w:val="single" w:color="auto" w:sz="4" w:space="0"/>
                  </w:tcBorders>
                  <w:vAlign w:val="center"/>
                </w:tcPr>
                <w:p w14:paraId="52584094">
                  <w:pPr>
                    <w:keepNext w:val="0"/>
                    <w:keepLines w:val="0"/>
                    <w:widowControl w:val="0"/>
                    <w:suppressLineNumbers w:val="0"/>
                    <w:spacing w:before="0" w:beforeAutospacing="0" w:after="0" w:afterAutospacing="0"/>
                    <w:ind w:left="0" w:right="0"/>
                  </w:pPr>
                  <w:r>
                    <w:t>4</w:t>
                  </w:r>
                </w:p>
              </w:tc>
              <w:tc>
                <w:tcPr>
                  <w:tcW w:w="709" w:type="dxa"/>
                  <w:tcBorders>
                    <w:top w:val="single" w:color="auto" w:sz="4" w:space="0"/>
                    <w:left w:val="single" w:color="auto" w:sz="4" w:space="0"/>
                    <w:bottom w:val="single" w:color="auto" w:sz="4" w:space="0"/>
                    <w:right w:val="single" w:color="auto" w:sz="4" w:space="0"/>
                  </w:tcBorders>
                  <w:vAlign w:val="center"/>
                </w:tcPr>
                <w:p w14:paraId="75C9EEF3">
                  <w:pPr>
                    <w:keepNext w:val="0"/>
                    <w:keepLines w:val="0"/>
                    <w:widowControl w:val="0"/>
                    <w:suppressLineNumbers w:val="0"/>
                    <w:spacing w:before="0" w:beforeAutospacing="0" w:after="0" w:afterAutospacing="0"/>
                    <w:ind w:left="0" w:right="0"/>
                  </w:pPr>
                  <w:r>
                    <w:t>知</w:t>
                  </w:r>
                  <w:r>
                    <w:rPr>
                      <w:rFonts w:hint="eastAsia"/>
                    </w:rPr>
                    <w:t>识库</w:t>
                  </w:r>
                </w:p>
              </w:tc>
              <w:tc>
                <w:tcPr>
                  <w:tcW w:w="4688" w:type="dxa"/>
                  <w:tcBorders>
                    <w:top w:val="single" w:color="auto" w:sz="4" w:space="0"/>
                    <w:left w:val="single" w:color="auto" w:sz="4" w:space="0"/>
                    <w:bottom w:val="single" w:color="auto" w:sz="4" w:space="0"/>
                    <w:right w:val="single" w:color="auto" w:sz="4" w:space="0"/>
                  </w:tcBorders>
                  <w:vAlign w:val="center"/>
                </w:tcPr>
                <w:p w14:paraId="2F59E232">
                  <w:pPr>
                    <w:keepNext w:val="0"/>
                    <w:keepLines w:val="0"/>
                    <w:widowControl w:val="0"/>
                    <w:suppressLineNumbers w:val="0"/>
                    <w:spacing w:before="0" w:beforeAutospacing="0" w:after="0" w:afterAutospacing="0"/>
                    <w:ind w:left="0" w:right="0"/>
                  </w:pPr>
                  <w:r>
                    <w:t>支持构建</w:t>
                  </w:r>
                  <w:r>
                    <w:rPr>
                      <w:rFonts w:hint="eastAsia"/>
                    </w:rPr>
                    <w:t>结</w:t>
                  </w:r>
                  <w:r>
                    <w:t>构化知</w:t>
                  </w:r>
                  <w:r>
                    <w:rPr>
                      <w:rFonts w:hint="eastAsia"/>
                    </w:rPr>
                    <w:t>识库</w:t>
                  </w:r>
                  <w:r>
                    <w:t>，利用向量化技</w:t>
                  </w:r>
                  <w:r>
                    <w:rPr>
                      <w:rFonts w:hint="eastAsia"/>
                    </w:rPr>
                    <w:t>术处</w:t>
                  </w:r>
                  <w:r>
                    <w:t>理</w:t>
                  </w:r>
                  <w:r>
                    <w:rPr>
                      <w:rFonts w:hint="eastAsia"/>
                    </w:rPr>
                    <w:t>专业</w:t>
                  </w:r>
                  <w:r>
                    <w:t>知</w:t>
                  </w:r>
                  <w:r>
                    <w:rPr>
                      <w:rFonts w:hint="eastAsia"/>
                    </w:rPr>
                    <w:t>识</w:t>
                  </w:r>
                </w:p>
              </w:tc>
            </w:tr>
            <w:tr w14:paraId="01D47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457" w:type="dxa"/>
                  <w:tcBorders>
                    <w:top w:val="single" w:color="auto" w:sz="4" w:space="0"/>
                    <w:left w:val="single" w:color="auto" w:sz="4" w:space="0"/>
                    <w:bottom w:val="single" w:color="auto" w:sz="4" w:space="0"/>
                    <w:right w:val="single" w:color="auto" w:sz="4" w:space="0"/>
                  </w:tcBorders>
                  <w:vAlign w:val="center"/>
                </w:tcPr>
                <w:p w14:paraId="02391FE3">
                  <w:pPr>
                    <w:keepNext w:val="0"/>
                    <w:keepLines w:val="0"/>
                    <w:widowControl w:val="0"/>
                    <w:suppressLineNumbers w:val="0"/>
                    <w:spacing w:before="0" w:beforeAutospacing="0" w:after="0" w:afterAutospacing="0"/>
                    <w:ind w:left="0" w:right="0"/>
                  </w:pPr>
                  <w:r>
                    <w:t>5</w:t>
                  </w:r>
                </w:p>
              </w:tc>
              <w:tc>
                <w:tcPr>
                  <w:tcW w:w="709" w:type="dxa"/>
                  <w:tcBorders>
                    <w:top w:val="single" w:color="auto" w:sz="4" w:space="0"/>
                    <w:left w:val="single" w:color="auto" w:sz="4" w:space="0"/>
                    <w:bottom w:val="single" w:color="auto" w:sz="4" w:space="0"/>
                    <w:right w:val="single" w:color="auto" w:sz="4" w:space="0"/>
                  </w:tcBorders>
                  <w:vAlign w:val="center"/>
                </w:tcPr>
                <w:p w14:paraId="3D56D4F0">
                  <w:pPr>
                    <w:keepNext w:val="0"/>
                    <w:keepLines w:val="0"/>
                    <w:widowControl w:val="0"/>
                    <w:suppressLineNumbers w:val="0"/>
                    <w:spacing w:before="0" w:beforeAutospacing="0" w:after="0" w:afterAutospacing="0"/>
                    <w:ind w:left="0" w:right="0"/>
                  </w:pPr>
                  <w:r>
                    <w:t>模型切</w:t>
                  </w:r>
                  <w:r>
                    <w:rPr>
                      <w:rFonts w:hint="eastAsia"/>
                    </w:rPr>
                    <w:t>换</w:t>
                  </w:r>
                </w:p>
              </w:tc>
              <w:tc>
                <w:tcPr>
                  <w:tcW w:w="4688" w:type="dxa"/>
                  <w:tcBorders>
                    <w:top w:val="single" w:color="auto" w:sz="4" w:space="0"/>
                    <w:left w:val="single" w:color="auto" w:sz="4" w:space="0"/>
                    <w:bottom w:val="single" w:color="auto" w:sz="4" w:space="0"/>
                    <w:right w:val="single" w:color="auto" w:sz="4" w:space="0"/>
                  </w:tcBorders>
                  <w:vAlign w:val="center"/>
                </w:tcPr>
                <w:p w14:paraId="2F566A1A">
                  <w:pPr>
                    <w:keepNext w:val="0"/>
                    <w:keepLines w:val="0"/>
                    <w:widowControl w:val="0"/>
                    <w:suppressLineNumbers w:val="0"/>
                    <w:spacing w:before="0" w:beforeAutospacing="0" w:after="0" w:afterAutospacing="0"/>
                    <w:ind w:left="0" w:right="0"/>
                  </w:pPr>
                  <w:r>
                    <w:t>支持自由切</w:t>
                  </w:r>
                  <w:r>
                    <w:rPr>
                      <w:rFonts w:hint="eastAsia"/>
                    </w:rPr>
                    <w:t>换</w:t>
                  </w:r>
                  <w:r>
                    <w:t>知</w:t>
                  </w:r>
                  <w:r>
                    <w:rPr>
                      <w:rFonts w:hint="eastAsia"/>
                    </w:rPr>
                    <w:t>识库</w:t>
                  </w:r>
                  <w:r>
                    <w:t>模型与大模型，</w:t>
                  </w:r>
                  <w:r>
                    <w:rPr>
                      <w:rFonts w:hint="eastAsia"/>
                    </w:rPr>
                    <w:t>满</w:t>
                  </w:r>
                  <w:r>
                    <w:t>足不同</w:t>
                  </w:r>
                  <w:r>
                    <w:rPr>
                      <w:rFonts w:hint="eastAsia"/>
                    </w:rPr>
                    <w:t>场</w:t>
                  </w:r>
                  <w:r>
                    <w:t>景需求</w:t>
                  </w:r>
                </w:p>
              </w:tc>
            </w:tr>
            <w:tr w14:paraId="17E4E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457" w:type="dxa"/>
                  <w:tcBorders>
                    <w:top w:val="single" w:color="auto" w:sz="4" w:space="0"/>
                    <w:left w:val="single" w:color="auto" w:sz="4" w:space="0"/>
                    <w:bottom w:val="single" w:color="auto" w:sz="4" w:space="0"/>
                    <w:right w:val="single" w:color="auto" w:sz="4" w:space="0"/>
                  </w:tcBorders>
                  <w:vAlign w:val="center"/>
                </w:tcPr>
                <w:p w14:paraId="00F380DE">
                  <w:pPr>
                    <w:keepNext w:val="0"/>
                    <w:keepLines w:val="0"/>
                    <w:widowControl w:val="0"/>
                    <w:suppressLineNumbers w:val="0"/>
                    <w:spacing w:before="0" w:beforeAutospacing="0" w:after="0" w:afterAutospacing="0"/>
                    <w:ind w:left="0" w:right="0"/>
                  </w:pPr>
                  <w:r>
                    <w:t>6</w:t>
                  </w:r>
                </w:p>
              </w:tc>
              <w:tc>
                <w:tcPr>
                  <w:tcW w:w="709" w:type="dxa"/>
                  <w:tcBorders>
                    <w:top w:val="single" w:color="auto" w:sz="4" w:space="0"/>
                    <w:left w:val="single" w:color="auto" w:sz="4" w:space="0"/>
                    <w:bottom w:val="single" w:color="auto" w:sz="4" w:space="0"/>
                    <w:right w:val="single" w:color="auto" w:sz="4" w:space="0"/>
                  </w:tcBorders>
                  <w:vAlign w:val="center"/>
                </w:tcPr>
                <w:p w14:paraId="0924F529">
                  <w:pPr>
                    <w:keepNext w:val="0"/>
                    <w:keepLines w:val="0"/>
                    <w:widowControl w:val="0"/>
                    <w:suppressLineNumbers w:val="0"/>
                    <w:spacing w:before="0" w:beforeAutospacing="0" w:after="0" w:afterAutospacing="0"/>
                    <w:ind w:left="0" w:right="0"/>
                  </w:pPr>
                  <w:r>
                    <w:t>通信</w:t>
                  </w:r>
                  <w:r>
                    <w:rPr>
                      <w:rFonts w:hint="eastAsia"/>
                    </w:rPr>
                    <w:t>协议</w:t>
                  </w:r>
                </w:p>
              </w:tc>
              <w:tc>
                <w:tcPr>
                  <w:tcW w:w="4688" w:type="dxa"/>
                  <w:tcBorders>
                    <w:top w:val="single" w:color="auto" w:sz="4" w:space="0"/>
                    <w:left w:val="single" w:color="auto" w:sz="4" w:space="0"/>
                    <w:bottom w:val="single" w:color="auto" w:sz="4" w:space="0"/>
                    <w:right w:val="single" w:color="auto" w:sz="4" w:space="0"/>
                  </w:tcBorders>
                  <w:vAlign w:val="center"/>
                </w:tcPr>
                <w:p w14:paraId="2AEA6BE2">
                  <w:pPr>
                    <w:keepNext w:val="0"/>
                    <w:keepLines w:val="0"/>
                    <w:widowControl w:val="0"/>
                    <w:suppressLineNumbers w:val="0"/>
                    <w:spacing w:before="0" w:beforeAutospacing="0" w:after="0" w:afterAutospacing="0"/>
                    <w:ind w:left="0" w:right="0"/>
                  </w:pPr>
                  <w:r>
                    <w:t>支持高效通讯协议（如 HTTP/gRPC/WebSocket 等）</w:t>
                  </w:r>
                </w:p>
              </w:tc>
            </w:tr>
            <w:tr w14:paraId="0A4B7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457" w:type="dxa"/>
                  <w:tcBorders>
                    <w:top w:val="single" w:color="auto" w:sz="4" w:space="0"/>
                    <w:left w:val="single" w:color="auto" w:sz="4" w:space="0"/>
                    <w:bottom w:val="single" w:color="auto" w:sz="4" w:space="0"/>
                    <w:right w:val="single" w:color="auto" w:sz="4" w:space="0"/>
                  </w:tcBorders>
                  <w:vAlign w:val="center"/>
                </w:tcPr>
                <w:p w14:paraId="795159FE">
                  <w:pPr>
                    <w:keepNext w:val="0"/>
                    <w:keepLines w:val="0"/>
                    <w:widowControl w:val="0"/>
                    <w:suppressLineNumbers w:val="0"/>
                    <w:spacing w:before="0" w:beforeAutospacing="0" w:after="0" w:afterAutospacing="0"/>
                    <w:ind w:left="0" w:right="0"/>
                  </w:pPr>
                  <w:r>
                    <w:t>7</w:t>
                  </w:r>
                </w:p>
              </w:tc>
              <w:tc>
                <w:tcPr>
                  <w:tcW w:w="709" w:type="dxa"/>
                  <w:tcBorders>
                    <w:top w:val="single" w:color="auto" w:sz="4" w:space="0"/>
                    <w:left w:val="single" w:color="auto" w:sz="4" w:space="0"/>
                    <w:bottom w:val="single" w:color="auto" w:sz="4" w:space="0"/>
                    <w:right w:val="single" w:color="auto" w:sz="4" w:space="0"/>
                  </w:tcBorders>
                  <w:vAlign w:val="center"/>
                </w:tcPr>
                <w:p w14:paraId="18AA3925">
                  <w:pPr>
                    <w:keepNext w:val="0"/>
                    <w:keepLines w:val="0"/>
                    <w:widowControl w:val="0"/>
                    <w:suppressLineNumbers w:val="0"/>
                    <w:spacing w:before="0" w:beforeAutospacing="0" w:after="0" w:afterAutospacing="0"/>
                    <w:ind w:left="0" w:right="0"/>
                  </w:pPr>
                  <w:r>
                    <w:rPr>
                      <w:rFonts w:hint="eastAsia"/>
                    </w:rPr>
                    <w:t>语言功能</w:t>
                  </w:r>
                </w:p>
              </w:tc>
              <w:tc>
                <w:tcPr>
                  <w:tcW w:w="4688" w:type="dxa"/>
                  <w:tcBorders>
                    <w:top w:val="single" w:color="auto" w:sz="4" w:space="0"/>
                    <w:left w:val="single" w:color="auto" w:sz="4" w:space="0"/>
                    <w:bottom w:val="single" w:color="auto" w:sz="4" w:space="0"/>
                    <w:right w:val="single" w:color="auto" w:sz="4" w:space="0"/>
                  </w:tcBorders>
                  <w:vAlign w:val="center"/>
                </w:tcPr>
                <w:p w14:paraId="1BD07138">
                  <w:pPr>
                    <w:keepNext w:val="0"/>
                    <w:keepLines w:val="0"/>
                    <w:widowControl w:val="0"/>
                    <w:suppressLineNumbers w:val="0"/>
                    <w:spacing w:before="0" w:beforeAutospacing="0" w:after="0" w:afterAutospacing="0"/>
                    <w:ind w:left="0" w:right="0"/>
                  </w:pPr>
                  <w:r>
                    <w:t>支持语音唤醒和语音对话</w:t>
                  </w:r>
                </w:p>
              </w:tc>
            </w:tr>
          </w:tbl>
          <w:p w14:paraId="3866AAFF">
            <w:pPr>
              <w:keepNext w:val="0"/>
              <w:keepLines w:val="0"/>
              <w:suppressLineNumbers w:val="0"/>
              <w:spacing w:before="0" w:beforeAutospacing="0" w:after="0" w:afterAutospacing="0"/>
              <w:ind w:left="0" w:right="0"/>
            </w:pPr>
          </w:p>
          <w:p w14:paraId="02B95DC2">
            <w:pPr>
              <w:keepNext w:val="0"/>
              <w:keepLines w:val="0"/>
              <w:suppressLineNumbers w:val="0"/>
              <w:spacing w:before="0" w:beforeAutospacing="0" w:after="0" w:afterAutospacing="0"/>
              <w:ind w:left="0" w:right="0"/>
            </w:pPr>
            <w:r>
              <w:rPr>
                <w:rFonts w:hint="eastAsia"/>
              </w:rPr>
              <w:t>2.2 六轴工业机器人</w:t>
            </w:r>
          </w:p>
          <w:p w14:paraId="19DAF14E">
            <w:pPr>
              <w:keepNext w:val="0"/>
              <w:keepLines w:val="0"/>
              <w:suppressLineNumbers w:val="0"/>
              <w:spacing w:before="0" w:beforeAutospacing="0" w:after="0" w:afterAutospacing="0"/>
              <w:ind w:left="0" w:right="0"/>
            </w:pPr>
            <w:bookmarkStart w:id="171" w:name="OLE_LINK24"/>
            <w:r>
              <w:rPr>
                <w:rFonts w:hint="eastAsia"/>
              </w:rPr>
              <w:t>▲</w:t>
            </w:r>
            <w:bookmarkEnd w:id="171"/>
            <w:r>
              <w:rPr>
                <w:rFonts w:hint="eastAsia"/>
              </w:rPr>
              <w:t>2.2.1 工业机器人参数</w:t>
            </w:r>
          </w:p>
          <w:p w14:paraId="4180BED6">
            <w:pPr>
              <w:keepNext w:val="0"/>
              <w:keepLines w:val="0"/>
              <w:suppressLineNumbers w:val="0"/>
              <w:spacing w:before="0" w:beforeAutospacing="0" w:after="0" w:afterAutospacing="0"/>
              <w:ind w:left="0" w:right="0"/>
            </w:pPr>
            <w:r>
              <w:rPr>
                <w:rFonts w:hint="eastAsia"/>
              </w:rPr>
              <w:t>工业机器人核心技术参数如下：</w:t>
            </w:r>
          </w:p>
          <w:p w14:paraId="300F6928">
            <w:pPr>
              <w:keepNext w:val="0"/>
              <w:keepLines w:val="0"/>
              <w:suppressLineNumbers w:val="0"/>
              <w:spacing w:before="0" w:beforeAutospacing="0" w:after="0" w:afterAutospacing="0"/>
              <w:ind w:left="0" w:right="0"/>
            </w:pPr>
            <w:r>
              <w:rPr>
                <w:rFonts w:hint="eastAsia"/>
              </w:rPr>
              <w:t>（1）6自由度；</w:t>
            </w:r>
          </w:p>
          <w:p w14:paraId="08DB45DA">
            <w:pPr>
              <w:keepNext w:val="0"/>
              <w:keepLines w:val="0"/>
              <w:suppressLineNumbers w:val="0"/>
              <w:spacing w:before="0" w:beforeAutospacing="0" w:after="0" w:afterAutospacing="0"/>
              <w:ind w:left="0" w:right="0"/>
            </w:pPr>
            <w:r>
              <w:rPr>
                <w:rFonts w:hint="eastAsia"/>
              </w:rPr>
              <w:t>（2）负载能力≥4kg；</w:t>
            </w:r>
          </w:p>
          <w:p w14:paraId="27C7EDCD">
            <w:pPr>
              <w:keepNext w:val="0"/>
              <w:keepLines w:val="0"/>
              <w:suppressLineNumbers w:val="0"/>
              <w:spacing w:before="0" w:beforeAutospacing="0" w:after="0" w:afterAutospacing="0"/>
              <w:ind w:left="0" w:right="0"/>
            </w:pPr>
            <w:r>
              <w:rPr>
                <w:rFonts w:hint="eastAsia"/>
              </w:rPr>
              <w:t>（3）重复定位精度≤0.0</w:t>
            </w:r>
            <w:r>
              <w:t>2</w:t>
            </w:r>
            <w:r>
              <w:rPr>
                <w:rFonts w:hint="eastAsia"/>
              </w:rPr>
              <w:t>mm；</w:t>
            </w:r>
          </w:p>
          <w:p w14:paraId="04AC90DE">
            <w:pPr>
              <w:keepNext w:val="0"/>
              <w:keepLines w:val="0"/>
              <w:suppressLineNumbers w:val="0"/>
              <w:spacing w:before="0" w:beforeAutospacing="0" w:after="0" w:afterAutospacing="0"/>
              <w:ind w:left="0" w:right="0"/>
            </w:pPr>
            <w:r>
              <w:rPr>
                <w:rFonts w:hint="eastAsia"/>
              </w:rPr>
              <w:t>（4）每轴运动范围及最高速度：</w:t>
            </w:r>
          </w:p>
          <w:p w14:paraId="272F5615">
            <w:pPr>
              <w:keepNext w:val="0"/>
              <w:keepLines w:val="0"/>
              <w:suppressLineNumbers w:val="0"/>
              <w:spacing w:before="0" w:beforeAutospacing="0" w:after="0" w:afterAutospacing="0"/>
              <w:ind w:left="0" w:right="0"/>
            </w:pPr>
            <w:r>
              <w:rPr>
                <w:rFonts w:hint="eastAsia"/>
              </w:rPr>
              <w:t>J1范围：≥340°(最高速度：≥400°/s）</w:t>
            </w:r>
          </w:p>
          <w:p w14:paraId="41EA1EC0">
            <w:pPr>
              <w:keepNext w:val="0"/>
              <w:keepLines w:val="0"/>
              <w:suppressLineNumbers w:val="0"/>
              <w:spacing w:before="0" w:beforeAutospacing="0" w:after="0" w:afterAutospacing="0"/>
              <w:ind w:left="0" w:right="0"/>
            </w:pPr>
            <w:r>
              <w:rPr>
                <w:rFonts w:hint="eastAsia"/>
              </w:rPr>
              <w:t>J2范围：≥210°(最高速度：≥420°/s）</w:t>
            </w:r>
          </w:p>
          <w:p w14:paraId="33862BA2">
            <w:pPr>
              <w:keepNext w:val="0"/>
              <w:keepLines w:val="0"/>
              <w:suppressLineNumbers w:val="0"/>
              <w:spacing w:before="0" w:beforeAutospacing="0" w:after="0" w:afterAutospacing="0"/>
              <w:ind w:left="0" w:right="0"/>
            </w:pPr>
            <w:r>
              <w:rPr>
                <w:rFonts w:hint="eastAsia"/>
              </w:rPr>
              <w:t>J3范围：≥360°(最高速度：≥500°/s)</w:t>
            </w:r>
          </w:p>
          <w:p w14:paraId="0F778ABD">
            <w:pPr>
              <w:keepNext w:val="0"/>
              <w:keepLines w:val="0"/>
              <w:suppressLineNumbers w:val="0"/>
              <w:spacing w:before="0" w:beforeAutospacing="0" w:after="0" w:afterAutospacing="0"/>
              <w:ind w:left="0" w:right="0"/>
            </w:pPr>
            <w:r>
              <w:rPr>
                <w:rFonts w:hint="eastAsia"/>
              </w:rPr>
              <w:t>J4范围：≥360°(最高速度：≥500°/s)</w:t>
            </w:r>
          </w:p>
          <w:p w14:paraId="5559494F">
            <w:pPr>
              <w:keepNext w:val="0"/>
              <w:keepLines w:val="0"/>
              <w:suppressLineNumbers w:val="0"/>
              <w:spacing w:before="0" w:beforeAutospacing="0" w:after="0" w:afterAutospacing="0"/>
              <w:ind w:left="0" w:right="0"/>
            </w:pPr>
            <w:r>
              <w:rPr>
                <w:rFonts w:hint="eastAsia"/>
              </w:rPr>
              <w:t>J5范围：≥230°(最高速度：≥480°/s)</w:t>
            </w:r>
          </w:p>
          <w:p w14:paraId="65936249">
            <w:pPr>
              <w:keepNext w:val="0"/>
              <w:keepLines w:val="0"/>
              <w:suppressLineNumbers w:val="0"/>
              <w:spacing w:before="0" w:beforeAutospacing="0" w:after="0" w:afterAutospacing="0"/>
              <w:ind w:left="0" w:right="0"/>
            </w:pPr>
            <w:r>
              <w:rPr>
                <w:rFonts w:hint="eastAsia"/>
              </w:rPr>
              <w:t>J6范围：≥700°(最高速度：≥900°/s)</w:t>
            </w:r>
          </w:p>
          <w:p w14:paraId="140F33D3">
            <w:pPr>
              <w:keepNext w:val="0"/>
              <w:keepLines w:val="0"/>
              <w:suppressLineNumbers w:val="0"/>
              <w:spacing w:before="0" w:beforeAutospacing="0" w:after="0" w:afterAutospacing="0"/>
              <w:ind w:left="0" w:right="0"/>
            </w:pPr>
            <w:r>
              <w:rPr>
                <w:rFonts w:hint="eastAsia"/>
              </w:rPr>
              <w:t>（5）最大展开半径：≥550mm；</w:t>
            </w:r>
          </w:p>
          <w:p w14:paraId="2A30FBFB">
            <w:pPr>
              <w:keepNext w:val="0"/>
              <w:keepLines w:val="0"/>
              <w:suppressLineNumbers w:val="0"/>
              <w:spacing w:before="0" w:beforeAutospacing="0" w:after="0" w:afterAutospacing="0"/>
              <w:ind w:left="0" w:right="0"/>
            </w:pPr>
            <w:r>
              <w:rPr>
                <w:rFonts w:hint="eastAsia"/>
              </w:rPr>
              <w:t>2.2.2控制柜：</w:t>
            </w:r>
          </w:p>
          <w:p w14:paraId="6A0D2FBB">
            <w:pPr>
              <w:keepNext w:val="0"/>
              <w:keepLines w:val="0"/>
              <w:suppressLineNumbers w:val="0"/>
              <w:spacing w:before="0" w:beforeAutospacing="0" w:after="0" w:afterAutospacing="0"/>
              <w:ind w:left="0" w:right="0"/>
            </w:pPr>
            <w:r>
              <w:rPr>
                <w:rFonts w:hint="eastAsia"/>
              </w:rPr>
              <w:t>工业机器人控制柜技术参数如下：</w:t>
            </w:r>
          </w:p>
          <w:p w14:paraId="44A3BC17">
            <w:pPr>
              <w:keepNext w:val="0"/>
              <w:keepLines w:val="0"/>
              <w:suppressLineNumbers w:val="0"/>
              <w:spacing w:before="0" w:beforeAutospacing="0" w:after="0" w:afterAutospacing="0"/>
              <w:ind w:left="0" w:right="0"/>
            </w:pPr>
            <w:r>
              <w:rPr>
                <w:rFonts w:hint="eastAsia"/>
              </w:rPr>
              <w:t>（1）控制柜组成：包括电源供给单元、安全保护回路、伺服放大器、输入/输出模块、主控单元、急停电路板等；</w:t>
            </w:r>
          </w:p>
          <w:p w14:paraId="14BC5757">
            <w:pPr>
              <w:keepNext w:val="0"/>
              <w:keepLines w:val="0"/>
              <w:suppressLineNumbers w:val="0"/>
              <w:spacing w:before="0" w:beforeAutospacing="0" w:after="0" w:afterAutospacing="0"/>
              <w:ind w:left="0" w:right="0"/>
            </w:pPr>
            <w:r>
              <w:rPr>
                <w:rFonts w:hint="eastAsia"/>
              </w:rPr>
              <w:t>（2）CPU DRAM容量：≥1G；</w:t>
            </w:r>
          </w:p>
          <w:p w14:paraId="0683B0EA">
            <w:pPr>
              <w:keepNext w:val="0"/>
              <w:keepLines w:val="0"/>
              <w:suppressLineNumbers w:val="0"/>
              <w:spacing w:before="0" w:beforeAutospacing="0" w:after="0" w:afterAutospacing="0"/>
              <w:ind w:left="0" w:right="0"/>
            </w:pPr>
            <w:r>
              <w:rPr>
                <w:rFonts w:hint="eastAsia"/>
              </w:rPr>
              <w:t>（3）</w:t>
            </w:r>
            <w:bookmarkStart w:id="172" w:name="OLE_LINK4"/>
            <w:bookmarkStart w:id="173" w:name="OLE_LINK2"/>
            <w:r>
              <w:rPr>
                <w:rFonts w:hint="eastAsia"/>
              </w:rPr>
              <w:t>程序存储容量≥</w:t>
            </w:r>
            <w:bookmarkEnd w:id="172"/>
            <w:r>
              <w:rPr>
                <w:rFonts w:hint="eastAsia"/>
              </w:rPr>
              <w:t>128M，系统存储容量≥1M</w:t>
            </w:r>
            <w:bookmarkEnd w:id="173"/>
            <w:r>
              <w:rPr>
                <w:rFonts w:hint="eastAsia"/>
              </w:rPr>
              <w:t>；</w:t>
            </w:r>
          </w:p>
          <w:p w14:paraId="563C30E7">
            <w:pPr>
              <w:keepNext w:val="0"/>
              <w:keepLines w:val="0"/>
              <w:suppressLineNumbers w:val="0"/>
              <w:spacing w:before="0" w:beforeAutospacing="0" w:after="0" w:afterAutospacing="0"/>
              <w:ind w:left="0" w:right="0"/>
            </w:pPr>
            <w:r>
              <w:rPr>
                <w:rFonts w:hint="eastAsia"/>
              </w:rPr>
              <w:t>（4）通讯模块要求：不少于Modbus TCP、EtherNet/IP、TCP/IP；</w:t>
            </w:r>
          </w:p>
          <w:p w14:paraId="506F5BB9">
            <w:pPr>
              <w:keepNext w:val="0"/>
              <w:keepLines w:val="0"/>
              <w:suppressLineNumbers w:val="0"/>
              <w:spacing w:before="0" w:beforeAutospacing="0" w:after="0" w:afterAutospacing="0"/>
              <w:ind w:left="0" w:right="0"/>
            </w:pPr>
            <w:r>
              <w:rPr>
                <w:rFonts w:hint="eastAsia"/>
              </w:rPr>
              <w:t>（5）控制器需集成视觉通讯及调试软件；</w:t>
            </w:r>
          </w:p>
          <w:p w14:paraId="276196B1">
            <w:pPr>
              <w:keepNext w:val="0"/>
              <w:keepLines w:val="0"/>
              <w:suppressLineNumbers w:val="0"/>
              <w:spacing w:before="0" w:beforeAutospacing="0" w:after="0" w:afterAutospacing="0"/>
              <w:ind w:left="0" w:right="0"/>
            </w:pPr>
            <w:r>
              <w:rPr>
                <w:rFonts w:hint="eastAsia"/>
              </w:rPr>
              <w:t>（6）应具有位置/速度检查功能；</w:t>
            </w:r>
          </w:p>
          <w:p w14:paraId="1E67E3AD">
            <w:pPr>
              <w:keepNext w:val="0"/>
              <w:keepLines w:val="0"/>
              <w:suppressLineNumbers w:val="0"/>
              <w:spacing w:before="0" w:beforeAutospacing="0" w:after="0" w:afterAutospacing="0"/>
              <w:ind w:left="0" w:right="0"/>
            </w:pPr>
            <w:r>
              <w:rPr>
                <w:rFonts w:hint="eastAsia"/>
              </w:rPr>
              <w:t>（7）保护等级要求：不低于IP54；</w:t>
            </w:r>
          </w:p>
          <w:p w14:paraId="24FCBABD">
            <w:pPr>
              <w:keepNext w:val="0"/>
              <w:keepLines w:val="0"/>
              <w:suppressLineNumbers w:val="0"/>
              <w:spacing w:before="0" w:beforeAutospacing="0" w:after="0" w:afterAutospacing="0"/>
              <w:ind w:left="0" w:right="0"/>
            </w:pPr>
            <w:r>
              <w:rPr>
                <w:rFonts w:hint="eastAsia"/>
              </w:rPr>
              <w:t>（8）I/O：集成不少于16入/16出。</w:t>
            </w:r>
          </w:p>
          <w:p w14:paraId="3ED1DEF4">
            <w:pPr>
              <w:keepNext w:val="0"/>
              <w:keepLines w:val="0"/>
              <w:suppressLineNumbers w:val="0"/>
              <w:spacing w:before="0" w:beforeAutospacing="0" w:after="0" w:afterAutospacing="0"/>
              <w:ind w:left="0" w:right="0"/>
            </w:pPr>
            <w:r>
              <w:rPr>
                <w:rFonts w:hint="eastAsia"/>
              </w:rPr>
              <w:t>▲2.2.3示教器技术参数：</w:t>
            </w:r>
          </w:p>
          <w:p w14:paraId="68CB3A82">
            <w:pPr>
              <w:keepNext w:val="0"/>
              <w:keepLines w:val="0"/>
              <w:suppressLineNumbers w:val="0"/>
              <w:spacing w:before="0" w:beforeAutospacing="0" w:after="0" w:afterAutospacing="0"/>
              <w:ind w:left="0" w:right="0"/>
            </w:pPr>
            <w:r>
              <w:rPr>
                <w:rFonts w:hint="eastAsia"/>
              </w:rPr>
              <w:t>（1）彩色触摸屏，可进行图形化的生产监控；</w:t>
            </w:r>
          </w:p>
          <w:p w14:paraId="515E005D">
            <w:pPr>
              <w:keepNext w:val="0"/>
              <w:keepLines w:val="0"/>
              <w:suppressLineNumbers w:val="0"/>
              <w:spacing w:before="0" w:beforeAutospacing="0" w:after="0" w:afterAutospacing="0"/>
              <w:ind w:left="0" w:right="0"/>
            </w:pPr>
            <w:r>
              <w:rPr>
                <w:rFonts w:hint="eastAsia"/>
              </w:rPr>
              <w:t>（2）示教器可直接进行视觉参数设置及调试作业</w:t>
            </w:r>
          </w:p>
          <w:p w14:paraId="7CAFFB07">
            <w:pPr>
              <w:keepNext w:val="0"/>
              <w:keepLines w:val="0"/>
              <w:suppressLineNumbers w:val="0"/>
              <w:spacing w:before="0" w:beforeAutospacing="0" w:after="0" w:afterAutospacing="0"/>
              <w:ind w:left="0" w:right="0"/>
            </w:pPr>
            <w:r>
              <w:rPr>
                <w:rFonts w:hint="eastAsia"/>
              </w:rPr>
              <w:t xml:space="preserve">（3）界面含图形化机器人模型、报警信息等必要信息； </w:t>
            </w:r>
          </w:p>
          <w:p w14:paraId="7E1FB54B">
            <w:pPr>
              <w:keepNext w:val="0"/>
              <w:keepLines w:val="0"/>
              <w:suppressLineNumbers w:val="0"/>
              <w:spacing w:before="0" w:beforeAutospacing="0" w:after="0" w:afterAutospacing="0"/>
              <w:ind w:left="0" w:right="0"/>
            </w:pPr>
            <w:r>
              <w:rPr>
                <w:rFonts w:hint="eastAsia"/>
              </w:rPr>
              <w:t>（4）支持U盘、热插拔、恢复程序</w:t>
            </w:r>
          </w:p>
          <w:p w14:paraId="327BDC12">
            <w:pPr>
              <w:keepNext w:val="0"/>
              <w:keepLines w:val="0"/>
              <w:suppressLineNumbers w:val="0"/>
              <w:spacing w:before="0" w:beforeAutospacing="0" w:after="0" w:afterAutospacing="0"/>
              <w:ind w:left="0" w:right="0"/>
            </w:pPr>
            <w:r>
              <w:rPr>
                <w:rFonts w:hint="eastAsia"/>
              </w:rPr>
              <w:t>（5）支持惯用左/右手切换。</w:t>
            </w:r>
          </w:p>
          <w:p w14:paraId="69515870">
            <w:pPr>
              <w:keepNext w:val="0"/>
              <w:keepLines w:val="0"/>
              <w:suppressLineNumbers w:val="0"/>
              <w:spacing w:before="0" w:beforeAutospacing="0" w:after="0" w:afterAutospacing="0"/>
              <w:ind w:left="0" w:right="0"/>
            </w:pPr>
          </w:p>
          <w:p w14:paraId="36C35632">
            <w:pPr>
              <w:keepNext w:val="0"/>
              <w:keepLines w:val="0"/>
              <w:suppressLineNumbers w:val="0"/>
              <w:spacing w:before="0" w:beforeAutospacing="0" w:after="0" w:afterAutospacing="0"/>
              <w:ind w:left="0" w:right="0"/>
            </w:pPr>
            <w:r>
              <w:rPr>
                <w:rFonts w:hint="eastAsia"/>
              </w:rPr>
              <w:t>2.3 基础平台</w:t>
            </w:r>
          </w:p>
          <w:p w14:paraId="5F20ADE0">
            <w:pPr>
              <w:keepNext w:val="0"/>
              <w:keepLines w:val="0"/>
              <w:suppressLineNumbers w:val="0"/>
              <w:spacing w:before="0" w:beforeAutospacing="0" w:after="0" w:afterAutospacing="0"/>
              <w:ind w:left="0" w:right="0"/>
            </w:pPr>
            <w:bookmarkStart w:id="174" w:name="OLE_LINK6"/>
            <w:r>
              <w:rPr>
                <w:rFonts w:hint="eastAsia"/>
              </w:rPr>
              <w:t>台体尺寸</w:t>
            </w:r>
            <w:bookmarkStart w:id="175" w:name="OLE_LINK7"/>
            <w:r>
              <w:rPr>
                <w:rFonts w:hint="eastAsia"/>
              </w:rPr>
              <w:t>不小于</w:t>
            </w:r>
            <w:bookmarkStart w:id="176" w:name="OLE_LINK5"/>
            <w:r>
              <w:rPr>
                <w:rFonts w:hint="eastAsia"/>
              </w:rPr>
              <w:t>1200×900×780</w:t>
            </w:r>
            <w:bookmarkEnd w:id="176"/>
            <w:r>
              <w:rPr>
                <w:rFonts w:hint="eastAsia"/>
              </w:rPr>
              <w:t>mm</w:t>
            </w:r>
            <w:bookmarkEnd w:id="174"/>
            <w:bookmarkEnd w:id="175"/>
            <w:r>
              <w:rPr>
                <w:rFonts w:hint="eastAsia"/>
              </w:rPr>
              <w:t>，框架采用不小于60mm工业铝型材，安装面板厚度不小于30mm铝合金型材，带有不小于25mm的槽间隙；所有基础操作考核模块均可快速在此通用面板上横向或纵向安装，节约实训时间。基础平台底部安装有承重脚轮及支撑脚杯，可移动和调整平台位置。</w:t>
            </w:r>
          </w:p>
          <w:p w14:paraId="61B9BD38">
            <w:pPr>
              <w:keepNext w:val="0"/>
              <w:keepLines w:val="0"/>
              <w:suppressLineNumbers w:val="0"/>
              <w:spacing w:before="0" w:beforeAutospacing="0" w:after="0" w:afterAutospacing="0"/>
              <w:ind w:left="0" w:right="0"/>
            </w:pPr>
            <w:r>
              <w:rPr>
                <w:rFonts w:hint="eastAsia"/>
                <w:b/>
                <w:bCs/>
              </w:rPr>
              <w:t>2.4设备上电系统</w:t>
            </w:r>
            <w:r>
              <w:rPr>
                <w:rFonts w:hint="eastAsia"/>
              </w:rPr>
              <w:br w:type="textWrapping"/>
            </w:r>
            <w:r>
              <w:rPr>
                <w:rFonts w:hint="eastAsia"/>
              </w:rPr>
              <w:t>刷卡识别：采用刷卡识别技术，读取卡片信息，通过刷卡取电、上机操作等。</w:t>
            </w:r>
          </w:p>
          <w:p w14:paraId="63953952">
            <w:pPr>
              <w:keepNext w:val="0"/>
              <w:keepLines w:val="0"/>
              <w:suppressLineNumbers w:val="0"/>
              <w:spacing w:before="0" w:beforeAutospacing="0" w:after="0" w:afterAutospacing="0"/>
              <w:ind w:left="0" w:right="0"/>
            </w:pPr>
            <w:r>
              <w:rPr>
                <w:rFonts w:hint="eastAsia"/>
              </w:rPr>
              <w:t>密码输入模块：配备独立密码输入模块，支持自定义密码，搭配刷卡使用提升安全性。</w:t>
            </w:r>
          </w:p>
          <w:p w14:paraId="59FE35F6">
            <w:pPr>
              <w:keepNext w:val="0"/>
              <w:keepLines w:val="0"/>
              <w:suppressLineNumbers w:val="0"/>
              <w:spacing w:before="0" w:beforeAutospacing="0" w:after="0" w:afterAutospacing="0"/>
              <w:ind w:left="0" w:right="0"/>
            </w:pPr>
            <w:r>
              <w:rPr>
                <w:rFonts w:hint="eastAsia"/>
              </w:rPr>
              <w:t>2.5机器人夹具（2副）</w:t>
            </w:r>
          </w:p>
          <w:p w14:paraId="0D41B831">
            <w:pPr>
              <w:keepNext w:val="0"/>
              <w:keepLines w:val="0"/>
              <w:suppressLineNumbers w:val="0"/>
              <w:spacing w:before="0" w:beforeAutospacing="0" w:after="0" w:afterAutospacing="0"/>
              <w:ind w:left="0" w:right="0"/>
            </w:pPr>
            <w:r>
              <w:rPr>
                <w:rFonts w:hint="eastAsia"/>
              </w:rPr>
              <w:t>工业机器人本体需配套专门的机器人夹具模块，需要配套气动手抓、单吸盘夹具、绘图笔、焊枪等（每套设备配备两套快换夹具）。机器人快换夹具最大负载6Kg（不少于一主四副，6路气路）。</w:t>
            </w:r>
          </w:p>
          <w:p w14:paraId="4FFFD5C9">
            <w:pPr>
              <w:keepNext w:val="0"/>
              <w:keepLines w:val="0"/>
              <w:suppressLineNumbers w:val="0"/>
              <w:spacing w:before="0" w:beforeAutospacing="0" w:after="0" w:afterAutospacing="0"/>
              <w:ind w:left="0" w:right="0"/>
            </w:pPr>
            <w:r>
              <w:rPr>
                <w:rFonts w:hint="eastAsia"/>
              </w:rPr>
              <w:t>2.5.1快换连接盘</w:t>
            </w:r>
          </w:p>
          <w:p w14:paraId="00F7D67D">
            <w:pPr>
              <w:keepNext w:val="0"/>
              <w:keepLines w:val="0"/>
              <w:suppressLineNumbers w:val="0"/>
              <w:spacing w:before="0" w:beforeAutospacing="0" w:after="0" w:afterAutospacing="0"/>
              <w:ind w:left="0" w:right="0"/>
            </w:pPr>
            <w:r>
              <w:rPr>
                <w:rFonts w:hint="eastAsia"/>
              </w:rPr>
              <w:t>要求快换连接盘气路数量≥6路，额定承载≥6Kg</w:t>
            </w:r>
          </w:p>
          <w:p w14:paraId="35EEB39D">
            <w:pPr>
              <w:keepNext w:val="0"/>
              <w:keepLines w:val="0"/>
              <w:suppressLineNumbers w:val="0"/>
              <w:spacing w:before="0" w:beforeAutospacing="0" w:after="0" w:afterAutospacing="0"/>
              <w:ind w:left="0" w:right="0"/>
            </w:pPr>
            <w:r>
              <w:rPr>
                <w:rFonts w:hint="eastAsia"/>
              </w:rPr>
              <w:t>2.5.2快换夹具架</w:t>
            </w:r>
          </w:p>
          <w:p w14:paraId="654F04C4">
            <w:pPr>
              <w:keepNext w:val="0"/>
              <w:keepLines w:val="0"/>
              <w:suppressLineNumbers w:val="0"/>
              <w:spacing w:before="0" w:beforeAutospacing="0" w:after="0" w:afterAutospacing="0"/>
              <w:ind w:left="0" w:right="0"/>
            </w:pPr>
            <w:r>
              <w:rPr>
                <w:rFonts w:hint="eastAsia"/>
              </w:rPr>
              <w:t>组成：铝合金放置架、定位销。</w:t>
            </w:r>
          </w:p>
          <w:p w14:paraId="2E429141">
            <w:pPr>
              <w:keepNext w:val="0"/>
              <w:keepLines w:val="0"/>
              <w:suppressLineNumbers w:val="0"/>
              <w:spacing w:before="0" w:beforeAutospacing="0" w:after="0" w:afterAutospacing="0"/>
              <w:ind w:left="0" w:right="0"/>
            </w:pPr>
            <w:r>
              <w:rPr>
                <w:rFonts w:hint="eastAsia"/>
              </w:rPr>
              <w:t>功能：用于机器人快换夹具放置。</w:t>
            </w:r>
          </w:p>
          <w:p w14:paraId="7F725307">
            <w:pPr>
              <w:keepNext w:val="0"/>
              <w:keepLines w:val="0"/>
              <w:suppressLineNumbers w:val="0"/>
              <w:spacing w:before="0" w:beforeAutospacing="0" w:after="0" w:afterAutospacing="0"/>
              <w:ind w:left="0" w:right="0"/>
            </w:pPr>
            <w:bookmarkStart w:id="177" w:name="_Toc14915"/>
            <w:r>
              <w:rPr>
                <w:rFonts w:hint="eastAsia"/>
              </w:rPr>
              <w:t>2.5.3快换副盘-气动手爪</w:t>
            </w:r>
            <w:bookmarkEnd w:id="177"/>
          </w:p>
          <w:p w14:paraId="2A7B11E7">
            <w:pPr>
              <w:keepNext w:val="0"/>
              <w:keepLines w:val="0"/>
              <w:suppressLineNumbers w:val="0"/>
              <w:spacing w:before="0" w:beforeAutospacing="0" w:after="0" w:afterAutospacing="0"/>
              <w:ind w:left="0" w:right="0"/>
            </w:pPr>
            <w:r>
              <w:rPr>
                <w:rFonts w:hint="eastAsia"/>
              </w:rPr>
              <w:t>要求气动手爪含快换副盘、平行手指气缸、连接法兰等，可用于抓取打磨焊接工件，包装底盒等。</w:t>
            </w:r>
          </w:p>
          <w:p w14:paraId="2B460ACA">
            <w:pPr>
              <w:keepNext w:val="0"/>
              <w:keepLines w:val="0"/>
              <w:suppressLineNumbers w:val="0"/>
              <w:spacing w:before="0" w:beforeAutospacing="0" w:after="0" w:afterAutospacing="0"/>
              <w:ind w:left="0" w:right="0"/>
            </w:pPr>
            <w:bookmarkStart w:id="178" w:name="_Toc3284"/>
            <w:r>
              <w:rPr>
                <w:rFonts w:hint="eastAsia"/>
              </w:rPr>
              <w:t>2.5.4快换副盘-单吸盘夹具</w:t>
            </w:r>
            <w:bookmarkEnd w:id="178"/>
          </w:p>
          <w:p w14:paraId="3E727D4D">
            <w:pPr>
              <w:keepNext w:val="0"/>
              <w:keepLines w:val="0"/>
              <w:suppressLineNumbers w:val="0"/>
              <w:spacing w:before="0" w:beforeAutospacing="0" w:after="0" w:afterAutospacing="0"/>
              <w:ind w:left="0" w:right="0"/>
            </w:pPr>
            <w:r>
              <w:rPr>
                <w:rFonts w:hint="eastAsia"/>
              </w:rPr>
              <w:t>要求单吸盘夹具含快换副盘、固定座、真空吸盘、真空发生器等，可用于吸取包装盒、搬运码垛料块等。</w:t>
            </w:r>
          </w:p>
          <w:p w14:paraId="047DC42D">
            <w:pPr>
              <w:keepNext w:val="0"/>
              <w:keepLines w:val="0"/>
              <w:suppressLineNumbers w:val="0"/>
              <w:spacing w:before="0" w:beforeAutospacing="0" w:after="0" w:afterAutospacing="0"/>
              <w:ind w:left="0" w:right="0"/>
            </w:pPr>
            <w:bookmarkStart w:id="179" w:name="_Toc5006"/>
            <w:r>
              <w:rPr>
                <w:rFonts w:hint="eastAsia"/>
              </w:rPr>
              <w:t>2.5.5快换副盘-绘图笔</w:t>
            </w:r>
            <w:bookmarkEnd w:id="179"/>
          </w:p>
          <w:p w14:paraId="239D8189">
            <w:pPr>
              <w:keepNext w:val="0"/>
              <w:keepLines w:val="0"/>
              <w:suppressLineNumbers w:val="0"/>
              <w:spacing w:before="0" w:beforeAutospacing="0" w:after="0" w:afterAutospacing="0"/>
              <w:ind w:left="0" w:right="0"/>
            </w:pPr>
            <w:r>
              <w:rPr>
                <w:rFonts w:hint="eastAsia"/>
              </w:rPr>
              <w:t>要求绘图笔夹具含快换副盘、笔芯套、笔芯等，可用于在绘图板上绘图。</w:t>
            </w:r>
          </w:p>
          <w:p w14:paraId="700B329D">
            <w:pPr>
              <w:keepNext w:val="0"/>
              <w:keepLines w:val="0"/>
              <w:suppressLineNumbers w:val="0"/>
              <w:spacing w:before="0" w:beforeAutospacing="0" w:after="0" w:afterAutospacing="0"/>
              <w:ind w:left="0" w:right="0"/>
            </w:pPr>
            <w:bookmarkStart w:id="180" w:name="_Toc14026"/>
            <w:r>
              <w:rPr>
                <w:rFonts w:hint="eastAsia"/>
              </w:rPr>
              <w:t>2.5.6快换副盘-模拟焊枪</w:t>
            </w:r>
            <w:bookmarkEnd w:id="180"/>
          </w:p>
          <w:p w14:paraId="0CC5DE50">
            <w:pPr>
              <w:keepNext w:val="0"/>
              <w:keepLines w:val="0"/>
              <w:suppressLineNumbers w:val="0"/>
              <w:spacing w:before="0" w:beforeAutospacing="0" w:after="0" w:afterAutospacing="0"/>
              <w:ind w:left="0" w:right="0"/>
            </w:pPr>
            <w:r>
              <w:rPr>
                <w:rFonts w:hint="eastAsia"/>
              </w:rPr>
              <w:t>要求焊枪夹具由快换连接盘、焊枪头、指示灯等组成。枪头与焊缝接触时，指示灯亮，同时控制器会收到焊接反馈信号。</w:t>
            </w:r>
          </w:p>
          <w:p w14:paraId="5643F7A7">
            <w:pPr>
              <w:keepNext w:val="0"/>
              <w:keepLines w:val="0"/>
              <w:suppressLineNumbers w:val="0"/>
              <w:spacing w:before="0" w:beforeAutospacing="0" w:after="0" w:afterAutospacing="0"/>
              <w:ind w:left="0" w:right="0"/>
            </w:pPr>
            <w:r>
              <w:rPr>
                <w:rFonts w:hint="eastAsia"/>
              </w:rPr>
              <w:t>2.6 基础操作模块</w:t>
            </w:r>
          </w:p>
          <w:p w14:paraId="2CF04427">
            <w:pPr>
              <w:keepNext w:val="0"/>
              <w:keepLines w:val="0"/>
              <w:suppressLineNumbers w:val="0"/>
              <w:spacing w:before="0" w:beforeAutospacing="0" w:after="0" w:afterAutospacing="0"/>
              <w:ind w:left="0" w:right="0"/>
            </w:pPr>
            <w:r>
              <w:rPr>
                <w:rFonts w:hint="eastAsia"/>
              </w:rPr>
              <w:t>主要包括：曲面轨迹模块、绘图拼图模块、零件码垛模块、描图轨迹模块、异形件原料库等。</w:t>
            </w:r>
          </w:p>
          <w:p w14:paraId="0DEF5B3A">
            <w:pPr>
              <w:keepNext w:val="0"/>
              <w:keepLines w:val="0"/>
              <w:suppressLineNumbers w:val="0"/>
              <w:spacing w:before="0" w:beforeAutospacing="0" w:after="0" w:afterAutospacing="0"/>
              <w:ind w:left="0" w:right="0"/>
            </w:pPr>
            <w:bookmarkStart w:id="181" w:name="OLE_LINK8"/>
            <w:r>
              <w:rPr>
                <w:rFonts w:hint="eastAsia"/>
              </w:rPr>
              <w:t>2.6.1曲面轨迹、绘图拼图模块</w:t>
            </w:r>
          </w:p>
          <w:p w14:paraId="05141C97">
            <w:pPr>
              <w:keepNext w:val="0"/>
              <w:keepLines w:val="0"/>
              <w:suppressLineNumbers w:val="0"/>
              <w:spacing w:before="0" w:beforeAutospacing="0" w:after="0" w:afterAutospacing="0"/>
              <w:ind w:left="0" w:right="0"/>
              <w:rPr>
                <w:b/>
                <w:bCs/>
              </w:rPr>
            </w:pPr>
            <w:r>
              <w:rPr>
                <w:rFonts w:hint="eastAsia"/>
              </w:rPr>
              <w:t>要求一体两面，一面为弧形曲面面板，绘有三角形、菱形、阿基米德线等图案，铝型材立柱。</w:t>
            </w:r>
          </w:p>
          <w:p w14:paraId="6D44EE75">
            <w:pPr>
              <w:keepNext w:val="0"/>
              <w:keepLines w:val="0"/>
              <w:suppressLineNumbers w:val="0"/>
              <w:spacing w:before="0" w:beforeAutospacing="0" w:after="0" w:afterAutospacing="0"/>
              <w:ind w:left="0" w:right="0"/>
            </w:pPr>
            <w:r>
              <w:rPr>
                <w:rFonts w:hint="eastAsia"/>
              </w:rPr>
              <w:t>另一面设置有一A4幅面绘图区，绘图区两侧有纸夹，可以更换纸张。机器人以笔形绘图夹具描绘图形，训练对机器人基本的点示教，直线、曲线运动足迹的掌握，模拟工业生产涂胶工艺流程，学习点的定位及机器人运动路线选择优化。</w:t>
            </w:r>
          </w:p>
          <w:bookmarkEnd w:id="181"/>
          <w:p w14:paraId="48F7F512">
            <w:pPr>
              <w:keepNext w:val="0"/>
              <w:keepLines w:val="0"/>
              <w:suppressLineNumbers w:val="0"/>
              <w:spacing w:before="0" w:beforeAutospacing="0" w:after="0" w:afterAutospacing="0"/>
              <w:ind w:left="0" w:right="0"/>
            </w:pPr>
            <w:r>
              <w:rPr>
                <w:rFonts w:hint="eastAsia"/>
              </w:rPr>
              <w:t>2.6.2零件码垛模块</w:t>
            </w:r>
          </w:p>
          <w:p w14:paraId="32F45B1C">
            <w:pPr>
              <w:keepNext w:val="0"/>
              <w:keepLines w:val="0"/>
              <w:suppressLineNumbers w:val="0"/>
              <w:spacing w:before="0" w:beforeAutospacing="0" w:after="0" w:afterAutospacing="0"/>
              <w:ind w:left="0" w:right="0"/>
            </w:pPr>
            <w:r>
              <w:rPr>
                <w:rFonts w:hint="eastAsia"/>
              </w:rPr>
              <w:t>主要由存储区、原料区及料块组成。</w:t>
            </w:r>
          </w:p>
          <w:p w14:paraId="12B98F8E">
            <w:pPr>
              <w:keepNext w:val="0"/>
              <w:keepLines w:val="0"/>
              <w:suppressLineNumbers w:val="0"/>
              <w:spacing w:before="0" w:beforeAutospacing="0" w:after="0" w:afterAutospacing="0"/>
              <w:ind w:left="0" w:right="0"/>
            </w:pPr>
            <w:r>
              <w:rPr>
                <w:rFonts w:hint="eastAsia"/>
              </w:rPr>
              <w:t>考核任务：</w:t>
            </w:r>
          </w:p>
          <w:p w14:paraId="5E86F257">
            <w:pPr>
              <w:keepNext w:val="0"/>
              <w:keepLines w:val="0"/>
              <w:suppressLineNumbers w:val="0"/>
              <w:spacing w:before="0" w:beforeAutospacing="0" w:after="0" w:afterAutospacing="0"/>
              <w:ind w:left="0" w:right="0"/>
            </w:pPr>
            <w:r>
              <w:rPr>
                <w:rFonts w:hint="eastAsia"/>
              </w:rPr>
              <w:t>a)零件码垛：物料块有圆柱形和正方形两种，操作者可根据需要选择摆放，机器人通过吸盘夹具按要求拾取物料块进行码垛任务；自由组合码垛形式及样式。</w:t>
            </w:r>
          </w:p>
          <w:p w14:paraId="5E01B014">
            <w:pPr>
              <w:keepNext w:val="0"/>
              <w:keepLines w:val="0"/>
              <w:suppressLineNumbers w:val="0"/>
              <w:spacing w:before="0" w:beforeAutospacing="0" w:after="0" w:afterAutospacing="0"/>
              <w:ind w:left="0" w:right="0"/>
            </w:pPr>
            <w:r>
              <w:rPr>
                <w:rFonts w:hint="eastAsia"/>
              </w:rPr>
              <w:t>b)图块搬运：机器人通过吸盘夹具依次把一个物料板摆放好的物料拾取搬运到另一个物料板上；搬运形式要求灵活组合。</w:t>
            </w:r>
          </w:p>
          <w:p w14:paraId="6E47F8A2">
            <w:pPr>
              <w:keepNext w:val="0"/>
              <w:keepLines w:val="0"/>
              <w:suppressLineNumbers w:val="0"/>
              <w:spacing w:before="0" w:beforeAutospacing="0" w:after="0" w:afterAutospacing="0"/>
              <w:ind w:left="0" w:right="0"/>
            </w:pPr>
            <w:r>
              <w:rPr>
                <w:rFonts w:hint="eastAsia"/>
              </w:rPr>
              <w:t>2.6.3描图轨迹模块（含支架）</w:t>
            </w:r>
          </w:p>
          <w:p w14:paraId="5D19AB69">
            <w:pPr>
              <w:keepNext w:val="0"/>
              <w:keepLines w:val="0"/>
              <w:suppressLineNumbers w:val="0"/>
              <w:spacing w:before="0" w:beforeAutospacing="0" w:after="0" w:afterAutospacing="0"/>
              <w:ind w:left="0" w:right="0"/>
            </w:pPr>
            <w:r>
              <w:rPr>
                <w:rFonts w:hint="eastAsia"/>
              </w:rPr>
              <w:t>要求面板角度可调，平面上印有圆形、矩形、三角形、多边形、五角星、曲线等不同规则的图案。模拟工业生产切割工艺流程，学习机器人运动路线选择优化和基础操作。</w:t>
            </w:r>
          </w:p>
          <w:p w14:paraId="7A6E5741">
            <w:pPr>
              <w:keepNext w:val="0"/>
              <w:keepLines w:val="0"/>
              <w:suppressLineNumbers w:val="0"/>
              <w:spacing w:before="0" w:beforeAutospacing="0" w:after="0" w:afterAutospacing="0"/>
              <w:ind w:left="0" w:right="0"/>
            </w:pPr>
            <w:r>
              <w:rPr>
                <w:rFonts w:hint="eastAsia"/>
              </w:rPr>
              <w:t>支架由气缸、滑轨、底板、可调安装板、上面板组成，上面板角度0-40度可调。</w:t>
            </w:r>
          </w:p>
          <w:p w14:paraId="6B6A1023">
            <w:pPr>
              <w:keepNext w:val="0"/>
              <w:keepLines w:val="0"/>
              <w:suppressLineNumbers w:val="0"/>
              <w:spacing w:before="0" w:beforeAutospacing="0" w:after="0" w:afterAutospacing="0"/>
              <w:ind w:left="0" w:right="0"/>
            </w:pPr>
            <w:r>
              <w:rPr>
                <w:rFonts w:hint="eastAsia"/>
              </w:rPr>
              <w:t>2.6.4异形件原料库</w:t>
            </w:r>
          </w:p>
          <w:p w14:paraId="02FA609E">
            <w:pPr>
              <w:keepNext w:val="0"/>
              <w:keepLines w:val="0"/>
              <w:suppressLineNumbers w:val="0"/>
              <w:spacing w:before="0" w:beforeAutospacing="0" w:after="0" w:afterAutospacing="0"/>
              <w:ind w:left="0" w:right="0"/>
            </w:pPr>
            <w:r>
              <w:rPr>
                <w:rFonts w:hint="eastAsia"/>
              </w:rPr>
              <w:t>主要由原料区和回收区组成，主要用来放置异形件和回收异形件。</w:t>
            </w:r>
          </w:p>
          <w:p w14:paraId="2F9BD126">
            <w:pPr>
              <w:keepNext w:val="0"/>
              <w:keepLines w:val="0"/>
              <w:suppressLineNumbers w:val="0"/>
              <w:spacing w:before="0" w:beforeAutospacing="0" w:after="0" w:afterAutospacing="0"/>
              <w:ind w:left="0" w:right="0"/>
            </w:pPr>
            <w:r>
              <w:rPr>
                <w:rFonts w:hint="eastAsia"/>
              </w:rPr>
              <w:t>2.7机加工自动化任务模块</w:t>
            </w:r>
          </w:p>
          <w:p w14:paraId="5F3AE9B1">
            <w:pPr>
              <w:keepNext w:val="0"/>
              <w:keepLines w:val="0"/>
              <w:suppressLineNumbers w:val="0"/>
              <w:spacing w:before="0" w:beforeAutospacing="0" w:after="0" w:afterAutospacing="0"/>
              <w:ind w:left="0" w:right="0"/>
            </w:pPr>
            <w:r>
              <w:rPr>
                <w:rFonts w:hint="eastAsia"/>
              </w:rPr>
              <w:t>该任务单元需要完成机器人取料、机床上下料、打磨、装配等工艺流程。</w:t>
            </w:r>
          </w:p>
          <w:p w14:paraId="158D25AD">
            <w:pPr>
              <w:keepNext w:val="0"/>
              <w:keepLines w:val="0"/>
              <w:suppressLineNumbers w:val="0"/>
              <w:spacing w:before="0" w:beforeAutospacing="0" w:after="0" w:afterAutospacing="0"/>
              <w:ind w:left="0" w:right="0"/>
            </w:pPr>
            <w:bookmarkStart w:id="182" w:name="OLE_LINK9"/>
            <w:r>
              <w:rPr>
                <w:rFonts w:hint="eastAsia"/>
              </w:rPr>
              <w:t>2.7.1可移动式立体仓储</w:t>
            </w:r>
          </w:p>
          <w:p w14:paraId="44F830AE">
            <w:pPr>
              <w:keepNext w:val="0"/>
              <w:keepLines w:val="0"/>
              <w:suppressLineNumbers w:val="0"/>
              <w:spacing w:before="0" w:beforeAutospacing="0" w:after="0" w:afterAutospacing="0"/>
              <w:ind w:left="0" w:right="0"/>
            </w:pPr>
            <w:r>
              <w:rPr>
                <w:rFonts w:hint="eastAsia"/>
              </w:rPr>
              <w:t>仓储单元分为三层，不少于10个仓位，圆弧型库架，最上层用于机加工自动化任务单元物料存放，下层用于产品物料存放，中间层可用于自定义。</w:t>
            </w:r>
          </w:p>
          <w:bookmarkEnd w:id="182"/>
          <w:p w14:paraId="41AE490A">
            <w:pPr>
              <w:keepNext w:val="0"/>
              <w:keepLines w:val="0"/>
              <w:suppressLineNumbers w:val="0"/>
              <w:spacing w:before="0" w:beforeAutospacing="0" w:after="0" w:afterAutospacing="0"/>
              <w:ind w:left="0" w:right="0"/>
            </w:pPr>
            <w:r>
              <w:rPr>
                <w:rFonts w:hint="eastAsia"/>
              </w:rPr>
              <w:t>2.7.2模拟数控加工单元</w:t>
            </w:r>
          </w:p>
          <w:p w14:paraId="1BD52816">
            <w:pPr>
              <w:keepNext w:val="0"/>
              <w:keepLines w:val="0"/>
              <w:suppressLineNumbers w:val="0"/>
              <w:spacing w:before="0" w:beforeAutospacing="0" w:after="0" w:afterAutospacing="0"/>
              <w:ind w:left="0" w:right="0"/>
            </w:pPr>
            <w:r>
              <w:rPr>
                <w:rFonts w:hint="eastAsia"/>
              </w:rPr>
              <w:t>应主要由铝制安装底座、铝型材基体、铝制卡盘安装座、平行开闭四爪气动卡盘、红色指示灯、绿色指示灯、磁性开关、电磁阀等组成。</w:t>
            </w:r>
          </w:p>
          <w:p w14:paraId="39B46423">
            <w:pPr>
              <w:keepNext w:val="0"/>
              <w:keepLines w:val="0"/>
              <w:suppressLineNumbers w:val="0"/>
              <w:spacing w:before="0" w:beforeAutospacing="0" w:after="0" w:afterAutospacing="0"/>
              <w:ind w:left="0" w:right="0"/>
            </w:pPr>
            <w:r>
              <w:rPr>
                <w:rFonts w:hint="eastAsia"/>
              </w:rPr>
              <w:t>2.7.3打磨机单元</w:t>
            </w:r>
          </w:p>
          <w:p w14:paraId="3F38E9C5">
            <w:pPr>
              <w:keepNext w:val="0"/>
              <w:keepLines w:val="0"/>
              <w:suppressLineNumbers w:val="0"/>
              <w:spacing w:before="0" w:beforeAutospacing="0" w:after="0" w:afterAutospacing="0"/>
              <w:ind w:left="0" w:right="0"/>
            </w:pPr>
            <w:r>
              <w:rPr>
                <w:rFonts w:hint="eastAsia"/>
              </w:rPr>
              <w:t>应主要由铝制安装底座、铝型材基体、铝制打磨机安装座（角度可调）、黑色POM打磨机固定座等组成。应可调整打磨机安装角度。</w:t>
            </w:r>
          </w:p>
          <w:p w14:paraId="74183930">
            <w:pPr>
              <w:keepNext w:val="0"/>
              <w:keepLines w:val="0"/>
              <w:suppressLineNumbers w:val="0"/>
              <w:spacing w:before="0" w:beforeAutospacing="0" w:after="0" w:afterAutospacing="0"/>
              <w:ind w:left="0" w:right="0"/>
            </w:pPr>
            <w:bookmarkStart w:id="183" w:name="_Toc27148"/>
            <w:r>
              <w:t>▲</w:t>
            </w:r>
            <w:r>
              <w:rPr>
                <w:rFonts w:hint="eastAsia"/>
              </w:rPr>
              <w:t>2.8焊接任务单元</w:t>
            </w:r>
            <w:bookmarkEnd w:id="183"/>
          </w:p>
          <w:p w14:paraId="2C9038EE">
            <w:pPr>
              <w:keepNext w:val="0"/>
              <w:keepLines w:val="0"/>
              <w:suppressLineNumbers w:val="0"/>
              <w:spacing w:before="0" w:beforeAutospacing="0" w:after="0" w:afterAutospacing="0"/>
              <w:ind w:left="0" w:right="0"/>
            </w:pPr>
            <w:r>
              <w:rPr>
                <w:rFonts w:hint="eastAsia"/>
              </w:rPr>
              <w:t>主要包括焊接变位机、模拟焊枪等，焊接变位机由伺服电机驱动，可任意角度精确定位旋转；</w:t>
            </w:r>
          </w:p>
          <w:p w14:paraId="1CF4CF75">
            <w:pPr>
              <w:keepNext w:val="0"/>
              <w:keepLines w:val="0"/>
              <w:suppressLineNumbers w:val="0"/>
              <w:spacing w:before="0" w:beforeAutospacing="0" w:after="0" w:afterAutospacing="0"/>
              <w:ind w:left="0" w:right="0"/>
            </w:pPr>
            <w:r>
              <w:rPr>
                <w:rFonts w:hint="eastAsia"/>
              </w:rPr>
              <w:t>功能：机器人从可移动式立体仓储取料，并放置于焊接变位机装配工位，焊接装配工件和母件自动连接，装配后进行工件的模拟焊接作业。模拟焊枪可以通过信号灯提示来反馈焊接信号。</w:t>
            </w:r>
          </w:p>
          <w:p w14:paraId="53533BAB">
            <w:pPr>
              <w:keepNext w:val="0"/>
              <w:keepLines w:val="0"/>
              <w:suppressLineNumbers w:val="0"/>
              <w:spacing w:before="0" w:beforeAutospacing="0" w:after="0" w:afterAutospacing="0"/>
              <w:ind w:left="0" w:right="0"/>
            </w:pPr>
            <w:r>
              <w:rPr>
                <w:rFonts w:hint="eastAsia"/>
              </w:rPr>
              <w:t>（投标文件中附不少于2张满足本项功能要求的界面截图）</w:t>
            </w:r>
          </w:p>
          <w:p w14:paraId="35EE0DD2">
            <w:pPr>
              <w:keepNext w:val="0"/>
              <w:keepLines w:val="0"/>
              <w:suppressLineNumbers w:val="0"/>
              <w:spacing w:before="0" w:beforeAutospacing="0" w:after="0" w:afterAutospacing="0"/>
              <w:ind w:left="0" w:right="0"/>
            </w:pPr>
            <w:r>
              <w:rPr>
                <w:rFonts w:hint="eastAsia"/>
              </w:rPr>
              <w:t>2.9智能转运、分拣、码垛任务单元</w:t>
            </w:r>
          </w:p>
          <w:p w14:paraId="5616BC28">
            <w:pPr>
              <w:keepNext w:val="0"/>
              <w:keepLines w:val="0"/>
              <w:suppressLineNumbers w:val="0"/>
              <w:spacing w:before="0" w:beforeAutospacing="0" w:after="0" w:afterAutospacing="0"/>
              <w:ind w:left="0" w:right="0"/>
            </w:pPr>
            <w:r>
              <w:rPr>
                <w:rFonts w:hint="eastAsia"/>
              </w:rPr>
              <w:t>2.9.1自动供给传输单元</w:t>
            </w:r>
          </w:p>
          <w:p w14:paraId="7B30C847">
            <w:pPr>
              <w:keepNext w:val="0"/>
              <w:keepLines w:val="0"/>
              <w:suppressLineNumbers w:val="0"/>
              <w:spacing w:before="0" w:beforeAutospacing="0" w:after="0" w:afterAutospacing="0"/>
              <w:ind w:left="0" w:right="0"/>
            </w:pPr>
            <w:r>
              <w:rPr>
                <w:rFonts w:hint="eastAsia"/>
              </w:rPr>
              <w:t>自动供料：应由金属安装底座、透明PVC、铝制门式井架、推料舌块、推料气缸、电磁阀等组成；</w:t>
            </w:r>
          </w:p>
          <w:p w14:paraId="71D6A5EC">
            <w:pPr>
              <w:keepNext w:val="0"/>
              <w:keepLines w:val="0"/>
              <w:suppressLineNumbers w:val="0"/>
              <w:spacing w:before="0" w:beforeAutospacing="0" w:after="0" w:afterAutospacing="0"/>
              <w:ind w:left="0" w:right="0"/>
            </w:pPr>
            <w:r>
              <w:rPr>
                <w:rFonts w:hint="eastAsia"/>
              </w:rPr>
              <w:t>传输单元：应由安装底座、光电传感器、电容传感器、电感传感器、光纤传感器、光纤放大器、铝型材、传输带、驱动装置等组成。</w:t>
            </w:r>
          </w:p>
          <w:p w14:paraId="39100980">
            <w:pPr>
              <w:keepNext w:val="0"/>
              <w:keepLines w:val="0"/>
              <w:suppressLineNumbers w:val="0"/>
              <w:spacing w:before="0" w:beforeAutospacing="0" w:after="0" w:afterAutospacing="0"/>
              <w:ind w:left="0" w:right="0"/>
            </w:pPr>
            <w:r>
              <w:rPr>
                <w:rFonts w:hint="eastAsia"/>
              </w:rPr>
              <w:t>典型工业产品物料盒：由不同颜色和不同材质的产品包装盒组成，数量不少于8套，包装盒底部嵌有RFID芯片。</w:t>
            </w:r>
          </w:p>
          <w:p w14:paraId="3B3D0B3D">
            <w:pPr>
              <w:keepNext w:val="0"/>
              <w:keepLines w:val="0"/>
              <w:suppressLineNumbers w:val="0"/>
              <w:spacing w:before="0" w:beforeAutospacing="0" w:after="0" w:afterAutospacing="0"/>
              <w:ind w:left="0" w:right="0"/>
            </w:pPr>
            <w:r>
              <w:rPr>
                <w:rFonts w:hint="eastAsia"/>
              </w:rPr>
              <w:t>2.9.2原料、装配单元</w:t>
            </w:r>
          </w:p>
          <w:p w14:paraId="015CCAB5">
            <w:pPr>
              <w:keepNext w:val="0"/>
              <w:keepLines w:val="0"/>
              <w:suppressLineNumbers w:val="0"/>
              <w:spacing w:before="0" w:beforeAutospacing="0" w:after="0" w:afterAutospacing="0"/>
              <w:ind w:left="0" w:right="0"/>
            </w:pPr>
            <w:r>
              <w:rPr>
                <w:rFonts w:hint="eastAsia"/>
              </w:rPr>
              <w:t>应主要由安装底板、铝型材、RFID、气缸、电磁阀等组成，配合机器人快换夹具，完成产品包装任务。</w:t>
            </w:r>
          </w:p>
          <w:p w14:paraId="35D0F86B">
            <w:pPr>
              <w:keepNext w:val="0"/>
              <w:keepLines w:val="0"/>
              <w:suppressLineNumbers w:val="0"/>
              <w:spacing w:before="0" w:beforeAutospacing="0" w:after="0" w:afterAutospacing="0"/>
              <w:ind w:left="0" w:right="0"/>
            </w:pPr>
            <w:r>
              <w:rPr>
                <w:rFonts w:hint="eastAsia"/>
              </w:rPr>
              <w:t>2.10电控及通讯系统</w:t>
            </w:r>
          </w:p>
          <w:p w14:paraId="3CAF9424">
            <w:pPr>
              <w:keepNext w:val="0"/>
              <w:keepLines w:val="0"/>
              <w:suppressLineNumbers w:val="0"/>
              <w:spacing w:before="0" w:beforeAutospacing="0" w:after="0" w:afterAutospacing="0"/>
              <w:ind w:left="0" w:right="0"/>
            </w:pPr>
            <w:r>
              <w:rPr>
                <w:rFonts w:hint="eastAsia"/>
              </w:rPr>
              <w:t>2.10.1 PLC</w:t>
            </w:r>
          </w:p>
          <w:p w14:paraId="5B4ADDAD">
            <w:pPr>
              <w:keepNext w:val="0"/>
              <w:keepLines w:val="0"/>
              <w:suppressLineNumbers w:val="0"/>
              <w:spacing w:before="0" w:beforeAutospacing="0" w:after="0" w:afterAutospacing="0"/>
              <w:ind w:left="0" w:right="0"/>
            </w:pPr>
            <w:bookmarkStart w:id="184" w:name="OLE_LINK20"/>
            <w:r>
              <w:rPr>
                <w:rFonts w:hint="eastAsia"/>
              </w:rPr>
              <w:t>数字量输入不少于14点、数字量输出不少于10点，工作存储器不少于100KB；支持24VDC供电，板载数字量输入支持漏型/源型切换，集成模拟量输入不少于2路；板载高速计数器不少于6路，脉冲输出不少于4路；支持扩展功能，可通过扩展模块扩展I/O点数和通信接口，其中通信扩展模块不少于3个，I/O扩展模块不少于8个；基本指令执行时间≤0.1μs；集成工业以太网接口，支持PROFINET、EtherNet/IP、Modbus TCP等主流工业以太网协议，可用于编程、触摸屏通讯以及PLC之间的数据通信。配套相应的PLC编程调试软件，I/O扩展模块不少于8入、8出。</w:t>
            </w:r>
            <w:bookmarkEnd w:id="184"/>
            <w:bookmarkStart w:id="185" w:name="OLE_LINK25"/>
            <w:bookmarkEnd w:id="185"/>
          </w:p>
          <w:p w14:paraId="539F9DE4">
            <w:pPr>
              <w:keepNext w:val="0"/>
              <w:keepLines w:val="0"/>
              <w:suppressLineNumbers w:val="0"/>
              <w:spacing w:before="0" w:beforeAutospacing="0" w:after="0" w:afterAutospacing="0"/>
              <w:ind w:left="0" w:right="0"/>
            </w:pPr>
            <w:r>
              <w:rPr>
                <w:rFonts w:hint="eastAsia"/>
              </w:rPr>
              <w:t>2.10.2触摸屏</w:t>
            </w:r>
          </w:p>
          <w:p w14:paraId="335BA01D">
            <w:pPr>
              <w:keepNext w:val="0"/>
              <w:keepLines w:val="0"/>
              <w:suppressLineNumbers w:val="0"/>
              <w:spacing w:before="0" w:beforeAutospacing="0" w:after="0" w:afterAutospacing="0"/>
              <w:ind w:left="0" w:right="0"/>
            </w:pPr>
            <w:bookmarkStart w:id="186" w:name="OLE_LINK61"/>
            <w:r>
              <w:rPr>
                <w:rFonts w:hint="eastAsia"/>
              </w:rPr>
              <w:t>不小于7英寸LED背光显示屏</w:t>
            </w:r>
            <w:bookmarkEnd w:id="186"/>
            <w:r>
              <w:rPr>
                <w:rFonts w:hint="eastAsia"/>
              </w:rPr>
              <w:t>，65K真彩以上，分辨率不小于800×480，按键式/触摸式操作，系统存储不少于10M，集成10/100M自适应网口，支持以太网通讯。</w:t>
            </w:r>
          </w:p>
          <w:p w14:paraId="2CD0ED5D">
            <w:pPr>
              <w:keepNext w:val="0"/>
              <w:keepLines w:val="0"/>
              <w:suppressLineNumbers w:val="0"/>
              <w:spacing w:before="0" w:beforeAutospacing="0" w:after="0" w:afterAutospacing="0"/>
              <w:ind w:left="0" w:right="0"/>
            </w:pPr>
            <w:r>
              <w:rPr>
                <w:rFonts w:hint="eastAsia"/>
              </w:rPr>
              <w:t>2.10.3变频器</w:t>
            </w:r>
          </w:p>
          <w:p w14:paraId="7AB3B793">
            <w:pPr>
              <w:keepNext w:val="0"/>
              <w:keepLines w:val="0"/>
              <w:suppressLineNumbers w:val="0"/>
              <w:spacing w:before="0" w:beforeAutospacing="0" w:after="0" w:afterAutospacing="0"/>
              <w:ind w:left="0" w:right="0"/>
            </w:pPr>
            <w:r>
              <w:rPr>
                <w:rFonts w:hint="eastAsia"/>
              </w:rPr>
              <w:t>单相交流供电，输出功率≥0.3kw。</w:t>
            </w:r>
          </w:p>
          <w:p w14:paraId="25A6F425">
            <w:pPr>
              <w:keepNext w:val="0"/>
              <w:keepLines w:val="0"/>
              <w:suppressLineNumbers w:val="0"/>
              <w:spacing w:before="0" w:beforeAutospacing="0" w:after="0" w:afterAutospacing="0"/>
              <w:ind w:left="0" w:right="0"/>
            </w:pPr>
            <w:r>
              <w:rPr>
                <w:rFonts w:hint="eastAsia"/>
              </w:rPr>
              <w:t>2.10.4伺服电机及驱动器</w:t>
            </w:r>
          </w:p>
          <w:p w14:paraId="0354CA6B">
            <w:pPr>
              <w:keepNext w:val="0"/>
              <w:keepLines w:val="0"/>
              <w:suppressLineNumbers w:val="0"/>
              <w:spacing w:before="0" w:beforeAutospacing="0" w:after="0" w:afterAutospacing="0"/>
              <w:ind w:left="0" w:right="0"/>
            </w:pPr>
            <w:r>
              <w:rPr>
                <w:rFonts w:hint="eastAsia"/>
              </w:rPr>
              <w:t>额定转速：≥3000 rpm，</w:t>
            </w:r>
            <w:r>
              <w:t>具备增量式编码器、功率等级与实训平台负载匹配</w:t>
            </w:r>
            <w:r>
              <w:rPr>
                <w:rFonts w:hint="eastAsia"/>
              </w:rPr>
              <w:t>。</w:t>
            </w:r>
          </w:p>
          <w:p w14:paraId="57813B63">
            <w:pPr>
              <w:keepNext w:val="0"/>
              <w:keepLines w:val="0"/>
              <w:suppressLineNumbers w:val="0"/>
              <w:spacing w:before="0" w:beforeAutospacing="0" w:after="0" w:afterAutospacing="0"/>
              <w:ind w:left="0" w:right="0"/>
              <w:rPr>
                <w:sz w:val="24"/>
              </w:rPr>
            </w:pPr>
            <w:r>
              <w:rPr>
                <w:rFonts w:hint="eastAsia"/>
              </w:rPr>
              <w:t>2.11机器视觉模块</w:t>
            </w:r>
            <w:r>
              <w:rPr>
                <w:rFonts w:hint="eastAsia"/>
                <w:sz w:val="24"/>
              </w:rPr>
              <w:tab/>
            </w:r>
          </w:p>
          <w:p w14:paraId="19803A2F">
            <w:pPr>
              <w:keepNext w:val="0"/>
              <w:keepLines w:val="0"/>
              <w:suppressLineNumbers w:val="0"/>
              <w:spacing w:before="0" w:beforeAutospacing="0" w:after="0" w:afterAutospacing="0"/>
              <w:ind w:left="0" w:right="0"/>
            </w:pPr>
            <w:r>
              <w:rPr>
                <w:rFonts w:hint="eastAsia"/>
              </w:rPr>
              <w:t>主要</w:t>
            </w:r>
            <w:r>
              <w:rPr>
                <w:rFonts w:hint="eastAsia"/>
                <w:lang w:bidi="zh-CN"/>
              </w:rPr>
              <w:t>由智能相机、相机支架、通讯电缆等组成，智能</w:t>
            </w:r>
            <w:r>
              <w:rPr>
                <w:rFonts w:hint="eastAsia"/>
              </w:rPr>
              <w:t>相机像素不低于300万，具有总线通信功能，至少包含TCP/IP、MODBUS-TCP、UDP三种通讯协议，能够与机器人和PLC通讯，可检测物品形状、颜色、缺陷、OCR文字识别；</w:t>
            </w:r>
          </w:p>
          <w:p w14:paraId="7844B9F0">
            <w:pPr>
              <w:keepNext w:val="0"/>
              <w:keepLines w:val="0"/>
              <w:suppressLineNumbers w:val="0"/>
              <w:spacing w:before="0" w:beforeAutospacing="0" w:after="0" w:afterAutospacing="0"/>
              <w:ind w:left="0" w:right="0"/>
            </w:pPr>
            <w:r>
              <w:rPr>
                <w:rFonts w:hint="eastAsia"/>
              </w:rPr>
              <w:t>▲2.12 RFID模块</w:t>
            </w:r>
          </w:p>
          <w:p w14:paraId="088F24CB">
            <w:pPr>
              <w:keepNext w:val="0"/>
              <w:keepLines w:val="0"/>
              <w:suppressLineNumbers w:val="0"/>
              <w:spacing w:before="0" w:beforeAutospacing="0" w:after="0" w:afterAutospacing="0"/>
              <w:ind w:left="0" w:right="0"/>
            </w:pPr>
            <w:r>
              <w:rPr>
                <w:rFonts w:hint="eastAsia"/>
              </w:rPr>
              <w:t>DC24V供电，模块化功能。</w:t>
            </w:r>
          </w:p>
          <w:p w14:paraId="3F314AE8">
            <w:pPr>
              <w:keepNext w:val="0"/>
              <w:keepLines w:val="0"/>
              <w:suppressLineNumbers w:val="0"/>
              <w:spacing w:before="0" w:beforeAutospacing="0" w:after="0" w:afterAutospacing="0"/>
              <w:ind w:left="0" w:right="0"/>
            </w:pPr>
            <w:r>
              <w:rPr>
                <w:rFonts w:hint="eastAsia"/>
              </w:rPr>
              <w:t>1）读卡信息可通过模块自带LED显示，初始默认显示RFID卡的卡号和数据以及错误指令，可根据错误指令定位错误原因；</w:t>
            </w:r>
          </w:p>
          <w:p w14:paraId="0DB5733A">
            <w:pPr>
              <w:keepNext w:val="0"/>
              <w:keepLines w:val="0"/>
              <w:suppressLineNumbers w:val="0"/>
              <w:spacing w:before="0" w:beforeAutospacing="0" w:after="0" w:afterAutospacing="0"/>
              <w:ind w:left="0" w:right="0"/>
            </w:pPr>
            <w:r>
              <w:rPr>
                <w:rFonts w:hint="eastAsia"/>
              </w:rPr>
              <w:t>2）通信方式：RFID读写器支持MODBUS_TCP或MODBUS_RTU两种标准的通信协议。</w:t>
            </w:r>
          </w:p>
          <w:p w14:paraId="3F40D354">
            <w:pPr>
              <w:keepNext w:val="0"/>
              <w:keepLines w:val="0"/>
              <w:suppressLineNumbers w:val="0"/>
              <w:spacing w:before="0" w:beforeAutospacing="0" w:after="0" w:afterAutospacing="0"/>
              <w:ind w:left="0" w:right="0"/>
            </w:pPr>
            <w:r>
              <w:rPr>
                <w:rFonts w:hint="eastAsia"/>
              </w:rPr>
              <w:t>（投标文件中附不少于2张满足本项功能要求的界面截图）</w:t>
            </w:r>
          </w:p>
          <w:p w14:paraId="00384935">
            <w:pPr>
              <w:keepNext w:val="0"/>
              <w:keepLines w:val="0"/>
              <w:suppressLineNumbers w:val="0"/>
              <w:spacing w:before="0" w:beforeAutospacing="0" w:after="0" w:afterAutospacing="0"/>
              <w:ind w:left="0" w:right="0"/>
            </w:pPr>
            <w:r>
              <w:rPr>
                <w:rFonts w:hint="eastAsia"/>
              </w:rPr>
              <w:t>▲2.13MES</w:t>
            </w:r>
          </w:p>
          <w:p w14:paraId="395761CD">
            <w:pPr>
              <w:keepNext w:val="0"/>
              <w:keepLines w:val="0"/>
              <w:suppressLineNumbers w:val="0"/>
              <w:spacing w:before="0" w:beforeAutospacing="0" w:after="0" w:afterAutospacing="0"/>
              <w:ind w:left="0" w:right="0"/>
            </w:pPr>
            <w:r>
              <w:rPr>
                <w:rFonts w:hint="eastAsia"/>
              </w:rPr>
              <w:t>需</w:t>
            </w:r>
            <w:r>
              <w:t>包含系统设置、基础管理、订单管理，生产管理，设备管理、仓储管理模块，同时反馈系统的工作状态。</w:t>
            </w:r>
          </w:p>
          <w:p w14:paraId="6458E364">
            <w:pPr>
              <w:keepNext w:val="0"/>
              <w:keepLines w:val="0"/>
              <w:suppressLineNumbers w:val="0"/>
              <w:spacing w:before="0" w:beforeAutospacing="0" w:after="0" w:afterAutospacing="0"/>
              <w:ind w:left="0" w:right="0"/>
            </w:pPr>
            <w:r>
              <w:t>系统设置：可进行用户管理、角色管理、菜单管理、按钮管理、数据字典、日志管理的设置。</w:t>
            </w:r>
          </w:p>
          <w:p w14:paraId="4221B239">
            <w:pPr>
              <w:keepNext w:val="0"/>
              <w:keepLines w:val="0"/>
              <w:suppressLineNumbers w:val="0"/>
              <w:spacing w:before="0" w:beforeAutospacing="0" w:after="0" w:afterAutospacing="0"/>
              <w:ind w:left="0" w:right="0"/>
            </w:pPr>
            <w:r>
              <w:t>基础管理模块：可进行用户信息编辑，包含新建或删除用户、设置名称、密码、权限等</w:t>
            </w:r>
            <w:r>
              <w:rPr>
                <w:rFonts w:hint="eastAsia"/>
              </w:rPr>
              <w:t>。</w:t>
            </w:r>
          </w:p>
          <w:p w14:paraId="0C5CA689">
            <w:pPr>
              <w:keepNext w:val="0"/>
              <w:keepLines w:val="0"/>
              <w:suppressLineNumbers w:val="0"/>
              <w:spacing w:before="0" w:beforeAutospacing="0" w:after="0" w:afterAutospacing="0"/>
              <w:ind w:left="0" w:right="0"/>
            </w:pPr>
            <w:r>
              <w:t>订单管理模块：接收来自客户的订单，根据客户定制化要求，调度订单次序，允许插单。</w:t>
            </w:r>
          </w:p>
          <w:p w14:paraId="00FD38F8">
            <w:pPr>
              <w:keepNext w:val="0"/>
              <w:keepLines w:val="0"/>
              <w:suppressLineNumbers w:val="0"/>
              <w:spacing w:before="0" w:beforeAutospacing="0" w:after="0" w:afterAutospacing="0"/>
              <w:ind w:left="0" w:right="0"/>
            </w:pPr>
            <w:r>
              <w:t>生产进度查询：客户可查询当前订单的完成状态。</w:t>
            </w:r>
          </w:p>
          <w:p w14:paraId="2A8D0FC4">
            <w:pPr>
              <w:keepNext w:val="0"/>
              <w:keepLines w:val="0"/>
              <w:suppressLineNumbers w:val="0"/>
              <w:spacing w:before="0" w:beforeAutospacing="0" w:after="0" w:afterAutospacing="0"/>
              <w:ind w:left="0" w:right="0"/>
            </w:pPr>
            <w:r>
              <w:t>设备管理模块：可进行设备类型、维护等方面信息的管理。</w:t>
            </w:r>
          </w:p>
          <w:p w14:paraId="6595B7CA">
            <w:pPr>
              <w:keepNext w:val="0"/>
              <w:keepLines w:val="0"/>
              <w:suppressLineNumbers w:val="0"/>
              <w:spacing w:before="0" w:beforeAutospacing="0" w:after="0" w:afterAutospacing="0"/>
              <w:ind w:left="0" w:right="0"/>
            </w:pPr>
            <w:r>
              <w:t>仓储管理模块：接收来自下层反馈的仓库信息，进行仓储类型、仓位状态等管理。</w:t>
            </w:r>
          </w:p>
          <w:p w14:paraId="7A45C2CA">
            <w:pPr>
              <w:keepNext w:val="0"/>
              <w:keepLines w:val="0"/>
              <w:suppressLineNumbers w:val="0"/>
              <w:spacing w:before="0" w:beforeAutospacing="0" w:after="0" w:afterAutospacing="0"/>
              <w:ind w:left="0" w:right="0"/>
            </w:pPr>
            <w:r>
              <w:rPr>
                <w:rFonts w:hint="eastAsia"/>
              </w:rPr>
              <w:t>（投标文件中附不少于7张满足本项功能要求的界面截图）</w:t>
            </w:r>
          </w:p>
          <w:p w14:paraId="47E6DEA8">
            <w:pPr>
              <w:keepNext w:val="0"/>
              <w:keepLines w:val="0"/>
              <w:suppressLineNumbers w:val="0"/>
              <w:spacing w:before="0" w:beforeAutospacing="0" w:after="0" w:afterAutospacing="0"/>
              <w:ind w:left="0" w:right="0"/>
              <w:rPr>
                <w:b/>
                <w:bCs/>
              </w:rPr>
            </w:pPr>
            <w:r>
              <w:rPr>
                <w:rFonts w:hint="eastAsia"/>
                <w:b/>
                <w:bCs/>
              </w:rPr>
              <w:t>2.14工业数据采集系统</w:t>
            </w:r>
            <w:r>
              <w:rPr>
                <w:rFonts w:hint="eastAsia"/>
              </w:rPr>
              <w:t>（本项功能需求需提供视频演示）</w:t>
            </w:r>
          </w:p>
          <w:p w14:paraId="143FAF30">
            <w:pPr>
              <w:keepNext w:val="0"/>
              <w:keepLines w:val="0"/>
              <w:suppressLineNumbers w:val="0"/>
              <w:spacing w:before="0" w:beforeAutospacing="0" w:after="0" w:afterAutospacing="0"/>
              <w:ind w:left="0" w:right="0"/>
            </w:pPr>
            <w:bookmarkStart w:id="187" w:name="OLE_LINK28"/>
            <w:r>
              <w:rPr>
                <w:rFonts w:hint="eastAsia"/>
              </w:rPr>
              <w:t>工业数据采集系统可以完成生产可视化、设备状态可视化、设备管理可视化等功能。</w:t>
            </w:r>
            <w:bookmarkEnd w:id="187"/>
            <w:r>
              <w:rPr>
                <w:rFonts w:hint="eastAsia"/>
              </w:rPr>
              <w:t>基本功能如下：（下述功能属于基本功能，包含但不限于以下功能）</w:t>
            </w:r>
          </w:p>
          <w:p w14:paraId="03F86886">
            <w:pPr>
              <w:keepNext w:val="0"/>
              <w:keepLines w:val="0"/>
              <w:suppressLineNumbers w:val="0"/>
              <w:spacing w:before="0" w:beforeAutospacing="0" w:after="0" w:afterAutospacing="0"/>
              <w:ind w:left="0" w:right="0"/>
            </w:pPr>
            <w:r>
              <w:rPr>
                <w:rFonts w:hint="eastAsia"/>
              </w:rPr>
              <w:t>1）设备接入与管理：</w:t>
            </w:r>
          </w:p>
          <w:p w14:paraId="1F4E06E8">
            <w:pPr>
              <w:keepNext w:val="0"/>
              <w:keepLines w:val="0"/>
              <w:suppressLineNumbers w:val="0"/>
              <w:spacing w:before="0" w:beforeAutospacing="0" w:after="0" w:afterAutospacing="0"/>
              <w:ind w:left="0" w:right="0"/>
            </w:pPr>
            <w:r>
              <w:rPr>
                <w:rFonts w:hint="eastAsia"/>
              </w:rPr>
              <w:t>设备接入、数据采集、电力协议采集、电力协议转发、设备管理、网关管理、消息通信、数据处理和转发、数据分析、告警监控、边云协同等。</w:t>
            </w:r>
          </w:p>
          <w:p w14:paraId="5EF90CCF">
            <w:pPr>
              <w:keepNext w:val="0"/>
              <w:keepLines w:val="0"/>
              <w:suppressLineNumbers w:val="0"/>
              <w:spacing w:before="0" w:beforeAutospacing="0" w:after="0" w:afterAutospacing="0"/>
              <w:ind w:left="0" w:right="0"/>
            </w:pPr>
            <w:r>
              <w:rPr>
                <w:rFonts w:hint="eastAsia"/>
              </w:rPr>
              <w:t>2）低代码数据报表模块：</w:t>
            </w:r>
          </w:p>
          <w:p w14:paraId="56D867B1">
            <w:pPr>
              <w:keepNext w:val="0"/>
              <w:keepLines w:val="0"/>
              <w:suppressLineNumbers w:val="0"/>
              <w:spacing w:before="0" w:beforeAutospacing="0" w:after="0" w:afterAutospacing="0"/>
              <w:ind w:left="0" w:right="0"/>
            </w:pPr>
            <w:r>
              <w:rPr>
                <w:rFonts w:hint="eastAsia"/>
              </w:rPr>
              <w:t>图表库、数据源、可视化应用构建框架、变量控制、多语言支持、视频接入等。</w:t>
            </w:r>
          </w:p>
          <w:p w14:paraId="6C7BFF22">
            <w:pPr>
              <w:keepNext w:val="0"/>
              <w:keepLines w:val="0"/>
              <w:suppressLineNumbers w:val="0"/>
              <w:spacing w:before="0" w:beforeAutospacing="0" w:after="0" w:afterAutospacing="0"/>
              <w:ind w:left="0" w:right="0"/>
            </w:pPr>
            <w:r>
              <w:rPr>
                <w:rFonts w:hint="eastAsia"/>
              </w:rPr>
              <w:t>3）多渠道告警通知模块：</w:t>
            </w:r>
          </w:p>
          <w:p w14:paraId="242F0026">
            <w:pPr>
              <w:keepNext w:val="0"/>
              <w:keepLines w:val="0"/>
              <w:suppressLineNumbers w:val="0"/>
              <w:spacing w:before="0" w:beforeAutospacing="0" w:after="0" w:afterAutospacing="0"/>
              <w:ind w:left="0" w:right="0"/>
            </w:pPr>
            <w:r>
              <w:rPr>
                <w:rFonts w:hint="eastAsia"/>
              </w:rPr>
              <w:t>通知渠道、消息模板、通知等级、系统间通知、多租户管理、消息记录等。</w:t>
            </w:r>
          </w:p>
          <w:p w14:paraId="0B2AB364">
            <w:pPr>
              <w:keepNext w:val="0"/>
              <w:keepLines w:val="0"/>
              <w:suppressLineNumbers w:val="0"/>
              <w:spacing w:before="0" w:beforeAutospacing="0" w:after="0" w:afterAutospacing="0"/>
              <w:ind w:left="0" w:right="0"/>
            </w:pPr>
            <w:r>
              <w:rPr>
                <w:rFonts w:hint="eastAsia"/>
              </w:rPr>
              <w:t>4）边缘数据处理：</w:t>
            </w:r>
          </w:p>
          <w:p w14:paraId="5B02177A">
            <w:pPr>
              <w:keepNext w:val="0"/>
              <w:keepLines w:val="0"/>
              <w:suppressLineNumbers w:val="0"/>
              <w:spacing w:before="0" w:beforeAutospacing="0" w:after="0" w:afterAutospacing="0"/>
              <w:ind w:left="0" w:right="0"/>
            </w:pPr>
            <w:r>
              <w:rPr>
                <w:rFonts w:hint="eastAsia"/>
              </w:rPr>
              <w:t>支持在边缘端对数据进行清洗过滤，有效数据上云；支持多种转发目标。</w:t>
            </w:r>
          </w:p>
          <w:p w14:paraId="42F0C3E5">
            <w:pPr>
              <w:keepNext w:val="0"/>
              <w:keepLines w:val="0"/>
              <w:suppressLineNumbers w:val="0"/>
              <w:spacing w:before="0" w:beforeAutospacing="0" w:after="0" w:afterAutospacing="0"/>
              <w:ind w:left="0" w:right="0"/>
            </w:pPr>
            <w:r>
              <w:rPr>
                <w:rFonts w:hint="eastAsia"/>
              </w:rPr>
              <w:t>2.15空压机</w:t>
            </w:r>
          </w:p>
          <w:p w14:paraId="64A9F6DC">
            <w:pPr>
              <w:keepNext w:val="0"/>
              <w:keepLines w:val="0"/>
              <w:suppressLineNumbers w:val="0"/>
              <w:spacing w:before="0" w:beforeAutospacing="0" w:after="0" w:afterAutospacing="0"/>
              <w:ind w:left="0" w:right="0"/>
            </w:pPr>
            <w:r>
              <w:rPr>
                <w:rFonts w:hint="eastAsia"/>
              </w:rPr>
              <w:t>2.16六工位实训台</w:t>
            </w:r>
          </w:p>
          <w:p w14:paraId="302975A0">
            <w:pPr>
              <w:keepNext w:val="0"/>
              <w:keepLines w:val="0"/>
              <w:suppressLineNumbers w:val="0"/>
              <w:spacing w:before="0" w:beforeAutospacing="0" w:after="0" w:afterAutospacing="0"/>
              <w:ind w:left="0" w:right="0"/>
            </w:pPr>
            <w:r>
              <w:rPr>
                <w:rFonts w:hint="eastAsia"/>
              </w:rPr>
              <w:t>2.17安全防护</w:t>
            </w:r>
          </w:p>
          <w:p w14:paraId="12F02DCA">
            <w:pPr>
              <w:keepNext w:val="0"/>
              <w:keepLines w:val="0"/>
              <w:suppressLineNumbers w:val="0"/>
              <w:spacing w:before="0" w:beforeAutospacing="0" w:after="0" w:afterAutospacing="0"/>
              <w:ind w:left="0" w:right="0"/>
            </w:pPr>
            <w:r>
              <w:rPr>
                <w:rFonts w:hint="eastAsia"/>
              </w:rPr>
              <w:t>安全防护主要由安全光栅等组成。</w:t>
            </w:r>
          </w:p>
          <w:p w14:paraId="031C5300">
            <w:pPr>
              <w:keepNext w:val="0"/>
              <w:keepLines w:val="0"/>
              <w:suppressLineNumbers w:val="0"/>
              <w:spacing w:before="0" w:beforeAutospacing="0" w:after="0" w:afterAutospacing="0"/>
              <w:ind w:left="0" w:right="0"/>
            </w:pPr>
            <w:bookmarkStart w:id="188" w:name="OLE_LINK37"/>
            <w:bookmarkStart w:id="189" w:name="OLE_LINK10"/>
            <w:r>
              <w:rPr>
                <w:rFonts w:hint="eastAsia"/>
              </w:rPr>
              <w:t>2.18机器人离线编程工作站</w:t>
            </w:r>
          </w:p>
          <w:bookmarkEnd w:id="188"/>
          <w:p w14:paraId="5A97A4BF">
            <w:pPr>
              <w:keepNext w:val="0"/>
              <w:keepLines w:val="0"/>
              <w:suppressLineNumbers w:val="0"/>
              <w:spacing w:before="0" w:beforeAutospacing="0" w:after="0" w:afterAutospacing="0"/>
              <w:ind w:left="0" w:right="0"/>
            </w:pPr>
            <w:r>
              <w:rPr>
                <w:rFonts w:hint="eastAsia"/>
                <w:bCs/>
              </w:rPr>
              <w:t>（1）要求满足工业机器人编程仿真运行环境，保证工业机器人与PLC、触摸屏等设备进行通讯。主体</w:t>
            </w:r>
            <w:r>
              <w:rPr>
                <w:rFonts w:hint="eastAsia"/>
              </w:rPr>
              <w:t>采用钢结构表面喷塑，并有保护板,万向脚轮及刹车功能，抽拉式键盘托板，可拆卸式穿线孔，尺寸不小于560</w:t>
            </w:r>
            <w:r>
              <w:t>mm</w:t>
            </w:r>
            <w:r>
              <w:rPr>
                <w:rFonts w:hint="eastAsia"/>
              </w:rPr>
              <w:t>*500</w:t>
            </w:r>
            <w:r>
              <w:t>mm</w:t>
            </w:r>
            <w:r>
              <w:rPr>
                <w:rFonts w:hint="eastAsia"/>
              </w:rPr>
              <w:t>*750</w:t>
            </w:r>
            <w:r>
              <w:t>mm</w:t>
            </w:r>
            <w:r>
              <w:rPr>
                <w:rFonts w:hint="eastAsia"/>
              </w:rPr>
              <w:t>（L*W*H）。</w:t>
            </w:r>
            <w:bookmarkEnd w:id="189"/>
            <w:bookmarkStart w:id="190" w:name="OLE_LINK11"/>
            <w:r>
              <w:rPr>
                <w:rFonts w:hint="eastAsia"/>
              </w:rPr>
              <w:t>CPU:64位处理器，主频≥2.1GHz，≥25 M 高速缓存，不少于12核心和20线程;内存≥16G，显卡：独立显卡，显存≥8GB；硬盘：≥1T机械硬盘+≥250G固态硬盘，显示看板：≥21.5英寸，与工业机器人设备配套使用。</w:t>
            </w:r>
          </w:p>
          <w:bookmarkEnd w:id="190"/>
          <w:p w14:paraId="242EF889">
            <w:pPr>
              <w:keepNext w:val="0"/>
              <w:keepLines w:val="0"/>
              <w:suppressLineNumbers w:val="0"/>
              <w:spacing w:before="0" w:beforeAutospacing="0" w:after="0" w:afterAutospacing="0"/>
              <w:ind w:left="0" w:right="0"/>
            </w:pPr>
            <w:r>
              <w:rPr>
                <w:rFonts w:hint="eastAsia"/>
              </w:rPr>
              <w:t>（2）机器人编程软件应与所投工业机器人完全兼容，并具备以下功能：（下述功能属于基本功能，软件功能包含但不仅限于以下功能）</w:t>
            </w:r>
          </w:p>
          <w:p w14:paraId="6DF39F24">
            <w:pPr>
              <w:keepNext w:val="0"/>
              <w:keepLines w:val="0"/>
              <w:suppressLineNumbers w:val="0"/>
              <w:spacing w:before="0" w:beforeAutospacing="0" w:after="0" w:afterAutospacing="0"/>
              <w:ind w:left="0" w:right="0"/>
            </w:pPr>
            <w:r>
              <w:rPr>
                <w:rFonts w:hint="eastAsia"/>
              </w:rPr>
              <w:t>1）建模导入：能导主流 CAD 模型（如 STEP、UG），搭建和真实一致的 3D 虚拟场景。</w:t>
            </w:r>
          </w:p>
          <w:p w14:paraId="7AF5AC06">
            <w:pPr>
              <w:keepNext w:val="0"/>
              <w:keepLines w:val="0"/>
              <w:suppressLineNumbers w:val="0"/>
              <w:spacing w:before="0" w:beforeAutospacing="0" w:after="0" w:afterAutospacing="0"/>
              <w:ind w:left="0" w:right="0"/>
            </w:pPr>
            <w:r>
              <w:rPr>
                <w:rFonts w:hint="eastAsia"/>
              </w:rPr>
              <w:t>2）编程规划：自动生成运动轨迹，模型移动时轨迹可同步更新；能查奇异点优化路径。</w:t>
            </w:r>
          </w:p>
          <w:p w14:paraId="1C4C6219">
            <w:pPr>
              <w:keepNext w:val="0"/>
              <w:keepLines w:val="0"/>
              <w:suppressLineNumbers w:val="0"/>
              <w:spacing w:before="0" w:beforeAutospacing="0" w:after="0" w:afterAutospacing="0"/>
              <w:ind w:left="0" w:right="0"/>
            </w:pPr>
            <w:r>
              <w:rPr>
                <w:rFonts w:hint="eastAsia"/>
              </w:rPr>
              <w:t>3）仿真验证：实时检测机器人与工装、工件的碰撞，避免实际损坏；可模拟点焊、喷涂等多工艺。</w:t>
            </w:r>
          </w:p>
          <w:p w14:paraId="0890AA33">
            <w:pPr>
              <w:keepNext w:val="0"/>
              <w:keepLines w:val="0"/>
              <w:suppressLineNumbers w:val="0"/>
              <w:spacing w:before="0" w:beforeAutospacing="0" w:after="0" w:afterAutospacing="0"/>
              <w:ind w:left="0" w:right="0"/>
            </w:pPr>
            <w:r>
              <w:rPr>
                <w:rFonts w:hint="eastAsia"/>
              </w:rPr>
              <w:t xml:space="preserve">4）衔接实操：仿真程序，能直接下载到真实机器人。 </w:t>
            </w:r>
          </w:p>
          <w:p w14:paraId="465FED9E">
            <w:pPr>
              <w:keepNext w:val="0"/>
              <w:keepLines w:val="0"/>
              <w:suppressLineNumbers w:val="0"/>
              <w:spacing w:before="0" w:beforeAutospacing="0" w:after="0" w:afterAutospacing="0"/>
              <w:ind w:left="0" w:right="0"/>
            </w:pPr>
            <w:r>
              <w:rPr>
                <w:rFonts w:hint="eastAsia"/>
              </w:rPr>
              <w:t>5）辅助功能：含虚拟示教台方便教学，部分可将仿真动画分享到网页或手机。</w:t>
            </w:r>
          </w:p>
          <w:p w14:paraId="2194E3EB">
            <w:pPr>
              <w:keepNext w:val="0"/>
              <w:keepLines w:val="0"/>
              <w:suppressLineNumbers w:val="0"/>
              <w:spacing w:before="0" w:beforeAutospacing="0" w:after="0" w:afterAutospacing="0"/>
              <w:ind w:left="0" w:right="0"/>
            </w:pPr>
            <w:r>
              <w:rPr>
                <w:rFonts w:hint="eastAsia"/>
              </w:rPr>
              <w:t>2.19拆装用组合工具或者工具包（2套）</w:t>
            </w:r>
          </w:p>
          <w:p w14:paraId="5A54BE53">
            <w:pPr>
              <w:keepNext w:val="0"/>
              <w:keepLines w:val="0"/>
              <w:suppressLineNumbers w:val="0"/>
              <w:spacing w:before="0" w:beforeAutospacing="0" w:after="0" w:afterAutospacing="0"/>
              <w:ind w:left="0" w:right="0"/>
            </w:pPr>
            <w:r>
              <w:rPr>
                <w:rFonts w:hint="eastAsia"/>
              </w:rPr>
              <w:t>至少包括</w:t>
            </w:r>
            <w:r>
              <w:t>工具箱</w:t>
            </w:r>
            <w:r>
              <w:rPr>
                <w:rFonts w:hint="eastAsia"/>
              </w:rPr>
              <w:t>、</w:t>
            </w:r>
            <w:r>
              <w:t>万用表</w:t>
            </w:r>
            <w:r>
              <w:rPr>
                <w:rFonts w:hint="eastAsia"/>
              </w:rPr>
              <w:t>、</w:t>
            </w:r>
            <w:r>
              <w:t>内六方扳手</w:t>
            </w:r>
            <w:r>
              <w:rPr>
                <w:rFonts w:hint="eastAsia"/>
              </w:rPr>
              <w:t>、</w:t>
            </w:r>
            <w:r>
              <w:t>一字螺丝刀</w:t>
            </w:r>
            <w:r>
              <w:rPr>
                <w:rFonts w:hint="eastAsia"/>
              </w:rPr>
              <w:t>、</w:t>
            </w:r>
            <w:r>
              <w:t>十字螺丝刀</w:t>
            </w:r>
            <w:r>
              <w:rPr>
                <w:rFonts w:hint="eastAsia"/>
              </w:rPr>
              <w:t>、</w:t>
            </w:r>
            <w:r>
              <w:t>微型螺丝刀套装</w:t>
            </w:r>
            <w:r>
              <w:rPr>
                <w:rFonts w:hint="eastAsia"/>
              </w:rPr>
              <w:t>、</w:t>
            </w:r>
            <w:r>
              <w:t>卷尺</w:t>
            </w:r>
            <w:r>
              <w:rPr>
                <w:rFonts w:hint="eastAsia"/>
              </w:rPr>
              <w:t>、</w:t>
            </w:r>
            <w:r>
              <w:t>水口钳</w:t>
            </w:r>
            <w:r>
              <w:rPr>
                <w:rFonts w:hint="eastAsia"/>
              </w:rPr>
              <w:t>、</w:t>
            </w:r>
            <w:r>
              <w:t>尖嘴钳</w:t>
            </w:r>
            <w:r>
              <w:rPr>
                <w:rFonts w:hint="eastAsia"/>
              </w:rPr>
              <w:t>、</w:t>
            </w:r>
            <w:r>
              <w:t>斜口钳</w:t>
            </w:r>
            <w:r>
              <w:rPr>
                <w:rFonts w:hint="eastAsia"/>
              </w:rPr>
              <w:t>、</w:t>
            </w:r>
            <w:r>
              <w:t>带刃口剥线钳</w:t>
            </w:r>
            <w:r>
              <w:rPr>
                <w:rFonts w:hint="eastAsia"/>
              </w:rPr>
              <w:t>、</w:t>
            </w:r>
            <w:r>
              <w:t>自调式欧式端子压接钳</w:t>
            </w:r>
            <w:r>
              <w:rPr>
                <w:rFonts w:hint="eastAsia"/>
              </w:rPr>
              <w:t>、</w:t>
            </w:r>
            <w:r>
              <w:t>绝缘端子压著钳</w:t>
            </w:r>
            <w:r>
              <w:rPr>
                <w:rFonts w:hint="eastAsia"/>
              </w:rPr>
              <w:t>等。</w:t>
            </w:r>
          </w:p>
          <w:p w14:paraId="5CE351DA">
            <w:pPr>
              <w:keepNext w:val="0"/>
              <w:keepLines w:val="0"/>
              <w:suppressLineNumbers w:val="0"/>
              <w:spacing w:before="0" w:beforeAutospacing="0" w:after="0" w:afterAutospacing="0"/>
              <w:ind w:left="0" w:right="0"/>
            </w:pPr>
          </w:p>
          <w:p w14:paraId="0681DA33">
            <w:pPr>
              <w:keepNext w:val="0"/>
              <w:keepLines w:val="0"/>
              <w:suppressLineNumbers w:val="0"/>
              <w:spacing w:before="0" w:beforeAutospacing="0" w:after="0" w:afterAutospacing="0"/>
              <w:ind w:left="0" w:right="0"/>
            </w:pPr>
            <w:r>
              <w:rPr>
                <w:rFonts w:hint="eastAsia"/>
              </w:rPr>
              <w:t>三、场景处理、音箱教学系统主要配件（此项为实训室配套设备总计提供1套）：</w:t>
            </w:r>
          </w:p>
          <w:p w14:paraId="56A246BC">
            <w:pPr>
              <w:keepNext w:val="0"/>
              <w:keepLines w:val="0"/>
              <w:suppressLineNumbers w:val="0"/>
              <w:spacing w:before="0" w:beforeAutospacing="0" w:after="0" w:afterAutospacing="0"/>
              <w:ind w:left="0" w:right="0"/>
            </w:pPr>
            <w:r>
              <w:rPr>
                <w:rFonts w:hint="eastAsia"/>
              </w:rPr>
              <w:t>3</w:t>
            </w:r>
            <w:r>
              <w:t>.1交换机机柜，优质冷轧钢板制作，1台；</w:t>
            </w:r>
          </w:p>
          <w:p w14:paraId="572BF248">
            <w:pPr>
              <w:keepNext w:val="0"/>
              <w:keepLines w:val="0"/>
              <w:suppressLineNumbers w:val="0"/>
              <w:spacing w:before="0" w:beforeAutospacing="0" w:after="0" w:afterAutospacing="0"/>
              <w:ind w:left="0" w:right="0"/>
            </w:pPr>
            <w:r>
              <w:rPr>
                <w:rFonts w:hint="eastAsia"/>
              </w:rPr>
              <w:t>3</w:t>
            </w:r>
            <w:r>
              <w:t>.2交换机，48个千兆网口，4个万兆网口，1台；</w:t>
            </w:r>
          </w:p>
          <w:p w14:paraId="59AAC3FE">
            <w:pPr>
              <w:keepNext w:val="0"/>
              <w:keepLines w:val="0"/>
              <w:suppressLineNumbers w:val="0"/>
              <w:spacing w:before="0" w:beforeAutospacing="0" w:after="0" w:afterAutospacing="0"/>
              <w:ind w:left="0" w:right="0"/>
            </w:pPr>
            <w:r>
              <w:rPr>
                <w:rFonts w:hint="eastAsia"/>
              </w:rPr>
              <w:t>3</w:t>
            </w:r>
            <w:r>
              <w:t>.3多媒体音响系统，音响套装，1套；</w:t>
            </w:r>
          </w:p>
          <w:p w14:paraId="25C712AD">
            <w:pPr>
              <w:keepNext w:val="0"/>
              <w:keepLines w:val="0"/>
              <w:suppressLineNumbers w:val="0"/>
              <w:spacing w:before="0" w:beforeAutospacing="0" w:after="0" w:afterAutospacing="0"/>
              <w:ind w:left="0" w:right="0"/>
            </w:pPr>
            <w:r>
              <w:rPr>
                <w:rFonts w:hint="eastAsia"/>
              </w:rPr>
              <w:t>3</w:t>
            </w:r>
            <w:r>
              <w:t>.4中标人需要完成与系统配套的地面走线槽、强弱电走线搭建、气路连接、网路敷设及搭建，恒温恒湿的处理，实训室音响和投影环境的改造，并完成整体调试。</w:t>
            </w:r>
          </w:p>
          <w:p w14:paraId="6C717B94">
            <w:pPr>
              <w:keepNext w:val="0"/>
              <w:keepLines w:val="0"/>
              <w:suppressLineNumbers w:val="0"/>
              <w:spacing w:before="0" w:beforeAutospacing="0" w:after="0" w:afterAutospacing="0"/>
              <w:ind w:left="0" w:right="0"/>
            </w:pPr>
          </w:p>
        </w:tc>
        <w:tc>
          <w:tcPr>
            <w:tcW w:w="602" w:type="dxa"/>
            <w:vAlign w:val="center"/>
          </w:tcPr>
          <w:p w14:paraId="719DD932">
            <w:pPr>
              <w:keepNext w:val="0"/>
              <w:keepLines w:val="0"/>
              <w:suppressLineNumbers w:val="0"/>
              <w:spacing w:before="0" w:beforeAutospacing="0" w:after="0" w:afterAutospacing="0"/>
              <w:ind w:left="0" w:right="0"/>
              <w:jc w:val="center"/>
            </w:pPr>
            <w:r>
              <w:rPr>
                <w:rFonts w:hint="eastAsia"/>
              </w:rPr>
              <w:t>套</w:t>
            </w:r>
          </w:p>
        </w:tc>
        <w:tc>
          <w:tcPr>
            <w:tcW w:w="753" w:type="dxa"/>
            <w:vAlign w:val="center"/>
          </w:tcPr>
          <w:p w14:paraId="5DA375FE">
            <w:pPr>
              <w:keepNext w:val="0"/>
              <w:keepLines w:val="0"/>
              <w:suppressLineNumbers w:val="0"/>
              <w:spacing w:before="0" w:beforeAutospacing="0" w:after="0" w:afterAutospacing="0"/>
              <w:ind w:left="0" w:right="0"/>
              <w:jc w:val="center"/>
            </w:pPr>
            <w:r>
              <w:rPr>
                <w:rFonts w:hint="eastAsia"/>
              </w:rPr>
              <w:t>8</w:t>
            </w:r>
          </w:p>
        </w:tc>
      </w:tr>
      <w:bookmarkEnd w:id="166"/>
      <w:tr w14:paraId="4E530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trPr>
        <w:tc>
          <w:tcPr>
            <w:tcW w:w="567" w:type="dxa"/>
            <w:vAlign w:val="center"/>
          </w:tcPr>
          <w:p w14:paraId="4361E60C">
            <w:pPr>
              <w:keepNext w:val="0"/>
              <w:keepLines w:val="0"/>
              <w:suppressLineNumbers w:val="0"/>
              <w:spacing w:before="0" w:beforeAutospacing="0" w:after="0" w:afterAutospacing="0"/>
              <w:ind w:left="0" w:right="0"/>
            </w:pPr>
            <w:r>
              <w:t>2</w:t>
            </w:r>
          </w:p>
        </w:tc>
        <w:tc>
          <w:tcPr>
            <w:tcW w:w="752" w:type="dxa"/>
            <w:vAlign w:val="center"/>
          </w:tcPr>
          <w:p w14:paraId="32C9C02E">
            <w:pPr>
              <w:keepNext w:val="0"/>
              <w:keepLines w:val="0"/>
              <w:suppressLineNumbers w:val="0"/>
              <w:spacing w:before="0" w:beforeAutospacing="0" w:after="0" w:afterAutospacing="0"/>
              <w:ind w:left="0" w:right="0"/>
              <w:rPr>
                <w:rFonts w:hAnsi="Times New Roman" w:eastAsia="仿宋_GB2312"/>
                <w:b/>
                <w:bCs/>
              </w:rPr>
            </w:pPr>
            <w:r>
              <w:rPr>
                <w:rFonts w:hint="eastAsia"/>
              </w:rPr>
              <w:t>数字孪生仿真平台</w:t>
            </w:r>
          </w:p>
        </w:tc>
        <w:tc>
          <w:tcPr>
            <w:tcW w:w="6625" w:type="dxa"/>
            <w:vAlign w:val="center"/>
          </w:tcPr>
          <w:p w14:paraId="61A52757">
            <w:pPr>
              <w:keepNext w:val="0"/>
              <w:keepLines w:val="0"/>
              <w:suppressLineNumbers w:val="0"/>
              <w:spacing w:before="0" w:beforeAutospacing="0" w:after="0" w:afterAutospacing="0"/>
              <w:ind w:left="0" w:right="0"/>
              <w:rPr>
                <w:kern w:val="0"/>
                <w:szCs w:val="21"/>
              </w:rPr>
            </w:pPr>
            <w:r>
              <w:rPr>
                <w:rFonts w:hint="eastAsia"/>
              </w:rPr>
              <w:t>一、平台总体要求</w:t>
            </w:r>
          </w:p>
          <w:p w14:paraId="17E31BC9">
            <w:pPr>
              <w:keepNext w:val="0"/>
              <w:keepLines w:val="0"/>
              <w:suppressLineNumbers w:val="0"/>
              <w:spacing w:before="0" w:beforeAutospacing="0" w:after="0" w:afterAutospacing="0"/>
              <w:ind w:left="0" w:right="0"/>
            </w:pPr>
            <w:r>
              <w:rPr>
                <w:rFonts w:hint="eastAsia"/>
              </w:rPr>
              <w:t>数字孪生仿真平台是基于专业绘图软件对设备平台硬件进行精准数字化建模，还原设备的结构细节、尺寸参数和运动关系，为虚拟实训场景搭建提供真实的模型基础。构建虚拟实训环境，实现虚实联调的数字孪生功能，降低实训成本和风险，提升实训效率，助力构建智能化、数字化的实训教学体系。</w:t>
            </w:r>
          </w:p>
          <w:p w14:paraId="7EADA610">
            <w:pPr>
              <w:keepNext w:val="0"/>
              <w:keepLines w:val="0"/>
              <w:suppressLineNumbers w:val="0"/>
              <w:spacing w:before="0" w:beforeAutospacing="0" w:after="0" w:afterAutospacing="0"/>
              <w:ind w:left="0" w:right="0"/>
            </w:pPr>
            <w:r>
              <w:rPr>
                <w:rFonts w:hint="eastAsia"/>
              </w:rPr>
              <w:t>二、配置</w:t>
            </w:r>
          </w:p>
          <w:p w14:paraId="66C8AEEB">
            <w:pPr>
              <w:keepNext w:val="0"/>
              <w:keepLines w:val="0"/>
              <w:suppressLineNumbers w:val="0"/>
              <w:spacing w:before="0" w:beforeAutospacing="0" w:after="0" w:afterAutospacing="0"/>
              <w:ind w:left="0" w:right="0"/>
            </w:pPr>
            <w:r>
              <w:rPr>
                <w:rFonts w:hint="eastAsia"/>
              </w:rPr>
              <w:t>产品外形尺寸不小于800mm×700mm×1300mm (L×W×H)</w:t>
            </w:r>
          </w:p>
          <w:p w14:paraId="3BEB57FF">
            <w:pPr>
              <w:keepNext w:val="0"/>
              <w:keepLines w:val="0"/>
              <w:suppressLineNumbers w:val="0"/>
              <w:spacing w:before="0" w:beforeAutospacing="0" w:after="0" w:afterAutospacing="0"/>
              <w:ind w:left="0" w:right="0"/>
            </w:pPr>
            <w:r>
              <w:rPr>
                <w:rFonts w:hint="eastAsia"/>
              </w:rPr>
              <w:t>输入电源：AC220V±10%，50Hz。</w:t>
            </w:r>
          </w:p>
          <w:p w14:paraId="4E9B9752">
            <w:pPr>
              <w:keepNext w:val="0"/>
              <w:keepLines w:val="0"/>
              <w:suppressLineNumbers w:val="0"/>
              <w:spacing w:before="0" w:beforeAutospacing="0" w:after="0" w:afterAutospacing="0"/>
              <w:ind w:left="0" w:right="0"/>
            </w:pPr>
            <w:r>
              <w:rPr>
                <w:rFonts w:hint="eastAsia"/>
              </w:rPr>
              <w:t>输出电源：直流稳压电源：24V，3A</w:t>
            </w:r>
          </w:p>
          <w:p w14:paraId="4208FBC8">
            <w:pPr>
              <w:keepNext w:val="0"/>
              <w:keepLines w:val="0"/>
              <w:suppressLineNumbers w:val="0"/>
              <w:spacing w:before="0" w:beforeAutospacing="0" w:after="0" w:afterAutospacing="0"/>
              <w:ind w:left="0" w:right="0"/>
            </w:pPr>
            <w:bookmarkStart w:id="191" w:name="OLE_LINK14"/>
            <w:r>
              <w:rPr>
                <w:rFonts w:hint="eastAsia"/>
              </w:rPr>
              <w:t>1.硬件系统：</w:t>
            </w:r>
          </w:p>
          <w:p w14:paraId="6DAFFD12">
            <w:pPr>
              <w:keepNext w:val="0"/>
              <w:keepLines w:val="0"/>
              <w:suppressLineNumbers w:val="0"/>
              <w:spacing w:before="0" w:beforeAutospacing="0" w:after="0" w:afterAutospacing="0"/>
              <w:ind w:left="0" w:right="0"/>
            </w:pPr>
            <w:r>
              <w:rPr>
                <w:rFonts w:hint="eastAsia"/>
              </w:rPr>
              <w:t>硬件系统至少包含操作台、显示模块、电控及通讯系统、仿真工作站等。</w:t>
            </w:r>
            <w:bookmarkEnd w:id="191"/>
          </w:p>
          <w:p w14:paraId="138C9E71">
            <w:pPr>
              <w:keepNext w:val="0"/>
              <w:keepLines w:val="0"/>
              <w:suppressLineNumbers w:val="0"/>
              <w:spacing w:before="0" w:beforeAutospacing="0" w:after="0" w:afterAutospacing="0"/>
              <w:ind w:left="0" w:right="0"/>
            </w:pPr>
            <w:r>
              <w:rPr>
                <w:rFonts w:hint="eastAsia"/>
              </w:rPr>
              <w:t>1.1操作台</w:t>
            </w:r>
          </w:p>
          <w:p w14:paraId="14A7151E">
            <w:pPr>
              <w:keepNext w:val="0"/>
              <w:keepLines w:val="0"/>
              <w:suppressLineNumbers w:val="0"/>
              <w:spacing w:before="0" w:beforeAutospacing="0" w:after="0" w:afterAutospacing="0"/>
              <w:ind w:left="0" w:right="0"/>
            </w:pPr>
            <w:r>
              <w:rPr>
                <w:rFonts w:hint="eastAsia"/>
              </w:rPr>
              <w:t>台体尺寸不小于800mm×700mm×1000mm，框架：钣金喷塑/喷漆；台体底面需安装有脚轮，便于操作台移动，方便教学。</w:t>
            </w:r>
          </w:p>
          <w:p w14:paraId="68E1DEFC">
            <w:pPr>
              <w:keepNext w:val="0"/>
              <w:keepLines w:val="0"/>
              <w:suppressLineNumbers w:val="0"/>
              <w:spacing w:before="0" w:beforeAutospacing="0" w:after="0" w:afterAutospacing="0"/>
              <w:ind w:left="0" w:right="0"/>
            </w:pPr>
            <w:r>
              <w:rPr>
                <w:rFonts w:hint="eastAsia"/>
              </w:rPr>
              <w:t>1.2显示模块</w:t>
            </w:r>
          </w:p>
          <w:p w14:paraId="3C346780">
            <w:pPr>
              <w:keepNext w:val="0"/>
              <w:keepLines w:val="0"/>
              <w:suppressLineNumbers w:val="0"/>
              <w:spacing w:before="0" w:beforeAutospacing="0" w:after="0" w:afterAutospacing="0"/>
              <w:ind w:left="0" w:right="0"/>
            </w:pPr>
            <w:r>
              <w:rPr>
                <w:rFonts w:hint="eastAsia"/>
              </w:rPr>
              <w:t>显示模块尺寸≥21.5英寸、安装方式：嵌入式、电压输入：单相220V 50HZ、分辨率≥1920*1080、支持VGA和HDMI接口。</w:t>
            </w:r>
          </w:p>
          <w:p w14:paraId="4173804D">
            <w:pPr>
              <w:keepNext w:val="0"/>
              <w:keepLines w:val="0"/>
              <w:suppressLineNumbers w:val="0"/>
              <w:spacing w:before="0" w:beforeAutospacing="0" w:after="0" w:afterAutospacing="0"/>
              <w:ind w:left="0" w:right="0"/>
            </w:pPr>
            <w:r>
              <w:rPr>
                <w:rFonts w:hint="eastAsia"/>
              </w:rPr>
              <w:t>1.3电控及通讯系统</w:t>
            </w:r>
          </w:p>
          <w:p w14:paraId="070DEBE8">
            <w:pPr>
              <w:keepNext w:val="0"/>
              <w:keepLines w:val="0"/>
              <w:suppressLineNumbers w:val="0"/>
              <w:spacing w:before="0" w:beforeAutospacing="0" w:after="0" w:afterAutospacing="0"/>
              <w:ind w:left="0" w:right="0"/>
            </w:pPr>
            <w:r>
              <w:rPr>
                <w:rFonts w:hint="eastAsia"/>
              </w:rPr>
              <w:t>电控系统应由输入输出电源、接线模块（含电源控制模块）等组成。</w:t>
            </w:r>
          </w:p>
          <w:p w14:paraId="3C1FE645">
            <w:pPr>
              <w:keepNext w:val="0"/>
              <w:keepLines w:val="0"/>
              <w:suppressLineNumbers w:val="0"/>
              <w:spacing w:before="0" w:beforeAutospacing="0" w:after="0" w:afterAutospacing="0"/>
              <w:ind w:left="0" w:right="0"/>
            </w:pPr>
            <w:bookmarkStart w:id="192" w:name="OLE_LINK13"/>
            <w:r>
              <w:rPr>
                <w:rFonts w:hint="eastAsia"/>
              </w:rPr>
              <w:t>1.4仿真工作站</w:t>
            </w:r>
          </w:p>
          <w:p w14:paraId="2ED1A761">
            <w:pPr>
              <w:keepNext w:val="0"/>
              <w:keepLines w:val="0"/>
              <w:suppressLineNumbers w:val="0"/>
              <w:spacing w:before="0" w:beforeAutospacing="0" w:after="0" w:afterAutospacing="0"/>
              <w:ind w:left="0" w:right="0"/>
            </w:pPr>
            <w:bookmarkStart w:id="193" w:name="OLE_LINK38"/>
            <w:r>
              <w:rPr>
                <w:rFonts w:hint="eastAsia"/>
              </w:rPr>
              <w:t>CPU:64位处理器，主频≥2.1GHz，≥25 M 高速缓存，不少于12核心和20线程;内存：≥16G，显卡：独立显卡，显存≥8GB；硬盘：≥1T机械硬盘+≥250G固态硬盘。</w:t>
            </w:r>
            <w:bookmarkEnd w:id="192"/>
          </w:p>
          <w:bookmarkEnd w:id="193"/>
          <w:p w14:paraId="3C0F0490">
            <w:pPr>
              <w:keepNext w:val="0"/>
              <w:keepLines w:val="0"/>
              <w:suppressLineNumbers w:val="0"/>
              <w:spacing w:before="0" w:beforeAutospacing="0" w:after="0" w:afterAutospacing="0"/>
              <w:ind w:left="0" w:right="0"/>
            </w:pPr>
            <w:r>
              <w:rPr>
                <w:rFonts w:hint="eastAsia"/>
              </w:rPr>
              <w:t>2.软件系统</w:t>
            </w:r>
          </w:p>
          <w:p w14:paraId="272ED75D">
            <w:pPr>
              <w:keepNext w:val="0"/>
              <w:keepLines w:val="0"/>
              <w:suppressLineNumbers w:val="0"/>
              <w:spacing w:before="0" w:beforeAutospacing="0" w:after="0" w:afterAutospacing="0"/>
              <w:ind w:left="0" w:right="0"/>
            </w:pPr>
            <w:r>
              <w:rPr>
                <w:rFonts w:hint="eastAsia"/>
              </w:rPr>
              <w:t>数字孪生仿真平台包含：可编程逻辑控制器编程软件（与机器人实训平台可编程逻辑控制器配套）、工业机器人仿真软件、数字孪生软件等，并保证软件正常运行。中标单位需要完成数字孪生仿真平台的局域网教学环境的搭建。</w:t>
            </w:r>
          </w:p>
          <w:p w14:paraId="4B08D676">
            <w:pPr>
              <w:keepNext w:val="0"/>
              <w:keepLines w:val="0"/>
              <w:suppressLineNumbers w:val="0"/>
              <w:spacing w:before="0" w:beforeAutospacing="0" w:after="0" w:afterAutospacing="0"/>
              <w:ind w:left="0" w:right="0"/>
            </w:pPr>
            <w:r>
              <w:rPr>
                <w:rFonts w:hint="eastAsia"/>
              </w:rPr>
              <w:t>2.1数字孪生平台软件</w:t>
            </w:r>
          </w:p>
          <w:p w14:paraId="2D18583E">
            <w:pPr>
              <w:keepNext w:val="0"/>
              <w:keepLines w:val="0"/>
              <w:suppressLineNumbers w:val="0"/>
              <w:spacing w:before="0" w:beforeAutospacing="0" w:after="0" w:afterAutospacing="0"/>
              <w:ind w:left="0" w:right="0"/>
            </w:pPr>
            <w:r>
              <w:rPr>
                <w:rFonts w:hint="eastAsia"/>
              </w:rPr>
              <w:t>1）高精度建模，还原外观、内部结构和运动方式；能对接设备真实传感器数据或生成模拟数据，实时显示运行状态和性能参数。</w:t>
            </w:r>
          </w:p>
          <w:p w14:paraId="19FE012B">
            <w:pPr>
              <w:keepNext w:val="0"/>
              <w:keepLines w:val="0"/>
              <w:suppressLineNumbers w:val="0"/>
              <w:spacing w:before="0" w:beforeAutospacing="0" w:after="0" w:afterAutospacing="0"/>
              <w:ind w:left="0" w:right="0"/>
            </w:pPr>
            <w:r>
              <w:rPr>
                <w:rFonts w:hint="eastAsia"/>
              </w:rPr>
              <w:t xml:space="preserve">2）能导入IGES、STEP、NX 等主流 CAD 格式文件； </w:t>
            </w:r>
          </w:p>
          <w:p w14:paraId="407F7C67">
            <w:pPr>
              <w:keepNext w:val="0"/>
              <w:keepLines w:val="0"/>
              <w:suppressLineNumbers w:val="0"/>
              <w:spacing w:before="0" w:beforeAutospacing="0" w:after="0" w:afterAutospacing="0"/>
              <w:ind w:left="0" w:right="0"/>
            </w:pPr>
            <w:r>
              <w:rPr>
                <w:rFonts w:hint="eastAsia"/>
              </w:rPr>
              <w:t>3）多工艺仿真：支持点焊、弧焊、装配、搬运、喷涂、抛光等多种常见工艺的仿真；可添加虚拟传感器辅助设计，自动路径生成，能自动生成机器人跟踪加工曲线的运动路径。。</w:t>
            </w:r>
          </w:p>
          <w:p w14:paraId="75D45494">
            <w:pPr>
              <w:keepNext w:val="0"/>
              <w:keepLines w:val="0"/>
              <w:suppressLineNumbers w:val="0"/>
              <w:spacing w:before="0" w:beforeAutospacing="0" w:after="0" w:afterAutospacing="0"/>
              <w:ind w:left="0" w:right="0"/>
            </w:pPr>
            <w:r>
              <w:rPr>
                <w:rFonts w:hint="eastAsia"/>
              </w:rPr>
              <w:t>4）通过 OPC DA、虚拟 PLC 等方式轻松对接 PLC；具有 CAD/CAE/CAM 三维设计、分析、加工软件，能支持搭建虚拟环境、PLC 仿真控制。</w:t>
            </w:r>
          </w:p>
          <w:p w14:paraId="6DBDB7CF">
            <w:pPr>
              <w:keepNext w:val="0"/>
              <w:keepLines w:val="0"/>
              <w:suppressLineNumbers w:val="0"/>
              <w:spacing w:before="0" w:beforeAutospacing="0" w:after="0" w:afterAutospacing="0"/>
              <w:ind w:left="0" w:right="0"/>
            </w:pPr>
            <w:r>
              <w:rPr>
                <w:rFonts w:hint="eastAsia"/>
              </w:rPr>
              <w:t xml:space="preserve">5）节拍计算与优化，通过优化运动轨迹提高效率； </w:t>
            </w:r>
          </w:p>
          <w:p w14:paraId="22417EC1">
            <w:pPr>
              <w:keepNext w:val="0"/>
              <w:keepLines w:val="0"/>
              <w:suppressLineNumbers w:val="0"/>
              <w:spacing w:before="0" w:beforeAutospacing="0" w:after="0" w:afterAutospacing="0"/>
              <w:ind w:left="0" w:right="0"/>
            </w:pPr>
            <w:r>
              <w:rPr>
                <w:rFonts w:hint="eastAsia"/>
              </w:rPr>
              <w:t>6）能实时连接软硬件实现 “数字化双胞胎”，通过虚拟工艺验证避免产品和设备损坏。</w:t>
            </w:r>
          </w:p>
          <w:p w14:paraId="45A88403">
            <w:pPr>
              <w:keepNext w:val="0"/>
              <w:keepLines w:val="0"/>
              <w:suppressLineNumbers w:val="0"/>
              <w:spacing w:before="0" w:beforeAutospacing="0" w:after="0" w:afterAutospacing="0"/>
              <w:ind w:left="0" w:right="0"/>
            </w:pPr>
            <w:r>
              <w:rPr>
                <w:rFonts w:hint="eastAsia"/>
              </w:rPr>
              <w:t>7）配套工业机器人综合实训平台各实训模块3D模型，并完成相应的仿真实训。</w:t>
            </w:r>
          </w:p>
          <w:p w14:paraId="7C61BB0A">
            <w:pPr>
              <w:keepNext w:val="0"/>
              <w:keepLines w:val="0"/>
              <w:suppressLineNumbers w:val="0"/>
              <w:spacing w:before="0" w:beforeAutospacing="0" w:after="0" w:afterAutospacing="0"/>
              <w:ind w:left="0" w:right="0"/>
            </w:pPr>
            <w:r>
              <w:rPr>
                <w:rFonts w:hint="eastAsia"/>
              </w:rPr>
              <w:t>2.2机器人编程软件应与所投工业机器人完全兼容，并具备以下功能：（下述功能属于基本功能，软件功能包含但不仅限于以下功能）</w:t>
            </w:r>
          </w:p>
          <w:p w14:paraId="4C5161F2">
            <w:pPr>
              <w:keepNext w:val="0"/>
              <w:keepLines w:val="0"/>
              <w:suppressLineNumbers w:val="0"/>
              <w:spacing w:before="0" w:beforeAutospacing="0" w:after="0" w:afterAutospacing="0"/>
              <w:ind w:left="0" w:right="0"/>
            </w:pPr>
            <w:r>
              <w:rPr>
                <w:rFonts w:hint="eastAsia"/>
              </w:rPr>
              <w:t>1）建模导入：能导主流 CAD 模型（如 STEP、UG），搭建真实一致的 3D 虚拟场景。</w:t>
            </w:r>
          </w:p>
          <w:p w14:paraId="69276FBB">
            <w:pPr>
              <w:keepNext w:val="0"/>
              <w:keepLines w:val="0"/>
              <w:suppressLineNumbers w:val="0"/>
              <w:spacing w:before="0" w:beforeAutospacing="0" w:after="0" w:afterAutospacing="0"/>
              <w:ind w:left="0" w:right="0"/>
            </w:pPr>
            <w:r>
              <w:rPr>
                <w:rFonts w:hint="eastAsia"/>
              </w:rPr>
              <w:t>2）编程规划：自动生成运动轨迹，模型移动时轨迹可同步更新；能查奇异点优化路径。</w:t>
            </w:r>
          </w:p>
          <w:p w14:paraId="28F64B93">
            <w:pPr>
              <w:keepNext w:val="0"/>
              <w:keepLines w:val="0"/>
              <w:suppressLineNumbers w:val="0"/>
              <w:spacing w:before="0" w:beforeAutospacing="0" w:after="0" w:afterAutospacing="0"/>
              <w:ind w:left="0" w:right="0"/>
            </w:pPr>
            <w:r>
              <w:rPr>
                <w:rFonts w:hint="eastAsia"/>
              </w:rPr>
              <w:t>3）仿真验证：实时检测机器人与工装、工件的碰撞，避免实际损坏；可模拟点焊、喷涂等多工艺。</w:t>
            </w:r>
          </w:p>
          <w:p w14:paraId="0BBE1CCC">
            <w:pPr>
              <w:keepNext w:val="0"/>
              <w:keepLines w:val="0"/>
              <w:suppressLineNumbers w:val="0"/>
              <w:spacing w:before="0" w:beforeAutospacing="0" w:after="0" w:afterAutospacing="0"/>
              <w:ind w:left="0" w:right="0"/>
            </w:pPr>
            <w:r>
              <w:rPr>
                <w:rFonts w:hint="eastAsia"/>
              </w:rPr>
              <w:t xml:space="preserve">4）衔接实操：仿真程序，能直接下载到真实机器人。 </w:t>
            </w:r>
          </w:p>
          <w:p w14:paraId="17638226">
            <w:pPr>
              <w:keepNext w:val="0"/>
              <w:keepLines w:val="0"/>
              <w:suppressLineNumbers w:val="0"/>
              <w:spacing w:before="0" w:beforeAutospacing="0" w:after="0" w:afterAutospacing="0"/>
              <w:ind w:left="0" w:right="0"/>
            </w:pPr>
            <w:r>
              <w:rPr>
                <w:rFonts w:hint="eastAsia"/>
              </w:rPr>
              <w:t>5）辅助功能：含虚拟示教台方便教学，部分可将仿真动画分享到网页或手机。</w:t>
            </w:r>
          </w:p>
          <w:p w14:paraId="5F849C95">
            <w:pPr>
              <w:keepNext w:val="0"/>
              <w:keepLines w:val="0"/>
              <w:suppressLineNumbers w:val="0"/>
              <w:spacing w:before="0" w:beforeAutospacing="0" w:after="0" w:afterAutospacing="0"/>
              <w:ind w:left="0" w:right="0"/>
            </w:pPr>
            <w:r>
              <w:rPr>
                <w:rFonts w:hint="eastAsia"/>
              </w:rPr>
              <w:t>▲3 数字孪生配套3D仿真训练模型</w:t>
            </w:r>
          </w:p>
          <w:p w14:paraId="7D77E37B">
            <w:pPr>
              <w:keepNext w:val="0"/>
              <w:keepLines w:val="0"/>
              <w:suppressLineNumbers w:val="0"/>
              <w:spacing w:before="0" w:beforeAutospacing="0" w:after="0" w:afterAutospacing="0"/>
              <w:ind w:left="0" w:right="0"/>
            </w:pPr>
            <w:r>
              <w:rPr>
                <w:rFonts w:hint="eastAsia"/>
              </w:rPr>
              <w:t>（1）自动化生产线制造系统模型</w:t>
            </w:r>
          </w:p>
          <w:p w14:paraId="7B5EE057">
            <w:pPr>
              <w:keepNext w:val="0"/>
              <w:keepLines w:val="0"/>
              <w:suppressLineNumbers w:val="0"/>
              <w:spacing w:before="0" w:beforeAutospacing="0" w:after="0" w:afterAutospacing="0"/>
              <w:ind w:left="0" w:right="0"/>
            </w:pPr>
            <w:r>
              <w:rPr>
                <w:rFonts w:hint="eastAsia"/>
              </w:rPr>
              <w:t>需满足以下流程：</w:t>
            </w:r>
          </w:p>
          <w:p w14:paraId="01D150C9">
            <w:pPr>
              <w:keepNext w:val="0"/>
              <w:keepLines w:val="0"/>
              <w:suppressLineNumbers w:val="0"/>
              <w:spacing w:before="0" w:beforeAutospacing="0" w:after="0" w:afterAutospacing="0"/>
              <w:ind w:left="0" w:right="0"/>
            </w:pPr>
            <w:r>
              <w:rPr>
                <w:rFonts w:hint="eastAsia"/>
              </w:rPr>
              <w:t>1）自动供料单元：接收箱单命令由供料气缸推出料仓的空瓶，对空瓶进行扫码检测识别，搬运机械手把识别完成的工件搬运到智能分拣单元的传输带上。</w:t>
            </w:r>
          </w:p>
          <w:p w14:paraId="5614E724">
            <w:pPr>
              <w:keepNext w:val="0"/>
              <w:keepLines w:val="0"/>
              <w:suppressLineNumbers w:val="0"/>
              <w:spacing w:before="0" w:beforeAutospacing="0" w:after="0" w:afterAutospacing="0"/>
              <w:ind w:left="0" w:right="0"/>
            </w:pPr>
            <w:r>
              <w:rPr>
                <w:rFonts w:hint="eastAsia"/>
              </w:rPr>
              <w:t>2）智能分拣单元：扫码器对瓶子扫码，完成信息识别确认，由传输带传输工件至要求的挡停位置，根据订单需求完成钢球灌装，挡停机构复位，灌装完的工件进入下一工作站。</w:t>
            </w:r>
          </w:p>
          <w:p w14:paraId="7AF42BCA">
            <w:pPr>
              <w:keepNext w:val="0"/>
              <w:keepLines w:val="0"/>
              <w:suppressLineNumbers w:val="0"/>
              <w:spacing w:before="0" w:beforeAutospacing="0" w:after="0" w:afterAutospacing="0"/>
              <w:ind w:left="0" w:right="0"/>
            </w:pPr>
            <w:r>
              <w:rPr>
                <w:rFonts w:hint="eastAsia"/>
              </w:rPr>
              <w:t>3）装配检测单元：扫码器对装配完成的瓶子进行再次扫码确认，由拔叉将灌装成品，运送至装配称重复合工位，先对灌装的工件进行称重，三色灯根据称重结果进行显示（称重状态下黄色指示灯闪烁，质检合格后亮绿灯，质检不合格红色闪烁）并将称重合格的物料进行装盖。</w:t>
            </w:r>
          </w:p>
          <w:p w14:paraId="0440E1D1">
            <w:pPr>
              <w:keepNext w:val="0"/>
              <w:keepLines w:val="0"/>
              <w:suppressLineNumbers w:val="0"/>
              <w:spacing w:before="0" w:beforeAutospacing="0" w:after="0" w:afterAutospacing="0"/>
              <w:ind w:left="0" w:right="0"/>
            </w:pPr>
            <w:r>
              <w:rPr>
                <w:rFonts w:hint="eastAsia"/>
              </w:rPr>
              <w:t>4）AGV物流单元：把装配检测单元的灌装成品搬运到智能仓储单元。</w:t>
            </w:r>
          </w:p>
          <w:p w14:paraId="4823C4F3">
            <w:pPr>
              <w:keepNext w:val="0"/>
              <w:keepLines w:val="0"/>
              <w:suppressLineNumbers w:val="0"/>
              <w:spacing w:before="0" w:beforeAutospacing="0" w:after="0" w:afterAutospacing="0"/>
              <w:ind w:left="0" w:right="0"/>
            </w:pPr>
            <w:r>
              <w:rPr>
                <w:rFonts w:hint="eastAsia"/>
              </w:rPr>
              <w:t>5）智能仓储单元：将灌装成品进行入库。</w:t>
            </w:r>
          </w:p>
          <w:p w14:paraId="1F4776B2">
            <w:pPr>
              <w:keepNext w:val="0"/>
              <w:keepLines w:val="0"/>
              <w:suppressLineNumbers w:val="0"/>
              <w:spacing w:before="0" w:beforeAutospacing="0" w:after="0" w:afterAutospacing="0"/>
              <w:ind w:left="0" w:right="0"/>
            </w:pPr>
            <w:r>
              <w:rPr>
                <w:rFonts w:hint="eastAsia"/>
              </w:rPr>
              <w:t>（2）智能制造系统集成应用平台虚拟模型</w:t>
            </w:r>
          </w:p>
          <w:p w14:paraId="13A14B08">
            <w:pPr>
              <w:keepNext w:val="0"/>
              <w:keepLines w:val="0"/>
              <w:suppressLineNumbers w:val="0"/>
              <w:spacing w:before="0" w:beforeAutospacing="0" w:after="0" w:afterAutospacing="0"/>
              <w:ind w:left="0" w:right="0"/>
            </w:pPr>
            <w:r>
              <w:rPr>
                <w:rFonts w:hint="eastAsia"/>
              </w:rPr>
              <w:t>需满足以下流程：</w:t>
            </w:r>
          </w:p>
          <w:p w14:paraId="2DC82682">
            <w:pPr>
              <w:keepNext w:val="0"/>
              <w:keepLines w:val="0"/>
              <w:suppressLineNumbers w:val="0"/>
              <w:spacing w:before="0" w:beforeAutospacing="0" w:after="0" w:afterAutospacing="0"/>
              <w:ind w:left="0" w:right="0"/>
            </w:pPr>
            <w:r>
              <w:rPr>
                <w:rFonts w:hint="eastAsia"/>
              </w:rPr>
              <w:t>1)智能仓储单元：三轴机械手（X、Y、Z轴）通过订单下发的内容运行到对应的仓位进行毛坯工件出库放置到中转工位。</w:t>
            </w:r>
          </w:p>
          <w:p w14:paraId="727A1055">
            <w:pPr>
              <w:keepNext w:val="0"/>
              <w:keepLines w:val="0"/>
              <w:suppressLineNumbers w:val="0"/>
              <w:spacing w:before="0" w:beforeAutospacing="0" w:after="0" w:afterAutospacing="0"/>
              <w:ind w:left="0" w:right="0"/>
            </w:pPr>
            <w:r>
              <w:rPr>
                <w:rFonts w:hint="eastAsia"/>
              </w:rPr>
              <w:t>2)AGV搬运单元：AGV进行转运（出库），从中转工位搬运到缓冲工位。</w:t>
            </w:r>
          </w:p>
          <w:p w14:paraId="4FD1752E">
            <w:pPr>
              <w:keepNext w:val="0"/>
              <w:keepLines w:val="0"/>
              <w:suppressLineNumbers w:val="0"/>
              <w:spacing w:before="0" w:beforeAutospacing="0" w:after="0" w:afterAutospacing="0"/>
              <w:ind w:left="0" w:right="0"/>
            </w:pPr>
            <w:r>
              <w:rPr>
                <w:rFonts w:hint="eastAsia"/>
              </w:rPr>
              <w:t>3)工业机器人单元及RFID读写单元：机器人抓取AGV单元缓冲工位中的托盘及毛坯物料，放置到RFID读写器上方，进行信息读写。</w:t>
            </w:r>
          </w:p>
          <w:p w14:paraId="3189398F">
            <w:pPr>
              <w:keepNext w:val="0"/>
              <w:keepLines w:val="0"/>
              <w:suppressLineNumbers w:val="0"/>
              <w:spacing w:before="0" w:beforeAutospacing="0" w:after="0" w:afterAutospacing="0"/>
              <w:ind w:left="0" w:right="0"/>
            </w:pPr>
            <w:r>
              <w:rPr>
                <w:rFonts w:hint="eastAsia"/>
              </w:rPr>
              <w:t>4)加工中心单元：读写完成后机器人抓取毛坯料进行机床上料，上料完成后加工中心进行加工、在线测量，测量完成后机器人进行加工件下料。</w:t>
            </w:r>
          </w:p>
          <w:p w14:paraId="7871E03D">
            <w:pPr>
              <w:keepNext w:val="0"/>
              <w:keepLines w:val="0"/>
              <w:suppressLineNumbers w:val="0"/>
              <w:spacing w:before="0" w:beforeAutospacing="0" w:after="0" w:afterAutospacing="0"/>
              <w:ind w:left="0" w:right="0"/>
            </w:pPr>
            <w:r>
              <w:rPr>
                <w:rFonts w:hint="eastAsia"/>
              </w:rPr>
              <w:t>5)视觉检测单元：下料完成后进行智能检测（视觉）。</w:t>
            </w:r>
          </w:p>
          <w:p w14:paraId="43B47454">
            <w:pPr>
              <w:keepNext w:val="0"/>
              <w:keepLines w:val="0"/>
              <w:suppressLineNumbers w:val="0"/>
              <w:spacing w:before="0" w:beforeAutospacing="0" w:after="0" w:afterAutospacing="0"/>
              <w:ind w:left="0" w:right="0"/>
            </w:pPr>
            <w:r>
              <w:rPr>
                <w:rFonts w:hint="eastAsia"/>
              </w:rPr>
              <w:t>6)工业机器人单元及RFID读写单元：视觉检测完成后RFID进行信息更新，更新完成后机器人搬运成品放置到缓冲工位。</w:t>
            </w:r>
          </w:p>
          <w:p w14:paraId="7CDF9134">
            <w:pPr>
              <w:keepNext w:val="0"/>
              <w:keepLines w:val="0"/>
              <w:suppressLineNumbers w:val="0"/>
              <w:spacing w:before="0" w:beforeAutospacing="0" w:after="0" w:afterAutospacing="0"/>
              <w:ind w:left="0" w:right="0"/>
            </w:pPr>
            <w:r>
              <w:rPr>
                <w:rFonts w:hint="eastAsia"/>
              </w:rPr>
              <w:t>7)AGV搬运单元：AGV进行转运（成品入库），从缓冲工位搬运到中转工位。</w:t>
            </w:r>
          </w:p>
          <w:p w14:paraId="27D27E2A">
            <w:pPr>
              <w:keepNext w:val="0"/>
              <w:keepLines w:val="0"/>
              <w:suppressLineNumbers w:val="0"/>
              <w:spacing w:before="0" w:beforeAutospacing="0" w:after="0" w:afterAutospacing="0"/>
              <w:ind w:left="0" w:right="0"/>
            </w:pPr>
            <w:r>
              <w:rPr>
                <w:rFonts w:hint="eastAsia"/>
              </w:rPr>
              <w:t>8)智能仓储单元：三轴机械手（X、Y、Z轴）进行成品入库。</w:t>
            </w:r>
          </w:p>
          <w:p w14:paraId="513ED7EA">
            <w:pPr>
              <w:keepNext w:val="0"/>
              <w:keepLines w:val="0"/>
              <w:suppressLineNumbers w:val="0"/>
              <w:spacing w:before="0" w:beforeAutospacing="0" w:after="0" w:afterAutospacing="0"/>
              <w:ind w:left="0" w:right="0"/>
            </w:pPr>
            <w:r>
              <w:rPr>
                <w:rFonts w:hint="eastAsia"/>
              </w:rPr>
              <w:t>（3）工业自动化应用系统虚拟模型（4站）</w:t>
            </w:r>
          </w:p>
          <w:p w14:paraId="72EE10DC">
            <w:pPr>
              <w:keepNext w:val="0"/>
              <w:keepLines w:val="0"/>
              <w:suppressLineNumbers w:val="0"/>
              <w:spacing w:before="0" w:beforeAutospacing="0" w:after="0" w:afterAutospacing="0"/>
              <w:ind w:left="0" w:right="0"/>
            </w:pPr>
            <w:r>
              <w:rPr>
                <w:rFonts w:hint="eastAsia"/>
              </w:rPr>
              <w:t>需满足以下流程：</w:t>
            </w:r>
          </w:p>
          <w:p w14:paraId="3209B47F">
            <w:pPr>
              <w:keepNext w:val="0"/>
              <w:keepLines w:val="0"/>
              <w:suppressLineNumbers w:val="0"/>
              <w:spacing w:before="0" w:beforeAutospacing="0" w:after="0" w:afterAutospacing="0"/>
              <w:ind w:left="0" w:right="0"/>
            </w:pPr>
            <w:r>
              <w:rPr>
                <w:rFonts w:hint="eastAsia"/>
              </w:rPr>
              <w:t>1)底盒供料站：客户下单，MES下达生产任务，底盒供料模块推出相应颜色的底盒至托盘。并通过RFID把产品信息写入到芯片。</w:t>
            </w:r>
          </w:p>
          <w:p w14:paraId="395E2742">
            <w:pPr>
              <w:keepNext w:val="0"/>
              <w:keepLines w:val="0"/>
              <w:suppressLineNumbers w:val="0"/>
              <w:spacing w:before="0" w:beforeAutospacing="0" w:after="0" w:afterAutospacing="0"/>
              <w:ind w:left="0" w:right="0"/>
            </w:pPr>
            <w:r>
              <w:rPr>
                <w:rFonts w:hint="eastAsia"/>
              </w:rPr>
              <w:t>2)书签供料站：托盘到达书签供料站后，相对应的挡停机构动作，托盘准确停止在程序设定的工位，由搬运模块把书签搬运到底盒槽内。并通过RFID更新产品信息。挡停机构复位，托盘进入下一工作站。</w:t>
            </w:r>
          </w:p>
          <w:p w14:paraId="6C14CE83">
            <w:pPr>
              <w:keepNext w:val="0"/>
              <w:keepLines w:val="0"/>
              <w:suppressLineNumbers w:val="0"/>
              <w:spacing w:before="0" w:beforeAutospacing="0" w:after="0" w:afterAutospacing="0"/>
              <w:ind w:left="0" w:right="0"/>
            </w:pPr>
            <w:r>
              <w:rPr>
                <w:rFonts w:hint="eastAsia"/>
              </w:rPr>
              <w:t>3)盒盖装配站：托盘到达盒盖装配站后，相对应的挡停机构动作，托盘准确停止在程序设定的工位，盒盖供料模块推出相应颜色的盒盖至中转台，由搬运装配模块把盒盖搬运到底盒上面完成装配。并通过RFID更新产品信息。挡停机构复位，托盘进入下一工作站。</w:t>
            </w:r>
          </w:p>
          <w:p w14:paraId="754378FD">
            <w:pPr>
              <w:keepNext w:val="0"/>
              <w:keepLines w:val="0"/>
              <w:suppressLineNumbers w:val="0"/>
              <w:spacing w:before="0" w:beforeAutospacing="0" w:after="0" w:afterAutospacing="0"/>
              <w:ind w:left="0" w:right="0"/>
            </w:pPr>
            <w:r>
              <w:rPr>
                <w:rFonts w:hint="eastAsia"/>
              </w:rPr>
              <w:t>4)成品入库：托盘到达仓储站后，相对应的挡停机构动作，托盘准确停止在程序设定的工位，由机械手把成品盒搬运到MES指定的仓位，完成成品入库流程。并通过RFID更新产品信息。</w:t>
            </w:r>
          </w:p>
          <w:p w14:paraId="3885766D">
            <w:pPr>
              <w:keepNext w:val="0"/>
              <w:keepLines w:val="0"/>
              <w:suppressLineNumbers w:val="0"/>
              <w:spacing w:before="0" w:beforeAutospacing="0" w:after="0" w:afterAutospacing="0"/>
              <w:ind w:left="0" w:right="0"/>
            </w:pPr>
            <w:r>
              <w:rPr>
                <w:rFonts w:hint="eastAsia"/>
              </w:rPr>
              <w:t>5)底盒供料站：客户下单，系统下达生产任务，底盒供料模块推出相应颜色的底盒至托盘。并通过RFID把产品信息写入到芯片。</w:t>
            </w:r>
          </w:p>
          <w:p w14:paraId="731CF874">
            <w:pPr>
              <w:keepNext w:val="0"/>
              <w:keepLines w:val="0"/>
              <w:suppressLineNumbers w:val="0"/>
              <w:spacing w:before="0" w:beforeAutospacing="0" w:after="0" w:afterAutospacing="0"/>
              <w:ind w:left="0" w:right="0"/>
            </w:pPr>
            <w:r>
              <w:rPr>
                <w:rFonts w:hint="eastAsia"/>
              </w:rPr>
              <w:t>（4）协调制造生产系统虚拟模型</w:t>
            </w:r>
          </w:p>
          <w:p w14:paraId="39747792">
            <w:pPr>
              <w:keepNext w:val="0"/>
              <w:keepLines w:val="0"/>
              <w:suppressLineNumbers w:val="0"/>
              <w:spacing w:before="0" w:beforeAutospacing="0" w:after="0" w:afterAutospacing="0"/>
              <w:ind w:left="0" w:right="0"/>
            </w:pPr>
            <w:r>
              <w:rPr>
                <w:rFonts w:hint="eastAsia"/>
              </w:rPr>
              <w:t>需满足以下流程：</w:t>
            </w:r>
          </w:p>
          <w:p w14:paraId="441BF86D">
            <w:pPr>
              <w:keepNext w:val="0"/>
              <w:keepLines w:val="0"/>
              <w:suppressLineNumbers w:val="0"/>
              <w:spacing w:before="0" w:beforeAutospacing="0" w:after="0" w:afterAutospacing="0"/>
              <w:ind w:left="0" w:right="0"/>
            </w:pPr>
            <w:r>
              <w:rPr>
                <w:rFonts w:hint="eastAsia"/>
              </w:rPr>
              <w:t>1)系统下单：客户下单，系统下达指令，系统运行。</w:t>
            </w:r>
          </w:p>
          <w:p w14:paraId="00164604">
            <w:pPr>
              <w:keepNext w:val="0"/>
              <w:keepLines w:val="0"/>
              <w:suppressLineNumbers w:val="0"/>
              <w:spacing w:before="0" w:beforeAutospacing="0" w:after="0" w:afterAutospacing="0"/>
              <w:ind w:left="0" w:right="0"/>
            </w:pPr>
            <w:r>
              <w:rPr>
                <w:rFonts w:hint="eastAsia"/>
              </w:rPr>
              <w:t>2)底盒供料：机器人根据订单信息，抓取底盒搬运至底盒装配平台上的凹槽内</w:t>
            </w:r>
          </w:p>
          <w:p w14:paraId="7188C7D0">
            <w:pPr>
              <w:keepNext w:val="0"/>
              <w:keepLines w:val="0"/>
              <w:suppressLineNumbers w:val="0"/>
              <w:spacing w:before="0" w:beforeAutospacing="0" w:after="0" w:afterAutospacing="0"/>
              <w:ind w:left="0" w:right="0"/>
            </w:pPr>
            <w:r>
              <w:rPr>
                <w:rFonts w:hint="eastAsia"/>
              </w:rPr>
              <w:t>3)书签供料：机器人根据订单信息，书签自动供料模块推出相应的书签至书签输送机。</w:t>
            </w:r>
          </w:p>
          <w:p w14:paraId="276677E4">
            <w:pPr>
              <w:keepNext w:val="0"/>
              <w:keepLines w:val="0"/>
              <w:suppressLineNumbers w:val="0"/>
              <w:spacing w:before="0" w:beforeAutospacing="0" w:after="0" w:afterAutospacing="0"/>
              <w:ind w:left="0" w:right="0"/>
            </w:pPr>
            <w:r>
              <w:rPr>
                <w:rFonts w:hint="eastAsia"/>
              </w:rPr>
              <w:t>4)书签抓取：机器人根据视觉系统检测书签的颜色等信息，自动抓取书签并转运至打标平台。</w:t>
            </w:r>
          </w:p>
          <w:p w14:paraId="21123A93">
            <w:pPr>
              <w:keepNext w:val="0"/>
              <w:keepLines w:val="0"/>
              <w:suppressLineNumbers w:val="0"/>
              <w:spacing w:before="0" w:beforeAutospacing="0" w:after="0" w:afterAutospacing="0"/>
              <w:ind w:left="0" w:right="0"/>
            </w:pPr>
            <w:r>
              <w:rPr>
                <w:rFonts w:hint="eastAsia"/>
              </w:rPr>
              <w:t>5)激光打标：打标机文件系统订单信息，打印定制化图形图像（模拟），完成加工过程；机器人将书签和盒底搬运至单元输送模块，并通过RFID写入产品信息。</w:t>
            </w:r>
          </w:p>
          <w:p w14:paraId="535DDD96">
            <w:pPr>
              <w:keepNext w:val="0"/>
              <w:keepLines w:val="0"/>
              <w:suppressLineNumbers w:val="0"/>
              <w:spacing w:before="0" w:beforeAutospacing="0" w:after="0" w:afterAutospacing="0"/>
              <w:ind w:left="0" w:right="0"/>
            </w:pPr>
            <w:r>
              <w:rPr>
                <w:rFonts w:hint="eastAsia"/>
              </w:rPr>
              <w:t>6)转运输送：AGV小车与单元输送模块接驳，然后将半成品及托盘转运输送至自动仓储的单元输送模块，完成半成品到自动化仓储单元的运输。</w:t>
            </w:r>
          </w:p>
          <w:p w14:paraId="530AA892">
            <w:pPr>
              <w:keepNext w:val="0"/>
              <w:keepLines w:val="0"/>
              <w:suppressLineNumbers w:val="0"/>
              <w:spacing w:before="0" w:beforeAutospacing="0" w:after="0" w:afterAutospacing="0"/>
              <w:ind w:left="0" w:right="0"/>
            </w:pPr>
            <w:r>
              <w:rPr>
                <w:rFonts w:hint="eastAsia"/>
              </w:rPr>
              <w:t>7)包装：加工完的书签和盒底运至自动化仓储单元，根据RFID读取的信息，巷道机械手搬运相应配套盒盖，完成成品的包装，装配完成后将成品放入成品区。</w:t>
            </w:r>
          </w:p>
          <w:p w14:paraId="5AF1C427">
            <w:pPr>
              <w:keepNext w:val="0"/>
              <w:keepLines w:val="0"/>
              <w:suppressLineNumbers w:val="0"/>
              <w:spacing w:before="0" w:beforeAutospacing="0" w:after="0" w:afterAutospacing="0"/>
              <w:ind w:left="0" w:right="0"/>
            </w:pPr>
            <w:r>
              <w:rPr>
                <w:rFonts w:hint="eastAsia"/>
              </w:rPr>
              <w:t>8)成品出库：系统根据客户要求下达指令，巷道机械手搬运成品放置于成品输出装置上，待客户取走所需成品，完成出库，并将信息传输给MES系统，完成整个订单。</w:t>
            </w:r>
          </w:p>
          <w:p w14:paraId="07FEE137">
            <w:pPr>
              <w:keepNext w:val="0"/>
              <w:keepLines w:val="0"/>
              <w:suppressLineNumbers w:val="0"/>
              <w:spacing w:before="0" w:beforeAutospacing="0" w:after="0" w:afterAutospacing="0"/>
              <w:ind w:left="0" w:right="0"/>
            </w:pPr>
            <w:r>
              <w:rPr>
                <w:rFonts w:hint="eastAsia"/>
              </w:rPr>
              <w:t>4.数字孪生仿真数字化教学资源平台</w:t>
            </w:r>
          </w:p>
          <w:p w14:paraId="5812B4AD">
            <w:pPr>
              <w:keepNext w:val="0"/>
              <w:keepLines w:val="0"/>
              <w:suppressLineNumbers w:val="0"/>
              <w:spacing w:before="0" w:beforeAutospacing="0" w:after="0" w:afterAutospacing="0"/>
              <w:ind w:left="0" w:right="0"/>
            </w:pPr>
            <w:r>
              <w:rPr>
                <w:rFonts w:hint="eastAsia"/>
              </w:rPr>
              <w:t>4.1整体需求</w:t>
            </w:r>
          </w:p>
          <w:p w14:paraId="60AA2571">
            <w:pPr>
              <w:keepNext w:val="0"/>
              <w:keepLines w:val="0"/>
              <w:suppressLineNumbers w:val="0"/>
              <w:spacing w:before="0" w:beforeAutospacing="0" w:after="0" w:afterAutospacing="0"/>
              <w:ind w:left="0" w:right="0"/>
            </w:pPr>
            <w:r>
              <w:rPr>
                <w:rFonts w:hint="eastAsia"/>
              </w:rPr>
              <w:t>需依据“工学一体化”的教学理念，设定课程章节和任务，能够进行线上理论教学、线上理论测试、线上仿真任务训练；教师可以根据教学需求，自由管理班级、自由发布课程、编辑课程；课程搭配知识图谱，和教学内容紧密关联；学生能够通过线上完成教师发布的课程任务，并自动生成报告。</w:t>
            </w:r>
          </w:p>
          <w:p w14:paraId="7A6B3CA9">
            <w:pPr>
              <w:keepNext w:val="0"/>
              <w:keepLines w:val="0"/>
              <w:suppressLineNumbers w:val="0"/>
              <w:spacing w:before="0" w:beforeAutospacing="0" w:after="0" w:afterAutospacing="0"/>
              <w:ind w:left="0" w:right="0"/>
            </w:pPr>
            <w:r>
              <w:rPr>
                <w:rFonts w:hint="eastAsia"/>
              </w:rPr>
              <w:t>4.2基本要求</w:t>
            </w:r>
          </w:p>
          <w:p w14:paraId="7F030CB6">
            <w:pPr>
              <w:keepNext w:val="0"/>
              <w:keepLines w:val="0"/>
              <w:suppressLineNumbers w:val="0"/>
              <w:spacing w:before="0" w:beforeAutospacing="0" w:after="0" w:afterAutospacing="0"/>
              <w:ind w:left="0" w:right="0"/>
            </w:pPr>
            <w:r>
              <w:rPr>
                <w:rFonts w:hint="eastAsia"/>
              </w:rPr>
              <w:t>（1）数字化教学资源任务与实际设备情况一致；</w:t>
            </w:r>
          </w:p>
          <w:p w14:paraId="330BA2EC">
            <w:pPr>
              <w:keepNext w:val="0"/>
              <w:keepLines w:val="0"/>
              <w:suppressLineNumbers w:val="0"/>
              <w:spacing w:before="0" w:beforeAutospacing="0" w:after="0" w:afterAutospacing="0"/>
              <w:ind w:left="0" w:right="0"/>
            </w:pPr>
            <w:r>
              <w:rPr>
                <w:rFonts w:hint="eastAsia"/>
              </w:rPr>
              <w:t>（2）自动记载仿真操作过程；</w:t>
            </w:r>
          </w:p>
          <w:p w14:paraId="6075F480">
            <w:pPr>
              <w:keepNext w:val="0"/>
              <w:keepLines w:val="0"/>
              <w:suppressLineNumbers w:val="0"/>
              <w:spacing w:before="0" w:beforeAutospacing="0" w:after="0" w:afterAutospacing="0"/>
              <w:ind w:left="0" w:right="0"/>
            </w:pPr>
            <w:r>
              <w:rPr>
                <w:rFonts w:hint="eastAsia"/>
              </w:rPr>
              <w:t>（3）客户端利用原有实训室或机房电脑进行直接部署；提供云上或IDE机房的服务端能力；</w:t>
            </w:r>
          </w:p>
          <w:p w14:paraId="2831B841">
            <w:pPr>
              <w:keepNext w:val="0"/>
              <w:keepLines w:val="0"/>
              <w:suppressLineNumbers w:val="0"/>
              <w:spacing w:before="0" w:beforeAutospacing="0" w:after="0" w:afterAutospacing="0"/>
              <w:ind w:left="0" w:right="0"/>
            </w:pPr>
            <w:r>
              <w:rPr>
                <w:rFonts w:hint="eastAsia"/>
              </w:rPr>
              <w:t>（4）可实现学生的过程评价考核功能</w:t>
            </w:r>
          </w:p>
          <w:p w14:paraId="167662B8">
            <w:pPr>
              <w:keepNext w:val="0"/>
              <w:keepLines w:val="0"/>
              <w:suppressLineNumbers w:val="0"/>
              <w:spacing w:before="0" w:beforeAutospacing="0" w:after="0" w:afterAutospacing="0"/>
              <w:ind w:left="0" w:right="0"/>
            </w:pPr>
            <w:r>
              <w:rPr>
                <w:rFonts w:hint="eastAsia"/>
              </w:rPr>
              <w:t>▲（5）《智能制造设备技术应用》、《工业机器人应用》、《电气控制应用》、《PLC 控制系统编程》等相关课程资源（PPT、视频、微课等）不少于500个。</w:t>
            </w:r>
          </w:p>
          <w:p w14:paraId="56B5DCCC">
            <w:pPr>
              <w:keepNext w:val="0"/>
              <w:keepLines w:val="0"/>
              <w:suppressLineNumbers w:val="0"/>
              <w:spacing w:before="0" w:beforeAutospacing="0" w:after="0" w:afterAutospacing="0"/>
              <w:ind w:left="0" w:right="0"/>
            </w:pPr>
            <w:r>
              <w:rPr>
                <w:rFonts w:hint="eastAsia"/>
              </w:rPr>
              <w:t>（投标文件中附不少于5张满足本项功能要求的界面截图）</w:t>
            </w:r>
          </w:p>
          <w:p w14:paraId="19E4618B">
            <w:pPr>
              <w:keepNext w:val="0"/>
              <w:keepLines w:val="0"/>
              <w:suppressLineNumbers w:val="0"/>
              <w:spacing w:before="0" w:beforeAutospacing="0" w:after="0" w:afterAutospacing="0"/>
              <w:ind w:left="0" w:right="0"/>
            </w:pPr>
            <w:r>
              <w:rPr>
                <w:rFonts w:hint="eastAsia"/>
              </w:rPr>
              <w:t>4.3配套资源内容 （本项功能需求需提供视频演示）</w:t>
            </w:r>
          </w:p>
          <w:p w14:paraId="697EC665">
            <w:pPr>
              <w:keepNext w:val="0"/>
              <w:keepLines w:val="0"/>
              <w:suppressLineNumbers w:val="0"/>
              <w:spacing w:before="0" w:beforeAutospacing="0" w:after="0" w:afterAutospacing="0"/>
              <w:ind w:left="0" w:right="0"/>
            </w:pPr>
            <w:r>
              <w:rPr>
                <w:rFonts w:hint="eastAsia"/>
              </w:rPr>
              <w:t>需包括工业机器人综合实训平台和数字孪生仿真平台配套的实训项目的教学资源（资源形式包含多种形式，至少包括PPT、视频），包含但不限于以下实训项目：PLC编程、HMI人机界面设计、工业机器人离线仿真技术应用、PLC通信技术应用、视觉系统技术应用、工业机器人坐标标定、轨迹编程与操作、装配、搬运、码垛、包装、焊接、打磨、涂胶、机加工自动化任务单元、智能转运-分拣-码垛任务单元、典型行业包装任务单元、焊接任务单元、打磨任务单元等</w:t>
            </w:r>
          </w:p>
          <w:p w14:paraId="19AAD0E6">
            <w:pPr>
              <w:keepNext w:val="0"/>
              <w:keepLines w:val="0"/>
              <w:suppressLineNumbers w:val="0"/>
              <w:spacing w:before="0" w:beforeAutospacing="0" w:after="0" w:afterAutospacing="0"/>
              <w:ind w:left="0" w:right="0"/>
            </w:pPr>
          </w:p>
        </w:tc>
        <w:tc>
          <w:tcPr>
            <w:tcW w:w="602" w:type="dxa"/>
            <w:vAlign w:val="center"/>
          </w:tcPr>
          <w:p w14:paraId="5CC3BAC8">
            <w:pPr>
              <w:keepNext w:val="0"/>
              <w:keepLines w:val="0"/>
              <w:suppressLineNumbers w:val="0"/>
              <w:spacing w:before="0" w:beforeAutospacing="0" w:after="0" w:afterAutospacing="0"/>
              <w:ind w:left="0" w:right="0"/>
              <w:jc w:val="center"/>
            </w:pPr>
            <w:r>
              <w:rPr>
                <w:rFonts w:hint="eastAsia"/>
              </w:rPr>
              <w:t>套</w:t>
            </w:r>
          </w:p>
        </w:tc>
        <w:tc>
          <w:tcPr>
            <w:tcW w:w="753" w:type="dxa"/>
            <w:vAlign w:val="center"/>
          </w:tcPr>
          <w:p w14:paraId="779C7EA4">
            <w:pPr>
              <w:keepNext w:val="0"/>
              <w:keepLines w:val="0"/>
              <w:suppressLineNumbers w:val="0"/>
              <w:spacing w:before="0" w:beforeAutospacing="0" w:after="0" w:afterAutospacing="0"/>
              <w:ind w:left="0" w:right="0"/>
              <w:jc w:val="center"/>
            </w:pPr>
            <w:r>
              <w:rPr>
                <w:rFonts w:hint="eastAsia"/>
              </w:rPr>
              <w:t>41</w:t>
            </w:r>
          </w:p>
        </w:tc>
      </w:tr>
    </w:tbl>
    <w:p w14:paraId="38F9799F">
      <w:pPr>
        <w:pStyle w:val="198"/>
        <w:keepNext w:val="0"/>
        <w:keepLines w:val="0"/>
        <w:pageBreakBefore w:val="0"/>
        <w:widowControl w:val="0"/>
        <w:spacing w:line="480" w:lineRule="exact"/>
        <w:ind w:left="0" w:firstLine="482"/>
        <w:jc w:val="left"/>
        <w:rPr>
          <w:rFonts w:hint="eastAsia" w:ascii="宋体" w:hAnsi="宋体" w:eastAsia="宋体" w:cs="宋体"/>
          <w:b/>
          <w:bCs/>
          <w:i w:val="0"/>
          <w:iCs w:val="0"/>
          <w:caps w:val="0"/>
          <w:color w:val="auto"/>
          <w:spacing w:val="0"/>
          <w:sz w:val="24"/>
          <w:szCs w:val="24"/>
        </w:rPr>
      </w:pPr>
      <w:r>
        <w:rPr>
          <w:rFonts w:hint="eastAsia" w:ascii="宋体" w:hAnsi="宋体" w:eastAsia="宋体" w:cs="宋体"/>
          <w:b/>
          <w:bCs/>
          <w:i w:val="0"/>
          <w:iCs w:val="0"/>
          <w:caps w:val="0"/>
          <w:color w:val="auto"/>
          <w:spacing w:val="0"/>
          <w:sz w:val="24"/>
          <w:szCs w:val="24"/>
          <w:lang w:val="en-US" w:eastAsia="zh-CN"/>
        </w:rPr>
        <w:t>三</w:t>
      </w:r>
      <w:r>
        <w:rPr>
          <w:rFonts w:hint="eastAsia" w:ascii="宋体" w:hAnsi="宋体" w:eastAsia="宋体" w:cs="宋体"/>
          <w:b/>
          <w:bCs/>
          <w:i w:val="0"/>
          <w:iCs w:val="0"/>
          <w:caps w:val="0"/>
          <w:color w:val="auto"/>
          <w:spacing w:val="0"/>
          <w:sz w:val="24"/>
          <w:szCs w:val="24"/>
        </w:rPr>
        <w:t>、技术参数响应与偏离</w:t>
      </w:r>
    </w:p>
    <w:p w14:paraId="4CB436E5">
      <w:pPr>
        <w:keepNext w:val="0"/>
        <w:keepLines w:val="0"/>
        <w:pageBreakBefore w:val="0"/>
        <w:widowControl w:val="0"/>
        <w:spacing w:line="440" w:lineRule="exact"/>
        <w:ind w:left="0" w:firstLine="480"/>
        <w:rPr>
          <w:rFonts w:hint="eastAsia" w:ascii="宋体" w:hAnsi="宋体" w:eastAsia="宋体" w:cs="宋体"/>
          <w:b w:val="0"/>
          <w:bCs w:val="0"/>
          <w:i w:val="0"/>
          <w:iCs w:val="0"/>
          <w:color w:val="auto"/>
          <w:sz w:val="24"/>
          <w:szCs w:val="24"/>
          <w:highlight w:val="red"/>
          <w:u w:val="none"/>
        </w:rPr>
      </w:pPr>
      <w:r>
        <w:rPr>
          <w:rFonts w:hint="eastAsia" w:ascii="宋体" w:hAnsi="宋体" w:eastAsia="宋体" w:cs="宋体"/>
          <w:b w:val="0"/>
          <w:bCs w:val="0"/>
          <w:i w:val="0"/>
          <w:iCs w:val="0"/>
          <w:color w:val="auto"/>
          <w:sz w:val="24"/>
          <w:szCs w:val="24"/>
          <w:highlight w:val="red"/>
          <w:u w:val="none"/>
        </w:rPr>
        <w:t>供应商须针对本项目“技术参数要求”中未标注和“▲”所有条款，逐条编制《技术参数响应及偏离表》，（以技术参数表中最末级序号为独立计数单位</w:t>
      </w:r>
      <w:r>
        <w:rPr>
          <w:rFonts w:hint="eastAsia" w:ascii="宋体" w:hAnsi="宋体" w:eastAsia="宋体" w:cs="宋体"/>
          <w:b w:val="0"/>
          <w:bCs w:val="0"/>
          <w:i w:val="0"/>
          <w:iCs w:val="0"/>
          <w:color w:val="auto"/>
          <w:sz w:val="24"/>
          <w:szCs w:val="24"/>
          <w:highlight w:val="red"/>
          <w:u w:val="none"/>
          <w:lang w:eastAsia="zh-CN"/>
        </w:rPr>
        <w:t>）</w:t>
      </w:r>
      <w:r>
        <w:rPr>
          <w:rFonts w:hint="eastAsia" w:ascii="宋体" w:hAnsi="宋体" w:eastAsia="宋体" w:cs="宋体"/>
          <w:b/>
          <w:bCs/>
          <w:i w:val="0"/>
          <w:iCs w:val="0"/>
          <w:color w:val="auto"/>
          <w:sz w:val="24"/>
          <w:szCs w:val="24"/>
          <w:highlight w:val="red"/>
          <w:u w:val="none"/>
        </w:rPr>
        <w:t>。</w:t>
      </w:r>
    </w:p>
    <w:p w14:paraId="4BD9D5F7">
      <w:pPr>
        <w:keepNext w:val="0"/>
        <w:keepLines w:val="0"/>
        <w:pageBreakBefore w:val="0"/>
        <w:widowControl w:val="0"/>
        <w:spacing w:line="440" w:lineRule="exact"/>
        <w:ind w:left="0" w:firstLine="48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注：</w:t>
      </w:r>
      <w:r>
        <w:rPr>
          <w:rFonts w:hint="eastAsia" w:ascii="宋体" w:hAnsi="宋体" w:eastAsia="宋体" w:cs="宋体"/>
          <w:b w:val="0"/>
          <w:bCs w:val="0"/>
          <w:color w:val="auto"/>
          <w:sz w:val="24"/>
          <w:szCs w:val="24"/>
          <w:lang w:val="en-US" w:eastAsia="zh-CN"/>
        </w:rPr>
        <w:t>1、</w:t>
      </w:r>
      <w:r>
        <w:rPr>
          <w:rFonts w:hint="eastAsia" w:ascii="宋体" w:hAnsi="宋体" w:eastAsia="宋体" w:cs="宋体"/>
          <w:b w:val="0"/>
          <w:bCs w:val="0"/>
          <w:color w:val="auto"/>
          <w:sz w:val="24"/>
          <w:szCs w:val="24"/>
        </w:rPr>
        <w:t>“</w:t>
      </w:r>
      <w:r>
        <w:rPr>
          <w:rFonts w:hint="eastAsia" w:ascii="宋体" w:hAnsi="宋体" w:eastAsia="宋体" w:cs="宋体"/>
          <w:b w:val="0"/>
          <w:bCs w:val="0"/>
          <w:color w:val="auto"/>
          <w:sz w:val="24"/>
          <w:szCs w:val="24"/>
          <w:lang w:eastAsia="zh-CN"/>
        </w:rPr>
        <w:t>正偏离</w:t>
      </w:r>
      <w:r>
        <w:rPr>
          <w:rFonts w:hint="eastAsia" w:ascii="宋体" w:hAnsi="宋体" w:eastAsia="宋体" w:cs="宋体"/>
          <w:b w:val="0"/>
          <w:bCs w:val="0"/>
          <w:color w:val="auto"/>
          <w:sz w:val="24"/>
          <w:szCs w:val="24"/>
        </w:rPr>
        <w:t>”指优于招标文件要求；“负偏离”指低于招标文件要求；“符合”指满足招标文件要求。投标人应在《技术参数响应及偏离表》（格式详见第六章投标文件格式）中，对招标文件采购清单内的所有技术参数逐条明确其响应状态，即明确填写“</w:t>
      </w:r>
      <w:r>
        <w:rPr>
          <w:rFonts w:hint="eastAsia" w:ascii="宋体" w:hAnsi="宋体" w:eastAsia="宋体" w:cs="宋体"/>
          <w:b w:val="0"/>
          <w:bCs w:val="0"/>
          <w:color w:val="auto"/>
          <w:sz w:val="24"/>
          <w:szCs w:val="24"/>
          <w:lang w:eastAsia="zh-CN"/>
        </w:rPr>
        <w:t>正偏离</w:t>
      </w:r>
      <w:r>
        <w:rPr>
          <w:rFonts w:hint="eastAsia" w:ascii="宋体" w:hAnsi="宋体" w:eastAsia="宋体" w:cs="宋体"/>
          <w:b w:val="0"/>
          <w:bCs w:val="0"/>
          <w:color w:val="auto"/>
          <w:sz w:val="24"/>
          <w:szCs w:val="24"/>
        </w:rPr>
        <w:t>”、“负偏离”或“符合”，不得遗漏。凡未在《技术参数响应及偏离表》中声明偏离情况的技术条款，均视为“符合”。中标人须在合同履行阶段严格遵守招标文件中对应条款的约定。</w:t>
      </w:r>
    </w:p>
    <w:p w14:paraId="72DD5935">
      <w:pPr>
        <w:keepNext w:val="0"/>
        <w:keepLines w:val="0"/>
        <w:pageBreakBefore w:val="0"/>
        <w:widowControl w:val="0"/>
        <w:spacing w:line="440" w:lineRule="exact"/>
        <w:ind w:left="0" w:firstLine="48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2、</w:t>
      </w:r>
      <w:r>
        <w:rPr>
          <w:rFonts w:hint="eastAsia" w:ascii="宋体" w:hAnsi="宋体" w:eastAsia="宋体" w:cs="宋体"/>
          <w:b w:val="0"/>
          <w:bCs w:val="0"/>
          <w:color w:val="auto"/>
          <w:sz w:val="24"/>
          <w:szCs w:val="24"/>
        </w:rPr>
        <w:t>对于非评分项的技术参数，投标人可选择在投标时提供证明材料，亦可于中标通知书发出后、正式签订合同前补充提供（补充材料须在合同签订前</w:t>
      </w:r>
      <w:r>
        <w:rPr>
          <w:rFonts w:hint="eastAsia" w:ascii="宋体" w:hAnsi="宋体" w:eastAsia="宋体" w:cs="宋体"/>
          <w:b w:val="0"/>
          <w:bCs w:val="0"/>
          <w:color w:val="auto"/>
          <w:sz w:val="24"/>
          <w:szCs w:val="24"/>
          <w:lang w:val="en-US" w:eastAsia="zh-CN"/>
        </w:rPr>
        <w:t>7</w:t>
      </w:r>
      <w:r>
        <w:rPr>
          <w:rFonts w:hint="eastAsia" w:ascii="宋体" w:hAnsi="宋体" w:eastAsia="宋体" w:cs="宋体"/>
          <w:b w:val="0"/>
          <w:bCs w:val="0"/>
          <w:color w:val="auto"/>
          <w:sz w:val="24"/>
          <w:szCs w:val="24"/>
        </w:rPr>
        <w:t>个工作日内提交）。所提供的材料将作为合同履约验收的依据之一。</w:t>
      </w:r>
    </w:p>
    <w:p w14:paraId="47A60F10">
      <w:pPr>
        <w:pStyle w:val="198"/>
        <w:keepNext w:val="0"/>
        <w:keepLines w:val="0"/>
        <w:pageBreakBefore w:val="0"/>
        <w:widowControl w:val="0"/>
        <w:spacing w:line="480" w:lineRule="exact"/>
        <w:ind w:left="0" w:firstLine="482"/>
        <w:rPr>
          <w:rFonts w:hint="eastAsia" w:ascii="宋体" w:hAnsi="宋体" w:eastAsia="宋体" w:cs="宋体"/>
          <w:b/>
          <w:bCs/>
          <w:i w:val="0"/>
          <w:iCs w:val="0"/>
          <w:caps w:val="0"/>
          <w:color w:val="auto"/>
          <w:spacing w:val="0"/>
          <w:sz w:val="24"/>
          <w:szCs w:val="24"/>
        </w:rPr>
      </w:pPr>
      <w:r>
        <w:rPr>
          <w:rFonts w:hint="eastAsia" w:ascii="宋体" w:hAnsi="宋体" w:eastAsia="宋体" w:cs="宋体"/>
          <w:b/>
          <w:bCs/>
          <w:i w:val="0"/>
          <w:iCs w:val="0"/>
          <w:caps w:val="0"/>
          <w:color w:val="auto"/>
          <w:spacing w:val="0"/>
          <w:sz w:val="24"/>
          <w:szCs w:val="24"/>
          <w:lang w:val="en-US" w:eastAsia="zh-CN"/>
        </w:rPr>
        <w:t>四</w:t>
      </w:r>
      <w:r>
        <w:rPr>
          <w:rFonts w:hint="eastAsia" w:ascii="宋体" w:hAnsi="宋体" w:eastAsia="宋体" w:cs="宋体"/>
          <w:b/>
          <w:bCs/>
          <w:i w:val="0"/>
          <w:iCs w:val="0"/>
          <w:caps w:val="0"/>
          <w:color w:val="auto"/>
          <w:spacing w:val="0"/>
          <w:sz w:val="24"/>
          <w:szCs w:val="24"/>
        </w:rPr>
        <w:t>、商务要求响应及偏离</w:t>
      </w:r>
    </w:p>
    <w:p w14:paraId="27F58F77">
      <w:pPr>
        <w:pStyle w:val="198"/>
        <w:keepNext w:val="0"/>
        <w:keepLines w:val="0"/>
        <w:pageBreakBefore w:val="0"/>
        <w:widowControl w:val="0"/>
        <w:numPr>
          <w:ilvl w:val="0"/>
          <w:numId w:val="0"/>
        </w:numPr>
        <w:spacing w:line="440" w:lineRule="exact"/>
        <w:ind w:left="0" w:firstLine="480"/>
        <w:rPr>
          <w:rFonts w:hint="eastAsia" w:ascii="宋体" w:hAnsi="宋体" w:eastAsia="宋体" w:cs="宋体"/>
          <w:b w:val="0"/>
          <w:bCs w:val="0"/>
          <w:i/>
          <w:iCs/>
          <w:caps w:val="0"/>
          <w:color w:val="auto"/>
          <w:spacing w:val="0"/>
          <w:sz w:val="24"/>
          <w:szCs w:val="24"/>
          <w:highlight w:val="none"/>
          <w:u w:val="single"/>
        </w:rPr>
      </w:pPr>
      <w:r>
        <w:rPr>
          <w:rFonts w:hint="default" w:ascii="宋体" w:hAnsi="宋体" w:eastAsia="宋体" w:cs="宋体"/>
          <w:b w:val="0"/>
          <w:bCs w:val="0"/>
          <w:i/>
          <w:iCs/>
          <w:caps w:val="0"/>
          <w:color w:val="auto"/>
          <w:spacing w:val="0"/>
          <w:sz w:val="24"/>
          <w:szCs w:val="24"/>
          <w:lang w:val="en-US" w:eastAsia="zh-CN" w:bidi="ar-SA"/>
        </w:rPr>
        <w:t>1．</w:t>
      </w:r>
      <w:r>
        <w:rPr>
          <w:rFonts w:hint="eastAsia" w:ascii="宋体" w:hAnsi="宋体" w:eastAsia="宋体" w:cs="宋体"/>
          <w:b w:val="0"/>
          <w:bCs w:val="0"/>
          <w:i/>
          <w:iCs/>
          <w:caps w:val="0"/>
          <w:color w:val="auto"/>
          <w:spacing w:val="0"/>
          <w:sz w:val="24"/>
          <w:szCs w:val="24"/>
          <w:highlight w:val="none"/>
          <w:u w:val="single"/>
        </w:rPr>
        <w:t>交付时间：合同生效后</w:t>
      </w:r>
      <w:r>
        <w:rPr>
          <w:rFonts w:hint="eastAsia" w:ascii="宋体" w:hAnsi="宋体" w:eastAsia="宋体" w:cs="宋体"/>
          <w:b w:val="0"/>
          <w:bCs w:val="0"/>
          <w:i/>
          <w:iCs/>
          <w:caps w:val="0"/>
          <w:color w:val="auto"/>
          <w:spacing w:val="0"/>
          <w:sz w:val="24"/>
          <w:szCs w:val="24"/>
          <w:highlight w:val="none"/>
          <w:u w:val="single"/>
          <w:lang w:val="en-US" w:eastAsia="zh-CN"/>
        </w:rPr>
        <w:t>45</w:t>
      </w:r>
      <w:r>
        <w:rPr>
          <w:rFonts w:hint="eastAsia" w:ascii="宋体" w:hAnsi="宋体" w:eastAsia="宋体" w:cs="宋体"/>
          <w:b w:val="0"/>
          <w:bCs w:val="0"/>
          <w:i/>
          <w:iCs/>
          <w:caps w:val="0"/>
          <w:color w:val="auto"/>
          <w:spacing w:val="0"/>
          <w:sz w:val="24"/>
          <w:szCs w:val="24"/>
          <w:highlight w:val="none"/>
          <w:u w:val="single"/>
        </w:rPr>
        <w:t>个日历天（此期限不包括采购人验收时间），供应商应在此期限内完成全部货物的交付、安装与调试。</w:t>
      </w:r>
    </w:p>
    <w:p w14:paraId="2A4819ED">
      <w:pPr>
        <w:pStyle w:val="198"/>
        <w:keepNext w:val="0"/>
        <w:keepLines w:val="0"/>
        <w:pageBreakBefore w:val="0"/>
        <w:widowControl w:val="0"/>
        <w:numPr>
          <w:ilvl w:val="0"/>
          <w:numId w:val="0"/>
        </w:numPr>
        <w:spacing w:line="440" w:lineRule="exact"/>
        <w:ind w:left="0" w:firstLine="480"/>
        <w:rPr>
          <w:rFonts w:hint="eastAsia" w:ascii="宋体" w:hAnsi="宋体" w:eastAsia="宋体" w:cs="宋体"/>
          <w:b w:val="0"/>
          <w:bCs w:val="0"/>
          <w:i/>
          <w:iCs/>
          <w:caps w:val="0"/>
          <w:color w:val="auto"/>
          <w:spacing w:val="0"/>
          <w:sz w:val="24"/>
          <w:szCs w:val="24"/>
          <w:highlight w:val="none"/>
          <w:u w:val="single"/>
        </w:rPr>
      </w:pPr>
      <w:r>
        <w:rPr>
          <w:rFonts w:hint="eastAsia" w:ascii="宋体" w:hAnsi="宋体" w:eastAsia="宋体" w:cs="宋体"/>
          <w:b w:val="0"/>
          <w:bCs w:val="0"/>
          <w:i/>
          <w:iCs/>
          <w:caps w:val="0"/>
          <w:color w:val="auto"/>
          <w:spacing w:val="0"/>
          <w:sz w:val="24"/>
          <w:szCs w:val="24"/>
          <w:highlight w:val="none"/>
          <w:u w:val="single"/>
          <w:lang w:val="en-US" w:eastAsia="zh-CN"/>
        </w:rPr>
        <w:t>注：</w:t>
      </w:r>
      <w:r>
        <w:rPr>
          <w:rFonts w:hint="eastAsia" w:ascii="宋体" w:hAnsi="宋体" w:eastAsia="宋体" w:cs="宋体"/>
          <w:b w:val="0"/>
          <w:bCs w:val="0"/>
          <w:i/>
          <w:iCs/>
          <w:caps w:val="0"/>
          <w:color w:val="auto"/>
          <w:spacing w:val="0"/>
          <w:sz w:val="24"/>
          <w:szCs w:val="24"/>
          <w:highlight w:val="none"/>
          <w:u w:val="single"/>
        </w:rPr>
        <w:t>若因不可抗力（需提供县级及以上相关部门出具的不可抗力证明）或采购人场地、需求变更等非中标人原因需延期，中标人可提前10个工作日向采购人提交书面延期申请，说明延期理由及预计完成时间，经采购人书面同意后可调整交付时间，延期时间最长不超过30个日历日；因中标人自身原因导致延期的，按合同约定承担违约责任。</w:t>
      </w:r>
    </w:p>
    <w:p w14:paraId="4E5048AB">
      <w:pPr>
        <w:pStyle w:val="198"/>
        <w:keepNext w:val="0"/>
        <w:keepLines w:val="0"/>
        <w:pageBreakBefore w:val="0"/>
        <w:widowControl w:val="0"/>
        <w:numPr>
          <w:ilvl w:val="0"/>
          <w:numId w:val="0"/>
        </w:numPr>
        <w:spacing w:line="440" w:lineRule="exact"/>
        <w:ind w:left="0" w:firstLine="480"/>
        <w:rPr>
          <w:rFonts w:hint="eastAsia" w:ascii="宋体" w:hAnsi="宋体" w:eastAsia="宋体" w:cs="宋体"/>
          <w:i/>
          <w:iCs/>
          <w:caps w:val="0"/>
          <w:color w:val="auto"/>
          <w:spacing w:val="0"/>
          <w:sz w:val="24"/>
          <w:szCs w:val="24"/>
          <w:highlight w:val="none"/>
          <w:u w:val="single"/>
        </w:rPr>
      </w:pPr>
      <w:r>
        <w:rPr>
          <w:rFonts w:hint="default" w:ascii="宋体" w:hAnsi="宋体" w:eastAsia="宋体" w:cs="宋体"/>
          <w:i/>
          <w:iCs/>
          <w:caps w:val="0"/>
          <w:color w:val="auto"/>
          <w:spacing w:val="0"/>
          <w:sz w:val="24"/>
          <w:szCs w:val="24"/>
          <w:lang w:val="en-US" w:eastAsia="zh-CN" w:bidi="ar-SA"/>
        </w:rPr>
        <w:t>2．</w:t>
      </w:r>
      <w:r>
        <w:rPr>
          <w:rFonts w:hint="eastAsia" w:ascii="宋体" w:hAnsi="宋体" w:eastAsia="宋体" w:cs="宋体"/>
          <w:i/>
          <w:iCs/>
          <w:caps w:val="0"/>
          <w:color w:val="auto"/>
          <w:spacing w:val="0"/>
          <w:sz w:val="24"/>
          <w:szCs w:val="24"/>
          <w:highlight w:val="none"/>
          <w:u w:val="single"/>
        </w:rPr>
        <w:t>交付地点：江苏省盐城技师学院采购人指定地点。</w:t>
      </w:r>
    </w:p>
    <w:p w14:paraId="7AE0409C">
      <w:pPr>
        <w:pStyle w:val="198"/>
        <w:keepNext w:val="0"/>
        <w:keepLines w:val="0"/>
        <w:pageBreakBefore w:val="0"/>
        <w:widowControl w:val="0"/>
        <w:numPr>
          <w:ilvl w:val="0"/>
          <w:numId w:val="0"/>
        </w:numPr>
        <w:spacing w:line="440" w:lineRule="exact"/>
        <w:ind w:left="0" w:firstLine="480"/>
        <w:rPr>
          <w:rFonts w:hint="eastAsia" w:ascii="宋体" w:hAnsi="宋体" w:eastAsia="宋体" w:cs="宋体"/>
          <w:i/>
          <w:iCs/>
          <w:caps w:val="0"/>
          <w:color w:val="auto"/>
          <w:spacing w:val="0"/>
          <w:sz w:val="24"/>
          <w:szCs w:val="24"/>
          <w:highlight w:val="none"/>
          <w:u w:val="single"/>
        </w:rPr>
      </w:pPr>
      <w:r>
        <w:rPr>
          <w:rFonts w:hint="default" w:ascii="宋体" w:hAnsi="宋体" w:eastAsia="宋体" w:cs="宋体"/>
          <w:i/>
          <w:iCs/>
          <w:caps w:val="0"/>
          <w:color w:val="auto"/>
          <w:spacing w:val="0"/>
          <w:sz w:val="24"/>
          <w:szCs w:val="24"/>
          <w:lang w:val="en-US" w:eastAsia="zh-CN" w:bidi="ar-SA"/>
        </w:rPr>
        <w:t>3．</w:t>
      </w:r>
      <w:r>
        <w:rPr>
          <w:rFonts w:hint="eastAsia" w:ascii="宋体" w:hAnsi="宋体" w:eastAsia="宋体" w:cs="宋体"/>
          <w:i/>
          <w:iCs/>
          <w:caps w:val="0"/>
          <w:color w:val="auto"/>
          <w:spacing w:val="0"/>
          <w:sz w:val="24"/>
          <w:szCs w:val="24"/>
          <w:highlight w:val="none"/>
          <w:u w:val="single"/>
        </w:rPr>
        <w:t>验收：采购人依据相关规定、招标文件、投标文件及合同组织验收。若因服务质量产生争议，应由双方共同认可的具备资质的第三方检测机构进行鉴定。符合标准的，鉴定费由采购人承担；不符合标准的，鉴定费由中标人承担，且中标人须在鉴定结果出具后15个工作日内完成整改并重新申请验收。</w:t>
      </w:r>
    </w:p>
    <w:p w14:paraId="33CD7EAC">
      <w:pPr>
        <w:pStyle w:val="198"/>
        <w:keepNext w:val="0"/>
        <w:keepLines w:val="0"/>
        <w:pageBreakBefore w:val="0"/>
        <w:widowControl w:val="0"/>
        <w:numPr>
          <w:ilvl w:val="0"/>
          <w:numId w:val="0"/>
        </w:numPr>
        <w:spacing w:line="440" w:lineRule="exact"/>
        <w:ind w:left="0" w:firstLine="480"/>
        <w:rPr>
          <w:rFonts w:hint="eastAsia" w:ascii="宋体" w:hAnsi="宋体" w:eastAsia="宋体" w:cs="宋体"/>
          <w:i/>
          <w:iCs/>
          <w:caps w:val="0"/>
          <w:color w:val="auto"/>
          <w:spacing w:val="0"/>
          <w:sz w:val="24"/>
          <w:szCs w:val="24"/>
          <w:highlight w:val="none"/>
          <w:u w:val="single"/>
        </w:rPr>
      </w:pPr>
      <w:r>
        <w:rPr>
          <w:rFonts w:hint="default" w:ascii="宋体" w:hAnsi="宋体" w:eastAsia="宋体" w:cs="宋体"/>
          <w:i/>
          <w:iCs/>
          <w:caps w:val="0"/>
          <w:color w:val="auto"/>
          <w:spacing w:val="0"/>
          <w:sz w:val="24"/>
          <w:szCs w:val="24"/>
          <w:lang w:val="en-US" w:eastAsia="zh-CN" w:bidi="ar-SA"/>
        </w:rPr>
        <w:t>4．</w:t>
      </w:r>
      <w:r>
        <w:rPr>
          <w:rFonts w:hint="eastAsia" w:ascii="宋体" w:hAnsi="宋体" w:eastAsia="宋体" w:cs="宋体"/>
          <w:i/>
          <w:iCs/>
          <w:caps w:val="0"/>
          <w:color w:val="auto"/>
          <w:spacing w:val="0"/>
          <w:sz w:val="24"/>
          <w:szCs w:val="24"/>
          <w:highlight w:val="none"/>
          <w:u w:val="single"/>
        </w:rPr>
        <w:t>质量保证：所供货物及软件应为成熟、稳定的在售型号。免费质保期不少于三年，自最终验收合格之日起计算。质保期内，提供7×24小时技术支持，故障1小时内电话响应，24小时内现场到位（如需），并免费提供系统升级与技术服务。质保期外，应能提供持续的技术支持与维护服务，收费标准不高于其官方公示价格或同期市场公允价格。</w:t>
      </w:r>
    </w:p>
    <w:p w14:paraId="74D7CE48">
      <w:pPr>
        <w:pStyle w:val="198"/>
        <w:keepNext w:val="0"/>
        <w:keepLines w:val="0"/>
        <w:pageBreakBefore w:val="0"/>
        <w:widowControl w:val="0"/>
        <w:numPr>
          <w:ilvl w:val="0"/>
          <w:numId w:val="0"/>
        </w:numPr>
        <w:spacing w:line="440" w:lineRule="exact"/>
        <w:ind w:left="0" w:firstLine="480"/>
        <w:rPr>
          <w:rFonts w:hint="eastAsia" w:ascii="宋体" w:hAnsi="宋体" w:eastAsia="宋体" w:cs="宋体"/>
          <w:i/>
          <w:iCs/>
          <w:caps w:val="0"/>
          <w:color w:val="auto"/>
          <w:spacing w:val="0"/>
          <w:sz w:val="24"/>
          <w:szCs w:val="24"/>
          <w:highlight w:val="none"/>
          <w:u w:val="single"/>
        </w:rPr>
      </w:pPr>
      <w:r>
        <w:rPr>
          <w:rFonts w:hint="default" w:ascii="宋体" w:hAnsi="宋体" w:eastAsia="宋体" w:cs="宋体"/>
          <w:i/>
          <w:iCs/>
          <w:caps w:val="0"/>
          <w:color w:val="auto"/>
          <w:spacing w:val="0"/>
          <w:sz w:val="24"/>
          <w:szCs w:val="24"/>
          <w:lang w:val="en-US" w:eastAsia="zh-CN" w:bidi="ar-SA"/>
        </w:rPr>
        <w:t>5．</w:t>
      </w:r>
      <w:r>
        <w:rPr>
          <w:rFonts w:hint="eastAsia" w:ascii="宋体" w:hAnsi="宋体" w:eastAsia="宋体" w:cs="宋体"/>
          <w:i/>
          <w:iCs/>
          <w:caps w:val="0"/>
          <w:color w:val="auto"/>
          <w:spacing w:val="0"/>
          <w:sz w:val="24"/>
          <w:szCs w:val="24"/>
          <w:highlight w:val="none"/>
          <w:u w:val="single"/>
        </w:rPr>
        <w:t>付款方式：</w:t>
      </w:r>
    </w:p>
    <w:p w14:paraId="734458A8">
      <w:pPr>
        <w:pStyle w:val="198"/>
        <w:keepNext w:val="0"/>
        <w:keepLines w:val="0"/>
        <w:pageBreakBefore w:val="0"/>
        <w:widowControl w:val="0"/>
        <w:numPr>
          <w:ilvl w:val="0"/>
          <w:numId w:val="0"/>
        </w:numPr>
        <w:spacing w:line="440" w:lineRule="exact"/>
        <w:ind w:left="0" w:firstLine="480"/>
        <w:rPr>
          <w:rFonts w:hint="eastAsia" w:ascii="宋体" w:hAnsi="宋体" w:eastAsia="宋体" w:cs="宋体"/>
          <w:i/>
          <w:iCs/>
          <w:caps w:val="0"/>
          <w:color w:val="auto"/>
          <w:spacing w:val="0"/>
          <w:sz w:val="24"/>
          <w:szCs w:val="24"/>
          <w:highlight w:val="none"/>
          <w:u w:val="single"/>
          <w:lang w:eastAsia="zh-CN"/>
        </w:rPr>
      </w:pPr>
      <w:r>
        <w:rPr>
          <w:rFonts w:hint="eastAsia" w:ascii="宋体" w:hAnsi="宋体" w:eastAsia="宋体" w:cs="宋体"/>
          <w:i/>
          <w:iCs/>
          <w:caps w:val="0"/>
          <w:color w:val="auto"/>
          <w:spacing w:val="0"/>
          <w:sz w:val="24"/>
          <w:szCs w:val="24"/>
          <w:highlight w:val="none"/>
          <w:u w:val="single"/>
        </w:rPr>
        <w:t>预付款：合同签订生效并收到合规发票后10个工作日内</w:t>
      </w:r>
      <w:r>
        <w:rPr>
          <w:rFonts w:hint="eastAsia" w:ascii="宋体" w:hAnsi="宋体" w:eastAsia="宋体" w:cs="宋体"/>
          <w:i/>
          <w:iCs/>
          <w:caps w:val="0"/>
          <w:color w:val="auto"/>
          <w:spacing w:val="0"/>
          <w:sz w:val="24"/>
          <w:szCs w:val="24"/>
          <w:highlight w:val="none"/>
          <w:u w:val="single"/>
          <w:lang w:eastAsia="zh-CN"/>
        </w:rPr>
        <w:t>，</w:t>
      </w:r>
      <w:r>
        <w:rPr>
          <w:rFonts w:hint="eastAsia" w:ascii="宋体" w:hAnsi="宋体" w:eastAsia="宋体" w:cs="宋体"/>
          <w:i/>
          <w:iCs/>
          <w:caps w:val="0"/>
          <w:color w:val="auto"/>
          <w:spacing w:val="0"/>
          <w:sz w:val="24"/>
          <w:szCs w:val="24"/>
          <w:highlight w:val="none"/>
          <w:u w:val="single"/>
        </w:rPr>
        <w:t>支付合同总价的30%</w:t>
      </w:r>
      <w:r>
        <w:rPr>
          <w:rFonts w:hint="eastAsia" w:ascii="宋体" w:hAnsi="宋体" w:eastAsia="宋体" w:cs="宋体"/>
          <w:i/>
          <w:iCs/>
          <w:caps w:val="0"/>
          <w:color w:val="auto"/>
          <w:spacing w:val="0"/>
          <w:sz w:val="24"/>
          <w:szCs w:val="24"/>
          <w:highlight w:val="none"/>
          <w:u w:val="single"/>
          <w:lang w:eastAsia="zh-CN"/>
        </w:rPr>
        <w:t>；</w:t>
      </w:r>
    </w:p>
    <w:p w14:paraId="0E2B57EE">
      <w:pPr>
        <w:pStyle w:val="198"/>
        <w:keepNext w:val="0"/>
        <w:keepLines w:val="0"/>
        <w:pageBreakBefore w:val="0"/>
        <w:widowControl w:val="0"/>
        <w:numPr>
          <w:ilvl w:val="0"/>
          <w:numId w:val="0"/>
        </w:numPr>
        <w:spacing w:line="440" w:lineRule="exact"/>
        <w:ind w:left="0" w:firstLine="480"/>
        <w:rPr>
          <w:rFonts w:hint="eastAsia" w:ascii="宋体" w:hAnsi="宋体" w:eastAsia="宋体" w:cs="宋体"/>
          <w:i/>
          <w:iCs/>
          <w:caps w:val="0"/>
          <w:color w:val="auto"/>
          <w:spacing w:val="0"/>
          <w:sz w:val="24"/>
          <w:szCs w:val="24"/>
          <w:highlight w:val="none"/>
          <w:u w:val="single"/>
          <w:lang w:eastAsia="zh-CN"/>
        </w:rPr>
      </w:pPr>
      <w:r>
        <w:rPr>
          <w:rFonts w:hint="eastAsia" w:ascii="宋体" w:hAnsi="宋体" w:eastAsia="宋体" w:cs="宋体"/>
          <w:i/>
          <w:iCs/>
          <w:caps w:val="0"/>
          <w:color w:val="auto"/>
          <w:spacing w:val="0"/>
          <w:sz w:val="24"/>
          <w:szCs w:val="24"/>
          <w:highlight w:val="none"/>
          <w:u w:val="single"/>
        </w:rPr>
        <w:t>进度款：货物安装调试完毕并初步验收合格后，收到合规发票后10个工作日内</w:t>
      </w:r>
      <w:r>
        <w:rPr>
          <w:rFonts w:hint="eastAsia" w:ascii="宋体" w:hAnsi="宋体" w:eastAsia="宋体" w:cs="宋体"/>
          <w:i/>
          <w:iCs/>
          <w:caps w:val="0"/>
          <w:color w:val="auto"/>
          <w:spacing w:val="0"/>
          <w:sz w:val="24"/>
          <w:szCs w:val="24"/>
          <w:highlight w:val="none"/>
          <w:u w:val="single"/>
          <w:lang w:eastAsia="zh-CN"/>
        </w:rPr>
        <w:t>，</w:t>
      </w:r>
      <w:r>
        <w:rPr>
          <w:rFonts w:hint="eastAsia" w:ascii="宋体" w:hAnsi="宋体" w:eastAsia="宋体" w:cs="宋体"/>
          <w:i/>
          <w:iCs/>
          <w:caps w:val="0"/>
          <w:color w:val="auto"/>
          <w:spacing w:val="0"/>
          <w:sz w:val="24"/>
          <w:szCs w:val="24"/>
          <w:highlight w:val="none"/>
          <w:u w:val="single"/>
        </w:rPr>
        <w:t>支付至合同总价的</w:t>
      </w:r>
      <w:r>
        <w:rPr>
          <w:rFonts w:hint="eastAsia" w:ascii="宋体" w:hAnsi="宋体" w:eastAsia="宋体" w:cs="宋体"/>
          <w:i/>
          <w:iCs/>
          <w:caps w:val="0"/>
          <w:color w:val="auto"/>
          <w:spacing w:val="0"/>
          <w:sz w:val="24"/>
          <w:szCs w:val="24"/>
          <w:highlight w:val="none"/>
          <w:u w:val="single"/>
          <w:lang w:val="en-US" w:eastAsia="zh-CN"/>
        </w:rPr>
        <w:t>100</w:t>
      </w:r>
      <w:r>
        <w:rPr>
          <w:rFonts w:hint="eastAsia" w:ascii="宋体" w:hAnsi="宋体" w:eastAsia="宋体" w:cs="宋体"/>
          <w:i/>
          <w:iCs/>
          <w:caps w:val="0"/>
          <w:color w:val="auto"/>
          <w:spacing w:val="0"/>
          <w:sz w:val="24"/>
          <w:szCs w:val="24"/>
          <w:highlight w:val="none"/>
          <w:u w:val="single"/>
        </w:rPr>
        <w:t>%</w:t>
      </w:r>
      <w:r>
        <w:rPr>
          <w:rFonts w:hint="eastAsia" w:ascii="宋体" w:hAnsi="宋体" w:eastAsia="宋体" w:cs="宋体"/>
          <w:i/>
          <w:iCs/>
          <w:caps w:val="0"/>
          <w:color w:val="auto"/>
          <w:spacing w:val="0"/>
          <w:sz w:val="24"/>
          <w:szCs w:val="24"/>
          <w:highlight w:val="none"/>
          <w:u w:val="single"/>
          <w:lang w:eastAsia="zh-CN"/>
        </w:rPr>
        <w:t>；</w:t>
      </w:r>
    </w:p>
    <w:p w14:paraId="763E19E3">
      <w:pPr>
        <w:pStyle w:val="198"/>
        <w:keepNext w:val="0"/>
        <w:keepLines w:val="0"/>
        <w:pageBreakBefore w:val="0"/>
        <w:widowControl w:val="0"/>
        <w:numPr>
          <w:ilvl w:val="0"/>
          <w:numId w:val="0"/>
        </w:numPr>
        <w:spacing w:line="440" w:lineRule="exact"/>
        <w:ind w:left="0" w:firstLine="480"/>
        <w:rPr>
          <w:rFonts w:hint="eastAsia" w:ascii="宋体" w:hAnsi="宋体" w:eastAsia="宋体" w:cs="宋体"/>
          <w:i/>
          <w:iCs/>
          <w:caps w:val="0"/>
          <w:color w:val="auto"/>
          <w:spacing w:val="0"/>
          <w:sz w:val="24"/>
          <w:szCs w:val="24"/>
          <w:highlight w:val="none"/>
          <w:u w:val="single"/>
          <w:lang w:eastAsia="zh-CN"/>
        </w:rPr>
      </w:pPr>
      <w:r>
        <w:rPr>
          <w:rFonts w:hint="default" w:ascii="宋体" w:hAnsi="宋体" w:eastAsia="宋体" w:cs="宋体"/>
          <w:i/>
          <w:iCs/>
          <w:caps w:val="0"/>
          <w:color w:val="auto"/>
          <w:spacing w:val="0"/>
          <w:sz w:val="24"/>
          <w:szCs w:val="24"/>
          <w:lang w:val="en-US" w:eastAsia="zh-CN" w:bidi="ar-SA"/>
        </w:rPr>
        <w:t>6．</w:t>
      </w:r>
      <w:r>
        <w:rPr>
          <w:rFonts w:hint="eastAsia" w:ascii="宋体" w:hAnsi="宋体" w:eastAsia="宋体" w:cs="宋体"/>
          <w:i/>
          <w:iCs/>
          <w:caps w:val="0"/>
          <w:color w:val="auto"/>
          <w:spacing w:val="0"/>
          <w:sz w:val="24"/>
          <w:szCs w:val="24"/>
          <w:highlight w:val="none"/>
          <w:u w:val="single"/>
        </w:rPr>
        <w:t>方案完整性要求：投标人应确保其投标方案（包括必要的扩展内容）能完整实现招标文件的全部功能需求。如需增补清单外内容，应在投标文件中明确列出并计入总价。未列明者，视为现有清单已完全满足需求，因缺失导致的补充及整改责任由中标人承担。</w:t>
      </w:r>
    </w:p>
    <w:p w14:paraId="47660C04">
      <w:pPr>
        <w:pStyle w:val="198"/>
        <w:keepNext w:val="0"/>
        <w:keepLines w:val="0"/>
        <w:pageBreakBefore w:val="0"/>
        <w:widowControl w:val="0"/>
        <w:spacing w:line="440" w:lineRule="exact"/>
        <w:ind w:left="0" w:firstLine="480"/>
        <w:rPr>
          <w:rFonts w:hint="eastAsia" w:ascii="宋体" w:hAnsi="宋体" w:eastAsia="宋体" w:cs="宋体"/>
          <w:i/>
          <w:iCs/>
          <w:caps w:val="0"/>
          <w:color w:val="auto"/>
          <w:spacing w:val="0"/>
          <w:sz w:val="24"/>
          <w:szCs w:val="24"/>
          <w:highlight w:val="none"/>
          <w:u w:val="single"/>
        </w:rPr>
      </w:pPr>
      <w:r>
        <w:rPr>
          <w:rFonts w:hint="eastAsia" w:ascii="宋体" w:hAnsi="宋体" w:eastAsia="宋体" w:cs="宋体"/>
          <w:i/>
          <w:iCs/>
          <w:caps w:val="0"/>
          <w:color w:val="auto"/>
          <w:spacing w:val="0"/>
          <w:sz w:val="24"/>
          <w:szCs w:val="24"/>
          <w:highlight w:val="none"/>
          <w:u w:val="single"/>
        </w:rPr>
        <w:t>标准与费用包干：投标人应确保其产品与实施符合国家及项目所在地的强制性标准与规范。为满足所有要求及实现项目功能所产生的一切费用（包括但不限于货物采购费、运输费、安装调试费、培训费、税费、质保期内服务费等）、风险（包括市场价格波动、政策调整等风险）及税金均已包含在投标总价内，中标后不予调整。</w:t>
      </w:r>
    </w:p>
    <w:p w14:paraId="2885F091">
      <w:pPr>
        <w:pStyle w:val="198"/>
        <w:keepNext w:val="0"/>
        <w:keepLines w:val="0"/>
        <w:pageBreakBefore w:val="0"/>
        <w:widowControl w:val="0"/>
        <w:spacing w:line="440" w:lineRule="exact"/>
        <w:ind w:left="0" w:firstLine="482"/>
        <w:rPr>
          <w:rFonts w:hint="eastAsia" w:ascii="宋体" w:hAnsi="宋体" w:eastAsia="宋体" w:cs="宋体"/>
          <w:b/>
          <w:bCs w:val="0"/>
          <w:i/>
          <w:iCs w:val="0"/>
          <w:color w:val="auto"/>
          <w:sz w:val="24"/>
          <w:szCs w:val="24"/>
          <w:highlight w:val="none"/>
          <w:u w:val="single"/>
          <w:lang w:val="en-US" w:eastAsia="zh-CN"/>
        </w:rPr>
      </w:pPr>
      <w:r>
        <w:rPr>
          <w:rFonts w:hint="eastAsia" w:ascii="宋体" w:hAnsi="宋体" w:eastAsia="宋体" w:cs="宋体"/>
          <w:b/>
          <w:bCs w:val="0"/>
          <w:i/>
          <w:iCs w:val="0"/>
          <w:color w:val="auto"/>
          <w:sz w:val="24"/>
          <w:szCs w:val="24"/>
          <w:highlight w:val="none"/>
          <w:u w:val="single"/>
          <w:lang w:val="en-US" w:eastAsia="zh-CN"/>
        </w:rPr>
        <w:t>注：本招标文件中斜体且有下划线部分均为实质性要求和条件。对任何一条实质性要求条款的负偏离，都将导致其投标被视为无效。</w:t>
      </w:r>
    </w:p>
    <w:p w14:paraId="24AC1F3F">
      <w:pPr>
        <w:pStyle w:val="198"/>
        <w:keepNext w:val="0"/>
        <w:keepLines w:val="0"/>
        <w:pageBreakBefore w:val="0"/>
        <w:widowControl w:val="0"/>
        <w:spacing w:line="480" w:lineRule="exact"/>
        <w:ind w:left="0" w:firstLine="482"/>
        <w:rPr>
          <w:rFonts w:hint="eastAsia" w:ascii="宋体" w:hAnsi="宋体" w:eastAsia="宋体" w:cs="宋体"/>
          <w:b/>
          <w:bCs/>
          <w:i w:val="0"/>
          <w:iCs w:val="0"/>
          <w:caps w:val="0"/>
          <w:color w:val="auto"/>
          <w:spacing w:val="0"/>
          <w:sz w:val="24"/>
          <w:szCs w:val="24"/>
        </w:rPr>
      </w:pPr>
      <w:r>
        <w:rPr>
          <w:rFonts w:hint="eastAsia" w:ascii="宋体" w:hAnsi="宋体" w:eastAsia="宋体" w:cs="宋体"/>
          <w:b/>
          <w:bCs/>
          <w:i w:val="0"/>
          <w:iCs w:val="0"/>
          <w:caps w:val="0"/>
          <w:color w:val="auto"/>
          <w:spacing w:val="0"/>
          <w:sz w:val="24"/>
          <w:szCs w:val="24"/>
          <w:lang w:val="en-US" w:eastAsia="zh-CN"/>
        </w:rPr>
        <w:t>五</w:t>
      </w:r>
      <w:r>
        <w:rPr>
          <w:rFonts w:hint="eastAsia" w:ascii="宋体" w:hAnsi="宋体" w:eastAsia="宋体" w:cs="宋体"/>
          <w:b/>
          <w:bCs/>
          <w:i w:val="0"/>
          <w:iCs w:val="0"/>
          <w:caps w:val="0"/>
          <w:color w:val="auto"/>
          <w:spacing w:val="0"/>
          <w:sz w:val="24"/>
          <w:szCs w:val="24"/>
        </w:rPr>
        <w:t>、现场踏勘</w:t>
      </w:r>
    </w:p>
    <w:p w14:paraId="711789B1">
      <w:pPr>
        <w:pStyle w:val="198"/>
        <w:keepNext w:val="0"/>
        <w:keepLines w:val="0"/>
        <w:pageBreakBefore w:val="0"/>
        <w:widowControl w:val="0"/>
        <w:spacing w:line="480" w:lineRule="exact"/>
        <w:ind w:left="0" w:firstLine="480"/>
        <w:rPr>
          <w:rFonts w:hint="eastAsia" w:ascii="宋体" w:hAnsi="宋体" w:eastAsia="宋体" w:cs="宋体"/>
          <w:i w:val="0"/>
          <w:iCs w:val="0"/>
          <w:caps w:val="0"/>
          <w:color w:val="auto"/>
          <w:spacing w:val="0"/>
          <w:sz w:val="24"/>
          <w:szCs w:val="24"/>
          <w:lang w:eastAsia="zh-CN"/>
        </w:rPr>
      </w:pPr>
      <w:r>
        <w:rPr>
          <w:rFonts w:hint="eastAsia" w:ascii="宋体" w:hAnsi="宋体" w:eastAsia="宋体" w:cs="宋体"/>
          <w:i w:val="0"/>
          <w:iCs w:val="0"/>
          <w:caps w:val="0"/>
          <w:color w:val="auto"/>
          <w:spacing w:val="0"/>
          <w:sz w:val="24"/>
          <w:szCs w:val="24"/>
        </w:rPr>
        <w:t>供应商应在报价前充分了解项目现场条件及所有可能影响成本和实施的因素。鼓励供应商自行进行现场踏勘。踏勘现场所发生的一切费用及人身财产安全责任，均由供应商自行承担。供应商未踏勘现场，将被视为已充分了解并接受所有现场条件与风险，成交后不得因此提出任何费用或工期索赔。</w:t>
      </w:r>
    </w:p>
    <w:p w14:paraId="4DEBB7C1">
      <w:pPr>
        <w:pStyle w:val="198"/>
        <w:keepNext w:val="0"/>
        <w:keepLines w:val="0"/>
        <w:pageBreakBefore w:val="0"/>
        <w:widowControl w:val="0"/>
        <w:spacing w:line="480" w:lineRule="exact"/>
        <w:ind w:left="0" w:firstLine="482"/>
        <w:rPr>
          <w:rFonts w:hint="eastAsia" w:ascii="宋体" w:hAnsi="宋体" w:eastAsia="宋体" w:cs="宋体"/>
          <w:b/>
          <w:bCs/>
          <w:i w:val="0"/>
          <w:iCs w:val="0"/>
          <w:caps w:val="0"/>
          <w:color w:val="auto"/>
          <w:spacing w:val="0"/>
          <w:sz w:val="24"/>
          <w:szCs w:val="24"/>
        </w:rPr>
      </w:pPr>
      <w:r>
        <w:rPr>
          <w:rFonts w:hint="eastAsia" w:ascii="宋体" w:hAnsi="宋体" w:eastAsia="宋体" w:cs="宋体"/>
          <w:b/>
          <w:bCs/>
          <w:i w:val="0"/>
          <w:iCs w:val="0"/>
          <w:caps w:val="0"/>
          <w:color w:val="auto"/>
          <w:spacing w:val="0"/>
          <w:sz w:val="24"/>
          <w:szCs w:val="24"/>
          <w:lang w:val="en-US" w:eastAsia="zh-CN"/>
        </w:rPr>
        <w:t>六</w:t>
      </w:r>
      <w:r>
        <w:rPr>
          <w:rFonts w:hint="eastAsia" w:ascii="宋体" w:hAnsi="宋体" w:eastAsia="宋体" w:cs="宋体"/>
          <w:b/>
          <w:bCs/>
          <w:i w:val="0"/>
          <w:iCs w:val="0"/>
          <w:caps w:val="0"/>
          <w:color w:val="auto"/>
          <w:spacing w:val="0"/>
          <w:sz w:val="24"/>
          <w:szCs w:val="24"/>
        </w:rPr>
        <w:t>、</w:t>
      </w:r>
      <w:r>
        <w:rPr>
          <w:rFonts w:hint="eastAsia" w:ascii="宋体" w:hAnsi="宋体" w:cs="宋体"/>
          <w:b/>
          <w:bCs/>
          <w:i/>
          <w:iCs/>
          <w:color w:val="auto"/>
          <w:sz w:val="24"/>
          <w:szCs w:val="24"/>
          <w:u w:val="single"/>
          <w:lang w:eastAsia="zh-CN"/>
        </w:rPr>
        <w:t>本项目不接受进口产品投标</w:t>
      </w:r>
      <w:r>
        <w:rPr>
          <w:rFonts w:hint="eastAsia" w:ascii="宋体" w:hAnsi="宋体" w:cs="宋体"/>
          <w:b/>
          <w:bCs/>
          <w:color w:val="auto"/>
          <w:sz w:val="24"/>
          <w:szCs w:val="24"/>
          <w:lang w:eastAsia="zh-CN"/>
        </w:rPr>
        <w:t>。</w:t>
      </w:r>
    </w:p>
    <w:p w14:paraId="69AC9891">
      <w:pPr>
        <w:widowControl/>
        <w:tabs>
          <w:tab w:val="left" w:pos="5250"/>
        </w:tabs>
        <w:spacing w:line="440" w:lineRule="exact"/>
        <w:ind w:firstLine="480"/>
        <w:jc w:val="left"/>
        <w:rPr>
          <w:rFonts w:hint="eastAsia" w:ascii="宋体" w:hAnsi="宋体" w:eastAsia="宋体" w:cs="宋体"/>
          <w:b/>
          <w:bCs/>
          <w:color w:val="auto"/>
          <w:sz w:val="24"/>
          <w:szCs w:val="24"/>
          <w:u w:val="none"/>
          <w:lang w:val="en-US" w:eastAsia="zh-CN"/>
        </w:rPr>
      </w:pPr>
      <w:r>
        <w:rPr>
          <w:rFonts w:hint="eastAsia" w:ascii="宋体" w:hAnsi="宋体" w:eastAsia="宋体" w:cs="宋体"/>
          <w:b/>
          <w:bCs/>
          <w:i w:val="0"/>
          <w:iCs w:val="0"/>
          <w:caps w:val="0"/>
          <w:color w:val="auto"/>
          <w:spacing w:val="0"/>
          <w:sz w:val="24"/>
          <w:szCs w:val="24"/>
          <w:lang w:val="en-US" w:eastAsia="zh-CN"/>
        </w:rPr>
        <w:t>七</w:t>
      </w:r>
      <w:r>
        <w:rPr>
          <w:rFonts w:hint="eastAsia" w:ascii="宋体" w:hAnsi="宋体" w:eastAsia="宋体" w:cs="宋体"/>
          <w:b/>
          <w:bCs/>
          <w:i w:val="0"/>
          <w:iCs w:val="0"/>
          <w:caps w:val="0"/>
          <w:color w:val="auto"/>
          <w:spacing w:val="0"/>
          <w:sz w:val="24"/>
          <w:szCs w:val="24"/>
        </w:rPr>
        <w:t>、</w:t>
      </w:r>
      <w:r>
        <w:rPr>
          <w:rFonts w:hint="eastAsia" w:ascii="宋体" w:hAnsi="宋体" w:eastAsia="宋体" w:cs="宋体"/>
          <w:b/>
          <w:bCs/>
          <w:color w:val="auto"/>
          <w:sz w:val="24"/>
          <w:szCs w:val="24"/>
          <w:u w:val="none"/>
          <w:lang w:val="en-US" w:eastAsia="zh-CN"/>
        </w:rPr>
        <w:t>其他要求</w:t>
      </w:r>
    </w:p>
    <w:p w14:paraId="2F8AF739">
      <w:pPr>
        <w:keepNext w:val="0"/>
        <w:keepLines w:val="0"/>
        <w:pageBreakBefore w:val="0"/>
        <w:widowControl w:val="0"/>
        <w:spacing w:line="440" w:lineRule="exact"/>
        <w:ind w:firstLine="480"/>
        <w:jc w:val="left"/>
        <w:rPr>
          <w:rFonts w:hint="eastAsia" w:ascii="宋体" w:hAnsi="宋体" w:eastAsia="宋体" w:cs="宋体"/>
          <w:color w:val="auto"/>
          <w:sz w:val="24"/>
          <w:szCs w:val="22"/>
          <w:lang w:val="en-US" w:eastAsia="zh-CN" w:bidi="ar-SA"/>
        </w:rPr>
      </w:pPr>
      <w:r>
        <w:rPr>
          <w:rFonts w:hint="eastAsia" w:ascii="宋体" w:hAnsi="宋体" w:eastAsia="宋体" w:cs="宋体"/>
          <w:color w:val="auto"/>
          <w:sz w:val="24"/>
          <w:szCs w:val="22"/>
          <w:lang w:val="en-US" w:eastAsia="zh-CN" w:bidi="ar-SA"/>
        </w:rPr>
        <w:t>（一）投标人或产品制造商具有2023年1月1日以来（以合同签订时间为准）承担过类似项目业绩【类似项目指：包含工业机器人综合实训平台、数字孪生仿真平台任一项或全部类似项目】的</w:t>
      </w:r>
      <w:r>
        <w:rPr>
          <w:rFonts w:hint="eastAsia" w:ascii="宋体" w:hAnsi="宋体" w:eastAsia="宋体" w:cs="宋体"/>
          <w:b/>
          <w:bCs/>
          <w:color w:val="auto"/>
          <w:sz w:val="24"/>
          <w:szCs w:val="22"/>
          <w:lang w:val="en-US" w:eastAsia="zh-CN" w:bidi="ar-SA"/>
        </w:rPr>
        <w:t>优先</w:t>
      </w:r>
      <w:r>
        <w:rPr>
          <w:rFonts w:hint="eastAsia" w:ascii="宋体" w:hAnsi="宋体" w:eastAsia="宋体" w:cs="宋体"/>
          <w:color w:val="auto"/>
          <w:sz w:val="24"/>
          <w:szCs w:val="22"/>
          <w:lang w:val="en-US" w:eastAsia="zh-CN" w:bidi="ar-SA"/>
        </w:rPr>
        <w:t>。</w:t>
      </w:r>
    </w:p>
    <w:p w14:paraId="5853E94F">
      <w:pPr>
        <w:keepNext w:val="0"/>
        <w:keepLines w:val="0"/>
        <w:pageBreakBefore w:val="0"/>
        <w:widowControl w:val="0"/>
        <w:spacing w:line="440" w:lineRule="exact"/>
        <w:ind w:firstLine="482"/>
        <w:jc w:val="left"/>
        <w:rPr>
          <w:rFonts w:hint="eastAsia" w:ascii="宋体" w:hAnsi="宋体" w:eastAsia="宋体" w:cs="宋体"/>
          <w:b/>
          <w:bCs/>
          <w:color w:val="auto"/>
          <w:sz w:val="24"/>
          <w:szCs w:val="22"/>
          <w:lang w:val="en-US" w:eastAsia="zh-CN" w:bidi="ar-SA"/>
        </w:rPr>
      </w:pPr>
      <w:r>
        <w:rPr>
          <w:rFonts w:hint="eastAsia" w:ascii="宋体" w:hAnsi="宋体" w:eastAsia="宋体" w:cs="宋体"/>
          <w:b/>
          <w:bCs/>
          <w:color w:val="auto"/>
          <w:sz w:val="24"/>
          <w:szCs w:val="22"/>
          <w:lang w:val="en-US" w:eastAsia="zh-CN" w:bidi="ar-SA"/>
        </w:rPr>
        <w:t>（二）</w:t>
      </w:r>
      <w:r>
        <w:rPr>
          <w:rFonts w:hint="eastAsia" w:ascii="宋体" w:hAnsi="宋体"/>
          <w:bCs/>
          <w:color w:val="auto"/>
          <w:sz w:val="24"/>
          <w:lang w:val="en"/>
        </w:rPr>
        <w:t>投标产品属于财政部、国家发改委公布的“节能产品品目清单”范围内的优先；投标产品属于财政部、生态环境部公布的“环境标志产品品目清单”范围内的</w:t>
      </w:r>
      <w:r>
        <w:rPr>
          <w:rFonts w:hint="eastAsia" w:ascii="宋体" w:hAnsi="宋体"/>
          <w:b/>
          <w:bCs w:val="0"/>
          <w:color w:val="auto"/>
          <w:sz w:val="24"/>
          <w:lang w:val="en"/>
        </w:rPr>
        <w:t>优先</w:t>
      </w:r>
      <w:r>
        <w:rPr>
          <w:rFonts w:hint="eastAsia" w:ascii="宋体" w:hAnsi="宋体"/>
          <w:bCs/>
          <w:color w:val="auto"/>
          <w:sz w:val="24"/>
          <w:lang w:val="en"/>
        </w:rPr>
        <w:t>。</w:t>
      </w:r>
    </w:p>
    <w:p w14:paraId="47CD714A">
      <w:pPr>
        <w:keepNext w:val="0"/>
        <w:keepLines w:val="0"/>
        <w:pageBreakBefore w:val="0"/>
        <w:widowControl w:val="0"/>
        <w:spacing w:line="440" w:lineRule="exact"/>
        <w:ind w:firstLine="482"/>
        <w:jc w:val="left"/>
        <w:rPr>
          <w:rFonts w:hint="eastAsia" w:ascii="宋体" w:hAnsi="宋体" w:eastAsia="宋体" w:cs="宋体"/>
          <w:bCs/>
          <w:color w:val="auto"/>
          <w:sz w:val="24"/>
          <w:szCs w:val="24"/>
          <w:lang w:val="en-US" w:eastAsia="zh-CN"/>
        </w:rPr>
      </w:pPr>
      <w:r>
        <w:rPr>
          <w:rFonts w:hint="eastAsia" w:ascii="宋体" w:hAnsi="宋体" w:eastAsia="宋体" w:cs="宋体"/>
          <w:b/>
          <w:bCs/>
          <w:color w:val="auto"/>
          <w:sz w:val="24"/>
          <w:szCs w:val="22"/>
          <w:lang w:val="en-US" w:eastAsia="zh-CN" w:bidi="ar-SA"/>
        </w:rPr>
        <w:t>（三）综合实力</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yellow"/>
          <w:lang w:val="en-US" w:eastAsia="zh-CN"/>
        </w:rPr>
        <w:t>或产品制造商</w:t>
      </w:r>
      <w:r>
        <w:rPr>
          <w:rFonts w:hint="eastAsia" w:ascii="宋体" w:hAnsi="宋体" w:eastAsia="宋体" w:cs="宋体"/>
          <w:color w:val="auto"/>
          <w:sz w:val="24"/>
          <w:szCs w:val="24"/>
          <w:highlight w:val="none"/>
          <w:lang w:val="en-US" w:eastAsia="zh-CN"/>
        </w:rPr>
        <w:t>所投工业机器人产品相关荣誉（仅针对工业机器人产品技术、质量类奖项，企业综合荣誉不予计分）：2023年1月1日以来，由行政主管部门或国家级权威行业组织颁发的工业机器人产品相关荣誉证书</w:t>
      </w:r>
      <w:r>
        <w:rPr>
          <w:rFonts w:hint="eastAsia" w:ascii="宋体" w:hAnsi="宋体" w:eastAsia="宋体" w:cs="宋体"/>
          <w:color w:val="auto"/>
          <w:sz w:val="24"/>
          <w:szCs w:val="24"/>
          <w:lang w:val="en-US" w:eastAsia="zh-CN" w:bidi="ar-SA"/>
        </w:rPr>
        <w:t>的</w:t>
      </w:r>
      <w:r>
        <w:rPr>
          <w:rFonts w:hint="eastAsia" w:ascii="宋体" w:hAnsi="宋体" w:eastAsia="宋体" w:cs="宋体"/>
          <w:b/>
          <w:bCs/>
          <w:color w:val="auto"/>
          <w:sz w:val="24"/>
          <w:szCs w:val="24"/>
          <w:lang w:val="en-US" w:eastAsia="zh-CN" w:bidi="ar-SA"/>
        </w:rPr>
        <w:t>优先</w:t>
      </w:r>
      <w:r>
        <w:rPr>
          <w:rFonts w:hint="eastAsia" w:ascii="宋体" w:hAnsi="宋体" w:eastAsia="宋体" w:cs="宋体"/>
          <w:bCs/>
          <w:color w:val="auto"/>
          <w:sz w:val="24"/>
          <w:szCs w:val="24"/>
          <w:lang w:val="en"/>
        </w:rPr>
        <w:t>。</w:t>
      </w:r>
    </w:p>
    <w:p w14:paraId="78386AF3">
      <w:pPr>
        <w:keepNext w:val="0"/>
        <w:keepLines w:val="0"/>
        <w:pageBreakBefore w:val="0"/>
        <w:widowControl/>
        <w:spacing w:line="480" w:lineRule="exact"/>
        <w:ind w:firstLine="482"/>
        <w:jc w:val="left"/>
        <w:rPr>
          <w:rFonts w:hint="eastAsia" w:ascii="宋体" w:hAnsi="宋体" w:eastAsia="宋体" w:cs="宋体"/>
          <w:color w:val="auto"/>
          <w:sz w:val="24"/>
          <w:szCs w:val="22"/>
          <w:highlight w:val="red"/>
          <w:lang w:val="en-US" w:eastAsia="zh-CN" w:bidi="ar-SA"/>
        </w:rPr>
      </w:pPr>
      <w:r>
        <w:rPr>
          <w:rFonts w:hint="eastAsia" w:ascii="宋体" w:hAnsi="宋体" w:eastAsia="宋体" w:cs="宋体"/>
          <w:b/>
          <w:bCs/>
          <w:color w:val="auto"/>
          <w:sz w:val="24"/>
          <w:szCs w:val="22"/>
          <w:highlight w:val="red"/>
          <w:lang w:val="en-US" w:eastAsia="zh-CN" w:bidi="ar-SA"/>
        </w:rPr>
        <w:t>（四）项目组织实施方案</w:t>
      </w:r>
    </w:p>
    <w:p w14:paraId="37824FCF">
      <w:pPr>
        <w:keepNext w:val="0"/>
        <w:keepLines w:val="0"/>
        <w:pageBreakBefore w:val="0"/>
        <w:widowControl/>
        <w:spacing w:line="480" w:lineRule="exact"/>
        <w:ind w:firstLine="480"/>
        <w:rPr>
          <w:rFonts w:hint="eastAsia" w:ascii="宋体" w:hAnsi="宋体" w:eastAsia="宋体" w:cs="宋体"/>
          <w:color w:val="auto"/>
          <w:sz w:val="24"/>
          <w:szCs w:val="24"/>
          <w:highlight w:val="red"/>
        </w:rPr>
      </w:pPr>
      <w:r>
        <w:rPr>
          <w:rFonts w:hint="eastAsia" w:ascii="宋体" w:hAnsi="宋体" w:eastAsia="宋体" w:cs="宋体"/>
          <w:color w:val="auto"/>
          <w:sz w:val="24"/>
          <w:szCs w:val="24"/>
          <w:highlight w:val="red"/>
        </w:rPr>
        <w:t>为保障设备高质量交付、稳定运行及长期服务，投标人须针对本项目制定可落地、可追溯、可考核的方案，结合本项目特点，明确全流程责任与时限。本部分为评审内容，投标人须严格按照本章节列明全部子项逐条编制应答，缺项将导致对应评审项不得分。方案响应分为“优于需求、满足需求、不满足需求”三个层级：全部响应本章节全部要求，且增加更细致、有针对性、切实可行、本需求之外且与本项目实施相关的专项措施，视为优于；完整响应全部条款要求视为满足；存在缺项、漏项、关键指标偏离、部分条款未响应的，视为不满足</w:t>
      </w:r>
      <w:r>
        <w:rPr>
          <w:rFonts w:hint="eastAsia" w:ascii="宋体" w:hAnsi="宋体" w:eastAsia="宋体" w:cs="宋体"/>
          <w:b/>
          <w:bCs/>
          <w:color w:val="auto"/>
          <w:sz w:val="24"/>
          <w:szCs w:val="24"/>
          <w:highlight w:val="red"/>
          <w:lang w:eastAsia="zh-CN"/>
        </w:rPr>
        <w:t>。</w:t>
      </w:r>
      <w:r>
        <w:rPr>
          <w:rFonts w:ascii="Segoe UI" w:hAnsi="Segoe UI" w:eastAsia="Segoe UI" w:cs="Segoe UI"/>
          <w:b/>
          <w:bCs/>
          <w:i w:val="0"/>
          <w:iCs w:val="0"/>
          <w:caps w:val="0"/>
          <w:color w:val="auto"/>
          <w:spacing w:val="0"/>
          <w:sz w:val="24"/>
          <w:szCs w:val="24"/>
          <w:highlight w:val="red"/>
          <w:shd w:val="clear" w:color="auto" w:fill="FFFFFF"/>
        </w:rPr>
        <w:t>方案至少应</w:t>
      </w:r>
      <w:r>
        <w:rPr>
          <w:rFonts w:hint="eastAsia" w:ascii="Segoe UI" w:hAnsi="Segoe UI" w:cs="Segoe UI"/>
          <w:b/>
          <w:bCs/>
          <w:i w:val="0"/>
          <w:iCs w:val="0"/>
          <w:caps w:val="0"/>
          <w:color w:val="auto"/>
          <w:spacing w:val="0"/>
          <w:sz w:val="24"/>
          <w:szCs w:val="24"/>
          <w:highlight w:val="red"/>
          <w:shd w:val="clear" w:color="auto" w:fill="FFFFFF"/>
          <w:lang w:val="en-US" w:eastAsia="zh-CN"/>
        </w:rPr>
        <w:t>包含</w:t>
      </w:r>
      <w:r>
        <w:rPr>
          <w:rFonts w:ascii="Segoe UI" w:hAnsi="Segoe UI" w:eastAsia="Segoe UI" w:cs="Segoe UI"/>
          <w:b/>
          <w:bCs/>
          <w:i w:val="0"/>
          <w:iCs w:val="0"/>
          <w:caps w:val="0"/>
          <w:color w:val="auto"/>
          <w:spacing w:val="0"/>
          <w:sz w:val="24"/>
          <w:szCs w:val="24"/>
          <w:highlight w:val="red"/>
          <w:shd w:val="clear" w:color="auto" w:fill="FFFFFF"/>
        </w:rPr>
        <w:t>以下</w:t>
      </w:r>
      <w:r>
        <w:rPr>
          <w:rFonts w:hint="eastAsia" w:ascii="Segoe UI" w:hAnsi="Segoe UI" w:cs="Segoe UI"/>
          <w:b/>
          <w:bCs/>
          <w:i w:val="0"/>
          <w:iCs w:val="0"/>
          <w:caps w:val="0"/>
          <w:color w:val="auto"/>
          <w:spacing w:val="0"/>
          <w:sz w:val="24"/>
          <w:szCs w:val="24"/>
          <w:highlight w:val="red"/>
          <w:shd w:val="clear" w:color="auto" w:fill="FFFFFF"/>
          <w:lang w:val="en-US" w:eastAsia="zh-CN"/>
        </w:rPr>
        <w:t>内容</w:t>
      </w:r>
      <w:r>
        <w:rPr>
          <w:rFonts w:ascii="Segoe UI" w:hAnsi="Segoe UI" w:eastAsia="Segoe UI" w:cs="Segoe UI"/>
          <w:b/>
          <w:bCs/>
          <w:i w:val="0"/>
          <w:iCs w:val="0"/>
          <w:caps w:val="0"/>
          <w:color w:val="auto"/>
          <w:spacing w:val="0"/>
          <w:sz w:val="24"/>
          <w:szCs w:val="24"/>
          <w:highlight w:val="red"/>
          <w:shd w:val="clear" w:color="auto" w:fill="FFFFFF"/>
        </w:rPr>
        <w:t>：</w:t>
      </w:r>
    </w:p>
    <w:p w14:paraId="4DE39DA8">
      <w:pPr>
        <w:keepNext w:val="0"/>
        <w:keepLines w:val="0"/>
        <w:pageBreakBefore w:val="0"/>
        <w:widowControl/>
        <w:spacing w:line="480" w:lineRule="exact"/>
        <w:ind w:firstLine="482"/>
        <w:rPr>
          <w:rFonts w:hint="eastAsia" w:ascii="宋体" w:hAnsi="宋体" w:eastAsia="宋体" w:cs="宋体"/>
          <w:b/>
          <w:bCs/>
          <w:color w:val="auto"/>
          <w:sz w:val="24"/>
          <w:szCs w:val="24"/>
          <w:highlight w:val="red"/>
        </w:rPr>
      </w:pPr>
      <w:r>
        <w:rPr>
          <w:rFonts w:hint="eastAsia" w:ascii="宋体" w:hAnsi="宋体" w:eastAsia="宋体" w:cs="宋体"/>
          <w:b/>
          <w:bCs/>
          <w:color w:val="auto"/>
          <w:sz w:val="24"/>
          <w:szCs w:val="24"/>
          <w:highlight w:val="red"/>
          <w:lang w:val="en-US" w:eastAsia="zh-CN"/>
        </w:rPr>
        <w:t>1.</w:t>
      </w:r>
      <w:r>
        <w:rPr>
          <w:rFonts w:hint="eastAsia" w:ascii="宋体" w:hAnsi="宋体" w:eastAsia="宋体" w:cs="宋体"/>
          <w:b/>
          <w:bCs/>
          <w:color w:val="auto"/>
          <w:sz w:val="24"/>
          <w:szCs w:val="24"/>
          <w:highlight w:val="red"/>
        </w:rPr>
        <w:t>安装、调试及验收方案</w:t>
      </w:r>
    </w:p>
    <w:p w14:paraId="2455C51C">
      <w:pPr>
        <w:tabs>
          <w:tab w:val="left" w:pos="851"/>
        </w:tabs>
        <w:spacing w:line="500" w:lineRule="exact"/>
        <w:ind w:firstLine="480"/>
        <w:rPr>
          <w:rFonts w:ascii="宋体" w:hAnsi="宋体" w:eastAsia="宋体" w:cs="宋体"/>
          <w:color w:val="auto"/>
          <w:kern w:val="0"/>
          <w:sz w:val="24"/>
          <w:highlight w:val="red"/>
        </w:rPr>
      </w:pPr>
      <w:r>
        <w:rPr>
          <w:rFonts w:hint="default" w:ascii="宋体" w:hAnsi="宋体" w:eastAsia="宋体" w:cs="宋体"/>
          <w:color w:val="auto"/>
          <w:sz w:val="24"/>
          <w:szCs w:val="24"/>
          <w:highlight w:val="red"/>
        </w:rPr>
        <w:t>聚焦“标准化流程与专业化交付”，本</w:t>
      </w:r>
      <w:r>
        <w:rPr>
          <w:rFonts w:hint="eastAsia" w:ascii="宋体" w:hAnsi="宋体" w:eastAsia="宋体" w:cs="Times New Roman"/>
          <w:bCs/>
          <w:color w:val="auto"/>
          <w:kern w:val="0"/>
          <w:sz w:val="24"/>
          <w:szCs w:val="21"/>
          <w:highlight w:val="red"/>
          <w:lang w:val="en"/>
        </w:rPr>
        <w:t>方案</w:t>
      </w:r>
      <w:r>
        <w:rPr>
          <w:rFonts w:hint="eastAsia" w:ascii="宋体" w:hAnsi="宋体" w:eastAsia="宋体" w:cs="Times New Roman"/>
          <w:bCs/>
          <w:color w:val="auto"/>
          <w:kern w:val="0"/>
          <w:sz w:val="24"/>
          <w:szCs w:val="21"/>
          <w:highlight w:val="red"/>
        </w:rPr>
        <w:t>至少</w:t>
      </w:r>
      <w:r>
        <w:rPr>
          <w:rFonts w:hint="eastAsia" w:ascii="宋体" w:hAnsi="宋体" w:eastAsia="宋体" w:cs="宋体"/>
          <w:color w:val="auto"/>
          <w:kern w:val="0"/>
          <w:sz w:val="24"/>
          <w:highlight w:val="red"/>
        </w:rPr>
        <w:t>包括以下内容：</w:t>
      </w:r>
    </w:p>
    <w:p w14:paraId="606DF573">
      <w:pPr>
        <w:tabs>
          <w:tab w:val="left" w:pos="851"/>
        </w:tabs>
        <w:spacing w:line="500" w:lineRule="exact"/>
        <w:ind w:firstLine="480"/>
        <w:rPr>
          <w:rFonts w:ascii="宋体" w:hAnsi="宋体" w:eastAsia="宋体" w:cs="宋体"/>
          <w:color w:val="auto"/>
          <w:kern w:val="0"/>
          <w:sz w:val="24"/>
          <w:highlight w:val="red"/>
        </w:rPr>
      </w:pPr>
      <w:r>
        <w:rPr>
          <w:rFonts w:hint="eastAsia" w:ascii="宋体" w:hAnsi="宋体" w:eastAsia="宋体" w:cs="宋体"/>
          <w:color w:val="auto"/>
          <w:kern w:val="0"/>
          <w:sz w:val="24"/>
          <w:highlight w:val="red"/>
        </w:rPr>
        <w:t>（1）供货周期及进度计划</w:t>
      </w:r>
    </w:p>
    <w:p w14:paraId="0B56C033">
      <w:pPr>
        <w:tabs>
          <w:tab w:val="left" w:pos="851"/>
        </w:tabs>
        <w:spacing w:line="500" w:lineRule="exact"/>
        <w:ind w:firstLine="480"/>
        <w:rPr>
          <w:rFonts w:hint="eastAsia" w:ascii="宋体" w:hAnsi="宋体" w:eastAsia="宋体" w:cs="宋体"/>
          <w:color w:val="auto"/>
          <w:kern w:val="0"/>
          <w:sz w:val="24"/>
          <w:szCs w:val="21"/>
          <w:highlight w:val="red"/>
          <w:lang w:bidi="ar"/>
        </w:rPr>
      </w:pPr>
      <w:r>
        <w:rPr>
          <w:rFonts w:hint="eastAsia" w:ascii="宋体" w:hAnsi="宋体" w:eastAsia="宋体" w:cs="宋体"/>
          <w:color w:val="auto"/>
          <w:kern w:val="0"/>
          <w:sz w:val="24"/>
          <w:szCs w:val="21"/>
          <w:highlight w:val="red"/>
          <w:lang w:bidi="ar"/>
        </w:rPr>
        <w:t>①投标人须明确承诺本项目全部货物完成生产、配送、到货、就位的总工期，严格响应招标文件既定的交付时限要求（合同签订后45天内），注明具体起止时间、整体交付完成节点，同时需说明供货周期测算依据，结合货物规格、数量、生产工艺、物流条件等进行详细阐述；</w:t>
      </w:r>
    </w:p>
    <w:p w14:paraId="5F017E1C">
      <w:pPr>
        <w:tabs>
          <w:tab w:val="left" w:pos="851"/>
        </w:tabs>
        <w:spacing w:line="500" w:lineRule="exact"/>
        <w:ind w:firstLine="480"/>
        <w:rPr>
          <w:rFonts w:hint="eastAsia" w:ascii="宋体" w:hAnsi="宋体" w:eastAsia="宋体" w:cs="宋体"/>
          <w:color w:val="auto"/>
          <w:kern w:val="0"/>
          <w:sz w:val="24"/>
          <w:szCs w:val="21"/>
          <w:highlight w:val="red"/>
          <w:lang w:bidi="ar"/>
        </w:rPr>
      </w:pPr>
      <w:r>
        <w:rPr>
          <w:rFonts w:hint="eastAsia" w:ascii="宋体" w:hAnsi="宋体" w:eastAsia="宋体" w:cs="宋体"/>
          <w:color w:val="auto"/>
          <w:kern w:val="0"/>
          <w:sz w:val="24"/>
          <w:szCs w:val="21"/>
          <w:highlight w:val="red"/>
          <w:lang w:bidi="ar"/>
        </w:rPr>
        <w:t>②明确全部货物到货、就位、安装调试完成、整体验收合格的最终竣工节点，同步说明进度计划与项目整体落地、采购人使用计划的衔接配合方式。</w:t>
      </w:r>
    </w:p>
    <w:p w14:paraId="7E7093A5">
      <w:pPr>
        <w:tabs>
          <w:tab w:val="left" w:pos="851"/>
        </w:tabs>
        <w:spacing w:line="500" w:lineRule="exact"/>
        <w:ind w:firstLine="480"/>
        <w:rPr>
          <w:rFonts w:ascii="宋体" w:hAnsi="宋体" w:eastAsia="宋体" w:cs="宋体"/>
          <w:color w:val="auto"/>
          <w:kern w:val="0"/>
          <w:sz w:val="24"/>
          <w:highlight w:val="red"/>
        </w:rPr>
      </w:pPr>
      <w:r>
        <w:rPr>
          <w:rFonts w:hint="eastAsia" w:ascii="宋体" w:hAnsi="宋体" w:eastAsia="宋体" w:cs="宋体"/>
          <w:color w:val="auto"/>
          <w:kern w:val="0"/>
          <w:sz w:val="24"/>
          <w:szCs w:val="21"/>
          <w:highlight w:val="red"/>
          <w:lang w:bidi="ar"/>
        </w:rPr>
        <w:t>③投标人应答时需清晰列明各关键节点时间、测算依据、与采购人使用计划的协同措施，未明确总工期、关键节点、测算依据的，本模块视为不满足需求</w:t>
      </w:r>
      <w:r>
        <w:rPr>
          <w:rFonts w:hint="eastAsia" w:ascii="宋体" w:hAnsi="宋体" w:eastAsia="宋体" w:cs="宋体"/>
          <w:color w:val="auto"/>
          <w:kern w:val="0"/>
          <w:sz w:val="24"/>
          <w:highlight w:val="red"/>
        </w:rPr>
        <w:t>。</w:t>
      </w:r>
    </w:p>
    <w:p w14:paraId="464F8787">
      <w:pPr>
        <w:tabs>
          <w:tab w:val="left" w:pos="851"/>
        </w:tabs>
        <w:spacing w:line="500" w:lineRule="exact"/>
        <w:ind w:firstLine="480"/>
        <w:rPr>
          <w:rFonts w:ascii="宋体" w:hAnsi="宋体" w:eastAsia="宋体" w:cs="宋体"/>
          <w:color w:val="auto"/>
          <w:kern w:val="0"/>
          <w:sz w:val="24"/>
          <w:highlight w:val="red"/>
        </w:rPr>
      </w:pPr>
      <w:r>
        <w:rPr>
          <w:rFonts w:hint="eastAsia" w:ascii="宋体" w:hAnsi="宋体" w:eastAsia="宋体" w:cs="宋体"/>
          <w:color w:val="auto"/>
          <w:kern w:val="0"/>
          <w:sz w:val="24"/>
          <w:highlight w:val="red"/>
        </w:rPr>
        <w:t>（2）进度保证措施：</w:t>
      </w:r>
    </w:p>
    <w:p w14:paraId="03A1FC85">
      <w:pPr>
        <w:tabs>
          <w:tab w:val="left" w:pos="851"/>
        </w:tabs>
        <w:spacing w:line="500" w:lineRule="exact"/>
        <w:ind w:firstLine="480"/>
        <w:rPr>
          <w:rFonts w:hint="eastAsia" w:ascii="宋体" w:hAnsi="宋体" w:eastAsia="宋体" w:cs="宋体"/>
          <w:color w:val="auto"/>
          <w:kern w:val="0"/>
          <w:sz w:val="24"/>
          <w:szCs w:val="21"/>
          <w:highlight w:val="red"/>
          <w:lang w:bidi="ar"/>
        </w:rPr>
      </w:pPr>
      <w:r>
        <w:rPr>
          <w:rFonts w:hint="eastAsia" w:ascii="宋体" w:hAnsi="宋体" w:eastAsia="宋体" w:cs="宋体"/>
          <w:color w:val="auto"/>
          <w:kern w:val="0"/>
          <w:sz w:val="24"/>
          <w:szCs w:val="21"/>
          <w:highlight w:val="red"/>
          <w:lang w:bidi="ar"/>
        </w:rPr>
        <w:t>①明确项目专属服务团队配置，包含项目负责人、供货专员、质检人员、物流对接人员、现场对接人员等岗位职责、人员数量、从业经验；承诺项目全程专人跟进，全程负责进度统筹、节点把控、对接协调，保障各环节工作高效推进，杜绝人员缺位、衔接脱节导致的进度滞后；</w:t>
      </w:r>
    </w:p>
    <w:p w14:paraId="07D172BA">
      <w:pPr>
        <w:tabs>
          <w:tab w:val="left" w:pos="851"/>
        </w:tabs>
        <w:spacing w:line="500" w:lineRule="exact"/>
        <w:ind w:firstLine="480"/>
        <w:rPr>
          <w:rFonts w:hint="eastAsia" w:ascii="宋体" w:hAnsi="宋体" w:eastAsia="宋体" w:cs="宋体"/>
          <w:color w:val="auto"/>
          <w:kern w:val="0"/>
          <w:sz w:val="24"/>
          <w:szCs w:val="21"/>
          <w:highlight w:val="red"/>
          <w:lang w:bidi="ar"/>
        </w:rPr>
      </w:pPr>
      <w:r>
        <w:rPr>
          <w:rFonts w:hint="eastAsia" w:ascii="宋体" w:hAnsi="宋体" w:eastAsia="宋体" w:cs="宋体"/>
          <w:color w:val="auto"/>
          <w:kern w:val="0"/>
          <w:sz w:val="24"/>
          <w:szCs w:val="21"/>
          <w:highlight w:val="red"/>
          <w:lang w:bidi="ar"/>
        </w:rPr>
        <w:t>②针对不可抗力、生产波动、物流延迟、现场条件变动等各类突发风险，制定详细的应急预案及工期补救方案。明确出现进度偏差后的预警机制、整改措施、工期追回方案，确保最大限度降低延误影响，保障项目整体工期不受影响。</w:t>
      </w:r>
    </w:p>
    <w:p w14:paraId="61C2AE57">
      <w:pPr>
        <w:tabs>
          <w:tab w:val="left" w:pos="851"/>
        </w:tabs>
        <w:spacing w:line="500" w:lineRule="exact"/>
        <w:ind w:firstLine="480"/>
        <w:rPr>
          <w:rFonts w:hint="eastAsia" w:ascii="宋体" w:hAnsi="宋体" w:eastAsia="宋体" w:cs="宋体"/>
          <w:color w:val="auto"/>
          <w:kern w:val="0"/>
          <w:sz w:val="24"/>
          <w:szCs w:val="21"/>
          <w:highlight w:val="red"/>
          <w:lang w:bidi="ar"/>
        </w:rPr>
      </w:pPr>
      <w:r>
        <w:rPr>
          <w:rFonts w:hint="eastAsia" w:ascii="宋体" w:hAnsi="宋体" w:eastAsia="宋体" w:cs="宋体"/>
          <w:color w:val="auto"/>
          <w:kern w:val="0"/>
          <w:sz w:val="24"/>
          <w:szCs w:val="21"/>
          <w:highlight w:val="red"/>
          <w:lang w:bidi="ar"/>
        </w:rPr>
        <w:t>③需完整提供团队岗位职责、人员配置、从业经验说明及风险应急、工期补救、偏差预警机制；缺少团队配置或缺少风险应急预案及工期补救方案，本模块视为不满足需求。</w:t>
      </w:r>
    </w:p>
    <w:p w14:paraId="5686B83E">
      <w:pPr>
        <w:tabs>
          <w:tab w:val="left" w:pos="851"/>
        </w:tabs>
        <w:spacing w:line="500" w:lineRule="exact"/>
        <w:ind w:firstLine="480"/>
        <w:rPr>
          <w:rFonts w:ascii="宋体" w:hAnsi="宋体" w:eastAsia="宋体" w:cs="宋体"/>
          <w:color w:val="auto"/>
          <w:kern w:val="0"/>
          <w:sz w:val="24"/>
          <w:szCs w:val="21"/>
          <w:highlight w:val="red"/>
          <w:lang w:bidi="ar"/>
        </w:rPr>
      </w:pPr>
      <w:r>
        <w:rPr>
          <w:rFonts w:hint="eastAsia" w:ascii="宋体" w:hAnsi="宋体" w:eastAsia="宋体" w:cs="宋体"/>
          <w:color w:val="auto"/>
          <w:kern w:val="0"/>
          <w:sz w:val="24"/>
          <w:highlight w:val="red"/>
        </w:rPr>
        <w:t>（</w:t>
      </w:r>
      <w:r>
        <w:rPr>
          <w:rFonts w:ascii="宋体" w:hAnsi="宋体" w:eastAsia="宋体" w:cs="宋体"/>
          <w:color w:val="auto"/>
          <w:kern w:val="0"/>
          <w:sz w:val="24"/>
          <w:highlight w:val="red"/>
        </w:rPr>
        <w:t>3</w:t>
      </w:r>
      <w:r>
        <w:rPr>
          <w:rFonts w:hint="eastAsia" w:ascii="宋体" w:hAnsi="宋体" w:eastAsia="宋体" w:cs="宋体"/>
          <w:color w:val="auto"/>
          <w:kern w:val="0"/>
          <w:sz w:val="24"/>
          <w:highlight w:val="red"/>
        </w:rPr>
        <w:t>）</w:t>
      </w:r>
      <w:r>
        <w:rPr>
          <w:rFonts w:hint="eastAsia" w:ascii="宋体" w:hAnsi="宋体" w:eastAsia="宋体" w:cs="宋体"/>
          <w:color w:val="auto"/>
          <w:kern w:val="0"/>
          <w:sz w:val="24"/>
          <w:szCs w:val="21"/>
          <w:highlight w:val="red"/>
          <w:lang w:bidi="ar"/>
        </w:rPr>
        <w:t>施工作</w:t>
      </w:r>
      <w:r>
        <w:rPr>
          <w:rFonts w:hint="eastAsia" w:ascii="宋体" w:hAnsi="宋体" w:eastAsia="宋体" w:cs="宋体"/>
          <w:color w:val="auto"/>
          <w:kern w:val="0"/>
          <w:sz w:val="24"/>
          <w:highlight w:val="red"/>
        </w:rPr>
        <w:t>业</w:t>
      </w:r>
      <w:r>
        <w:rPr>
          <w:rFonts w:hint="eastAsia" w:ascii="宋体" w:hAnsi="宋体" w:eastAsia="宋体" w:cs="宋体"/>
          <w:color w:val="auto"/>
          <w:kern w:val="0"/>
          <w:sz w:val="24"/>
          <w:szCs w:val="21"/>
          <w:highlight w:val="red"/>
          <w:lang w:bidi="ar"/>
        </w:rPr>
        <w:t>的安全保障措施</w:t>
      </w:r>
    </w:p>
    <w:p w14:paraId="652D251A">
      <w:pPr>
        <w:tabs>
          <w:tab w:val="left" w:pos="851"/>
        </w:tabs>
        <w:spacing w:line="500" w:lineRule="exact"/>
        <w:ind w:firstLine="480"/>
        <w:rPr>
          <w:rFonts w:hint="eastAsia" w:ascii="宋体" w:hAnsi="宋体" w:eastAsia="宋体" w:cs="宋体"/>
          <w:color w:val="auto"/>
          <w:kern w:val="0"/>
          <w:sz w:val="24"/>
          <w:szCs w:val="21"/>
          <w:highlight w:val="red"/>
          <w:lang w:bidi="ar"/>
        </w:rPr>
      </w:pPr>
      <w:r>
        <w:rPr>
          <w:rFonts w:hint="eastAsia" w:ascii="宋体" w:hAnsi="宋体" w:eastAsia="宋体" w:cs="宋体"/>
          <w:color w:val="auto"/>
          <w:kern w:val="0"/>
          <w:sz w:val="24"/>
          <w:szCs w:val="21"/>
          <w:highlight w:val="red"/>
          <w:lang w:bidi="ar"/>
        </w:rPr>
        <w:t>①项目实施过程中做好安全防护等，确保安全生产无事故。</w:t>
      </w:r>
    </w:p>
    <w:p w14:paraId="5A0FB9A5">
      <w:pPr>
        <w:tabs>
          <w:tab w:val="left" w:pos="851"/>
        </w:tabs>
        <w:spacing w:line="500" w:lineRule="exact"/>
        <w:ind w:firstLine="480"/>
        <w:rPr>
          <w:rFonts w:ascii="宋体" w:hAnsi="宋体" w:eastAsia="宋体" w:cs="宋体"/>
          <w:color w:val="auto"/>
          <w:kern w:val="0"/>
          <w:sz w:val="24"/>
          <w:highlight w:val="red"/>
        </w:rPr>
      </w:pPr>
      <w:r>
        <w:rPr>
          <w:rFonts w:hint="eastAsia" w:ascii="宋体" w:hAnsi="宋体" w:eastAsia="宋体" w:cs="宋体"/>
          <w:color w:val="auto"/>
          <w:kern w:val="0"/>
          <w:sz w:val="24"/>
          <w:szCs w:val="21"/>
          <w:highlight w:val="red"/>
          <w:lang w:bidi="ar"/>
        </w:rPr>
        <w:t>②投标人应编制专项安全保障管理内容，包含安全管理制度、现场防护要求、作业管控要点，仅简单文字描述“保障安全生产”未提供具体管控措施的视为不满足需求。</w:t>
      </w:r>
    </w:p>
    <w:p w14:paraId="7992929A">
      <w:pPr>
        <w:tabs>
          <w:tab w:val="left" w:pos="851"/>
        </w:tabs>
        <w:spacing w:line="500" w:lineRule="exact"/>
        <w:ind w:firstLine="480"/>
        <w:rPr>
          <w:rFonts w:ascii="宋体" w:hAnsi="宋体" w:eastAsia="宋体" w:cs="Times New Roman"/>
          <w:b/>
          <w:color w:val="auto"/>
          <w:kern w:val="0"/>
          <w:sz w:val="24"/>
          <w:szCs w:val="21"/>
          <w:highlight w:val="red"/>
          <w:lang w:val="en"/>
        </w:rPr>
      </w:pPr>
      <w:r>
        <w:rPr>
          <w:rFonts w:hint="eastAsia" w:ascii="宋体" w:hAnsi="宋体" w:eastAsia="宋体" w:cs="Times New Roman"/>
          <w:b/>
          <w:color w:val="auto"/>
          <w:kern w:val="0"/>
          <w:sz w:val="24"/>
          <w:szCs w:val="21"/>
          <w:highlight w:val="red"/>
          <w:lang w:val="en"/>
        </w:rPr>
        <w:t>2.安装、调试、培训方案和措施</w:t>
      </w:r>
    </w:p>
    <w:p w14:paraId="0E97831B">
      <w:pPr>
        <w:tabs>
          <w:tab w:val="left" w:pos="851"/>
        </w:tabs>
        <w:spacing w:line="500" w:lineRule="exact"/>
        <w:ind w:firstLine="480"/>
        <w:rPr>
          <w:rFonts w:ascii="宋体" w:hAnsi="宋体" w:eastAsia="宋体" w:cs="Times New Roman"/>
          <w:bCs/>
          <w:color w:val="auto"/>
          <w:kern w:val="0"/>
          <w:sz w:val="24"/>
          <w:szCs w:val="21"/>
          <w:highlight w:val="red"/>
          <w:lang w:val="en"/>
        </w:rPr>
      </w:pPr>
      <w:r>
        <w:rPr>
          <w:rFonts w:hint="eastAsia" w:ascii="宋体" w:hAnsi="宋体" w:eastAsia="宋体" w:cs="Times New Roman"/>
          <w:bCs/>
          <w:color w:val="auto"/>
          <w:kern w:val="0"/>
          <w:sz w:val="24"/>
          <w:szCs w:val="21"/>
          <w:highlight w:val="red"/>
          <w:lang w:val="en"/>
        </w:rPr>
        <w:t>安装、调试、培训方案和措施至少包含以下内容：</w:t>
      </w:r>
    </w:p>
    <w:p w14:paraId="0DAF4A34">
      <w:pPr>
        <w:tabs>
          <w:tab w:val="left" w:pos="851"/>
        </w:tabs>
        <w:spacing w:line="500" w:lineRule="exact"/>
        <w:ind w:firstLine="480"/>
        <w:rPr>
          <w:rFonts w:hint="eastAsia" w:ascii="宋体" w:hAnsi="宋体" w:eastAsia="宋体" w:cs="Times New Roman"/>
          <w:bCs/>
          <w:color w:val="auto"/>
          <w:kern w:val="0"/>
          <w:sz w:val="24"/>
          <w:szCs w:val="21"/>
          <w:highlight w:val="red"/>
          <w:lang w:val="en"/>
        </w:rPr>
      </w:pPr>
      <w:r>
        <w:rPr>
          <w:rFonts w:hint="eastAsia" w:ascii="宋体" w:hAnsi="宋体" w:eastAsia="宋体" w:cs="宋体"/>
          <w:color w:val="auto"/>
          <w:kern w:val="0"/>
          <w:sz w:val="24"/>
          <w:szCs w:val="21"/>
          <w:highlight w:val="red"/>
          <w:lang w:bidi="ar"/>
        </w:rPr>
        <w:t>①</w:t>
      </w:r>
      <w:r>
        <w:rPr>
          <w:rFonts w:hint="eastAsia" w:ascii="宋体" w:hAnsi="宋体" w:eastAsia="宋体" w:cs="Times New Roman"/>
          <w:bCs/>
          <w:color w:val="auto"/>
          <w:kern w:val="0"/>
          <w:sz w:val="24"/>
          <w:szCs w:val="21"/>
          <w:highlight w:val="red"/>
          <w:lang w:val="en"/>
        </w:rPr>
        <w:t>详细说明进场前筹备工作，包含现场勘查、场地对接、基础条件确认、水电及安装环境核验、施工方案交底、工具设备筹备、施工人员岗前培训、货物进场清点核验等内容。提前排查现场安装隐患，做好进场施工全部准备工作，保障安装工作顺利启动；</w:t>
      </w:r>
    </w:p>
    <w:p w14:paraId="0ED59EBD">
      <w:pPr>
        <w:tabs>
          <w:tab w:val="left" w:pos="851"/>
        </w:tabs>
        <w:spacing w:line="500" w:lineRule="exact"/>
        <w:ind w:firstLine="480"/>
        <w:rPr>
          <w:rFonts w:ascii="宋体" w:hAnsi="宋体" w:eastAsia="宋体" w:cs="Times New Roman"/>
          <w:bCs/>
          <w:color w:val="auto"/>
          <w:kern w:val="0"/>
          <w:sz w:val="24"/>
          <w:szCs w:val="21"/>
          <w:highlight w:val="red"/>
          <w:lang w:val="en"/>
        </w:rPr>
      </w:pPr>
      <w:r>
        <w:rPr>
          <w:rFonts w:hint="eastAsia" w:ascii="宋体" w:hAnsi="宋体" w:eastAsia="宋体" w:cs="Times New Roman"/>
          <w:bCs/>
          <w:color w:val="auto"/>
          <w:kern w:val="0"/>
          <w:sz w:val="24"/>
          <w:szCs w:val="21"/>
          <w:highlight w:val="red"/>
          <w:lang w:val="en"/>
        </w:rPr>
        <w:t>应覆盖勘查、条件核验、交底、人员岗前培训、货物清点核验全部环节，仅简单描述进场，未列明具体筹备工作内容，视为不满足需求；</w:t>
      </w:r>
    </w:p>
    <w:p w14:paraId="6DA4F085">
      <w:pPr>
        <w:tabs>
          <w:tab w:val="left" w:pos="851"/>
        </w:tabs>
        <w:spacing w:line="500" w:lineRule="exact"/>
        <w:ind w:firstLine="480"/>
        <w:rPr>
          <w:rFonts w:hint="eastAsia" w:ascii="宋体" w:hAnsi="宋体" w:eastAsia="宋体" w:cs="Times New Roman"/>
          <w:bCs/>
          <w:color w:val="auto"/>
          <w:kern w:val="0"/>
          <w:sz w:val="24"/>
          <w:szCs w:val="21"/>
          <w:highlight w:val="red"/>
          <w:lang w:val="en"/>
        </w:rPr>
      </w:pPr>
      <w:r>
        <w:rPr>
          <w:rFonts w:hint="eastAsia" w:ascii="宋体" w:hAnsi="宋体" w:eastAsia="宋体" w:cs="宋体"/>
          <w:color w:val="auto"/>
          <w:kern w:val="0"/>
          <w:sz w:val="24"/>
          <w:szCs w:val="21"/>
          <w:highlight w:val="red"/>
          <w:lang w:bidi="ar"/>
        </w:rPr>
        <w:t>②</w:t>
      </w:r>
      <w:r>
        <w:rPr>
          <w:rFonts w:hint="eastAsia" w:ascii="宋体" w:hAnsi="宋体" w:eastAsia="宋体" w:cs="Times New Roman"/>
          <w:bCs/>
          <w:color w:val="auto"/>
          <w:kern w:val="0"/>
          <w:sz w:val="24"/>
          <w:szCs w:val="21"/>
          <w:highlight w:val="red"/>
          <w:lang w:val="en"/>
        </w:rPr>
        <w:t>针对所有供货货物制定全覆盖调试方案，明确调试项目、调试内容、调试方法、调试工具、调试标准。详细说明调试流程、问题排查、故障整改、参数优化等内容，确保所有设备、货物功能完整、性能达标、运行稳定，完全满足项目使用需求，所发生的费用由供应商负责。在供货或安装时，应提供合同标的生产商原厂（或原厂授权）人员现场安装及调试服务。包括开箱、检查、设备连接、通电等验机服务，并按采购人要求完成安装及调试。</w:t>
      </w:r>
    </w:p>
    <w:p w14:paraId="34079CE8">
      <w:pPr>
        <w:tabs>
          <w:tab w:val="left" w:pos="851"/>
        </w:tabs>
        <w:spacing w:line="500" w:lineRule="exact"/>
        <w:ind w:firstLine="480"/>
        <w:rPr>
          <w:rFonts w:ascii="宋体" w:hAnsi="宋体" w:eastAsia="宋体" w:cs="Times New Roman"/>
          <w:bCs/>
          <w:color w:val="auto"/>
          <w:kern w:val="0"/>
          <w:sz w:val="24"/>
          <w:szCs w:val="21"/>
          <w:highlight w:val="red"/>
          <w:lang w:val="en"/>
        </w:rPr>
      </w:pPr>
      <w:r>
        <w:rPr>
          <w:rFonts w:hint="eastAsia" w:ascii="宋体" w:hAnsi="宋体" w:eastAsia="宋体" w:cs="Times New Roman"/>
          <w:bCs/>
          <w:color w:val="auto"/>
          <w:kern w:val="0"/>
          <w:sz w:val="24"/>
          <w:szCs w:val="21"/>
          <w:highlight w:val="red"/>
          <w:lang w:val="en"/>
        </w:rPr>
        <w:t>调试方案须覆盖本项目全部供货设备，不得选择性描述部分设备调试；须明确调试项目、内容、方法、工具、判定标准；未提供原厂或原厂授权人员现场安装调试承诺、调试范围不全的，本模块视为不满足需求。</w:t>
      </w:r>
    </w:p>
    <w:p w14:paraId="617C3003">
      <w:pPr>
        <w:tabs>
          <w:tab w:val="left" w:pos="851"/>
        </w:tabs>
        <w:spacing w:line="500" w:lineRule="exact"/>
        <w:ind w:firstLine="480"/>
        <w:rPr>
          <w:rFonts w:hint="eastAsia" w:ascii="宋体" w:hAnsi="宋体" w:eastAsia="宋体" w:cs="Times New Roman"/>
          <w:bCs/>
          <w:color w:val="auto"/>
          <w:kern w:val="0"/>
          <w:sz w:val="24"/>
          <w:szCs w:val="21"/>
          <w:highlight w:val="red"/>
          <w:lang w:val="en"/>
        </w:rPr>
      </w:pPr>
      <w:r>
        <w:rPr>
          <w:rFonts w:hint="eastAsia" w:ascii="宋体" w:hAnsi="宋体" w:eastAsia="宋体" w:cs="宋体"/>
          <w:color w:val="auto"/>
          <w:kern w:val="0"/>
          <w:sz w:val="24"/>
          <w:szCs w:val="21"/>
          <w:highlight w:val="red"/>
          <w:lang w:bidi="ar"/>
        </w:rPr>
        <w:t>③</w:t>
      </w:r>
      <w:r>
        <w:rPr>
          <w:rFonts w:hint="eastAsia" w:ascii="宋体" w:hAnsi="宋体" w:eastAsia="宋体" w:cs="Times New Roman"/>
          <w:bCs/>
          <w:color w:val="auto"/>
          <w:kern w:val="0"/>
          <w:sz w:val="24"/>
          <w:szCs w:val="21"/>
          <w:highlight w:val="red"/>
          <w:lang w:val="en"/>
        </w:rPr>
        <w:t>需提供全面、系统的业务技术功能培训，确保采购人相关人员能够深度掌握设备的各项功能及应用，培训应在采购人现场进行，采用‘理论+实操’相结合的模式，培训时长不得少于3工作日。</w:t>
      </w:r>
    </w:p>
    <w:p w14:paraId="2B59C26C">
      <w:pPr>
        <w:tabs>
          <w:tab w:val="left" w:pos="851"/>
        </w:tabs>
        <w:spacing w:line="500" w:lineRule="exact"/>
        <w:ind w:firstLine="480"/>
        <w:rPr>
          <w:rFonts w:ascii="宋体" w:hAnsi="宋体" w:eastAsia="宋体" w:cs="Times New Roman"/>
          <w:bCs/>
          <w:color w:val="auto"/>
          <w:kern w:val="0"/>
          <w:sz w:val="24"/>
          <w:szCs w:val="21"/>
          <w:highlight w:val="red"/>
          <w:lang w:val="en"/>
        </w:rPr>
      </w:pPr>
      <w:r>
        <w:rPr>
          <w:rFonts w:hint="eastAsia" w:ascii="宋体" w:hAnsi="宋体" w:eastAsia="宋体" w:cs="Times New Roman"/>
          <w:bCs/>
          <w:color w:val="auto"/>
          <w:kern w:val="0"/>
          <w:sz w:val="24"/>
          <w:szCs w:val="21"/>
          <w:highlight w:val="red"/>
          <w:lang w:val="en"/>
        </w:rPr>
        <w:t>须明确培训地点、培训模式、培训时长、培训对象、培训课程大纲；培训时长低于3个工作日、未承诺现场理论+实操结合培训，视为不满足需求。</w:t>
      </w:r>
    </w:p>
    <w:p w14:paraId="2B5EAC70">
      <w:pPr>
        <w:tabs>
          <w:tab w:val="left" w:pos="851"/>
        </w:tabs>
        <w:spacing w:line="500" w:lineRule="exact"/>
        <w:ind w:firstLine="480"/>
        <w:rPr>
          <w:rFonts w:ascii="宋体" w:hAnsi="宋体" w:eastAsia="宋体" w:cs="Times New Roman"/>
          <w:b/>
          <w:color w:val="auto"/>
          <w:kern w:val="0"/>
          <w:sz w:val="24"/>
          <w:szCs w:val="21"/>
          <w:highlight w:val="red"/>
          <w:lang w:val="en"/>
        </w:rPr>
      </w:pPr>
      <w:r>
        <w:rPr>
          <w:rFonts w:hint="eastAsia" w:ascii="宋体" w:hAnsi="宋体" w:eastAsia="宋体" w:cs="Times New Roman"/>
          <w:b/>
          <w:color w:val="auto"/>
          <w:kern w:val="0"/>
          <w:sz w:val="24"/>
          <w:szCs w:val="21"/>
          <w:highlight w:val="red"/>
          <w:lang w:val="en"/>
        </w:rPr>
        <w:t>3</w:t>
      </w:r>
      <w:r>
        <w:rPr>
          <w:rFonts w:ascii="宋体" w:hAnsi="宋体" w:eastAsia="宋体" w:cs="Times New Roman"/>
          <w:b/>
          <w:color w:val="auto"/>
          <w:kern w:val="0"/>
          <w:sz w:val="24"/>
          <w:szCs w:val="21"/>
          <w:highlight w:val="red"/>
          <w:lang w:val="en"/>
        </w:rPr>
        <w:t>.</w:t>
      </w:r>
      <w:r>
        <w:rPr>
          <w:rFonts w:hint="eastAsia" w:ascii="宋体" w:hAnsi="宋体" w:eastAsia="宋体" w:cs="Times New Roman"/>
          <w:b/>
          <w:color w:val="auto"/>
          <w:kern w:val="0"/>
          <w:sz w:val="24"/>
          <w:szCs w:val="21"/>
          <w:highlight w:val="red"/>
          <w:lang w:val="en"/>
        </w:rPr>
        <w:t>售后服务方案</w:t>
      </w:r>
    </w:p>
    <w:p w14:paraId="26F38B35">
      <w:pPr>
        <w:tabs>
          <w:tab w:val="left" w:pos="851"/>
        </w:tabs>
        <w:spacing w:line="500" w:lineRule="exact"/>
        <w:ind w:firstLine="480"/>
        <w:rPr>
          <w:rFonts w:ascii="宋体" w:hAnsi="宋体" w:eastAsia="宋体" w:cs="Times New Roman"/>
          <w:bCs/>
          <w:color w:val="auto"/>
          <w:kern w:val="0"/>
          <w:sz w:val="24"/>
          <w:szCs w:val="21"/>
          <w:highlight w:val="red"/>
          <w:lang w:val="en"/>
        </w:rPr>
      </w:pPr>
      <w:r>
        <w:rPr>
          <w:rFonts w:hint="eastAsia" w:ascii="宋体" w:hAnsi="宋体" w:eastAsia="宋体" w:cs="Times New Roman"/>
          <w:bCs/>
          <w:color w:val="auto"/>
          <w:kern w:val="0"/>
          <w:sz w:val="24"/>
          <w:szCs w:val="21"/>
          <w:highlight w:val="red"/>
          <w:lang w:val="en"/>
        </w:rPr>
        <w:t>售后服务方案至少包含以下内容：</w:t>
      </w:r>
    </w:p>
    <w:p w14:paraId="4FDA46D1">
      <w:pPr>
        <w:tabs>
          <w:tab w:val="left" w:pos="851"/>
        </w:tabs>
        <w:spacing w:line="500" w:lineRule="exact"/>
        <w:ind w:firstLine="480"/>
        <w:rPr>
          <w:rFonts w:hint="eastAsia" w:ascii="宋体" w:hAnsi="宋体" w:eastAsia="宋体" w:cs="Times New Roman"/>
          <w:bCs/>
          <w:color w:val="auto"/>
          <w:kern w:val="0"/>
          <w:sz w:val="24"/>
          <w:szCs w:val="21"/>
          <w:highlight w:val="red"/>
          <w:lang w:val="en"/>
        </w:rPr>
      </w:pPr>
      <w:r>
        <w:rPr>
          <w:rFonts w:hint="eastAsia" w:ascii="宋体" w:hAnsi="宋体" w:eastAsia="宋体" w:cs="Times New Roman"/>
          <w:bCs/>
          <w:color w:val="auto"/>
          <w:kern w:val="0"/>
          <w:sz w:val="24"/>
          <w:szCs w:val="21"/>
          <w:highlight w:val="red"/>
          <w:lang w:val="en"/>
        </w:rPr>
        <w:t>①供应商提供的售后服务标准应不低于同型号设备的出厂市场服务标准。</w:t>
      </w:r>
    </w:p>
    <w:p w14:paraId="3B1420AF">
      <w:pPr>
        <w:tabs>
          <w:tab w:val="left" w:pos="851"/>
        </w:tabs>
        <w:spacing w:line="500" w:lineRule="exact"/>
        <w:ind w:firstLine="480"/>
        <w:rPr>
          <w:rFonts w:hint="eastAsia" w:ascii="宋体" w:hAnsi="宋体" w:eastAsia="宋体" w:cs="Times New Roman"/>
          <w:bCs/>
          <w:color w:val="auto"/>
          <w:kern w:val="0"/>
          <w:sz w:val="24"/>
          <w:szCs w:val="21"/>
          <w:highlight w:val="red"/>
          <w:lang w:val="en"/>
        </w:rPr>
      </w:pPr>
      <w:r>
        <w:rPr>
          <w:rFonts w:hint="eastAsia" w:ascii="宋体" w:hAnsi="宋体" w:eastAsia="宋体" w:cs="Times New Roman"/>
          <w:bCs/>
          <w:color w:val="auto"/>
          <w:kern w:val="0"/>
          <w:sz w:val="24"/>
          <w:szCs w:val="21"/>
          <w:highlight w:val="red"/>
          <w:lang w:val="en"/>
        </w:rPr>
        <w:t>投标人须明确列明售后服务标准，并与设备出厂市场服务标准进行对比说明；仅笼统承诺服务达标，未说明具体服务标准内容，视为不满足需求。</w:t>
      </w:r>
    </w:p>
    <w:p w14:paraId="2856C910">
      <w:pPr>
        <w:tabs>
          <w:tab w:val="left" w:pos="851"/>
        </w:tabs>
        <w:spacing w:line="500" w:lineRule="exact"/>
        <w:ind w:firstLine="480"/>
        <w:rPr>
          <w:rFonts w:hint="eastAsia" w:ascii="宋体" w:hAnsi="宋体" w:eastAsia="宋体" w:cs="Times New Roman"/>
          <w:bCs/>
          <w:color w:val="auto"/>
          <w:kern w:val="0"/>
          <w:sz w:val="24"/>
          <w:szCs w:val="21"/>
          <w:highlight w:val="red"/>
          <w:lang w:val="en"/>
        </w:rPr>
      </w:pPr>
      <w:r>
        <w:rPr>
          <w:rFonts w:hint="eastAsia" w:ascii="宋体" w:hAnsi="宋体" w:eastAsia="宋体" w:cs="Times New Roman"/>
          <w:bCs/>
          <w:color w:val="auto"/>
          <w:kern w:val="0"/>
          <w:sz w:val="24"/>
          <w:szCs w:val="21"/>
          <w:highlight w:val="red"/>
          <w:lang w:val="en"/>
        </w:rPr>
        <w:t>②质保期自合同设备终验收合格之日开始计算，本项目整体质保期为3年（包括软件免费维护升级（含重大版本升级））；在质保期内对产品质量实行三包，提供免费上门维修和技术支持服务，并进行终身维护。</w:t>
      </w:r>
    </w:p>
    <w:p w14:paraId="4DF5B743">
      <w:pPr>
        <w:tabs>
          <w:tab w:val="left" w:pos="851"/>
        </w:tabs>
        <w:spacing w:line="500" w:lineRule="exact"/>
        <w:ind w:firstLine="480"/>
        <w:rPr>
          <w:rFonts w:hint="eastAsia" w:ascii="宋体" w:hAnsi="宋体" w:eastAsia="宋体" w:cs="Times New Roman"/>
          <w:bCs/>
          <w:color w:val="auto"/>
          <w:kern w:val="0"/>
          <w:sz w:val="24"/>
          <w:szCs w:val="21"/>
          <w:highlight w:val="red"/>
          <w:lang w:val="en"/>
        </w:rPr>
      </w:pPr>
      <w:r>
        <w:rPr>
          <w:rFonts w:hint="eastAsia" w:ascii="宋体" w:hAnsi="宋体" w:eastAsia="宋体" w:cs="Times New Roman"/>
          <w:bCs/>
          <w:color w:val="auto"/>
          <w:kern w:val="0"/>
          <w:sz w:val="24"/>
          <w:szCs w:val="21"/>
          <w:highlight w:val="red"/>
          <w:lang w:val="en"/>
        </w:rPr>
        <w:t>明确质保起算点、3年整体质保范围（含软件免费及重大版本升级）、三包及终身维护承诺；质保期限、升级范围不满足本条款要求，视为不满足需求。</w:t>
      </w:r>
    </w:p>
    <w:p w14:paraId="3C896FE4">
      <w:pPr>
        <w:tabs>
          <w:tab w:val="left" w:pos="851"/>
        </w:tabs>
        <w:spacing w:line="500" w:lineRule="exact"/>
        <w:ind w:firstLine="480"/>
        <w:rPr>
          <w:rFonts w:hint="eastAsia" w:ascii="宋体" w:hAnsi="宋体" w:eastAsia="宋体" w:cs="Times New Roman"/>
          <w:bCs/>
          <w:color w:val="auto"/>
          <w:kern w:val="0"/>
          <w:sz w:val="24"/>
          <w:szCs w:val="21"/>
          <w:highlight w:val="red"/>
          <w:lang w:val="en"/>
        </w:rPr>
      </w:pPr>
      <w:r>
        <w:rPr>
          <w:rFonts w:hint="eastAsia" w:ascii="宋体" w:hAnsi="宋体" w:eastAsia="宋体" w:cs="Times New Roman"/>
          <w:bCs/>
          <w:color w:val="auto"/>
          <w:kern w:val="0"/>
          <w:sz w:val="24"/>
          <w:szCs w:val="21"/>
          <w:highlight w:val="red"/>
          <w:lang w:val="en"/>
        </w:rPr>
        <w:t>③在质量保证期内，确因产品质量问题产生的设备更换、备件、耗材、人工等费用均由供应商承担，所有维修更换的配件均由供应商提供，所有维修更换的配件均应为原厂正品配件。因人为因素出现的故障不在免费保修范围。由于中标单位提供的产品质量问题造成采购单位的财产损失或使用安全问题，由中标单位负责。</w:t>
      </w:r>
    </w:p>
    <w:p w14:paraId="2BD939D7">
      <w:pPr>
        <w:tabs>
          <w:tab w:val="left" w:pos="851"/>
        </w:tabs>
        <w:spacing w:line="500" w:lineRule="exact"/>
        <w:ind w:firstLine="480"/>
        <w:rPr>
          <w:rFonts w:hint="eastAsia" w:ascii="宋体" w:hAnsi="宋体" w:eastAsia="宋体" w:cs="Times New Roman"/>
          <w:bCs/>
          <w:color w:val="auto"/>
          <w:kern w:val="0"/>
          <w:sz w:val="24"/>
          <w:szCs w:val="21"/>
          <w:highlight w:val="red"/>
          <w:lang w:val="en"/>
        </w:rPr>
      </w:pPr>
      <w:r>
        <w:rPr>
          <w:rFonts w:hint="eastAsia" w:ascii="宋体" w:hAnsi="宋体" w:eastAsia="宋体" w:cs="Times New Roman"/>
          <w:bCs/>
          <w:color w:val="auto"/>
          <w:kern w:val="0"/>
          <w:sz w:val="24"/>
          <w:szCs w:val="21"/>
          <w:highlight w:val="red"/>
          <w:lang w:val="en"/>
        </w:rPr>
        <w:t>应明确质保期质量问题下费用承担范围、原厂正品配件承诺、责任划分；缺少原厂正品配件承诺或质量事故责任说明，视为不满足需求。</w:t>
      </w:r>
    </w:p>
    <w:p w14:paraId="01F5A2F8">
      <w:pPr>
        <w:tabs>
          <w:tab w:val="left" w:pos="851"/>
        </w:tabs>
        <w:spacing w:line="500" w:lineRule="exact"/>
        <w:ind w:firstLine="480"/>
        <w:rPr>
          <w:rFonts w:hint="eastAsia" w:ascii="宋体" w:hAnsi="宋体" w:eastAsia="宋体" w:cs="Times New Roman"/>
          <w:bCs/>
          <w:color w:val="auto"/>
          <w:kern w:val="0"/>
          <w:sz w:val="24"/>
          <w:szCs w:val="21"/>
          <w:highlight w:val="red"/>
          <w:lang w:val="en"/>
        </w:rPr>
      </w:pPr>
      <w:r>
        <w:rPr>
          <w:rFonts w:hint="eastAsia" w:ascii="宋体" w:hAnsi="宋体" w:eastAsia="宋体" w:cs="Times New Roman"/>
          <w:bCs/>
          <w:color w:val="auto"/>
          <w:kern w:val="0"/>
          <w:sz w:val="24"/>
          <w:szCs w:val="21"/>
          <w:highlight w:val="red"/>
          <w:lang w:val="en"/>
        </w:rPr>
        <w:t>④提供7×24小时技术支持服务。技术支持包括：通过电话技术服务、现场技术服务、定期巡查服务等方式，提供故障排除、技术解答等内容，并负责处理直至保障设备正常运行。电话技术支持服务，响应时间在2小时内。需要进场维修的应在24小时内达到现场，并在4小时内排除故障。若故障在72小时内无法修复，应及时告知采购人，并提供质量、性能相当的备用设备，以保证在维修与维护期间不影响正常使用，维修与维护完毕后再换回原设备。</w:t>
      </w:r>
    </w:p>
    <w:p w14:paraId="7E560185">
      <w:pPr>
        <w:tabs>
          <w:tab w:val="left" w:pos="851"/>
        </w:tabs>
        <w:spacing w:line="500" w:lineRule="exact"/>
        <w:ind w:firstLine="480"/>
        <w:rPr>
          <w:rFonts w:hint="eastAsia" w:ascii="宋体" w:hAnsi="宋体" w:eastAsia="宋体" w:cs="宋体"/>
          <w:color w:val="auto"/>
          <w:sz w:val="24"/>
          <w:szCs w:val="24"/>
          <w:highlight w:val="red"/>
          <w:lang w:val="en-US" w:eastAsia="zh-CN"/>
        </w:rPr>
      </w:pPr>
      <w:r>
        <w:rPr>
          <w:rFonts w:hint="eastAsia" w:ascii="宋体" w:hAnsi="宋体" w:eastAsia="宋体" w:cs="Times New Roman"/>
          <w:bCs/>
          <w:color w:val="auto"/>
          <w:kern w:val="0"/>
          <w:sz w:val="24"/>
          <w:szCs w:val="21"/>
          <w:highlight w:val="red"/>
          <w:lang w:val="en"/>
        </w:rPr>
        <w:t>必须完整响应7×24服务模式、2小时电话响应、24小时到场、4小时故障处置、72小时无法修复提供备用设备全部指标，任意一项指标不满足，本模块视为不满足需求。</w:t>
      </w:r>
    </w:p>
    <w:p w14:paraId="63F8611B">
      <w:pPr>
        <w:keepNext w:val="0"/>
        <w:keepLines w:val="0"/>
        <w:pageBreakBefore w:val="0"/>
        <w:widowControl/>
        <w:spacing w:line="480" w:lineRule="exact"/>
        <w:ind w:firstLine="482"/>
        <w:jc w:val="left"/>
        <w:rPr>
          <w:rFonts w:hint="eastAsia" w:ascii="宋体" w:hAnsi="宋体" w:cs="宋体"/>
          <w:b/>
          <w:bCs/>
          <w:color w:val="auto"/>
          <w:sz w:val="24"/>
          <w:szCs w:val="24"/>
          <w:lang w:val="en-US" w:eastAsia="zh-CN"/>
          <w14:ligatures w14:val="none"/>
        </w:rPr>
      </w:pPr>
      <w:r>
        <w:rPr>
          <w:rFonts w:hint="eastAsia" w:ascii="宋体" w:hAnsi="宋体" w:cs="宋体"/>
          <w:b/>
          <w:bCs/>
          <w:color w:val="auto"/>
          <w:sz w:val="24"/>
          <w:szCs w:val="24"/>
          <w:lang w:val="en-US" w:eastAsia="zh-CN"/>
        </w:rPr>
        <w:t>八、采购标的对应的中小企业划分标准所属行业一览表</w:t>
      </w:r>
    </w:p>
    <w:tbl>
      <w:tblPr>
        <w:tblStyle w:val="42"/>
        <w:tblW w:w="935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055"/>
        <w:gridCol w:w="4298"/>
        <w:gridCol w:w="4006"/>
      </w:tblGrid>
      <w:tr w14:paraId="59309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27" w:hRule="atLeast"/>
          <w:jc w:val="center"/>
        </w:trPr>
        <w:tc>
          <w:tcPr>
            <w:tcW w:w="1055" w:type="dxa"/>
            <w:tcBorders>
              <w:top w:val="single" w:color="000000" w:sz="6" w:space="0"/>
              <w:left w:val="single" w:color="000000" w:sz="6" w:space="0"/>
              <w:bottom w:val="single" w:color="000000" w:sz="6" w:space="0"/>
              <w:right w:val="single" w:color="000000" w:sz="6" w:space="0"/>
            </w:tcBorders>
            <w:shd w:val="clear" w:color="auto" w:fill="auto"/>
            <w:noWrap w:val="0"/>
            <w:tcMar>
              <w:top w:w="120" w:type="dxa"/>
              <w:left w:w="120" w:type="dxa"/>
              <w:bottom w:w="120" w:type="dxa"/>
              <w:right w:w="120" w:type="dxa"/>
            </w:tcMar>
            <w:vAlign w:val="center"/>
          </w:tcPr>
          <w:p w14:paraId="240340AF">
            <w:pPr>
              <w:keepNext w:val="0"/>
              <w:keepLines w:val="0"/>
              <w:pageBreakBefore w:val="0"/>
              <w:widowControl/>
              <w:suppressLineNumbers w:val="0"/>
              <w:spacing w:before="0" w:beforeAutospacing="0" w:after="0" w:afterAutospacing="0" w:line="300" w:lineRule="exact"/>
              <w:ind w:left="0" w:right="0"/>
              <w:jc w:val="center"/>
              <w:rPr>
                <w:rFonts w:hint="eastAsia"/>
                <w:b/>
                <w:bCs/>
                <w:color w:val="auto"/>
                <w:lang w:eastAsia="zh-CN"/>
              </w:rPr>
            </w:pPr>
            <w:r>
              <w:rPr>
                <w:rFonts w:hint="eastAsia"/>
                <w:b/>
                <w:bCs/>
                <w:color w:val="auto"/>
                <w:lang w:val="en-US" w:eastAsia="zh-CN"/>
              </w:rPr>
              <w:t>序号</w:t>
            </w:r>
          </w:p>
        </w:tc>
        <w:tc>
          <w:tcPr>
            <w:tcW w:w="4298" w:type="dxa"/>
            <w:tcBorders>
              <w:top w:val="single" w:color="000000" w:sz="6" w:space="0"/>
              <w:left w:val="single" w:color="000000" w:sz="6" w:space="0"/>
              <w:bottom w:val="single" w:color="000000" w:sz="6" w:space="0"/>
              <w:right w:val="single" w:color="000000" w:sz="6" w:space="0"/>
            </w:tcBorders>
            <w:shd w:val="clear" w:color="auto" w:fill="auto"/>
            <w:noWrap w:val="0"/>
            <w:tcMar>
              <w:top w:w="120" w:type="dxa"/>
              <w:left w:w="120" w:type="dxa"/>
              <w:bottom w:w="120" w:type="dxa"/>
              <w:right w:w="120" w:type="dxa"/>
            </w:tcMar>
            <w:vAlign w:val="center"/>
          </w:tcPr>
          <w:p w14:paraId="3F939333">
            <w:pPr>
              <w:keepNext w:val="0"/>
              <w:keepLines w:val="0"/>
              <w:pageBreakBefore w:val="0"/>
              <w:widowControl/>
              <w:suppressLineNumbers w:val="0"/>
              <w:spacing w:before="0" w:beforeAutospacing="0" w:after="0" w:afterAutospacing="0" w:line="300" w:lineRule="exact"/>
              <w:ind w:left="0" w:right="0"/>
              <w:jc w:val="center"/>
              <w:rPr>
                <w:rFonts w:hint="eastAsia"/>
                <w:b/>
                <w:bCs/>
                <w:color w:val="auto"/>
              </w:rPr>
            </w:pPr>
            <w:r>
              <w:rPr>
                <w:rFonts w:hint="eastAsia"/>
                <w:b/>
                <w:bCs/>
                <w:color w:val="auto"/>
              </w:rPr>
              <w:t>采购标的</w:t>
            </w:r>
          </w:p>
        </w:tc>
        <w:tc>
          <w:tcPr>
            <w:tcW w:w="4006" w:type="dxa"/>
            <w:tcBorders>
              <w:top w:val="single" w:color="000000" w:sz="6" w:space="0"/>
              <w:left w:val="single" w:color="000000" w:sz="6" w:space="0"/>
              <w:bottom w:val="single" w:color="000000" w:sz="6" w:space="0"/>
              <w:right w:val="single" w:color="000000" w:sz="6" w:space="0"/>
            </w:tcBorders>
            <w:shd w:val="clear" w:color="auto" w:fill="auto"/>
            <w:noWrap w:val="0"/>
            <w:tcMar>
              <w:top w:w="120" w:type="dxa"/>
              <w:left w:w="120" w:type="dxa"/>
              <w:bottom w:w="120" w:type="dxa"/>
              <w:right w:w="120" w:type="dxa"/>
            </w:tcMar>
            <w:vAlign w:val="center"/>
          </w:tcPr>
          <w:p w14:paraId="0213213A">
            <w:pPr>
              <w:keepNext w:val="0"/>
              <w:keepLines w:val="0"/>
              <w:pageBreakBefore w:val="0"/>
              <w:widowControl/>
              <w:suppressLineNumbers w:val="0"/>
              <w:spacing w:before="0" w:beforeAutospacing="0" w:after="0" w:afterAutospacing="0" w:line="300" w:lineRule="exact"/>
              <w:ind w:left="0" w:right="0"/>
              <w:jc w:val="center"/>
              <w:rPr>
                <w:rFonts w:hint="eastAsia"/>
                <w:b/>
                <w:bCs/>
                <w:color w:val="auto"/>
              </w:rPr>
            </w:pPr>
            <w:r>
              <w:rPr>
                <w:rFonts w:hint="eastAsia"/>
                <w:b/>
                <w:bCs/>
                <w:color w:val="auto"/>
              </w:rPr>
              <w:t>对应中小企业划分标准所属行业</w:t>
            </w:r>
          </w:p>
        </w:tc>
      </w:tr>
      <w:tr w14:paraId="47CCC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44" w:hRule="atLeast"/>
          <w:jc w:val="center"/>
        </w:trPr>
        <w:tc>
          <w:tcPr>
            <w:tcW w:w="1055" w:type="dxa"/>
            <w:tcBorders>
              <w:top w:val="single" w:color="000000" w:sz="6" w:space="0"/>
              <w:left w:val="single" w:color="000000" w:sz="6" w:space="0"/>
              <w:bottom w:val="single" w:color="000000" w:sz="6" w:space="0"/>
              <w:right w:val="single" w:color="000000" w:sz="6" w:space="0"/>
            </w:tcBorders>
            <w:shd w:val="clear" w:color="auto" w:fill="auto"/>
            <w:noWrap w:val="0"/>
            <w:tcMar>
              <w:top w:w="120" w:type="dxa"/>
              <w:left w:w="120" w:type="dxa"/>
              <w:bottom w:w="120" w:type="dxa"/>
              <w:right w:w="120" w:type="dxa"/>
            </w:tcMar>
            <w:vAlign w:val="center"/>
          </w:tcPr>
          <w:p w14:paraId="0309134C">
            <w:pPr>
              <w:keepNext w:val="0"/>
              <w:keepLines w:val="0"/>
              <w:pageBreakBefore w:val="0"/>
              <w:widowControl/>
              <w:suppressLineNumbers w:val="0"/>
              <w:spacing w:before="0" w:beforeAutospacing="0" w:after="0" w:afterAutospacing="0" w:line="300" w:lineRule="exact"/>
              <w:ind w:left="0" w:right="0"/>
              <w:jc w:val="center"/>
              <w:rPr>
                <w:rFonts w:hint="eastAsia"/>
                <w:color w:val="auto"/>
              </w:rPr>
            </w:pPr>
            <w:r>
              <w:rPr>
                <w:rFonts w:hint="eastAsia"/>
                <w:color w:val="auto"/>
              </w:rPr>
              <w:t>1</w:t>
            </w:r>
          </w:p>
        </w:tc>
        <w:tc>
          <w:tcPr>
            <w:tcW w:w="4298" w:type="dxa"/>
            <w:tcBorders>
              <w:top w:val="single" w:color="000000" w:sz="6" w:space="0"/>
              <w:left w:val="single" w:color="000000" w:sz="6" w:space="0"/>
              <w:bottom w:val="single" w:color="000000" w:sz="6" w:space="0"/>
              <w:right w:val="single" w:color="000000" w:sz="6" w:space="0"/>
            </w:tcBorders>
            <w:shd w:val="clear" w:color="auto" w:fill="auto"/>
            <w:noWrap w:val="0"/>
            <w:tcMar>
              <w:top w:w="120" w:type="dxa"/>
              <w:left w:w="120" w:type="dxa"/>
              <w:bottom w:w="120" w:type="dxa"/>
              <w:right w:w="120" w:type="dxa"/>
            </w:tcMar>
            <w:vAlign w:val="center"/>
          </w:tcPr>
          <w:p w14:paraId="7D01C58A">
            <w:pPr>
              <w:keepNext w:val="0"/>
              <w:keepLines w:val="0"/>
              <w:pageBreakBefore w:val="0"/>
              <w:widowControl/>
              <w:suppressLineNumbers w:val="0"/>
              <w:spacing w:before="0" w:beforeAutospacing="0" w:after="0" w:afterAutospacing="0" w:line="300" w:lineRule="exact"/>
              <w:ind w:left="0" w:right="0"/>
              <w:jc w:val="center"/>
              <w:rPr>
                <w:rFonts w:hint="eastAsia" w:eastAsiaTheme="minorEastAsia"/>
                <w:color w:val="auto"/>
                <w:lang w:eastAsia="zh-CN"/>
              </w:rPr>
            </w:pPr>
            <w:r>
              <w:rPr>
                <w:rFonts w:hint="eastAsia"/>
                <w:color w:val="auto"/>
                <w:lang w:eastAsia="zh-CN"/>
              </w:rPr>
              <w:t>江苏省盐城技师学院智能制造学院工业机器人操作与运维一体化学习工作站建设项目</w:t>
            </w:r>
          </w:p>
        </w:tc>
        <w:tc>
          <w:tcPr>
            <w:tcW w:w="4006" w:type="dxa"/>
            <w:tcBorders>
              <w:top w:val="single" w:color="000000" w:sz="6" w:space="0"/>
              <w:left w:val="single" w:color="000000" w:sz="6" w:space="0"/>
              <w:bottom w:val="single" w:color="000000" w:sz="6" w:space="0"/>
              <w:right w:val="single" w:color="000000" w:sz="6" w:space="0"/>
            </w:tcBorders>
            <w:shd w:val="clear" w:color="auto" w:fill="auto"/>
            <w:noWrap w:val="0"/>
            <w:tcMar>
              <w:top w:w="120" w:type="dxa"/>
              <w:left w:w="120" w:type="dxa"/>
              <w:bottom w:w="120" w:type="dxa"/>
              <w:right w:w="120" w:type="dxa"/>
            </w:tcMar>
            <w:vAlign w:val="center"/>
          </w:tcPr>
          <w:p w14:paraId="720ABAED">
            <w:pPr>
              <w:keepNext w:val="0"/>
              <w:keepLines w:val="0"/>
              <w:pageBreakBefore w:val="0"/>
              <w:widowControl/>
              <w:suppressLineNumbers w:val="0"/>
              <w:spacing w:before="0" w:beforeAutospacing="0" w:after="0" w:afterAutospacing="0" w:line="300" w:lineRule="exact"/>
              <w:ind w:left="0" w:right="0"/>
              <w:jc w:val="center"/>
              <w:rPr>
                <w:rFonts w:hint="eastAsia"/>
                <w:color w:val="auto"/>
              </w:rPr>
            </w:pPr>
            <w:r>
              <w:rPr>
                <w:rFonts w:hint="eastAsia"/>
                <w:color w:val="auto"/>
                <w:lang w:eastAsia="zh-CN"/>
              </w:rPr>
              <w:t>工业</w:t>
            </w:r>
          </w:p>
        </w:tc>
      </w:tr>
    </w:tbl>
    <w:p w14:paraId="2BEC6A53">
      <w:pPr>
        <w:pStyle w:val="209"/>
        <w:rPr>
          <w:rFonts w:hint="eastAsia"/>
          <w:color w:val="auto"/>
        </w:rPr>
      </w:pPr>
    </w:p>
    <w:p w14:paraId="06D31523">
      <w:pPr>
        <w:pStyle w:val="209"/>
        <w:rPr>
          <w:rFonts w:hint="eastAsia"/>
          <w:color w:val="auto"/>
        </w:rPr>
      </w:pPr>
    </w:p>
    <w:p w14:paraId="26BD4839">
      <w:pPr>
        <w:pStyle w:val="209"/>
        <w:rPr>
          <w:color w:val="auto"/>
        </w:rPr>
      </w:pPr>
      <w:r>
        <w:rPr>
          <w:rFonts w:hint="eastAsia"/>
          <w:color w:val="auto"/>
        </w:rPr>
        <w:t>第五章评标方法与评标标准</w:t>
      </w:r>
      <w:bookmarkEnd w:id="164"/>
    </w:p>
    <w:p w14:paraId="5E03A333">
      <w:pPr>
        <w:pStyle w:val="36"/>
        <w:spacing w:beforeAutospacing="0" w:afterAutospacing="0"/>
        <w:jc w:val="both"/>
        <w:rPr>
          <w:rFonts w:hint="eastAsia" w:eastAsiaTheme="minorEastAsia"/>
          <w:color w:val="auto"/>
          <w:lang w:eastAsia="zh-CN"/>
        </w:rPr>
      </w:pPr>
    </w:p>
    <w:p w14:paraId="5FC7B471">
      <w:pPr>
        <w:spacing w:line="360" w:lineRule="auto"/>
        <w:ind w:firstLine="482"/>
        <w:rPr>
          <w:rFonts w:ascii="宋体" w:hAnsi="宋体" w:eastAsia="宋体" w:cs="宋体"/>
          <w:b/>
          <w:bCs/>
          <w:color w:val="auto"/>
          <w:sz w:val="24"/>
        </w:rPr>
      </w:pPr>
      <w:r>
        <w:rPr>
          <w:rFonts w:hint="eastAsia" w:ascii="宋体" w:hAnsi="宋体" w:eastAsia="宋体" w:cs="宋体"/>
          <w:b/>
          <w:bCs/>
          <w:color w:val="auto"/>
          <w:sz w:val="24"/>
        </w:rPr>
        <w:t>一、定标原则</w:t>
      </w:r>
    </w:p>
    <w:p w14:paraId="78C05DEC">
      <w:pPr>
        <w:spacing w:line="360" w:lineRule="auto"/>
        <w:ind w:firstLine="480"/>
        <w:rPr>
          <w:rFonts w:ascii="宋体" w:hAnsi="宋体" w:eastAsia="宋体" w:cs="宋体"/>
          <w:color w:val="auto"/>
          <w:sz w:val="24"/>
        </w:rPr>
      </w:pPr>
      <w:r>
        <w:rPr>
          <w:rFonts w:hint="eastAsia" w:ascii="宋体" w:hAnsi="宋体" w:eastAsia="宋体" w:cs="宋体"/>
          <w:bCs/>
          <w:color w:val="auto"/>
          <w:sz w:val="24"/>
        </w:rPr>
        <w:t>本项目采用</w:t>
      </w:r>
      <w:r>
        <w:rPr>
          <w:rFonts w:hint="eastAsia" w:ascii="宋体" w:hAnsi="宋体" w:eastAsia="宋体" w:cs="宋体"/>
          <w:bCs/>
          <w:color w:val="auto"/>
          <w:sz w:val="24"/>
          <w:u w:val="single"/>
        </w:rPr>
        <w:t>综合评分</w:t>
      </w:r>
      <w:r>
        <w:rPr>
          <w:rFonts w:hint="eastAsia" w:ascii="宋体" w:hAnsi="宋体" w:eastAsia="宋体" w:cs="宋体"/>
          <w:bCs/>
          <w:color w:val="auto"/>
          <w:sz w:val="24"/>
        </w:rPr>
        <w:t>法。</w:t>
      </w:r>
      <w:r>
        <w:rPr>
          <w:rFonts w:hint="eastAsia" w:ascii="宋体" w:hAnsi="宋体" w:eastAsia="宋体" w:cs="宋体"/>
          <w:color w:val="auto"/>
          <w:sz w:val="24"/>
        </w:rPr>
        <w:t>评标结果按评审后得分由高到低顺序排列。得分相同的，按投标报价由低到高顺序排列。得分且投标报价相同的</w:t>
      </w:r>
      <w:r>
        <w:rPr>
          <w:rFonts w:hint="eastAsia" w:ascii="宋体" w:hAnsi="宋体" w:eastAsia="宋体" w:cs="宋体"/>
          <w:color w:val="auto"/>
          <w:sz w:val="24"/>
          <w:szCs w:val="21"/>
        </w:rPr>
        <w:t>，由评标委员会组织通过抽签的方式确定中标候选人的排序</w:t>
      </w:r>
      <w:r>
        <w:rPr>
          <w:rFonts w:hint="eastAsia" w:ascii="宋体" w:hAnsi="宋体" w:eastAsia="宋体" w:cs="宋体"/>
          <w:color w:val="auto"/>
          <w:sz w:val="24"/>
        </w:rPr>
        <w:t>。投标文件满足招标文件全部实质性要求，且按照评审因素的量化指标评审得分最高的投标人为排名第一的中标候选人，本项目选取1名中标候选人。</w:t>
      </w:r>
    </w:p>
    <w:p w14:paraId="06F381BD">
      <w:pPr>
        <w:pStyle w:val="36"/>
        <w:keepNext w:val="0"/>
        <w:keepLines w:val="0"/>
        <w:pageBreakBefore w:val="0"/>
        <w:widowControl w:val="0"/>
        <w:spacing w:before="120" w:beforeAutospacing="0" w:after="120" w:afterAutospacing="0" w:line="340" w:lineRule="exact"/>
        <w:ind w:firstLine="441"/>
        <w:rPr>
          <w:rFonts w:ascii="宋体" w:hAnsi="宋体" w:eastAsia="宋体" w:cs="宋体"/>
          <w:color w:val="auto"/>
          <w:sz w:val="21"/>
          <w:szCs w:val="21"/>
        </w:rPr>
      </w:pPr>
      <w:r>
        <w:rPr>
          <w:rFonts w:hint="eastAsia" w:ascii="宋体" w:hAnsi="宋体" w:eastAsia="宋体" w:cs="宋体"/>
          <w:b/>
          <w:color w:val="auto"/>
          <w:sz w:val="21"/>
          <w:szCs w:val="21"/>
        </w:rPr>
        <w:t>政府采购政策功能落实</w:t>
      </w:r>
    </w:p>
    <w:p w14:paraId="36A5C5F6">
      <w:pPr>
        <w:keepNext w:val="0"/>
        <w:keepLines w:val="0"/>
        <w:pageBreakBefore w:val="0"/>
        <w:widowControl w:val="0"/>
        <w:spacing w:line="440" w:lineRule="exact"/>
        <w:ind w:firstLine="482"/>
        <w:rPr>
          <w:rFonts w:ascii="宋体" w:hAnsi="宋体" w:cs="宋体"/>
          <w:color w:val="auto"/>
          <w:sz w:val="24"/>
        </w:rPr>
      </w:pPr>
      <w:r>
        <w:rPr>
          <w:rFonts w:hint="eastAsia" w:ascii="宋体" w:hAnsi="宋体" w:cs="宋体"/>
          <w:color w:val="auto"/>
          <w:sz w:val="24"/>
        </w:rPr>
        <w:t>1、小微型企业</w:t>
      </w:r>
    </w:p>
    <w:p w14:paraId="2B7DCF66">
      <w:pPr>
        <w:keepNext w:val="0"/>
        <w:keepLines w:val="0"/>
        <w:pageBreakBefore w:val="0"/>
        <w:widowControl w:val="0"/>
        <w:spacing w:line="440" w:lineRule="exact"/>
        <w:ind w:firstLine="482"/>
        <w:rPr>
          <w:rFonts w:ascii="宋体" w:hAnsi="宋体" w:cs="宋体"/>
          <w:color w:val="auto"/>
          <w:sz w:val="24"/>
        </w:rPr>
      </w:pPr>
      <w:r>
        <w:rPr>
          <w:rFonts w:hint="eastAsia" w:ascii="宋体" w:hAnsi="宋体" w:cs="宋体"/>
          <w:color w:val="auto"/>
          <w:sz w:val="24"/>
        </w:rPr>
        <w:t>（1）本项目专门面向中小企业采购，不再对小型和微型企业服务给予价格扣除。</w:t>
      </w:r>
    </w:p>
    <w:p w14:paraId="4A9492A9">
      <w:pPr>
        <w:keepNext w:val="0"/>
        <w:keepLines w:val="0"/>
        <w:pageBreakBefore w:val="0"/>
        <w:widowControl w:val="0"/>
        <w:spacing w:line="440" w:lineRule="exact"/>
        <w:ind w:firstLine="482"/>
        <w:rPr>
          <w:rFonts w:ascii="宋体" w:hAnsi="宋体" w:cs="宋体"/>
          <w:color w:val="auto"/>
          <w:sz w:val="24"/>
        </w:rPr>
      </w:pPr>
      <w:r>
        <w:rPr>
          <w:rFonts w:hint="eastAsia" w:ascii="宋体" w:hAnsi="宋体" w:cs="宋体"/>
          <w:color w:val="auto"/>
          <w:sz w:val="24"/>
        </w:rPr>
        <w:t>（2）供应商需按照采购文件的要求提供相应的《</w:t>
      </w:r>
      <w:r>
        <w:rPr>
          <w:rFonts w:hint="eastAsia" w:ascii="宋体" w:hAnsi="宋体" w:cs="宋体"/>
          <w:color w:val="auto"/>
          <w:sz w:val="24"/>
          <w:lang w:val="en-US" w:eastAsia="zh-CN"/>
        </w:rPr>
        <w:t>中小</w:t>
      </w:r>
      <w:r>
        <w:rPr>
          <w:rFonts w:hint="eastAsia" w:ascii="宋体" w:hAnsi="宋体" w:cs="宋体"/>
          <w:color w:val="auto"/>
          <w:sz w:val="24"/>
        </w:rPr>
        <w:t>企业声明函》。</w:t>
      </w:r>
    </w:p>
    <w:p w14:paraId="1972F876">
      <w:pPr>
        <w:keepNext w:val="0"/>
        <w:keepLines w:val="0"/>
        <w:pageBreakBefore w:val="0"/>
        <w:widowControl w:val="0"/>
        <w:spacing w:line="440" w:lineRule="exact"/>
        <w:ind w:firstLine="482"/>
        <w:rPr>
          <w:rFonts w:ascii="宋体" w:hAnsi="宋体" w:cs="宋体"/>
          <w:color w:val="auto"/>
          <w:sz w:val="24"/>
        </w:rPr>
      </w:pPr>
      <w:r>
        <w:rPr>
          <w:rFonts w:hint="eastAsia" w:ascii="宋体" w:hAnsi="宋体" w:cs="宋体"/>
          <w:color w:val="auto"/>
          <w:sz w:val="24"/>
        </w:rPr>
        <w:t>（3）企业标准请参照《关于印发中小企业划型标准规定的通知》（工信部联企业[2011]300号）文件规定自行填写。</w:t>
      </w:r>
    </w:p>
    <w:p w14:paraId="2596C0E4">
      <w:pPr>
        <w:keepNext w:val="0"/>
        <w:keepLines w:val="0"/>
        <w:pageBreakBefore w:val="0"/>
        <w:widowControl w:val="0"/>
        <w:spacing w:line="440" w:lineRule="exact"/>
        <w:ind w:firstLine="482"/>
        <w:rPr>
          <w:rFonts w:ascii="宋体" w:hAnsi="宋体" w:cs="宋体"/>
          <w:color w:val="auto"/>
          <w:sz w:val="24"/>
        </w:rPr>
      </w:pPr>
      <w:r>
        <w:rPr>
          <w:rFonts w:hint="eastAsia" w:ascii="宋体" w:hAnsi="宋体" w:cs="宋体"/>
          <w:color w:val="auto"/>
          <w:sz w:val="24"/>
        </w:rPr>
        <w:t>2、残疾人福利单位</w:t>
      </w:r>
    </w:p>
    <w:p w14:paraId="316599AE">
      <w:pPr>
        <w:keepNext w:val="0"/>
        <w:keepLines w:val="0"/>
        <w:pageBreakBefore w:val="0"/>
        <w:widowControl w:val="0"/>
        <w:spacing w:line="440" w:lineRule="exact"/>
        <w:ind w:firstLine="482"/>
        <w:rPr>
          <w:rFonts w:ascii="宋体" w:hAnsi="宋体" w:cs="宋体"/>
          <w:color w:val="auto"/>
          <w:sz w:val="24"/>
        </w:rPr>
      </w:pPr>
      <w:r>
        <w:rPr>
          <w:rFonts w:hint="eastAsia" w:ascii="宋体" w:hAnsi="宋体" w:cs="宋体"/>
          <w:color w:val="auto"/>
          <w:sz w:val="24"/>
        </w:rPr>
        <w:t>（1）本项目对残疾人福利性单位视同小型、微型企业。</w:t>
      </w:r>
    </w:p>
    <w:p w14:paraId="7416A561">
      <w:pPr>
        <w:keepNext w:val="0"/>
        <w:keepLines w:val="0"/>
        <w:pageBreakBefore w:val="0"/>
        <w:widowControl w:val="0"/>
        <w:spacing w:line="440" w:lineRule="exact"/>
        <w:ind w:firstLine="482"/>
        <w:rPr>
          <w:rFonts w:ascii="宋体" w:hAnsi="宋体" w:cs="宋体"/>
          <w:color w:val="auto"/>
          <w:sz w:val="24"/>
        </w:rPr>
      </w:pPr>
      <w:r>
        <w:rPr>
          <w:rFonts w:hint="eastAsia" w:ascii="宋体" w:hAnsi="宋体" w:cs="宋体"/>
          <w:color w:val="auto"/>
          <w:sz w:val="24"/>
        </w:rPr>
        <w:t>（2）残疾人福利单位标准请参照《关于促进残疾人就业政府采购政策的通知》（财库〔2017〕141号），需提供《残疾人福利性单位声明函》。</w:t>
      </w:r>
    </w:p>
    <w:p w14:paraId="59476E4B">
      <w:pPr>
        <w:keepNext w:val="0"/>
        <w:keepLines w:val="0"/>
        <w:pageBreakBefore w:val="0"/>
        <w:widowControl w:val="0"/>
        <w:spacing w:line="440" w:lineRule="exact"/>
        <w:ind w:firstLine="482"/>
        <w:rPr>
          <w:rFonts w:ascii="宋体" w:hAnsi="宋体" w:cs="宋体"/>
          <w:color w:val="auto"/>
          <w:sz w:val="24"/>
        </w:rPr>
      </w:pPr>
      <w:r>
        <w:rPr>
          <w:rFonts w:hint="eastAsia" w:ascii="宋体" w:hAnsi="宋体" w:cs="宋体"/>
          <w:color w:val="auto"/>
          <w:sz w:val="24"/>
        </w:rPr>
        <w:t>3、监狱和戒毒企业</w:t>
      </w:r>
    </w:p>
    <w:p w14:paraId="51FD7369">
      <w:pPr>
        <w:keepNext w:val="0"/>
        <w:keepLines w:val="0"/>
        <w:pageBreakBefore w:val="0"/>
        <w:widowControl w:val="0"/>
        <w:spacing w:line="440" w:lineRule="exact"/>
        <w:ind w:firstLine="482"/>
        <w:rPr>
          <w:rFonts w:ascii="宋体" w:hAnsi="宋体" w:cs="宋体"/>
          <w:color w:val="auto"/>
          <w:sz w:val="24"/>
        </w:rPr>
      </w:pPr>
      <w:r>
        <w:rPr>
          <w:rFonts w:hint="eastAsia" w:ascii="宋体" w:hAnsi="宋体" w:cs="宋体"/>
          <w:color w:val="auto"/>
          <w:sz w:val="24"/>
        </w:rPr>
        <w:t>（1）本项目对监狱和戒毒企业（简称监狱企业）视同小型、微型企业。</w:t>
      </w:r>
    </w:p>
    <w:p w14:paraId="3FD289A5">
      <w:pPr>
        <w:keepNext w:val="0"/>
        <w:keepLines w:val="0"/>
        <w:pageBreakBefore w:val="0"/>
        <w:widowControl w:val="0"/>
        <w:spacing w:line="440" w:lineRule="exact"/>
        <w:ind w:firstLine="482"/>
        <w:rPr>
          <w:rFonts w:ascii="宋体" w:hAnsi="宋体" w:cs="宋体"/>
          <w:color w:val="auto"/>
          <w:sz w:val="24"/>
        </w:rPr>
      </w:pPr>
      <w:r>
        <w:rPr>
          <w:rFonts w:hint="eastAsia" w:ascii="宋体" w:hAnsi="宋体" w:cs="宋体"/>
          <w:color w:val="auto"/>
          <w:sz w:val="24"/>
        </w:rPr>
        <w:t>（2）监狱企业参加政府采购活动时，需提供由省级以上监狱管理局、戒毒管理局(含新疆生产建设兵团)出具的属于监狱企业的证明文件。</w:t>
      </w:r>
    </w:p>
    <w:p w14:paraId="004F62E6">
      <w:pPr>
        <w:keepNext w:val="0"/>
        <w:keepLines w:val="0"/>
        <w:pageBreakBefore w:val="0"/>
        <w:widowControl w:val="0"/>
        <w:spacing w:line="440" w:lineRule="exact"/>
        <w:ind w:firstLine="482"/>
        <w:rPr>
          <w:rFonts w:ascii="宋体" w:hAnsi="宋体" w:cs="宋体"/>
          <w:color w:val="auto"/>
          <w:sz w:val="24"/>
        </w:rPr>
      </w:pPr>
      <w:r>
        <w:rPr>
          <w:rFonts w:hint="eastAsia" w:ascii="宋体" w:hAnsi="宋体" w:cs="宋体"/>
          <w:color w:val="auto"/>
          <w:sz w:val="24"/>
        </w:rPr>
        <w:t>（3）监狱企业标准请参照《关于政府采购支持监狱企业发展有关问题的通知》（财库[2014]68号）。</w:t>
      </w:r>
    </w:p>
    <w:p w14:paraId="5E06E7EE">
      <w:pPr>
        <w:pStyle w:val="36"/>
        <w:keepNext w:val="0"/>
        <w:keepLines w:val="0"/>
        <w:pageBreakBefore w:val="0"/>
        <w:spacing w:beforeAutospacing="0" w:afterAutospacing="0" w:line="440" w:lineRule="exact"/>
        <w:ind w:firstLine="480"/>
        <w:jc w:val="both"/>
        <w:rPr>
          <w:rFonts w:hint="eastAsia" w:ascii="宋体" w:hAnsi="宋体" w:cs="宋体"/>
          <w:color w:val="auto"/>
          <w:sz w:val="24"/>
        </w:rPr>
      </w:pPr>
      <w:r>
        <w:rPr>
          <w:rFonts w:hint="eastAsia" w:ascii="宋体" w:hAnsi="宋体" w:cs="宋体"/>
          <w:color w:val="auto"/>
          <w:sz w:val="24"/>
        </w:rPr>
        <w:t>4、残疾人福利单位、监狱企业属于小型、微型企业的，不重复享受政策。</w:t>
      </w:r>
    </w:p>
    <w:p w14:paraId="4326D45B">
      <w:pPr>
        <w:keepNext w:val="0"/>
        <w:keepLines w:val="0"/>
        <w:pageBreakBefore w:val="0"/>
        <w:widowControl/>
        <w:spacing w:line="440" w:lineRule="exact"/>
        <w:ind w:firstLine="482"/>
        <w:jc w:val="left"/>
        <w:rPr>
          <w:rFonts w:ascii="宋体" w:hAnsi="宋体" w:eastAsia="宋体" w:cs="宋体"/>
          <w:color w:val="auto"/>
          <w:sz w:val="24"/>
        </w:rPr>
      </w:pPr>
      <w:r>
        <w:rPr>
          <w:rFonts w:hint="eastAsia" w:ascii="宋体" w:hAnsi="宋体" w:eastAsia="宋体" w:cs="宋体"/>
          <w:color w:val="auto"/>
          <w:sz w:val="24"/>
        </w:rPr>
        <w:t>5、采购本国产品的支持政策</w:t>
      </w:r>
    </w:p>
    <w:p w14:paraId="3081439D">
      <w:pPr>
        <w:keepNext w:val="0"/>
        <w:keepLines w:val="0"/>
        <w:pageBreakBefore w:val="0"/>
        <w:widowControl/>
        <w:spacing w:line="440" w:lineRule="exact"/>
        <w:ind w:firstLine="482"/>
        <w:jc w:val="left"/>
        <w:rPr>
          <w:rFonts w:ascii="宋体" w:hAnsi="宋体" w:eastAsia="宋体" w:cs="宋体"/>
          <w:color w:val="auto"/>
          <w:sz w:val="24"/>
        </w:rPr>
      </w:pPr>
      <w:r>
        <w:rPr>
          <w:rFonts w:hint="eastAsia" w:ascii="宋体" w:hAnsi="宋体" w:eastAsia="宋体" w:cs="宋体"/>
          <w:color w:val="auto"/>
          <w:sz w:val="24"/>
        </w:rPr>
        <w:t>5.1本项目政府采购活动中既有本国产品又有非本国产品参与竞争的，依法对本国产品给予价格评审优惠，对本国产品的报价给予20%的价格扣除，用扣除后的价格参与评审。</w:t>
      </w:r>
    </w:p>
    <w:p w14:paraId="17640909">
      <w:pPr>
        <w:keepNext w:val="0"/>
        <w:keepLines w:val="0"/>
        <w:pageBreakBefore w:val="0"/>
        <w:widowControl/>
        <w:spacing w:line="440" w:lineRule="exact"/>
        <w:ind w:firstLine="482"/>
        <w:jc w:val="left"/>
        <w:rPr>
          <w:rFonts w:ascii="宋体" w:hAnsi="宋体" w:eastAsia="宋体" w:cs="宋体"/>
          <w:color w:val="auto"/>
          <w:sz w:val="24"/>
        </w:rPr>
      </w:pPr>
      <w:r>
        <w:rPr>
          <w:rFonts w:hint="eastAsia" w:ascii="宋体" w:hAnsi="宋体" w:eastAsia="宋体" w:cs="宋体"/>
          <w:color w:val="auto"/>
          <w:sz w:val="24"/>
        </w:rPr>
        <w:t>5.2当采购项目或者采购包中含有多种产品，供应商为该采购项目或者采购包提供的符合本国产品标准的产品成本之和占该供应商提供的全部产品成本之和的比例达到80%以上时（供应商需在“第六章投标文件格式”的“投标分项报价表”中填写比例数值），依法对该供应商提供的全部产品给予价格评审优惠，即对该供应商提供的全部产品的总报价给予20%的价格扣除，用扣除后的价格参与评审。供应商未填写比例数值，或比例数值未达到80%的，将不享受本国产品价格评审优惠。</w:t>
      </w:r>
    </w:p>
    <w:p w14:paraId="5419F8BE">
      <w:pPr>
        <w:keepNext w:val="0"/>
        <w:keepLines w:val="0"/>
        <w:pageBreakBefore w:val="0"/>
        <w:widowControl/>
        <w:spacing w:line="440" w:lineRule="exact"/>
        <w:ind w:firstLine="482"/>
        <w:jc w:val="left"/>
        <w:rPr>
          <w:rFonts w:ascii="宋体" w:hAnsi="宋体" w:eastAsia="宋体" w:cs="宋体"/>
          <w:color w:val="auto"/>
          <w:sz w:val="24"/>
        </w:rPr>
      </w:pPr>
      <w:r>
        <w:rPr>
          <w:rFonts w:hint="eastAsia" w:ascii="宋体" w:hAnsi="宋体" w:eastAsia="宋体" w:cs="宋体"/>
          <w:color w:val="auto"/>
          <w:sz w:val="24"/>
        </w:rPr>
        <w:t>5.3供应商需按照招标文件的要求提供《关于符合本国产品标准的声明函》（以下简称《声明函》），如不提供将不享受本国产品价格评审优惠。</w:t>
      </w:r>
    </w:p>
    <w:p w14:paraId="1F0D12DB">
      <w:pPr>
        <w:keepNext w:val="0"/>
        <w:keepLines w:val="0"/>
        <w:pageBreakBefore w:val="0"/>
        <w:widowControl/>
        <w:spacing w:line="440" w:lineRule="exact"/>
        <w:ind w:firstLine="482"/>
        <w:jc w:val="left"/>
        <w:rPr>
          <w:rFonts w:ascii="宋体" w:hAnsi="宋体" w:eastAsia="宋体" w:cs="宋体"/>
          <w:color w:val="auto"/>
          <w:sz w:val="24"/>
        </w:rPr>
      </w:pPr>
      <w:r>
        <w:rPr>
          <w:rFonts w:hint="eastAsia" w:ascii="宋体" w:hAnsi="宋体" w:eastAsia="宋体" w:cs="宋体"/>
          <w:color w:val="auto"/>
          <w:sz w:val="24"/>
        </w:rPr>
        <w:t>5.4供应商需在《声明函》中逐一、准确填写产品名称、厂名、生产厂址三项信息（《声明函》中用横线划除的地方无需填写），三项信息中任意一项未填写的视为该项产品不符合本国产品标准，不享受本国产品价格评审优惠。</w:t>
      </w:r>
    </w:p>
    <w:p w14:paraId="3EB8F831">
      <w:pPr>
        <w:keepNext w:val="0"/>
        <w:keepLines w:val="0"/>
        <w:pageBreakBefore w:val="0"/>
        <w:widowControl/>
        <w:spacing w:line="440" w:lineRule="exact"/>
        <w:ind w:firstLine="482"/>
        <w:jc w:val="left"/>
        <w:rPr>
          <w:rFonts w:ascii="宋体" w:hAnsi="宋体" w:eastAsia="宋体" w:cs="宋体"/>
          <w:color w:val="auto"/>
          <w:sz w:val="24"/>
        </w:rPr>
      </w:pPr>
      <w:r>
        <w:rPr>
          <w:rFonts w:hint="eastAsia" w:ascii="宋体" w:hAnsi="宋体" w:eastAsia="宋体" w:cs="宋体"/>
          <w:color w:val="auto"/>
          <w:sz w:val="24"/>
        </w:rPr>
        <w:t>5.5评标过程中，如发现供应商在《声明函》内容含义不明确、同类事项与投标（响应）文件表述不一致或者有明显文字错误等情况的，评标委员会应当在苏采云系统要求供应商作出必要的澄清、说明或者补正。经澄清、说明或者补正的《声明函》仍然不符合《国务院办公厅关于在政府采购中实施本国产品标准及相关政策的通知》（国办发〔2025〕34号）和招标文件规定的，供应商提供的相关产品视为不符合本国产品标准。</w:t>
      </w:r>
    </w:p>
    <w:p w14:paraId="31AE3C35">
      <w:pPr>
        <w:pStyle w:val="36"/>
        <w:keepNext w:val="0"/>
        <w:keepLines w:val="0"/>
        <w:pageBreakBefore w:val="0"/>
        <w:spacing w:beforeAutospacing="0" w:afterAutospacing="0" w:line="440" w:lineRule="exact"/>
        <w:ind w:firstLine="480"/>
        <w:jc w:val="both"/>
        <w:rPr>
          <w:rFonts w:hint="eastAsia" w:ascii="宋体" w:hAnsi="宋体" w:cs="宋体"/>
          <w:color w:val="auto"/>
          <w:sz w:val="24"/>
          <w:szCs w:val="24"/>
        </w:rPr>
      </w:pPr>
      <w:r>
        <w:rPr>
          <w:rFonts w:hint="eastAsia" w:ascii="宋体" w:hAnsi="宋体" w:eastAsia="宋体" w:cs="宋体"/>
          <w:color w:val="auto"/>
          <w:sz w:val="24"/>
        </w:rPr>
        <w:t>6.严格执行政府采购关于支持节能产品、环境标志产品的相关政策规定。如本次采购的产品属于财政部、国家发展改革委、生态环境部、市场监管总局等部门发布的节能产品、环境标志产品品目清单政府强制采购范围的，供应商必须在响应文件中提供所投产品的相关证书(由国家确定的认证机构出具的、处于有效期之内的节能产品、环境标志产品认证证书)。节能产品、环境标志产品品目清单以递交响应文件截止时已正式公布的最近一期信息为准，</w:t>
      </w:r>
      <w:r>
        <w:rPr>
          <w:rFonts w:hint="eastAsia" w:ascii="宋体" w:hAnsi="宋体" w:eastAsia="宋体" w:cs="宋体"/>
          <w:b/>
          <w:bCs/>
          <w:i/>
          <w:iCs/>
          <w:color w:val="auto"/>
          <w:sz w:val="24"/>
        </w:rPr>
        <w:t>如属政府强制采购产品未提供认证证书的或认证证书提供不全的将视为未实质性响应采购要求</w:t>
      </w:r>
      <w:r>
        <w:rPr>
          <w:rFonts w:hint="eastAsia" w:ascii="宋体" w:hAnsi="宋体" w:eastAsia="宋体" w:cs="宋体"/>
          <w:color w:val="auto"/>
          <w:sz w:val="24"/>
        </w:rPr>
        <w:t>。其他条件相同情况下，应当优先采购节能产品、环境标志产品。</w:t>
      </w:r>
    </w:p>
    <w:p w14:paraId="51D9B618">
      <w:pPr>
        <w:keepNext w:val="0"/>
        <w:keepLines w:val="0"/>
        <w:pageBreakBefore w:val="0"/>
        <w:widowControl w:val="0"/>
        <w:spacing w:line="340" w:lineRule="exact"/>
        <w:ind w:firstLine="420"/>
        <w:rPr>
          <w:rFonts w:hint="eastAsia" w:ascii="宋体" w:hAnsi="宋体" w:eastAsia="宋体" w:cs="宋体"/>
          <w:b/>
          <w:color w:val="auto"/>
          <w:sz w:val="28"/>
          <w:szCs w:val="28"/>
          <w:lang w:eastAsia="zh-CN"/>
        </w:rPr>
      </w:pPr>
    </w:p>
    <w:p w14:paraId="6F8A54BF">
      <w:pPr>
        <w:pStyle w:val="36"/>
        <w:numPr>
          <w:ilvl w:val="0"/>
          <w:numId w:val="0"/>
        </w:numPr>
        <w:spacing w:before="120" w:beforeAutospacing="0" w:after="120" w:afterAutospacing="0" w:line="0" w:lineRule="atLeast"/>
        <w:ind w:left="48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二、</w:t>
      </w:r>
      <w:r>
        <w:rPr>
          <w:rFonts w:hint="eastAsia" w:ascii="宋体" w:hAnsi="宋体" w:eastAsia="宋体" w:cs="宋体"/>
          <w:b/>
          <w:color w:val="auto"/>
          <w:sz w:val="24"/>
          <w:szCs w:val="24"/>
          <w:highlight w:val="none"/>
        </w:rPr>
        <w:t>评标标准</w:t>
      </w:r>
    </w:p>
    <w:tbl>
      <w:tblPr>
        <w:tblStyle w:val="42"/>
        <w:tblW w:w="928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8"/>
        <w:gridCol w:w="1246"/>
        <w:gridCol w:w="1017"/>
        <w:gridCol w:w="6359"/>
      </w:tblGrid>
      <w:tr w14:paraId="1611F6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3" w:hRule="atLeast"/>
          <w:jc w:val="center"/>
        </w:trPr>
        <w:tc>
          <w:tcPr>
            <w:tcW w:w="658" w:type="dxa"/>
            <w:noWrap/>
            <w:vAlign w:val="center"/>
          </w:tcPr>
          <w:p w14:paraId="1A69038F">
            <w:pPr>
              <w:keepNext w:val="0"/>
              <w:keepLines w:val="0"/>
              <w:pageBreakBefore w:val="0"/>
              <w:widowControl/>
              <w:suppressLineNumbers w:val="0"/>
              <w:spacing w:before="0" w:beforeAutospacing="0" w:after="0" w:afterAutospacing="0" w:line="32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序号</w:t>
            </w:r>
          </w:p>
        </w:tc>
        <w:tc>
          <w:tcPr>
            <w:tcW w:w="1246" w:type="dxa"/>
            <w:noWrap/>
            <w:vAlign w:val="center"/>
          </w:tcPr>
          <w:p w14:paraId="596E092E">
            <w:pPr>
              <w:keepNext w:val="0"/>
              <w:keepLines w:val="0"/>
              <w:pageBreakBefore w:val="0"/>
              <w:widowControl/>
              <w:suppressLineNumbers w:val="0"/>
              <w:spacing w:before="0" w:beforeAutospacing="0" w:after="0" w:afterAutospacing="0" w:line="320" w:lineRule="exact"/>
              <w:ind w:left="0" w:righ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评审项目</w:t>
            </w:r>
          </w:p>
        </w:tc>
        <w:tc>
          <w:tcPr>
            <w:tcW w:w="1017" w:type="dxa"/>
            <w:noWrap/>
            <w:vAlign w:val="center"/>
          </w:tcPr>
          <w:p w14:paraId="243C7D87">
            <w:pPr>
              <w:keepNext w:val="0"/>
              <w:keepLines w:val="0"/>
              <w:pageBreakBefore w:val="0"/>
              <w:widowControl/>
              <w:suppressLineNumbers w:val="0"/>
              <w:spacing w:before="0" w:beforeAutospacing="0" w:after="0" w:afterAutospacing="0" w:line="32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分值</w:t>
            </w:r>
          </w:p>
        </w:tc>
        <w:tc>
          <w:tcPr>
            <w:tcW w:w="6359" w:type="dxa"/>
            <w:noWrap/>
            <w:vAlign w:val="center"/>
          </w:tcPr>
          <w:p w14:paraId="0E389839">
            <w:pPr>
              <w:keepNext w:val="0"/>
              <w:keepLines w:val="0"/>
              <w:pageBreakBefore w:val="0"/>
              <w:widowControl/>
              <w:suppressLineNumbers w:val="0"/>
              <w:spacing w:before="0" w:beforeAutospacing="0" w:after="0" w:afterAutospacing="0" w:line="320" w:lineRule="exact"/>
              <w:ind w:left="0" w:righ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评审细则</w:t>
            </w:r>
          </w:p>
        </w:tc>
      </w:tr>
      <w:tr w14:paraId="2C413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658" w:type="dxa"/>
            <w:noWrap/>
            <w:vAlign w:val="center"/>
          </w:tcPr>
          <w:p w14:paraId="1EA76C31">
            <w:pPr>
              <w:keepNext w:val="0"/>
              <w:keepLines w:val="0"/>
              <w:pageBreakBefore w:val="0"/>
              <w:suppressLineNumbers w:val="0"/>
              <w:spacing w:before="0" w:beforeAutospacing="0" w:after="0" w:afterAutospacing="0" w:line="32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46" w:type="dxa"/>
            <w:noWrap/>
            <w:vAlign w:val="center"/>
          </w:tcPr>
          <w:p w14:paraId="3D281123">
            <w:pPr>
              <w:keepNext w:val="0"/>
              <w:keepLines w:val="0"/>
              <w:pageBreakBefore w:val="0"/>
              <w:suppressLineNumbers w:val="0"/>
              <w:spacing w:before="0" w:beforeAutospacing="0" w:after="0" w:afterAutospacing="0" w:line="32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w:t>
            </w:r>
          </w:p>
        </w:tc>
        <w:tc>
          <w:tcPr>
            <w:tcW w:w="1017" w:type="dxa"/>
            <w:noWrap/>
            <w:vAlign w:val="center"/>
          </w:tcPr>
          <w:p w14:paraId="4D6CC55E">
            <w:pPr>
              <w:keepNext w:val="0"/>
              <w:keepLines w:val="0"/>
              <w:pageBreakBefore w:val="0"/>
              <w:suppressLineNumbers w:val="0"/>
              <w:spacing w:before="0" w:beforeAutospacing="0" w:after="0" w:afterAutospacing="0" w:line="32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30</w:t>
            </w:r>
            <w:r>
              <w:rPr>
                <w:rFonts w:hint="eastAsia" w:ascii="宋体" w:hAnsi="宋体" w:eastAsia="宋体" w:cs="宋体"/>
                <w:color w:val="auto"/>
                <w:sz w:val="21"/>
                <w:szCs w:val="21"/>
                <w:highlight w:val="none"/>
              </w:rPr>
              <w:t>分</w:t>
            </w:r>
          </w:p>
        </w:tc>
        <w:tc>
          <w:tcPr>
            <w:tcW w:w="6359" w:type="dxa"/>
            <w:noWrap/>
            <w:vAlign w:val="top"/>
          </w:tcPr>
          <w:p w14:paraId="464DB60A">
            <w:pPr>
              <w:keepNext w:val="0"/>
              <w:keepLines w:val="0"/>
              <w:pageBreakBefore w:val="0"/>
              <w:widowControl w:val="0"/>
              <w:suppressLineNumbers w:val="0"/>
              <w:spacing w:before="0" w:beforeAutospacing="0" w:after="0" w:afterAutospacing="0" w:line="320" w:lineRule="exact"/>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采用低价优先法，即满足招标文件要求且投标价格最低的有效投标报价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有效投标报价为未被评标委员会判定为无效标的投标文件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为评标基准价，其价格分为满分。</w:t>
            </w:r>
          </w:p>
          <w:p w14:paraId="504EFACC">
            <w:pPr>
              <w:keepNext w:val="0"/>
              <w:keepLines w:val="0"/>
              <w:pageBreakBefore w:val="0"/>
              <w:widowControl w:val="0"/>
              <w:suppressLineNumbers w:val="0"/>
              <w:spacing w:before="0" w:beforeAutospacing="0" w:after="0" w:afterAutospacing="0" w:line="320" w:lineRule="exact"/>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其他投标人的价格分统一按下列公式计算：投标报价得分＝（评标基准价/投标报价）×</w:t>
            </w:r>
            <w:r>
              <w:rPr>
                <w:rFonts w:hint="eastAsia" w:ascii="宋体" w:hAnsi="宋体" w:eastAsia="宋体" w:cs="宋体"/>
                <w:color w:val="auto"/>
                <w:sz w:val="21"/>
                <w:szCs w:val="21"/>
                <w:highlight w:val="none"/>
                <w:lang w:val="en-US" w:eastAsia="zh-CN"/>
              </w:rPr>
              <w:t>30</w:t>
            </w:r>
            <w:r>
              <w:rPr>
                <w:rFonts w:hint="eastAsia" w:ascii="宋体" w:hAnsi="宋体" w:eastAsia="宋体" w:cs="宋体"/>
                <w:color w:val="auto"/>
                <w:sz w:val="21"/>
                <w:szCs w:val="21"/>
                <w:highlight w:val="none"/>
              </w:rPr>
              <w:t>（小数点保留两位）。</w:t>
            </w:r>
          </w:p>
        </w:tc>
      </w:tr>
      <w:tr w14:paraId="77305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658" w:type="dxa"/>
            <w:noWrap/>
            <w:vAlign w:val="center"/>
          </w:tcPr>
          <w:p w14:paraId="1C9AEE51">
            <w:pPr>
              <w:keepNext w:val="0"/>
              <w:keepLines w:val="0"/>
              <w:pageBreakBefore w:val="0"/>
              <w:suppressLineNumbers w:val="0"/>
              <w:spacing w:before="0" w:beforeAutospacing="0" w:after="0" w:afterAutospacing="0" w:line="320" w:lineRule="exact"/>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246" w:type="dxa"/>
            <w:noWrap/>
            <w:vAlign w:val="center"/>
          </w:tcPr>
          <w:p w14:paraId="036974E8">
            <w:pPr>
              <w:keepNext w:val="0"/>
              <w:keepLines w:val="0"/>
              <w:pageBreakBefore w:val="0"/>
              <w:suppressLineNumbers w:val="0"/>
              <w:spacing w:before="0" w:beforeAutospacing="0" w:after="0" w:afterAutospacing="0" w:line="320" w:lineRule="exact"/>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业绩</w:t>
            </w:r>
          </w:p>
        </w:tc>
        <w:tc>
          <w:tcPr>
            <w:tcW w:w="1017" w:type="dxa"/>
            <w:noWrap/>
            <w:vAlign w:val="center"/>
          </w:tcPr>
          <w:p w14:paraId="4AD2FB0B">
            <w:pPr>
              <w:keepNext w:val="0"/>
              <w:keepLines w:val="0"/>
              <w:pageBreakBefore w:val="0"/>
              <w:suppressLineNumbers w:val="0"/>
              <w:spacing w:before="0" w:beforeAutospacing="0" w:after="0" w:afterAutospacing="0" w:line="320" w:lineRule="exact"/>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w:t>
            </w:r>
          </w:p>
        </w:tc>
        <w:tc>
          <w:tcPr>
            <w:tcW w:w="6359" w:type="dxa"/>
            <w:noWrap/>
            <w:vAlign w:val="center"/>
          </w:tcPr>
          <w:p w14:paraId="078ACAA3">
            <w:pPr>
              <w:keepNext w:val="0"/>
              <w:keepLines w:val="0"/>
              <w:pageBreakBefore w:val="0"/>
              <w:widowControl w:val="0"/>
              <w:suppressLineNumbers w:val="0"/>
              <w:spacing w:before="0" w:beforeAutospacing="0" w:after="0" w:afterAutospacing="0" w:line="320" w:lineRule="exact"/>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或产品制造商具有2023年1月1日以来（以合同签订时间为准）承担过类似项目业绩【类似项目指：包含工业机器人综合实训平台、数字孪生仿真平台任一项或全部类似项目】的，每有一项得1分，本项最高得4分。不提供不得分。</w:t>
            </w:r>
          </w:p>
          <w:p w14:paraId="6A129726">
            <w:pPr>
              <w:keepNext w:val="0"/>
              <w:keepLines w:val="0"/>
              <w:pageBreakBefore w:val="0"/>
              <w:widowControl w:val="0"/>
              <w:suppressLineNumbers w:val="0"/>
              <w:spacing w:before="0" w:beforeAutospacing="0" w:after="0" w:afterAutospacing="0" w:line="320" w:lineRule="exact"/>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需提供业绩合同关键页（清晰体现签订时间、标的物、甲乙双方盖章）；若合同对核心设备或系统集成内容表述不够清晰，可额外补充提供加盖公章的技术适配说明、项目验收报告或经采购方确认的供货清单作为佐证。</w:t>
            </w:r>
          </w:p>
        </w:tc>
      </w:tr>
      <w:tr w14:paraId="02E6E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658" w:type="dxa"/>
            <w:noWrap/>
            <w:vAlign w:val="center"/>
          </w:tcPr>
          <w:p w14:paraId="1461DFAC">
            <w:pPr>
              <w:keepNext w:val="0"/>
              <w:keepLines w:val="0"/>
              <w:pageBreakBefore w:val="0"/>
              <w:suppressLineNumbers w:val="0"/>
              <w:spacing w:before="0" w:beforeAutospacing="0" w:after="0" w:afterAutospacing="0" w:line="320" w:lineRule="exact"/>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246" w:type="dxa"/>
            <w:noWrap/>
            <w:vAlign w:val="center"/>
          </w:tcPr>
          <w:p w14:paraId="3931D19A">
            <w:pPr>
              <w:keepNext w:val="0"/>
              <w:keepLines w:val="0"/>
              <w:pageBreakBefore w:val="0"/>
              <w:suppressLineNumbers w:val="0"/>
              <w:spacing w:before="0" w:beforeAutospacing="0" w:after="0" w:afterAutospacing="0" w:line="320" w:lineRule="exact"/>
              <w:ind w:left="0" w:right="0"/>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技术参数</w:t>
            </w:r>
            <w:r>
              <w:rPr>
                <w:rFonts w:hint="eastAsia" w:ascii="宋体" w:hAnsi="宋体" w:eastAsia="宋体" w:cs="宋体"/>
                <w:color w:val="auto"/>
                <w:sz w:val="21"/>
                <w:szCs w:val="21"/>
                <w:highlight w:val="none"/>
                <w:lang w:val="en-US" w:eastAsia="zh-CN"/>
              </w:rPr>
              <w:t>响应</w:t>
            </w:r>
          </w:p>
        </w:tc>
        <w:tc>
          <w:tcPr>
            <w:tcW w:w="1017" w:type="dxa"/>
            <w:noWrap/>
            <w:vAlign w:val="center"/>
          </w:tcPr>
          <w:p w14:paraId="26B9B4CA">
            <w:pPr>
              <w:keepNext w:val="0"/>
              <w:keepLines w:val="0"/>
              <w:pageBreakBefore w:val="0"/>
              <w:suppressLineNumbers w:val="0"/>
              <w:spacing w:before="0" w:beforeAutospacing="0" w:after="0" w:afterAutospacing="0" w:line="320" w:lineRule="exact"/>
              <w:ind w:left="0" w:right="0"/>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33</w:t>
            </w:r>
            <w:r>
              <w:rPr>
                <w:rFonts w:hint="eastAsia" w:ascii="宋体" w:hAnsi="宋体" w:eastAsia="宋体" w:cs="宋体"/>
                <w:color w:val="auto"/>
                <w:sz w:val="21"/>
                <w:szCs w:val="21"/>
                <w:highlight w:val="none"/>
              </w:rPr>
              <w:t>分</w:t>
            </w:r>
          </w:p>
        </w:tc>
        <w:tc>
          <w:tcPr>
            <w:tcW w:w="6359" w:type="dxa"/>
            <w:noWrap/>
            <w:vAlign w:val="center"/>
          </w:tcPr>
          <w:p w14:paraId="7A61224C">
            <w:pPr>
              <w:keepNext w:val="0"/>
              <w:keepLines w:val="0"/>
              <w:pageBreakBefore w:val="0"/>
              <w:widowControl w:val="0"/>
              <w:suppressLineNumbers w:val="0"/>
              <w:spacing w:before="0" w:beforeAutospacing="0" w:after="0" w:afterAutospacing="0" w:line="320" w:lineRule="exact"/>
              <w:ind w:left="0" w:right="0"/>
              <w:rPr>
                <w:rFonts w:hint="eastAsia" w:ascii="宋体" w:hAnsi="宋体" w:eastAsia="宋体" w:cs="宋体"/>
                <w:color w:val="auto"/>
                <w:sz w:val="21"/>
                <w:szCs w:val="21"/>
                <w:highlight w:val="red"/>
                <w:lang w:val="en-US" w:eastAsia="zh-CN" w:bidi="ar-SA"/>
              </w:rPr>
            </w:pPr>
            <w:r>
              <w:rPr>
                <w:rFonts w:hint="eastAsia" w:ascii="宋体" w:hAnsi="宋体" w:eastAsia="宋体" w:cs="宋体"/>
                <w:color w:val="auto"/>
                <w:sz w:val="21"/>
                <w:szCs w:val="21"/>
                <w:highlight w:val="red"/>
                <w:lang w:val="en-US" w:eastAsia="zh-CN" w:bidi="ar-SA"/>
              </w:rPr>
              <w:t>采购需求中合计参数共64项，其中标注“▲”的技术参数为重要技术指标，共8项，有一项满足的得1.98分，最高加15.84分。</w:t>
            </w:r>
          </w:p>
          <w:p w14:paraId="1E1F8157">
            <w:pPr>
              <w:keepNext w:val="0"/>
              <w:keepLines w:val="0"/>
              <w:pageBreakBefore w:val="0"/>
              <w:widowControl w:val="0"/>
              <w:suppressLineNumbers w:val="0"/>
              <w:spacing w:before="0" w:beforeAutospacing="0" w:after="0" w:afterAutospacing="0" w:line="320" w:lineRule="exact"/>
              <w:ind w:left="0" w:right="0"/>
              <w:rPr>
                <w:rFonts w:hint="eastAsia"/>
                <w:color w:val="auto"/>
                <w:highlight w:val="red"/>
              </w:rPr>
            </w:pPr>
            <w:r>
              <w:rPr>
                <w:rFonts w:hint="eastAsia" w:ascii="宋体" w:hAnsi="宋体" w:eastAsia="宋体" w:cs="宋体"/>
                <w:color w:val="auto"/>
                <w:sz w:val="21"/>
                <w:szCs w:val="21"/>
                <w:highlight w:val="red"/>
                <w:lang w:val="en-US" w:eastAsia="zh-CN" w:bidi="ar-SA"/>
              </w:rPr>
              <w:t>未带▲项的参数52项，有一项满足的得0.33分（不包括4项视频演示部分的参数指标，不重复计分），最高加17.16分。</w:t>
            </w:r>
          </w:p>
          <w:p w14:paraId="64F0D7C7">
            <w:pPr>
              <w:keepNext w:val="0"/>
              <w:keepLines w:val="0"/>
              <w:pageBreakBefore w:val="0"/>
              <w:widowControl w:val="0"/>
              <w:suppressLineNumbers w:val="0"/>
              <w:spacing w:before="0" w:beforeAutospacing="0" w:after="0" w:afterAutospacing="0" w:line="320" w:lineRule="exact"/>
              <w:ind w:left="0" w:right="0"/>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red"/>
                <w:lang w:val="en-US" w:eastAsia="zh-CN" w:bidi="ar-SA"/>
              </w:rPr>
              <w:t>注：有效证明材料形式可包括：招标文件指定的证明文件（如有）、产品官方彩页、原厂说明书、产品技术白皮书（须由产品研发主体出具）</w:t>
            </w:r>
            <w:r>
              <w:rPr>
                <w:rFonts w:hint="eastAsia" w:ascii="宋体" w:hAnsi="宋体" w:eastAsia="宋体" w:cs="宋体"/>
                <w:color w:val="0000FF"/>
                <w:sz w:val="21"/>
                <w:szCs w:val="21"/>
                <w:highlight w:val="red"/>
                <w:lang w:val="en-US" w:eastAsia="zh-CN" w:bidi="ar-SA"/>
              </w:rPr>
              <w:t>等能够证明技术参数符合要求的材料</w:t>
            </w:r>
            <w:r>
              <w:rPr>
                <w:rFonts w:hint="eastAsia" w:ascii="宋体" w:hAnsi="宋体" w:eastAsia="宋体" w:cs="宋体"/>
                <w:color w:val="auto"/>
                <w:sz w:val="21"/>
                <w:szCs w:val="21"/>
                <w:highlight w:val="red"/>
                <w:lang w:val="en-US" w:eastAsia="zh-CN" w:bidi="ar-SA"/>
              </w:rPr>
              <w:t>。</w:t>
            </w:r>
          </w:p>
        </w:tc>
      </w:tr>
      <w:tr w14:paraId="2981F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58" w:type="dxa"/>
            <w:noWrap/>
            <w:vAlign w:val="center"/>
          </w:tcPr>
          <w:p w14:paraId="03DD320B">
            <w:pPr>
              <w:keepNext w:val="0"/>
              <w:keepLines w:val="0"/>
              <w:pageBreakBefore w:val="0"/>
              <w:suppressLineNumbers w:val="0"/>
              <w:spacing w:before="0" w:beforeAutospacing="0" w:after="0" w:afterAutospacing="0" w:line="320" w:lineRule="exact"/>
              <w:ind w:left="0" w:right="0"/>
              <w:jc w:val="center"/>
              <w:rPr>
                <w:rFonts w:hint="eastAsia" w:ascii="宋体" w:hAnsi="宋体" w:eastAsia="宋体" w:cs="宋体"/>
                <w:color w:val="0000FF"/>
                <w:sz w:val="21"/>
                <w:szCs w:val="21"/>
                <w:highlight w:val="none"/>
                <w:lang w:val="en-US" w:eastAsia="zh-CN"/>
              </w:rPr>
            </w:pPr>
            <w:r>
              <w:rPr>
                <w:rFonts w:hint="eastAsia" w:ascii="宋体" w:hAnsi="宋体" w:eastAsia="宋体" w:cs="宋体"/>
                <w:color w:val="0000FF"/>
                <w:sz w:val="21"/>
                <w:szCs w:val="21"/>
                <w:highlight w:val="none"/>
                <w:lang w:val="en-US" w:eastAsia="zh-CN"/>
              </w:rPr>
              <w:t>4</w:t>
            </w:r>
          </w:p>
        </w:tc>
        <w:tc>
          <w:tcPr>
            <w:tcW w:w="1246" w:type="dxa"/>
            <w:noWrap/>
            <w:vAlign w:val="center"/>
          </w:tcPr>
          <w:p w14:paraId="00654ABF">
            <w:pPr>
              <w:keepNext w:val="0"/>
              <w:keepLines w:val="0"/>
              <w:pageBreakBefore w:val="0"/>
              <w:suppressLineNumbers w:val="0"/>
              <w:spacing w:before="0" w:beforeAutospacing="0" w:after="0" w:afterAutospacing="0" w:line="320" w:lineRule="exact"/>
              <w:ind w:left="0" w:right="0"/>
              <w:jc w:val="center"/>
              <w:rPr>
                <w:rFonts w:hint="eastAsia" w:ascii="宋体" w:hAnsi="宋体" w:eastAsia="宋体" w:cs="宋体"/>
                <w:color w:val="0000FF"/>
                <w:sz w:val="21"/>
                <w:szCs w:val="21"/>
                <w:highlight w:val="none"/>
                <w:lang w:val="en-US" w:eastAsia="zh-CN" w:bidi="ar-SA"/>
              </w:rPr>
            </w:pPr>
            <w:r>
              <w:rPr>
                <w:rFonts w:hint="eastAsia" w:ascii="宋体" w:hAnsi="宋体" w:eastAsia="宋体" w:cs="宋体"/>
                <w:color w:val="0000FF"/>
                <w:sz w:val="21"/>
                <w:szCs w:val="21"/>
                <w:highlight w:val="none"/>
                <w:lang w:val="en-US" w:eastAsia="zh-CN"/>
              </w:rPr>
              <w:t>视频演示</w:t>
            </w:r>
          </w:p>
        </w:tc>
        <w:tc>
          <w:tcPr>
            <w:tcW w:w="1017" w:type="dxa"/>
            <w:noWrap/>
            <w:vAlign w:val="center"/>
          </w:tcPr>
          <w:p w14:paraId="620171A0">
            <w:pPr>
              <w:keepNext w:val="0"/>
              <w:keepLines w:val="0"/>
              <w:pageBreakBefore w:val="0"/>
              <w:suppressLineNumbers w:val="0"/>
              <w:spacing w:before="0" w:beforeAutospacing="0" w:after="0" w:afterAutospacing="0" w:line="320" w:lineRule="exact"/>
              <w:ind w:left="0" w:right="0"/>
              <w:jc w:val="center"/>
              <w:rPr>
                <w:rFonts w:hint="eastAsia" w:ascii="宋体" w:hAnsi="宋体" w:eastAsia="宋体" w:cs="宋体"/>
                <w:color w:val="0000FF"/>
                <w:sz w:val="21"/>
                <w:szCs w:val="21"/>
                <w:highlight w:val="none"/>
                <w:lang w:val="en-US" w:eastAsia="zh-CN" w:bidi="ar-SA"/>
              </w:rPr>
            </w:pPr>
            <w:r>
              <w:rPr>
                <w:rFonts w:hint="eastAsia" w:ascii="宋体" w:hAnsi="宋体" w:eastAsia="宋体" w:cs="宋体"/>
                <w:color w:val="0000FF"/>
                <w:sz w:val="21"/>
                <w:szCs w:val="21"/>
                <w:highlight w:val="none"/>
                <w:lang w:val="en-US" w:eastAsia="zh-CN"/>
              </w:rPr>
              <w:t>16分</w:t>
            </w:r>
          </w:p>
        </w:tc>
        <w:tc>
          <w:tcPr>
            <w:tcW w:w="6359" w:type="dxa"/>
            <w:noWrap/>
            <w:vAlign w:val="center"/>
          </w:tcPr>
          <w:p w14:paraId="01FAFB1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contextualSpacing/>
              <w:jc w:val="left"/>
              <w:textAlignment w:val="auto"/>
              <w:rPr>
                <w:rFonts w:hint="eastAsia" w:ascii="宋体" w:hAnsi="宋体" w:eastAsia="宋体" w:cs="宋体"/>
                <w:b/>
                <w:bCs/>
                <w:color w:val="0000FF"/>
                <w:sz w:val="21"/>
                <w:szCs w:val="21"/>
                <w:highlight w:val="none"/>
                <w:lang w:val="en-US" w:eastAsia="zh-CN"/>
              </w:rPr>
            </w:pPr>
            <w:bookmarkStart w:id="194" w:name="OLE_LINK46"/>
            <w:r>
              <w:rPr>
                <w:rFonts w:hint="eastAsia" w:ascii="宋体" w:hAnsi="宋体" w:eastAsia="宋体" w:cs="宋体"/>
                <w:b/>
                <w:bCs/>
                <w:color w:val="0000FF"/>
                <w:sz w:val="21"/>
                <w:szCs w:val="21"/>
              </w:rPr>
              <w:t>演示点一、工业机器人综合实训平台</w:t>
            </w:r>
            <w:r>
              <w:rPr>
                <w:rFonts w:hint="eastAsia" w:ascii="宋体" w:hAnsi="宋体" w:eastAsia="宋体" w:cs="宋体"/>
                <w:b/>
                <w:bCs/>
                <w:color w:val="0000FF"/>
                <w:sz w:val="21"/>
                <w:szCs w:val="21"/>
                <w:lang w:val="en-US" w:eastAsia="zh-CN"/>
              </w:rPr>
              <w:t>功能演示</w:t>
            </w:r>
            <w:r>
              <w:rPr>
                <w:rFonts w:hint="eastAsia" w:ascii="宋体" w:hAnsi="宋体" w:eastAsia="宋体" w:cs="宋体"/>
                <w:color w:val="0000FF"/>
                <w:sz w:val="21"/>
                <w:szCs w:val="21"/>
                <w:highlight w:val="none"/>
                <w:lang w:eastAsia="zh-CN"/>
              </w:rPr>
              <w:t>，</w:t>
            </w:r>
            <w:r>
              <w:rPr>
                <w:rFonts w:hint="eastAsia" w:ascii="宋体" w:hAnsi="宋体" w:eastAsia="宋体" w:cs="宋体"/>
                <w:color w:val="0000FF"/>
                <w:sz w:val="21"/>
                <w:szCs w:val="21"/>
              </w:rPr>
              <w:t>提供以下模块动作流程并提供相应的仿真模型</w:t>
            </w:r>
            <w:r>
              <w:rPr>
                <w:rFonts w:hint="eastAsia" w:ascii="宋体" w:hAnsi="宋体" w:eastAsia="宋体" w:cs="宋体"/>
                <w:color w:val="0000FF"/>
                <w:sz w:val="21"/>
                <w:szCs w:val="21"/>
                <w:lang w:eastAsia="zh-CN"/>
              </w:rPr>
              <w:t>，每满足1项得1分，满分4分；不演示或演示不完整，不得分。</w:t>
            </w:r>
            <w:r>
              <w:rPr>
                <w:rFonts w:hint="eastAsia" w:ascii="宋体" w:hAnsi="宋体" w:eastAsia="宋体" w:cs="宋体"/>
                <w:color w:val="0000FF"/>
                <w:sz w:val="21"/>
                <w:szCs w:val="21"/>
                <w:highlight w:val="none"/>
                <w:lang w:val="en-US" w:eastAsia="zh-CN"/>
              </w:rPr>
              <w:t>。</w:t>
            </w:r>
          </w:p>
          <w:bookmarkEnd w:id="194"/>
          <w:p w14:paraId="3DDAC693">
            <w:pPr>
              <w:keepNext w:val="0"/>
              <w:keepLines w:val="0"/>
              <w:widowControl/>
              <w:suppressLineNumbers w:val="0"/>
              <w:spacing w:before="0" w:beforeAutospacing="0" w:after="0" w:afterAutospacing="0"/>
              <w:ind w:left="0" w:right="0"/>
              <w:rPr>
                <w:rFonts w:ascii="宋体" w:hAnsi="宋体" w:cs="宋体"/>
              </w:rPr>
            </w:pPr>
            <w:bookmarkStart w:id="195" w:name="OLE_LINK47"/>
            <w:r>
              <w:rPr>
                <w:rFonts w:hint="eastAsia" w:ascii="宋体" w:hAnsi="宋体" w:cs="宋体"/>
              </w:rPr>
              <w:t>（1）搬运码垛模块运行流程：机器人取夹具将料块从码垛单元A点搬运至码垛单元B点完成工业机器人物料的搬运。</w:t>
            </w:r>
          </w:p>
          <w:p w14:paraId="05A7BB09">
            <w:pPr>
              <w:keepNext w:val="0"/>
              <w:keepLines w:val="0"/>
              <w:widowControl/>
              <w:suppressLineNumbers w:val="0"/>
              <w:spacing w:before="0" w:beforeAutospacing="0" w:after="0" w:afterAutospacing="0"/>
              <w:ind w:left="0" w:right="0"/>
              <w:rPr>
                <w:rFonts w:ascii="宋体" w:hAnsi="宋体" w:cs="宋体"/>
              </w:rPr>
            </w:pPr>
            <w:r>
              <w:rPr>
                <w:rFonts w:hint="eastAsia" w:ascii="宋体" w:hAnsi="宋体" w:cs="宋体"/>
              </w:rPr>
              <w:t>（2）视觉模块随机抓取运行流程：将料块随机摆放至视觉检测区域内，通过2D视觉识别定位料块当前位置，机器人将随机摆放的料块精准放入固定位置，该流程需重复运行3次以上。</w:t>
            </w:r>
          </w:p>
          <w:p w14:paraId="682F8960">
            <w:pPr>
              <w:keepNext w:val="0"/>
              <w:keepLines w:val="0"/>
              <w:widowControl/>
              <w:suppressLineNumbers w:val="0"/>
              <w:spacing w:before="0" w:beforeAutospacing="0" w:after="0" w:afterAutospacing="0"/>
              <w:ind w:left="0" w:right="0"/>
              <w:rPr>
                <w:rFonts w:ascii="宋体" w:hAnsi="宋体" w:cs="宋体"/>
              </w:rPr>
            </w:pPr>
            <w:r>
              <w:rPr>
                <w:rFonts w:hint="eastAsia" w:ascii="宋体" w:hAnsi="宋体" w:cs="宋体"/>
              </w:rPr>
              <w:t>（3）模拟焊接运行流程：机器人取吸盘夹具，吸取物料放至焊接变位机，放回吸盘夹具；取模拟焊枪夹具焊接，完成后变位机旋转角度，放回焊枪夹具；取吸盘夹具，至可移动式立体仓储吸取物料放至变位机，放回吸盘夹具；取模拟焊枪夹具焊接，完成后放回焊枪夹具，变位机旋转角度。</w:t>
            </w:r>
          </w:p>
          <w:p w14:paraId="4D7F5A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color w:val="0000FF"/>
                <w:sz w:val="21"/>
                <w:szCs w:val="21"/>
              </w:rPr>
            </w:pPr>
            <w:r>
              <w:rPr>
                <w:rFonts w:hint="eastAsia" w:ascii="宋体" w:hAnsi="宋体" w:cs="宋体"/>
              </w:rPr>
              <w:t>（4）装配运行流程：机器人取夹爪，供料模块推出物料盒，输送带运至末端后，机器人抓取并依次放至模拟数控加工单元、装配单元；机器人换吸盘夹具，通过2D视觉识别物料图案及位置并抓取，放入物料盒；至可移动式立体仓储吸取盖子装配，换夹爪夹具将装好的物料盒入库；机器人放回夹爪，运行至原点</w:t>
            </w:r>
            <w:r>
              <w:rPr>
                <w:rFonts w:hint="eastAsia" w:ascii="宋体" w:hAnsi="宋体" w:eastAsia="宋体" w:cs="宋体"/>
                <w:color w:val="0000FF"/>
                <w:sz w:val="21"/>
                <w:szCs w:val="21"/>
              </w:rPr>
              <w:t>。</w:t>
            </w:r>
          </w:p>
          <w:p w14:paraId="484BC7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b/>
                <w:bCs/>
                <w:color w:val="0000FF"/>
                <w:sz w:val="21"/>
                <w:szCs w:val="21"/>
                <w:lang w:val="en-US" w:eastAsia="zh-CN"/>
              </w:rPr>
            </w:pPr>
            <w:r>
              <w:rPr>
                <w:rFonts w:hint="eastAsia" w:ascii="宋体" w:hAnsi="宋体" w:eastAsia="宋体" w:cs="宋体"/>
                <w:b/>
                <w:bCs/>
                <w:color w:val="0000FF"/>
                <w:sz w:val="21"/>
                <w:szCs w:val="21"/>
              </w:rPr>
              <w:t>演示点二、机器人智能交互系统</w:t>
            </w:r>
            <w:r>
              <w:rPr>
                <w:rFonts w:hint="eastAsia" w:ascii="宋体" w:hAnsi="宋体" w:eastAsia="宋体" w:cs="宋体"/>
                <w:b/>
                <w:bCs/>
                <w:color w:val="0000FF"/>
                <w:sz w:val="21"/>
                <w:szCs w:val="21"/>
                <w:lang w:val="en-US" w:eastAsia="zh-CN"/>
              </w:rPr>
              <w:t>功能演示，</w:t>
            </w:r>
            <w:bookmarkEnd w:id="195"/>
            <w:bookmarkStart w:id="196" w:name="OLE_LINK48"/>
            <w:r>
              <w:rPr>
                <w:rFonts w:hint="eastAsia" w:ascii="宋体" w:hAnsi="宋体" w:eastAsia="宋体" w:cs="宋体"/>
                <w:b/>
                <w:bCs/>
                <w:color w:val="0000FF"/>
                <w:sz w:val="21"/>
                <w:szCs w:val="21"/>
                <w:lang w:val="en-US" w:eastAsia="zh-CN"/>
              </w:rPr>
              <w:t>每满足1项得1分，满分4分；不演示或演示不完整，不得分。</w:t>
            </w:r>
          </w:p>
          <w:p w14:paraId="283380D6">
            <w:pPr>
              <w:keepNext w:val="0"/>
              <w:keepLines w:val="0"/>
              <w:widowControl/>
              <w:suppressLineNumbers w:val="0"/>
              <w:spacing w:before="0" w:beforeAutospacing="0" w:after="0" w:afterAutospacing="0"/>
              <w:ind w:left="0" w:right="0"/>
              <w:rPr>
                <w:rFonts w:ascii="宋体" w:hAnsi="宋体" w:cs="宋体"/>
              </w:rPr>
            </w:pPr>
            <w:r>
              <w:rPr>
                <w:rFonts w:ascii="宋体" w:hAnsi="宋体" w:cs="宋体"/>
              </w:rPr>
              <w:t>（1）系统概述</w:t>
            </w:r>
          </w:p>
          <w:p w14:paraId="45615238">
            <w:pPr>
              <w:keepNext w:val="0"/>
              <w:keepLines w:val="0"/>
              <w:widowControl/>
              <w:suppressLineNumbers w:val="0"/>
              <w:spacing w:before="0" w:beforeAutospacing="0" w:after="0" w:afterAutospacing="0"/>
              <w:ind w:left="0" w:right="0"/>
              <w:rPr>
                <w:rFonts w:ascii="宋体" w:hAnsi="宋体" w:cs="宋体"/>
              </w:rPr>
            </w:pPr>
            <w:r>
              <w:rPr>
                <w:rFonts w:ascii="宋体" w:hAnsi="宋体" w:cs="宋体"/>
              </w:rPr>
              <w:t>硬件包含麦克风、音箱，软件以AI为主，辅助以问答、编程工具。AI系统可私有化部署在PC端运行，能进行语音问答服务、编程服务、知识库检索服务。</w:t>
            </w:r>
          </w:p>
          <w:p w14:paraId="104C657D">
            <w:pPr>
              <w:keepNext w:val="0"/>
              <w:keepLines w:val="0"/>
              <w:widowControl/>
              <w:suppressLineNumbers w:val="0"/>
              <w:spacing w:before="0" w:beforeAutospacing="0" w:after="0" w:afterAutospacing="0"/>
              <w:ind w:left="0" w:right="0"/>
              <w:rPr>
                <w:rFonts w:ascii="宋体" w:hAnsi="宋体" w:cs="宋体"/>
              </w:rPr>
            </w:pPr>
            <w:r>
              <w:rPr>
                <w:rFonts w:ascii="宋体" w:hAnsi="宋体" w:cs="宋体"/>
              </w:rPr>
              <w:t>（2）功能要求（本项功能需求需提供视频演示）</w:t>
            </w:r>
          </w:p>
          <w:p w14:paraId="118FF809">
            <w:pPr>
              <w:keepNext w:val="0"/>
              <w:keepLines w:val="0"/>
              <w:widowControl/>
              <w:suppressLineNumbers w:val="0"/>
              <w:spacing w:before="0" w:beforeAutospacing="0" w:after="0" w:afterAutospacing="0"/>
              <w:ind w:left="0" w:right="0"/>
              <w:rPr>
                <w:rFonts w:ascii="宋体" w:hAnsi="宋体" w:cs="宋体"/>
              </w:rPr>
            </w:pPr>
            <w:r>
              <w:rPr>
                <w:rFonts w:ascii="宋体" w:hAnsi="宋体" w:cs="宋体"/>
              </w:rPr>
              <w:t>1）语音交互与问答</w:t>
            </w:r>
          </w:p>
          <w:p w14:paraId="73B79316">
            <w:pPr>
              <w:keepNext w:val="0"/>
              <w:keepLines w:val="0"/>
              <w:widowControl/>
              <w:suppressLineNumbers w:val="0"/>
              <w:spacing w:before="0" w:beforeAutospacing="0" w:after="0" w:afterAutospacing="0"/>
              <w:ind w:left="0" w:right="0" w:firstLine="210" w:firstLineChars="100"/>
              <w:rPr>
                <w:rFonts w:ascii="宋体" w:hAnsi="宋体" w:cs="宋体"/>
              </w:rPr>
            </w:pPr>
            <w:r>
              <w:rPr>
                <w:rFonts w:ascii="宋体" w:hAnsi="宋体" w:cs="宋体"/>
              </w:rPr>
              <w:t>支持语音唤醒和语音对话</w:t>
            </w:r>
          </w:p>
          <w:p w14:paraId="16818918">
            <w:pPr>
              <w:keepNext w:val="0"/>
              <w:keepLines w:val="0"/>
              <w:widowControl/>
              <w:suppressLineNumbers w:val="0"/>
              <w:spacing w:before="0" w:beforeAutospacing="0" w:after="0" w:afterAutospacing="0"/>
              <w:ind w:left="0" w:right="0" w:firstLine="210" w:firstLineChars="100"/>
              <w:rPr>
                <w:rFonts w:ascii="宋体" w:hAnsi="宋体" w:cs="宋体"/>
              </w:rPr>
            </w:pPr>
            <w:r>
              <w:rPr>
                <w:rFonts w:ascii="宋体" w:hAnsi="宋体" w:cs="宋体"/>
              </w:rPr>
              <w:t>可实现与设备应用平台的语音交互</w:t>
            </w:r>
          </w:p>
          <w:p w14:paraId="05FDBDCD">
            <w:pPr>
              <w:keepNext w:val="0"/>
              <w:keepLines w:val="0"/>
              <w:widowControl/>
              <w:suppressLineNumbers w:val="0"/>
              <w:spacing w:before="0" w:beforeAutospacing="0" w:after="0" w:afterAutospacing="0"/>
              <w:ind w:left="0" w:right="0" w:firstLine="210" w:firstLineChars="100"/>
              <w:rPr>
                <w:rFonts w:ascii="宋体" w:hAnsi="宋体" w:cs="宋体"/>
              </w:rPr>
            </w:pPr>
            <w:r>
              <w:rPr>
                <w:rFonts w:ascii="宋体" w:hAnsi="宋体" w:cs="宋体"/>
              </w:rPr>
              <w:t>完成工业机器人运行动作答疑、知识库答疑</w:t>
            </w:r>
          </w:p>
          <w:p w14:paraId="0C1C4D0D">
            <w:pPr>
              <w:keepNext w:val="0"/>
              <w:keepLines w:val="0"/>
              <w:widowControl/>
              <w:suppressLineNumbers w:val="0"/>
              <w:spacing w:before="0" w:beforeAutospacing="0" w:after="0" w:afterAutospacing="0"/>
              <w:ind w:left="0" w:right="0" w:firstLine="210" w:firstLineChars="100"/>
              <w:rPr>
                <w:rFonts w:ascii="宋体" w:hAnsi="宋体" w:cs="宋体"/>
              </w:rPr>
            </w:pPr>
            <w:r>
              <w:rPr>
                <w:rFonts w:ascii="宋体" w:hAnsi="宋体" w:cs="宋体"/>
              </w:rPr>
              <w:t>支持日常教学问题解答</w:t>
            </w:r>
          </w:p>
          <w:p w14:paraId="0CBD1C86">
            <w:pPr>
              <w:keepNext w:val="0"/>
              <w:keepLines w:val="0"/>
              <w:widowControl/>
              <w:suppressLineNumbers w:val="0"/>
              <w:spacing w:before="0" w:beforeAutospacing="0" w:after="0" w:afterAutospacing="0"/>
              <w:ind w:left="0" w:right="0"/>
              <w:rPr>
                <w:rFonts w:ascii="宋体" w:hAnsi="宋体" w:cs="宋体"/>
              </w:rPr>
            </w:pPr>
            <w:r>
              <w:rPr>
                <w:rFonts w:ascii="宋体" w:hAnsi="宋体" w:cs="宋体"/>
              </w:rPr>
              <w:t>2）辅助编程功能</w:t>
            </w:r>
          </w:p>
          <w:p w14:paraId="27F64DB9">
            <w:pPr>
              <w:keepNext w:val="0"/>
              <w:keepLines w:val="0"/>
              <w:widowControl/>
              <w:suppressLineNumbers w:val="0"/>
              <w:spacing w:before="0" w:beforeAutospacing="0" w:after="0" w:afterAutospacing="0"/>
              <w:ind w:left="0" w:right="0" w:firstLine="210" w:firstLineChars="100"/>
              <w:rPr>
                <w:rFonts w:ascii="宋体" w:hAnsi="宋体" w:cs="宋体"/>
              </w:rPr>
            </w:pPr>
            <w:r>
              <w:rPr>
                <w:rFonts w:ascii="宋体" w:hAnsi="宋体" w:cs="宋体"/>
              </w:rPr>
              <w:t>支持PLC引导编程</w:t>
            </w:r>
          </w:p>
          <w:p w14:paraId="50C28D5C">
            <w:pPr>
              <w:keepNext w:val="0"/>
              <w:keepLines w:val="0"/>
              <w:widowControl/>
              <w:suppressLineNumbers w:val="0"/>
              <w:spacing w:before="0" w:beforeAutospacing="0" w:after="0" w:afterAutospacing="0"/>
              <w:ind w:left="0" w:right="0" w:firstLine="210" w:firstLineChars="100"/>
              <w:rPr>
                <w:rFonts w:ascii="宋体" w:hAnsi="宋体" w:cs="宋体"/>
              </w:rPr>
            </w:pPr>
            <w:r>
              <w:rPr>
                <w:rFonts w:ascii="宋体" w:hAnsi="宋体" w:cs="宋体"/>
              </w:rPr>
              <w:t>设定初学者、入门级和工程师三重身份</w:t>
            </w:r>
          </w:p>
          <w:p w14:paraId="5E5D1050">
            <w:pPr>
              <w:keepNext w:val="0"/>
              <w:keepLines w:val="0"/>
              <w:widowControl/>
              <w:suppressLineNumbers w:val="0"/>
              <w:spacing w:before="0" w:beforeAutospacing="0" w:after="0" w:afterAutospacing="0"/>
              <w:ind w:left="0" w:right="0" w:firstLine="210" w:firstLineChars="100"/>
              <w:rPr>
                <w:rFonts w:ascii="宋体" w:hAnsi="宋体" w:cs="宋体"/>
              </w:rPr>
            </w:pPr>
            <w:r>
              <w:rPr>
                <w:rFonts w:ascii="宋体" w:hAnsi="宋体" w:cs="宋体"/>
              </w:rPr>
              <w:t>引导用户选择角色、输入任务、定义I/O等</w:t>
            </w:r>
          </w:p>
          <w:p w14:paraId="62197A12">
            <w:pPr>
              <w:keepNext w:val="0"/>
              <w:keepLines w:val="0"/>
              <w:widowControl/>
              <w:suppressLineNumbers w:val="0"/>
              <w:spacing w:before="0" w:beforeAutospacing="0" w:after="0" w:afterAutospacing="0"/>
              <w:ind w:left="0" w:right="0" w:firstLine="210" w:firstLineChars="100"/>
              <w:rPr>
                <w:rFonts w:ascii="宋体" w:hAnsi="宋体" w:cs="宋体"/>
              </w:rPr>
            </w:pPr>
            <w:r>
              <w:rPr>
                <w:rFonts w:ascii="宋体" w:hAnsi="宋体" w:cs="宋体"/>
              </w:rPr>
              <w:t>根据用户描述自动生成规范代码，并提供注释与解释</w:t>
            </w:r>
          </w:p>
          <w:p w14:paraId="50C30D4B">
            <w:pPr>
              <w:keepNext w:val="0"/>
              <w:keepLines w:val="0"/>
              <w:widowControl/>
              <w:suppressLineNumbers w:val="0"/>
              <w:spacing w:before="0" w:beforeAutospacing="0" w:after="0" w:afterAutospacing="0"/>
              <w:ind w:left="0" w:right="0"/>
              <w:rPr>
                <w:rFonts w:ascii="宋体" w:hAnsi="宋体" w:cs="宋体"/>
              </w:rPr>
            </w:pPr>
            <w:r>
              <w:rPr>
                <w:rFonts w:ascii="宋体" w:hAnsi="宋体" w:cs="宋体"/>
              </w:rPr>
              <w:t>3）机器人控制功能</w:t>
            </w:r>
          </w:p>
          <w:p w14:paraId="44C42BE5">
            <w:pPr>
              <w:keepNext w:val="0"/>
              <w:keepLines w:val="0"/>
              <w:widowControl/>
              <w:suppressLineNumbers w:val="0"/>
              <w:spacing w:before="0" w:beforeAutospacing="0" w:after="0" w:afterAutospacing="0"/>
              <w:ind w:left="0" w:right="0" w:firstLine="210" w:firstLineChars="100"/>
              <w:rPr>
                <w:rFonts w:ascii="宋体" w:hAnsi="宋体" w:cs="宋体"/>
              </w:rPr>
            </w:pPr>
            <w:r>
              <w:rPr>
                <w:rFonts w:ascii="宋体" w:hAnsi="宋体" w:cs="宋体"/>
              </w:rPr>
              <w:t>支持通过语音指导机器人运动（任意方向、任意距离）</w:t>
            </w:r>
          </w:p>
          <w:p w14:paraId="52AB543C">
            <w:pPr>
              <w:keepNext w:val="0"/>
              <w:keepLines w:val="0"/>
              <w:widowControl/>
              <w:suppressLineNumbers w:val="0"/>
              <w:spacing w:before="0" w:beforeAutospacing="0" w:after="0" w:afterAutospacing="0"/>
              <w:ind w:left="0" w:right="0" w:firstLine="210" w:firstLineChars="100"/>
              <w:rPr>
                <w:rFonts w:ascii="宋体" w:hAnsi="宋体" w:cs="宋体"/>
              </w:rPr>
            </w:pPr>
            <w:r>
              <w:rPr>
                <w:rFonts w:ascii="宋体" w:hAnsi="宋体" w:cs="宋体"/>
              </w:rPr>
              <w:t>支持游戏手柄无线连接控制（点动、常动控制）</w:t>
            </w:r>
          </w:p>
          <w:p w14:paraId="3154198B">
            <w:pPr>
              <w:keepNext w:val="0"/>
              <w:keepLines w:val="0"/>
              <w:widowControl/>
              <w:suppressLineNumbers w:val="0"/>
              <w:spacing w:before="0" w:beforeAutospacing="0" w:after="0" w:afterAutospacing="0"/>
              <w:ind w:left="0" w:right="0" w:firstLine="210" w:firstLineChars="100"/>
              <w:rPr>
                <w:rFonts w:ascii="宋体" w:hAnsi="宋体" w:cs="宋体"/>
              </w:rPr>
            </w:pPr>
            <w:r>
              <w:rPr>
                <w:rFonts w:ascii="宋体" w:hAnsi="宋体" w:cs="宋体"/>
              </w:rPr>
              <w:t>支持上下左右前后六个方位操作</w:t>
            </w:r>
          </w:p>
          <w:p w14:paraId="7B0124CD">
            <w:pPr>
              <w:keepNext w:val="0"/>
              <w:keepLines w:val="0"/>
              <w:widowControl/>
              <w:suppressLineNumbers w:val="0"/>
              <w:spacing w:before="0" w:beforeAutospacing="0" w:after="0" w:afterAutospacing="0"/>
              <w:ind w:left="0" w:right="0" w:firstLine="210" w:firstLineChars="100"/>
              <w:rPr>
                <w:rFonts w:ascii="宋体" w:hAnsi="宋体" w:cs="宋体"/>
              </w:rPr>
            </w:pPr>
            <w:r>
              <w:rPr>
                <w:rFonts w:ascii="宋体" w:hAnsi="宋体" w:cs="宋体"/>
              </w:rPr>
              <w:t>支持通过手柄记录有效点位</w:t>
            </w:r>
          </w:p>
          <w:p w14:paraId="696D043E">
            <w:pPr>
              <w:keepNext w:val="0"/>
              <w:keepLines w:val="0"/>
              <w:widowControl/>
              <w:suppressLineNumbers w:val="0"/>
              <w:spacing w:before="0" w:beforeAutospacing="0" w:after="0" w:afterAutospacing="0"/>
              <w:ind w:left="0" w:right="0"/>
              <w:rPr>
                <w:rFonts w:ascii="宋体" w:hAnsi="宋体" w:cs="宋体"/>
              </w:rPr>
            </w:pPr>
            <w:r>
              <w:rPr>
                <w:rFonts w:ascii="宋体" w:hAnsi="宋体" w:cs="宋体"/>
              </w:rPr>
              <w:t>4）界面要求</w:t>
            </w:r>
          </w:p>
          <w:p w14:paraId="688A05AB">
            <w:pPr>
              <w:keepNext w:val="0"/>
              <w:keepLines w:val="0"/>
              <w:widowControl/>
              <w:suppressLineNumbers w:val="0"/>
              <w:spacing w:before="0" w:beforeAutospacing="0" w:after="0" w:afterAutospacing="0"/>
              <w:ind w:left="0" w:right="0" w:firstLine="210" w:firstLineChars="100"/>
              <w:rPr>
                <w:rFonts w:ascii="宋体" w:hAnsi="宋体" w:cs="宋体"/>
              </w:rPr>
            </w:pPr>
            <w:r>
              <w:rPr>
                <w:rFonts w:ascii="宋体" w:hAnsi="宋体" w:cs="宋体"/>
              </w:rPr>
              <w:t>平台启动首页</w:t>
            </w:r>
            <w:r>
              <w:rPr>
                <w:rFonts w:hint="eastAsia" w:ascii="宋体" w:hAnsi="宋体" w:cs="宋体"/>
              </w:rPr>
              <w:t>可定制（如</w:t>
            </w:r>
            <w:r>
              <w:rPr>
                <w:rFonts w:ascii="宋体" w:hAnsi="宋体" w:cs="宋体"/>
              </w:rPr>
              <w:t>"江苏省盐城技师学院欢迎您"</w:t>
            </w:r>
            <w:r>
              <w:rPr>
                <w:rFonts w:hint="eastAsia" w:ascii="宋体" w:hAnsi="宋体" w:cs="宋体"/>
              </w:rPr>
              <w:t>）</w:t>
            </w:r>
          </w:p>
          <w:p w14:paraId="4494B75E">
            <w:pPr>
              <w:keepNext w:val="0"/>
              <w:keepLines w:val="0"/>
              <w:widowControl/>
              <w:suppressLineNumbers w:val="0"/>
              <w:spacing w:before="0" w:beforeAutospacing="0" w:after="0" w:afterAutospacing="0"/>
              <w:ind w:left="0" w:right="0" w:firstLine="210" w:firstLineChars="100"/>
              <w:rPr>
                <w:rFonts w:ascii="宋体" w:hAnsi="宋体" w:cs="宋体"/>
              </w:rPr>
            </w:pPr>
            <w:r>
              <w:rPr>
                <w:rFonts w:ascii="宋体" w:hAnsi="宋体" w:cs="宋体"/>
              </w:rPr>
              <w:t>提供简洁的桌面端运行程序</w:t>
            </w:r>
          </w:p>
          <w:p w14:paraId="480DBD00">
            <w:pPr>
              <w:keepNext w:val="0"/>
              <w:keepLines w:val="0"/>
              <w:widowControl/>
              <w:suppressLineNumbers w:val="0"/>
              <w:spacing w:before="0" w:beforeAutospacing="0" w:after="0" w:afterAutospacing="0"/>
              <w:ind w:left="0" w:right="0" w:firstLine="210" w:firstLineChars="100"/>
              <w:rPr>
                <w:rFonts w:ascii="宋体" w:hAnsi="宋体" w:cs="宋体"/>
              </w:rPr>
            </w:pPr>
            <w:r>
              <w:rPr>
                <w:rFonts w:ascii="宋体" w:hAnsi="宋体" w:cs="宋体"/>
              </w:rPr>
              <w:t>静默状态可收缩至悬浮窗，节省系统资源</w:t>
            </w:r>
          </w:p>
          <w:p w14:paraId="5728D2AB">
            <w:pPr>
              <w:keepNext w:val="0"/>
              <w:keepLines w:val="0"/>
              <w:widowControl/>
              <w:suppressLineNumbers w:val="0"/>
              <w:spacing w:before="0" w:beforeAutospacing="0" w:after="0" w:afterAutospacing="0"/>
              <w:ind w:left="0" w:right="0" w:firstLine="210" w:firstLineChars="100"/>
              <w:rPr>
                <w:rFonts w:ascii="宋体" w:hAnsi="宋体" w:cs="宋体"/>
              </w:rPr>
            </w:pPr>
            <w:r>
              <w:rPr>
                <w:rFonts w:ascii="宋体" w:hAnsi="宋体" w:cs="宋体"/>
              </w:rPr>
              <w:t>提供对话框和语音控制的快捷入口</w:t>
            </w:r>
          </w:p>
          <w:p w14:paraId="3280A8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b/>
                <w:color w:val="0000FF"/>
                <w:sz w:val="21"/>
                <w:szCs w:val="21"/>
              </w:rPr>
            </w:pPr>
            <w:r>
              <w:rPr>
                <w:rFonts w:hint="eastAsia" w:ascii="宋体" w:hAnsi="宋体" w:eastAsia="宋体" w:cs="宋体"/>
                <w:b/>
                <w:bCs/>
                <w:color w:val="0000FF"/>
                <w:sz w:val="21"/>
                <w:szCs w:val="21"/>
              </w:rPr>
              <w:t>演示点三、工业数据采集系统</w:t>
            </w:r>
            <w:r>
              <w:rPr>
                <w:rFonts w:hint="eastAsia" w:ascii="宋体" w:hAnsi="宋体" w:eastAsia="宋体" w:cs="宋体"/>
                <w:b/>
                <w:bCs/>
                <w:color w:val="0000FF"/>
                <w:sz w:val="21"/>
                <w:szCs w:val="21"/>
                <w:lang w:val="en-US" w:eastAsia="zh-CN"/>
              </w:rPr>
              <w:t>功能</w:t>
            </w:r>
            <w:r>
              <w:rPr>
                <w:rFonts w:hint="eastAsia" w:ascii="宋体" w:hAnsi="宋体" w:eastAsia="宋体" w:cs="宋体"/>
                <w:b/>
                <w:bCs/>
                <w:color w:val="0000FF"/>
                <w:sz w:val="21"/>
                <w:szCs w:val="21"/>
              </w:rPr>
              <w:t>视频演示</w:t>
            </w:r>
            <w:r>
              <w:rPr>
                <w:rFonts w:hint="eastAsia" w:ascii="宋体" w:hAnsi="宋体" w:eastAsia="宋体" w:cs="宋体"/>
                <w:b/>
                <w:color w:val="0000FF"/>
                <w:sz w:val="21"/>
                <w:szCs w:val="21"/>
              </w:rPr>
              <w:t>，</w:t>
            </w:r>
            <w:bookmarkEnd w:id="196"/>
            <w:r>
              <w:rPr>
                <w:rFonts w:hint="eastAsia" w:ascii="宋体" w:hAnsi="宋体" w:eastAsia="宋体" w:cs="宋体"/>
                <w:b/>
                <w:color w:val="0000FF"/>
                <w:sz w:val="21"/>
                <w:szCs w:val="21"/>
              </w:rPr>
              <w:t>每满足1项得1分，满分4分；不演示或演示不完整，不得分。</w:t>
            </w:r>
          </w:p>
          <w:p w14:paraId="4BE5D17F">
            <w:pPr>
              <w:keepNext w:val="0"/>
              <w:keepLines w:val="0"/>
              <w:widowControl/>
              <w:suppressLineNumbers w:val="0"/>
              <w:spacing w:before="0" w:beforeAutospacing="0" w:after="0" w:afterAutospacing="0"/>
              <w:ind w:left="0" w:right="0"/>
              <w:jc w:val="left"/>
              <w:rPr>
                <w:rFonts w:ascii="宋体" w:hAnsi="宋体" w:cs="宋体"/>
              </w:rPr>
            </w:pPr>
            <w:r>
              <w:rPr>
                <w:rFonts w:hint="eastAsia" w:ascii="宋体" w:hAnsi="宋体" w:cs="宋体"/>
              </w:rPr>
              <w:t>1）设备接入与管理：</w:t>
            </w:r>
          </w:p>
          <w:p w14:paraId="14E44617">
            <w:pPr>
              <w:keepNext w:val="0"/>
              <w:keepLines w:val="0"/>
              <w:widowControl/>
              <w:suppressLineNumbers w:val="0"/>
              <w:spacing w:before="0" w:beforeAutospacing="0" w:after="0" w:afterAutospacing="0"/>
              <w:ind w:left="0" w:right="0"/>
              <w:jc w:val="left"/>
              <w:rPr>
                <w:rFonts w:ascii="宋体" w:hAnsi="宋体" w:cs="宋体"/>
              </w:rPr>
            </w:pPr>
            <w:r>
              <w:rPr>
                <w:rFonts w:hint="eastAsia" w:ascii="宋体" w:hAnsi="宋体" w:cs="宋体"/>
              </w:rPr>
              <w:t>设备接入、数据采集、电力协议采集、电力协议转发、设备管理、网关管理、消息通信、数据处理和转发、数据分析、告警监控、边云协同等。</w:t>
            </w:r>
          </w:p>
          <w:p w14:paraId="62982808">
            <w:pPr>
              <w:keepNext w:val="0"/>
              <w:keepLines w:val="0"/>
              <w:widowControl/>
              <w:suppressLineNumbers w:val="0"/>
              <w:spacing w:before="0" w:beforeAutospacing="0" w:after="0" w:afterAutospacing="0"/>
              <w:ind w:left="0" w:right="0"/>
              <w:jc w:val="left"/>
              <w:rPr>
                <w:rFonts w:ascii="宋体" w:hAnsi="宋体" w:cs="宋体"/>
              </w:rPr>
            </w:pPr>
            <w:r>
              <w:rPr>
                <w:rFonts w:hint="eastAsia" w:ascii="宋体" w:hAnsi="宋体" w:cs="宋体"/>
              </w:rPr>
              <w:t>2）低代码数据报表模块：</w:t>
            </w:r>
          </w:p>
          <w:p w14:paraId="78CE539F">
            <w:pPr>
              <w:keepNext w:val="0"/>
              <w:keepLines w:val="0"/>
              <w:widowControl/>
              <w:suppressLineNumbers w:val="0"/>
              <w:spacing w:before="0" w:beforeAutospacing="0" w:after="0" w:afterAutospacing="0"/>
              <w:ind w:left="0" w:right="0"/>
              <w:jc w:val="left"/>
              <w:rPr>
                <w:rFonts w:ascii="宋体" w:hAnsi="宋体" w:cs="宋体"/>
              </w:rPr>
            </w:pPr>
            <w:r>
              <w:rPr>
                <w:rFonts w:hint="eastAsia" w:ascii="宋体" w:hAnsi="宋体" w:cs="宋体"/>
              </w:rPr>
              <w:t>图表库、数据源、可视化应用构建框架、变量控制、多语言支持、视频接入等。</w:t>
            </w:r>
          </w:p>
          <w:p w14:paraId="4B6B1A16">
            <w:pPr>
              <w:keepNext w:val="0"/>
              <w:keepLines w:val="0"/>
              <w:widowControl/>
              <w:suppressLineNumbers w:val="0"/>
              <w:spacing w:before="0" w:beforeAutospacing="0" w:after="0" w:afterAutospacing="0"/>
              <w:ind w:left="0" w:right="0"/>
              <w:jc w:val="left"/>
              <w:rPr>
                <w:rFonts w:ascii="宋体" w:hAnsi="宋体" w:cs="宋体"/>
              </w:rPr>
            </w:pPr>
            <w:r>
              <w:rPr>
                <w:rFonts w:hint="eastAsia" w:ascii="宋体" w:hAnsi="宋体" w:cs="宋体"/>
              </w:rPr>
              <w:t>3）多渠道告警通知模块：</w:t>
            </w:r>
          </w:p>
          <w:p w14:paraId="38BC7D5D">
            <w:pPr>
              <w:keepNext w:val="0"/>
              <w:keepLines w:val="0"/>
              <w:widowControl/>
              <w:suppressLineNumbers w:val="0"/>
              <w:spacing w:before="0" w:beforeAutospacing="0" w:after="0" w:afterAutospacing="0"/>
              <w:ind w:left="0" w:right="0"/>
              <w:jc w:val="left"/>
              <w:rPr>
                <w:rFonts w:ascii="宋体" w:hAnsi="宋体" w:cs="宋体"/>
              </w:rPr>
            </w:pPr>
            <w:r>
              <w:rPr>
                <w:rFonts w:hint="eastAsia" w:ascii="宋体" w:hAnsi="宋体" w:cs="宋体"/>
              </w:rPr>
              <w:t>通知渠道、消息模板、通知等级、系统间通知、多租户管理、消息记录等。</w:t>
            </w:r>
          </w:p>
          <w:p w14:paraId="044BE167">
            <w:pPr>
              <w:keepNext w:val="0"/>
              <w:keepLines w:val="0"/>
              <w:widowControl/>
              <w:suppressLineNumbers w:val="0"/>
              <w:spacing w:before="0" w:beforeAutospacing="0" w:after="0" w:afterAutospacing="0"/>
              <w:ind w:left="0" w:right="0"/>
              <w:jc w:val="left"/>
              <w:rPr>
                <w:rFonts w:ascii="宋体" w:hAnsi="宋体" w:cs="宋体"/>
              </w:rPr>
            </w:pPr>
            <w:r>
              <w:rPr>
                <w:rFonts w:hint="eastAsia" w:ascii="宋体" w:hAnsi="宋体" w:cs="宋体"/>
              </w:rPr>
              <w:t>4）边缘数据处理：</w:t>
            </w:r>
          </w:p>
          <w:p w14:paraId="4D002C95">
            <w:pPr>
              <w:keepNext w:val="0"/>
              <w:keepLines w:val="0"/>
              <w:widowControl/>
              <w:suppressLineNumbers w:val="0"/>
              <w:spacing w:before="0" w:beforeAutospacing="0" w:after="0" w:afterAutospacing="0"/>
              <w:ind w:left="0" w:right="0"/>
              <w:rPr>
                <w:rFonts w:ascii="宋体" w:hAnsi="宋体" w:cs="宋体"/>
              </w:rPr>
            </w:pPr>
            <w:r>
              <w:rPr>
                <w:rFonts w:hint="eastAsia" w:ascii="宋体" w:hAnsi="宋体" w:cs="宋体"/>
              </w:rPr>
              <w:t>支持在边缘端对数据进行清洗过滤，有效数据上云；支持多种转发目标。</w:t>
            </w:r>
          </w:p>
          <w:p w14:paraId="398A62CF">
            <w:pPr>
              <w:keepNext w:val="0"/>
              <w:keepLines w:val="0"/>
              <w:suppressLineNumbers w:val="0"/>
              <w:spacing w:before="0" w:beforeAutospacing="0" w:after="0" w:afterAutospacing="0"/>
              <w:ind w:left="0" w:right="0"/>
              <w:jc w:val="left"/>
              <w:rPr>
                <w:rFonts w:hint="eastAsia" w:ascii="宋体" w:hAnsi="宋体" w:eastAsia="宋体" w:cs="宋体"/>
                <w:b/>
                <w:bCs/>
                <w:color w:val="0000FF"/>
                <w:sz w:val="21"/>
                <w:szCs w:val="21"/>
                <w:highlight w:val="none"/>
                <w:lang w:val="en-US" w:eastAsia="zh-CN"/>
              </w:rPr>
            </w:pPr>
            <w:r>
              <w:rPr>
                <w:rFonts w:hint="eastAsia" w:ascii="宋体" w:hAnsi="宋体" w:eastAsia="宋体" w:cs="宋体"/>
                <w:b/>
                <w:bCs/>
                <w:color w:val="0000FF"/>
                <w:sz w:val="21"/>
                <w:szCs w:val="21"/>
                <w:lang w:val="en-US" w:eastAsia="zh-CN"/>
              </w:rPr>
              <w:t>演示点四、数字孪生仿真数字化教学资源平台</w:t>
            </w:r>
            <w:r>
              <w:rPr>
                <w:rFonts w:hint="eastAsia" w:ascii="宋体" w:hAnsi="宋体" w:eastAsia="宋体" w:cs="宋体"/>
                <w:b/>
                <w:bCs/>
                <w:color w:val="0000FF"/>
                <w:sz w:val="21"/>
                <w:szCs w:val="21"/>
                <w:highlight w:val="none"/>
                <w:lang w:val="en-US" w:eastAsia="zh-CN"/>
              </w:rPr>
              <w:t>功能演示，每满足1项得</w:t>
            </w:r>
            <w:r>
              <w:rPr>
                <w:rFonts w:hint="default" w:ascii="宋体" w:hAnsi="宋体" w:eastAsia="宋体" w:cs="宋体"/>
                <w:b/>
                <w:bCs/>
                <w:color w:val="0000FF"/>
                <w:sz w:val="21"/>
                <w:szCs w:val="21"/>
                <w:highlight w:val="none"/>
                <w:lang w:eastAsia="zh-CN"/>
              </w:rPr>
              <w:t>2</w:t>
            </w:r>
            <w:r>
              <w:rPr>
                <w:rFonts w:hint="eastAsia" w:ascii="宋体" w:hAnsi="宋体" w:eastAsia="宋体" w:cs="宋体"/>
                <w:b/>
                <w:bCs/>
                <w:color w:val="0000FF"/>
                <w:sz w:val="21"/>
                <w:szCs w:val="21"/>
                <w:highlight w:val="none"/>
                <w:lang w:val="en-US" w:eastAsia="zh-CN"/>
              </w:rPr>
              <w:t>分，满分4分；不演示或演示不完整，不得分。</w:t>
            </w:r>
          </w:p>
          <w:p w14:paraId="21DB93C7">
            <w:pPr>
              <w:pStyle w:val="215"/>
              <w:keepNext w:val="0"/>
              <w:keepLines w:val="0"/>
              <w:pageBreakBefore w:val="0"/>
              <w:widowControl w:val="0"/>
              <w:suppressLineNumbers w:val="0"/>
              <w:spacing w:before="0" w:beforeAutospacing="0" w:after="0" w:afterAutospacing="0"/>
              <w:ind w:left="0" w:leftChars="0" w:right="0" w:firstLine="0" w:firstLineChars="0"/>
              <w:jc w:val="both"/>
              <w:rPr>
                <w:rFonts w:hint="eastAsia" w:ascii="宋体" w:hAnsi="宋体" w:eastAsia="宋体" w:cs="宋体"/>
                <w:color w:val="0000FF"/>
                <w:sz w:val="21"/>
                <w:szCs w:val="21"/>
                <w:highlight w:val="none"/>
                <w:lang w:val="en-US" w:eastAsia="zh-CN" w:bidi="ar-SA"/>
              </w:rPr>
            </w:pPr>
            <w:r>
              <w:rPr>
                <w:rFonts w:hint="default" w:ascii="宋体" w:hAnsi="宋体" w:cs="宋体"/>
                <w:highlight w:val="yellow"/>
              </w:rPr>
              <w:t>（1）</w:t>
            </w:r>
            <w:r>
              <w:rPr>
                <w:rFonts w:hint="eastAsia" w:ascii="宋体" w:hAnsi="宋体" w:cs="宋体"/>
                <w:highlight w:val="yellow"/>
              </w:rPr>
              <w:t>需包括工业机器人综合实训平台和数字孪生仿真平台配套的实训项目的教学资源（资源形式包含多种形式，至少包括PPT、视频），</w:t>
            </w:r>
            <w:r>
              <w:rPr>
                <w:rFonts w:hint="default" w:ascii="宋体" w:hAnsi="宋体" w:cs="宋体"/>
                <w:highlight w:val="yellow"/>
              </w:rPr>
              <w:t>（2）</w:t>
            </w:r>
            <w:r>
              <w:rPr>
                <w:rFonts w:hint="eastAsia" w:ascii="宋体" w:hAnsi="宋体" w:cs="宋体"/>
                <w:highlight w:val="yellow"/>
              </w:rPr>
              <w:t>包含但不限于以下实训项目：PLC编程、HMI人机界面设计、工业机器人离线仿真技术应用、PLC通信技术应用、视觉系统技术应用、工业机器人坐标标定、轨迹编程与操作、装配、搬运、码垛、包装、焊接、打磨、涂胶、机加工自动化任务单元、智能转运-分拣-码垛任务单元、典型行业包装任务单元、焊接任务单元、打磨任务单元等</w:t>
            </w:r>
          </w:p>
        </w:tc>
      </w:tr>
      <w:tr w14:paraId="7A0F1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658" w:type="dxa"/>
            <w:tcBorders>
              <w:bottom w:val="single" w:color="auto" w:sz="4" w:space="0"/>
            </w:tcBorders>
            <w:noWrap/>
            <w:vAlign w:val="center"/>
          </w:tcPr>
          <w:p w14:paraId="34074581">
            <w:pPr>
              <w:keepNext w:val="0"/>
              <w:keepLines w:val="0"/>
              <w:pageBreakBefore w:val="0"/>
              <w:suppressLineNumbers w:val="0"/>
              <w:spacing w:before="0" w:beforeAutospacing="0" w:after="0" w:afterAutospacing="0" w:line="320" w:lineRule="exact"/>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6</w:t>
            </w:r>
          </w:p>
        </w:tc>
        <w:tc>
          <w:tcPr>
            <w:tcW w:w="1246" w:type="dxa"/>
            <w:tcBorders>
              <w:bottom w:val="single" w:color="auto" w:sz="4" w:space="0"/>
            </w:tcBorders>
            <w:noWrap/>
            <w:vAlign w:val="center"/>
          </w:tcPr>
          <w:p w14:paraId="64CE601F">
            <w:pPr>
              <w:keepNext w:val="0"/>
              <w:keepLines w:val="0"/>
              <w:pageBreakBefore w:val="0"/>
              <w:suppressLineNumbers w:val="0"/>
              <w:spacing w:before="0" w:beforeAutospacing="0" w:after="0" w:afterAutospacing="0" w:line="320" w:lineRule="exact"/>
              <w:ind w:left="0" w:right="0"/>
              <w:jc w:val="center"/>
              <w:rPr>
                <w:rFonts w:hint="eastAsia" w:ascii="宋体" w:hAnsi="宋体" w:eastAsia="宋体" w:cs="宋体"/>
                <w:b w:val="0"/>
                <w:bCs w:val="0"/>
                <w:color w:val="auto"/>
                <w:sz w:val="21"/>
                <w:szCs w:val="21"/>
                <w:highlight w:val="red"/>
              </w:rPr>
            </w:pPr>
            <w:r>
              <w:rPr>
                <w:rFonts w:hint="eastAsia" w:ascii="宋体" w:hAnsi="宋体" w:eastAsia="宋体" w:cs="宋体"/>
                <w:b w:val="0"/>
                <w:bCs w:val="0"/>
                <w:color w:val="auto"/>
                <w:sz w:val="21"/>
                <w:szCs w:val="21"/>
                <w:highlight w:val="red"/>
              </w:rPr>
              <w:t>项目组织实施方案</w:t>
            </w:r>
          </w:p>
        </w:tc>
        <w:tc>
          <w:tcPr>
            <w:tcW w:w="1017" w:type="dxa"/>
            <w:tcBorders>
              <w:bottom w:val="single" w:color="auto" w:sz="4" w:space="0"/>
            </w:tcBorders>
            <w:noWrap/>
            <w:vAlign w:val="center"/>
          </w:tcPr>
          <w:p w14:paraId="1BDBFD69">
            <w:pPr>
              <w:keepNext w:val="0"/>
              <w:keepLines w:val="0"/>
              <w:pageBreakBefore w:val="0"/>
              <w:suppressLineNumbers w:val="0"/>
              <w:spacing w:before="0" w:beforeAutospacing="0" w:after="0" w:afterAutospacing="0" w:line="32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分</w:t>
            </w:r>
          </w:p>
        </w:tc>
        <w:tc>
          <w:tcPr>
            <w:tcW w:w="6359" w:type="dxa"/>
            <w:tcBorders>
              <w:bottom w:val="single" w:color="auto" w:sz="4" w:space="0"/>
            </w:tcBorders>
            <w:noWrap/>
            <w:vAlign w:val="center"/>
          </w:tcPr>
          <w:p w14:paraId="448A8C63">
            <w:pPr>
              <w:keepNext w:val="0"/>
              <w:keepLines w:val="0"/>
              <w:pageBreakBefore w:val="0"/>
              <w:widowControl w:val="0"/>
              <w:suppressLineNumbers w:val="0"/>
              <w:spacing w:before="0" w:beforeAutospacing="0" w:after="0" w:afterAutospacing="0" w:line="320" w:lineRule="exact"/>
              <w:ind w:left="0" w:right="0"/>
              <w:jc w:val="left"/>
              <w:rPr>
                <w:rFonts w:hint="eastAsia" w:ascii="宋体" w:hAnsi="宋体" w:eastAsia="宋体" w:cs="宋体"/>
                <w:color w:val="auto"/>
                <w:sz w:val="21"/>
                <w:szCs w:val="21"/>
                <w:highlight w:val="red"/>
                <w:u w:val="none"/>
              </w:rPr>
            </w:pPr>
            <w:r>
              <w:rPr>
                <w:rFonts w:hint="eastAsia" w:ascii="宋体" w:hAnsi="宋体" w:eastAsia="宋体" w:cs="宋体"/>
                <w:color w:val="auto"/>
                <w:sz w:val="21"/>
                <w:szCs w:val="21"/>
                <w:highlight w:val="red"/>
                <w:u w:val="none"/>
              </w:rPr>
              <w:t>评审依据采购需求第四章“项目组织实施方案‑安装、调试及验收方案”，至少包括以下内容：①供货周期及进度计划；②进度保证措施；③施工作业的安全保障措施。</w:t>
            </w:r>
          </w:p>
          <w:p w14:paraId="68625CCE">
            <w:pPr>
              <w:keepNext w:val="0"/>
              <w:keepLines w:val="0"/>
              <w:pageBreakBefore w:val="0"/>
              <w:widowControl w:val="0"/>
              <w:suppressLineNumbers w:val="0"/>
              <w:spacing w:before="0" w:beforeAutospacing="0" w:after="0" w:afterAutospacing="0" w:line="320" w:lineRule="exact"/>
              <w:ind w:left="0" w:right="0"/>
              <w:jc w:val="left"/>
              <w:rPr>
                <w:rFonts w:hint="eastAsia" w:ascii="宋体" w:hAnsi="宋体" w:eastAsia="宋体" w:cs="宋体"/>
                <w:color w:val="auto"/>
                <w:sz w:val="21"/>
                <w:szCs w:val="21"/>
                <w:highlight w:val="red"/>
                <w:u w:val="none"/>
              </w:rPr>
            </w:pPr>
            <w:r>
              <w:rPr>
                <w:rFonts w:hint="eastAsia" w:ascii="宋体" w:hAnsi="宋体" w:eastAsia="宋体" w:cs="宋体"/>
                <w:color w:val="auto"/>
                <w:sz w:val="21"/>
                <w:szCs w:val="21"/>
                <w:highlight w:val="red"/>
                <w:u w:val="none"/>
              </w:rPr>
              <w:t>1.全部响应需求，且提供更细致、有针对性、切实可行的增值实施措施，方案优于采购需求，得5分；</w:t>
            </w:r>
          </w:p>
          <w:p w14:paraId="6D3965D7">
            <w:pPr>
              <w:keepNext w:val="0"/>
              <w:keepLines w:val="0"/>
              <w:pageBreakBefore w:val="0"/>
              <w:widowControl w:val="0"/>
              <w:suppressLineNumbers w:val="0"/>
              <w:spacing w:before="0" w:beforeAutospacing="0" w:after="0" w:afterAutospacing="0" w:line="320" w:lineRule="exact"/>
              <w:ind w:left="0" w:right="0"/>
              <w:jc w:val="left"/>
              <w:rPr>
                <w:rFonts w:hint="eastAsia" w:ascii="宋体" w:hAnsi="宋体" w:eastAsia="宋体" w:cs="宋体"/>
                <w:color w:val="auto"/>
                <w:sz w:val="21"/>
                <w:szCs w:val="21"/>
                <w:highlight w:val="red"/>
                <w:u w:val="none"/>
              </w:rPr>
            </w:pPr>
            <w:r>
              <w:rPr>
                <w:rFonts w:hint="eastAsia" w:ascii="宋体" w:hAnsi="宋体" w:eastAsia="宋体" w:cs="宋体"/>
                <w:color w:val="auto"/>
                <w:sz w:val="21"/>
                <w:szCs w:val="21"/>
                <w:highlight w:val="red"/>
                <w:u w:val="none"/>
              </w:rPr>
              <w:t>2.完整全部响应采购需求各项要求，得3分；</w:t>
            </w:r>
          </w:p>
          <w:p w14:paraId="3FCA8FE9">
            <w:pPr>
              <w:keepNext w:val="0"/>
              <w:keepLines w:val="0"/>
              <w:pageBreakBefore w:val="0"/>
              <w:widowControl w:val="0"/>
              <w:suppressLineNumbers w:val="0"/>
              <w:spacing w:before="0" w:beforeAutospacing="0" w:after="0" w:afterAutospacing="0" w:line="320" w:lineRule="exact"/>
              <w:ind w:left="0" w:right="0"/>
              <w:jc w:val="left"/>
              <w:rPr>
                <w:rFonts w:hint="eastAsia" w:ascii="宋体" w:hAnsi="宋体" w:eastAsia="宋体" w:cs="宋体"/>
                <w:color w:val="auto"/>
                <w:sz w:val="21"/>
                <w:szCs w:val="21"/>
                <w:highlight w:val="red"/>
                <w:u w:val="none"/>
              </w:rPr>
            </w:pPr>
            <w:r>
              <w:rPr>
                <w:rFonts w:hint="eastAsia" w:ascii="宋体" w:hAnsi="宋体" w:eastAsia="宋体" w:cs="宋体"/>
                <w:color w:val="auto"/>
                <w:sz w:val="21"/>
                <w:szCs w:val="21"/>
                <w:highlight w:val="red"/>
                <w:u w:val="none"/>
              </w:rPr>
              <w:t>3.存在缺项漏项、关键内容未响应、偏离需求或未提供本项方案，本项得0分。</w:t>
            </w:r>
          </w:p>
          <w:p w14:paraId="2B963BE2">
            <w:pPr>
              <w:keepNext w:val="0"/>
              <w:keepLines w:val="0"/>
              <w:pageBreakBefore w:val="0"/>
              <w:widowControl w:val="0"/>
              <w:suppressLineNumbers w:val="0"/>
              <w:spacing w:before="0" w:beforeAutospacing="0" w:after="0" w:afterAutospacing="0" w:line="320" w:lineRule="exact"/>
              <w:ind w:left="0" w:right="0"/>
              <w:jc w:val="left"/>
              <w:rPr>
                <w:rFonts w:hint="eastAsia" w:ascii="宋体" w:hAnsi="宋体" w:eastAsia="宋体" w:cs="宋体"/>
                <w:color w:val="auto"/>
                <w:sz w:val="21"/>
                <w:szCs w:val="21"/>
                <w:highlight w:val="red"/>
                <w:lang w:val="en-US" w:eastAsia="zh-CN"/>
              </w:rPr>
            </w:pPr>
            <w:r>
              <w:rPr>
                <w:rFonts w:hint="eastAsia" w:ascii="宋体" w:hAnsi="宋体" w:eastAsia="宋体" w:cs="宋体"/>
                <w:color w:val="auto"/>
                <w:sz w:val="21"/>
                <w:szCs w:val="21"/>
                <w:highlight w:val="red"/>
                <w:u w:val="none"/>
              </w:rPr>
              <w:t>由评审委员会结合投标文件实际内容综合评审。</w:t>
            </w:r>
          </w:p>
        </w:tc>
      </w:tr>
      <w:tr w14:paraId="1098AA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658" w:type="dxa"/>
            <w:tcBorders>
              <w:top w:val="single" w:color="auto" w:sz="4" w:space="0"/>
              <w:bottom w:val="single" w:color="auto" w:sz="4" w:space="0"/>
            </w:tcBorders>
            <w:noWrap/>
            <w:vAlign w:val="center"/>
          </w:tcPr>
          <w:p w14:paraId="2666CE94">
            <w:pPr>
              <w:keepNext w:val="0"/>
              <w:keepLines w:val="0"/>
              <w:pageBreakBefore w:val="0"/>
              <w:suppressLineNumbers w:val="0"/>
              <w:spacing w:before="0" w:beforeAutospacing="0" w:after="0" w:afterAutospacing="0" w:line="320" w:lineRule="exact"/>
              <w:ind w:left="0"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246" w:type="dxa"/>
            <w:tcBorders>
              <w:top w:val="single" w:color="auto" w:sz="4" w:space="0"/>
              <w:bottom w:val="single" w:color="auto" w:sz="4" w:space="0"/>
            </w:tcBorders>
            <w:noWrap/>
            <w:vAlign w:val="center"/>
          </w:tcPr>
          <w:p w14:paraId="485398B2">
            <w:pPr>
              <w:keepNext w:val="0"/>
              <w:keepLines w:val="0"/>
              <w:pageBreakBefore w:val="0"/>
              <w:widowControl w:val="0"/>
              <w:suppressLineNumbers w:val="0"/>
              <w:spacing w:before="0" w:beforeAutospacing="0" w:after="0" w:afterAutospacing="0" w:line="320" w:lineRule="exact"/>
              <w:ind w:left="0" w:right="0"/>
              <w:jc w:val="left"/>
              <w:rPr>
                <w:rFonts w:hint="eastAsia" w:ascii="宋体" w:hAnsi="宋体" w:eastAsia="宋体" w:cs="宋体"/>
                <w:b w:val="0"/>
                <w:bCs w:val="0"/>
                <w:color w:val="auto"/>
                <w:sz w:val="21"/>
                <w:szCs w:val="21"/>
                <w:highlight w:val="red"/>
                <w:u w:val="none"/>
                <w:lang w:eastAsia="zh-CN"/>
              </w:rPr>
            </w:pPr>
            <w:r>
              <w:rPr>
                <w:rFonts w:hint="eastAsia" w:ascii="宋体" w:hAnsi="宋体" w:eastAsia="宋体" w:cs="宋体"/>
                <w:b w:val="0"/>
                <w:bCs w:val="0"/>
                <w:color w:val="auto"/>
                <w:sz w:val="21"/>
                <w:szCs w:val="21"/>
                <w:highlight w:val="red"/>
                <w:u w:val="none"/>
                <w:lang w:val="en-US" w:eastAsia="zh-CN"/>
              </w:rPr>
              <w:t>安装、调试、培训方案和措施</w:t>
            </w:r>
          </w:p>
          <w:p w14:paraId="3DDA3628">
            <w:pPr>
              <w:keepNext w:val="0"/>
              <w:keepLines w:val="0"/>
              <w:pageBreakBefore w:val="0"/>
              <w:suppressLineNumbers w:val="0"/>
              <w:spacing w:before="0" w:beforeAutospacing="0" w:after="0" w:afterAutospacing="0" w:line="320" w:lineRule="exact"/>
              <w:ind w:left="0" w:right="0"/>
              <w:jc w:val="center"/>
              <w:rPr>
                <w:rFonts w:hint="eastAsia" w:ascii="宋体" w:hAnsi="宋体" w:eastAsia="宋体" w:cs="宋体"/>
                <w:b w:val="0"/>
                <w:bCs w:val="0"/>
                <w:color w:val="auto"/>
                <w:sz w:val="21"/>
                <w:szCs w:val="21"/>
                <w:highlight w:val="red"/>
              </w:rPr>
            </w:pPr>
          </w:p>
        </w:tc>
        <w:tc>
          <w:tcPr>
            <w:tcW w:w="1017" w:type="dxa"/>
            <w:tcBorders>
              <w:top w:val="single" w:color="auto" w:sz="4" w:space="0"/>
              <w:bottom w:val="single" w:color="auto" w:sz="4" w:space="0"/>
            </w:tcBorders>
            <w:noWrap/>
            <w:vAlign w:val="center"/>
          </w:tcPr>
          <w:p w14:paraId="038C9278">
            <w:pPr>
              <w:keepNext w:val="0"/>
              <w:keepLines w:val="0"/>
              <w:pageBreakBefore w:val="0"/>
              <w:suppressLineNumbers w:val="0"/>
              <w:spacing w:before="0" w:beforeAutospacing="0" w:after="0" w:afterAutospacing="0" w:line="320" w:lineRule="exact"/>
              <w:ind w:left="0"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5分</w:t>
            </w:r>
          </w:p>
        </w:tc>
        <w:tc>
          <w:tcPr>
            <w:tcW w:w="6359" w:type="dxa"/>
            <w:tcBorders>
              <w:top w:val="single" w:color="auto" w:sz="4" w:space="0"/>
              <w:bottom w:val="single" w:color="auto" w:sz="4" w:space="0"/>
            </w:tcBorders>
            <w:noWrap/>
            <w:vAlign w:val="center"/>
          </w:tcPr>
          <w:p w14:paraId="24A15251">
            <w:pPr>
              <w:keepNext w:val="0"/>
              <w:keepLines w:val="0"/>
              <w:pageBreakBefore w:val="0"/>
              <w:widowControl w:val="0"/>
              <w:suppressLineNumbers w:val="0"/>
              <w:spacing w:before="0" w:beforeAutospacing="0" w:after="0" w:afterAutospacing="0" w:line="320" w:lineRule="exact"/>
              <w:ind w:left="0" w:right="0"/>
              <w:jc w:val="left"/>
              <w:rPr>
                <w:rFonts w:hint="eastAsia" w:ascii="宋体" w:hAnsi="宋体" w:eastAsia="宋体" w:cs="宋体"/>
                <w:color w:val="auto"/>
                <w:sz w:val="21"/>
                <w:szCs w:val="21"/>
                <w:highlight w:val="red"/>
                <w:u w:val="none"/>
              </w:rPr>
            </w:pPr>
            <w:r>
              <w:rPr>
                <w:rFonts w:hint="eastAsia" w:ascii="宋体" w:hAnsi="宋体" w:cs="宋体"/>
                <w:b/>
                <w:bCs/>
                <w:color w:val="auto"/>
                <w:sz w:val="21"/>
                <w:szCs w:val="21"/>
                <w:highlight w:val="red"/>
                <w:u w:val="none"/>
                <w:lang w:val="en-US" w:eastAsia="zh-CN"/>
              </w:rPr>
              <w:t>2</w:t>
            </w:r>
            <w:r>
              <w:rPr>
                <w:rFonts w:hint="eastAsia" w:ascii="宋体" w:hAnsi="宋体" w:eastAsia="宋体" w:cs="宋体"/>
                <w:b/>
                <w:bCs/>
                <w:color w:val="auto"/>
                <w:sz w:val="21"/>
                <w:szCs w:val="21"/>
                <w:highlight w:val="red"/>
                <w:u w:val="none"/>
                <w:lang w:val="en-US" w:eastAsia="zh-CN"/>
              </w:rPr>
              <w:t>.</w:t>
            </w:r>
            <w:r>
              <w:rPr>
                <w:rFonts w:hint="eastAsia" w:ascii="宋体" w:hAnsi="宋体" w:eastAsia="宋体" w:cs="宋体"/>
                <w:color w:val="auto"/>
                <w:sz w:val="21"/>
                <w:szCs w:val="21"/>
                <w:highlight w:val="red"/>
                <w:u w:val="none"/>
              </w:rPr>
              <w:t>评审依据采购需求第四章“项目组织实施方案‑安装、调试、培训方案和措施”，至少包括以下内容：①进场前筹备工作；②全部供货货物全覆盖调试方案；③现场理论+实操业务技术培训。</w:t>
            </w:r>
          </w:p>
          <w:p w14:paraId="56C91D74">
            <w:pPr>
              <w:keepNext w:val="0"/>
              <w:keepLines w:val="0"/>
              <w:pageBreakBefore w:val="0"/>
              <w:widowControl w:val="0"/>
              <w:suppressLineNumbers w:val="0"/>
              <w:spacing w:before="0" w:beforeAutospacing="0" w:after="0" w:afterAutospacing="0" w:line="320" w:lineRule="exact"/>
              <w:ind w:left="0" w:right="0"/>
              <w:jc w:val="left"/>
              <w:rPr>
                <w:rFonts w:hint="eastAsia" w:ascii="宋体" w:hAnsi="宋体" w:eastAsia="宋体" w:cs="宋体"/>
                <w:color w:val="auto"/>
                <w:sz w:val="21"/>
                <w:szCs w:val="21"/>
                <w:highlight w:val="red"/>
                <w:u w:val="none"/>
              </w:rPr>
            </w:pPr>
            <w:r>
              <w:rPr>
                <w:rFonts w:hint="eastAsia" w:ascii="宋体" w:hAnsi="宋体" w:eastAsia="宋体" w:cs="宋体"/>
                <w:color w:val="auto"/>
                <w:sz w:val="21"/>
                <w:szCs w:val="21"/>
                <w:highlight w:val="red"/>
                <w:u w:val="none"/>
              </w:rPr>
              <w:t>1.全部响应需求，且提供更细致、有针对性、切实可行的增值实施措施，方案优于采购需求，得5分；</w:t>
            </w:r>
          </w:p>
          <w:p w14:paraId="73EA352E">
            <w:pPr>
              <w:keepNext w:val="0"/>
              <w:keepLines w:val="0"/>
              <w:pageBreakBefore w:val="0"/>
              <w:widowControl w:val="0"/>
              <w:suppressLineNumbers w:val="0"/>
              <w:spacing w:before="0" w:beforeAutospacing="0" w:after="0" w:afterAutospacing="0" w:line="320" w:lineRule="exact"/>
              <w:ind w:left="0" w:right="0"/>
              <w:jc w:val="left"/>
              <w:rPr>
                <w:rFonts w:hint="eastAsia" w:ascii="宋体" w:hAnsi="宋体" w:eastAsia="宋体" w:cs="宋体"/>
                <w:color w:val="auto"/>
                <w:sz w:val="21"/>
                <w:szCs w:val="21"/>
                <w:highlight w:val="red"/>
                <w:u w:val="none"/>
              </w:rPr>
            </w:pPr>
            <w:r>
              <w:rPr>
                <w:rFonts w:hint="eastAsia" w:ascii="宋体" w:hAnsi="宋体" w:eastAsia="宋体" w:cs="宋体"/>
                <w:color w:val="auto"/>
                <w:sz w:val="21"/>
                <w:szCs w:val="21"/>
                <w:highlight w:val="red"/>
                <w:u w:val="none"/>
              </w:rPr>
              <w:t>2.完整全部响应采购需求各项要求，得3分；</w:t>
            </w:r>
          </w:p>
          <w:p w14:paraId="4F713672">
            <w:pPr>
              <w:keepNext w:val="0"/>
              <w:keepLines w:val="0"/>
              <w:pageBreakBefore w:val="0"/>
              <w:widowControl w:val="0"/>
              <w:suppressLineNumbers w:val="0"/>
              <w:spacing w:before="0" w:beforeAutospacing="0" w:after="0" w:afterAutospacing="0" w:line="320" w:lineRule="exact"/>
              <w:ind w:left="0" w:right="0"/>
              <w:jc w:val="left"/>
              <w:rPr>
                <w:rFonts w:hint="eastAsia" w:ascii="宋体" w:hAnsi="宋体" w:eastAsia="宋体" w:cs="宋体"/>
                <w:color w:val="auto"/>
                <w:sz w:val="21"/>
                <w:szCs w:val="21"/>
                <w:highlight w:val="red"/>
                <w:u w:val="none"/>
              </w:rPr>
            </w:pPr>
            <w:r>
              <w:rPr>
                <w:rFonts w:hint="eastAsia" w:ascii="宋体" w:hAnsi="宋体" w:eastAsia="宋体" w:cs="宋体"/>
                <w:color w:val="auto"/>
                <w:sz w:val="21"/>
                <w:szCs w:val="21"/>
                <w:highlight w:val="red"/>
                <w:u w:val="none"/>
              </w:rPr>
              <w:t>3.存在缺项漏项、关键内容未响应、偏离需求或未提供本项方案，本项得0分。</w:t>
            </w:r>
          </w:p>
          <w:p w14:paraId="38DB9B27">
            <w:pPr>
              <w:keepNext w:val="0"/>
              <w:keepLines w:val="0"/>
              <w:pageBreakBefore w:val="0"/>
              <w:widowControl w:val="0"/>
              <w:suppressLineNumbers w:val="0"/>
              <w:spacing w:before="0" w:beforeAutospacing="0" w:after="0" w:afterAutospacing="0" w:line="320" w:lineRule="exact"/>
              <w:ind w:left="0" w:right="0"/>
              <w:jc w:val="left"/>
              <w:rPr>
                <w:rFonts w:hint="eastAsia" w:ascii="宋体" w:hAnsi="宋体" w:eastAsia="宋体" w:cs="宋体"/>
                <w:color w:val="auto"/>
                <w:sz w:val="21"/>
                <w:szCs w:val="21"/>
                <w:highlight w:val="red"/>
                <w:lang w:val="en-US" w:eastAsia="zh-CN"/>
              </w:rPr>
            </w:pPr>
            <w:r>
              <w:rPr>
                <w:rFonts w:hint="eastAsia" w:ascii="宋体" w:hAnsi="宋体" w:eastAsia="宋体" w:cs="宋体"/>
                <w:color w:val="auto"/>
                <w:sz w:val="21"/>
                <w:szCs w:val="21"/>
                <w:highlight w:val="red"/>
                <w:u w:val="none"/>
              </w:rPr>
              <w:t>由评审委员会结合投标文件实际内容综合评审。</w:t>
            </w:r>
            <w:r>
              <w:rPr>
                <w:rFonts w:hint="eastAsia" w:ascii="宋体" w:hAnsi="宋体" w:eastAsia="宋体" w:cs="宋体"/>
                <w:color w:val="auto"/>
                <w:sz w:val="21"/>
                <w:szCs w:val="21"/>
                <w:highlight w:val="red"/>
                <w:u w:val="none"/>
                <w:lang w:val="en-US" w:eastAsia="zh-CN"/>
              </w:rPr>
              <w:t>。</w:t>
            </w:r>
          </w:p>
        </w:tc>
      </w:tr>
      <w:tr w14:paraId="3CC82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jc w:val="center"/>
        </w:trPr>
        <w:tc>
          <w:tcPr>
            <w:tcW w:w="658" w:type="dxa"/>
            <w:tcBorders>
              <w:top w:val="single" w:color="auto" w:sz="4" w:space="0"/>
            </w:tcBorders>
            <w:noWrap/>
            <w:vAlign w:val="center"/>
          </w:tcPr>
          <w:p w14:paraId="2A46DB56">
            <w:pPr>
              <w:keepNext w:val="0"/>
              <w:keepLines w:val="0"/>
              <w:pageBreakBefore w:val="0"/>
              <w:suppressLineNumbers w:val="0"/>
              <w:spacing w:before="0" w:beforeAutospacing="0" w:after="0" w:afterAutospacing="0" w:line="320" w:lineRule="exact"/>
              <w:ind w:left="0"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246" w:type="dxa"/>
            <w:tcBorders>
              <w:top w:val="single" w:color="auto" w:sz="4" w:space="0"/>
            </w:tcBorders>
            <w:noWrap/>
            <w:vAlign w:val="center"/>
          </w:tcPr>
          <w:p w14:paraId="023EAA5A">
            <w:pPr>
              <w:keepNext w:val="0"/>
              <w:keepLines w:val="0"/>
              <w:pageBreakBefore w:val="0"/>
              <w:suppressLineNumbers w:val="0"/>
              <w:spacing w:before="0" w:beforeAutospacing="0" w:after="0" w:afterAutospacing="0" w:line="320" w:lineRule="exact"/>
              <w:ind w:left="0" w:right="0"/>
              <w:jc w:val="center"/>
              <w:rPr>
                <w:rFonts w:hint="eastAsia" w:ascii="宋体" w:hAnsi="宋体" w:eastAsia="宋体" w:cs="宋体"/>
                <w:b w:val="0"/>
                <w:bCs w:val="0"/>
                <w:color w:val="auto"/>
                <w:sz w:val="21"/>
                <w:szCs w:val="21"/>
                <w:highlight w:val="red"/>
              </w:rPr>
            </w:pPr>
            <w:r>
              <w:rPr>
                <w:rFonts w:hint="eastAsia" w:ascii="宋体" w:hAnsi="宋体" w:eastAsia="宋体" w:cs="宋体"/>
                <w:b w:val="0"/>
                <w:bCs w:val="0"/>
                <w:color w:val="auto"/>
                <w:sz w:val="21"/>
                <w:szCs w:val="21"/>
                <w:highlight w:val="red"/>
                <w:u w:val="none"/>
                <w:lang w:val="en-US" w:eastAsia="zh-CN"/>
              </w:rPr>
              <w:t>售后服务方案</w:t>
            </w:r>
          </w:p>
        </w:tc>
        <w:tc>
          <w:tcPr>
            <w:tcW w:w="1017" w:type="dxa"/>
            <w:tcBorders>
              <w:top w:val="single" w:color="auto" w:sz="4" w:space="0"/>
            </w:tcBorders>
            <w:noWrap/>
            <w:vAlign w:val="center"/>
          </w:tcPr>
          <w:p w14:paraId="753DA180">
            <w:pPr>
              <w:keepNext w:val="0"/>
              <w:keepLines w:val="0"/>
              <w:pageBreakBefore w:val="0"/>
              <w:suppressLineNumbers w:val="0"/>
              <w:spacing w:before="0" w:beforeAutospacing="0" w:after="0" w:afterAutospacing="0" w:line="320" w:lineRule="exact"/>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5分</w:t>
            </w:r>
          </w:p>
        </w:tc>
        <w:tc>
          <w:tcPr>
            <w:tcW w:w="6359" w:type="dxa"/>
            <w:tcBorders>
              <w:top w:val="single" w:color="auto" w:sz="4" w:space="0"/>
            </w:tcBorders>
            <w:noWrap/>
            <w:vAlign w:val="center"/>
          </w:tcPr>
          <w:p w14:paraId="3F3F3A38">
            <w:pPr>
              <w:keepNext w:val="0"/>
              <w:keepLines w:val="0"/>
              <w:pageBreakBefore w:val="0"/>
              <w:widowControl w:val="0"/>
              <w:suppressLineNumbers w:val="0"/>
              <w:spacing w:before="0" w:beforeAutospacing="0" w:after="0" w:afterAutospacing="0" w:line="320" w:lineRule="exact"/>
              <w:ind w:left="0" w:right="0"/>
              <w:jc w:val="left"/>
              <w:rPr>
                <w:rFonts w:hint="eastAsia" w:ascii="宋体" w:hAnsi="宋体" w:eastAsia="宋体" w:cs="宋体"/>
                <w:color w:val="auto"/>
                <w:sz w:val="21"/>
                <w:szCs w:val="21"/>
                <w:highlight w:val="red"/>
                <w:u w:val="none"/>
              </w:rPr>
            </w:pPr>
            <w:r>
              <w:rPr>
                <w:rFonts w:hint="eastAsia" w:ascii="宋体" w:hAnsi="宋体" w:eastAsia="宋体" w:cs="宋体"/>
                <w:color w:val="auto"/>
                <w:sz w:val="21"/>
                <w:szCs w:val="21"/>
                <w:highlight w:val="red"/>
                <w:u w:val="none"/>
              </w:rPr>
              <w:t>评审依据采购需求第四章“项目组织实施方案‑售后服务方案”，至少包括以下内容：①售后服务标准；②质保期相关要求；③质保期内产品质量问题处置；④7×24小时技术支持服务。</w:t>
            </w:r>
          </w:p>
          <w:p w14:paraId="485679D8">
            <w:pPr>
              <w:keepNext w:val="0"/>
              <w:keepLines w:val="0"/>
              <w:pageBreakBefore w:val="0"/>
              <w:widowControl w:val="0"/>
              <w:suppressLineNumbers w:val="0"/>
              <w:spacing w:before="0" w:beforeAutospacing="0" w:after="0" w:afterAutospacing="0" w:line="320" w:lineRule="exact"/>
              <w:ind w:left="0" w:right="0"/>
              <w:jc w:val="left"/>
              <w:rPr>
                <w:rFonts w:hint="eastAsia" w:ascii="宋体" w:hAnsi="宋体" w:eastAsia="宋体" w:cs="宋体"/>
                <w:color w:val="auto"/>
                <w:sz w:val="21"/>
                <w:szCs w:val="21"/>
                <w:highlight w:val="red"/>
                <w:u w:val="none"/>
              </w:rPr>
            </w:pPr>
            <w:r>
              <w:rPr>
                <w:rFonts w:hint="eastAsia" w:ascii="宋体" w:hAnsi="宋体" w:eastAsia="宋体" w:cs="宋体"/>
                <w:color w:val="auto"/>
                <w:sz w:val="21"/>
                <w:szCs w:val="21"/>
                <w:highlight w:val="red"/>
                <w:u w:val="none"/>
              </w:rPr>
              <w:t>1.全部响应需求，且提供更细致、有针对性、切实可行的增值售后保障措施，方案优于采购需求，得5分；</w:t>
            </w:r>
          </w:p>
          <w:p w14:paraId="739EB172">
            <w:pPr>
              <w:keepNext w:val="0"/>
              <w:keepLines w:val="0"/>
              <w:pageBreakBefore w:val="0"/>
              <w:widowControl w:val="0"/>
              <w:suppressLineNumbers w:val="0"/>
              <w:spacing w:before="0" w:beforeAutospacing="0" w:after="0" w:afterAutospacing="0" w:line="320" w:lineRule="exact"/>
              <w:ind w:left="0" w:right="0"/>
              <w:jc w:val="left"/>
              <w:rPr>
                <w:rFonts w:hint="eastAsia" w:ascii="宋体" w:hAnsi="宋体" w:eastAsia="宋体" w:cs="宋体"/>
                <w:color w:val="auto"/>
                <w:sz w:val="21"/>
                <w:szCs w:val="21"/>
                <w:highlight w:val="red"/>
                <w:u w:val="none"/>
              </w:rPr>
            </w:pPr>
            <w:r>
              <w:rPr>
                <w:rFonts w:hint="eastAsia" w:ascii="宋体" w:hAnsi="宋体" w:eastAsia="宋体" w:cs="宋体"/>
                <w:color w:val="auto"/>
                <w:sz w:val="21"/>
                <w:szCs w:val="21"/>
                <w:highlight w:val="red"/>
                <w:u w:val="none"/>
              </w:rPr>
              <w:t>2.完整全部响应采购需求各项要求，得3分；</w:t>
            </w:r>
          </w:p>
          <w:p w14:paraId="16D4E493">
            <w:pPr>
              <w:keepNext w:val="0"/>
              <w:keepLines w:val="0"/>
              <w:pageBreakBefore w:val="0"/>
              <w:widowControl w:val="0"/>
              <w:suppressLineNumbers w:val="0"/>
              <w:spacing w:before="0" w:beforeAutospacing="0" w:after="0" w:afterAutospacing="0" w:line="320" w:lineRule="exact"/>
              <w:ind w:left="0" w:right="0"/>
              <w:jc w:val="left"/>
              <w:rPr>
                <w:rFonts w:hint="eastAsia" w:ascii="宋体" w:hAnsi="宋体" w:eastAsia="宋体" w:cs="宋体"/>
                <w:color w:val="auto"/>
                <w:sz w:val="21"/>
                <w:szCs w:val="21"/>
                <w:highlight w:val="red"/>
                <w:u w:val="none"/>
              </w:rPr>
            </w:pPr>
            <w:r>
              <w:rPr>
                <w:rFonts w:hint="eastAsia" w:ascii="宋体" w:hAnsi="宋体" w:eastAsia="宋体" w:cs="宋体"/>
                <w:color w:val="auto"/>
                <w:sz w:val="21"/>
                <w:szCs w:val="21"/>
                <w:highlight w:val="red"/>
                <w:u w:val="none"/>
              </w:rPr>
              <w:t>3.存在缺项漏项、关键指标不满足、偏离需求或未提供本项方案，本项得0分。</w:t>
            </w:r>
          </w:p>
          <w:p w14:paraId="62A70431">
            <w:pPr>
              <w:keepNext w:val="0"/>
              <w:keepLines w:val="0"/>
              <w:pageBreakBefore w:val="0"/>
              <w:widowControl w:val="0"/>
              <w:suppressLineNumbers w:val="0"/>
              <w:spacing w:before="0" w:beforeAutospacing="0" w:after="0" w:afterAutospacing="0" w:line="320" w:lineRule="exact"/>
              <w:ind w:left="0" w:right="0"/>
              <w:jc w:val="left"/>
              <w:rPr>
                <w:rFonts w:hint="eastAsia" w:ascii="宋体" w:hAnsi="宋体" w:eastAsia="宋体" w:cs="宋体"/>
                <w:color w:val="auto"/>
                <w:sz w:val="21"/>
                <w:szCs w:val="21"/>
                <w:highlight w:val="red"/>
                <w:lang w:val="en-US" w:eastAsia="zh-CN"/>
              </w:rPr>
            </w:pPr>
            <w:r>
              <w:rPr>
                <w:rFonts w:hint="eastAsia" w:ascii="宋体" w:hAnsi="宋体" w:eastAsia="宋体" w:cs="宋体"/>
                <w:color w:val="auto"/>
                <w:sz w:val="21"/>
                <w:szCs w:val="21"/>
                <w:highlight w:val="red"/>
                <w:u w:val="none"/>
              </w:rPr>
              <w:t>由评审委员会结合投标文件实际内容综合评审</w:t>
            </w:r>
            <w:r>
              <w:rPr>
                <w:rFonts w:hint="eastAsia" w:ascii="宋体" w:hAnsi="宋体" w:eastAsia="宋体" w:cs="宋体"/>
                <w:color w:val="auto"/>
                <w:sz w:val="21"/>
                <w:szCs w:val="21"/>
                <w:highlight w:val="red"/>
                <w:u w:val="none"/>
                <w:lang w:val="en-US" w:eastAsia="zh-CN"/>
              </w:rPr>
              <w:t>。</w:t>
            </w:r>
          </w:p>
        </w:tc>
      </w:tr>
      <w:tr w14:paraId="7F417B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658" w:type="dxa"/>
            <w:noWrap/>
            <w:vAlign w:val="center"/>
          </w:tcPr>
          <w:p w14:paraId="0438B43B">
            <w:pPr>
              <w:keepNext w:val="0"/>
              <w:keepLines w:val="0"/>
              <w:pageBreakBefore w:val="0"/>
              <w:suppressLineNumbers w:val="0"/>
              <w:spacing w:before="0" w:beforeAutospacing="0" w:after="0" w:afterAutospacing="0" w:line="320" w:lineRule="exact"/>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246" w:type="dxa"/>
            <w:noWrap/>
            <w:vAlign w:val="center"/>
          </w:tcPr>
          <w:p w14:paraId="29003C31">
            <w:pPr>
              <w:keepNext w:val="0"/>
              <w:keepLines w:val="0"/>
              <w:pageBreakBefore w:val="0"/>
              <w:suppressLineNumbers w:val="0"/>
              <w:spacing w:before="0" w:beforeAutospacing="0" w:after="0" w:afterAutospacing="0" w:line="320" w:lineRule="exact"/>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节能环保</w:t>
            </w:r>
          </w:p>
        </w:tc>
        <w:tc>
          <w:tcPr>
            <w:tcW w:w="1017" w:type="dxa"/>
            <w:noWrap/>
            <w:vAlign w:val="center"/>
          </w:tcPr>
          <w:p w14:paraId="417F71D9">
            <w:pPr>
              <w:keepNext w:val="0"/>
              <w:keepLines w:val="0"/>
              <w:pageBreakBefore w:val="0"/>
              <w:suppressLineNumbers w:val="0"/>
              <w:spacing w:before="0" w:beforeAutospacing="0" w:after="0" w:afterAutospacing="0" w:line="320" w:lineRule="exact"/>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2分</w:t>
            </w:r>
          </w:p>
        </w:tc>
        <w:tc>
          <w:tcPr>
            <w:tcW w:w="6359" w:type="dxa"/>
            <w:noWrap/>
            <w:vAlign w:val="center"/>
          </w:tcPr>
          <w:p w14:paraId="54C28287">
            <w:pPr>
              <w:pStyle w:val="233"/>
              <w:keepNext w:val="0"/>
              <w:keepLines w:val="0"/>
              <w:pageBreakBefore w:val="0"/>
              <w:widowControl/>
              <w:suppressLineNumbers w:val="0"/>
              <w:spacing w:before="0" w:beforeAutospacing="0" w:after="0" w:afterAutospacing="0" w:line="320" w:lineRule="exact"/>
              <w:ind w:left="0" w:right="0" w:firstLine="0"/>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1.投标产品属于财政部、国家发展改革委公布的“节能产品品目清单”范围内的，投标人提供国家确定的认证机构出具的、处于有效期之内的该节能产品认证证书的，有1个得0.5分，最多得1分。如投标产品均属于政府强制采购节能产品品目清单范围内，本项不得分。</w:t>
            </w:r>
          </w:p>
          <w:p w14:paraId="666638C8">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zh-CN" w:eastAsia="zh-CN"/>
              </w:rPr>
              <w:t>2.投标产品属于财政部、生态环境部公布的“环境标志产品品目清单”范围内的，投标人提供国家确定的认证机构出具的、处于有效期内的该环保产品认证证书的，有1个得0.5分，最多得1分。</w:t>
            </w:r>
          </w:p>
        </w:tc>
      </w:tr>
    </w:tbl>
    <w:p w14:paraId="5730DF5D">
      <w:pPr>
        <w:keepNext w:val="0"/>
        <w:keepLines w:val="0"/>
        <w:pageBreakBefore w:val="0"/>
        <w:widowControl w:val="0"/>
        <w:tabs>
          <w:tab w:val="left" w:pos="900"/>
        </w:tabs>
        <w:spacing w:line="360" w:lineRule="exact"/>
        <w:ind w:firstLine="422"/>
        <w:rPr>
          <w:color w:val="auto"/>
          <w:highlight w:val="none"/>
        </w:rPr>
      </w:pPr>
      <w:r>
        <w:rPr>
          <w:rFonts w:hint="eastAsia" w:ascii="宋体" w:hAnsi="宋体" w:eastAsia="宋体" w:cs="宋体"/>
          <w:b/>
          <w:color w:val="auto"/>
          <w:sz w:val="21"/>
          <w:szCs w:val="21"/>
          <w:highlight w:val="none"/>
          <w:lang w:val="en-US" w:eastAsia="zh-CN"/>
        </w:rPr>
        <w:t>注：</w:t>
      </w:r>
      <w:r>
        <w:rPr>
          <w:rFonts w:hint="eastAsia" w:ascii="宋体" w:hAnsi="宋体" w:cs="宋体"/>
          <w:b/>
          <w:color w:val="auto"/>
          <w:sz w:val="21"/>
          <w:szCs w:val="21"/>
          <w:highlight w:val="none"/>
          <w:lang w:val="en-US" w:eastAsia="zh-CN"/>
        </w:rPr>
        <w:t>1.</w:t>
      </w:r>
      <w:r>
        <w:rPr>
          <w:rFonts w:hint="eastAsia" w:ascii="宋体" w:hAnsi="宋体" w:eastAsia="宋体" w:cs="宋体"/>
          <w:b/>
          <w:color w:val="auto"/>
          <w:sz w:val="21"/>
          <w:szCs w:val="21"/>
          <w:highlight w:val="none"/>
          <w:lang w:val="en-US" w:eastAsia="zh-CN"/>
        </w:rPr>
        <w:t>上述加分项中需提供相关证明材料的，在该项目</w:t>
      </w:r>
      <w:r>
        <w:rPr>
          <w:rFonts w:hint="eastAsia" w:ascii="宋体" w:hAnsi="宋体" w:cs="宋体"/>
          <w:b/>
          <w:color w:val="auto"/>
          <w:sz w:val="21"/>
          <w:szCs w:val="21"/>
          <w:highlight w:val="none"/>
          <w:lang w:val="en-US" w:eastAsia="zh-CN"/>
        </w:rPr>
        <w:t>中标</w:t>
      </w:r>
      <w:r>
        <w:rPr>
          <w:rFonts w:hint="eastAsia" w:ascii="宋体" w:hAnsi="宋体" w:eastAsia="宋体" w:cs="宋体"/>
          <w:b/>
          <w:color w:val="auto"/>
          <w:sz w:val="21"/>
          <w:szCs w:val="21"/>
          <w:highlight w:val="none"/>
          <w:lang w:val="en-US" w:eastAsia="zh-CN"/>
        </w:rPr>
        <w:t>后七个工作日内，向招标人提供原件核查。如不提供或提供的原件与投标时提供的证明材料不一致，或提供虚假项目业绩，将被视为在投标过程中提供虚假材料谋取中标成交，将被取消成交资格，且采购人有权依据政府采购的有关规定，报请政府采购监管部门对该供应商进行相应的行政处罚和记录该供应商的失信信息。</w:t>
      </w:r>
    </w:p>
    <w:p w14:paraId="6CB396F4">
      <w:pPr>
        <w:keepNext w:val="0"/>
        <w:keepLines w:val="0"/>
        <w:pageBreakBefore w:val="0"/>
        <w:widowControl w:val="0"/>
        <w:tabs>
          <w:tab w:val="left" w:pos="900"/>
        </w:tabs>
        <w:spacing w:line="360" w:lineRule="exact"/>
        <w:ind w:firstLine="422"/>
        <w:rPr>
          <w:rFonts w:hint="eastAsia" w:ascii="宋体" w:hAnsi="宋体" w:eastAsia="宋体" w:cs="宋体"/>
          <w:b/>
          <w:color w:val="auto"/>
          <w:sz w:val="21"/>
          <w:szCs w:val="21"/>
          <w:highlight w:val="none"/>
          <w:lang w:val="en-US" w:eastAsia="zh-CN"/>
        </w:rPr>
      </w:pPr>
      <w:r>
        <w:rPr>
          <w:rFonts w:hint="eastAsia" w:ascii="宋体" w:hAnsi="宋体" w:cs="宋体"/>
          <w:b/>
          <w:color w:val="auto"/>
          <w:sz w:val="21"/>
          <w:szCs w:val="21"/>
          <w:highlight w:val="none"/>
          <w:lang w:val="en-US" w:eastAsia="zh-CN"/>
        </w:rPr>
        <w:t>2.</w:t>
      </w:r>
      <w:r>
        <w:rPr>
          <w:rFonts w:hint="eastAsia" w:ascii="宋体" w:hAnsi="宋体" w:eastAsia="宋体" w:cs="宋体"/>
          <w:b/>
          <w:color w:val="auto"/>
          <w:sz w:val="21"/>
          <w:szCs w:val="21"/>
          <w:highlight w:val="none"/>
          <w:lang w:val="en-US" w:eastAsia="zh-CN"/>
        </w:rPr>
        <w:t>供应商需按照</w:t>
      </w:r>
      <w:r>
        <w:rPr>
          <w:rFonts w:hint="eastAsia" w:ascii="宋体" w:hAnsi="宋体" w:cs="宋体"/>
          <w:b/>
          <w:color w:val="auto"/>
          <w:sz w:val="21"/>
          <w:szCs w:val="21"/>
          <w:highlight w:val="none"/>
          <w:lang w:val="en-US" w:eastAsia="zh-CN"/>
        </w:rPr>
        <w:t>招标</w:t>
      </w:r>
      <w:r>
        <w:rPr>
          <w:rFonts w:hint="eastAsia" w:ascii="宋体" w:hAnsi="宋体" w:eastAsia="宋体" w:cs="宋体"/>
          <w:b/>
          <w:color w:val="auto"/>
          <w:sz w:val="21"/>
          <w:szCs w:val="21"/>
          <w:highlight w:val="none"/>
          <w:lang w:val="en-US" w:eastAsia="zh-CN"/>
        </w:rPr>
        <w:t>文件规定的演示内容进行功能演示（视频画面须清晰</w:t>
      </w:r>
      <w:r>
        <w:rPr>
          <w:rFonts w:hint="eastAsia" w:ascii="宋体" w:hAnsi="宋体" w:cs="宋体"/>
          <w:b/>
          <w:color w:val="auto"/>
          <w:sz w:val="21"/>
          <w:szCs w:val="21"/>
          <w:highlight w:val="none"/>
          <w:lang w:val="en-US" w:eastAsia="zh-CN"/>
        </w:rPr>
        <w:t>，如不清晰导致评委无法评审的，责任由投标人自负</w:t>
      </w:r>
      <w:r>
        <w:rPr>
          <w:rFonts w:hint="eastAsia" w:ascii="宋体" w:hAnsi="宋体" w:eastAsia="宋体" w:cs="宋体"/>
          <w:b/>
          <w:color w:val="auto"/>
          <w:sz w:val="21"/>
          <w:szCs w:val="21"/>
          <w:highlight w:val="none"/>
          <w:lang w:val="en-US" w:eastAsia="zh-CN"/>
        </w:rPr>
        <w:t>），视频文件的格式为*.mp4或*.avi，供应商须将视频文件分段压缩为*.zip文件上传（单个文件不得大于50M，所有文件总共不得大于300M）。文件上传方式见《苏采云供应商操作手册》规定，上传的演示视频将作为投标文件的组成部分，每个项目根据演示</w:t>
      </w:r>
      <w:r>
        <w:rPr>
          <w:rFonts w:hint="eastAsia" w:ascii="宋体" w:hAnsi="宋体" w:cs="宋体"/>
          <w:b/>
          <w:color w:val="auto"/>
          <w:sz w:val="21"/>
          <w:szCs w:val="21"/>
          <w:highlight w:val="none"/>
          <w:lang w:val="en-US" w:eastAsia="zh-CN"/>
        </w:rPr>
        <w:t>点</w:t>
      </w:r>
      <w:r>
        <w:rPr>
          <w:rFonts w:hint="eastAsia" w:ascii="宋体" w:hAnsi="宋体" w:eastAsia="宋体" w:cs="宋体"/>
          <w:b/>
          <w:color w:val="auto"/>
          <w:sz w:val="21"/>
          <w:szCs w:val="21"/>
          <w:highlight w:val="none"/>
          <w:lang w:val="en-US" w:eastAsia="zh-CN"/>
        </w:rPr>
        <w:t>进行评分。</w:t>
      </w:r>
    </w:p>
    <w:p w14:paraId="51D15E9C">
      <w:pPr>
        <w:pStyle w:val="36"/>
        <w:spacing w:beforeAutospacing="0" w:afterAutospacing="0" w:line="360" w:lineRule="auto"/>
        <w:ind w:firstLine="480"/>
        <w:jc w:val="both"/>
        <w:rPr>
          <w:rFonts w:ascii="宋体" w:hAnsi="宋体" w:eastAsia="宋体" w:cs="宋体"/>
          <w:color w:val="auto"/>
        </w:rPr>
      </w:pPr>
    </w:p>
    <w:p w14:paraId="6868BE62">
      <w:pPr>
        <w:pStyle w:val="36"/>
        <w:spacing w:beforeAutospacing="0" w:afterAutospacing="0" w:line="360" w:lineRule="auto"/>
        <w:ind w:firstLine="480"/>
        <w:jc w:val="both"/>
        <w:rPr>
          <w:rFonts w:ascii="宋体" w:hAnsi="宋体" w:eastAsia="宋体" w:cs="宋体"/>
          <w:color w:val="auto"/>
        </w:rPr>
      </w:pPr>
    </w:p>
    <w:p w14:paraId="42B2342C">
      <w:pPr>
        <w:pStyle w:val="36"/>
        <w:spacing w:beforeAutospacing="0" w:afterAutospacing="0" w:line="360" w:lineRule="auto"/>
        <w:ind w:firstLine="480"/>
        <w:jc w:val="both"/>
        <w:rPr>
          <w:rFonts w:ascii="宋体" w:hAnsi="宋体" w:eastAsia="宋体" w:cs="宋体"/>
          <w:color w:val="auto"/>
        </w:rPr>
      </w:pPr>
    </w:p>
    <w:p w14:paraId="3430A3BA">
      <w:pPr>
        <w:pStyle w:val="36"/>
        <w:spacing w:beforeAutospacing="0" w:afterAutospacing="0" w:line="360" w:lineRule="auto"/>
        <w:ind w:firstLine="480"/>
        <w:jc w:val="both"/>
        <w:rPr>
          <w:rFonts w:ascii="宋体" w:hAnsi="宋体" w:eastAsia="宋体" w:cs="宋体"/>
          <w:color w:val="auto"/>
        </w:rPr>
      </w:pPr>
    </w:p>
    <w:p w14:paraId="046A27EB">
      <w:pPr>
        <w:pStyle w:val="36"/>
        <w:spacing w:beforeAutospacing="0" w:afterAutospacing="0" w:line="360" w:lineRule="auto"/>
        <w:ind w:firstLine="480"/>
        <w:jc w:val="both"/>
        <w:rPr>
          <w:rFonts w:ascii="宋体" w:hAnsi="宋体" w:eastAsia="宋体" w:cs="宋体"/>
          <w:color w:val="auto"/>
        </w:rPr>
      </w:pPr>
    </w:p>
    <w:bookmarkEnd w:id="0"/>
    <w:bookmarkEnd w:id="40"/>
    <w:bookmarkEnd w:id="87"/>
    <w:bookmarkEnd w:id="88"/>
    <w:bookmarkEnd w:id="89"/>
    <w:bookmarkEnd w:id="90"/>
    <w:bookmarkEnd w:id="91"/>
    <w:bookmarkEnd w:id="92"/>
    <w:bookmarkEnd w:id="93"/>
    <w:bookmarkEnd w:id="94"/>
    <w:bookmarkEnd w:id="103"/>
    <w:bookmarkEnd w:id="104"/>
    <w:bookmarkEnd w:id="111"/>
    <w:bookmarkEnd w:id="158"/>
    <w:bookmarkEnd w:id="165"/>
    <w:p w14:paraId="7CBEBEE0">
      <w:pPr>
        <w:widowControl/>
        <w:pBdr>
          <w:top w:val="none" w:color="000000" w:sz="0" w:space="0"/>
          <w:left w:val="none" w:color="000000" w:sz="0" w:space="0"/>
          <w:bottom w:val="none" w:color="000000" w:sz="0" w:space="0"/>
          <w:right w:val="none" w:color="000000" w:sz="0" w:space="0"/>
        </w:pBdr>
        <w:jc w:val="center"/>
        <w:outlineLvl w:val="0"/>
        <w:rPr>
          <w:rFonts w:ascii="微软雅黑" w:eastAsia="微软雅黑" w:cs="宋体" w:hAnsiTheme="minorEastAsia"/>
          <w:color w:val="auto"/>
          <w:sz w:val="44"/>
          <w:szCs w:val="44"/>
        </w:rPr>
      </w:pPr>
      <w:r>
        <w:rPr>
          <w:rFonts w:hint="eastAsia" w:ascii="黑体" w:hAnsi="黑体" w:eastAsia="黑体" w:cs="黑体"/>
          <w:color w:val="auto"/>
          <w:sz w:val="44"/>
          <w:szCs w:val="44"/>
        </w:rPr>
        <w:t>第六章投标文件格式</w:t>
      </w:r>
    </w:p>
    <w:p w14:paraId="15C126BF">
      <w:pPr>
        <w:widowControl/>
        <w:rPr>
          <w:rFonts w:cs="Times New Roman" w:asciiTheme="minorEastAsia" w:hAnsiTheme="minorEastAsia"/>
          <w:b/>
          <w:color w:val="auto"/>
          <w:sz w:val="72"/>
          <w:szCs w:val="72"/>
        </w:rPr>
      </w:pPr>
    </w:p>
    <w:p w14:paraId="2D0E02E1">
      <w:pPr>
        <w:widowControl/>
        <w:rPr>
          <w:rFonts w:cs="Times New Roman" w:asciiTheme="minorEastAsia" w:hAnsiTheme="minorEastAsia"/>
          <w:b/>
          <w:color w:val="auto"/>
          <w:sz w:val="72"/>
          <w:szCs w:val="72"/>
        </w:rPr>
      </w:pPr>
    </w:p>
    <w:p w14:paraId="46519254">
      <w:pPr>
        <w:pStyle w:val="17"/>
        <w:rPr>
          <w:color w:val="auto"/>
        </w:rPr>
      </w:pPr>
    </w:p>
    <w:p w14:paraId="261EC6F5">
      <w:pPr>
        <w:widowControl/>
        <w:jc w:val="center"/>
        <w:rPr>
          <w:rFonts w:asciiTheme="minorEastAsia" w:hAnsiTheme="minorEastAsia" w:cstheme="minorEastAsia"/>
          <w:b/>
          <w:color w:val="auto"/>
          <w:sz w:val="84"/>
          <w:szCs w:val="84"/>
        </w:rPr>
      </w:pPr>
      <w:r>
        <w:rPr>
          <w:rFonts w:hint="eastAsia" w:asciiTheme="minorEastAsia" w:hAnsiTheme="minorEastAsia" w:cstheme="minorEastAsia"/>
          <w:b/>
          <w:color w:val="auto"/>
          <w:sz w:val="84"/>
          <w:szCs w:val="84"/>
        </w:rPr>
        <w:t>投标文件</w:t>
      </w:r>
    </w:p>
    <w:p w14:paraId="5E17FE12">
      <w:pPr>
        <w:widowControl/>
        <w:rPr>
          <w:rFonts w:cs="Times New Roman" w:asciiTheme="minorEastAsia" w:hAnsiTheme="minorEastAsia"/>
          <w:color w:val="auto"/>
          <w:sz w:val="24"/>
        </w:rPr>
      </w:pPr>
    </w:p>
    <w:p w14:paraId="5BF2BE8B">
      <w:pPr>
        <w:widowControl/>
        <w:rPr>
          <w:rFonts w:cs="Times New Roman" w:asciiTheme="minorEastAsia" w:hAnsiTheme="minorEastAsia"/>
          <w:color w:val="auto"/>
          <w:sz w:val="24"/>
        </w:rPr>
      </w:pPr>
    </w:p>
    <w:p w14:paraId="4B72B92E">
      <w:pPr>
        <w:widowControl/>
        <w:rPr>
          <w:rFonts w:cs="Times New Roman" w:asciiTheme="minorEastAsia" w:hAnsiTheme="minorEastAsia"/>
          <w:color w:val="auto"/>
          <w:sz w:val="24"/>
        </w:rPr>
      </w:pPr>
    </w:p>
    <w:p w14:paraId="39B9BAD1">
      <w:pPr>
        <w:widowControl/>
        <w:rPr>
          <w:rFonts w:cs="Times New Roman" w:asciiTheme="minorEastAsia" w:hAnsiTheme="minorEastAsia"/>
          <w:color w:val="auto"/>
          <w:sz w:val="24"/>
        </w:rPr>
      </w:pPr>
    </w:p>
    <w:p w14:paraId="5364569E">
      <w:pPr>
        <w:pStyle w:val="17"/>
        <w:rPr>
          <w:rFonts w:asciiTheme="minorEastAsia" w:hAnsiTheme="minorEastAsia"/>
          <w:color w:val="auto"/>
          <w:sz w:val="24"/>
        </w:rPr>
      </w:pPr>
    </w:p>
    <w:p w14:paraId="7D8C1618">
      <w:pPr>
        <w:rPr>
          <w:color w:val="auto"/>
        </w:rPr>
      </w:pPr>
    </w:p>
    <w:p w14:paraId="6B026E7F">
      <w:pPr>
        <w:pStyle w:val="17"/>
        <w:rPr>
          <w:rFonts w:asciiTheme="minorEastAsia" w:hAnsiTheme="minorEastAsia"/>
          <w:color w:val="auto"/>
          <w:sz w:val="24"/>
        </w:rPr>
      </w:pPr>
    </w:p>
    <w:p w14:paraId="2844CB9E">
      <w:pPr>
        <w:pStyle w:val="17"/>
        <w:rPr>
          <w:color w:val="auto"/>
        </w:rPr>
      </w:pPr>
    </w:p>
    <w:p w14:paraId="4ABFBCA0">
      <w:pPr>
        <w:widowControl/>
        <w:rPr>
          <w:rFonts w:cs="Times New Roman" w:asciiTheme="minorEastAsia" w:hAnsiTheme="minorEastAsia"/>
          <w:color w:val="auto"/>
          <w:sz w:val="24"/>
        </w:rPr>
      </w:pPr>
    </w:p>
    <w:p w14:paraId="6173DA25">
      <w:pPr>
        <w:widowControl/>
        <w:spacing w:line="360" w:lineRule="auto"/>
        <w:ind w:firstLine="1134"/>
        <w:rPr>
          <w:rFonts w:hint="eastAsia" w:eastAsia="宋体" w:asciiTheme="minorEastAsia" w:hAnsiTheme="minorEastAsia" w:cstheme="minorEastAsia"/>
          <w:b/>
          <w:color w:val="auto"/>
          <w:spacing w:val="46"/>
          <w:sz w:val="24"/>
          <w:u w:val="single"/>
          <w:lang w:eastAsia="zh-CN"/>
        </w:rPr>
      </w:pPr>
      <w:r>
        <w:rPr>
          <w:rFonts w:hint="eastAsia" w:asciiTheme="minorEastAsia" w:hAnsiTheme="minorEastAsia" w:cstheme="minorEastAsia"/>
          <w:b/>
          <w:color w:val="auto"/>
          <w:spacing w:val="46"/>
          <w:sz w:val="36"/>
          <w:szCs w:val="36"/>
        </w:rPr>
        <w:t>项目名称：</w:t>
      </w:r>
    </w:p>
    <w:p w14:paraId="1280D3C5">
      <w:pPr>
        <w:widowControl/>
        <w:spacing w:line="360" w:lineRule="auto"/>
        <w:ind w:firstLine="1134"/>
        <w:rPr>
          <w:rFonts w:hint="eastAsia" w:eastAsia="宋体" w:asciiTheme="minorEastAsia" w:hAnsiTheme="minorEastAsia" w:cstheme="minorEastAsia"/>
          <w:b/>
          <w:color w:val="auto"/>
          <w:spacing w:val="46"/>
          <w:sz w:val="24"/>
          <w:u w:val="single"/>
          <w:lang w:eastAsia="zh-CN"/>
        </w:rPr>
      </w:pPr>
      <w:r>
        <w:rPr>
          <w:rFonts w:hint="eastAsia" w:asciiTheme="minorEastAsia" w:hAnsiTheme="minorEastAsia" w:cstheme="minorEastAsia"/>
          <w:b/>
          <w:color w:val="auto"/>
          <w:spacing w:val="46"/>
          <w:sz w:val="36"/>
          <w:szCs w:val="36"/>
        </w:rPr>
        <w:t>项目编号：</w:t>
      </w:r>
    </w:p>
    <w:p w14:paraId="7BF69026">
      <w:pPr>
        <w:widowControl/>
        <w:spacing w:line="360" w:lineRule="auto"/>
        <w:ind w:firstLine="1134"/>
        <w:outlineLvl w:val="1"/>
        <w:rPr>
          <w:rFonts w:hint="eastAsia" w:eastAsia="宋体" w:asciiTheme="minorEastAsia" w:hAnsiTheme="minorEastAsia" w:cstheme="minorEastAsia"/>
          <w:b/>
          <w:color w:val="auto"/>
          <w:sz w:val="24"/>
          <w:lang w:eastAsia="zh-CN"/>
        </w:rPr>
      </w:pPr>
      <w:r>
        <w:rPr>
          <w:rFonts w:hint="eastAsia" w:asciiTheme="minorEastAsia" w:hAnsiTheme="minorEastAsia" w:cstheme="minorEastAsia"/>
          <w:b/>
          <w:color w:val="auto"/>
          <w:sz w:val="36"/>
          <w:szCs w:val="36"/>
        </w:rPr>
        <w:t>投标人名称：</w:t>
      </w:r>
      <w:r>
        <w:rPr>
          <w:rFonts w:hint="eastAsia" w:asciiTheme="minorEastAsia" w:hAnsiTheme="minorEastAsia" w:cstheme="minorEastAsia"/>
          <w:b/>
          <w:color w:val="auto"/>
          <w:sz w:val="36"/>
          <w:szCs w:val="36"/>
          <w:u w:val="single"/>
        </w:rPr>
        <w:t>（加盖CA电子公章）</w:t>
      </w:r>
    </w:p>
    <w:p w14:paraId="448D7400">
      <w:pPr>
        <w:widowControl/>
        <w:spacing w:line="360" w:lineRule="auto"/>
        <w:ind w:firstLine="1134"/>
        <w:rPr>
          <w:rFonts w:hint="eastAsia" w:ascii="黑体" w:hAnsi="黑体" w:eastAsia="宋体" w:cs="Times New Roman"/>
          <w:bCs/>
          <w:color w:val="auto"/>
          <w:sz w:val="24"/>
          <w:u w:val="single"/>
          <w:lang w:eastAsia="zh-CN"/>
        </w:rPr>
      </w:pPr>
      <w:r>
        <w:rPr>
          <w:rFonts w:hint="eastAsia" w:asciiTheme="minorEastAsia" w:hAnsiTheme="minorEastAsia" w:cstheme="minorEastAsia"/>
          <w:b/>
          <w:color w:val="auto"/>
          <w:sz w:val="36"/>
          <w:szCs w:val="36"/>
        </w:rPr>
        <w:t>日期：</w:t>
      </w:r>
    </w:p>
    <w:p w14:paraId="182CEBFB">
      <w:pPr>
        <w:widowControl/>
        <w:jc w:val="left"/>
        <w:rPr>
          <w:rFonts w:cs="Times New Roman" w:asciiTheme="minorEastAsia" w:hAnsiTheme="minorEastAsia"/>
          <w:b/>
          <w:bCs/>
          <w:color w:val="auto"/>
          <w:sz w:val="36"/>
          <w:szCs w:val="36"/>
        </w:rPr>
      </w:pPr>
      <w:r>
        <w:rPr>
          <w:rFonts w:cs="Times New Roman" w:asciiTheme="minorEastAsia" w:hAnsiTheme="minorEastAsia"/>
          <w:b/>
          <w:bCs/>
          <w:color w:val="auto"/>
          <w:sz w:val="36"/>
          <w:szCs w:val="36"/>
        </w:rPr>
        <w:br w:type="page" w:clear="all"/>
      </w:r>
    </w:p>
    <w:p w14:paraId="42A1733F">
      <w:pPr>
        <w:widowControl/>
        <w:spacing w:before="120"/>
        <w:jc w:val="center"/>
        <w:rPr>
          <w:rFonts w:asciiTheme="minorEastAsia" w:hAnsiTheme="minorEastAsia" w:cstheme="minorEastAsia"/>
          <w:b/>
          <w:bCs/>
          <w:color w:val="auto"/>
          <w:sz w:val="32"/>
          <w:szCs w:val="32"/>
        </w:rPr>
      </w:pPr>
      <w:r>
        <w:rPr>
          <w:rFonts w:hint="eastAsia" w:asciiTheme="minorEastAsia" w:hAnsiTheme="minorEastAsia" w:cstheme="minorEastAsia"/>
          <w:b/>
          <w:bCs/>
          <w:color w:val="auto"/>
          <w:sz w:val="32"/>
          <w:szCs w:val="32"/>
        </w:rPr>
        <w:t>投标文件目录</w:t>
      </w:r>
    </w:p>
    <w:p w14:paraId="2BF6EEDE">
      <w:pPr>
        <w:widowControl/>
        <w:spacing w:line="560" w:lineRule="exact"/>
        <w:ind w:firstLine="561"/>
        <w:outlineLvl w:val="1"/>
        <w:rPr>
          <w:rFonts w:asciiTheme="minorEastAsia" w:hAnsiTheme="minorEastAsia" w:cstheme="minorEastAsia"/>
          <w:color w:val="auto"/>
          <w:sz w:val="24"/>
        </w:rPr>
      </w:pPr>
      <w:r>
        <w:rPr>
          <w:rFonts w:hint="eastAsia" w:asciiTheme="minorEastAsia" w:hAnsiTheme="minorEastAsia" w:cstheme="minorEastAsia"/>
          <w:color w:val="auto"/>
          <w:sz w:val="24"/>
        </w:rPr>
        <w:t>一、法人或者其他组织的营业执照等证明文件，自然人的身份证明</w:t>
      </w:r>
    </w:p>
    <w:p w14:paraId="316D381D">
      <w:pPr>
        <w:widowControl/>
        <w:spacing w:line="560" w:lineRule="exact"/>
        <w:ind w:firstLine="561"/>
        <w:rPr>
          <w:rFonts w:asciiTheme="minorEastAsia" w:hAnsiTheme="minorEastAsia" w:cstheme="minorEastAsia"/>
          <w:color w:val="auto"/>
          <w:sz w:val="24"/>
        </w:rPr>
      </w:pPr>
      <w:r>
        <w:rPr>
          <w:rFonts w:hint="eastAsia" w:asciiTheme="minorEastAsia" w:hAnsiTheme="minorEastAsia" w:cstheme="minorEastAsia"/>
          <w:color w:val="auto"/>
          <w:sz w:val="24"/>
        </w:rPr>
        <w:t>二、上一年度的财务状况报</w:t>
      </w:r>
      <w:r>
        <w:rPr>
          <w:rFonts w:hint="eastAsia" w:eastAsia="宋体" w:asciiTheme="minorEastAsia" w:hAnsiTheme="minorEastAsia" w:cstheme="minorEastAsia"/>
          <w:color w:val="auto"/>
          <w:sz w:val="24"/>
          <w:lang w:val="en-US" w:eastAsia="zh-CN"/>
        </w:rPr>
        <w:t>表</w:t>
      </w:r>
      <w:r>
        <w:rPr>
          <w:rFonts w:hint="eastAsia" w:asciiTheme="minorEastAsia" w:hAnsiTheme="minorEastAsia" w:cstheme="minorEastAsia"/>
          <w:color w:val="auto"/>
          <w:sz w:val="24"/>
        </w:rPr>
        <w:t>（至少提供资产负债表、利润表、现金流量表，投标人成立不满一年无需提供）</w:t>
      </w:r>
    </w:p>
    <w:p w14:paraId="33DE4159">
      <w:pPr>
        <w:widowControl/>
        <w:spacing w:line="560" w:lineRule="exact"/>
        <w:ind w:firstLine="561"/>
        <w:outlineLvl w:val="1"/>
        <w:rPr>
          <w:rFonts w:asciiTheme="minorEastAsia" w:hAnsiTheme="minorEastAsia" w:cstheme="minorEastAsia"/>
          <w:color w:val="auto"/>
          <w:sz w:val="24"/>
        </w:rPr>
      </w:pPr>
      <w:r>
        <w:rPr>
          <w:rFonts w:hint="eastAsia" w:asciiTheme="minorEastAsia" w:hAnsiTheme="minorEastAsia" w:cstheme="minorEastAsia"/>
          <w:color w:val="auto"/>
          <w:sz w:val="24"/>
        </w:rPr>
        <w:t>三、具备履行合同所必需的设备和专业技术能力的书面声明</w:t>
      </w:r>
    </w:p>
    <w:p w14:paraId="61921C3E">
      <w:pPr>
        <w:widowControl/>
        <w:spacing w:line="560" w:lineRule="exact"/>
        <w:ind w:firstLine="561"/>
        <w:rPr>
          <w:rFonts w:asciiTheme="minorEastAsia" w:hAnsiTheme="minorEastAsia" w:cstheme="minorEastAsia"/>
          <w:color w:val="auto"/>
          <w:sz w:val="24"/>
        </w:rPr>
      </w:pPr>
      <w:r>
        <w:rPr>
          <w:rFonts w:hint="eastAsia" w:asciiTheme="minorEastAsia" w:hAnsiTheme="minorEastAsia" w:cstheme="minorEastAsia"/>
          <w:color w:val="auto"/>
          <w:sz w:val="24"/>
        </w:rPr>
        <w:t>四、依法缴纳税收和社会保障资金的相关材料（提交投标文件截止时间前一年内至少一个月依法缴纳税收及缴纳社会保障资金的证明材料。投标人依法享受缓缴、免缴税收、社会保障资金的提供证明材料）</w:t>
      </w:r>
    </w:p>
    <w:p w14:paraId="7B0E17D5">
      <w:pPr>
        <w:widowControl/>
        <w:spacing w:line="560" w:lineRule="exact"/>
        <w:ind w:firstLine="561"/>
        <w:rPr>
          <w:rFonts w:asciiTheme="minorEastAsia" w:hAnsiTheme="minorEastAsia" w:cstheme="minorEastAsia"/>
          <w:color w:val="auto"/>
          <w:sz w:val="24"/>
        </w:rPr>
      </w:pPr>
      <w:r>
        <w:rPr>
          <w:rFonts w:hint="eastAsia" w:asciiTheme="minorEastAsia" w:hAnsiTheme="minorEastAsia" w:cstheme="minorEastAsia"/>
          <w:color w:val="auto"/>
          <w:sz w:val="24"/>
        </w:rPr>
        <w:t>五、参加政府采购活动前3年内在经营活动中没有重大违法记录的书面声明</w:t>
      </w:r>
    </w:p>
    <w:p w14:paraId="66F705E8">
      <w:pPr>
        <w:widowControl/>
        <w:spacing w:line="560" w:lineRule="exact"/>
        <w:ind w:firstLine="561"/>
        <w:rPr>
          <w:rFonts w:asciiTheme="minorEastAsia" w:hAnsiTheme="minorEastAsia" w:cstheme="minorEastAsia"/>
          <w:color w:val="auto"/>
          <w:sz w:val="24"/>
        </w:rPr>
      </w:pPr>
      <w:r>
        <w:rPr>
          <w:rFonts w:hint="eastAsia" w:asciiTheme="minorEastAsia" w:hAnsiTheme="minorEastAsia" w:cstheme="minorEastAsia"/>
          <w:color w:val="auto"/>
          <w:sz w:val="24"/>
        </w:rPr>
        <w:t>六、特定资格要求的证明文件（如果本项目设置特定资格要求，则需要提供）</w:t>
      </w:r>
    </w:p>
    <w:p w14:paraId="27D41330">
      <w:pPr>
        <w:widowControl/>
        <w:spacing w:line="560" w:lineRule="exact"/>
        <w:ind w:firstLine="561"/>
        <w:rPr>
          <w:rFonts w:asciiTheme="minorEastAsia" w:hAnsiTheme="minorEastAsia" w:cstheme="minorEastAsia"/>
          <w:color w:val="auto"/>
          <w:sz w:val="24"/>
        </w:rPr>
      </w:pPr>
      <w:r>
        <w:rPr>
          <w:rFonts w:hint="eastAsia" w:asciiTheme="minorEastAsia" w:hAnsiTheme="minorEastAsia" w:cstheme="minorEastAsia"/>
          <w:color w:val="auto"/>
          <w:sz w:val="24"/>
        </w:rPr>
        <w:t>七、法人授权书</w:t>
      </w:r>
    </w:p>
    <w:p w14:paraId="6AC1CB45">
      <w:pPr>
        <w:widowControl/>
        <w:spacing w:line="560" w:lineRule="exact"/>
        <w:ind w:firstLine="561"/>
        <w:rPr>
          <w:rFonts w:asciiTheme="minorEastAsia" w:hAnsiTheme="minorEastAsia" w:cstheme="minorEastAsia"/>
          <w:color w:val="auto"/>
          <w:sz w:val="24"/>
        </w:rPr>
      </w:pPr>
      <w:r>
        <w:rPr>
          <w:rFonts w:hint="eastAsia" w:asciiTheme="minorEastAsia" w:hAnsiTheme="minorEastAsia" w:cstheme="minorEastAsia"/>
          <w:color w:val="auto"/>
          <w:sz w:val="24"/>
        </w:rPr>
        <w:t>八、投标函</w:t>
      </w:r>
    </w:p>
    <w:p w14:paraId="489028E9">
      <w:pPr>
        <w:widowControl/>
        <w:spacing w:line="560" w:lineRule="exact"/>
        <w:ind w:firstLine="561"/>
        <w:rPr>
          <w:rFonts w:asciiTheme="minorEastAsia" w:hAnsiTheme="minorEastAsia" w:cstheme="minorEastAsia"/>
          <w:color w:val="auto"/>
          <w:sz w:val="24"/>
        </w:rPr>
      </w:pPr>
      <w:r>
        <w:rPr>
          <w:rFonts w:hint="eastAsia" w:asciiTheme="minorEastAsia" w:hAnsiTheme="minorEastAsia" w:cstheme="minorEastAsia"/>
          <w:color w:val="auto"/>
          <w:sz w:val="24"/>
        </w:rPr>
        <w:t>九、中小企业声明函</w:t>
      </w:r>
    </w:p>
    <w:p w14:paraId="5B91BDCC">
      <w:pPr>
        <w:widowControl/>
        <w:spacing w:line="560" w:lineRule="exact"/>
        <w:ind w:firstLine="561"/>
        <w:rPr>
          <w:rFonts w:asciiTheme="minorEastAsia" w:hAnsiTheme="minorEastAsia" w:cstheme="minorEastAsia"/>
          <w:color w:val="auto"/>
          <w:sz w:val="24"/>
        </w:rPr>
      </w:pPr>
      <w:r>
        <w:rPr>
          <w:rFonts w:hint="eastAsia" w:asciiTheme="minorEastAsia" w:hAnsiTheme="minorEastAsia" w:cstheme="minorEastAsia"/>
          <w:color w:val="auto"/>
          <w:sz w:val="24"/>
        </w:rPr>
        <w:t>十、残疾人福利性单位声明函</w:t>
      </w:r>
    </w:p>
    <w:p w14:paraId="54AD55E3">
      <w:pPr>
        <w:widowControl/>
        <w:spacing w:line="560" w:lineRule="exact"/>
        <w:ind w:firstLine="561"/>
        <w:rPr>
          <w:rFonts w:asciiTheme="minorEastAsia" w:hAnsiTheme="minorEastAsia" w:cstheme="minorEastAsia"/>
          <w:color w:val="auto"/>
          <w:sz w:val="24"/>
        </w:rPr>
      </w:pPr>
      <w:r>
        <w:rPr>
          <w:rFonts w:hint="eastAsia" w:asciiTheme="minorEastAsia" w:hAnsiTheme="minorEastAsia" w:cstheme="minorEastAsia"/>
          <w:color w:val="auto"/>
          <w:sz w:val="24"/>
        </w:rPr>
        <w:t>十一、关于符合本国产品标准的声明函</w:t>
      </w:r>
    </w:p>
    <w:p w14:paraId="0785F053">
      <w:pPr>
        <w:widowControl/>
        <w:spacing w:line="560" w:lineRule="exact"/>
        <w:ind w:firstLine="561"/>
        <w:rPr>
          <w:rFonts w:asciiTheme="minorEastAsia" w:hAnsiTheme="minorEastAsia" w:cstheme="minorEastAsia"/>
          <w:color w:val="auto"/>
          <w:sz w:val="24"/>
        </w:rPr>
      </w:pPr>
      <w:r>
        <w:rPr>
          <w:rFonts w:hint="eastAsia" w:asciiTheme="minorEastAsia" w:hAnsiTheme="minorEastAsia" w:cstheme="minorEastAsia"/>
          <w:color w:val="auto"/>
          <w:sz w:val="24"/>
        </w:rPr>
        <w:t>十二、投标分项报价表</w:t>
      </w:r>
    </w:p>
    <w:p w14:paraId="3C88E662">
      <w:pPr>
        <w:widowControl/>
        <w:spacing w:line="560" w:lineRule="exact"/>
        <w:ind w:firstLine="561"/>
        <w:rPr>
          <w:rFonts w:asciiTheme="minorEastAsia" w:hAnsiTheme="minorEastAsia" w:cstheme="minorEastAsia"/>
          <w:color w:val="auto"/>
          <w:sz w:val="24"/>
        </w:rPr>
      </w:pPr>
      <w:r>
        <w:rPr>
          <w:rFonts w:hint="eastAsia" w:asciiTheme="minorEastAsia" w:hAnsiTheme="minorEastAsia" w:cstheme="minorEastAsia"/>
          <w:color w:val="auto"/>
          <w:sz w:val="24"/>
        </w:rPr>
        <w:t>十三、技术要求响应及偏离表</w:t>
      </w:r>
    </w:p>
    <w:p w14:paraId="5D10FBE0">
      <w:pPr>
        <w:widowControl/>
        <w:spacing w:line="560" w:lineRule="exact"/>
        <w:ind w:firstLine="561"/>
        <w:rPr>
          <w:rFonts w:asciiTheme="minorEastAsia" w:hAnsiTheme="minorEastAsia" w:cstheme="minorEastAsia"/>
          <w:color w:val="auto"/>
          <w:sz w:val="24"/>
        </w:rPr>
      </w:pPr>
      <w:r>
        <w:rPr>
          <w:rFonts w:hint="eastAsia" w:asciiTheme="minorEastAsia" w:hAnsiTheme="minorEastAsia" w:cstheme="minorEastAsia"/>
          <w:color w:val="auto"/>
          <w:sz w:val="24"/>
        </w:rPr>
        <w:t>十四、商务要求响应及偏离表</w:t>
      </w:r>
    </w:p>
    <w:p w14:paraId="7D893378">
      <w:pPr>
        <w:widowControl/>
        <w:spacing w:line="560" w:lineRule="exact"/>
        <w:ind w:firstLine="561"/>
        <w:rPr>
          <w:rFonts w:asciiTheme="minorEastAsia" w:hAnsiTheme="minorEastAsia" w:cstheme="minorEastAsia"/>
          <w:color w:val="auto"/>
          <w:sz w:val="24"/>
        </w:rPr>
      </w:pPr>
      <w:r>
        <w:rPr>
          <w:rFonts w:hint="eastAsia" w:asciiTheme="minorEastAsia" w:hAnsiTheme="minorEastAsia" w:cstheme="minorEastAsia"/>
          <w:color w:val="auto"/>
          <w:sz w:val="24"/>
        </w:rPr>
        <w:t>十五、开标一览表</w:t>
      </w:r>
    </w:p>
    <w:p w14:paraId="01694CB2">
      <w:pPr>
        <w:widowControl/>
        <w:spacing w:line="560" w:lineRule="exact"/>
        <w:ind w:firstLine="561"/>
        <w:rPr>
          <w:rFonts w:asciiTheme="minorEastAsia" w:hAnsiTheme="minorEastAsia" w:cstheme="minorEastAsia"/>
          <w:color w:val="auto"/>
          <w:sz w:val="24"/>
        </w:rPr>
      </w:pPr>
      <w:r>
        <w:rPr>
          <w:rFonts w:hint="eastAsia" w:asciiTheme="minorEastAsia" w:hAnsiTheme="minorEastAsia" w:cstheme="minorEastAsia"/>
          <w:color w:val="auto"/>
          <w:sz w:val="24"/>
        </w:rPr>
        <w:t>十六、</w:t>
      </w:r>
      <w:r>
        <w:rPr>
          <w:rFonts w:hint="eastAsia" w:ascii="宋体" w:hAnsi="宋体" w:eastAsia="宋体" w:cs="宋体"/>
          <w:color w:val="auto"/>
          <w:sz w:val="24"/>
        </w:rPr>
        <w:t>技术方案、服务承诺、培训承诺等</w:t>
      </w:r>
    </w:p>
    <w:p w14:paraId="09DA3741">
      <w:pPr>
        <w:widowControl/>
        <w:spacing w:line="560" w:lineRule="exact"/>
        <w:ind w:firstLine="561"/>
        <w:rPr>
          <w:rFonts w:asciiTheme="minorEastAsia" w:hAnsiTheme="minorEastAsia" w:cstheme="minorEastAsia"/>
          <w:color w:val="auto"/>
          <w:sz w:val="24"/>
        </w:rPr>
      </w:pPr>
      <w:r>
        <w:rPr>
          <w:rFonts w:hint="eastAsia" w:asciiTheme="minorEastAsia" w:hAnsiTheme="minorEastAsia" w:cstheme="minorEastAsia"/>
          <w:color w:val="auto"/>
          <w:sz w:val="24"/>
        </w:rPr>
        <w:t>十七、盐城市政府</w:t>
      </w:r>
      <w:r>
        <w:rPr>
          <w:rFonts w:hint="eastAsia" w:ascii="宋体" w:hAnsi="宋体" w:eastAsia="宋体" w:cs="宋体"/>
          <w:color w:val="auto"/>
          <w:sz w:val="24"/>
        </w:rPr>
        <w:t>采购</w:t>
      </w:r>
      <w:r>
        <w:rPr>
          <w:rFonts w:hint="eastAsia" w:asciiTheme="minorEastAsia" w:hAnsiTheme="minorEastAsia" w:cstheme="minorEastAsia"/>
          <w:color w:val="auto"/>
          <w:sz w:val="24"/>
        </w:rPr>
        <w:t>事前信用承诺书</w:t>
      </w:r>
    </w:p>
    <w:p w14:paraId="71AD96E4">
      <w:pPr>
        <w:rPr>
          <w:rFonts w:asciiTheme="minorEastAsia" w:hAnsiTheme="minorEastAsia" w:cstheme="minorEastAsia"/>
          <w:color w:val="auto"/>
          <w:sz w:val="24"/>
        </w:rPr>
      </w:pPr>
      <w:r>
        <w:rPr>
          <w:rFonts w:hint="eastAsia" w:asciiTheme="minorEastAsia" w:hAnsiTheme="minorEastAsia" w:cstheme="minorEastAsia"/>
          <w:color w:val="auto"/>
          <w:sz w:val="24"/>
        </w:rPr>
        <w:br w:type="page" w:clear="all"/>
      </w:r>
    </w:p>
    <w:p w14:paraId="24A1FCD1">
      <w:pPr>
        <w:pStyle w:val="234"/>
        <w:spacing w:beforeAutospacing="0" w:afterAutospacing="0" w:line="400" w:lineRule="exact"/>
        <w:jc w:val="center"/>
        <w:outlineLvl w:val="1"/>
        <w:rPr>
          <w:rFonts w:ascii="黑体" w:hAnsi="黑体" w:eastAsia="黑体" w:cs="黑体"/>
          <w:i/>
          <w:color w:val="auto"/>
          <w:sz w:val="32"/>
          <w:szCs w:val="32"/>
          <w:u w:val="single"/>
        </w:rPr>
      </w:pPr>
      <w:r>
        <w:rPr>
          <w:rFonts w:hint="eastAsia" w:ascii="黑体" w:hAnsi="黑体" w:eastAsia="黑体" w:cs="黑体"/>
          <w:i/>
          <w:color w:val="auto"/>
          <w:sz w:val="32"/>
          <w:szCs w:val="32"/>
          <w:u w:val="single"/>
        </w:rPr>
        <w:t>一、法人或者其他组织的营业执照等证明文件，自然人的身份证明</w:t>
      </w:r>
    </w:p>
    <w:p w14:paraId="5EA88313">
      <w:pPr>
        <w:widowControl/>
        <w:spacing w:before="120"/>
        <w:rPr>
          <w:rFonts w:asciiTheme="minorEastAsia" w:hAnsiTheme="minorEastAsia" w:cstheme="minorEastAsia"/>
          <w:b/>
          <w:bCs/>
          <w:color w:val="auto"/>
          <w:sz w:val="32"/>
          <w:szCs w:val="32"/>
        </w:rPr>
      </w:pPr>
    </w:p>
    <w:p w14:paraId="179C374D">
      <w:pPr>
        <w:widowControl/>
        <w:jc w:val="left"/>
        <w:rPr>
          <w:rFonts w:ascii="微软雅黑" w:hAnsi="宋体" w:eastAsia="微软雅黑" w:cs="黑体"/>
          <w:iCs/>
          <w:color w:val="auto"/>
          <w:sz w:val="30"/>
          <w:szCs w:val="30"/>
        </w:rPr>
      </w:pPr>
      <w:r>
        <w:rPr>
          <w:rFonts w:ascii="微软雅黑" w:hAnsi="宋体" w:eastAsia="微软雅黑" w:cs="黑体"/>
          <w:iCs/>
          <w:color w:val="auto"/>
          <w:sz w:val="30"/>
          <w:szCs w:val="30"/>
        </w:rPr>
        <w:br w:type="page" w:clear="all"/>
      </w:r>
    </w:p>
    <w:p w14:paraId="12E2232D">
      <w:pPr>
        <w:widowControl/>
        <w:spacing w:before="120" w:line="360" w:lineRule="auto"/>
        <w:jc w:val="center"/>
        <w:rPr>
          <w:rFonts w:ascii="黑体" w:hAnsi="黑体" w:eastAsia="黑体" w:cs="黑体"/>
          <w:i/>
          <w:color w:val="auto"/>
          <w:sz w:val="32"/>
          <w:szCs w:val="32"/>
          <w:u w:val="single"/>
        </w:rPr>
      </w:pPr>
      <w:r>
        <w:rPr>
          <w:rFonts w:hint="eastAsia" w:ascii="黑体" w:hAnsi="黑体" w:eastAsia="黑体" w:cs="黑体"/>
          <w:i/>
          <w:color w:val="auto"/>
          <w:sz w:val="32"/>
          <w:szCs w:val="32"/>
          <w:u w:val="single"/>
        </w:rPr>
        <w:t>二、上一年度的财务状况报告</w:t>
      </w:r>
    </w:p>
    <w:p w14:paraId="3577EDE3">
      <w:pPr>
        <w:widowControl/>
        <w:tabs>
          <w:tab w:val="left" w:pos="1331"/>
        </w:tabs>
        <w:spacing w:line="360" w:lineRule="auto"/>
        <w:jc w:val="center"/>
        <w:rPr>
          <w:rFonts w:ascii="宋体" w:hAnsi="宋体" w:eastAsia="宋体" w:cs="宋体"/>
          <w:iCs/>
          <w:color w:val="auto"/>
          <w:sz w:val="24"/>
        </w:rPr>
      </w:pPr>
      <w:r>
        <w:rPr>
          <w:rFonts w:hint="eastAsia" w:ascii="宋体" w:hAnsi="宋体" w:eastAsia="宋体" w:cs="宋体"/>
          <w:iCs/>
          <w:color w:val="auto"/>
          <w:sz w:val="24"/>
        </w:rPr>
        <w:t>（至少提供资产负债表、利润表、现金流量表，投标人成立不满一年无需提供）</w:t>
      </w:r>
    </w:p>
    <w:p w14:paraId="45D71ED8">
      <w:pPr>
        <w:pStyle w:val="36"/>
        <w:widowControl/>
        <w:spacing w:line="360" w:lineRule="auto"/>
        <w:jc w:val="both"/>
        <w:rPr>
          <w:rFonts w:ascii="宋体" w:hAnsi="宋体" w:eastAsia="宋体" w:cs="宋体"/>
          <w:color w:val="auto"/>
        </w:rPr>
      </w:pPr>
    </w:p>
    <w:p w14:paraId="7D6D5ACB">
      <w:pPr>
        <w:widowControl/>
        <w:jc w:val="left"/>
        <w:rPr>
          <w:rFonts w:ascii="微软雅黑" w:hAnsi="宋体" w:eastAsia="微软雅黑" w:cs="黑体"/>
          <w:iCs/>
          <w:color w:val="auto"/>
          <w:sz w:val="30"/>
          <w:szCs w:val="30"/>
        </w:rPr>
      </w:pPr>
      <w:r>
        <w:rPr>
          <w:rFonts w:ascii="微软雅黑" w:hAnsi="宋体" w:eastAsia="微软雅黑" w:cs="黑体"/>
          <w:iCs/>
          <w:color w:val="auto"/>
          <w:sz w:val="30"/>
          <w:szCs w:val="30"/>
        </w:rPr>
        <w:br w:type="page" w:clear="all"/>
      </w:r>
    </w:p>
    <w:p w14:paraId="6471AD71">
      <w:pPr>
        <w:widowControl/>
        <w:spacing w:before="120"/>
        <w:jc w:val="center"/>
        <w:rPr>
          <w:rFonts w:ascii="黑体" w:hAnsi="黑体" w:eastAsia="黑体" w:cs="黑体"/>
          <w:i/>
          <w:color w:val="auto"/>
          <w:sz w:val="32"/>
          <w:szCs w:val="32"/>
          <w:u w:val="single"/>
        </w:rPr>
      </w:pPr>
      <w:r>
        <w:rPr>
          <w:rFonts w:hint="eastAsia" w:ascii="黑体" w:hAnsi="黑体" w:eastAsia="黑体" w:cs="黑体"/>
          <w:i/>
          <w:color w:val="auto"/>
          <w:sz w:val="32"/>
          <w:szCs w:val="32"/>
          <w:u w:val="single"/>
        </w:rPr>
        <w:t>三、具备履行合同所必需的设备和专业技术能力的书面声明</w:t>
      </w:r>
    </w:p>
    <w:p w14:paraId="3475456E">
      <w:pPr>
        <w:pStyle w:val="36"/>
        <w:widowControl/>
        <w:spacing w:line="560" w:lineRule="exact"/>
        <w:ind w:firstLine="480"/>
        <w:jc w:val="both"/>
        <w:rPr>
          <w:rFonts w:asciiTheme="minorEastAsia" w:hAnsiTheme="minorEastAsia" w:cstheme="minorEastAsia"/>
          <w:color w:val="auto"/>
        </w:rPr>
      </w:pPr>
      <w:r>
        <w:rPr>
          <w:rFonts w:hint="eastAsia" w:asciiTheme="minorEastAsia" w:hAnsiTheme="minorEastAsia" w:cstheme="minorEastAsia"/>
          <w:color w:val="auto"/>
        </w:rPr>
        <w:t>我单位郑重声明：我单位具备履行本项采购合同所必需的设备和专业技术能力，为履行本项采购合同我公司具备如下主要设备和主要专业技术能力：</w:t>
      </w:r>
    </w:p>
    <w:p w14:paraId="5B4B39AA">
      <w:pPr>
        <w:pStyle w:val="36"/>
        <w:widowControl/>
        <w:ind w:firstLine="480"/>
        <w:jc w:val="both"/>
        <w:rPr>
          <w:rFonts w:asciiTheme="minorEastAsia" w:hAnsiTheme="minorEastAsia" w:cstheme="minorEastAsia"/>
          <w:color w:val="auto"/>
        </w:rPr>
      </w:pPr>
      <w:r>
        <w:rPr>
          <w:rFonts w:hint="eastAsia" w:asciiTheme="minorEastAsia" w:hAnsiTheme="minorEastAsia" w:cstheme="minorEastAsia"/>
          <w:color w:val="auto"/>
        </w:rPr>
        <w:t>主要设备有：。</w:t>
      </w:r>
    </w:p>
    <w:p w14:paraId="78250353">
      <w:pPr>
        <w:pStyle w:val="36"/>
        <w:widowControl/>
        <w:ind w:firstLine="480"/>
        <w:jc w:val="both"/>
        <w:rPr>
          <w:rFonts w:ascii="微软雅黑" w:hAnsi="宋体" w:eastAsia="微软雅黑" w:cs="宋体"/>
          <w:iCs/>
          <w:color w:val="auto"/>
        </w:rPr>
      </w:pPr>
      <w:r>
        <w:rPr>
          <w:rFonts w:hint="eastAsia" w:asciiTheme="minorEastAsia" w:hAnsiTheme="minorEastAsia" w:cstheme="minorEastAsia"/>
          <w:color w:val="auto"/>
        </w:rPr>
        <w:t>主要专业技术能力有：。</w:t>
      </w:r>
    </w:p>
    <w:p w14:paraId="5FFD6206">
      <w:pPr>
        <w:widowControl/>
        <w:jc w:val="left"/>
        <w:rPr>
          <w:rFonts w:ascii="微软雅黑" w:hAnsi="宋体" w:eastAsia="微软雅黑" w:cs="黑体"/>
          <w:iCs/>
          <w:color w:val="auto"/>
          <w:sz w:val="30"/>
          <w:szCs w:val="30"/>
        </w:rPr>
      </w:pPr>
      <w:r>
        <w:rPr>
          <w:rFonts w:ascii="微软雅黑" w:hAnsi="宋体" w:eastAsia="微软雅黑" w:cs="黑体"/>
          <w:iCs/>
          <w:color w:val="auto"/>
          <w:sz w:val="30"/>
          <w:szCs w:val="30"/>
        </w:rPr>
        <w:br w:type="page" w:clear="all"/>
      </w:r>
    </w:p>
    <w:p w14:paraId="3B7D3BDC">
      <w:pPr>
        <w:widowControl/>
        <w:spacing w:before="120"/>
        <w:jc w:val="center"/>
        <w:rPr>
          <w:rFonts w:ascii="黑体" w:hAnsi="黑体" w:eastAsia="黑体" w:cs="黑体"/>
          <w:i/>
          <w:color w:val="auto"/>
          <w:sz w:val="32"/>
          <w:szCs w:val="32"/>
          <w:u w:val="single"/>
        </w:rPr>
      </w:pPr>
      <w:r>
        <w:rPr>
          <w:rFonts w:hint="eastAsia" w:ascii="黑体" w:hAnsi="黑体" w:eastAsia="黑体" w:cs="黑体"/>
          <w:i/>
          <w:color w:val="auto"/>
          <w:sz w:val="32"/>
          <w:szCs w:val="32"/>
          <w:u w:val="single"/>
        </w:rPr>
        <w:t>四、依法缴纳税收和社会保障资金的相关材料</w:t>
      </w:r>
    </w:p>
    <w:p w14:paraId="1FD964CB">
      <w:pPr>
        <w:pStyle w:val="36"/>
        <w:widowControl/>
        <w:spacing w:beforeAutospacing="0" w:afterAutospacing="0" w:line="500" w:lineRule="exact"/>
        <w:ind w:firstLine="480"/>
        <w:jc w:val="both"/>
        <w:rPr>
          <w:rFonts w:ascii="宋体" w:hAnsi="宋体" w:eastAsia="宋体" w:cs="宋体"/>
          <w:color w:val="auto"/>
        </w:rPr>
      </w:pPr>
      <w:r>
        <w:rPr>
          <w:rFonts w:hint="eastAsia" w:asciiTheme="minorEastAsia" w:hAnsiTheme="minorEastAsia" w:cstheme="minorEastAsia"/>
          <w:color w:val="auto"/>
        </w:rPr>
        <w:t>提供提交响应文件截止时间前一年内至少一个月依法缴纳税收及缴纳社会保障资金的证明材料。供应商依法享受缓缴、免缴税收、社会保障资金的提供证明材料。</w:t>
      </w:r>
    </w:p>
    <w:p w14:paraId="37DF2406">
      <w:pPr>
        <w:widowControl/>
        <w:spacing w:line="500" w:lineRule="exact"/>
        <w:jc w:val="left"/>
        <w:rPr>
          <w:rFonts w:ascii="微软雅黑" w:hAnsi="宋体" w:eastAsia="微软雅黑" w:cs="黑体"/>
          <w:iCs/>
          <w:color w:val="auto"/>
          <w:sz w:val="30"/>
          <w:szCs w:val="30"/>
        </w:rPr>
      </w:pPr>
      <w:r>
        <w:rPr>
          <w:rFonts w:ascii="微软雅黑" w:hAnsi="宋体" w:eastAsia="微软雅黑" w:cs="黑体"/>
          <w:iCs/>
          <w:color w:val="auto"/>
          <w:sz w:val="30"/>
          <w:szCs w:val="30"/>
        </w:rPr>
        <w:br w:type="page" w:clear="all"/>
      </w:r>
    </w:p>
    <w:p w14:paraId="5C1DCD21">
      <w:pPr>
        <w:widowControl/>
        <w:spacing w:before="120"/>
        <w:jc w:val="center"/>
        <w:rPr>
          <w:rFonts w:ascii="黑体" w:hAnsi="黑体" w:eastAsia="黑体" w:cs="黑体"/>
          <w:i/>
          <w:color w:val="auto"/>
          <w:sz w:val="32"/>
          <w:szCs w:val="32"/>
          <w:u w:val="single"/>
        </w:rPr>
      </w:pPr>
      <w:r>
        <w:rPr>
          <w:rFonts w:hint="eastAsia" w:ascii="黑体" w:hAnsi="黑体" w:eastAsia="黑体" w:cs="黑体"/>
          <w:i/>
          <w:color w:val="auto"/>
          <w:sz w:val="32"/>
          <w:szCs w:val="32"/>
          <w:u w:val="single"/>
        </w:rPr>
        <w:t>五、参加政府采购活动前3年内在经营活动中没有重大违法记录的书面声明</w:t>
      </w:r>
    </w:p>
    <w:p w14:paraId="786380CD">
      <w:pPr>
        <w:pStyle w:val="36"/>
        <w:widowControl/>
        <w:spacing w:line="500" w:lineRule="exact"/>
        <w:jc w:val="center"/>
        <w:rPr>
          <w:rFonts w:asciiTheme="minorEastAsia" w:hAnsiTheme="minorEastAsia" w:cstheme="minorEastAsia"/>
          <w:b/>
          <w:color w:val="auto"/>
        </w:rPr>
      </w:pPr>
      <w:r>
        <w:rPr>
          <w:rFonts w:hint="eastAsia" w:asciiTheme="minorEastAsia" w:hAnsiTheme="minorEastAsia" w:cstheme="minorEastAsia"/>
          <w:b/>
          <w:color w:val="auto"/>
          <w:sz w:val="44"/>
          <w:szCs w:val="44"/>
        </w:rPr>
        <w:t>声明</w:t>
      </w:r>
    </w:p>
    <w:p w14:paraId="11D47A76">
      <w:pPr>
        <w:pStyle w:val="36"/>
        <w:widowControl/>
        <w:spacing w:line="500" w:lineRule="exact"/>
        <w:ind w:firstLine="480"/>
        <w:jc w:val="both"/>
        <w:rPr>
          <w:rFonts w:asciiTheme="minorEastAsia" w:hAnsiTheme="minorEastAsia" w:cstheme="minorEastAsia"/>
          <w:color w:val="auto"/>
        </w:rPr>
      </w:pPr>
      <w:r>
        <w:rPr>
          <w:rFonts w:hint="eastAsia" w:asciiTheme="minorEastAsia" w:hAnsiTheme="minorEastAsia" w:cstheme="minorEastAsia"/>
          <w:color w:val="auto"/>
        </w:rPr>
        <w:t>我单位郑重声明：参加本次政府采购活动前3年内，我单位在经营活动中没有因违法经营受到刑事处罚或者责令停产停业、吊销许可证或者执照、较大数额罚款等行政处罚。</w:t>
      </w:r>
    </w:p>
    <w:p w14:paraId="7D9DEE6B">
      <w:pPr>
        <w:pStyle w:val="36"/>
        <w:widowControl/>
        <w:spacing w:line="560" w:lineRule="exact"/>
        <w:jc w:val="both"/>
        <w:rPr>
          <w:rFonts w:asciiTheme="minorEastAsia" w:hAnsiTheme="minorEastAsia" w:cstheme="minorEastAsia"/>
          <w:color w:val="auto"/>
        </w:rPr>
      </w:pPr>
    </w:p>
    <w:p w14:paraId="79BB6B0A">
      <w:pPr>
        <w:widowControl/>
        <w:jc w:val="left"/>
        <w:rPr>
          <w:rFonts w:ascii="微软雅黑" w:hAnsi="宋体" w:eastAsia="微软雅黑" w:cs="黑体"/>
          <w:iCs/>
          <w:color w:val="auto"/>
          <w:sz w:val="30"/>
          <w:szCs w:val="30"/>
        </w:rPr>
      </w:pPr>
      <w:r>
        <w:rPr>
          <w:rFonts w:ascii="微软雅黑" w:hAnsi="宋体" w:eastAsia="微软雅黑" w:cs="黑体"/>
          <w:iCs/>
          <w:color w:val="auto"/>
          <w:sz w:val="30"/>
          <w:szCs w:val="30"/>
        </w:rPr>
        <w:br w:type="page" w:clear="all"/>
      </w:r>
    </w:p>
    <w:p w14:paraId="2D0672DC">
      <w:pPr>
        <w:widowControl/>
        <w:spacing w:before="120" w:line="360" w:lineRule="exact"/>
        <w:jc w:val="center"/>
        <w:rPr>
          <w:rFonts w:ascii="黑体" w:hAnsi="黑体" w:eastAsia="黑体" w:cs="黑体"/>
          <w:i/>
          <w:color w:val="auto"/>
          <w:sz w:val="32"/>
          <w:szCs w:val="32"/>
          <w:u w:val="single"/>
        </w:rPr>
      </w:pPr>
      <w:r>
        <w:rPr>
          <w:rFonts w:hint="eastAsia" w:ascii="黑体" w:hAnsi="黑体" w:eastAsia="黑体" w:cs="黑体"/>
          <w:i/>
          <w:color w:val="auto"/>
          <w:sz w:val="32"/>
          <w:szCs w:val="32"/>
          <w:u w:val="single"/>
        </w:rPr>
        <w:t>六、特定资格要求的证明文件</w:t>
      </w:r>
    </w:p>
    <w:p w14:paraId="067F3D6E">
      <w:pPr>
        <w:pStyle w:val="36"/>
        <w:widowControl/>
        <w:spacing w:afterAutospacing="0" w:line="360" w:lineRule="exact"/>
        <w:jc w:val="center"/>
        <w:rPr>
          <w:rFonts w:ascii="宋体" w:hAnsi="宋体" w:eastAsia="宋体" w:cs="宋体"/>
          <w:color w:val="auto"/>
        </w:rPr>
      </w:pPr>
      <w:r>
        <w:rPr>
          <w:rFonts w:hint="eastAsia" w:ascii="宋体" w:hAnsi="宋体" w:eastAsia="宋体" w:cs="宋体"/>
          <w:color w:val="auto"/>
        </w:rPr>
        <w:t>如果本项目申请人的特定资格要求中要求提供的，必须提供。</w:t>
      </w:r>
    </w:p>
    <w:p w14:paraId="1E1BC35E">
      <w:pPr>
        <w:widowControl/>
        <w:jc w:val="left"/>
        <w:rPr>
          <w:rFonts w:cs="Times New Roman" w:asciiTheme="minorEastAsia" w:hAnsiTheme="minorEastAsia"/>
          <w:color w:val="auto"/>
          <w:sz w:val="32"/>
          <w:szCs w:val="32"/>
        </w:rPr>
      </w:pPr>
      <w:r>
        <w:rPr>
          <w:rFonts w:asciiTheme="minorEastAsia" w:hAnsiTheme="minorEastAsia"/>
          <w:color w:val="auto"/>
        </w:rPr>
        <w:br w:type="page" w:clear="all"/>
      </w:r>
    </w:p>
    <w:p w14:paraId="10DDA950">
      <w:pPr>
        <w:widowControl/>
        <w:spacing w:before="120"/>
        <w:jc w:val="center"/>
        <w:rPr>
          <w:rFonts w:ascii="黑体" w:hAnsi="黑体" w:eastAsia="黑体" w:cs="黑体"/>
          <w:i/>
          <w:color w:val="auto"/>
          <w:sz w:val="32"/>
          <w:szCs w:val="32"/>
          <w:u w:val="single"/>
        </w:rPr>
      </w:pPr>
      <w:r>
        <w:rPr>
          <w:rFonts w:hint="eastAsia" w:ascii="黑体" w:hAnsi="黑体" w:eastAsia="黑体" w:cs="黑体"/>
          <w:i/>
          <w:color w:val="auto"/>
          <w:sz w:val="32"/>
          <w:szCs w:val="32"/>
          <w:u w:val="single"/>
        </w:rPr>
        <w:t>七、法人授权书</w:t>
      </w:r>
    </w:p>
    <w:p w14:paraId="36D153F7">
      <w:pPr>
        <w:pStyle w:val="36"/>
        <w:widowControl/>
        <w:spacing w:line="560" w:lineRule="exact"/>
        <w:ind w:firstLine="480"/>
        <w:jc w:val="both"/>
        <w:rPr>
          <w:rFonts w:asciiTheme="minorEastAsia" w:hAnsiTheme="minorEastAsia" w:cstheme="minorEastAsia"/>
          <w:color w:val="auto"/>
        </w:rPr>
      </w:pPr>
      <w:r>
        <w:rPr>
          <w:rFonts w:hint="eastAsia" w:asciiTheme="minorEastAsia" w:hAnsiTheme="minorEastAsia" w:cstheme="minorEastAsia"/>
          <w:color w:val="auto"/>
        </w:rPr>
        <w:t>本授权书声明：（供应商名称）授权（被授权人的姓名）为我方就号</w:t>
      </w:r>
      <w:r>
        <w:rPr>
          <w:rFonts w:hint="eastAsia" w:eastAsia="宋体" w:asciiTheme="minorEastAsia" w:hAnsiTheme="minorEastAsia" w:cstheme="minorEastAsia"/>
          <w:color w:val="auto"/>
          <w:u w:val="single"/>
          <w:lang w:eastAsia="zh-CN"/>
        </w:rPr>
        <w:t>江苏省盐城技师学院智能制造学院工业机器人操作与运维一体化学习工作站建设项目</w:t>
      </w:r>
      <w:r>
        <w:rPr>
          <w:rFonts w:hint="eastAsia" w:asciiTheme="minorEastAsia" w:hAnsiTheme="minorEastAsia" w:cstheme="minorEastAsia"/>
          <w:color w:val="auto"/>
        </w:rPr>
        <w:t>采购活动的合法代理人，以本单位名义全权处理一切与该项目采购有关的事务。</w:t>
      </w:r>
    </w:p>
    <w:p w14:paraId="6B8C425F">
      <w:pPr>
        <w:pStyle w:val="36"/>
        <w:widowControl/>
        <w:spacing w:line="400" w:lineRule="exact"/>
        <w:ind w:firstLine="480"/>
        <w:jc w:val="both"/>
        <w:rPr>
          <w:rFonts w:asciiTheme="minorEastAsia" w:hAnsiTheme="minorEastAsia" w:cstheme="minorEastAsia"/>
          <w:color w:val="auto"/>
        </w:rPr>
      </w:pPr>
      <w:r>
        <w:rPr>
          <w:rFonts w:hint="eastAsia" w:asciiTheme="minorEastAsia" w:hAnsiTheme="minorEastAsia" w:cstheme="minorEastAsia"/>
          <w:color w:val="auto"/>
        </w:rPr>
        <w:t>本授权书于年月日起生效，特此声明。</w:t>
      </w:r>
    </w:p>
    <w:p w14:paraId="7CC03CCF">
      <w:pPr>
        <w:pStyle w:val="36"/>
        <w:widowControl/>
        <w:tabs>
          <w:tab w:val="left" w:pos="360"/>
        </w:tabs>
        <w:spacing w:line="400" w:lineRule="exact"/>
        <w:ind w:firstLine="480"/>
        <w:jc w:val="both"/>
        <w:rPr>
          <w:rFonts w:hint="eastAsia" w:eastAsia="宋体" w:asciiTheme="minorEastAsia" w:hAnsiTheme="minorEastAsia" w:cstheme="minorEastAsia"/>
          <w:color w:val="auto"/>
          <w:lang w:eastAsia="zh-CN"/>
        </w:rPr>
      </w:pPr>
      <w:r>
        <w:rPr>
          <w:rFonts w:hint="eastAsia" w:asciiTheme="minorEastAsia" w:hAnsiTheme="minorEastAsia" w:cstheme="minorEastAsia"/>
          <w:color w:val="auto"/>
        </w:rPr>
        <w:t>被授权人身份证号码：</w:t>
      </w:r>
    </w:p>
    <w:p w14:paraId="44F4AE70">
      <w:pPr>
        <w:pStyle w:val="36"/>
        <w:widowControl/>
        <w:tabs>
          <w:tab w:val="left" w:pos="360"/>
        </w:tabs>
        <w:spacing w:line="400" w:lineRule="exact"/>
        <w:ind w:firstLine="480"/>
        <w:jc w:val="both"/>
        <w:rPr>
          <w:rFonts w:hint="eastAsia" w:eastAsia="宋体" w:asciiTheme="minorEastAsia" w:hAnsiTheme="minorEastAsia" w:cstheme="minorEastAsia"/>
          <w:color w:val="auto"/>
          <w:lang w:eastAsia="zh-CN"/>
        </w:rPr>
      </w:pPr>
      <w:r>
        <w:rPr>
          <w:rFonts w:hint="eastAsia" w:asciiTheme="minorEastAsia" w:hAnsiTheme="minorEastAsia" w:cstheme="minorEastAsia"/>
          <w:color w:val="auto"/>
        </w:rPr>
        <w:t>被授权人联系电话：</w:t>
      </w:r>
      <w:r>
        <w:rPr>
          <w:rFonts w:hint="eastAsia" w:asciiTheme="minorEastAsia" w:hAnsiTheme="minorEastAsia" w:cstheme="minorEastAsia"/>
          <w:color w:val="auto"/>
          <w:u w:val="single"/>
        </w:rPr>
        <w:t>（手机）</w:t>
      </w:r>
    </w:p>
    <w:p w14:paraId="7D15E88B">
      <w:pPr>
        <w:pStyle w:val="36"/>
        <w:widowControl/>
        <w:tabs>
          <w:tab w:val="left" w:pos="360"/>
        </w:tabs>
        <w:spacing w:line="400" w:lineRule="exact"/>
        <w:ind w:firstLine="480"/>
        <w:jc w:val="both"/>
        <w:rPr>
          <w:rFonts w:hint="eastAsia" w:eastAsia="宋体" w:asciiTheme="minorEastAsia" w:hAnsiTheme="minorEastAsia" w:cstheme="minorEastAsia"/>
          <w:color w:val="auto"/>
          <w:lang w:eastAsia="zh-CN"/>
        </w:rPr>
      </w:pPr>
      <w:r>
        <w:rPr>
          <w:rFonts w:hint="eastAsia" w:asciiTheme="minorEastAsia" w:hAnsiTheme="minorEastAsia" w:cstheme="minorEastAsia"/>
          <w:color w:val="auto"/>
        </w:rPr>
        <w:t>授权单位名称：</w:t>
      </w:r>
      <w:r>
        <w:rPr>
          <w:rFonts w:hint="eastAsia" w:asciiTheme="minorEastAsia" w:hAnsiTheme="minorEastAsia" w:cstheme="minorEastAsia"/>
          <w:color w:val="auto"/>
          <w:u w:val="single"/>
        </w:rPr>
        <w:t>（加盖CA电子公章）</w:t>
      </w:r>
    </w:p>
    <w:p w14:paraId="3CD93CC3">
      <w:pPr>
        <w:pStyle w:val="36"/>
        <w:widowControl/>
        <w:tabs>
          <w:tab w:val="left" w:pos="360"/>
        </w:tabs>
        <w:spacing w:line="400" w:lineRule="exact"/>
        <w:ind w:firstLine="480"/>
        <w:jc w:val="both"/>
        <w:rPr>
          <w:rFonts w:hint="eastAsia" w:eastAsia="宋体" w:asciiTheme="minorEastAsia" w:hAnsiTheme="minorEastAsia" w:cstheme="minorEastAsia"/>
          <w:color w:val="auto"/>
          <w:lang w:eastAsia="zh-CN"/>
        </w:rPr>
      </w:pPr>
      <w:r>
        <w:rPr>
          <w:rFonts w:hint="eastAsia" w:asciiTheme="minorEastAsia" w:hAnsiTheme="minorEastAsia" w:cstheme="minorEastAsia"/>
          <w:color w:val="auto"/>
        </w:rPr>
        <w:t>单位地址：</w:t>
      </w:r>
    </w:p>
    <w:p w14:paraId="01B42EF5">
      <w:pPr>
        <w:pStyle w:val="36"/>
        <w:widowControl/>
        <w:tabs>
          <w:tab w:val="left" w:pos="360"/>
        </w:tabs>
        <w:spacing w:line="400" w:lineRule="exact"/>
        <w:ind w:firstLine="480"/>
        <w:jc w:val="both"/>
        <w:rPr>
          <w:rFonts w:hint="eastAsia" w:eastAsia="宋体" w:asciiTheme="minorEastAsia" w:hAnsiTheme="minorEastAsia" w:cstheme="minorEastAsia"/>
          <w:color w:val="auto"/>
          <w:lang w:eastAsia="zh-CN"/>
        </w:rPr>
      </w:pPr>
      <w:r>
        <w:rPr>
          <w:rFonts w:hint="eastAsia" w:asciiTheme="minorEastAsia" w:hAnsiTheme="minorEastAsia" w:cstheme="minorEastAsia"/>
          <w:color w:val="auto"/>
        </w:rPr>
        <w:t>日期：</w:t>
      </w:r>
    </w:p>
    <w:p w14:paraId="52FC9DF8">
      <w:pPr>
        <w:widowControl/>
        <w:rPr>
          <w:rFonts w:ascii="微软雅黑" w:hAnsi="宋体" w:eastAsia="微软雅黑" w:cs="黑体"/>
          <w:iCs/>
          <w:color w:val="auto"/>
          <w:sz w:val="30"/>
          <w:szCs w:val="30"/>
        </w:rPr>
      </w:pPr>
      <w:r>
        <w:rPr>
          <w:rFonts w:ascii="微软雅黑" w:hAnsi="宋体" w:eastAsia="微软雅黑" w:cs="黑体"/>
          <w:iCs/>
          <w:color w:val="auto"/>
          <w:sz w:val="30"/>
          <w:szCs w:val="30"/>
        </w:rPr>
        <w:br w:type="page" w:clear="all"/>
      </w:r>
    </w:p>
    <w:p w14:paraId="5F03934D">
      <w:pPr>
        <w:widowControl/>
        <w:spacing w:before="120"/>
        <w:jc w:val="center"/>
        <w:rPr>
          <w:rFonts w:ascii="黑体" w:hAnsi="黑体" w:eastAsia="黑体" w:cs="黑体"/>
          <w:i/>
          <w:color w:val="auto"/>
          <w:sz w:val="32"/>
          <w:szCs w:val="32"/>
          <w:u w:val="single"/>
        </w:rPr>
      </w:pPr>
      <w:r>
        <w:rPr>
          <w:rFonts w:hint="eastAsia" w:ascii="黑体" w:hAnsi="黑体" w:eastAsia="黑体" w:cs="黑体"/>
          <w:i/>
          <w:color w:val="auto"/>
          <w:sz w:val="32"/>
          <w:szCs w:val="32"/>
          <w:u w:val="single"/>
        </w:rPr>
        <w:t>八、投标函</w:t>
      </w:r>
    </w:p>
    <w:p w14:paraId="713979ED">
      <w:pPr>
        <w:widowControl/>
        <w:spacing w:line="500" w:lineRule="exact"/>
        <w:jc w:val="left"/>
        <w:rPr>
          <w:rFonts w:hint="default" w:ascii="宋体" w:hAnsi="宋体" w:eastAsia="宋体" w:cs="宋体"/>
          <w:color w:val="auto"/>
          <w:sz w:val="24"/>
          <w:lang w:val="en-US" w:eastAsia="zh-CN"/>
        </w:rPr>
      </w:pPr>
      <w:r>
        <w:rPr>
          <w:rFonts w:hint="eastAsia" w:ascii="宋体" w:hAnsi="宋体" w:cs="宋体"/>
          <w:color w:val="auto"/>
          <w:sz w:val="24"/>
        </w:rPr>
        <w:t>致：</w:t>
      </w:r>
      <w:r>
        <w:rPr>
          <w:rFonts w:hint="eastAsia" w:ascii="宋体" w:hAnsi="宋体" w:eastAsia="宋体" w:cs="宋体"/>
          <w:color w:val="auto"/>
          <w:sz w:val="24"/>
          <w:lang w:val="en-US" w:eastAsia="zh-CN"/>
        </w:rPr>
        <w:t>江苏省盐城技师学院</w:t>
      </w:r>
    </w:p>
    <w:p w14:paraId="21D8B76C">
      <w:pPr>
        <w:widowControl/>
        <w:spacing w:line="500" w:lineRule="exact"/>
        <w:ind w:firstLine="480"/>
        <w:jc w:val="left"/>
        <w:rPr>
          <w:rFonts w:ascii="宋体" w:hAnsi="宋体" w:cs="宋体"/>
          <w:color w:val="auto"/>
          <w:sz w:val="24"/>
        </w:rPr>
      </w:pPr>
      <w:r>
        <w:rPr>
          <w:rFonts w:hint="eastAsia" w:ascii="宋体" w:hAnsi="宋体" w:cs="宋体"/>
          <w:color w:val="auto"/>
          <w:sz w:val="24"/>
        </w:rPr>
        <w:t>根据贵方的号招标文件，正式授权下述签字人______(姓名)代表我方______________（投标人的名称），全权处理本次项目投标的有关事宜。</w:t>
      </w:r>
    </w:p>
    <w:p w14:paraId="0F11E574">
      <w:pPr>
        <w:widowControl/>
        <w:spacing w:line="500" w:lineRule="exact"/>
        <w:ind w:firstLine="480"/>
        <w:jc w:val="left"/>
        <w:rPr>
          <w:rFonts w:ascii="宋体" w:hAnsi="宋体" w:cs="宋体"/>
          <w:color w:val="auto"/>
          <w:sz w:val="24"/>
        </w:rPr>
      </w:pPr>
      <w:r>
        <w:rPr>
          <w:rFonts w:hint="eastAsia" w:ascii="宋体" w:hAnsi="宋体" w:cs="宋体"/>
          <w:color w:val="auto"/>
          <w:sz w:val="24"/>
        </w:rPr>
        <w:t>据此函，__________签字人兹宣布同意如下：</w:t>
      </w:r>
    </w:p>
    <w:p w14:paraId="3B3FE08F">
      <w:pPr>
        <w:widowControl/>
        <w:spacing w:line="500" w:lineRule="exact"/>
        <w:ind w:firstLine="480"/>
        <w:rPr>
          <w:rFonts w:ascii="宋体" w:hAnsi="宋体" w:cs="宋体"/>
          <w:color w:val="auto"/>
          <w:sz w:val="24"/>
        </w:rPr>
      </w:pPr>
      <w:r>
        <w:rPr>
          <w:rFonts w:hint="eastAsia" w:ascii="宋体" w:hAnsi="宋体" w:cs="宋体"/>
          <w:color w:val="auto"/>
          <w:sz w:val="24"/>
        </w:rPr>
        <w:t>1.按招标文件规定的各项要求，向买方提供所需货物（包含与货物相关的服务）。</w:t>
      </w:r>
    </w:p>
    <w:p w14:paraId="16AC4FFB">
      <w:pPr>
        <w:widowControl/>
        <w:spacing w:line="500" w:lineRule="exact"/>
        <w:ind w:firstLine="480"/>
        <w:rPr>
          <w:rFonts w:ascii="宋体" w:hAnsi="宋体" w:cs="宋体"/>
          <w:color w:val="auto"/>
          <w:sz w:val="24"/>
        </w:rPr>
      </w:pPr>
      <w:r>
        <w:rPr>
          <w:rFonts w:hint="eastAsia" w:ascii="宋体" w:hAnsi="宋体" w:cs="宋体"/>
          <w:color w:val="auto"/>
          <w:sz w:val="24"/>
        </w:rPr>
        <w:t>2.我们完全理解贵方不一定将合同授予最低报价的投标人。</w:t>
      </w:r>
    </w:p>
    <w:p w14:paraId="6B746182">
      <w:pPr>
        <w:widowControl/>
        <w:spacing w:line="500" w:lineRule="exact"/>
        <w:ind w:firstLine="480"/>
        <w:rPr>
          <w:rFonts w:ascii="宋体" w:hAnsi="宋体" w:cs="宋体"/>
          <w:color w:val="auto"/>
          <w:sz w:val="24"/>
        </w:rPr>
      </w:pPr>
      <w:r>
        <w:rPr>
          <w:rFonts w:hint="eastAsia" w:ascii="宋体" w:hAnsi="宋体" w:cs="宋体"/>
          <w:color w:val="auto"/>
          <w:sz w:val="24"/>
        </w:rPr>
        <w:t>3.我们已详细审核全部招标文件及其有效补充文件，我们知道必须放弃提出含糊不清或误解问题的权利。</w:t>
      </w:r>
    </w:p>
    <w:p w14:paraId="005FA3CF">
      <w:pPr>
        <w:widowControl/>
        <w:spacing w:line="500" w:lineRule="exact"/>
        <w:ind w:firstLine="480"/>
        <w:rPr>
          <w:rFonts w:ascii="宋体" w:hAnsi="宋体" w:cs="宋体"/>
          <w:color w:val="auto"/>
          <w:sz w:val="24"/>
        </w:rPr>
      </w:pPr>
      <w:r>
        <w:rPr>
          <w:rFonts w:hint="eastAsia" w:ascii="宋体" w:hAnsi="宋体" w:cs="宋体"/>
          <w:color w:val="auto"/>
          <w:sz w:val="24"/>
        </w:rPr>
        <w:t>4.我们同意从规定的开标日期起遵循本投标文件，并在规定的投标有效期期满之前均具有约束力。</w:t>
      </w:r>
    </w:p>
    <w:p w14:paraId="37CB38C5">
      <w:pPr>
        <w:widowControl/>
        <w:spacing w:line="500" w:lineRule="exact"/>
        <w:ind w:firstLine="480"/>
        <w:rPr>
          <w:rFonts w:ascii="宋体" w:hAnsi="宋体" w:cs="宋体"/>
          <w:color w:val="auto"/>
          <w:sz w:val="24"/>
        </w:rPr>
      </w:pPr>
      <w:r>
        <w:rPr>
          <w:rFonts w:hint="eastAsia" w:ascii="宋体" w:hAnsi="宋体" w:cs="宋体"/>
          <w:color w:val="auto"/>
          <w:sz w:val="24"/>
        </w:rPr>
        <w:t>5.同意向贵方提供贵方可能另外要求的与投标有关的任何证据或资料，并保证我方已提供和将要提供的文件是真实的、准确的。</w:t>
      </w:r>
    </w:p>
    <w:p w14:paraId="4A89D01A">
      <w:pPr>
        <w:widowControl/>
        <w:spacing w:line="500" w:lineRule="exact"/>
        <w:ind w:firstLine="480"/>
        <w:rPr>
          <w:rFonts w:ascii="宋体" w:hAnsi="宋体" w:cs="宋体"/>
          <w:color w:val="auto"/>
          <w:sz w:val="24"/>
        </w:rPr>
      </w:pPr>
      <w:r>
        <w:rPr>
          <w:rFonts w:hint="eastAsia" w:ascii="宋体" w:hAnsi="宋体" w:cs="宋体"/>
          <w:color w:val="auto"/>
          <w:sz w:val="24"/>
        </w:rPr>
        <w:t>6.一旦我方中标，我方将根据招标文件的规定，严格履行合同的责任和义务，并保证在招标文件规定的时间内完成项目，交付买方验收、使用。</w:t>
      </w:r>
    </w:p>
    <w:p w14:paraId="2ABB893E">
      <w:pPr>
        <w:widowControl/>
        <w:spacing w:line="500" w:lineRule="exact"/>
        <w:ind w:firstLine="480"/>
        <w:jc w:val="left"/>
        <w:outlineLvl w:val="2"/>
        <w:rPr>
          <w:rFonts w:ascii="宋体" w:hAnsi="宋体" w:cs="宋体"/>
          <w:color w:val="auto"/>
          <w:sz w:val="24"/>
        </w:rPr>
      </w:pPr>
      <w:r>
        <w:rPr>
          <w:rFonts w:hint="eastAsia" w:ascii="宋体" w:hAnsi="宋体" w:cs="宋体"/>
          <w:color w:val="auto"/>
          <w:sz w:val="24"/>
        </w:rPr>
        <w:t>7.与本投标有关的正式通讯地址为：</w:t>
      </w:r>
    </w:p>
    <w:p w14:paraId="5F533FE0">
      <w:pPr>
        <w:widowControl/>
        <w:spacing w:line="500" w:lineRule="exact"/>
        <w:ind w:firstLine="480"/>
        <w:jc w:val="left"/>
        <w:rPr>
          <w:rFonts w:ascii="宋体" w:hAnsi="宋体" w:cs="宋体"/>
          <w:color w:val="auto"/>
          <w:sz w:val="24"/>
        </w:rPr>
      </w:pPr>
      <w:r>
        <w:rPr>
          <w:rFonts w:hint="eastAsia" w:ascii="宋体" w:hAnsi="宋体" w:cs="宋体"/>
          <w:color w:val="auto"/>
          <w:sz w:val="24"/>
        </w:rPr>
        <w:t>地址：</w:t>
      </w:r>
    </w:p>
    <w:p w14:paraId="48A9CC88">
      <w:pPr>
        <w:widowControl/>
        <w:spacing w:line="500" w:lineRule="exact"/>
        <w:ind w:firstLine="480"/>
        <w:jc w:val="left"/>
        <w:rPr>
          <w:rFonts w:ascii="宋体" w:hAnsi="宋体" w:cs="宋体"/>
          <w:color w:val="auto"/>
          <w:sz w:val="24"/>
        </w:rPr>
      </w:pPr>
      <w:r>
        <w:rPr>
          <w:rFonts w:hint="eastAsia" w:ascii="宋体" w:hAnsi="宋体" w:cs="宋体"/>
          <w:color w:val="auto"/>
          <w:sz w:val="24"/>
        </w:rPr>
        <w:t>邮编：</w:t>
      </w:r>
    </w:p>
    <w:p w14:paraId="40220E42">
      <w:pPr>
        <w:widowControl/>
        <w:spacing w:line="500" w:lineRule="exact"/>
        <w:ind w:firstLine="480"/>
        <w:jc w:val="left"/>
        <w:rPr>
          <w:rFonts w:ascii="宋体" w:hAnsi="宋体" w:cs="宋体"/>
          <w:color w:val="auto"/>
          <w:sz w:val="24"/>
        </w:rPr>
      </w:pPr>
      <w:r>
        <w:rPr>
          <w:rFonts w:hint="eastAsia" w:ascii="宋体" w:hAnsi="宋体" w:cs="宋体"/>
          <w:color w:val="auto"/>
          <w:sz w:val="24"/>
        </w:rPr>
        <w:t>电话：</w:t>
      </w:r>
    </w:p>
    <w:p w14:paraId="550A5305">
      <w:pPr>
        <w:widowControl/>
        <w:spacing w:line="500" w:lineRule="exact"/>
        <w:ind w:firstLine="480"/>
        <w:jc w:val="left"/>
        <w:rPr>
          <w:rFonts w:ascii="宋体" w:hAnsi="宋体" w:cs="宋体"/>
          <w:color w:val="auto"/>
          <w:sz w:val="24"/>
        </w:rPr>
      </w:pPr>
      <w:r>
        <w:rPr>
          <w:rFonts w:hint="eastAsia" w:ascii="宋体" w:hAnsi="宋体" w:cs="宋体"/>
          <w:color w:val="auto"/>
          <w:sz w:val="24"/>
        </w:rPr>
        <w:t>传真：</w:t>
      </w:r>
    </w:p>
    <w:p w14:paraId="6B60D9BA">
      <w:pPr>
        <w:widowControl/>
        <w:spacing w:line="500" w:lineRule="exact"/>
        <w:ind w:firstLine="480"/>
        <w:jc w:val="left"/>
        <w:rPr>
          <w:rFonts w:ascii="宋体" w:hAnsi="宋体" w:cs="宋体"/>
          <w:color w:val="auto"/>
          <w:sz w:val="24"/>
        </w:rPr>
      </w:pPr>
      <w:r>
        <w:rPr>
          <w:rFonts w:hint="eastAsia" w:ascii="宋体" w:hAnsi="宋体" w:cs="宋体"/>
          <w:color w:val="auto"/>
          <w:sz w:val="24"/>
        </w:rPr>
        <w:t>投标人开户行：</w:t>
      </w:r>
    </w:p>
    <w:p w14:paraId="6A46084B">
      <w:pPr>
        <w:widowControl/>
        <w:spacing w:line="500" w:lineRule="exact"/>
        <w:ind w:firstLine="480"/>
        <w:jc w:val="left"/>
        <w:rPr>
          <w:rFonts w:ascii="宋体" w:hAnsi="宋体" w:cs="宋体"/>
          <w:color w:val="auto"/>
          <w:sz w:val="24"/>
        </w:rPr>
      </w:pPr>
      <w:r>
        <w:rPr>
          <w:rFonts w:hint="eastAsia" w:ascii="宋体" w:hAnsi="宋体" w:cs="宋体"/>
          <w:color w:val="auto"/>
          <w:sz w:val="24"/>
        </w:rPr>
        <w:t>账号：</w:t>
      </w:r>
    </w:p>
    <w:p w14:paraId="4B44A1F4">
      <w:pPr>
        <w:widowControl/>
        <w:spacing w:line="500" w:lineRule="exact"/>
        <w:ind w:firstLine="480"/>
        <w:jc w:val="left"/>
        <w:rPr>
          <w:rFonts w:hint="eastAsia" w:eastAsiaTheme="minorEastAsia"/>
          <w:color w:val="auto"/>
          <w:lang w:eastAsia="zh-CN"/>
        </w:rPr>
      </w:pPr>
      <w:r>
        <w:rPr>
          <w:rFonts w:hint="eastAsia" w:ascii="宋体" w:hAnsi="宋体" w:cs="宋体"/>
          <w:color w:val="auto"/>
          <w:sz w:val="24"/>
        </w:rPr>
        <w:t>日期：______年____月____日</w:t>
      </w:r>
    </w:p>
    <w:p w14:paraId="554A47CD">
      <w:pPr>
        <w:widowControl/>
        <w:jc w:val="left"/>
        <w:rPr>
          <w:rFonts w:ascii="黑体" w:hAnsi="黑体" w:eastAsia="黑体" w:cs="黑体"/>
          <w:i/>
          <w:color w:val="auto"/>
          <w:sz w:val="32"/>
          <w:szCs w:val="32"/>
        </w:rPr>
      </w:pPr>
      <w:r>
        <w:rPr>
          <w:rFonts w:ascii="黑体" w:hAnsi="黑体" w:eastAsia="黑体" w:cs="黑体"/>
          <w:i/>
          <w:color w:val="auto"/>
          <w:sz w:val="32"/>
          <w:szCs w:val="32"/>
        </w:rPr>
        <w:br w:type="page" w:clear="all"/>
      </w:r>
    </w:p>
    <w:p w14:paraId="5EB03C5F">
      <w:pPr>
        <w:widowControl/>
        <w:spacing w:before="120"/>
        <w:jc w:val="center"/>
        <w:rPr>
          <w:rFonts w:ascii="黑体" w:hAnsi="黑体" w:eastAsia="黑体" w:cs="黑体"/>
          <w:i/>
          <w:color w:val="auto"/>
          <w:sz w:val="32"/>
          <w:szCs w:val="32"/>
          <w:u w:val="single"/>
        </w:rPr>
      </w:pPr>
      <w:r>
        <w:rPr>
          <w:rFonts w:hint="eastAsia" w:ascii="黑体" w:hAnsi="黑体" w:eastAsia="黑体" w:cs="黑体"/>
          <w:i/>
          <w:color w:val="auto"/>
          <w:sz w:val="32"/>
          <w:szCs w:val="32"/>
          <w:u w:val="single"/>
        </w:rPr>
        <w:t>九、中小企业声明函（货物）</w:t>
      </w:r>
    </w:p>
    <w:p w14:paraId="54540901">
      <w:pPr>
        <w:widowControl/>
        <w:pBdr>
          <w:top w:val="none" w:color="000000" w:sz="0" w:space="0"/>
          <w:left w:val="none" w:color="000000" w:sz="0" w:space="0"/>
          <w:bottom w:val="none" w:color="000000" w:sz="0" w:space="0"/>
          <w:right w:val="none" w:color="000000" w:sz="0" w:space="0"/>
        </w:pBdr>
        <w:spacing w:line="519" w:lineRule="atLeast"/>
        <w:ind w:firstLine="480"/>
        <w:rPr>
          <w:rFonts w:ascii="宋体" w:hAnsi="宋体" w:cs="宋体"/>
          <w:color w:val="auto"/>
          <w:sz w:val="24"/>
        </w:rPr>
      </w:pPr>
      <w:r>
        <w:rPr>
          <w:rFonts w:ascii="宋体" w:hAnsi="宋体" w:cs="宋体"/>
          <w:color w:val="auto"/>
          <w:sz w:val="24"/>
        </w:rPr>
        <w:t>本公司（联合体）郑重声明，根据《政府采购促进中小企业发展管理办法》(财库</w:t>
      </w:r>
      <w:r>
        <w:rPr>
          <w:rFonts w:hint="eastAsia" w:ascii="宋体" w:hAnsi="宋体" w:cs="宋体"/>
          <w:color w:val="auto"/>
          <w:sz w:val="24"/>
        </w:rPr>
        <w:t>〔2020〕46号</w:t>
      </w:r>
      <w:r>
        <w:rPr>
          <w:rFonts w:ascii="宋体" w:hAnsi="宋体" w:cs="宋体"/>
          <w:color w:val="auto"/>
          <w:sz w:val="24"/>
        </w:rPr>
        <w:t>)的规定，本公司（联合体）参加</w:t>
      </w:r>
      <w:r>
        <w:rPr>
          <w:rFonts w:hint="eastAsia" w:ascii="宋体" w:hAnsi="宋体" w:eastAsia="宋体" w:cs="宋体"/>
          <w:color w:val="auto"/>
          <w:sz w:val="24"/>
          <w:lang w:val="en-US" w:eastAsia="zh-CN"/>
        </w:rPr>
        <w:t>江苏省盐城技师学院</w:t>
      </w:r>
      <w:r>
        <w:rPr>
          <w:rFonts w:ascii="宋体" w:hAnsi="宋体" w:cs="宋体"/>
          <w:color w:val="auto"/>
          <w:sz w:val="24"/>
        </w:rPr>
        <w:t>组织的</w:t>
      </w:r>
      <w:r>
        <w:rPr>
          <w:rFonts w:hint="eastAsia" w:ascii="宋体" w:hAnsi="宋体" w:cs="宋体"/>
          <w:color w:val="auto"/>
          <w:sz w:val="24"/>
        </w:rPr>
        <w:t>，</w:t>
      </w:r>
      <w:r>
        <w:rPr>
          <w:rFonts w:ascii="宋体" w:hAnsi="宋体" w:cs="宋体"/>
          <w:color w:val="auto"/>
          <w:sz w:val="24"/>
        </w:rPr>
        <w:t>采购编号为，</w:t>
      </w:r>
      <w:r>
        <w:rPr>
          <w:rFonts w:hint="eastAsia" w:ascii="宋体" w:hAnsi="宋体" w:eastAsia="宋体" w:cs="宋体"/>
          <w:color w:val="auto"/>
          <w:sz w:val="24"/>
          <w:u w:val="single"/>
          <w:lang w:eastAsia="zh-CN"/>
        </w:rPr>
        <w:t>江苏省盐城技师学院智能制造学院工业机器人操作与运维一体化学习工作站建设项目</w:t>
      </w:r>
      <w:r>
        <w:rPr>
          <w:rFonts w:ascii="宋体" w:hAnsi="宋体" w:cs="宋体"/>
          <w:color w:val="auto"/>
          <w:sz w:val="24"/>
        </w:rPr>
        <w:t>的采购活动，提供的货物全部由符合政策要</w:t>
      </w:r>
      <w:r>
        <w:rPr>
          <w:rFonts w:hint="eastAsia" w:ascii="宋体" w:hAnsi="宋体" w:cs="宋体"/>
          <w:color w:val="auto"/>
          <w:sz w:val="24"/>
        </w:rPr>
        <w:t>求的</w:t>
      </w:r>
      <w:r>
        <w:rPr>
          <w:rFonts w:ascii="宋体" w:hAnsi="宋体" w:cs="宋体"/>
          <w:color w:val="auto"/>
          <w:sz w:val="24"/>
        </w:rPr>
        <w:t>中小企业制造。根据《工业和信息化部、国家统计局、国家发展和改革委员会、财政部关于印发中小企业划型标准规定的通知》(工信部联企业</w:t>
      </w:r>
      <w:r>
        <w:rPr>
          <w:rFonts w:hint="eastAsia" w:ascii="宋体" w:hAnsi="宋体" w:cs="宋体"/>
          <w:color w:val="auto"/>
          <w:sz w:val="24"/>
        </w:rPr>
        <w:t>〔2011〕300号</w:t>
      </w:r>
      <w:r>
        <w:rPr>
          <w:rFonts w:ascii="宋体" w:hAnsi="宋体" w:cs="宋体"/>
          <w:color w:val="auto"/>
          <w:sz w:val="24"/>
        </w:rPr>
        <w:t>)的规定，相关企业（含联合体中的小微企业、签订分包意向协议的小微企业）的具体情况如下：</w:t>
      </w:r>
    </w:p>
    <w:p w14:paraId="2C81BF88">
      <w:pPr>
        <w:widowControl/>
        <w:pBdr>
          <w:top w:val="none" w:color="000000" w:sz="0" w:space="0"/>
          <w:left w:val="none" w:color="000000" w:sz="0" w:space="0"/>
          <w:bottom w:val="none" w:color="000000" w:sz="0" w:space="0"/>
          <w:right w:val="none" w:color="000000" w:sz="0" w:space="0"/>
        </w:pBdr>
        <w:spacing w:line="519" w:lineRule="atLeast"/>
        <w:ind w:firstLine="480"/>
        <w:rPr>
          <w:color w:val="auto"/>
        </w:rPr>
      </w:pPr>
      <w:r>
        <w:rPr>
          <w:rFonts w:ascii="宋体" w:hAnsi="宋体" w:cs="宋体"/>
          <w:color w:val="auto"/>
          <w:sz w:val="24"/>
        </w:rPr>
        <w:t>1.</w:t>
      </w:r>
      <w:r>
        <w:rPr>
          <w:rFonts w:ascii="宋体" w:hAnsi="宋体" w:cs="宋体"/>
          <w:i/>
          <w:color w:val="auto"/>
          <w:sz w:val="24"/>
          <w:u w:val="single"/>
        </w:rPr>
        <w:t>（标的名称）</w:t>
      </w:r>
      <w:r>
        <w:rPr>
          <w:rFonts w:ascii="宋体" w:hAnsi="宋体" w:cs="宋体"/>
          <w:color w:val="auto"/>
          <w:sz w:val="24"/>
        </w:rPr>
        <w:t>，属于</w:t>
      </w:r>
      <w:r>
        <w:rPr>
          <w:rFonts w:ascii="宋体" w:hAnsi="宋体" w:cs="宋体"/>
          <w:i/>
          <w:color w:val="auto"/>
          <w:sz w:val="24"/>
          <w:u w:val="single"/>
        </w:rPr>
        <w:t>（采购文件中明确的所属行业）</w:t>
      </w:r>
      <w:r>
        <w:rPr>
          <w:rFonts w:ascii="宋体" w:hAnsi="宋体" w:cs="宋体"/>
          <w:color w:val="auto"/>
          <w:sz w:val="24"/>
        </w:rPr>
        <w:t>行业；</w:t>
      </w:r>
      <w:r>
        <w:rPr>
          <w:rFonts w:hint="eastAsia" w:ascii="宋体" w:hAnsi="宋体" w:cs="宋体"/>
          <w:color w:val="auto"/>
          <w:sz w:val="24"/>
        </w:rPr>
        <w:t>制造商为</w:t>
      </w:r>
      <w:r>
        <w:rPr>
          <w:rFonts w:ascii="宋体" w:hAnsi="宋体" w:cs="宋体"/>
          <w:color w:val="auto"/>
          <w:sz w:val="24"/>
        </w:rPr>
        <w:t>（</w:t>
      </w:r>
      <w:r>
        <w:rPr>
          <w:rFonts w:ascii="宋体" w:hAnsi="宋体" w:cs="宋体"/>
          <w:i/>
          <w:color w:val="auto"/>
          <w:sz w:val="24"/>
          <w:u w:val="single"/>
        </w:rPr>
        <w:t>企业名称</w:t>
      </w:r>
      <w:r>
        <w:rPr>
          <w:rFonts w:ascii="宋体" w:hAnsi="宋体" w:cs="宋体"/>
          <w:color w:val="auto"/>
          <w:sz w:val="24"/>
        </w:rPr>
        <w:t>），从业人员人，营业收入为万元，资产总额为万元，属于（</w:t>
      </w:r>
      <w:r>
        <w:rPr>
          <w:rFonts w:ascii="宋体" w:hAnsi="宋体" w:cs="宋体"/>
          <w:i/>
          <w:color w:val="auto"/>
          <w:sz w:val="24"/>
          <w:u w:val="single"/>
        </w:rPr>
        <w:t>中型企业、小型企业、微型企业</w:t>
      </w:r>
      <w:r>
        <w:rPr>
          <w:rFonts w:ascii="宋体" w:hAnsi="宋体" w:cs="宋体"/>
          <w:color w:val="auto"/>
          <w:sz w:val="24"/>
        </w:rPr>
        <w:t>）；</w:t>
      </w:r>
    </w:p>
    <w:p w14:paraId="33704EBD">
      <w:pPr>
        <w:widowControl/>
        <w:pBdr>
          <w:top w:val="none" w:color="000000" w:sz="0" w:space="0"/>
          <w:left w:val="none" w:color="000000" w:sz="0" w:space="0"/>
          <w:bottom w:val="none" w:color="000000" w:sz="0" w:space="0"/>
          <w:right w:val="none" w:color="000000" w:sz="0" w:space="0"/>
        </w:pBdr>
        <w:spacing w:line="519" w:lineRule="atLeast"/>
        <w:ind w:firstLine="480"/>
        <w:rPr>
          <w:color w:val="auto"/>
        </w:rPr>
      </w:pPr>
      <w:r>
        <w:rPr>
          <w:rFonts w:ascii="宋体" w:hAnsi="宋体" w:cs="宋体"/>
          <w:color w:val="auto"/>
          <w:sz w:val="24"/>
        </w:rPr>
        <w:t>2.</w:t>
      </w:r>
      <w:r>
        <w:rPr>
          <w:rFonts w:ascii="宋体" w:hAnsi="宋体" w:cs="宋体"/>
          <w:i/>
          <w:color w:val="auto"/>
          <w:sz w:val="24"/>
          <w:u w:val="single"/>
        </w:rPr>
        <w:t>（标的名称）</w:t>
      </w:r>
      <w:r>
        <w:rPr>
          <w:rFonts w:ascii="宋体" w:hAnsi="宋体" w:cs="宋体"/>
          <w:color w:val="auto"/>
          <w:sz w:val="24"/>
        </w:rPr>
        <w:t>，属于</w:t>
      </w:r>
      <w:r>
        <w:rPr>
          <w:rFonts w:ascii="宋体" w:hAnsi="宋体" w:cs="宋体"/>
          <w:i/>
          <w:color w:val="auto"/>
          <w:sz w:val="24"/>
          <w:u w:val="single"/>
        </w:rPr>
        <w:t>（采购文件中明确的所属行业）</w:t>
      </w:r>
      <w:r>
        <w:rPr>
          <w:rFonts w:ascii="宋体" w:hAnsi="宋体" w:cs="宋体"/>
          <w:color w:val="auto"/>
          <w:sz w:val="24"/>
        </w:rPr>
        <w:t>行业；</w:t>
      </w:r>
      <w:r>
        <w:rPr>
          <w:rFonts w:hint="eastAsia" w:ascii="宋体" w:hAnsi="宋体" w:cs="宋体"/>
          <w:color w:val="auto"/>
          <w:sz w:val="24"/>
        </w:rPr>
        <w:t>制造商为</w:t>
      </w:r>
      <w:r>
        <w:rPr>
          <w:rFonts w:ascii="宋体" w:hAnsi="宋体" w:cs="宋体"/>
          <w:color w:val="auto"/>
          <w:sz w:val="24"/>
        </w:rPr>
        <w:t>（</w:t>
      </w:r>
      <w:r>
        <w:rPr>
          <w:rFonts w:ascii="宋体" w:hAnsi="宋体" w:cs="宋体"/>
          <w:i/>
          <w:color w:val="auto"/>
          <w:sz w:val="24"/>
          <w:u w:val="single"/>
        </w:rPr>
        <w:t>企业名称</w:t>
      </w:r>
      <w:r>
        <w:rPr>
          <w:rFonts w:ascii="宋体" w:hAnsi="宋体" w:cs="宋体"/>
          <w:color w:val="auto"/>
          <w:sz w:val="24"/>
        </w:rPr>
        <w:t>），从业人员人，营业收入为万元，资产总额为万元，属于（</w:t>
      </w:r>
      <w:r>
        <w:rPr>
          <w:rFonts w:ascii="宋体" w:hAnsi="宋体" w:cs="宋体"/>
          <w:i/>
          <w:color w:val="auto"/>
          <w:sz w:val="24"/>
          <w:u w:val="single"/>
        </w:rPr>
        <w:t>中型企业、小型企业、微型企业</w:t>
      </w:r>
      <w:r>
        <w:rPr>
          <w:rFonts w:ascii="宋体" w:hAnsi="宋体" w:cs="宋体"/>
          <w:color w:val="auto"/>
          <w:sz w:val="24"/>
        </w:rPr>
        <w:t>）；</w:t>
      </w:r>
    </w:p>
    <w:p w14:paraId="7EC2CE23">
      <w:pPr>
        <w:widowControl/>
        <w:pBdr>
          <w:top w:val="none" w:color="000000" w:sz="0" w:space="0"/>
          <w:left w:val="none" w:color="000000" w:sz="0" w:space="0"/>
          <w:bottom w:val="none" w:color="000000" w:sz="0" w:space="0"/>
          <w:right w:val="none" w:color="000000" w:sz="0" w:space="0"/>
        </w:pBdr>
        <w:spacing w:line="519" w:lineRule="atLeast"/>
        <w:ind w:firstLine="480"/>
        <w:rPr>
          <w:color w:val="auto"/>
        </w:rPr>
      </w:pPr>
      <w:r>
        <w:rPr>
          <w:rFonts w:ascii="宋体" w:hAnsi="宋体" w:cs="宋体"/>
          <w:color w:val="auto"/>
          <w:sz w:val="24"/>
        </w:rPr>
        <w:t>……</w:t>
      </w:r>
    </w:p>
    <w:p w14:paraId="776374E9">
      <w:pPr>
        <w:widowControl/>
        <w:pBdr>
          <w:top w:val="none" w:color="000000" w:sz="0" w:space="0"/>
          <w:left w:val="none" w:color="000000" w:sz="0" w:space="0"/>
          <w:bottom w:val="none" w:color="000000" w:sz="0" w:space="0"/>
          <w:right w:val="none" w:color="000000" w:sz="0" w:space="0"/>
        </w:pBdr>
        <w:spacing w:line="519" w:lineRule="atLeast"/>
        <w:ind w:firstLine="480"/>
        <w:rPr>
          <w:color w:val="auto"/>
        </w:rPr>
      </w:pPr>
      <w:r>
        <w:rPr>
          <w:rFonts w:ascii="宋体" w:hAnsi="宋体" w:cs="宋体"/>
          <w:color w:val="auto"/>
          <w:sz w:val="24"/>
        </w:rPr>
        <w:t>以上企业，不属于大企业的分支机构，不存在控股股东为大企业的情形，也不存在与大企业的负责人为同一人的情形。</w:t>
      </w:r>
    </w:p>
    <w:p w14:paraId="17B42A91">
      <w:pPr>
        <w:widowControl/>
        <w:pBdr>
          <w:top w:val="none" w:color="000000" w:sz="0" w:space="0"/>
          <w:left w:val="none" w:color="000000" w:sz="0" w:space="0"/>
          <w:bottom w:val="none" w:color="000000" w:sz="0" w:space="0"/>
          <w:right w:val="none" w:color="000000" w:sz="0" w:space="0"/>
        </w:pBdr>
        <w:spacing w:line="519" w:lineRule="atLeast"/>
        <w:ind w:firstLine="480"/>
        <w:outlineLvl w:val="2"/>
        <w:rPr>
          <w:color w:val="auto"/>
        </w:rPr>
      </w:pPr>
      <w:r>
        <w:rPr>
          <w:rFonts w:ascii="宋体" w:hAnsi="宋体" w:cs="宋体"/>
          <w:color w:val="auto"/>
          <w:sz w:val="24"/>
        </w:rPr>
        <w:t>本企业对上述声明内容的真实性负责。如有虚假，将依法承担相应责任</w:t>
      </w:r>
      <w:r>
        <w:rPr>
          <w:rFonts w:hint="eastAsia" w:ascii="宋体" w:hAnsi="宋体" w:cs="宋体"/>
          <w:color w:val="auto"/>
          <w:sz w:val="24"/>
        </w:rPr>
        <w:t>。</w:t>
      </w:r>
    </w:p>
    <w:p w14:paraId="739948E4">
      <w:pPr>
        <w:widowControl/>
        <w:pBdr>
          <w:top w:val="none" w:color="000000" w:sz="0" w:space="0"/>
          <w:left w:val="none" w:color="000000" w:sz="0" w:space="0"/>
          <w:bottom w:val="none" w:color="000000" w:sz="0" w:space="0"/>
          <w:right w:val="none" w:color="000000" w:sz="0" w:space="0"/>
        </w:pBdr>
        <w:spacing w:line="519" w:lineRule="atLeast"/>
        <w:ind w:firstLine="480"/>
        <w:rPr>
          <w:rFonts w:hint="eastAsia" w:eastAsiaTheme="minorEastAsia"/>
          <w:color w:val="auto"/>
          <w:lang w:eastAsia="zh-CN"/>
        </w:rPr>
      </w:pPr>
    </w:p>
    <w:p w14:paraId="51E2D5A3">
      <w:pPr>
        <w:widowControl/>
        <w:pBdr>
          <w:top w:val="none" w:color="000000" w:sz="0" w:space="0"/>
          <w:left w:val="none" w:color="000000" w:sz="0" w:space="0"/>
          <w:bottom w:val="none" w:color="000000" w:sz="0" w:space="0"/>
          <w:right w:val="none" w:color="000000" w:sz="0" w:space="0"/>
        </w:pBdr>
        <w:spacing w:line="519" w:lineRule="atLeast"/>
        <w:ind w:firstLine="480"/>
        <w:jc w:val="right"/>
        <w:rPr>
          <w:color w:val="auto"/>
        </w:rPr>
      </w:pPr>
      <w:r>
        <w:rPr>
          <w:rFonts w:ascii="宋体" w:hAnsi="宋体" w:cs="宋体"/>
          <w:color w:val="auto"/>
          <w:sz w:val="24"/>
        </w:rPr>
        <w:t>企业名称（加盖CA电子公章）：</w:t>
      </w:r>
    </w:p>
    <w:p w14:paraId="1F23582D">
      <w:pPr>
        <w:widowControl/>
        <w:pBdr>
          <w:top w:val="none" w:color="000000" w:sz="0" w:space="0"/>
          <w:left w:val="none" w:color="000000" w:sz="0" w:space="0"/>
          <w:bottom w:val="none" w:color="000000" w:sz="0" w:space="0"/>
          <w:right w:val="none" w:color="000000" w:sz="0" w:space="0"/>
        </w:pBdr>
        <w:spacing w:line="519" w:lineRule="atLeast"/>
        <w:ind w:firstLine="480"/>
        <w:jc w:val="right"/>
        <w:rPr>
          <w:color w:val="auto"/>
        </w:rPr>
      </w:pPr>
      <w:r>
        <w:rPr>
          <w:rFonts w:ascii="宋体" w:hAnsi="宋体" w:cs="宋体"/>
          <w:color w:val="auto"/>
          <w:sz w:val="24"/>
        </w:rPr>
        <w:t>日期：</w:t>
      </w:r>
    </w:p>
    <w:p w14:paraId="19B21047">
      <w:pPr>
        <w:widowControl/>
        <w:pBdr>
          <w:top w:val="none" w:color="000000" w:sz="0" w:space="0"/>
          <w:left w:val="none" w:color="000000" w:sz="0" w:space="0"/>
          <w:bottom w:val="none" w:color="000000" w:sz="0" w:space="0"/>
          <w:right w:val="none" w:color="000000" w:sz="0" w:space="0"/>
        </w:pBdr>
        <w:spacing w:line="499" w:lineRule="atLeast"/>
        <w:ind w:firstLine="480"/>
        <w:rPr>
          <w:color w:val="auto"/>
        </w:rPr>
      </w:pPr>
      <w:r>
        <w:rPr>
          <w:rFonts w:ascii="宋体" w:hAnsi="宋体" w:eastAsia="宋体" w:cs="宋体"/>
          <w:color w:val="auto"/>
          <w:sz w:val="24"/>
        </w:rPr>
        <w:t>备注1：从业人员、营业收入、资产总额填报上一年度数据，无上一年度数据的新成立企业可不填报。</w:t>
      </w:r>
    </w:p>
    <w:p w14:paraId="4B873F2B">
      <w:pPr>
        <w:widowControl/>
        <w:pBdr>
          <w:top w:val="none" w:color="000000" w:sz="0" w:space="0"/>
          <w:left w:val="none" w:color="000000" w:sz="0" w:space="0"/>
          <w:bottom w:val="none" w:color="000000" w:sz="0" w:space="0"/>
          <w:right w:val="none" w:color="000000" w:sz="0" w:space="0"/>
        </w:pBdr>
        <w:spacing w:line="499" w:lineRule="atLeast"/>
        <w:ind w:firstLine="480"/>
        <w:rPr>
          <w:color w:val="auto"/>
        </w:rPr>
      </w:pPr>
      <w:r>
        <w:rPr>
          <w:rFonts w:ascii="宋体" w:hAnsi="宋体" w:eastAsia="宋体" w:cs="宋体"/>
          <w:color w:val="auto"/>
          <w:sz w:val="24"/>
        </w:rPr>
        <w:t>备注2：供应商如不提供此声明函，价格将不做相应扣除（如项目全面面向中小企业，则资格审查不通过）。</w:t>
      </w:r>
    </w:p>
    <w:p w14:paraId="1939E023">
      <w:pPr>
        <w:pStyle w:val="36"/>
        <w:widowControl/>
        <w:tabs>
          <w:tab w:val="left" w:pos="4864"/>
        </w:tabs>
        <w:spacing w:line="0" w:lineRule="atLeast"/>
        <w:ind w:right="1560" w:firstLine="120"/>
        <w:jc w:val="center"/>
        <w:rPr>
          <w:rFonts w:ascii="黑体" w:hAnsi="黑体" w:eastAsia="黑体" w:cs="黑体"/>
          <w:i/>
          <w:color w:val="auto"/>
          <w:sz w:val="32"/>
          <w:szCs w:val="32"/>
        </w:rPr>
      </w:pPr>
      <w:r>
        <w:rPr>
          <w:rFonts w:ascii="黑体" w:hAnsi="黑体" w:eastAsia="黑体" w:cs="黑体"/>
          <w:i/>
          <w:color w:val="auto"/>
          <w:sz w:val="32"/>
          <w:szCs w:val="32"/>
        </w:rPr>
        <w:br w:type="page" w:clear="all"/>
      </w:r>
    </w:p>
    <w:p w14:paraId="0B6205FB">
      <w:pPr>
        <w:widowControl/>
        <w:spacing w:before="120"/>
        <w:jc w:val="center"/>
        <w:rPr>
          <w:rFonts w:ascii="黑体" w:hAnsi="黑体" w:eastAsia="黑体" w:cs="黑体"/>
          <w:i/>
          <w:color w:val="auto"/>
          <w:sz w:val="32"/>
          <w:szCs w:val="32"/>
          <w:u w:val="single"/>
        </w:rPr>
      </w:pPr>
      <w:r>
        <w:rPr>
          <w:rFonts w:hint="eastAsia" w:ascii="黑体" w:hAnsi="黑体" w:eastAsia="黑体" w:cs="黑体"/>
          <w:i/>
          <w:color w:val="auto"/>
          <w:sz w:val="32"/>
          <w:szCs w:val="32"/>
          <w:u w:val="single"/>
        </w:rPr>
        <w:t>十、残疾人福利性单位声明函</w:t>
      </w:r>
    </w:p>
    <w:p w14:paraId="4F670DD9">
      <w:pPr>
        <w:widowControl/>
        <w:spacing w:line="560" w:lineRule="exact"/>
        <w:ind w:firstLine="480"/>
        <w:jc w:val="left"/>
        <w:rPr>
          <w:rFonts w:ascii="宋体" w:hAnsi="宋体" w:cs="宋体"/>
          <w:color w:val="auto"/>
          <w:sz w:val="24"/>
        </w:rPr>
      </w:pPr>
      <w:r>
        <w:rPr>
          <w:rFonts w:hint="eastAsia" w:ascii="宋体" w:hAnsi="宋体" w:cs="宋体"/>
          <w:color w:val="auto"/>
          <w:sz w:val="24"/>
        </w:rPr>
        <w:t>本单位郑重声明，根据《财政部民政部中国残疾人联合会关于促进残疾人就业政府采购政策的通知》（财库〔2017〕141号）的规定，本单位为符合条件的残疾人福利性单位，且本单位参加</w:t>
      </w:r>
      <w:r>
        <w:rPr>
          <w:rFonts w:hint="eastAsia" w:ascii="宋体" w:hAnsi="宋体" w:eastAsia="宋体" w:cs="宋体"/>
          <w:color w:val="auto"/>
          <w:sz w:val="24"/>
          <w:szCs w:val="20"/>
          <w:u w:val="single"/>
          <w:lang w:val="en-US" w:eastAsia="zh-CN"/>
        </w:rPr>
        <w:t>江苏省盐城技师学院</w:t>
      </w:r>
      <w:r>
        <w:rPr>
          <w:rFonts w:hint="eastAsia" w:ascii="宋体" w:hAnsi="宋体" w:cs="宋体"/>
          <w:color w:val="auto"/>
          <w:sz w:val="24"/>
        </w:rPr>
        <w:t>单位的采购文件编号为的</w:t>
      </w:r>
      <w:r>
        <w:rPr>
          <w:rFonts w:hint="eastAsia" w:ascii="宋体" w:hAnsi="宋体" w:eastAsia="宋体" w:cs="宋体"/>
          <w:color w:val="auto"/>
          <w:sz w:val="24"/>
          <w:u w:val="single"/>
          <w:lang w:eastAsia="zh-CN"/>
        </w:rPr>
        <w:t>江苏省盐城技师学院智能制造学院工业机器人操作与运维一体化学习工作站建设项目</w:t>
      </w:r>
      <w:r>
        <w:rPr>
          <w:rFonts w:hint="eastAsia" w:ascii="宋体" w:hAnsi="宋体" w:cs="宋体"/>
          <w:color w:val="auto"/>
          <w:sz w:val="24"/>
        </w:rPr>
        <w:t>采购活动提供本单位制造的货物，或者提供其他残疾人福利性单位制造的货物（不包括使用非残疾人福利性单位注册商标的货物）。</w:t>
      </w:r>
    </w:p>
    <w:p w14:paraId="08F39F83">
      <w:pPr>
        <w:widowControl/>
        <w:spacing w:line="560" w:lineRule="exact"/>
        <w:ind w:firstLine="480"/>
        <w:jc w:val="left"/>
        <w:rPr>
          <w:rFonts w:ascii="宋体" w:hAnsi="宋体" w:cs="宋体"/>
          <w:color w:val="auto"/>
          <w:sz w:val="24"/>
        </w:rPr>
      </w:pPr>
      <w:r>
        <w:rPr>
          <w:rFonts w:hint="eastAsia" w:ascii="宋体" w:hAnsi="宋体" w:cs="宋体"/>
          <w:color w:val="auto"/>
          <w:sz w:val="24"/>
        </w:rPr>
        <w:t>本单位对上述声明的真实性负责。如有虚假，将依法承担相应责任。</w:t>
      </w:r>
    </w:p>
    <w:p w14:paraId="2A6A0D89">
      <w:pPr>
        <w:widowControl/>
        <w:spacing w:line="560" w:lineRule="exact"/>
        <w:ind w:firstLine="482"/>
        <w:jc w:val="left"/>
        <w:rPr>
          <w:rFonts w:ascii="宋体" w:hAnsi="宋体" w:cs="宋体"/>
          <w:color w:val="auto"/>
          <w:sz w:val="24"/>
        </w:rPr>
      </w:pPr>
    </w:p>
    <w:p w14:paraId="7C69BD3C">
      <w:pPr>
        <w:widowControl/>
        <w:pBdr>
          <w:top w:val="none" w:color="000000" w:sz="0" w:space="0"/>
          <w:left w:val="none" w:color="000000" w:sz="0" w:space="0"/>
          <w:bottom w:val="none" w:color="000000" w:sz="0" w:space="0"/>
          <w:right w:val="none" w:color="000000" w:sz="0" w:space="0"/>
        </w:pBdr>
        <w:spacing w:line="499" w:lineRule="atLeast"/>
        <w:ind w:firstLine="480"/>
        <w:rPr>
          <w:rFonts w:ascii="宋体" w:hAnsi="宋体" w:eastAsia="宋体" w:cs="宋体"/>
          <w:color w:val="auto"/>
          <w:sz w:val="24"/>
        </w:rPr>
      </w:pPr>
      <w:r>
        <w:rPr>
          <w:rFonts w:ascii="宋体" w:hAnsi="宋体" w:eastAsia="宋体" w:cs="宋体"/>
          <w:color w:val="auto"/>
          <w:sz w:val="24"/>
        </w:rPr>
        <w:t>备注：1、供应商如不提供此声明函，价格将不做相应扣除（如项目全面面向中小企业，则资格审查不通过）。2、中标人为残疾人福利单位的，此声明函将随中标结果同时公告，接受社会监督</w:t>
      </w:r>
      <w:r>
        <w:rPr>
          <w:rFonts w:hint="eastAsia" w:ascii="宋体" w:hAnsi="宋体" w:eastAsia="宋体" w:cs="宋体"/>
          <w:color w:val="auto"/>
          <w:sz w:val="24"/>
        </w:rPr>
        <w:t>。</w:t>
      </w:r>
    </w:p>
    <w:p w14:paraId="2138CC7F">
      <w:pPr>
        <w:widowControl/>
        <w:spacing w:line="520" w:lineRule="exact"/>
        <w:ind w:firstLine="480"/>
        <w:jc w:val="left"/>
        <w:rPr>
          <w:rFonts w:ascii="宋体" w:hAnsi="宋体" w:cs="宋体"/>
          <w:color w:val="auto"/>
          <w:sz w:val="24"/>
        </w:rPr>
      </w:pPr>
    </w:p>
    <w:p w14:paraId="56BA758E">
      <w:pPr>
        <w:widowControl/>
        <w:spacing w:line="520" w:lineRule="exact"/>
        <w:ind w:firstLine="480"/>
        <w:jc w:val="left"/>
        <w:rPr>
          <w:rFonts w:ascii="宋体" w:hAnsi="宋体" w:cs="宋体"/>
          <w:color w:val="auto"/>
          <w:sz w:val="24"/>
        </w:rPr>
      </w:pPr>
    </w:p>
    <w:p w14:paraId="6820D0A1">
      <w:pPr>
        <w:widowControl/>
        <w:spacing w:line="520" w:lineRule="exact"/>
        <w:ind w:right="480" w:firstLine="480"/>
        <w:jc w:val="right"/>
        <w:rPr>
          <w:rFonts w:ascii="宋体" w:hAnsi="宋体" w:cs="宋体"/>
          <w:color w:val="auto"/>
          <w:sz w:val="24"/>
        </w:rPr>
      </w:pPr>
      <w:r>
        <w:rPr>
          <w:rFonts w:hint="eastAsia" w:ascii="宋体" w:hAnsi="宋体" w:cs="宋体"/>
          <w:color w:val="auto"/>
          <w:sz w:val="24"/>
        </w:rPr>
        <w:t>企业名称（加盖CA电子公章）：</w:t>
      </w:r>
    </w:p>
    <w:p w14:paraId="5DC1CBBE">
      <w:pPr>
        <w:widowControl/>
        <w:spacing w:line="520" w:lineRule="exact"/>
        <w:ind w:right="480" w:firstLine="480"/>
        <w:jc w:val="right"/>
        <w:rPr>
          <w:color w:val="auto"/>
        </w:rPr>
      </w:pPr>
      <w:r>
        <w:rPr>
          <w:rFonts w:hint="eastAsia" w:ascii="宋体" w:hAnsi="宋体" w:cs="宋体"/>
          <w:color w:val="auto"/>
          <w:sz w:val="24"/>
        </w:rPr>
        <w:t>日期：</w:t>
      </w:r>
    </w:p>
    <w:p w14:paraId="644A1211">
      <w:pPr>
        <w:widowControl/>
        <w:rPr>
          <w:rFonts w:ascii="微软雅黑" w:hAnsi="宋体" w:eastAsia="微软雅黑" w:cs="黑体"/>
          <w:iCs/>
          <w:color w:val="auto"/>
          <w:sz w:val="30"/>
          <w:szCs w:val="30"/>
        </w:rPr>
      </w:pPr>
      <w:r>
        <w:rPr>
          <w:rFonts w:ascii="微软雅黑" w:hAnsi="宋体" w:eastAsia="微软雅黑" w:cs="黑体"/>
          <w:iCs/>
          <w:color w:val="auto"/>
          <w:sz w:val="30"/>
          <w:szCs w:val="30"/>
        </w:rPr>
        <w:br w:type="page" w:clear="all"/>
      </w:r>
    </w:p>
    <w:p w14:paraId="33CA3ACA">
      <w:pPr>
        <w:pStyle w:val="36"/>
        <w:spacing w:beforeAutospacing="0" w:afterAutospacing="0"/>
        <w:jc w:val="center"/>
        <w:rPr>
          <w:color w:val="auto"/>
        </w:rPr>
      </w:pPr>
      <w:r>
        <w:rPr>
          <w:rFonts w:hint="eastAsia" w:ascii="黑体" w:hAnsi="黑体" w:eastAsia="黑体" w:cs="黑体"/>
          <w:i/>
          <w:color w:val="auto"/>
          <w:sz w:val="32"/>
          <w:szCs w:val="32"/>
          <w:u w:val="single"/>
        </w:rPr>
        <w:t>十一、关于符合本国产品标准的声明函</w:t>
      </w:r>
    </w:p>
    <w:p w14:paraId="3A8985D2">
      <w:pPr>
        <w:pStyle w:val="36"/>
        <w:spacing w:beforeAutospacing="0" w:afterAutospacing="0"/>
        <w:ind w:firstLine="420"/>
        <w:jc w:val="both"/>
        <w:rPr>
          <w:rFonts w:hint="eastAsia" w:eastAsiaTheme="minorEastAsia"/>
          <w:color w:val="auto"/>
          <w:lang w:eastAsia="zh-CN"/>
        </w:rPr>
      </w:pPr>
    </w:p>
    <w:p w14:paraId="4709376A">
      <w:pPr>
        <w:pStyle w:val="36"/>
        <w:spacing w:beforeAutospacing="0" w:afterAutospacing="0" w:line="360" w:lineRule="auto"/>
        <w:ind w:firstLine="420"/>
        <w:jc w:val="both"/>
        <w:rPr>
          <w:color w:val="auto"/>
        </w:rPr>
      </w:pPr>
      <w:r>
        <w:rPr>
          <w:rFonts w:ascii="宋体" w:hAnsi="宋体" w:eastAsia="宋体" w:cs="宋体"/>
          <w:color w:val="auto"/>
        </w:rPr>
        <w:t>本公司（单位）郑重声明，根据《国务院办公厅关于在政府采购中实施本国产品标准及相关政策的通知》（国办发〔2025〕34号）的规定，本公司（单位）提供的以下产品属于本国产品。具体情况如下：</w:t>
      </w:r>
    </w:p>
    <w:p w14:paraId="18176145">
      <w:pPr>
        <w:pStyle w:val="36"/>
        <w:spacing w:before="30" w:beforeAutospacing="0" w:after="30" w:afterAutospacing="0" w:line="360" w:lineRule="auto"/>
        <w:ind w:firstLine="420"/>
        <w:jc w:val="both"/>
        <w:rPr>
          <w:color w:val="auto"/>
        </w:rPr>
      </w:pPr>
      <w:r>
        <w:rPr>
          <w:rFonts w:ascii="宋体" w:hAnsi="宋体" w:eastAsia="宋体" w:cs="宋体"/>
          <w:color w:val="auto"/>
          <w:shd w:val="clear" w:color="auto" w:fill="FFFFFF"/>
        </w:rPr>
        <w:t>1.</w:t>
      </w:r>
      <w:r>
        <w:rPr>
          <w:rFonts w:ascii="宋体" w:hAnsi="宋体" w:eastAsia="宋体" w:cs="宋体"/>
          <w:color w:val="auto"/>
          <w:u w:val="single"/>
          <w:shd w:val="clear" w:color="auto" w:fill="FFFFFF"/>
        </w:rPr>
        <w:t>（产品名称1）</w:t>
      </w:r>
      <w:r>
        <w:rPr>
          <w:rFonts w:ascii="宋体" w:hAnsi="宋体" w:eastAsia="宋体" w:cs="宋体"/>
          <w:color w:val="auto"/>
          <w:shd w:val="clear" w:color="auto" w:fill="FFFFFF"/>
          <w:vertAlign w:val="superscript"/>
        </w:rPr>
        <w:t>1</w:t>
      </w:r>
      <w:r>
        <w:rPr>
          <w:rFonts w:ascii="宋体" w:hAnsi="宋体" w:eastAsia="宋体" w:cs="宋体"/>
          <w:color w:val="auto"/>
          <w:shd w:val="clear" w:color="auto" w:fill="FFFFFF"/>
        </w:rPr>
        <w:t>，生产厂为</w:t>
      </w:r>
      <w:r>
        <w:rPr>
          <w:rFonts w:ascii="宋体" w:hAnsi="宋体" w:eastAsia="宋体" w:cs="宋体"/>
          <w:color w:val="auto"/>
          <w:u w:val="single"/>
          <w:shd w:val="clear" w:color="auto" w:fill="FFFFFF"/>
        </w:rPr>
        <w:t>（厂名）</w:t>
      </w:r>
      <w:r>
        <w:rPr>
          <w:rFonts w:ascii="宋体" w:hAnsi="宋体" w:eastAsia="宋体" w:cs="宋体"/>
          <w:color w:val="auto"/>
          <w:shd w:val="clear" w:color="auto" w:fill="FFFFFF"/>
          <w:vertAlign w:val="superscript"/>
        </w:rPr>
        <w:t>2</w:t>
      </w:r>
      <w:r>
        <w:rPr>
          <w:rFonts w:ascii="宋体" w:hAnsi="宋体" w:eastAsia="宋体" w:cs="宋体"/>
          <w:color w:val="auto"/>
          <w:shd w:val="clear" w:color="auto" w:fill="FFFFFF"/>
        </w:rPr>
        <w:t>，厂址为</w:t>
      </w:r>
      <w:r>
        <w:rPr>
          <w:rFonts w:ascii="宋体" w:hAnsi="宋体" w:eastAsia="宋体" w:cs="宋体"/>
          <w:color w:val="auto"/>
          <w:u w:val="single"/>
          <w:shd w:val="clear" w:color="auto" w:fill="FFFFFF"/>
        </w:rPr>
        <w:t>（生产厂址）</w:t>
      </w:r>
      <w:r>
        <w:rPr>
          <w:rFonts w:ascii="宋体" w:hAnsi="宋体" w:eastAsia="宋体" w:cs="宋体"/>
          <w:color w:val="auto"/>
          <w:shd w:val="clear" w:color="auto" w:fill="FFFFFF"/>
        </w:rPr>
        <w:t>。</w:t>
      </w:r>
      <w:r>
        <w:rPr>
          <w:rFonts w:ascii="宋体" w:hAnsi="宋体" w:eastAsia="宋体" w:cs="宋体"/>
          <w:strike/>
          <w:color w:val="auto"/>
          <w:u w:val="single"/>
          <w:shd w:val="clear" w:color="auto" w:fill="FFFFFF"/>
        </w:rPr>
        <w:t>（产品名称1）</w:t>
      </w:r>
      <w:r>
        <w:rPr>
          <w:rFonts w:ascii="宋体" w:hAnsi="宋体" w:eastAsia="宋体" w:cs="宋体"/>
          <w:color w:val="auto"/>
          <w:shd w:val="clear" w:color="auto" w:fill="FFFFFF"/>
        </w:rPr>
        <w:t>的中国境内生产的组件成本占比≥</w:t>
      </w:r>
      <w:r>
        <w:rPr>
          <w:rFonts w:ascii="宋体" w:hAnsi="宋体" w:eastAsia="宋体" w:cs="宋体"/>
          <w:strike/>
          <w:color w:val="auto"/>
          <w:u w:val="single"/>
          <w:shd w:val="clear" w:color="auto" w:fill="FFFFFF"/>
        </w:rPr>
        <w:t>（规定比例）</w:t>
      </w:r>
      <w:r>
        <w:rPr>
          <w:rFonts w:ascii="宋体" w:hAnsi="宋体" w:eastAsia="宋体" w:cs="宋体"/>
          <w:strike/>
          <w:color w:val="auto"/>
          <w:shd w:val="clear" w:color="auto" w:fill="FFFFFF"/>
          <w:vertAlign w:val="superscript"/>
        </w:rPr>
        <w:t>3</w:t>
      </w:r>
      <w:r>
        <w:rPr>
          <w:rFonts w:ascii="宋体" w:hAnsi="宋体" w:eastAsia="宋体" w:cs="宋体"/>
          <w:color w:val="auto"/>
          <w:shd w:val="clear" w:color="auto" w:fill="FFFFFF"/>
        </w:rPr>
        <w:t>。</w:t>
      </w:r>
      <w:r>
        <w:rPr>
          <w:rFonts w:ascii="宋体" w:hAnsi="宋体" w:eastAsia="宋体" w:cs="宋体"/>
          <w:strike/>
          <w:color w:val="auto"/>
          <w:u w:val="single"/>
          <w:shd w:val="clear" w:color="auto" w:fill="FFFFFF"/>
        </w:rPr>
        <w:t>（产品名称1）</w:t>
      </w:r>
      <w:r>
        <w:rPr>
          <w:rFonts w:ascii="宋体" w:hAnsi="宋体" w:eastAsia="宋体" w:cs="宋体"/>
          <w:color w:val="auto"/>
          <w:shd w:val="clear" w:color="auto" w:fill="FFFFFF"/>
        </w:rPr>
        <w:t>的</w:t>
      </w:r>
      <w:r>
        <w:rPr>
          <w:rFonts w:ascii="宋体" w:hAnsi="宋体" w:eastAsia="宋体" w:cs="宋体"/>
          <w:strike/>
          <w:color w:val="auto"/>
          <w:u w:val="single"/>
          <w:shd w:val="clear" w:color="auto" w:fill="FFFFFF"/>
        </w:rPr>
        <w:t>（关键组件）</w:t>
      </w:r>
      <w:r>
        <w:rPr>
          <w:rFonts w:ascii="宋体" w:hAnsi="宋体" w:eastAsia="宋体" w:cs="宋体"/>
          <w:strike/>
          <w:color w:val="auto"/>
          <w:shd w:val="clear" w:color="auto" w:fill="FFFFFF"/>
          <w:vertAlign w:val="superscript"/>
        </w:rPr>
        <w:t>4</w:t>
      </w:r>
      <w:r>
        <w:rPr>
          <w:rFonts w:ascii="宋体" w:hAnsi="宋体" w:eastAsia="宋体" w:cs="宋体"/>
          <w:color w:val="auto"/>
          <w:shd w:val="clear" w:color="auto" w:fill="FFFFFF"/>
        </w:rPr>
        <w:t>在中国境内生产。</w:t>
      </w:r>
      <w:r>
        <w:rPr>
          <w:rFonts w:ascii="宋体" w:hAnsi="宋体" w:eastAsia="宋体" w:cs="宋体"/>
          <w:strike/>
          <w:color w:val="auto"/>
          <w:u w:val="single"/>
          <w:shd w:val="clear" w:color="auto" w:fill="FFFFFF"/>
        </w:rPr>
        <w:t>（产品名称1）</w:t>
      </w:r>
      <w:r>
        <w:rPr>
          <w:rFonts w:ascii="宋体" w:hAnsi="宋体" w:eastAsia="宋体" w:cs="宋体"/>
          <w:color w:val="auto"/>
          <w:shd w:val="clear" w:color="auto" w:fill="FFFFFF"/>
        </w:rPr>
        <w:t>的</w:t>
      </w:r>
      <w:r>
        <w:rPr>
          <w:rFonts w:ascii="宋体" w:hAnsi="宋体" w:eastAsia="宋体" w:cs="宋体"/>
          <w:strike/>
          <w:color w:val="auto"/>
          <w:u w:val="single"/>
          <w:shd w:val="clear" w:color="auto" w:fill="FFFFFF"/>
        </w:rPr>
        <w:t>（关键工序）</w:t>
      </w:r>
      <w:r>
        <w:rPr>
          <w:rFonts w:ascii="宋体" w:hAnsi="宋体" w:eastAsia="宋体" w:cs="宋体"/>
          <w:strike/>
          <w:color w:val="auto"/>
          <w:shd w:val="clear" w:color="auto" w:fill="FFFFFF"/>
          <w:vertAlign w:val="superscript"/>
        </w:rPr>
        <w:t>5</w:t>
      </w:r>
      <w:r>
        <w:rPr>
          <w:rFonts w:ascii="宋体" w:hAnsi="宋体" w:eastAsia="宋体" w:cs="宋体"/>
          <w:color w:val="auto"/>
          <w:shd w:val="clear" w:color="auto" w:fill="FFFFFF"/>
        </w:rPr>
        <w:t>在中国境内完成。</w:t>
      </w:r>
    </w:p>
    <w:p w14:paraId="1962312B">
      <w:pPr>
        <w:pStyle w:val="36"/>
        <w:spacing w:before="30" w:beforeAutospacing="0" w:after="30" w:afterAutospacing="0" w:line="360" w:lineRule="auto"/>
        <w:ind w:firstLine="420"/>
        <w:jc w:val="both"/>
        <w:rPr>
          <w:color w:val="auto"/>
        </w:rPr>
      </w:pPr>
      <w:r>
        <w:rPr>
          <w:rFonts w:ascii="宋体" w:hAnsi="宋体" w:eastAsia="宋体" w:cs="宋体"/>
          <w:color w:val="auto"/>
          <w:shd w:val="clear" w:color="auto" w:fill="FFFFFF"/>
        </w:rPr>
        <w:t>2.</w:t>
      </w:r>
      <w:r>
        <w:rPr>
          <w:rFonts w:ascii="宋体" w:hAnsi="宋体" w:eastAsia="宋体" w:cs="宋体"/>
          <w:color w:val="auto"/>
          <w:u w:val="single"/>
          <w:shd w:val="clear" w:color="auto" w:fill="FFFFFF"/>
        </w:rPr>
        <w:t>（产品名称2）</w:t>
      </w:r>
      <w:r>
        <w:rPr>
          <w:rFonts w:ascii="宋体" w:hAnsi="宋体" w:eastAsia="宋体" w:cs="宋体"/>
          <w:color w:val="auto"/>
          <w:shd w:val="clear" w:color="auto" w:fill="FFFFFF"/>
        </w:rPr>
        <w:t>，生产厂为</w:t>
      </w:r>
      <w:r>
        <w:rPr>
          <w:rFonts w:ascii="宋体" w:hAnsi="宋体" w:eastAsia="宋体" w:cs="宋体"/>
          <w:color w:val="auto"/>
          <w:u w:val="single"/>
          <w:shd w:val="clear" w:color="auto" w:fill="FFFFFF"/>
        </w:rPr>
        <w:t>（厂名）</w:t>
      </w:r>
      <w:r>
        <w:rPr>
          <w:rFonts w:ascii="宋体" w:hAnsi="宋体" w:eastAsia="宋体" w:cs="宋体"/>
          <w:color w:val="auto"/>
          <w:shd w:val="clear" w:color="auto" w:fill="FFFFFF"/>
        </w:rPr>
        <w:t>，厂址为</w:t>
      </w:r>
      <w:r>
        <w:rPr>
          <w:rFonts w:ascii="宋体" w:hAnsi="宋体" w:eastAsia="宋体" w:cs="宋体"/>
          <w:color w:val="auto"/>
          <w:u w:val="single"/>
          <w:shd w:val="clear" w:color="auto" w:fill="FFFFFF"/>
        </w:rPr>
        <w:t>（生产厂址）</w:t>
      </w:r>
      <w:r>
        <w:rPr>
          <w:rFonts w:ascii="宋体" w:hAnsi="宋体" w:eastAsia="宋体" w:cs="宋体"/>
          <w:color w:val="auto"/>
          <w:shd w:val="clear" w:color="auto" w:fill="FFFFFF"/>
        </w:rPr>
        <w:t>。</w:t>
      </w:r>
      <w:r>
        <w:rPr>
          <w:rFonts w:ascii="宋体" w:hAnsi="宋体" w:eastAsia="宋体" w:cs="宋体"/>
          <w:strike/>
          <w:color w:val="auto"/>
          <w:u w:val="single"/>
          <w:shd w:val="clear" w:color="auto" w:fill="FFFFFF"/>
        </w:rPr>
        <w:t>（产品名称2）</w:t>
      </w:r>
      <w:r>
        <w:rPr>
          <w:rFonts w:ascii="宋体" w:hAnsi="宋体" w:eastAsia="宋体" w:cs="宋体"/>
          <w:color w:val="auto"/>
          <w:shd w:val="clear" w:color="auto" w:fill="FFFFFF"/>
        </w:rPr>
        <w:t>的中国境内生产的组件成本占比≥</w:t>
      </w:r>
      <w:r>
        <w:rPr>
          <w:rFonts w:ascii="宋体" w:hAnsi="宋体" w:eastAsia="宋体" w:cs="宋体"/>
          <w:strike/>
          <w:color w:val="auto"/>
          <w:u w:val="single"/>
          <w:shd w:val="clear" w:color="auto" w:fill="FFFFFF"/>
        </w:rPr>
        <w:t>（规定比例）</w:t>
      </w:r>
      <w:r>
        <w:rPr>
          <w:rFonts w:ascii="宋体" w:hAnsi="宋体" w:eastAsia="宋体" w:cs="宋体"/>
          <w:color w:val="auto"/>
          <w:shd w:val="clear" w:color="auto" w:fill="FFFFFF"/>
        </w:rPr>
        <w:t>。</w:t>
      </w:r>
      <w:r>
        <w:rPr>
          <w:rFonts w:ascii="宋体" w:hAnsi="宋体" w:eastAsia="宋体" w:cs="宋体"/>
          <w:strike/>
          <w:color w:val="auto"/>
          <w:u w:val="single"/>
          <w:shd w:val="clear" w:color="auto" w:fill="FFFFFF"/>
        </w:rPr>
        <w:t>（产品名称2）</w:t>
      </w:r>
      <w:r>
        <w:rPr>
          <w:rFonts w:ascii="宋体" w:hAnsi="宋体" w:eastAsia="宋体" w:cs="宋体"/>
          <w:color w:val="auto"/>
          <w:shd w:val="clear" w:color="auto" w:fill="FFFFFF"/>
        </w:rPr>
        <w:t>的</w:t>
      </w:r>
      <w:r>
        <w:rPr>
          <w:rFonts w:ascii="宋体" w:hAnsi="宋体" w:eastAsia="宋体" w:cs="宋体"/>
          <w:strike/>
          <w:color w:val="auto"/>
          <w:u w:val="single"/>
          <w:shd w:val="clear" w:color="auto" w:fill="FFFFFF"/>
        </w:rPr>
        <w:t>（关键组件）</w:t>
      </w:r>
      <w:r>
        <w:rPr>
          <w:rFonts w:ascii="宋体" w:hAnsi="宋体" w:eastAsia="宋体" w:cs="宋体"/>
          <w:color w:val="auto"/>
          <w:shd w:val="clear" w:color="auto" w:fill="FFFFFF"/>
        </w:rPr>
        <w:t>在中国境内生产。</w:t>
      </w:r>
      <w:r>
        <w:rPr>
          <w:rFonts w:ascii="宋体" w:hAnsi="宋体" w:eastAsia="宋体" w:cs="宋体"/>
          <w:strike/>
          <w:color w:val="auto"/>
          <w:u w:val="single"/>
          <w:shd w:val="clear" w:color="auto" w:fill="FFFFFF"/>
        </w:rPr>
        <w:t>（产品名称1）</w:t>
      </w:r>
      <w:r>
        <w:rPr>
          <w:rFonts w:ascii="宋体" w:hAnsi="宋体" w:eastAsia="宋体" w:cs="宋体"/>
          <w:color w:val="auto"/>
          <w:shd w:val="clear" w:color="auto" w:fill="FFFFFF"/>
        </w:rPr>
        <w:t>的</w:t>
      </w:r>
      <w:r>
        <w:rPr>
          <w:rFonts w:ascii="宋体" w:hAnsi="宋体" w:eastAsia="宋体" w:cs="宋体"/>
          <w:strike/>
          <w:color w:val="auto"/>
          <w:u w:val="single"/>
          <w:shd w:val="clear" w:color="auto" w:fill="FFFFFF"/>
        </w:rPr>
        <w:t>（关键工序）</w:t>
      </w:r>
      <w:r>
        <w:rPr>
          <w:rFonts w:ascii="宋体" w:hAnsi="宋体" w:eastAsia="宋体" w:cs="宋体"/>
          <w:color w:val="auto"/>
          <w:shd w:val="clear" w:color="auto" w:fill="FFFFFF"/>
        </w:rPr>
        <w:t>在中国境内完成。</w:t>
      </w:r>
    </w:p>
    <w:p w14:paraId="6441ED2B">
      <w:pPr>
        <w:pStyle w:val="36"/>
        <w:spacing w:before="30" w:beforeAutospacing="0" w:after="30" w:afterAutospacing="0" w:line="360" w:lineRule="auto"/>
        <w:ind w:firstLine="420"/>
        <w:jc w:val="both"/>
        <w:rPr>
          <w:color w:val="auto"/>
        </w:rPr>
      </w:pPr>
      <w:r>
        <w:rPr>
          <w:rFonts w:ascii="宋体" w:hAnsi="宋体" w:eastAsia="宋体" w:cs="宋体"/>
          <w:color w:val="auto"/>
          <w:shd w:val="clear" w:color="auto" w:fill="FFFFFF"/>
        </w:rPr>
        <w:t>……</w:t>
      </w:r>
    </w:p>
    <w:p w14:paraId="3B90E654">
      <w:pPr>
        <w:pStyle w:val="36"/>
        <w:spacing w:before="30" w:beforeAutospacing="0" w:after="30" w:afterAutospacing="0" w:line="360" w:lineRule="auto"/>
        <w:ind w:right="480"/>
        <w:rPr>
          <w:rFonts w:hint="eastAsia" w:ascii="宋体" w:hAnsi="宋体" w:eastAsia="宋体" w:cs="宋体"/>
          <w:color w:val="auto"/>
          <w:shd w:val="clear" w:color="auto" w:fill="FFFFFF"/>
          <w:lang w:eastAsia="zh-CN"/>
        </w:rPr>
      </w:pPr>
      <w:r>
        <w:rPr>
          <w:rFonts w:ascii="宋体" w:hAnsi="宋体" w:eastAsia="宋体" w:cs="宋体"/>
          <w:color w:val="auto"/>
          <w:shd w:val="clear" w:color="auto" w:fill="FFFFFF"/>
        </w:rPr>
        <w:t>本公司（单位）对上述声明内容的真实性负责。如有虚假，愿承担相应法律责任。</w:t>
      </w:r>
    </w:p>
    <w:p w14:paraId="5BA6B925">
      <w:pPr>
        <w:pStyle w:val="36"/>
        <w:spacing w:before="30" w:beforeAutospacing="0" w:after="30" w:afterAutospacing="0" w:line="360" w:lineRule="auto"/>
        <w:ind w:right="480"/>
        <w:jc w:val="center"/>
        <w:rPr>
          <w:color w:val="auto"/>
        </w:rPr>
      </w:pPr>
      <w:r>
        <w:rPr>
          <w:rFonts w:ascii="宋体" w:hAnsi="宋体" w:eastAsia="宋体" w:cs="宋体"/>
          <w:color w:val="auto"/>
          <w:shd w:val="clear" w:color="auto" w:fill="FFFFFF"/>
        </w:rPr>
        <w:t>公司（单位）名称（盖章）：</w:t>
      </w:r>
    </w:p>
    <w:p w14:paraId="379A36D7">
      <w:pPr>
        <w:pStyle w:val="36"/>
        <w:spacing w:before="30" w:beforeAutospacing="0" w:after="30" w:afterAutospacing="0" w:line="360" w:lineRule="auto"/>
        <w:jc w:val="both"/>
        <w:rPr>
          <w:color w:val="auto"/>
        </w:rPr>
      </w:pPr>
      <w:r>
        <w:rPr>
          <w:rFonts w:ascii="宋体" w:hAnsi="宋体" w:eastAsia="宋体" w:cs="宋体"/>
          <w:color w:val="auto"/>
          <w:shd w:val="clear" w:color="auto" w:fill="FFFFFF"/>
        </w:rPr>
        <w:t>日期：　   年　  月　  日</w:t>
      </w:r>
    </w:p>
    <w:p w14:paraId="59821FED">
      <w:pPr>
        <w:pStyle w:val="36"/>
        <w:spacing w:before="30" w:beforeAutospacing="0" w:after="30" w:afterAutospacing="0" w:line="360" w:lineRule="auto"/>
        <w:jc w:val="both"/>
        <w:rPr>
          <w:b/>
          <w:bCs/>
          <w:color w:val="auto"/>
        </w:rPr>
      </w:pPr>
      <w:r>
        <w:rPr>
          <w:rFonts w:ascii="宋体" w:hAnsi="宋体" w:eastAsia="宋体" w:cs="宋体"/>
          <w:b/>
          <w:bCs/>
          <w:color w:val="auto"/>
          <w:shd w:val="clear" w:color="auto" w:fill="FFFFFF"/>
        </w:rPr>
        <w:t>1.产品如有型号，请在“产品名称”栏一并填写。</w:t>
      </w:r>
    </w:p>
    <w:p w14:paraId="191F8534">
      <w:pPr>
        <w:pStyle w:val="36"/>
        <w:spacing w:before="30" w:beforeAutospacing="0" w:after="30" w:afterAutospacing="0" w:line="360" w:lineRule="auto"/>
        <w:jc w:val="both"/>
        <w:rPr>
          <w:b/>
          <w:bCs/>
          <w:color w:val="auto"/>
        </w:rPr>
      </w:pPr>
      <w:r>
        <w:rPr>
          <w:rFonts w:ascii="宋体" w:hAnsi="宋体" w:eastAsia="宋体" w:cs="宋体"/>
          <w:b/>
          <w:bCs/>
          <w:color w:val="auto"/>
          <w:shd w:val="clear" w:color="auto" w:fill="FFFFFF"/>
        </w:rPr>
        <w:t>2.生产厂名与厂址应与生产厂营业执照载明的相关信息保持一致。</w:t>
      </w:r>
    </w:p>
    <w:p w14:paraId="226FE8E7">
      <w:pPr>
        <w:pStyle w:val="36"/>
        <w:spacing w:before="30" w:beforeAutospacing="0" w:after="30" w:afterAutospacing="0" w:line="360" w:lineRule="auto"/>
        <w:jc w:val="both"/>
        <w:rPr>
          <w:b/>
          <w:bCs/>
          <w:color w:val="auto"/>
        </w:rPr>
      </w:pPr>
      <w:r>
        <w:rPr>
          <w:rFonts w:ascii="宋体" w:hAnsi="宋体" w:eastAsia="宋体" w:cs="宋体"/>
          <w:b/>
          <w:bCs/>
          <w:color w:val="auto"/>
          <w:shd w:val="clear" w:color="auto" w:fill="FFFFFF"/>
        </w:rPr>
        <w:t>3.该产品的中国境内生产的组件成本占比相关要求实施前，“规定比例”栏可不填，下同。</w:t>
      </w:r>
    </w:p>
    <w:p w14:paraId="5D737761">
      <w:pPr>
        <w:pStyle w:val="36"/>
        <w:spacing w:before="30" w:beforeAutospacing="0" w:after="30" w:afterAutospacing="0" w:line="360" w:lineRule="auto"/>
        <w:jc w:val="both"/>
        <w:rPr>
          <w:b/>
          <w:bCs/>
          <w:color w:val="auto"/>
        </w:rPr>
      </w:pPr>
      <w:r>
        <w:rPr>
          <w:rFonts w:ascii="宋体" w:hAnsi="宋体" w:eastAsia="宋体" w:cs="宋体"/>
          <w:b/>
          <w:bCs/>
          <w:color w:val="auto"/>
          <w:shd w:val="clear" w:color="auto" w:fill="FFFFFF"/>
        </w:rPr>
        <w:t>4.该产品的关键组件要求实施前，“关键组件”栏可不填，下同。</w:t>
      </w:r>
    </w:p>
    <w:p w14:paraId="16A038E3">
      <w:pPr>
        <w:pStyle w:val="36"/>
        <w:spacing w:before="30" w:beforeAutospacing="0" w:after="30" w:afterAutospacing="0" w:line="360" w:lineRule="auto"/>
        <w:jc w:val="both"/>
        <w:rPr>
          <w:b/>
          <w:bCs/>
          <w:color w:val="auto"/>
        </w:rPr>
      </w:pPr>
      <w:r>
        <w:rPr>
          <w:rFonts w:ascii="宋体" w:hAnsi="宋体" w:eastAsia="宋体" w:cs="宋体"/>
          <w:b/>
          <w:bCs/>
          <w:color w:val="auto"/>
          <w:shd w:val="clear" w:color="auto" w:fill="FFFFFF"/>
        </w:rPr>
        <w:t>5.该产品的关键工序要求实施前，“关键工序”栏可不填，下同。</w:t>
      </w:r>
    </w:p>
    <w:p w14:paraId="5BBDDC83">
      <w:pPr>
        <w:pStyle w:val="36"/>
        <w:spacing w:before="30" w:beforeAutospacing="0" w:after="30" w:afterAutospacing="0" w:line="360" w:lineRule="auto"/>
        <w:jc w:val="both"/>
        <w:rPr>
          <w:rFonts w:ascii="宋体" w:hAnsi="宋体" w:eastAsia="宋体" w:cs="宋体"/>
          <w:b/>
          <w:bCs/>
          <w:color w:val="auto"/>
          <w:shd w:val="clear" w:color="auto" w:fill="FFFFFF"/>
        </w:rPr>
      </w:pPr>
      <w:r>
        <w:rPr>
          <w:rFonts w:ascii="宋体" w:hAnsi="宋体" w:eastAsia="宋体" w:cs="宋体"/>
          <w:b/>
          <w:bCs/>
          <w:color w:val="auto"/>
          <w:shd w:val="clear" w:color="auto" w:fill="FFFFFF"/>
        </w:rPr>
        <w:t>6.用</w:t>
      </w:r>
      <w:r>
        <w:rPr>
          <w:rFonts w:hint="eastAsia" w:ascii="宋体" w:hAnsi="宋体" w:eastAsia="宋体" w:cs="宋体"/>
          <w:b/>
          <w:bCs/>
          <w:color w:val="auto"/>
          <w:shd w:val="clear" w:color="auto" w:fill="FFFFFF"/>
        </w:rPr>
        <w:t>横</w:t>
      </w:r>
      <w:r>
        <w:rPr>
          <w:rFonts w:ascii="宋体" w:hAnsi="宋体" w:eastAsia="宋体" w:cs="宋体"/>
          <w:b/>
          <w:bCs/>
          <w:color w:val="auto"/>
          <w:shd w:val="clear" w:color="auto" w:fill="FFFFFF"/>
        </w:rPr>
        <w:t>线划除的地方无需填写。</w:t>
      </w:r>
    </w:p>
    <w:p w14:paraId="3CF48B03">
      <w:pPr>
        <w:spacing w:line="360" w:lineRule="auto"/>
        <w:rPr>
          <w:b/>
          <w:bCs/>
          <w:color w:val="auto"/>
        </w:rPr>
      </w:pPr>
      <w:r>
        <w:rPr>
          <w:rFonts w:hint="eastAsia" w:ascii="宋体" w:hAnsi="宋体" w:eastAsia="宋体" w:cs="宋体"/>
          <w:b/>
          <w:bCs/>
          <w:color w:val="auto"/>
          <w:sz w:val="24"/>
        </w:rPr>
        <w:t>备注：进口产品属于非本国产品。但对一些非进口产品，如果不满足《国务院办公厅关于在政府采购中实施本国产品标准及相关政策的通知》（国办发〔2025〕34号，以下简称《通知》）规定的“在中国境内生产”等条件，这些产品也属于非本国产品。</w:t>
      </w:r>
      <w:r>
        <w:rPr>
          <w:rFonts w:hint="eastAsia" w:ascii="宋体" w:hAnsi="宋体" w:eastAsia="宋体" w:cs="宋体"/>
          <w:b/>
          <w:bCs/>
          <w:color w:val="auto"/>
          <w:sz w:val="24"/>
          <w:u w:val="single"/>
        </w:rPr>
        <w:t>故，如供应商所提供产品为本国产品的，应当对其提供的产品出具《关于符合本国产品标准的声明函》（以下简称《声明函》），不出具《声明函》的，不享受政府采购对本国产品的支持政策。</w:t>
      </w:r>
    </w:p>
    <w:p w14:paraId="13A14A19">
      <w:pPr>
        <w:widowControl/>
        <w:spacing w:before="120"/>
        <w:jc w:val="center"/>
        <w:rPr>
          <w:rFonts w:ascii="黑体" w:hAnsi="黑体" w:eastAsia="黑体" w:cs="黑体"/>
          <w:i/>
          <w:color w:val="auto"/>
          <w:sz w:val="32"/>
          <w:szCs w:val="32"/>
          <w:u w:val="single"/>
        </w:rPr>
      </w:pPr>
      <w:r>
        <w:rPr>
          <w:rFonts w:hint="eastAsia" w:ascii="黑体" w:hAnsi="黑体" w:eastAsia="黑体" w:cs="黑体"/>
          <w:i/>
          <w:color w:val="auto"/>
          <w:sz w:val="32"/>
          <w:szCs w:val="32"/>
          <w:u w:val="single"/>
        </w:rPr>
        <w:t>十二、投标分项报价表</w:t>
      </w:r>
    </w:p>
    <w:p w14:paraId="184A7843">
      <w:pPr>
        <w:pStyle w:val="17"/>
        <w:rPr>
          <w:color w:val="auto"/>
        </w:rPr>
      </w:pPr>
    </w:p>
    <w:tbl>
      <w:tblPr>
        <w:tblStyle w:val="42"/>
        <w:tblW w:w="86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9"/>
        <w:gridCol w:w="1568"/>
        <w:gridCol w:w="980"/>
        <w:gridCol w:w="980"/>
        <w:gridCol w:w="980"/>
        <w:gridCol w:w="1280"/>
        <w:gridCol w:w="1157"/>
        <w:gridCol w:w="1012"/>
      </w:tblGrid>
      <w:tr w14:paraId="68B1D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739" w:type="dxa"/>
            <w:shd w:val="clear" w:color="auto" w:fill="auto"/>
            <w:noWrap w:val="0"/>
            <w:vAlign w:val="center"/>
          </w:tcPr>
          <w:p w14:paraId="00E44A08">
            <w:pPr>
              <w:keepNext w:val="0"/>
              <w:keepLines w:val="0"/>
              <w:widowControl/>
              <w:suppressLineNumbers w:val="0"/>
              <w:spacing w:before="0" w:beforeAutospacing="0" w:after="0" w:afterAutospacing="0"/>
              <w:ind w:left="0" w:right="0"/>
              <w:rPr>
                <w:rFonts w:hint="eastAsia" w:ascii="Calibri" w:hAnsi="Calibri" w:eastAsia="宋体" w:cs="宋体"/>
                <w:color w:val="auto"/>
                <w:sz w:val="24"/>
              </w:rPr>
            </w:pPr>
            <w:bookmarkStart w:id="197" w:name="RANGE!A2"/>
            <w:bookmarkEnd w:id="197"/>
            <w:r>
              <w:rPr>
                <w:rFonts w:hint="eastAsia" w:ascii="宋体" w:hAnsi="宋体" w:eastAsia="宋体" w:cs="宋体"/>
                <w:color w:val="auto"/>
                <w:sz w:val="24"/>
              </w:rPr>
              <w:t>序号</w:t>
            </w:r>
          </w:p>
        </w:tc>
        <w:tc>
          <w:tcPr>
            <w:tcW w:w="1568" w:type="dxa"/>
            <w:shd w:val="clear" w:color="auto" w:fill="auto"/>
            <w:noWrap w:val="0"/>
            <w:vAlign w:val="center"/>
          </w:tcPr>
          <w:p w14:paraId="57E01272">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rPr>
            </w:pPr>
            <w:r>
              <w:rPr>
                <w:rFonts w:hint="eastAsia" w:ascii="宋体" w:hAnsi="宋体" w:eastAsia="宋体" w:cs="宋体"/>
                <w:color w:val="auto"/>
                <w:sz w:val="24"/>
              </w:rPr>
              <w:t>产品名称</w:t>
            </w:r>
          </w:p>
        </w:tc>
        <w:tc>
          <w:tcPr>
            <w:tcW w:w="980" w:type="dxa"/>
            <w:shd w:val="clear" w:color="auto" w:fill="auto"/>
            <w:noWrap w:val="0"/>
            <w:vAlign w:val="center"/>
          </w:tcPr>
          <w:p w14:paraId="75CC3BD3">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rPr>
            </w:pPr>
            <w:r>
              <w:rPr>
                <w:rFonts w:hint="eastAsia" w:ascii="宋体" w:hAnsi="宋体" w:eastAsia="宋体" w:cs="宋体"/>
                <w:color w:val="auto"/>
                <w:sz w:val="24"/>
              </w:rPr>
              <w:t>品牌及型号</w:t>
            </w:r>
          </w:p>
        </w:tc>
        <w:tc>
          <w:tcPr>
            <w:tcW w:w="980" w:type="dxa"/>
            <w:shd w:val="clear" w:color="auto" w:fill="auto"/>
            <w:noWrap w:val="0"/>
            <w:vAlign w:val="center"/>
          </w:tcPr>
          <w:p w14:paraId="5C24AA33">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rPr>
            </w:pPr>
            <w:r>
              <w:rPr>
                <w:rFonts w:hint="eastAsia" w:ascii="宋体" w:hAnsi="宋体" w:eastAsia="宋体" w:cs="宋体"/>
                <w:color w:val="auto"/>
                <w:sz w:val="24"/>
              </w:rPr>
              <w:t>交付期</w:t>
            </w:r>
          </w:p>
        </w:tc>
        <w:tc>
          <w:tcPr>
            <w:tcW w:w="980" w:type="dxa"/>
            <w:shd w:val="clear" w:color="auto" w:fill="auto"/>
            <w:noWrap w:val="0"/>
            <w:vAlign w:val="center"/>
          </w:tcPr>
          <w:p w14:paraId="30938FBE">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rPr>
            </w:pPr>
            <w:r>
              <w:rPr>
                <w:rFonts w:hint="eastAsia" w:ascii="宋体" w:hAnsi="宋体" w:eastAsia="宋体" w:cs="宋体"/>
                <w:color w:val="auto"/>
                <w:sz w:val="24"/>
              </w:rPr>
              <w:t>数量</w:t>
            </w:r>
          </w:p>
        </w:tc>
        <w:tc>
          <w:tcPr>
            <w:tcW w:w="1280" w:type="dxa"/>
            <w:shd w:val="clear" w:color="auto" w:fill="auto"/>
            <w:noWrap w:val="0"/>
            <w:vAlign w:val="center"/>
          </w:tcPr>
          <w:p w14:paraId="3B428E40">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rPr>
            </w:pPr>
            <w:r>
              <w:rPr>
                <w:rFonts w:hint="eastAsia" w:ascii="宋体" w:hAnsi="宋体" w:eastAsia="宋体" w:cs="宋体"/>
                <w:color w:val="auto"/>
                <w:sz w:val="24"/>
              </w:rPr>
              <w:t>分项单价</w:t>
            </w:r>
          </w:p>
        </w:tc>
        <w:tc>
          <w:tcPr>
            <w:tcW w:w="1157" w:type="dxa"/>
            <w:shd w:val="clear" w:color="auto" w:fill="auto"/>
            <w:noWrap w:val="0"/>
            <w:vAlign w:val="center"/>
          </w:tcPr>
          <w:p w14:paraId="7E834019">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rPr>
            </w:pPr>
            <w:r>
              <w:rPr>
                <w:rFonts w:hint="eastAsia" w:ascii="宋体" w:hAnsi="宋体" w:eastAsia="宋体" w:cs="宋体"/>
                <w:color w:val="auto"/>
                <w:sz w:val="24"/>
              </w:rPr>
              <w:t>分项</w:t>
            </w:r>
          </w:p>
          <w:p w14:paraId="1A23263B">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rPr>
            </w:pPr>
            <w:r>
              <w:rPr>
                <w:rFonts w:hint="eastAsia" w:ascii="宋体" w:hAnsi="宋体" w:eastAsia="宋体" w:cs="宋体"/>
                <w:color w:val="auto"/>
                <w:sz w:val="24"/>
              </w:rPr>
              <w:t>总价</w:t>
            </w:r>
          </w:p>
        </w:tc>
        <w:tc>
          <w:tcPr>
            <w:tcW w:w="1012" w:type="dxa"/>
            <w:shd w:val="clear" w:color="auto" w:fill="auto"/>
            <w:noWrap w:val="0"/>
            <w:vAlign w:val="center"/>
          </w:tcPr>
          <w:p w14:paraId="39F2F32B">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rPr>
            </w:pPr>
            <w:r>
              <w:rPr>
                <w:rFonts w:hint="eastAsia" w:ascii="宋体" w:hAnsi="宋体" w:eastAsia="宋体" w:cs="宋体"/>
                <w:color w:val="auto"/>
                <w:sz w:val="24"/>
              </w:rPr>
              <w:t>备注</w:t>
            </w:r>
          </w:p>
        </w:tc>
      </w:tr>
      <w:tr w14:paraId="5A669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739" w:type="dxa"/>
            <w:shd w:val="clear" w:color="auto" w:fill="auto"/>
            <w:noWrap w:val="0"/>
            <w:vAlign w:val="center"/>
          </w:tcPr>
          <w:p w14:paraId="19B1F1CE">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rPr>
            </w:pPr>
            <w:r>
              <w:rPr>
                <w:rFonts w:hint="eastAsia" w:ascii="宋体" w:hAnsi="宋体" w:eastAsia="宋体" w:cs="宋体"/>
                <w:color w:val="auto"/>
                <w:sz w:val="24"/>
              </w:rPr>
              <w:t>1</w:t>
            </w:r>
          </w:p>
        </w:tc>
        <w:tc>
          <w:tcPr>
            <w:tcW w:w="1568" w:type="dxa"/>
            <w:shd w:val="clear" w:color="auto" w:fill="auto"/>
            <w:noWrap w:val="0"/>
            <w:vAlign w:val="center"/>
          </w:tcPr>
          <w:p w14:paraId="6AB6445B">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rPr>
            </w:pPr>
          </w:p>
        </w:tc>
        <w:tc>
          <w:tcPr>
            <w:tcW w:w="980" w:type="dxa"/>
            <w:shd w:val="clear" w:color="auto" w:fill="auto"/>
            <w:noWrap w:val="0"/>
            <w:vAlign w:val="center"/>
          </w:tcPr>
          <w:p w14:paraId="5D82A0E2">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c>
          <w:tcPr>
            <w:tcW w:w="980" w:type="dxa"/>
            <w:shd w:val="clear" w:color="auto" w:fill="auto"/>
            <w:noWrap w:val="0"/>
            <w:vAlign w:val="center"/>
          </w:tcPr>
          <w:p w14:paraId="345259F6">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c>
          <w:tcPr>
            <w:tcW w:w="980" w:type="dxa"/>
            <w:shd w:val="clear" w:color="auto" w:fill="auto"/>
            <w:noWrap w:val="0"/>
            <w:vAlign w:val="center"/>
          </w:tcPr>
          <w:p w14:paraId="21F2FFA6">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c>
          <w:tcPr>
            <w:tcW w:w="1280" w:type="dxa"/>
            <w:shd w:val="clear" w:color="auto" w:fill="auto"/>
            <w:noWrap w:val="0"/>
            <w:vAlign w:val="center"/>
          </w:tcPr>
          <w:p w14:paraId="0EFDA77E">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c>
          <w:tcPr>
            <w:tcW w:w="1157" w:type="dxa"/>
            <w:shd w:val="clear" w:color="auto" w:fill="auto"/>
            <w:noWrap w:val="0"/>
            <w:vAlign w:val="center"/>
          </w:tcPr>
          <w:p w14:paraId="6CF758A8">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c>
          <w:tcPr>
            <w:tcW w:w="1012" w:type="dxa"/>
            <w:shd w:val="clear" w:color="auto" w:fill="auto"/>
            <w:noWrap w:val="0"/>
            <w:vAlign w:val="center"/>
          </w:tcPr>
          <w:p w14:paraId="6A36FED5">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r>
      <w:tr w14:paraId="30C51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jc w:val="center"/>
        </w:trPr>
        <w:tc>
          <w:tcPr>
            <w:tcW w:w="739" w:type="dxa"/>
            <w:shd w:val="clear" w:color="auto" w:fill="auto"/>
            <w:noWrap w:val="0"/>
            <w:vAlign w:val="center"/>
          </w:tcPr>
          <w:p w14:paraId="267BFFBD">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rPr>
            </w:pPr>
            <w:r>
              <w:rPr>
                <w:rFonts w:hint="eastAsia" w:ascii="宋体" w:hAnsi="宋体" w:eastAsia="宋体" w:cs="宋体"/>
                <w:color w:val="auto"/>
                <w:sz w:val="24"/>
              </w:rPr>
              <w:t>2</w:t>
            </w:r>
          </w:p>
        </w:tc>
        <w:tc>
          <w:tcPr>
            <w:tcW w:w="1568" w:type="dxa"/>
            <w:shd w:val="clear" w:color="auto" w:fill="auto"/>
            <w:noWrap w:val="0"/>
            <w:vAlign w:val="center"/>
          </w:tcPr>
          <w:p w14:paraId="23C4363F">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rPr>
            </w:pPr>
          </w:p>
        </w:tc>
        <w:tc>
          <w:tcPr>
            <w:tcW w:w="980" w:type="dxa"/>
            <w:shd w:val="clear" w:color="auto" w:fill="auto"/>
            <w:noWrap w:val="0"/>
            <w:vAlign w:val="center"/>
          </w:tcPr>
          <w:p w14:paraId="7257EF17">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c>
          <w:tcPr>
            <w:tcW w:w="980" w:type="dxa"/>
            <w:shd w:val="clear" w:color="auto" w:fill="auto"/>
            <w:noWrap w:val="0"/>
            <w:vAlign w:val="center"/>
          </w:tcPr>
          <w:p w14:paraId="55EBFB94">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c>
          <w:tcPr>
            <w:tcW w:w="980" w:type="dxa"/>
            <w:shd w:val="clear" w:color="auto" w:fill="auto"/>
            <w:noWrap w:val="0"/>
            <w:vAlign w:val="center"/>
          </w:tcPr>
          <w:p w14:paraId="710F300C">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c>
          <w:tcPr>
            <w:tcW w:w="1280" w:type="dxa"/>
            <w:shd w:val="clear" w:color="auto" w:fill="auto"/>
            <w:noWrap w:val="0"/>
            <w:vAlign w:val="center"/>
          </w:tcPr>
          <w:p w14:paraId="46579E30">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c>
          <w:tcPr>
            <w:tcW w:w="1157" w:type="dxa"/>
            <w:shd w:val="clear" w:color="auto" w:fill="auto"/>
            <w:noWrap w:val="0"/>
            <w:vAlign w:val="center"/>
          </w:tcPr>
          <w:p w14:paraId="7C6FFB9E">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c>
          <w:tcPr>
            <w:tcW w:w="1012" w:type="dxa"/>
            <w:shd w:val="clear" w:color="auto" w:fill="auto"/>
            <w:noWrap w:val="0"/>
            <w:vAlign w:val="center"/>
          </w:tcPr>
          <w:p w14:paraId="5E1D2879">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r>
      <w:tr w14:paraId="53B34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jc w:val="center"/>
        </w:trPr>
        <w:tc>
          <w:tcPr>
            <w:tcW w:w="739" w:type="dxa"/>
            <w:shd w:val="clear" w:color="auto" w:fill="auto"/>
            <w:noWrap w:val="0"/>
            <w:vAlign w:val="center"/>
          </w:tcPr>
          <w:p w14:paraId="19DF9930">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rPr>
            </w:pPr>
            <w:r>
              <w:rPr>
                <w:rFonts w:hint="eastAsia" w:ascii="宋体" w:hAnsi="宋体" w:eastAsia="宋体" w:cs="宋体"/>
                <w:color w:val="auto"/>
                <w:sz w:val="24"/>
              </w:rPr>
              <w:t>3</w:t>
            </w:r>
          </w:p>
        </w:tc>
        <w:tc>
          <w:tcPr>
            <w:tcW w:w="1568" w:type="dxa"/>
            <w:shd w:val="clear" w:color="auto" w:fill="auto"/>
            <w:noWrap w:val="0"/>
            <w:vAlign w:val="center"/>
          </w:tcPr>
          <w:p w14:paraId="7ED5811A">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rPr>
            </w:pPr>
          </w:p>
        </w:tc>
        <w:tc>
          <w:tcPr>
            <w:tcW w:w="980" w:type="dxa"/>
            <w:shd w:val="clear" w:color="auto" w:fill="auto"/>
            <w:noWrap w:val="0"/>
            <w:vAlign w:val="center"/>
          </w:tcPr>
          <w:p w14:paraId="7D7A628F">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c>
          <w:tcPr>
            <w:tcW w:w="980" w:type="dxa"/>
            <w:shd w:val="clear" w:color="auto" w:fill="auto"/>
            <w:noWrap w:val="0"/>
            <w:vAlign w:val="center"/>
          </w:tcPr>
          <w:p w14:paraId="656E62D9">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c>
          <w:tcPr>
            <w:tcW w:w="980" w:type="dxa"/>
            <w:shd w:val="clear" w:color="auto" w:fill="auto"/>
            <w:noWrap w:val="0"/>
            <w:vAlign w:val="center"/>
          </w:tcPr>
          <w:p w14:paraId="68373801">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c>
          <w:tcPr>
            <w:tcW w:w="1280" w:type="dxa"/>
            <w:shd w:val="clear" w:color="auto" w:fill="auto"/>
            <w:noWrap w:val="0"/>
            <w:vAlign w:val="center"/>
          </w:tcPr>
          <w:p w14:paraId="7F89AD48">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c>
          <w:tcPr>
            <w:tcW w:w="1157" w:type="dxa"/>
            <w:shd w:val="clear" w:color="auto" w:fill="auto"/>
            <w:noWrap w:val="0"/>
            <w:vAlign w:val="center"/>
          </w:tcPr>
          <w:p w14:paraId="47B40D5C">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c>
          <w:tcPr>
            <w:tcW w:w="1012" w:type="dxa"/>
            <w:shd w:val="clear" w:color="auto" w:fill="auto"/>
            <w:noWrap w:val="0"/>
            <w:vAlign w:val="center"/>
          </w:tcPr>
          <w:p w14:paraId="54FD6686">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r>
      <w:tr w14:paraId="4AE48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739" w:type="dxa"/>
            <w:shd w:val="clear" w:color="auto" w:fill="auto"/>
            <w:noWrap w:val="0"/>
            <w:vAlign w:val="center"/>
          </w:tcPr>
          <w:p w14:paraId="19E29E82">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rPr>
            </w:pPr>
            <w:r>
              <w:rPr>
                <w:rFonts w:hint="eastAsia" w:ascii="宋体" w:hAnsi="宋体" w:eastAsia="宋体" w:cs="宋体"/>
                <w:color w:val="auto"/>
                <w:sz w:val="24"/>
              </w:rPr>
              <w:t>4</w:t>
            </w:r>
          </w:p>
        </w:tc>
        <w:tc>
          <w:tcPr>
            <w:tcW w:w="1568" w:type="dxa"/>
            <w:shd w:val="clear" w:color="auto" w:fill="auto"/>
            <w:noWrap w:val="0"/>
            <w:vAlign w:val="center"/>
          </w:tcPr>
          <w:p w14:paraId="685EBADB">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rPr>
            </w:pPr>
          </w:p>
        </w:tc>
        <w:tc>
          <w:tcPr>
            <w:tcW w:w="980" w:type="dxa"/>
            <w:shd w:val="clear" w:color="auto" w:fill="auto"/>
            <w:noWrap w:val="0"/>
            <w:vAlign w:val="center"/>
          </w:tcPr>
          <w:p w14:paraId="1658954B">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c>
          <w:tcPr>
            <w:tcW w:w="980" w:type="dxa"/>
            <w:shd w:val="clear" w:color="auto" w:fill="auto"/>
            <w:noWrap w:val="0"/>
            <w:vAlign w:val="center"/>
          </w:tcPr>
          <w:p w14:paraId="61A9D878">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c>
          <w:tcPr>
            <w:tcW w:w="980" w:type="dxa"/>
            <w:shd w:val="clear" w:color="auto" w:fill="auto"/>
            <w:noWrap w:val="0"/>
            <w:vAlign w:val="center"/>
          </w:tcPr>
          <w:p w14:paraId="2AA0C15F">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c>
          <w:tcPr>
            <w:tcW w:w="1280" w:type="dxa"/>
            <w:shd w:val="clear" w:color="auto" w:fill="auto"/>
            <w:noWrap w:val="0"/>
            <w:vAlign w:val="center"/>
          </w:tcPr>
          <w:p w14:paraId="573218BC">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c>
          <w:tcPr>
            <w:tcW w:w="1157" w:type="dxa"/>
            <w:shd w:val="clear" w:color="auto" w:fill="auto"/>
            <w:noWrap w:val="0"/>
            <w:vAlign w:val="center"/>
          </w:tcPr>
          <w:p w14:paraId="609C6564">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c>
          <w:tcPr>
            <w:tcW w:w="1012" w:type="dxa"/>
            <w:shd w:val="clear" w:color="auto" w:fill="auto"/>
            <w:noWrap w:val="0"/>
            <w:vAlign w:val="center"/>
          </w:tcPr>
          <w:p w14:paraId="137933CC">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r>
      <w:tr w14:paraId="2B401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739" w:type="dxa"/>
            <w:shd w:val="clear" w:color="auto" w:fill="auto"/>
            <w:noWrap w:val="0"/>
            <w:vAlign w:val="center"/>
          </w:tcPr>
          <w:p w14:paraId="3172BAE0">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rPr>
            </w:pPr>
            <w:r>
              <w:rPr>
                <w:rFonts w:hint="eastAsia" w:ascii="宋体" w:hAnsi="宋体" w:eastAsia="宋体" w:cs="宋体"/>
                <w:color w:val="auto"/>
                <w:sz w:val="24"/>
              </w:rPr>
              <w:t>5</w:t>
            </w:r>
          </w:p>
        </w:tc>
        <w:tc>
          <w:tcPr>
            <w:tcW w:w="1568" w:type="dxa"/>
            <w:shd w:val="clear" w:color="auto" w:fill="auto"/>
            <w:noWrap w:val="0"/>
            <w:vAlign w:val="center"/>
          </w:tcPr>
          <w:p w14:paraId="5C587EC1">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rPr>
            </w:pPr>
          </w:p>
        </w:tc>
        <w:tc>
          <w:tcPr>
            <w:tcW w:w="980" w:type="dxa"/>
            <w:shd w:val="clear" w:color="auto" w:fill="auto"/>
            <w:noWrap w:val="0"/>
            <w:vAlign w:val="center"/>
          </w:tcPr>
          <w:p w14:paraId="2D42E1CF">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c>
          <w:tcPr>
            <w:tcW w:w="980" w:type="dxa"/>
            <w:shd w:val="clear" w:color="auto" w:fill="auto"/>
            <w:noWrap w:val="0"/>
            <w:vAlign w:val="center"/>
          </w:tcPr>
          <w:p w14:paraId="35D414FF">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c>
          <w:tcPr>
            <w:tcW w:w="980" w:type="dxa"/>
            <w:shd w:val="clear" w:color="auto" w:fill="auto"/>
            <w:noWrap w:val="0"/>
            <w:vAlign w:val="center"/>
          </w:tcPr>
          <w:p w14:paraId="44C20EA9">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c>
          <w:tcPr>
            <w:tcW w:w="1280" w:type="dxa"/>
            <w:shd w:val="clear" w:color="auto" w:fill="auto"/>
            <w:noWrap w:val="0"/>
            <w:vAlign w:val="center"/>
          </w:tcPr>
          <w:p w14:paraId="4A43E922">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c>
          <w:tcPr>
            <w:tcW w:w="1157" w:type="dxa"/>
            <w:shd w:val="clear" w:color="auto" w:fill="auto"/>
            <w:noWrap w:val="0"/>
            <w:vAlign w:val="center"/>
          </w:tcPr>
          <w:p w14:paraId="15520CEC">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c>
          <w:tcPr>
            <w:tcW w:w="1012" w:type="dxa"/>
            <w:shd w:val="clear" w:color="auto" w:fill="auto"/>
            <w:noWrap w:val="0"/>
            <w:vAlign w:val="center"/>
          </w:tcPr>
          <w:p w14:paraId="5A9BF7E7">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r>
      <w:tr w14:paraId="50E0B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739" w:type="dxa"/>
            <w:shd w:val="clear" w:color="auto" w:fill="auto"/>
            <w:noWrap w:val="0"/>
            <w:vAlign w:val="center"/>
          </w:tcPr>
          <w:p w14:paraId="280EB7AA">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rPr>
            </w:pPr>
            <w:r>
              <w:rPr>
                <w:rFonts w:hint="eastAsia" w:ascii="宋体" w:hAnsi="宋体" w:eastAsia="宋体" w:cs="宋体"/>
                <w:color w:val="auto"/>
                <w:sz w:val="24"/>
              </w:rPr>
              <w:t>…</w:t>
            </w:r>
          </w:p>
        </w:tc>
        <w:tc>
          <w:tcPr>
            <w:tcW w:w="1568" w:type="dxa"/>
            <w:shd w:val="clear" w:color="auto" w:fill="auto"/>
            <w:noWrap w:val="0"/>
            <w:vAlign w:val="center"/>
          </w:tcPr>
          <w:p w14:paraId="12235F46">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rPr>
            </w:pPr>
            <w:r>
              <w:rPr>
                <w:rFonts w:hint="eastAsia" w:ascii="宋体" w:hAnsi="宋体" w:eastAsia="宋体" w:cs="宋体"/>
                <w:color w:val="auto"/>
                <w:sz w:val="24"/>
              </w:rPr>
              <w:t>……</w:t>
            </w:r>
          </w:p>
        </w:tc>
        <w:tc>
          <w:tcPr>
            <w:tcW w:w="980" w:type="dxa"/>
            <w:shd w:val="clear" w:color="auto" w:fill="auto"/>
            <w:noWrap w:val="0"/>
            <w:vAlign w:val="center"/>
          </w:tcPr>
          <w:p w14:paraId="6584996D">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c>
          <w:tcPr>
            <w:tcW w:w="980" w:type="dxa"/>
            <w:shd w:val="clear" w:color="auto" w:fill="auto"/>
            <w:noWrap w:val="0"/>
            <w:vAlign w:val="center"/>
          </w:tcPr>
          <w:p w14:paraId="70EFD903">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c>
          <w:tcPr>
            <w:tcW w:w="980" w:type="dxa"/>
            <w:shd w:val="clear" w:color="auto" w:fill="auto"/>
            <w:noWrap w:val="0"/>
            <w:vAlign w:val="center"/>
          </w:tcPr>
          <w:p w14:paraId="213081F1">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c>
          <w:tcPr>
            <w:tcW w:w="1280" w:type="dxa"/>
            <w:shd w:val="clear" w:color="auto" w:fill="auto"/>
            <w:noWrap w:val="0"/>
            <w:vAlign w:val="center"/>
          </w:tcPr>
          <w:p w14:paraId="75E4DDF5">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c>
          <w:tcPr>
            <w:tcW w:w="1157" w:type="dxa"/>
            <w:shd w:val="clear" w:color="auto" w:fill="auto"/>
            <w:noWrap w:val="0"/>
            <w:vAlign w:val="center"/>
          </w:tcPr>
          <w:p w14:paraId="6FBF1EFE">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c>
          <w:tcPr>
            <w:tcW w:w="1012" w:type="dxa"/>
            <w:shd w:val="clear" w:color="auto" w:fill="auto"/>
            <w:noWrap w:val="0"/>
            <w:vAlign w:val="center"/>
          </w:tcPr>
          <w:p w14:paraId="60D53CAE">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r>
      <w:tr w14:paraId="36787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7684" w:type="dxa"/>
            <w:gridSpan w:val="7"/>
            <w:shd w:val="clear" w:color="auto" w:fill="auto"/>
            <w:noWrap w:val="0"/>
            <w:vAlign w:val="center"/>
          </w:tcPr>
          <w:p w14:paraId="171EC7D7">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rPr>
            </w:pPr>
            <w:r>
              <w:rPr>
                <w:rFonts w:hint="eastAsia" w:ascii="宋体" w:hAnsi="宋体" w:eastAsia="宋体" w:cs="宋体"/>
                <w:color w:val="auto"/>
                <w:sz w:val="24"/>
              </w:rPr>
              <w:t>投标总报价（人民币：元）</w:t>
            </w:r>
          </w:p>
        </w:tc>
        <w:tc>
          <w:tcPr>
            <w:tcW w:w="1012" w:type="dxa"/>
            <w:shd w:val="clear" w:color="auto" w:fill="auto"/>
            <w:noWrap w:val="0"/>
            <w:vAlign w:val="center"/>
          </w:tcPr>
          <w:p w14:paraId="7972BE1D">
            <w:pPr>
              <w:keepNext w:val="0"/>
              <w:keepLines w:val="0"/>
              <w:widowControl/>
              <w:suppressLineNumbers w:val="0"/>
              <w:spacing w:before="0" w:beforeAutospacing="0" w:after="0" w:afterAutospacing="0"/>
              <w:ind w:left="0" w:right="0"/>
              <w:jc w:val="center"/>
              <w:rPr>
                <w:rFonts w:hint="eastAsia" w:ascii="Calibri" w:hAnsi="Calibri" w:eastAsia="宋体" w:cs="宋体"/>
                <w:color w:val="auto"/>
                <w:sz w:val="24"/>
              </w:rPr>
            </w:pPr>
          </w:p>
        </w:tc>
      </w:tr>
      <w:tr w14:paraId="19911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8696" w:type="dxa"/>
            <w:gridSpan w:val="8"/>
            <w:shd w:val="clear" w:color="auto" w:fill="auto"/>
            <w:noWrap w:val="0"/>
            <w:vAlign w:val="center"/>
          </w:tcPr>
          <w:p w14:paraId="527AD471">
            <w:pPr>
              <w:keepNext w:val="0"/>
              <w:keepLines w:val="0"/>
              <w:widowControl/>
              <w:suppressLineNumbers w:val="0"/>
              <w:spacing w:before="0" w:beforeAutospacing="0" w:after="0" w:afterAutospacing="0"/>
              <w:ind w:left="0" w:right="0"/>
              <w:rPr>
                <w:rFonts w:hint="eastAsia" w:ascii="宋体" w:hAnsi="宋体" w:eastAsia="宋体" w:cs="宋体"/>
                <w:color w:val="auto"/>
                <w:sz w:val="24"/>
              </w:rPr>
            </w:pPr>
            <w:r>
              <w:rPr>
                <w:rFonts w:hint="eastAsia" w:ascii="宋体" w:hAnsi="宋体" w:eastAsia="宋体" w:cs="宋体"/>
                <w:color w:val="auto"/>
                <w:sz w:val="24"/>
              </w:rPr>
              <w:t>本采购包中提供的符合本国产品标准的产品成本之和占该采购包提供的全部产品成本之和的比例为</w:t>
            </w:r>
            <w:r>
              <w:rPr>
                <w:rFonts w:hint="eastAsia" w:ascii="宋体" w:hAnsi="宋体" w:eastAsia="宋体" w:cs="宋体"/>
                <w:color w:val="auto"/>
                <w:sz w:val="24"/>
                <w:u w:val="single"/>
              </w:rPr>
              <w:t>***</w:t>
            </w:r>
            <w:r>
              <w:rPr>
                <w:rFonts w:hint="eastAsia" w:ascii="宋体" w:hAnsi="宋体" w:eastAsia="宋体" w:cs="宋体"/>
                <w:color w:val="auto"/>
                <w:sz w:val="24"/>
              </w:rPr>
              <w:t>%。</w:t>
            </w:r>
          </w:p>
        </w:tc>
      </w:tr>
    </w:tbl>
    <w:p w14:paraId="3E1DA24D">
      <w:pPr>
        <w:widowControl/>
        <w:spacing w:line="560" w:lineRule="exact"/>
        <w:ind w:firstLine="482"/>
        <w:jc w:val="left"/>
        <w:rPr>
          <w:rFonts w:ascii="宋体" w:hAnsi="宋体" w:eastAsia="宋体" w:cs="宋体"/>
          <w:color w:val="auto"/>
          <w:sz w:val="24"/>
          <w:szCs w:val="20"/>
        </w:rPr>
      </w:pPr>
      <w:r>
        <w:rPr>
          <w:rFonts w:hint="eastAsia" w:ascii="宋体" w:hAnsi="宋体" w:eastAsia="宋体" w:cs="宋体"/>
          <w:color w:val="auto"/>
          <w:sz w:val="24"/>
          <w:szCs w:val="20"/>
        </w:rPr>
        <w:t>备注：</w:t>
      </w:r>
    </w:p>
    <w:p w14:paraId="36AB4160">
      <w:pPr>
        <w:widowControl/>
        <w:spacing w:line="560" w:lineRule="exact"/>
        <w:ind w:firstLine="482"/>
        <w:jc w:val="left"/>
        <w:rPr>
          <w:rFonts w:ascii="宋体" w:hAnsi="宋体" w:eastAsia="宋体" w:cs="宋体"/>
          <w:color w:val="auto"/>
          <w:sz w:val="24"/>
          <w:szCs w:val="20"/>
        </w:rPr>
      </w:pPr>
      <w:r>
        <w:rPr>
          <w:rFonts w:hint="eastAsia" w:ascii="宋体" w:hAnsi="宋体" w:eastAsia="宋体" w:cs="宋体"/>
          <w:color w:val="auto"/>
          <w:sz w:val="24"/>
          <w:szCs w:val="20"/>
        </w:rPr>
        <w:t>1.投标报价采用总承包方式，“投标总报价”应包括所投货物（包含与货物相关的服务）费用、本地化部署费用、安装调试费、测试验收费、培训费、运行维护费用、税金、国际国内运输保险、报关清关、开证、办理全套免税手续费用及其他有关的为完成本项目发生的所有费用，招标文件中另有规定的除外。</w:t>
      </w:r>
    </w:p>
    <w:p w14:paraId="696A50BA">
      <w:pPr>
        <w:widowControl/>
        <w:spacing w:line="560" w:lineRule="exact"/>
        <w:ind w:firstLine="482"/>
        <w:jc w:val="left"/>
        <w:rPr>
          <w:rFonts w:ascii="宋体" w:hAnsi="宋体" w:eastAsia="宋体" w:cs="宋体"/>
          <w:color w:val="auto"/>
          <w:sz w:val="24"/>
          <w:szCs w:val="20"/>
        </w:rPr>
      </w:pPr>
      <w:r>
        <w:rPr>
          <w:rFonts w:hint="eastAsia" w:ascii="宋体" w:hAnsi="宋体" w:eastAsia="宋体" w:cs="宋体"/>
          <w:color w:val="auto"/>
          <w:sz w:val="24"/>
          <w:szCs w:val="20"/>
        </w:rPr>
        <w:t>2.“投标分项报价表”中“投标总报价”数额应当与“开标一览表”中“投标总报价”数额一致。</w:t>
      </w:r>
    </w:p>
    <w:p w14:paraId="77C2C16D">
      <w:pPr>
        <w:widowControl/>
        <w:spacing w:line="560" w:lineRule="exact"/>
        <w:ind w:firstLine="482"/>
        <w:jc w:val="left"/>
        <w:rPr>
          <w:rFonts w:ascii="宋体" w:hAnsi="宋体" w:eastAsia="宋体" w:cs="宋体"/>
          <w:color w:val="auto"/>
          <w:sz w:val="24"/>
          <w:szCs w:val="20"/>
        </w:rPr>
      </w:pPr>
      <w:r>
        <w:rPr>
          <w:rFonts w:hint="eastAsia" w:ascii="宋体" w:hAnsi="宋体" w:eastAsia="宋体" w:cs="宋体"/>
          <w:color w:val="auto"/>
          <w:sz w:val="24"/>
          <w:szCs w:val="20"/>
        </w:rPr>
        <w:t>3.本采购包中含有多种产品时，供应商未填写本采购包中提供的符合本国产品标准的产品成本之和占该采购包提供的全部产品成本之和的比例数值的，或比例数值未达到80%的，将不享受本国产品价格评审优惠。</w:t>
      </w:r>
    </w:p>
    <w:p w14:paraId="500A80AB">
      <w:pPr>
        <w:widowControl/>
        <w:spacing w:before="120" w:line="400" w:lineRule="exact"/>
        <w:jc w:val="center"/>
        <w:rPr>
          <w:rFonts w:hint="eastAsia" w:ascii="黑体" w:hAnsi="黑体" w:eastAsia="黑体" w:cs="黑体"/>
          <w:i/>
          <w:color w:val="auto"/>
          <w:sz w:val="32"/>
          <w:szCs w:val="32"/>
          <w:u w:val="single"/>
        </w:rPr>
      </w:pPr>
    </w:p>
    <w:p w14:paraId="1806B29C">
      <w:pPr>
        <w:widowControl/>
        <w:spacing w:before="120" w:line="400" w:lineRule="exact"/>
        <w:jc w:val="center"/>
        <w:rPr>
          <w:rFonts w:ascii="黑体" w:hAnsi="黑体" w:eastAsia="黑体" w:cs="黑体"/>
          <w:i/>
          <w:color w:val="auto"/>
          <w:sz w:val="32"/>
          <w:szCs w:val="32"/>
          <w:u w:val="single"/>
        </w:rPr>
      </w:pPr>
      <w:r>
        <w:rPr>
          <w:rFonts w:hint="eastAsia" w:ascii="黑体" w:hAnsi="黑体" w:eastAsia="黑体" w:cs="黑体"/>
          <w:i/>
          <w:color w:val="auto"/>
          <w:sz w:val="32"/>
          <w:szCs w:val="32"/>
          <w:u w:val="single"/>
        </w:rPr>
        <w:t>十三、技术要求响应及偏离表</w:t>
      </w:r>
    </w:p>
    <w:tbl>
      <w:tblPr>
        <w:tblStyle w:val="42"/>
        <w:tblpPr w:leftFromText="180" w:rightFromText="180" w:vertAnchor="text" w:horzAnchor="page" w:tblpXSpec="center" w:tblpY="390"/>
        <w:tblW w:w="8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6"/>
        <w:gridCol w:w="3260"/>
        <w:gridCol w:w="2031"/>
        <w:gridCol w:w="1555"/>
        <w:gridCol w:w="1323"/>
      </w:tblGrid>
      <w:tr w14:paraId="05385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 w:hRule="atLeast"/>
          <w:jc w:val="center"/>
        </w:trPr>
        <w:tc>
          <w:tcPr>
            <w:tcW w:w="806" w:type="dxa"/>
            <w:noWrap w:val="0"/>
            <w:vAlign w:val="center"/>
          </w:tcPr>
          <w:p w14:paraId="3C81AFA2">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序号</w:t>
            </w:r>
          </w:p>
        </w:tc>
        <w:tc>
          <w:tcPr>
            <w:tcW w:w="3260" w:type="dxa"/>
            <w:noWrap w:val="0"/>
            <w:vAlign w:val="center"/>
          </w:tcPr>
          <w:p w14:paraId="0241FBA2">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招标文件要求</w:t>
            </w:r>
          </w:p>
        </w:tc>
        <w:tc>
          <w:tcPr>
            <w:tcW w:w="2031" w:type="dxa"/>
            <w:noWrap w:val="0"/>
            <w:vAlign w:val="center"/>
          </w:tcPr>
          <w:p w14:paraId="001650CF">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投标响应情况</w:t>
            </w:r>
          </w:p>
        </w:tc>
        <w:tc>
          <w:tcPr>
            <w:tcW w:w="1555" w:type="dxa"/>
            <w:noWrap w:val="0"/>
            <w:vAlign w:val="center"/>
          </w:tcPr>
          <w:p w14:paraId="4F2FF7C5">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超出、符合或偏离</w:t>
            </w:r>
          </w:p>
        </w:tc>
        <w:tc>
          <w:tcPr>
            <w:tcW w:w="1323" w:type="dxa"/>
            <w:noWrap w:val="0"/>
            <w:vAlign w:val="center"/>
          </w:tcPr>
          <w:p w14:paraId="613580F5">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证明材料</w:t>
            </w:r>
          </w:p>
        </w:tc>
      </w:tr>
      <w:tr w14:paraId="1E1F4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806" w:type="dxa"/>
            <w:noWrap w:val="0"/>
            <w:vAlign w:val="center"/>
          </w:tcPr>
          <w:p w14:paraId="10806227">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p>
        </w:tc>
        <w:tc>
          <w:tcPr>
            <w:tcW w:w="3260" w:type="dxa"/>
            <w:noWrap w:val="0"/>
            <w:vAlign w:val="center"/>
          </w:tcPr>
          <w:p w14:paraId="74D8FD02">
            <w:pPr>
              <w:keepNext w:val="0"/>
              <w:keepLines w:val="0"/>
              <w:widowControl/>
              <w:suppressLineNumbers w:val="0"/>
              <w:spacing w:before="0" w:beforeAutospacing="0" w:after="0" w:afterAutospacing="0" w:line="500" w:lineRule="exact"/>
              <w:ind w:left="0" w:right="0"/>
              <w:jc w:val="left"/>
              <w:rPr>
                <w:rFonts w:hint="eastAsia" w:asciiTheme="minorEastAsia" w:hAnsiTheme="minorEastAsia" w:cstheme="minorEastAsia"/>
                <w:color w:val="auto"/>
                <w:sz w:val="24"/>
              </w:rPr>
            </w:pPr>
          </w:p>
        </w:tc>
        <w:tc>
          <w:tcPr>
            <w:tcW w:w="2031" w:type="dxa"/>
            <w:noWrap w:val="0"/>
            <w:vAlign w:val="center"/>
          </w:tcPr>
          <w:p w14:paraId="776BAEE7">
            <w:pPr>
              <w:keepNext w:val="0"/>
              <w:keepLines w:val="0"/>
              <w:widowControl/>
              <w:suppressLineNumbers w:val="0"/>
              <w:spacing w:before="0" w:beforeAutospacing="0" w:after="0" w:afterAutospacing="0" w:line="500" w:lineRule="exact"/>
              <w:ind w:left="0" w:right="0"/>
              <w:jc w:val="left"/>
              <w:rPr>
                <w:rFonts w:hint="eastAsia" w:asciiTheme="minorEastAsia" w:hAnsiTheme="minorEastAsia" w:cstheme="minorEastAsia"/>
                <w:color w:val="auto"/>
                <w:sz w:val="24"/>
              </w:rPr>
            </w:pPr>
          </w:p>
        </w:tc>
        <w:tc>
          <w:tcPr>
            <w:tcW w:w="1555" w:type="dxa"/>
            <w:noWrap w:val="0"/>
            <w:vAlign w:val="center"/>
          </w:tcPr>
          <w:p w14:paraId="29318308">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1323" w:type="dxa"/>
            <w:noWrap w:val="0"/>
            <w:vAlign w:val="center"/>
          </w:tcPr>
          <w:p w14:paraId="67D3A13C">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r>
      <w:tr w14:paraId="7A89C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806" w:type="dxa"/>
            <w:noWrap w:val="0"/>
            <w:vAlign w:val="center"/>
          </w:tcPr>
          <w:p w14:paraId="10531C5B">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p>
        </w:tc>
        <w:tc>
          <w:tcPr>
            <w:tcW w:w="3260" w:type="dxa"/>
            <w:noWrap w:val="0"/>
            <w:vAlign w:val="center"/>
          </w:tcPr>
          <w:p w14:paraId="47EA0B5B">
            <w:pPr>
              <w:keepNext w:val="0"/>
              <w:keepLines w:val="0"/>
              <w:widowControl/>
              <w:suppressLineNumbers w:val="0"/>
              <w:spacing w:before="0" w:beforeAutospacing="0" w:after="0" w:afterAutospacing="0" w:line="500" w:lineRule="exact"/>
              <w:ind w:left="0" w:right="0"/>
              <w:jc w:val="left"/>
              <w:rPr>
                <w:rFonts w:hint="eastAsia" w:asciiTheme="minorEastAsia" w:hAnsiTheme="minorEastAsia" w:cstheme="minorEastAsia"/>
                <w:color w:val="auto"/>
                <w:sz w:val="24"/>
              </w:rPr>
            </w:pPr>
          </w:p>
        </w:tc>
        <w:tc>
          <w:tcPr>
            <w:tcW w:w="2031" w:type="dxa"/>
            <w:noWrap w:val="0"/>
            <w:vAlign w:val="center"/>
          </w:tcPr>
          <w:p w14:paraId="374C7A55">
            <w:pPr>
              <w:keepNext w:val="0"/>
              <w:keepLines w:val="0"/>
              <w:widowControl/>
              <w:suppressLineNumbers w:val="0"/>
              <w:spacing w:before="0" w:beforeAutospacing="0" w:after="0" w:afterAutospacing="0" w:line="500" w:lineRule="exact"/>
              <w:ind w:left="0" w:right="0"/>
              <w:jc w:val="left"/>
              <w:rPr>
                <w:rFonts w:hint="eastAsia" w:asciiTheme="minorEastAsia" w:hAnsiTheme="minorEastAsia" w:cstheme="minorEastAsia"/>
                <w:color w:val="auto"/>
                <w:sz w:val="24"/>
              </w:rPr>
            </w:pPr>
          </w:p>
        </w:tc>
        <w:tc>
          <w:tcPr>
            <w:tcW w:w="1555" w:type="dxa"/>
            <w:noWrap w:val="0"/>
            <w:vAlign w:val="center"/>
          </w:tcPr>
          <w:p w14:paraId="08FAB3C8">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1323" w:type="dxa"/>
            <w:noWrap w:val="0"/>
            <w:vAlign w:val="center"/>
          </w:tcPr>
          <w:p w14:paraId="5F61F8F6">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r>
      <w:tr w14:paraId="1446D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806" w:type="dxa"/>
            <w:noWrap w:val="0"/>
            <w:vAlign w:val="center"/>
          </w:tcPr>
          <w:p w14:paraId="1D5655AF">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p>
        </w:tc>
        <w:tc>
          <w:tcPr>
            <w:tcW w:w="3260" w:type="dxa"/>
            <w:noWrap w:val="0"/>
            <w:vAlign w:val="center"/>
          </w:tcPr>
          <w:p w14:paraId="32388703">
            <w:pPr>
              <w:keepNext w:val="0"/>
              <w:keepLines w:val="0"/>
              <w:widowControl/>
              <w:suppressLineNumbers w:val="0"/>
              <w:spacing w:before="0" w:beforeAutospacing="0" w:after="0" w:afterAutospacing="0" w:line="500" w:lineRule="exact"/>
              <w:ind w:left="0" w:right="0"/>
              <w:jc w:val="left"/>
              <w:rPr>
                <w:rFonts w:hint="eastAsia" w:asciiTheme="minorEastAsia" w:hAnsiTheme="minorEastAsia" w:cstheme="minorEastAsia"/>
                <w:color w:val="auto"/>
                <w:sz w:val="24"/>
              </w:rPr>
            </w:pPr>
          </w:p>
        </w:tc>
        <w:tc>
          <w:tcPr>
            <w:tcW w:w="2031" w:type="dxa"/>
            <w:noWrap w:val="0"/>
            <w:vAlign w:val="center"/>
          </w:tcPr>
          <w:p w14:paraId="4517D12B">
            <w:pPr>
              <w:keepNext w:val="0"/>
              <w:keepLines w:val="0"/>
              <w:widowControl/>
              <w:suppressLineNumbers w:val="0"/>
              <w:spacing w:before="0" w:beforeAutospacing="0" w:after="0" w:afterAutospacing="0" w:line="500" w:lineRule="exact"/>
              <w:ind w:left="0" w:right="0"/>
              <w:jc w:val="left"/>
              <w:rPr>
                <w:rFonts w:hint="eastAsia" w:asciiTheme="minorEastAsia" w:hAnsiTheme="minorEastAsia" w:cstheme="minorEastAsia"/>
                <w:color w:val="auto"/>
                <w:sz w:val="24"/>
              </w:rPr>
            </w:pPr>
          </w:p>
        </w:tc>
        <w:tc>
          <w:tcPr>
            <w:tcW w:w="1555" w:type="dxa"/>
            <w:noWrap w:val="0"/>
            <w:vAlign w:val="center"/>
          </w:tcPr>
          <w:p w14:paraId="37F005B7">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1323" w:type="dxa"/>
            <w:noWrap w:val="0"/>
            <w:vAlign w:val="center"/>
          </w:tcPr>
          <w:p w14:paraId="76A14492">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r>
      <w:tr w14:paraId="7CB0F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806" w:type="dxa"/>
            <w:noWrap w:val="0"/>
            <w:vAlign w:val="center"/>
          </w:tcPr>
          <w:p w14:paraId="5463243F">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p>
        </w:tc>
        <w:tc>
          <w:tcPr>
            <w:tcW w:w="3260" w:type="dxa"/>
            <w:noWrap w:val="0"/>
            <w:vAlign w:val="center"/>
          </w:tcPr>
          <w:p w14:paraId="05A31437">
            <w:pPr>
              <w:keepNext w:val="0"/>
              <w:keepLines w:val="0"/>
              <w:widowControl/>
              <w:suppressLineNumbers w:val="0"/>
              <w:spacing w:before="0" w:beforeAutospacing="0" w:after="0" w:afterAutospacing="0" w:line="500" w:lineRule="exact"/>
              <w:ind w:left="0" w:right="0"/>
              <w:jc w:val="left"/>
              <w:rPr>
                <w:rFonts w:hint="eastAsia" w:asciiTheme="minorEastAsia" w:hAnsiTheme="minorEastAsia" w:cstheme="minorEastAsia"/>
                <w:color w:val="auto"/>
                <w:sz w:val="24"/>
              </w:rPr>
            </w:pPr>
          </w:p>
        </w:tc>
        <w:tc>
          <w:tcPr>
            <w:tcW w:w="2031" w:type="dxa"/>
            <w:noWrap w:val="0"/>
            <w:vAlign w:val="center"/>
          </w:tcPr>
          <w:p w14:paraId="013B87FF">
            <w:pPr>
              <w:keepNext w:val="0"/>
              <w:keepLines w:val="0"/>
              <w:widowControl/>
              <w:suppressLineNumbers w:val="0"/>
              <w:spacing w:before="0" w:beforeAutospacing="0" w:after="0" w:afterAutospacing="0" w:line="500" w:lineRule="exact"/>
              <w:ind w:left="0" w:right="0"/>
              <w:jc w:val="left"/>
              <w:rPr>
                <w:rFonts w:hint="eastAsia" w:asciiTheme="minorEastAsia" w:hAnsiTheme="minorEastAsia" w:cstheme="minorEastAsia"/>
                <w:color w:val="auto"/>
                <w:sz w:val="24"/>
              </w:rPr>
            </w:pPr>
          </w:p>
        </w:tc>
        <w:tc>
          <w:tcPr>
            <w:tcW w:w="1555" w:type="dxa"/>
            <w:noWrap w:val="0"/>
            <w:vAlign w:val="center"/>
          </w:tcPr>
          <w:p w14:paraId="1457F01C">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1323" w:type="dxa"/>
            <w:noWrap w:val="0"/>
            <w:vAlign w:val="center"/>
          </w:tcPr>
          <w:p w14:paraId="52824EA8">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r>
      <w:tr w14:paraId="55851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806" w:type="dxa"/>
            <w:noWrap w:val="0"/>
            <w:vAlign w:val="center"/>
          </w:tcPr>
          <w:p w14:paraId="320768F8">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p>
        </w:tc>
        <w:tc>
          <w:tcPr>
            <w:tcW w:w="3260" w:type="dxa"/>
            <w:noWrap w:val="0"/>
            <w:vAlign w:val="center"/>
          </w:tcPr>
          <w:p w14:paraId="090919F4">
            <w:pPr>
              <w:keepNext w:val="0"/>
              <w:keepLines w:val="0"/>
              <w:widowControl/>
              <w:suppressLineNumbers w:val="0"/>
              <w:spacing w:before="0" w:beforeAutospacing="0" w:after="0" w:afterAutospacing="0" w:line="500" w:lineRule="exact"/>
              <w:ind w:left="0" w:right="0"/>
              <w:jc w:val="left"/>
              <w:rPr>
                <w:rFonts w:hint="eastAsia" w:asciiTheme="minorEastAsia" w:hAnsiTheme="minorEastAsia" w:cstheme="minorEastAsia"/>
                <w:color w:val="auto"/>
                <w:sz w:val="24"/>
              </w:rPr>
            </w:pPr>
          </w:p>
        </w:tc>
        <w:tc>
          <w:tcPr>
            <w:tcW w:w="2031" w:type="dxa"/>
            <w:noWrap w:val="0"/>
            <w:vAlign w:val="center"/>
          </w:tcPr>
          <w:p w14:paraId="61C8FD2F">
            <w:pPr>
              <w:keepNext w:val="0"/>
              <w:keepLines w:val="0"/>
              <w:widowControl/>
              <w:suppressLineNumbers w:val="0"/>
              <w:spacing w:before="0" w:beforeAutospacing="0" w:after="0" w:afterAutospacing="0" w:line="500" w:lineRule="exact"/>
              <w:ind w:left="0" w:right="0"/>
              <w:jc w:val="left"/>
              <w:rPr>
                <w:rFonts w:hint="eastAsia" w:asciiTheme="minorEastAsia" w:hAnsiTheme="minorEastAsia" w:cstheme="minorEastAsia"/>
                <w:color w:val="auto"/>
                <w:sz w:val="24"/>
              </w:rPr>
            </w:pPr>
          </w:p>
        </w:tc>
        <w:tc>
          <w:tcPr>
            <w:tcW w:w="1555" w:type="dxa"/>
            <w:noWrap w:val="0"/>
            <w:vAlign w:val="center"/>
          </w:tcPr>
          <w:p w14:paraId="0DFB83C1">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1323" w:type="dxa"/>
            <w:noWrap w:val="0"/>
            <w:vAlign w:val="center"/>
          </w:tcPr>
          <w:p w14:paraId="20EC4721">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r>
      <w:tr w14:paraId="4877F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806" w:type="dxa"/>
            <w:noWrap w:val="0"/>
            <w:vAlign w:val="center"/>
          </w:tcPr>
          <w:p w14:paraId="391BC54F">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p>
        </w:tc>
        <w:tc>
          <w:tcPr>
            <w:tcW w:w="3260" w:type="dxa"/>
            <w:noWrap w:val="0"/>
            <w:vAlign w:val="center"/>
          </w:tcPr>
          <w:p w14:paraId="05ABE7C7">
            <w:pPr>
              <w:keepNext w:val="0"/>
              <w:keepLines w:val="0"/>
              <w:widowControl/>
              <w:suppressLineNumbers w:val="0"/>
              <w:spacing w:before="0" w:beforeAutospacing="0" w:after="0" w:afterAutospacing="0" w:line="500" w:lineRule="exact"/>
              <w:ind w:left="0" w:right="0"/>
              <w:jc w:val="left"/>
              <w:rPr>
                <w:rFonts w:hint="eastAsia" w:asciiTheme="minorEastAsia" w:hAnsiTheme="minorEastAsia" w:cstheme="minorEastAsia"/>
                <w:color w:val="auto"/>
                <w:sz w:val="24"/>
              </w:rPr>
            </w:pPr>
          </w:p>
        </w:tc>
        <w:tc>
          <w:tcPr>
            <w:tcW w:w="2031" w:type="dxa"/>
            <w:noWrap w:val="0"/>
            <w:vAlign w:val="center"/>
          </w:tcPr>
          <w:p w14:paraId="746FA4D1">
            <w:pPr>
              <w:keepNext w:val="0"/>
              <w:keepLines w:val="0"/>
              <w:widowControl/>
              <w:suppressLineNumbers w:val="0"/>
              <w:spacing w:before="0" w:beforeAutospacing="0" w:after="0" w:afterAutospacing="0" w:line="500" w:lineRule="exact"/>
              <w:ind w:left="0" w:right="0"/>
              <w:jc w:val="left"/>
              <w:rPr>
                <w:rFonts w:hint="eastAsia" w:asciiTheme="minorEastAsia" w:hAnsiTheme="minorEastAsia" w:cstheme="minorEastAsia"/>
                <w:color w:val="auto"/>
                <w:sz w:val="24"/>
              </w:rPr>
            </w:pPr>
          </w:p>
        </w:tc>
        <w:tc>
          <w:tcPr>
            <w:tcW w:w="1555" w:type="dxa"/>
            <w:noWrap w:val="0"/>
            <w:vAlign w:val="center"/>
          </w:tcPr>
          <w:p w14:paraId="2C682720">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1323" w:type="dxa"/>
            <w:noWrap w:val="0"/>
            <w:vAlign w:val="center"/>
          </w:tcPr>
          <w:p w14:paraId="63789B68">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r>
      <w:tr w14:paraId="35011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806" w:type="dxa"/>
            <w:noWrap w:val="0"/>
            <w:vAlign w:val="center"/>
          </w:tcPr>
          <w:p w14:paraId="58FF5B56">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p>
        </w:tc>
        <w:tc>
          <w:tcPr>
            <w:tcW w:w="3260" w:type="dxa"/>
            <w:noWrap w:val="0"/>
            <w:vAlign w:val="center"/>
          </w:tcPr>
          <w:p w14:paraId="4E594EE0">
            <w:pPr>
              <w:keepNext w:val="0"/>
              <w:keepLines w:val="0"/>
              <w:widowControl/>
              <w:suppressLineNumbers w:val="0"/>
              <w:spacing w:before="0" w:beforeAutospacing="0" w:after="0" w:afterAutospacing="0" w:line="5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w:t>
            </w:r>
          </w:p>
        </w:tc>
        <w:tc>
          <w:tcPr>
            <w:tcW w:w="2031" w:type="dxa"/>
            <w:noWrap w:val="0"/>
            <w:vAlign w:val="center"/>
          </w:tcPr>
          <w:p w14:paraId="2BC9A4C4">
            <w:pPr>
              <w:keepNext w:val="0"/>
              <w:keepLines w:val="0"/>
              <w:widowControl/>
              <w:suppressLineNumbers w:val="0"/>
              <w:spacing w:before="0" w:beforeAutospacing="0" w:after="0" w:afterAutospacing="0" w:line="500" w:lineRule="exact"/>
              <w:ind w:left="0" w:right="0"/>
              <w:jc w:val="left"/>
              <w:rPr>
                <w:rFonts w:hint="eastAsia" w:asciiTheme="minorEastAsia" w:hAnsiTheme="minorEastAsia" w:cstheme="minorEastAsia"/>
                <w:color w:val="auto"/>
                <w:sz w:val="24"/>
              </w:rPr>
            </w:pPr>
          </w:p>
        </w:tc>
        <w:tc>
          <w:tcPr>
            <w:tcW w:w="1555" w:type="dxa"/>
            <w:noWrap w:val="0"/>
            <w:vAlign w:val="center"/>
          </w:tcPr>
          <w:p w14:paraId="104D81BC">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1323" w:type="dxa"/>
            <w:noWrap w:val="0"/>
            <w:vAlign w:val="center"/>
          </w:tcPr>
          <w:p w14:paraId="48CD6FD1">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r>
    </w:tbl>
    <w:p w14:paraId="07052D50">
      <w:pPr>
        <w:pStyle w:val="36"/>
        <w:widowControl/>
        <w:rPr>
          <w:rFonts w:asciiTheme="minorEastAsia" w:hAnsiTheme="minorEastAsia" w:cstheme="minorEastAsia"/>
          <w:color w:val="auto"/>
        </w:rPr>
      </w:pPr>
      <w:r>
        <w:rPr>
          <w:rFonts w:hint="eastAsia" w:asciiTheme="minorEastAsia" w:hAnsiTheme="minorEastAsia" w:cstheme="minorEastAsia"/>
          <w:color w:val="auto"/>
        </w:rPr>
        <w:t>注：行数不够，可自行添加。</w:t>
      </w:r>
      <w:r>
        <w:rPr>
          <w:rFonts w:asciiTheme="minorEastAsia" w:hAnsiTheme="minorEastAsia"/>
          <w:color w:val="auto"/>
        </w:rPr>
        <w:br w:type="page" w:clear="all"/>
      </w:r>
    </w:p>
    <w:p w14:paraId="633AC5D3">
      <w:pPr>
        <w:widowControl/>
        <w:spacing w:before="120" w:line="400" w:lineRule="exact"/>
        <w:jc w:val="center"/>
        <w:rPr>
          <w:rFonts w:ascii="黑体" w:hAnsi="黑体" w:eastAsia="黑体" w:cs="黑体"/>
          <w:i/>
          <w:color w:val="auto"/>
          <w:sz w:val="32"/>
          <w:szCs w:val="32"/>
          <w:u w:val="single"/>
        </w:rPr>
      </w:pPr>
      <w:r>
        <w:rPr>
          <w:rFonts w:hint="eastAsia" w:ascii="黑体" w:hAnsi="黑体" w:eastAsia="黑体" w:cs="黑体"/>
          <w:i/>
          <w:color w:val="auto"/>
          <w:sz w:val="32"/>
          <w:szCs w:val="32"/>
          <w:u w:val="single"/>
        </w:rPr>
        <w:t>十四、商务要求响应及偏离表</w:t>
      </w:r>
    </w:p>
    <w:tbl>
      <w:tblPr>
        <w:tblStyle w:val="42"/>
        <w:tblpPr w:leftFromText="180" w:rightFromText="180" w:vertAnchor="text" w:horzAnchor="page" w:tblpX="1738" w:tblpY="390"/>
        <w:tblW w:w="86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1"/>
        <w:gridCol w:w="1900"/>
        <w:gridCol w:w="2006"/>
        <w:gridCol w:w="2304"/>
        <w:gridCol w:w="1514"/>
      </w:tblGrid>
      <w:tr w14:paraId="1074B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971" w:type="dxa"/>
            <w:noWrap w:val="0"/>
            <w:vAlign w:val="center"/>
          </w:tcPr>
          <w:p w14:paraId="4A20A340">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序号</w:t>
            </w:r>
          </w:p>
        </w:tc>
        <w:tc>
          <w:tcPr>
            <w:tcW w:w="1900" w:type="dxa"/>
            <w:noWrap w:val="0"/>
            <w:vAlign w:val="center"/>
          </w:tcPr>
          <w:p w14:paraId="369E9640">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招标文件要求</w:t>
            </w:r>
          </w:p>
        </w:tc>
        <w:tc>
          <w:tcPr>
            <w:tcW w:w="2006" w:type="dxa"/>
            <w:noWrap w:val="0"/>
            <w:vAlign w:val="center"/>
          </w:tcPr>
          <w:p w14:paraId="0ED28E7B">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投标响应情况</w:t>
            </w:r>
          </w:p>
        </w:tc>
        <w:tc>
          <w:tcPr>
            <w:tcW w:w="2304" w:type="dxa"/>
            <w:noWrap w:val="0"/>
            <w:vAlign w:val="center"/>
          </w:tcPr>
          <w:p w14:paraId="7AD93E8D">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超出、符合或偏离</w:t>
            </w:r>
          </w:p>
        </w:tc>
        <w:tc>
          <w:tcPr>
            <w:tcW w:w="1514" w:type="dxa"/>
            <w:noWrap w:val="0"/>
            <w:vAlign w:val="center"/>
          </w:tcPr>
          <w:p w14:paraId="645406FD">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证明材料</w:t>
            </w:r>
          </w:p>
        </w:tc>
      </w:tr>
      <w:tr w14:paraId="19989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971" w:type="dxa"/>
            <w:noWrap w:val="0"/>
            <w:vAlign w:val="center"/>
          </w:tcPr>
          <w:p w14:paraId="15DB80BD">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1900" w:type="dxa"/>
            <w:noWrap w:val="0"/>
            <w:vAlign w:val="center"/>
          </w:tcPr>
          <w:p w14:paraId="5140C495">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2006" w:type="dxa"/>
            <w:noWrap w:val="0"/>
            <w:vAlign w:val="center"/>
          </w:tcPr>
          <w:p w14:paraId="017FABA8">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2304" w:type="dxa"/>
            <w:noWrap w:val="0"/>
            <w:vAlign w:val="center"/>
          </w:tcPr>
          <w:p w14:paraId="2F1B2727">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1514" w:type="dxa"/>
            <w:noWrap w:val="0"/>
            <w:vAlign w:val="center"/>
          </w:tcPr>
          <w:p w14:paraId="69072B1C">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r>
      <w:tr w14:paraId="1DDFD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971" w:type="dxa"/>
            <w:noWrap w:val="0"/>
            <w:vAlign w:val="center"/>
          </w:tcPr>
          <w:p w14:paraId="0E95FDDC">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1900" w:type="dxa"/>
            <w:noWrap w:val="0"/>
            <w:vAlign w:val="center"/>
          </w:tcPr>
          <w:p w14:paraId="091CF2D3">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2006" w:type="dxa"/>
            <w:noWrap w:val="0"/>
            <w:vAlign w:val="center"/>
          </w:tcPr>
          <w:p w14:paraId="753AD1F1">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2304" w:type="dxa"/>
            <w:noWrap w:val="0"/>
            <w:vAlign w:val="center"/>
          </w:tcPr>
          <w:p w14:paraId="3E639325">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1514" w:type="dxa"/>
            <w:noWrap w:val="0"/>
            <w:vAlign w:val="center"/>
          </w:tcPr>
          <w:p w14:paraId="3048B99F">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r>
      <w:tr w14:paraId="0197D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971" w:type="dxa"/>
            <w:noWrap w:val="0"/>
            <w:vAlign w:val="center"/>
          </w:tcPr>
          <w:p w14:paraId="5F1F8609">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1900" w:type="dxa"/>
            <w:noWrap w:val="0"/>
            <w:vAlign w:val="center"/>
          </w:tcPr>
          <w:p w14:paraId="31CD2341">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2006" w:type="dxa"/>
            <w:noWrap w:val="0"/>
            <w:vAlign w:val="center"/>
          </w:tcPr>
          <w:p w14:paraId="6194E0FA">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2304" w:type="dxa"/>
            <w:noWrap w:val="0"/>
            <w:vAlign w:val="center"/>
          </w:tcPr>
          <w:p w14:paraId="70ABF99D">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1514" w:type="dxa"/>
            <w:noWrap w:val="0"/>
            <w:vAlign w:val="center"/>
          </w:tcPr>
          <w:p w14:paraId="73511CC9">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r>
      <w:tr w14:paraId="62B80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971" w:type="dxa"/>
            <w:noWrap w:val="0"/>
            <w:vAlign w:val="center"/>
          </w:tcPr>
          <w:p w14:paraId="1E131D06">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1900" w:type="dxa"/>
            <w:noWrap w:val="0"/>
            <w:vAlign w:val="center"/>
          </w:tcPr>
          <w:p w14:paraId="441B665B">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2006" w:type="dxa"/>
            <w:noWrap w:val="0"/>
            <w:vAlign w:val="center"/>
          </w:tcPr>
          <w:p w14:paraId="63EE0A08">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2304" w:type="dxa"/>
            <w:noWrap w:val="0"/>
            <w:vAlign w:val="center"/>
          </w:tcPr>
          <w:p w14:paraId="4502D318">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1514" w:type="dxa"/>
            <w:noWrap w:val="0"/>
            <w:vAlign w:val="center"/>
          </w:tcPr>
          <w:p w14:paraId="31C8DA3F">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r>
      <w:tr w14:paraId="190AF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971" w:type="dxa"/>
            <w:noWrap w:val="0"/>
            <w:vAlign w:val="center"/>
          </w:tcPr>
          <w:p w14:paraId="7E3FB691">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1900" w:type="dxa"/>
            <w:noWrap w:val="0"/>
            <w:vAlign w:val="center"/>
          </w:tcPr>
          <w:p w14:paraId="09CD66FE">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2006" w:type="dxa"/>
            <w:noWrap w:val="0"/>
            <w:vAlign w:val="center"/>
          </w:tcPr>
          <w:p w14:paraId="2613603C">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2304" w:type="dxa"/>
            <w:noWrap w:val="0"/>
            <w:vAlign w:val="center"/>
          </w:tcPr>
          <w:p w14:paraId="28105E72">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1514" w:type="dxa"/>
            <w:noWrap w:val="0"/>
            <w:vAlign w:val="center"/>
          </w:tcPr>
          <w:p w14:paraId="332C0A4A">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r>
      <w:tr w14:paraId="7E1C9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971" w:type="dxa"/>
            <w:noWrap w:val="0"/>
            <w:vAlign w:val="center"/>
          </w:tcPr>
          <w:p w14:paraId="319C0A14">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1900" w:type="dxa"/>
            <w:noWrap w:val="0"/>
            <w:vAlign w:val="center"/>
          </w:tcPr>
          <w:p w14:paraId="4144F9D7">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2006" w:type="dxa"/>
            <w:noWrap w:val="0"/>
            <w:vAlign w:val="center"/>
          </w:tcPr>
          <w:p w14:paraId="5A2AD33E">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2304" w:type="dxa"/>
            <w:noWrap w:val="0"/>
            <w:vAlign w:val="center"/>
          </w:tcPr>
          <w:p w14:paraId="005064E2">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1514" w:type="dxa"/>
            <w:noWrap w:val="0"/>
            <w:vAlign w:val="center"/>
          </w:tcPr>
          <w:p w14:paraId="7981ABBE">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r>
      <w:tr w14:paraId="2CE0C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971" w:type="dxa"/>
            <w:noWrap w:val="0"/>
            <w:vAlign w:val="center"/>
          </w:tcPr>
          <w:p w14:paraId="3CC4ED04">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1900" w:type="dxa"/>
            <w:noWrap w:val="0"/>
            <w:vAlign w:val="center"/>
          </w:tcPr>
          <w:p w14:paraId="57775716">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2006" w:type="dxa"/>
            <w:noWrap w:val="0"/>
            <w:vAlign w:val="center"/>
          </w:tcPr>
          <w:p w14:paraId="72C077A7">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2304" w:type="dxa"/>
            <w:noWrap w:val="0"/>
            <w:vAlign w:val="center"/>
          </w:tcPr>
          <w:p w14:paraId="43B34603">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1514" w:type="dxa"/>
            <w:noWrap w:val="0"/>
            <w:vAlign w:val="center"/>
          </w:tcPr>
          <w:p w14:paraId="215CBBFE">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r>
      <w:tr w14:paraId="1896A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971" w:type="dxa"/>
            <w:noWrap w:val="0"/>
            <w:vAlign w:val="center"/>
          </w:tcPr>
          <w:p w14:paraId="19E31498">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1900" w:type="dxa"/>
            <w:noWrap w:val="0"/>
            <w:vAlign w:val="center"/>
          </w:tcPr>
          <w:p w14:paraId="7DB2E8DB">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w:t>
            </w:r>
          </w:p>
        </w:tc>
        <w:tc>
          <w:tcPr>
            <w:tcW w:w="2006" w:type="dxa"/>
            <w:noWrap w:val="0"/>
            <w:vAlign w:val="center"/>
          </w:tcPr>
          <w:p w14:paraId="15BECA6B">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2304" w:type="dxa"/>
            <w:noWrap w:val="0"/>
            <w:vAlign w:val="center"/>
          </w:tcPr>
          <w:p w14:paraId="49DEB2AA">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c>
          <w:tcPr>
            <w:tcW w:w="1514" w:type="dxa"/>
            <w:noWrap w:val="0"/>
            <w:vAlign w:val="center"/>
          </w:tcPr>
          <w:p w14:paraId="1FE322B9">
            <w:pPr>
              <w:keepNext w:val="0"/>
              <w:keepLines w:val="0"/>
              <w:widowControl/>
              <w:suppressLineNumbers w:val="0"/>
              <w:spacing w:before="0" w:beforeAutospacing="0" w:after="0" w:afterAutospacing="0" w:line="400" w:lineRule="exact"/>
              <w:ind w:left="0" w:right="0"/>
              <w:jc w:val="center"/>
              <w:rPr>
                <w:rFonts w:hint="eastAsia" w:asciiTheme="minorEastAsia" w:hAnsiTheme="minorEastAsia" w:cstheme="minorEastAsia"/>
                <w:color w:val="auto"/>
                <w:sz w:val="24"/>
              </w:rPr>
            </w:pPr>
            <w:r>
              <w:rPr>
                <w:rFonts w:hint="eastAsia" w:asciiTheme="minorEastAsia" w:hAnsiTheme="minorEastAsia" w:cstheme="minorEastAsia"/>
                <w:color w:val="auto"/>
                <w:sz w:val="24"/>
              </w:rPr>
              <w:t>　</w:t>
            </w:r>
          </w:p>
        </w:tc>
      </w:tr>
    </w:tbl>
    <w:p w14:paraId="577B837C">
      <w:pPr>
        <w:pStyle w:val="36"/>
        <w:widowControl/>
        <w:rPr>
          <w:rFonts w:ascii="微软雅黑" w:hAnsi="宋体" w:eastAsia="微软雅黑" w:cs="黑体"/>
          <w:iCs/>
          <w:color w:val="auto"/>
          <w:sz w:val="30"/>
          <w:szCs w:val="30"/>
        </w:rPr>
      </w:pPr>
      <w:r>
        <w:rPr>
          <w:rFonts w:hint="eastAsia" w:asciiTheme="minorEastAsia" w:hAnsiTheme="minorEastAsia" w:cstheme="minorEastAsia"/>
          <w:color w:val="auto"/>
        </w:rPr>
        <w:t>注：行数不够，可自行添加。</w:t>
      </w:r>
    </w:p>
    <w:p w14:paraId="56D1FE3C">
      <w:pPr>
        <w:widowControl/>
        <w:jc w:val="left"/>
        <w:rPr>
          <w:rFonts w:cs="Times New Roman" w:asciiTheme="minorEastAsia" w:hAnsiTheme="minorEastAsia"/>
          <w:color w:val="auto"/>
          <w:sz w:val="32"/>
          <w:szCs w:val="32"/>
        </w:rPr>
      </w:pPr>
      <w:r>
        <w:rPr>
          <w:rFonts w:asciiTheme="minorEastAsia" w:hAnsiTheme="minorEastAsia"/>
          <w:color w:val="auto"/>
        </w:rPr>
        <w:br w:type="page" w:clear="all"/>
      </w:r>
    </w:p>
    <w:p w14:paraId="0DE0F164">
      <w:pPr>
        <w:widowControl/>
        <w:spacing w:before="120" w:line="400" w:lineRule="exact"/>
        <w:jc w:val="center"/>
        <w:rPr>
          <w:rFonts w:hint="eastAsia" w:ascii="黑体" w:hAnsi="黑体" w:eastAsia="黑体" w:cs="黑体"/>
          <w:i/>
          <w:color w:val="auto"/>
          <w:sz w:val="32"/>
          <w:szCs w:val="32"/>
          <w:u w:val="single"/>
          <w:lang w:eastAsia="zh-CN"/>
        </w:rPr>
      </w:pPr>
      <w:r>
        <w:rPr>
          <w:rFonts w:hint="eastAsia" w:ascii="黑体" w:hAnsi="黑体" w:eastAsia="黑体" w:cs="黑体"/>
          <w:i/>
          <w:color w:val="auto"/>
          <w:sz w:val="32"/>
          <w:szCs w:val="32"/>
          <w:u w:val="single"/>
        </w:rPr>
        <w:t>十五、开标一览表</w:t>
      </w:r>
      <w:r>
        <w:rPr>
          <w:rFonts w:hint="eastAsia" w:ascii="黑体" w:hAnsi="黑体" w:eastAsia="黑体" w:cs="黑体"/>
          <w:i/>
          <w:color w:val="auto"/>
          <w:sz w:val="32"/>
          <w:szCs w:val="32"/>
          <w:u w:val="single"/>
          <w:lang w:eastAsia="zh-CN"/>
        </w:rPr>
        <w:t>（</w:t>
      </w:r>
      <w:r>
        <w:rPr>
          <w:rFonts w:hint="eastAsia" w:ascii="黑体" w:hAnsi="黑体" w:eastAsia="黑体" w:cs="黑体"/>
          <w:i/>
          <w:color w:val="auto"/>
          <w:sz w:val="32"/>
          <w:szCs w:val="32"/>
          <w:u w:val="single"/>
          <w:lang w:val="en-US" w:eastAsia="zh-CN"/>
        </w:rPr>
        <w:t>总价</w:t>
      </w:r>
      <w:r>
        <w:rPr>
          <w:rFonts w:hint="eastAsia" w:ascii="黑体" w:hAnsi="黑体" w:eastAsia="黑体" w:cs="黑体"/>
          <w:i/>
          <w:color w:val="auto"/>
          <w:sz w:val="32"/>
          <w:szCs w:val="32"/>
          <w:u w:val="single"/>
          <w:lang w:eastAsia="zh-CN"/>
        </w:rPr>
        <w:t>）</w:t>
      </w:r>
    </w:p>
    <w:p w14:paraId="027F3689">
      <w:pPr>
        <w:widowControl/>
        <w:pBdr>
          <w:top w:val="none" w:color="000000" w:sz="0" w:space="0"/>
          <w:left w:val="none" w:color="000000" w:sz="0" w:space="0"/>
          <w:bottom w:val="none" w:color="000000" w:sz="0" w:space="0"/>
          <w:right w:val="none" w:color="000000" w:sz="0" w:space="0"/>
        </w:pBdr>
        <w:spacing w:before="50" w:after="50"/>
        <w:jc w:val="center"/>
        <w:rPr>
          <w:color w:val="auto"/>
          <w:sz w:val="22"/>
          <w:szCs w:val="22"/>
        </w:rPr>
      </w:pPr>
    </w:p>
    <w:p w14:paraId="59783EEB">
      <w:pPr>
        <w:widowControl/>
        <w:pBdr>
          <w:top w:val="none" w:color="000000" w:sz="0" w:space="0"/>
          <w:left w:val="none" w:color="000000" w:sz="0" w:space="0"/>
          <w:bottom w:val="none" w:color="000000" w:sz="0" w:space="0"/>
          <w:right w:val="none" w:color="000000" w:sz="0" w:space="0"/>
        </w:pBdr>
        <w:spacing w:before="100" w:after="100" w:line="360" w:lineRule="auto"/>
        <w:rPr>
          <w:rFonts w:ascii="宋体" w:hAnsi="宋体" w:eastAsia="宋体" w:cs="宋体"/>
          <w:color w:val="auto"/>
        </w:rPr>
      </w:pPr>
      <w:r>
        <w:rPr>
          <w:rFonts w:hint="eastAsia" w:ascii="宋体" w:hAnsi="宋体" w:eastAsia="宋体" w:cs="宋体"/>
          <w:color w:val="auto"/>
          <w:sz w:val="24"/>
        </w:rPr>
        <w:t>投标人全称（CA公章）：供应商名称</w:t>
      </w:r>
    </w:p>
    <w:p w14:paraId="15B49A0F">
      <w:pPr>
        <w:widowControl/>
        <w:pBdr>
          <w:top w:val="none" w:color="000000" w:sz="0" w:space="0"/>
          <w:left w:val="none" w:color="000000" w:sz="0" w:space="0"/>
          <w:bottom w:val="none" w:color="000000" w:sz="0" w:space="0"/>
          <w:right w:val="none" w:color="000000" w:sz="0" w:space="0"/>
        </w:pBdr>
        <w:spacing w:before="100" w:after="100" w:line="360" w:lineRule="auto"/>
        <w:rPr>
          <w:rFonts w:hint="eastAsia" w:ascii="宋体" w:hAnsi="宋体" w:eastAsia="宋体" w:cs="宋体"/>
          <w:color w:val="auto"/>
          <w:lang w:eastAsia="zh-CN"/>
        </w:rPr>
      </w:pPr>
      <w:r>
        <w:rPr>
          <w:rFonts w:hint="eastAsia" w:ascii="宋体" w:hAnsi="宋体" w:eastAsia="宋体" w:cs="宋体"/>
          <w:color w:val="auto"/>
          <w:sz w:val="24"/>
        </w:rPr>
        <w:t>项目名称：</w:t>
      </w:r>
      <w:r>
        <w:rPr>
          <w:rFonts w:hint="eastAsia" w:ascii="宋体" w:hAnsi="宋体" w:eastAsia="宋体" w:cs="宋体"/>
          <w:color w:val="auto"/>
          <w:sz w:val="24"/>
          <w:lang w:eastAsia="zh-CN"/>
        </w:rPr>
        <w:t>江苏省盐城技师学院智能制造学院工业机器人操作与运维一体化学习工作站建设项目</w:t>
      </w:r>
    </w:p>
    <w:p w14:paraId="0E0B0A83">
      <w:pPr>
        <w:widowControl/>
        <w:pBdr>
          <w:top w:val="none" w:color="000000" w:sz="0" w:space="0"/>
          <w:left w:val="none" w:color="000000" w:sz="0" w:space="0"/>
          <w:bottom w:val="none" w:color="000000" w:sz="0" w:space="0"/>
          <w:right w:val="none" w:color="000000" w:sz="0" w:space="0"/>
        </w:pBdr>
        <w:spacing w:before="100" w:after="100" w:line="360" w:lineRule="auto"/>
        <w:rPr>
          <w:rFonts w:hint="eastAsia" w:ascii="宋体" w:hAnsi="宋体" w:eastAsia="宋体" w:cs="宋体"/>
          <w:color w:val="auto"/>
          <w:lang w:eastAsia="zh-CN"/>
        </w:rPr>
      </w:pPr>
      <w:r>
        <w:rPr>
          <w:rFonts w:hint="eastAsia" w:ascii="宋体" w:hAnsi="宋体" w:eastAsia="宋体" w:cs="宋体"/>
          <w:color w:val="auto"/>
          <w:sz w:val="24"/>
        </w:rPr>
        <w:t>项目编号：JSZC-320900-JSZH-G2026-0087</w:t>
      </w:r>
    </w:p>
    <w:p w14:paraId="784FC474">
      <w:pPr>
        <w:widowControl/>
        <w:pBdr>
          <w:top w:val="none" w:color="000000" w:sz="0" w:space="0"/>
          <w:left w:val="none" w:color="000000" w:sz="0" w:space="0"/>
          <w:bottom w:val="none" w:color="000000" w:sz="0" w:space="0"/>
          <w:right w:val="none" w:color="000000" w:sz="0" w:space="0"/>
        </w:pBdr>
        <w:spacing w:before="100" w:after="100" w:line="360" w:lineRule="auto"/>
        <w:rPr>
          <w:rFonts w:ascii="宋体" w:hAnsi="宋体" w:eastAsia="宋体" w:cs="宋体"/>
          <w:color w:val="auto"/>
        </w:rPr>
      </w:pPr>
      <w:r>
        <w:rPr>
          <w:rFonts w:hint="eastAsia" w:ascii="宋体" w:hAnsi="宋体" w:eastAsia="宋体" w:cs="宋体"/>
          <w:color w:val="auto"/>
          <w:sz w:val="24"/>
        </w:rPr>
        <w:t>分包号：/</w:t>
      </w:r>
    </w:p>
    <w:tbl>
      <w:tblPr>
        <w:tblStyle w:val="43"/>
        <w:tblW w:w="8700" w:type="dxa"/>
        <w:jc w:val="cente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4527"/>
        <w:gridCol w:w="4173"/>
      </w:tblGrid>
      <w:tr w14:paraId="620E584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933" w:hRule="atLeast"/>
          <w:jc w:val="center"/>
        </w:trPr>
        <w:tc>
          <w:tcPr>
            <w:tcW w:w="4527"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14:paraId="7CDDD5E8">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0" w:right="0"/>
              <w:jc w:val="center"/>
              <w:rPr>
                <w:rFonts w:hint="eastAsia" w:ascii="宋体" w:hAnsi="宋体" w:eastAsia="宋体" w:cs="宋体"/>
                <w:color w:val="auto"/>
              </w:rPr>
            </w:pPr>
            <w:r>
              <w:rPr>
                <w:rFonts w:hint="eastAsia" w:ascii="宋体" w:hAnsi="宋体" w:eastAsia="宋体" w:cs="宋体"/>
                <w:color w:val="auto"/>
                <w:sz w:val="24"/>
              </w:rPr>
              <w:t>投标货物名称</w:t>
            </w:r>
          </w:p>
        </w:tc>
        <w:tc>
          <w:tcPr>
            <w:tcW w:w="4173"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14:paraId="7F81A637">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0" w:right="0"/>
              <w:jc w:val="center"/>
              <w:rPr>
                <w:rFonts w:hint="eastAsia" w:ascii="宋体" w:hAnsi="宋体" w:eastAsia="宋体" w:cs="宋体"/>
                <w:color w:val="auto"/>
              </w:rPr>
            </w:pPr>
            <w:r>
              <w:rPr>
                <w:rFonts w:hint="eastAsia" w:ascii="宋体" w:hAnsi="宋体" w:eastAsia="宋体" w:cs="宋体"/>
                <w:color w:val="auto"/>
                <w:sz w:val="24"/>
              </w:rPr>
              <w:t>总价（小写）</w:t>
            </w:r>
          </w:p>
        </w:tc>
      </w:tr>
      <w:tr w14:paraId="7550A65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948" w:hRule="atLeast"/>
          <w:jc w:val="center"/>
        </w:trPr>
        <w:tc>
          <w:tcPr>
            <w:tcW w:w="4527"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14:paraId="224BCD76">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0" w:right="0"/>
              <w:jc w:val="center"/>
              <w:rPr>
                <w:rFonts w:hint="eastAsia" w:ascii="宋体" w:hAnsi="宋体" w:eastAsia="宋体" w:cs="宋体"/>
                <w:color w:val="auto"/>
              </w:rPr>
            </w:pPr>
            <w:r>
              <w:rPr>
                <w:rFonts w:hint="eastAsia" w:ascii="宋体" w:hAnsi="宋体" w:eastAsia="宋体" w:cs="宋体"/>
                <w:color w:val="auto"/>
                <w:sz w:val="24"/>
              </w:rPr>
              <w:t>投标产品名称</w:t>
            </w:r>
          </w:p>
        </w:tc>
        <w:tc>
          <w:tcPr>
            <w:tcW w:w="4173"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14:paraId="69D1CBC3">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0" w:right="0"/>
              <w:jc w:val="center"/>
              <w:rPr>
                <w:rFonts w:hint="eastAsia" w:ascii="宋体" w:hAnsi="宋体" w:eastAsia="宋体" w:cs="宋体"/>
                <w:color w:val="auto"/>
              </w:rPr>
            </w:pPr>
            <w:r>
              <w:rPr>
                <w:rFonts w:hint="eastAsia" w:ascii="宋体" w:hAnsi="宋体" w:eastAsia="宋体" w:cs="宋体"/>
                <w:color w:val="auto"/>
                <w:sz w:val="24"/>
              </w:rPr>
              <w:t>元</w:t>
            </w:r>
          </w:p>
        </w:tc>
      </w:tr>
      <w:tr w14:paraId="6B765E6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1104" w:hRule="atLeast"/>
          <w:jc w:val="center"/>
        </w:trPr>
        <w:tc>
          <w:tcPr>
            <w:tcW w:w="4527"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14:paraId="1D28BAD6">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0" w:right="0"/>
              <w:jc w:val="center"/>
              <w:rPr>
                <w:rFonts w:hint="eastAsia" w:ascii="宋体" w:hAnsi="宋体" w:eastAsia="宋体" w:cs="宋体"/>
                <w:color w:val="auto"/>
              </w:rPr>
            </w:pPr>
            <w:r>
              <w:rPr>
                <w:rFonts w:hint="eastAsia" w:ascii="宋体" w:hAnsi="宋体" w:eastAsia="宋体" w:cs="宋体"/>
                <w:color w:val="auto"/>
                <w:sz w:val="24"/>
              </w:rPr>
              <w:t>核心产品品牌：</w:t>
            </w:r>
          </w:p>
        </w:tc>
        <w:tc>
          <w:tcPr>
            <w:tcW w:w="4173"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14:paraId="448E0F4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0" w:right="0"/>
              <w:rPr>
                <w:rFonts w:hint="eastAsia" w:ascii="宋体" w:hAnsi="宋体" w:eastAsia="宋体" w:cs="宋体"/>
                <w:color w:val="auto"/>
              </w:rPr>
            </w:pPr>
          </w:p>
        </w:tc>
      </w:tr>
    </w:tbl>
    <w:p w14:paraId="7DB9A04B">
      <w:pPr>
        <w:widowControl/>
        <w:pBdr>
          <w:top w:val="none" w:color="000000" w:sz="0" w:space="0"/>
          <w:left w:val="none" w:color="000000" w:sz="0" w:space="0"/>
          <w:bottom w:val="none" w:color="000000" w:sz="0" w:space="0"/>
          <w:right w:val="none" w:color="000000" w:sz="0" w:space="0"/>
        </w:pBdr>
        <w:spacing w:before="100" w:after="100"/>
        <w:rPr>
          <w:color w:val="auto"/>
        </w:rPr>
      </w:pPr>
    </w:p>
    <w:p w14:paraId="56DED4C8">
      <w:pPr>
        <w:widowControl/>
        <w:pBdr>
          <w:top w:val="none" w:color="000000" w:sz="0" w:space="0"/>
          <w:left w:val="none" w:color="000000" w:sz="0" w:space="0"/>
          <w:bottom w:val="none" w:color="000000" w:sz="0" w:space="0"/>
          <w:right w:val="none" w:color="000000" w:sz="0" w:space="0"/>
        </w:pBdr>
        <w:spacing w:before="100" w:after="100"/>
        <w:jc w:val="right"/>
        <w:rPr>
          <w:rFonts w:ascii="宋体" w:hAnsi="宋体" w:eastAsia="宋体" w:cs="宋体"/>
          <w:color w:val="auto"/>
          <w:sz w:val="24"/>
          <w:szCs w:val="21"/>
        </w:rPr>
      </w:pPr>
      <w:r>
        <w:rPr>
          <w:rFonts w:ascii="宋体" w:hAnsi="宋体" w:eastAsia="宋体" w:cs="宋体"/>
          <w:color w:val="auto"/>
          <w:sz w:val="24"/>
        </w:rPr>
        <w:t>日期：年月日</w:t>
      </w:r>
    </w:p>
    <w:p w14:paraId="633F8307">
      <w:pPr>
        <w:widowControl/>
        <w:rPr>
          <w:rFonts w:ascii="黑体" w:hAnsi="黑体" w:eastAsia="黑体" w:cs="黑体"/>
          <w:i/>
          <w:color w:val="auto"/>
          <w:sz w:val="32"/>
          <w:szCs w:val="32"/>
          <w:u w:val="single"/>
        </w:rPr>
      </w:pPr>
      <w:r>
        <w:rPr>
          <w:rFonts w:hint="eastAsia" w:ascii="黑体" w:hAnsi="黑体" w:eastAsia="黑体" w:cs="黑体"/>
          <w:i/>
          <w:color w:val="auto"/>
          <w:sz w:val="32"/>
          <w:szCs w:val="32"/>
          <w:u w:val="single"/>
        </w:rPr>
        <w:br w:type="page" w:clear="all"/>
      </w:r>
    </w:p>
    <w:p w14:paraId="617A0E02">
      <w:pPr>
        <w:widowControl/>
        <w:spacing w:before="120" w:line="400" w:lineRule="exact"/>
        <w:jc w:val="center"/>
        <w:rPr>
          <w:rFonts w:ascii="黑体" w:hAnsi="黑体" w:eastAsia="黑体" w:cs="黑体"/>
          <w:i/>
          <w:color w:val="auto"/>
          <w:sz w:val="32"/>
          <w:szCs w:val="32"/>
          <w:u w:val="single"/>
        </w:rPr>
      </w:pPr>
      <w:r>
        <w:rPr>
          <w:rFonts w:hint="eastAsia" w:ascii="黑体" w:hAnsi="黑体" w:eastAsia="黑体" w:cs="黑体"/>
          <w:i/>
          <w:color w:val="auto"/>
          <w:sz w:val="32"/>
          <w:szCs w:val="32"/>
          <w:u w:val="single"/>
        </w:rPr>
        <w:t>十六、技术方案、服务承诺、培训承诺等</w:t>
      </w:r>
    </w:p>
    <w:p w14:paraId="26DD419B">
      <w:pPr>
        <w:widowControl/>
        <w:spacing w:before="120" w:line="400" w:lineRule="exact"/>
        <w:jc w:val="center"/>
        <w:rPr>
          <w:rFonts w:ascii="黑体" w:hAnsi="黑体" w:eastAsia="黑体" w:cs="黑体"/>
          <w:i/>
          <w:color w:val="auto"/>
          <w:sz w:val="32"/>
          <w:szCs w:val="32"/>
          <w:u w:val="single"/>
        </w:rPr>
      </w:pPr>
    </w:p>
    <w:p w14:paraId="2DB72999">
      <w:pPr>
        <w:widowControl/>
        <w:spacing w:line="499" w:lineRule="atLeast"/>
        <w:jc w:val="center"/>
        <w:rPr>
          <w:rFonts w:cs="Times New Roman" w:asciiTheme="minorEastAsia" w:hAnsiTheme="minorEastAsia"/>
          <w:color w:val="auto"/>
          <w:sz w:val="32"/>
          <w:szCs w:val="32"/>
        </w:rPr>
      </w:pPr>
    </w:p>
    <w:p w14:paraId="45F5EACB">
      <w:pPr>
        <w:widowControl/>
        <w:spacing w:line="499" w:lineRule="atLeast"/>
        <w:jc w:val="center"/>
        <w:rPr>
          <w:rFonts w:cs="Times New Roman" w:asciiTheme="minorEastAsia" w:hAnsiTheme="minorEastAsia"/>
          <w:color w:val="auto"/>
          <w:sz w:val="32"/>
          <w:szCs w:val="32"/>
        </w:rPr>
      </w:pPr>
    </w:p>
    <w:p w14:paraId="51BF128B">
      <w:pPr>
        <w:widowControl/>
        <w:spacing w:line="499" w:lineRule="atLeast"/>
        <w:jc w:val="center"/>
        <w:rPr>
          <w:rFonts w:cs="Times New Roman" w:asciiTheme="minorEastAsia" w:hAnsiTheme="minorEastAsia"/>
          <w:color w:val="auto"/>
          <w:sz w:val="32"/>
          <w:szCs w:val="32"/>
        </w:rPr>
      </w:pPr>
    </w:p>
    <w:p w14:paraId="3BC9004C">
      <w:pPr>
        <w:widowControl/>
        <w:rPr>
          <w:rFonts w:cs="Times New Roman" w:asciiTheme="minorEastAsia" w:hAnsiTheme="minorEastAsia"/>
          <w:color w:val="auto"/>
          <w:sz w:val="32"/>
          <w:szCs w:val="32"/>
        </w:rPr>
      </w:pPr>
      <w:r>
        <w:rPr>
          <w:rFonts w:cs="Times New Roman" w:asciiTheme="minorEastAsia" w:hAnsiTheme="minorEastAsia"/>
          <w:color w:val="auto"/>
          <w:sz w:val="32"/>
          <w:szCs w:val="32"/>
        </w:rPr>
        <w:br w:type="page" w:clear="all"/>
      </w:r>
    </w:p>
    <w:p w14:paraId="1DB8F898">
      <w:pPr>
        <w:widowControl/>
        <w:spacing w:before="120" w:line="400" w:lineRule="exact"/>
        <w:jc w:val="center"/>
        <w:rPr>
          <w:rFonts w:ascii="黑体" w:hAnsi="黑体" w:eastAsia="黑体" w:cs="黑体"/>
          <w:i/>
          <w:color w:val="auto"/>
          <w:sz w:val="32"/>
          <w:szCs w:val="32"/>
          <w:u w:val="single"/>
        </w:rPr>
      </w:pPr>
      <w:r>
        <w:rPr>
          <w:rFonts w:hint="eastAsia" w:ascii="黑体" w:hAnsi="黑体" w:eastAsia="黑体" w:cs="黑体"/>
          <w:i/>
          <w:color w:val="auto"/>
          <w:sz w:val="32"/>
          <w:szCs w:val="32"/>
          <w:u w:val="single"/>
        </w:rPr>
        <w:t>十七、盐城市政府采购事前信用承诺书</w:t>
      </w:r>
    </w:p>
    <w:p w14:paraId="3B7FECD7">
      <w:pPr>
        <w:widowControl/>
        <w:spacing w:line="520" w:lineRule="exact"/>
        <w:ind w:firstLine="440"/>
        <w:rPr>
          <w:color w:val="auto"/>
          <w:sz w:val="24"/>
        </w:rPr>
      </w:pPr>
      <w:r>
        <w:rPr>
          <w:rFonts w:hint="eastAsia"/>
          <w:color w:val="auto"/>
          <w:sz w:val="24"/>
        </w:rPr>
        <w:t>为营造我市公开、公平、公正、诚实守信的政府采购交易环境，树立诚信守法的投标人形象，本人代表本单位作出以下承诺：</w:t>
      </w:r>
    </w:p>
    <w:p w14:paraId="5553A0C7">
      <w:pPr>
        <w:widowControl/>
        <w:spacing w:line="520" w:lineRule="exact"/>
        <w:ind w:firstLine="440"/>
        <w:rPr>
          <w:color w:val="auto"/>
          <w:sz w:val="24"/>
        </w:rPr>
      </w:pPr>
      <w:r>
        <w:rPr>
          <w:rFonts w:hint="eastAsia"/>
          <w:color w:val="auto"/>
          <w:sz w:val="24"/>
        </w:rPr>
        <w:t>（一）本单位对所提交的企（事）业单位基本信息、企（事）业负责人、项目负责人、技术负责人、从业资质和资格、业绩、财务状况、信誉等所有资料，均合法、真实、准确、有效，无任何伪造、修改、虚假成分，并对所提供资料的真实性负责；</w:t>
      </w:r>
    </w:p>
    <w:p w14:paraId="0A28088A">
      <w:pPr>
        <w:widowControl/>
        <w:spacing w:line="520" w:lineRule="exact"/>
        <w:ind w:firstLine="440"/>
        <w:rPr>
          <w:color w:val="auto"/>
          <w:sz w:val="24"/>
        </w:rPr>
      </w:pPr>
      <w:r>
        <w:rPr>
          <w:rFonts w:hint="eastAsia"/>
          <w:color w:val="auto"/>
          <w:sz w:val="24"/>
        </w:rPr>
        <w:t>（二）本单位无涉及政府采购活动的违法、违规不良记录，我公司及相关负责人无因存在重大隐患整改不力、发生有重大社会影响生产安全事故或其他严重违法违规行为而被列入失信联合惩戒的不良记录；</w:t>
      </w:r>
    </w:p>
    <w:p w14:paraId="78BC38F2">
      <w:pPr>
        <w:widowControl/>
        <w:spacing w:line="520" w:lineRule="exact"/>
        <w:ind w:firstLine="440"/>
        <w:rPr>
          <w:rFonts w:hint="eastAsia" w:eastAsia="宋体"/>
          <w:color w:val="auto"/>
          <w:sz w:val="24"/>
          <w:lang w:eastAsia="zh-CN"/>
        </w:rPr>
      </w:pPr>
      <w:r>
        <w:rPr>
          <w:rFonts w:hint="eastAsia"/>
          <w:color w:val="auto"/>
          <w:sz w:val="24"/>
        </w:rPr>
        <w:t>（三）严格依照国家和省、市关于政府采购的法律、法规、规章、规范性文件，参加政府采购投标活动；积极履行社会责任，促进廉政建设；</w:t>
      </w:r>
    </w:p>
    <w:p w14:paraId="3E9DFA41">
      <w:pPr>
        <w:widowControl/>
        <w:spacing w:line="520" w:lineRule="exact"/>
        <w:ind w:firstLine="440"/>
        <w:rPr>
          <w:color w:val="auto"/>
          <w:sz w:val="24"/>
        </w:rPr>
      </w:pPr>
      <w:r>
        <w:rPr>
          <w:rFonts w:hint="eastAsia"/>
          <w:color w:val="auto"/>
          <w:sz w:val="24"/>
        </w:rPr>
        <w:t>（四）严格遵守即时信息公示规定，及时维护和更新盐城市政府采购网中与本单位相关的信息；</w:t>
      </w:r>
    </w:p>
    <w:p w14:paraId="14BCE8C7">
      <w:pPr>
        <w:widowControl/>
        <w:spacing w:line="520" w:lineRule="exact"/>
        <w:ind w:firstLine="440"/>
        <w:rPr>
          <w:color w:val="auto"/>
          <w:sz w:val="24"/>
        </w:rPr>
      </w:pPr>
      <w:r>
        <w:rPr>
          <w:rFonts w:hint="eastAsia"/>
          <w:color w:val="auto"/>
          <w:sz w:val="24"/>
        </w:rPr>
        <w:t>（五）自我约束、自我管理，守合同、重信用，自觉维护政府采购交易的良好秩序，与参与本次政府采购活动的其他供应商不存在直接控股或管理关系，不参与围标串标、弄虚作假、骗取中标、干扰评标、违约毁约等行为；</w:t>
      </w:r>
    </w:p>
    <w:p w14:paraId="64C6B3B4">
      <w:pPr>
        <w:widowControl/>
        <w:spacing w:line="520" w:lineRule="exact"/>
        <w:ind w:firstLine="440"/>
        <w:outlineLvl w:val="2"/>
        <w:rPr>
          <w:color w:val="auto"/>
          <w:sz w:val="24"/>
        </w:rPr>
      </w:pPr>
      <w:r>
        <w:rPr>
          <w:rFonts w:hint="eastAsia"/>
          <w:color w:val="auto"/>
          <w:sz w:val="24"/>
        </w:rPr>
        <w:t>（六）自觉接受政府、行业组织、社会公众、新闻舆论的监督；</w:t>
      </w:r>
    </w:p>
    <w:p w14:paraId="0AE7FBFF">
      <w:pPr>
        <w:widowControl/>
        <w:spacing w:line="520" w:lineRule="exact"/>
        <w:ind w:firstLine="440"/>
        <w:rPr>
          <w:color w:val="auto"/>
          <w:sz w:val="24"/>
        </w:rPr>
      </w:pPr>
      <w:r>
        <w:rPr>
          <w:rFonts w:hint="eastAsia"/>
          <w:color w:val="auto"/>
          <w:sz w:val="24"/>
        </w:rPr>
        <w:t>（七）本单位自愿接受政府采购监督管理机构和有关行政监督部门的依法检查。如发生违法违规或不良失信行为，自愿接受政府采购监督管理机构和有关行政监督部门依法给予的行政处罚（处理），并依法承担相应责任；</w:t>
      </w:r>
    </w:p>
    <w:p w14:paraId="72A52A22">
      <w:pPr>
        <w:widowControl/>
        <w:spacing w:line="520" w:lineRule="exact"/>
        <w:ind w:firstLine="440"/>
        <w:outlineLvl w:val="2"/>
        <w:rPr>
          <w:color w:val="auto"/>
          <w:sz w:val="24"/>
        </w:rPr>
      </w:pPr>
      <w:r>
        <w:rPr>
          <w:rFonts w:hint="eastAsia"/>
          <w:color w:val="auto"/>
          <w:sz w:val="24"/>
        </w:rPr>
        <w:t>（八）本人已认真阅读了上述承诺，并向本单位员工做了宣传教育。</w:t>
      </w:r>
    </w:p>
    <w:p w14:paraId="041D0D80">
      <w:pPr>
        <w:widowControl/>
        <w:spacing w:line="520" w:lineRule="exact"/>
        <w:rPr>
          <w:color w:val="auto"/>
          <w:sz w:val="24"/>
        </w:rPr>
      </w:pPr>
    </w:p>
    <w:p w14:paraId="0033D724">
      <w:pPr>
        <w:widowControl/>
        <w:spacing w:line="520" w:lineRule="exact"/>
        <w:ind w:firstLine="440"/>
        <w:jc w:val="right"/>
        <w:rPr>
          <w:color w:val="auto"/>
          <w:sz w:val="24"/>
        </w:rPr>
      </w:pPr>
      <w:r>
        <w:rPr>
          <w:rFonts w:hint="eastAsia"/>
          <w:color w:val="auto"/>
          <w:sz w:val="24"/>
        </w:rPr>
        <w:t>法定代表人（签名）：</w:t>
      </w:r>
    </w:p>
    <w:p w14:paraId="4F06A22F">
      <w:pPr>
        <w:widowControl/>
        <w:spacing w:line="520" w:lineRule="exact"/>
        <w:ind w:firstLine="440"/>
        <w:jc w:val="right"/>
        <w:rPr>
          <w:color w:val="auto"/>
          <w:sz w:val="24"/>
        </w:rPr>
      </w:pPr>
      <w:r>
        <w:rPr>
          <w:rFonts w:hint="eastAsia"/>
          <w:color w:val="auto"/>
          <w:sz w:val="24"/>
        </w:rPr>
        <w:t>单位名称（盖章）：</w:t>
      </w:r>
    </w:p>
    <w:p w14:paraId="72756F8A">
      <w:pPr>
        <w:widowControl/>
        <w:spacing w:line="520" w:lineRule="exact"/>
        <w:jc w:val="center"/>
        <w:rPr>
          <w:color w:val="auto"/>
          <w:sz w:val="24"/>
        </w:rPr>
      </w:pPr>
      <w:r>
        <w:rPr>
          <w:rFonts w:hint="eastAsia"/>
          <w:color w:val="auto"/>
          <w:sz w:val="24"/>
        </w:rPr>
        <w:t>年月日</w:t>
      </w:r>
    </w:p>
    <w:p w14:paraId="074918EF">
      <w:pPr>
        <w:widowControl/>
        <w:spacing w:line="520" w:lineRule="exact"/>
        <w:rPr>
          <w:rFonts w:cs="Times New Roman" w:asciiTheme="minorEastAsia" w:hAnsiTheme="minorEastAsia"/>
          <w:color w:val="auto"/>
          <w:sz w:val="32"/>
          <w:szCs w:val="32"/>
        </w:rPr>
      </w:pPr>
      <w:r>
        <w:rPr>
          <w:rFonts w:asciiTheme="minorEastAsia" w:hAnsiTheme="minorEastAsia"/>
          <w:color w:val="auto"/>
        </w:rPr>
        <w:br w:type="page" w:clear="all"/>
      </w:r>
    </w:p>
    <w:p w14:paraId="658405C3">
      <w:pPr>
        <w:widowControl/>
        <w:spacing w:before="120" w:line="400" w:lineRule="exact"/>
        <w:jc w:val="center"/>
        <w:rPr>
          <w:rFonts w:ascii="黑体" w:hAnsi="黑体" w:eastAsia="黑体" w:cs="黑体"/>
          <w:i/>
          <w:color w:val="auto"/>
          <w:sz w:val="32"/>
          <w:szCs w:val="32"/>
          <w:u w:val="single"/>
        </w:rPr>
      </w:pPr>
      <w:r>
        <w:rPr>
          <w:rFonts w:hint="eastAsia" w:ascii="黑体" w:hAnsi="黑体" w:eastAsia="黑体" w:cs="黑体"/>
          <w:i/>
          <w:color w:val="auto"/>
          <w:sz w:val="32"/>
          <w:szCs w:val="32"/>
          <w:u w:val="single"/>
        </w:rPr>
        <w:t>质疑函范本</w:t>
      </w:r>
    </w:p>
    <w:p w14:paraId="65855797">
      <w:pPr>
        <w:pStyle w:val="36"/>
        <w:widowControl/>
        <w:ind w:firstLine="482"/>
        <w:jc w:val="both"/>
        <w:outlineLvl w:val="1"/>
        <w:rPr>
          <w:rFonts w:asciiTheme="minorEastAsia" w:hAnsiTheme="minorEastAsia" w:cstheme="minorEastAsia"/>
          <w:b/>
          <w:color w:val="auto"/>
        </w:rPr>
      </w:pPr>
      <w:r>
        <w:rPr>
          <w:rFonts w:hint="eastAsia" w:asciiTheme="minorEastAsia" w:hAnsiTheme="minorEastAsia" w:cstheme="minorEastAsia"/>
          <w:b/>
          <w:color w:val="auto"/>
        </w:rPr>
        <w:t>一、质疑供应商基本信息</w:t>
      </w:r>
    </w:p>
    <w:p w14:paraId="49FB1883">
      <w:pPr>
        <w:pStyle w:val="36"/>
        <w:widowControl/>
        <w:ind w:firstLine="482"/>
        <w:jc w:val="both"/>
        <w:rPr>
          <w:rFonts w:hint="eastAsia" w:eastAsia="宋体" w:asciiTheme="minorEastAsia" w:hAnsiTheme="minorEastAsia" w:cstheme="minorEastAsia"/>
          <w:b/>
          <w:bCs/>
          <w:color w:val="auto"/>
          <w:lang w:eastAsia="zh-CN"/>
        </w:rPr>
      </w:pPr>
      <w:r>
        <w:rPr>
          <w:rFonts w:hint="eastAsia" w:asciiTheme="minorEastAsia" w:hAnsiTheme="minorEastAsia" w:cstheme="minorEastAsia"/>
          <w:bCs/>
          <w:color w:val="auto"/>
        </w:rPr>
        <w:t>质疑供应商：</w:t>
      </w:r>
    </w:p>
    <w:p w14:paraId="06390524">
      <w:pPr>
        <w:pStyle w:val="36"/>
        <w:widowControl/>
        <w:ind w:firstLine="482"/>
        <w:jc w:val="both"/>
        <w:rPr>
          <w:rFonts w:hint="eastAsia" w:eastAsia="宋体" w:asciiTheme="minorEastAsia" w:hAnsiTheme="minorEastAsia" w:cstheme="minorEastAsia"/>
          <w:b/>
          <w:bCs/>
          <w:color w:val="auto"/>
          <w:u w:val="single"/>
          <w:lang w:eastAsia="zh-CN"/>
        </w:rPr>
      </w:pPr>
      <w:r>
        <w:rPr>
          <w:rFonts w:hint="eastAsia" w:asciiTheme="minorEastAsia" w:hAnsiTheme="minorEastAsia" w:cstheme="minorEastAsia"/>
          <w:bCs/>
          <w:color w:val="auto"/>
        </w:rPr>
        <w:t>地址：</w:t>
      </w:r>
    </w:p>
    <w:p w14:paraId="40029292">
      <w:pPr>
        <w:pStyle w:val="36"/>
        <w:widowControl/>
        <w:ind w:firstLine="482"/>
        <w:jc w:val="both"/>
        <w:rPr>
          <w:rFonts w:hint="eastAsia" w:eastAsia="宋体" w:asciiTheme="minorEastAsia" w:hAnsiTheme="minorEastAsia" w:cstheme="minorEastAsia"/>
          <w:color w:val="auto"/>
          <w:lang w:eastAsia="zh-CN"/>
        </w:rPr>
      </w:pPr>
      <w:r>
        <w:rPr>
          <w:rFonts w:hint="eastAsia" w:asciiTheme="minorEastAsia" w:hAnsiTheme="minorEastAsia" w:cstheme="minorEastAsia"/>
          <w:bCs/>
          <w:color w:val="auto"/>
        </w:rPr>
        <w:t>邮编：</w:t>
      </w:r>
    </w:p>
    <w:p w14:paraId="76CEEA86">
      <w:pPr>
        <w:pStyle w:val="36"/>
        <w:widowControl/>
        <w:ind w:firstLine="482"/>
        <w:jc w:val="both"/>
        <w:rPr>
          <w:rFonts w:hint="eastAsia" w:eastAsia="宋体" w:asciiTheme="minorEastAsia" w:hAnsiTheme="minorEastAsia" w:cstheme="minorEastAsia"/>
          <w:b/>
          <w:bCs/>
          <w:color w:val="auto"/>
          <w:u w:val="single"/>
          <w:lang w:eastAsia="zh-CN"/>
        </w:rPr>
      </w:pPr>
      <w:r>
        <w:rPr>
          <w:rFonts w:hint="eastAsia" w:asciiTheme="minorEastAsia" w:hAnsiTheme="minorEastAsia" w:cstheme="minorEastAsia"/>
          <w:bCs/>
          <w:color w:val="auto"/>
        </w:rPr>
        <w:t>联系人：</w:t>
      </w:r>
    </w:p>
    <w:p w14:paraId="6E93258B">
      <w:pPr>
        <w:pStyle w:val="36"/>
        <w:widowControl/>
        <w:ind w:firstLine="482"/>
        <w:jc w:val="both"/>
        <w:rPr>
          <w:rFonts w:hint="eastAsia" w:eastAsia="宋体" w:asciiTheme="minorEastAsia" w:hAnsiTheme="minorEastAsia" w:cstheme="minorEastAsia"/>
          <w:b/>
          <w:bCs/>
          <w:color w:val="auto"/>
          <w:lang w:eastAsia="zh-CN"/>
        </w:rPr>
      </w:pPr>
      <w:r>
        <w:rPr>
          <w:rFonts w:hint="eastAsia" w:asciiTheme="minorEastAsia" w:hAnsiTheme="minorEastAsia" w:cstheme="minorEastAsia"/>
          <w:bCs/>
          <w:color w:val="auto"/>
        </w:rPr>
        <w:t>联系电话：</w:t>
      </w:r>
    </w:p>
    <w:p w14:paraId="5B80CE41">
      <w:pPr>
        <w:pStyle w:val="36"/>
        <w:widowControl/>
        <w:ind w:firstLine="482"/>
        <w:jc w:val="both"/>
        <w:rPr>
          <w:rFonts w:hint="eastAsia" w:eastAsia="宋体" w:asciiTheme="minorEastAsia" w:hAnsiTheme="minorEastAsia" w:cstheme="minorEastAsia"/>
          <w:b/>
          <w:bCs/>
          <w:color w:val="auto"/>
          <w:lang w:eastAsia="zh-CN"/>
        </w:rPr>
      </w:pPr>
      <w:r>
        <w:rPr>
          <w:rFonts w:hint="eastAsia" w:asciiTheme="minorEastAsia" w:hAnsiTheme="minorEastAsia" w:cstheme="minorEastAsia"/>
          <w:bCs/>
          <w:color w:val="auto"/>
        </w:rPr>
        <w:t>授权代表：</w:t>
      </w:r>
    </w:p>
    <w:p w14:paraId="01D55352">
      <w:pPr>
        <w:pStyle w:val="36"/>
        <w:widowControl/>
        <w:ind w:firstLine="482"/>
        <w:jc w:val="both"/>
        <w:rPr>
          <w:rFonts w:hint="eastAsia" w:eastAsia="宋体" w:asciiTheme="minorEastAsia" w:hAnsiTheme="minorEastAsia" w:cstheme="minorEastAsia"/>
          <w:b/>
          <w:bCs/>
          <w:color w:val="auto"/>
          <w:lang w:eastAsia="zh-CN"/>
        </w:rPr>
      </w:pPr>
      <w:r>
        <w:rPr>
          <w:rFonts w:hint="eastAsia" w:asciiTheme="minorEastAsia" w:hAnsiTheme="minorEastAsia" w:cstheme="minorEastAsia"/>
          <w:bCs/>
          <w:color w:val="auto"/>
        </w:rPr>
        <w:t>联系电话：</w:t>
      </w:r>
    </w:p>
    <w:p w14:paraId="1633A326">
      <w:pPr>
        <w:pStyle w:val="36"/>
        <w:widowControl/>
        <w:ind w:firstLine="482"/>
        <w:jc w:val="both"/>
        <w:rPr>
          <w:rFonts w:hint="eastAsia" w:eastAsia="宋体" w:asciiTheme="minorEastAsia" w:hAnsiTheme="minorEastAsia" w:cstheme="minorEastAsia"/>
          <w:b/>
          <w:bCs/>
          <w:color w:val="auto"/>
          <w:u w:val="single"/>
          <w:lang w:eastAsia="zh-CN"/>
        </w:rPr>
      </w:pPr>
      <w:r>
        <w:rPr>
          <w:rFonts w:hint="eastAsia" w:asciiTheme="minorEastAsia" w:hAnsiTheme="minorEastAsia" w:cstheme="minorEastAsia"/>
          <w:bCs/>
          <w:color w:val="auto"/>
        </w:rPr>
        <w:t>地址：</w:t>
      </w:r>
    </w:p>
    <w:p w14:paraId="6C837ADB">
      <w:pPr>
        <w:pStyle w:val="36"/>
        <w:widowControl/>
        <w:ind w:firstLine="482"/>
        <w:jc w:val="both"/>
        <w:rPr>
          <w:rFonts w:hint="eastAsia" w:eastAsia="宋体" w:asciiTheme="minorEastAsia" w:hAnsiTheme="minorEastAsia" w:cstheme="minorEastAsia"/>
          <w:b/>
          <w:bCs/>
          <w:color w:val="auto"/>
          <w:lang w:eastAsia="zh-CN"/>
        </w:rPr>
      </w:pPr>
      <w:r>
        <w:rPr>
          <w:rFonts w:hint="eastAsia" w:asciiTheme="minorEastAsia" w:hAnsiTheme="minorEastAsia" w:cstheme="minorEastAsia"/>
          <w:bCs/>
          <w:color w:val="auto"/>
        </w:rPr>
        <w:t>邮编：</w:t>
      </w:r>
    </w:p>
    <w:p w14:paraId="6465CE66">
      <w:pPr>
        <w:pStyle w:val="36"/>
        <w:widowControl/>
        <w:ind w:firstLine="482"/>
        <w:jc w:val="both"/>
        <w:outlineLvl w:val="1"/>
        <w:rPr>
          <w:rFonts w:asciiTheme="minorEastAsia" w:hAnsiTheme="minorEastAsia" w:cstheme="minorEastAsia"/>
          <w:b/>
          <w:color w:val="auto"/>
        </w:rPr>
      </w:pPr>
      <w:r>
        <w:rPr>
          <w:rFonts w:hint="eastAsia" w:asciiTheme="minorEastAsia" w:hAnsiTheme="minorEastAsia" w:cstheme="minorEastAsia"/>
          <w:b/>
          <w:color w:val="auto"/>
        </w:rPr>
        <w:t>二、质疑项目基本情况</w:t>
      </w:r>
    </w:p>
    <w:p w14:paraId="2E7501C4">
      <w:pPr>
        <w:pStyle w:val="36"/>
        <w:widowControl/>
        <w:ind w:firstLine="482"/>
        <w:jc w:val="both"/>
        <w:rPr>
          <w:rFonts w:hint="eastAsia" w:eastAsia="宋体" w:asciiTheme="minorEastAsia" w:hAnsiTheme="minorEastAsia" w:cstheme="minorEastAsia"/>
          <w:b/>
          <w:bCs/>
          <w:color w:val="auto"/>
          <w:lang w:eastAsia="zh-CN"/>
        </w:rPr>
      </w:pPr>
      <w:r>
        <w:rPr>
          <w:rFonts w:hint="eastAsia" w:asciiTheme="minorEastAsia" w:hAnsiTheme="minorEastAsia" w:cstheme="minorEastAsia"/>
          <w:bCs/>
          <w:color w:val="auto"/>
        </w:rPr>
        <w:t>质疑项目的名称：</w:t>
      </w:r>
    </w:p>
    <w:p w14:paraId="73F44D33">
      <w:pPr>
        <w:pStyle w:val="36"/>
        <w:widowControl/>
        <w:ind w:firstLine="482"/>
        <w:jc w:val="both"/>
        <w:rPr>
          <w:rFonts w:hint="eastAsia" w:eastAsia="宋体" w:asciiTheme="minorEastAsia" w:hAnsiTheme="minorEastAsia" w:cstheme="minorEastAsia"/>
          <w:b/>
          <w:bCs/>
          <w:color w:val="auto"/>
          <w:u w:val="single"/>
          <w:lang w:eastAsia="zh-CN"/>
        </w:rPr>
      </w:pPr>
      <w:r>
        <w:rPr>
          <w:rFonts w:hint="eastAsia" w:asciiTheme="minorEastAsia" w:hAnsiTheme="minorEastAsia" w:cstheme="minorEastAsia"/>
          <w:bCs/>
          <w:color w:val="auto"/>
        </w:rPr>
        <w:t>质疑项目的编号：</w:t>
      </w:r>
    </w:p>
    <w:p w14:paraId="1A2FF066">
      <w:pPr>
        <w:pStyle w:val="36"/>
        <w:widowControl/>
        <w:ind w:firstLine="482"/>
        <w:jc w:val="both"/>
        <w:rPr>
          <w:rFonts w:hint="eastAsia" w:eastAsia="宋体" w:asciiTheme="minorEastAsia" w:hAnsiTheme="minorEastAsia" w:cstheme="minorEastAsia"/>
          <w:b/>
          <w:bCs/>
          <w:color w:val="auto"/>
          <w:lang w:eastAsia="zh-CN"/>
        </w:rPr>
      </w:pPr>
      <w:r>
        <w:rPr>
          <w:rFonts w:hint="eastAsia" w:asciiTheme="minorEastAsia" w:hAnsiTheme="minorEastAsia" w:cstheme="minorEastAsia"/>
          <w:bCs/>
          <w:color w:val="auto"/>
        </w:rPr>
        <w:t>包号：</w:t>
      </w:r>
    </w:p>
    <w:p w14:paraId="5F8A7C73">
      <w:pPr>
        <w:pStyle w:val="36"/>
        <w:widowControl/>
        <w:ind w:firstLine="482"/>
        <w:jc w:val="both"/>
        <w:rPr>
          <w:rFonts w:hint="eastAsia" w:eastAsia="宋体" w:asciiTheme="minorEastAsia" w:hAnsiTheme="minorEastAsia" w:cstheme="minorEastAsia"/>
          <w:b/>
          <w:bCs/>
          <w:color w:val="auto"/>
          <w:lang w:eastAsia="zh-CN"/>
        </w:rPr>
      </w:pPr>
      <w:r>
        <w:rPr>
          <w:rFonts w:hint="eastAsia" w:asciiTheme="minorEastAsia" w:hAnsiTheme="minorEastAsia" w:cstheme="minorEastAsia"/>
          <w:bCs/>
          <w:color w:val="auto"/>
        </w:rPr>
        <w:t>采购人名称：</w:t>
      </w:r>
    </w:p>
    <w:p w14:paraId="49A25C78">
      <w:pPr>
        <w:pStyle w:val="36"/>
        <w:widowControl/>
        <w:ind w:firstLine="482"/>
        <w:jc w:val="both"/>
        <w:rPr>
          <w:rFonts w:hint="eastAsia" w:eastAsia="宋体" w:asciiTheme="minorEastAsia" w:hAnsiTheme="minorEastAsia" w:cstheme="minorEastAsia"/>
          <w:b/>
          <w:bCs/>
          <w:color w:val="auto"/>
          <w:lang w:eastAsia="zh-CN"/>
        </w:rPr>
      </w:pPr>
      <w:r>
        <w:rPr>
          <w:rFonts w:hint="eastAsia" w:asciiTheme="minorEastAsia" w:hAnsiTheme="minorEastAsia" w:cstheme="minorEastAsia"/>
          <w:bCs/>
          <w:color w:val="auto"/>
        </w:rPr>
        <w:t>采购文件获取日期：</w:t>
      </w:r>
    </w:p>
    <w:p w14:paraId="47BD3334">
      <w:pPr>
        <w:pStyle w:val="36"/>
        <w:widowControl/>
        <w:ind w:firstLine="482"/>
        <w:jc w:val="both"/>
        <w:outlineLvl w:val="1"/>
        <w:rPr>
          <w:rFonts w:asciiTheme="minorEastAsia" w:hAnsiTheme="minorEastAsia" w:cstheme="minorEastAsia"/>
          <w:b/>
          <w:color w:val="auto"/>
        </w:rPr>
      </w:pPr>
      <w:r>
        <w:rPr>
          <w:rFonts w:hint="eastAsia" w:asciiTheme="minorEastAsia" w:hAnsiTheme="minorEastAsia" w:cstheme="minorEastAsia"/>
          <w:b/>
          <w:color w:val="auto"/>
        </w:rPr>
        <w:t>三、质疑事项具体内容</w:t>
      </w:r>
    </w:p>
    <w:p w14:paraId="15E51AF7">
      <w:pPr>
        <w:pStyle w:val="36"/>
        <w:widowControl/>
        <w:ind w:firstLine="482"/>
        <w:jc w:val="both"/>
        <w:rPr>
          <w:rFonts w:hint="eastAsia" w:eastAsia="宋体" w:asciiTheme="minorEastAsia" w:hAnsiTheme="minorEastAsia" w:cstheme="minorEastAsia"/>
          <w:b/>
          <w:bCs/>
          <w:color w:val="auto"/>
          <w:lang w:eastAsia="zh-CN"/>
        </w:rPr>
      </w:pPr>
      <w:r>
        <w:rPr>
          <w:rFonts w:hint="eastAsia" w:asciiTheme="minorEastAsia" w:hAnsiTheme="minorEastAsia" w:cstheme="minorEastAsia"/>
          <w:bCs/>
          <w:color w:val="auto"/>
        </w:rPr>
        <w:t>质疑事项1：</w:t>
      </w:r>
    </w:p>
    <w:p w14:paraId="4936C23C">
      <w:pPr>
        <w:pStyle w:val="36"/>
        <w:widowControl/>
        <w:ind w:firstLine="482"/>
        <w:rPr>
          <w:rFonts w:hint="eastAsia" w:eastAsia="宋体" w:asciiTheme="minorEastAsia" w:hAnsiTheme="minorEastAsia" w:cstheme="minorEastAsia"/>
          <w:b/>
          <w:bCs/>
          <w:color w:val="auto"/>
          <w:lang w:eastAsia="zh-CN"/>
        </w:rPr>
      </w:pPr>
      <w:r>
        <w:rPr>
          <w:rFonts w:hint="eastAsia" w:asciiTheme="minorEastAsia" w:hAnsiTheme="minorEastAsia" w:cstheme="minorEastAsia"/>
          <w:bCs/>
          <w:color w:val="auto"/>
        </w:rPr>
        <w:t>事实依据：</w:t>
      </w:r>
    </w:p>
    <w:p w14:paraId="34698CC9">
      <w:pPr>
        <w:pStyle w:val="36"/>
        <w:widowControl/>
        <w:ind w:firstLine="482"/>
        <w:jc w:val="both"/>
        <w:rPr>
          <w:rFonts w:hint="eastAsia" w:eastAsia="宋体" w:asciiTheme="minorEastAsia" w:hAnsiTheme="minorEastAsia" w:cstheme="minorEastAsia"/>
          <w:b/>
          <w:bCs/>
          <w:color w:val="auto"/>
          <w:lang w:eastAsia="zh-CN"/>
        </w:rPr>
      </w:pPr>
      <w:r>
        <w:rPr>
          <w:rFonts w:hint="eastAsia" w:asciiTheme="minorEastAsia" w:hAnsiTheme="minorEastAsia" w:cstheme="minorEastAsia"/>
          <w:bCs/>
          <w:color w:val="auto"/>
        </w:rPr>
        <w:t>法律依据：</w:t>
      </w:r>
    </w:p>
    <w:p w14:paraId="18632F45">
      <w:pPr>
        <w:pStyle w:val="36"/>
        <w:widowControl/>
        <w:ind w:firstLine="482"/>
        <w:jc w:val="both"/>
        <w:rPr>
          <w:rFonts w:asciiTheme="minorEastAsia" w:hAnsiTheme="minorEastAsia" w:cstheme="minorEastAsia"/>
          <w:b/>
          <w:bCs/>
          <w:color w:val="auto"/>
        </w:rPr>
      </w:pPr>
      <w:r>
        <w:rPr>
          <w:rFonts w:hint="eastAsia" w:asciiTheme="minorEastAsia" w:hAnsiTheme="minorEastAsia" w:cstheme="minorEastAsia"/>
          <w:bCs/>
          <w:color w:val="auto"/>
        </w:rPr>
        <w:t>质疑事项2</w:t>
      </w:r>
    </w:p>
    <w:p w14:paraId="127E7842">
      <w:pPr>
        <w:pStyle w:val="36"/>
        <w:widowControl/>
        <w:ind w:firstLine="482"/>
        <w:jc w:val="both"/>
        <w:rPr>
          <w:rFonts w:asciiTheme="minorEastAsia" w:hAnsiTheme="minorEastAsia" w:cstheme="minorEastAsia"/>
          <w:b/>
          <w:bCs/>
          <w:color w:val="auto"/>
        </w:rPr>
      </w:pPr>
      <w:r>
        <w:rPr>
          <w:rFonts w:hint="eastAsia" w:asciiTheme="minorEastAsia" w:hAnsiTheme="minorEastAsia" w:cstheme="minorEastAsia"/>
          <w:bCs/>
          <w:color w:val="auto"/>
        </w:rPr>
        <w:t>……</w:t>
      </w:r>
    </w:p>
    <w:p w14:paraId="20340AC4">
      <w:pPr>
        <w:pStyle w:val="36"/>
        <w:widowControl/>
        <w:ind w:firstLine="482"/>
        <w:jc w:val="both"/>
        <w:outlineLvl w:val="1"/>
        <w:rPr>
          <w:rFonts w:asciiTheme="minorEastAsia" w:hAnsiTheme="minorEastAsia" w:cstheme="minorEastAsia"/>
          <w:b/>
          <w:color w:val="auto"/>
        </w:rPr>
      </w:pPr>
      <w:r>
        <w:rPr>
          <w:rFonts w:hint="eastAsia" w:asciiTheme="minorEastAsia" w:hAnsiTheme="minorEastAsia" w:cstheme="minorEastAsia"/>
          <w:b/>
          <w:color w:val="auto"/>
        </w:rPr>
        <w:t>四、与质疑事项相关的质疑请求</w:t>
      </w:r>
    </w:p>
    <w:p w14:paraId="6C074B7F">
      <w:pPr>
        <w:pStyle w:val="36"/>
        <w:widowControl/>
        <w:ind w:firstLine="482"/>
        <w:jc w:val="both"/>
        <w:rPr>
          <w:rFonts w:hint="eastAsia" w:eastAsia="宋体" w:asciiTheme="minorEastAsia" w:hAnsiTheme="minorEastAsia" w:cstheme="minorEastAsia"/>
          <w:b/>
          <w:bCs/>
          <w:color w:val="auto"/>
          <w:lang w:eastAsia="zh-CN"/>
        </w:rPr>
      </w:pPr>
      <w:r>
        <w:rPr>
          <w:rFonts w:hint="eastAsia" w:asciiTheme="minorEastAsia" w:hAnsiTheme="minorEastAsia" w:cstheme="minorEastAsia"/>
          <w:bCs/>
          <w:color w:val="auto"/>
        </w:rPr>
        <w:t>请求：</w:t>
      </w:r>
    </w:p>
    <w:p w14:paraId="5765610D">
      <w:pPr>
        <w:pStyle w:val="36"/>
        <w:widowControl/>
        <w:ind w:firstLine="482"/>
        <w:jc w:val="both"/>
        <w:rPr>
          <w:rFonts w:hint="eastAsia" w:asciiTheme="minorEastAsia" w:hAnsiTheme="minorEastAsia" w:eastAsiaTheme="minorEastAsia" w:cstheme="minorEastAsia"/>
          <w:b/>
          <w:bCs/>
          <w:color w:val="auto"/>
          <w:lang w:eastAsia="zh-CN"/>
        </w:rPr>
      </w:pPr>
      <w:r>
        <w:rPr>
          <w:rFonts w:hint="eastAsia" w:asciiTheme="minorEastAsia" w:hAnsiTheme="minorEastAsia" w:cstheme="minorEastAsia"/>
          <w:bCs/>
          <w:color w:val="auto"/>
        </w:rPr>
        <w:t>签字（签章）：公章：日期：</w:t>
      </w:r>
    </w:p>
    <w:p w14:paraId="1DC7C03D">
      <w:pPr>
        <w:widowControl/>
        <w:spacing w:line="520" w:lineRule="exact"/>
        <w:ind w:firstLine="440"/>
        <w:rPr>
          <w:color w:val="auto"/>
          <w:sz w:val="24"/>
        </w:rPr>
      </w:pPr>
      <w:r>
        <w:rPr>
          <w:rFonts w:hint="eastAsia"/>
          <w:color w:val="auto"/>
          <w:sz w:val="24"/>
        </w:rPr>
        <w:t>质疑函制作说明：</w:t>
      </w:r>
    </w:p>
    <w:p w14:paraId="57D0AEF0">
      <w:pPr>
        <w:widowControl/>
        <w:spacing w:line="520" w:lineRule="exact"/>
        <w:ind w:firstLine="440"/>
        <w:outlineLvl w:val="2"/>
        <w:rPr>
          <w:rFonts w:ascii="宋体" w:hAnsi="宋体" w:eastAsia="宋体" w:cs="宋体"/>
          <w:color w:val="auto"/>
          <w:sz w:val="24"/>
        </w:rPr>
      </w:pPr>
      <w:r>
        <w:rPr>
          <w:rFonts w:hint="eastAsia" w:ascii="宋体" w:hAnsi="宋体" w:eastAsia="宋体" w:cs="宋体"/>
          <w:color w:val="auto"/>
          <w:sz w:val="24"/>
        </w:rPr>
        <w:t>1.供应商提出质疑时，应提交质疑函和必要的证明材料。</w:t>
      </w:r>
    </w:p>
    <w:p w14:paraId="0637942A">
      <w:pPr>
        <w:widowControl/>
        <w:spacing w:line="520" w:lineRule="exact"/>
        <w:ind w:firstLine="440"/>
        <w:rPr>
          <w:rFonts w:ascii="宋体" w:hAnsi="宋体" w:eastAsia="宋体" w:cs="宋体"/>
          <w:color w:val="auto"/>
          <w:sz w:val="24"/>
        </w:rPr>
      </w:pPr>
      <w:r>
        <w:rPr>
          <w:rFonts w:hint="eastAsia" w:ascii="宋体" w:hAnsi="宋体" w:eastAsia="宋体" w:cs="宋体"/>
          <w:color w:val="auto"/>
          <w:sz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2B146975">
      <w:pPr>
        <w:widowControl/>
        <w:spacing w:line="520" w:lineRule="exact"/>
        <w:ind w:firstLine="440"/>
        <w:rPr>
          <w:rFonts w:ascii="宋体" w:hAnsi="宋体" w:eastAsia="宋体" w:cs="宋体"/>
          <w:color w:val="auto"/>
          <w:sz w:val="24"/>
        </w:rPr>
      </w:pPr>
      <w:r>
        <w:rPr>
          <w:rFonts w:hint="eastAsia" w:ascii="宋体" w:hAnsi="宋体" w:eastAsia="宋体" w:cs="宋体"/>
          <w:color w:val="auto"/>
          <w:sz w:val="24"/>
        </w:rPr>
        <w:t>3.质疑供应商若对项目的某一分包进行质疑，质疑函中应列明具体分包号。</w:t>
      </w:r>
    </w:p>
    <w:p w14:paraId="0ABCA2CA">
      <w:pPr>
        <w:widowControl/>
        <w:spacing w:line="520" w:lineRule="exact"/>
        <w:ind w:firstLine="440"/>
        <w:rPr>
          <w:rFonts w:ascii="宋体" w:hAnsi="宋体" w:eastAsia="宋体" w:cs="宋体"/>
          <w:color w:val="auto"/>
          <w:sz w:val="24"/>
        </w:rPr>
      </w:pPr>
      <w:r>
        <w:rPr>
          <w:rFonts w:hint="eastAsia" w:ascii="宋体" w:hAnsi="宋体" w:eastAsia="宋体" w:cs="宋体"/>
          <w:color w:val="auto"/>
          <w:sz w:val="24"/>
        </w:rPr>
        <w:t>4.质疑函的质疑事项应具体、明确，并有必要的事实依据和法律依据。</w:t>
      </w:r>
    </w:p>
    <w:p w14:paraId="2E4C2DD7">
      <w:pPr>
        <w:widowControl/>
        <w:spacing w:line="520" w:lineRule="exact"/>
        <w:ind w:firstLine="440"/>
        <w:outlineLvl w:val="2"/>
        <w:rPr>
          <w:rFonts w:ascii="宋体" w:hAnsi="宋体" w:eastAsia="宋体" w:cs="宋体"/>
          <w:color w:val="auto"/>
          <w:sz w:val="24"/>
        </w:rPr>
      </w:pPr>
      <w:r>
        <w:rPr>
          <w:rFonts w:hint="eastAsia" w:ascii="宋体" w:hAnsi="宋体" w:eastAsia="宋体" w:cs="宋体"/>
          <w:color w:val="auto"/>
          <w:sz w:val="24"/>
        </w:rPr>
        <w:t>5.质疑函的质疑请求应与质疑事项相关。</w:t>
      </w:r>
    </w:p>
    <w:p w14:paraId="0857D3AC">
      <w:pPr>
        <w:widowControl/>
        <w:spacing w:line="520" w:lineRule="exact"/>
        <w:ind w:firstLine="440"/>
        <w:rPr>
          <w:color w:val="auto"/>
        </w:rPr>
      </w:pPr>
      <w:r>
        <w:rPr>
          <w:rFonts w:hint="eastAsia" w:ascii="宋体" w:hAnsi="宋体" w:eastAsia="宋体" w:cs="宋体"/>
          <w:color w:val="auto"/>
          <w:sz w:val="24"/>
        </w:rPr>
        <w:t>6.质疑供应商为自然人的，质疑函应由本人签字；质疑供应商为法人或者其他组织的，质疑函应由法定代表人、主要负责人，或者其授权代表签字或者盖章，并加盖公章。</w:t>
      </w:r>
    </w:p>
    <w:p w14:paraId="0A23D361">
      <w:pPr>
        <w:pStyle w:val="36"/>
        <w:spacing w:beforeAutospacing="0" w:afterAutospacing="0"/>
        <w:rPr>
          <w:color w:val="auto"/>
        </w:rPr>
      </w:pPr>
    </w:p>
    <w:p w14:paraId="05F5A3FA">
      <w:pPr>
        <w:pStyle w:val="36"/>
        <w:spacing w:beforeAutospacing="0" w:afterAutospacing="0"/>
        <w:rPr>
          <w:color w:val="auto"/>
        </w:rPr>
      </w:pPr>
    </w:p>
    <w:sectPr>
      <w:footerReference r:id="rId4" w:type="default"/>
      <w:pgSz w:w="11906" w:h="16838"/>
      <w:pgMar w:top="1440" w:right="1463" w:bottom="1440" w:left="1463" w:header="851" w:footer="992" w:gutter="0"/>
      <w:cols w:space="425"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auto"/>
    <w:pitch w:val="default"/>
    <w:sig w:usb0="E4002EFF" w:usb1="C200247B" w:usb2="00000009" w:usb3="00000000" w:csb0="200001FF" w:csb1="00000000"/>
  </w:font>
  <w:font w:name="仿宋_GB2312">
    <w:altName w:val="仿宋"/>
    <w:panose1 w:val="02010609060101010101"/>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华文楷体">
    <w:panose1 w:val="02010600040101010101"/>
    <w:charset w:val="86"/>
    <w:family w:val="auto"/>
    <w:pitch w:val="default"/>
    <w:sig w:usb0="00000287" w:usb1="080F0000" w:usb2="00000000" w:usb3="00000000" w:csb0="0004009F" w:csb1="DFD7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Segoe UI Symbol">
    <w:panose1 w:val="020B0502040204020203"/>
    <w:charset w:val="00"/>
    <w:family w:val="auto"/>
    <w:pitch w:val="default"/>
    <w:sig w:usb0="800001E3" w:usb1="1200FFEF" w:usb2="00040000" w:usb3="04000000" w:csb0="00000001" w:csb1="40000000"/>
  </w:font>
  <w:font w:name="方正魏碑_GBK">
    <w:altName w:val="DejaVu Math TeX Gyre"/>
    <w:panose1 w:val="020B0503020202020204"/>
    <w:charset w:val="00"/>
    <w:family w:val="auto"/>
    <w:pitch w:val="default"/>
    <w:sig w:usb0="00000000" w:usb1="00000000" w:usb2="00000000" w:usb3="00000000" w:csb0="00000000" w:csb1="00000000"/>
  </w:font>
  <w:font w:name="DejaVu Math TeX Gyre">
    <w:panose1 w:val="02000503000000000000"/>
    <w:charset w:val="00"/>
    <w:family w:val="auto"/>
    <w:pitch w:val="default"/>
    <w:sig w:usb0="A10000EF" w:usb1="4201F9EE" w:usb2="02000000" w:usb3="00000000" w:csb0="60000193" w:csb1="0DD40000"/>
  </w:font>
  <w:font w:name="华文中宋">
    <w:panose1 w:val="02010600040101010101"/>
    <w:charset w:val="86"/>
    <w:family w:val="auto"/>
    <w:pitch w:val="default"/>
    <w:sig w:usb0="00000287" w:usb1="080F0000" w:usb2="00000000" w:usb3="00000000" w:csb0="0004009F" w:csb1="DFD7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541FB">
    <w:pPr>
      <w:pStyle w:val="20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4AE959">
                          <w:pPr>
                            <w:pStyle w:val="2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0lY7tAAAAAFAQAADwAAAAAAAAABACAAAAAiAAAAZHJzL2Rvd25yZXYu&#10;eG1sUEsBAhQAFAAAAAgAh07iQEdRpwI8AgAAbwQAAA4AAAAAAAAAAQAgAAAAHwEAAGRycy9lMm9E&#10;b2MueG1sUEsFBgAAAAAGAAYAWQEAAM0FAAAAAA==&#10;">
              <v:fill on="f" focussize="0,0"/>
              <v:stroke on="f" weight="0.5pt"/>
              <v:imagedata o:title=""/>
              <o:lock v:ext="edit" aspectratio="f"/>
              <v:textbox inset="0mm,0mm,0mm,0mm" style="mso-fit-shape-to-text:t;">
                <w:txbxContent>
                  <w:p w14:paraId="234AE959">
                    <w:pPr>
                      <w:pStyle w:val="2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999A8">
    <w:pPr>
      <w:pStyle w:val="203"/>
      <w:jc w:val="center"/>
    </w:pPr>
    <w:r>
      <w:rPr>
        <w:b/>
        <w:sz w:val="24"/>
        <w:szCs w:val="24"/>
      </w:rPr>
      <w:fldChar w:fldCharType="begin"/>
    </w:r>
    <w:r>
      <w:rPr>
        <w:b/>
      </w:rPr>
      <w:instrText xml:space="preserve">PAGE</w:instrText>
    </w:r>
    <w:r>
      <w:rPr>
        <w:b/>
        <w:sz w:val="24"/>
        <w:szCs w:val="24"/>
      </w:rPr>
      <w:fldChar w:fldCharType="separate"/>
    </w:r>
    <w:r>
      <w:rPr>
        <w:b/>
      </w:rPr>
      <w:t>7</w:t>
    </w:r>
    <w:r>
      <w:rPr>
        <w:b/>
        <w:sz w:val="24"/>
        <w:szCs w:val="24"/>
      </w:rPr>
      <w:fldChar w:fldCharType="end"/>
    </w:r>
    <w:r>
      <w:rPr>
        <w:lang w:val="zh-CN"/>
      </w:rPr>
      <w:t>/</w:t>
    </w:r>
    <w:r>
      <w:rPr>
        <w:b/>
        <w:sz w:val="24"/>
        <w:szCs w:val="24"/>
      </w:rPr>
      <w:fldChar w:fldCharType="begin"/>
    </w:r>
    <w:r>
      <w:rPr>
        <w:b/>
      </w:rPr>
      <w:instrText xml:space="preserve">NUMPAGES</w:instrText>
    </w:r>
    <w:r>
      <w:rPr>
        <w:b/>
        <w:sz w:val="24"/>
        <w:szCs w:val="24"/>
      </w:rPr>
      <w:fldChar w:fldCharType="separate"/>
    </w:r>
    <w:r>
      <w:rPr>
        <w:b/>
      </w:rPr>
      <w:t>24</w:t>
    </w:r>
    <w:r>
      <w:rPr>
        <w:b/>
        <w:sz w:val="24"/>
        <w:szCs w:val="24"/>
      </w:rPr>
      <w:fldChar w:fldCharType="end"/>
    </w:r>
  </w:p>
  <w:p w14:paraId="75C3EB85">
    <w:pPr>
      <w:pStyle w:val="20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CF3AD8"/>
    <w:multiLevelType w:val="multilevel"/>
    <w:tmpl w:val="86CF3AD8"/>
    <w:lvl w:ilvl="0" w:tentative="0">
      <w:start w:val="2"/>
      <w:numFmt w:val="decimal"/>
      <w:lvlText w:val="%1."/>
      <w:lvlJc w:val="left"/>
      <w:pPr>
        <w:tabs>
          <w:tab w:val="left" w:pos="312"/>
        </w:tabs>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8FDC7497"/>
    <w:multiLevelType w:val="multilevel"/>
    <w:tmpl w:val="8FDC7497"/>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CAB9DB16"/>
    <w:multiLevelType w:val="multilevel"/>
    <w:tmpl w:val="CAB9DB16"/>
    <w:lvl w:ilvl="0" w:tentative="0">
      <w:start w:val="1"/>
      <w:numFmt w:val="decimalEnclosedCircleChinese"/>
      <w:suff w:val="nothing"/>
      <w:lvlText w:val="%1　"/>
      <w:lvlJc w:val="left"/>
      <w:pPr>
        <w:ind w:left="0" w:firstLine="400"/>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36441264"/>
    <w:multiLevelType w:val="singleLevel"/>
    <w:tmpl w:val="36441264"/>
    <w:lvl w:ilvl="0" w:tentative="0">
      <w:start w:val="2"/>
      <w:numFmt w:val="chineseCounting"/>
      <w:suff w:val="nothing"/>
      <w:lvlText w:val="%1、"/>
      <w:lvlJc w:val="left"/>
      <w:rPr>
        <w:rFonts w:hint="eastAsia"/>
      </w:rPr>
    </w:lvl>
  </w:abstractNum>
  <w:abstractNum w:abstractNumId="4">
    <w:nsid w:val="5297A690"/>
    <w:multiLevelType w:val="multilevel"/>
    <w:tmpl w:val="5297A690"/>
    <w:lvl w:ilvl="0" w:tentative="0">
      <w:start w:val="1"/>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5">
    <w:nsid w:val="5C611A34"/>
    <w:multiLevelType w:val="multilevel"/>
    <w:tmpl w:val="5C611A34"/>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6">
    <w:nsid w:val="7BB5FC93"/>
    <w:multiLevelType w:val="multilevel"/>
    <w:tmpl w:val="7BB5FC93"/>
    <w:lvl w:ilvl="0" w:tentative="0">
      <w:start w:val="23"/>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 w:numId="2">
    <w:abstractNumId w:val="4"/>
  </w:num>
  <w:num w:numId="3">
    <w:abstractNumId w:val="1"/>
  </w:num>
  <w:num w:numId="4">
    <w:abstractNumId w:val="5"/>
  </w:num>
  <w:num w:numId="5">
    <w:abstractNumId w:val="6"/>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420"/>
  <w:characterSpacingControl w:val="doNotCompress"/>
  <w:compat>
    <w:balanceSingleByteDoubleByteWidth/>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84537"/>
    <w:rsid w:val="01657304"/>
    <w:rsid w:val="04393A2F"/>
    <w:rsid w:val="06EB7113"/>
    <w:rsid w:val="087A3BFD"/>
    <w:rsid w:val="12A84FD0"/>
    <w:rsid w:val="12B02035"/>
    <w:rsid w:val="12FC0B67"/>
    <w:rsid w:val="139132E8"/>
    <w:rsid w:val="18A404C6"/>
    <w:rsid w:val="18EC0953"/>
    <w:rsid w:val="19CF7C98"/>
    <w:rsid w:val="25D6051D"/>
    <w:rsid w:val="26554DFB"/>
    <w:rsid w:val="26BE55FB"/>
    <w:rsid w:val="30FF05EB"/>
    <w:rsid w:val="328E2D8A"/>
    <w:rsid w:val="33AD6818"/>
    <w:rsid w:val="35732FA4"/>
    <w:rsid w:val="390802BF"/>
    <w:rsid w:val="467055A7"/>
    <w:rsid w:val="4B55287C"/>
    <w:rsid w:val="4BAA6E25"/>
    <w:rsid w:val="4C37052C"/>
    <w:rsid w:val="50F1279D"/>
    <w:rsid w:val="519E6295"/>
    <w:rsid w:val="55E6609F"/>
    <w:rsid w:val="5D2E32D3"/>
    <w:rsid w:val="6E9C2EA4"/>
    <w:rsid w:val="713E5355"/>
    <w:rsid w:val="75450684"/>
    <w:rsid w:val="75CC5FE3"/>
    <w:rsid w:val="761855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等线"/>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qFormat="1" w:uiPriority="99" w:semiHidden="0" w:name="table of figures"/>
    <w:lsdException w:uiPriority="99" w:name="envelope address"/>
    <w:lsdException w:qFormat="1" w:unhideWhenUsed="0" w:uiPriority="99" w:semiHidden="0" w:name="envelope return"/>
    <w:lsdException w:qFormat="1" w:uiPriority="99" w:semiHidden="0" w:name="footnote reference"/>
    <w:lsdException w:qFormat="1" w:unhideWhenUsed="0" w:uiPriority="0"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Theme="minorHAnsi" w:hAnsiTheme="minorHAnsi" w:eastAsiaTheme="minorEastAsia" w:cstheme="minorBidi"/>
      <w:sz w:val="21"/>
      <w:szCs w:val="24"/>
      <w:lang w:val="en-US" w:eastAsia="zh-CN" w:bidi="ar-SA"/>
    </w:rPr>
  </w:style>
  <w:style w:type="paragraph" w:styleId="3">
    <w:name w:val="heading 1"/>
    <w:basedOn w:val="1"/>
    <w:next w:val="1"/>
    <w:link w:val="207"/>
    <w:qFormat/>
    <w:uiPriority w:val="0"/>
    <w:pPr>
      <w:keepNext/>
      <w:keepLines/>
      <w:spacing w:before="340" w:after="330" w:line="578" w:lineRule="auto"/>
      <w:outlineLvl w:val="0"/>
    </w:pPr>
    <w:rPr>
      <w:b/>
      <w:bCs/>
      <w:sz w:val="44"/>
      <w:szCs w:val="44"/>
    </w:rPr>
  </w:style>
  <w:style w:type="paragraph" w:styleId="4">
    <w:name w:val="heading 2"/>
    <w:basedOn w:val="1"/>
    <w:next w:val="1"/>
    <w:link w:val="224"/>
    <w:semiHidden/>
    <w:unhideWhenUsed/>
    <w:qFormat/>
    <w:uiPriority w:val="0"/>
    <w:pPr>
      <w:spacing w:beforeAutospacing="1" w:afterAutospacing="1"/>
      <w:jc w:val="left"/>
      <w:outlineLvl w:val="1"/>
    </w:pPr>
    <w:rPr>
      <w:rFonts w:hint="eastAsia" w:ascii="宋体" w:hAnsi="宋体" w:eastAsia="宋体" w:cs="Times New Roman"/>
      <w:b/>
      <w:bCs/>
      <w:sz w:val="36"/>
      <w:szCs w:val="36"/>
    </w:rPr>
  </w:style>
  <w:style w:type="paragraph" w:styleId="5">
    <w:name w:val="heading 3"/>
    <w:basedOn w:val="1"/>
    <w:next w:val="1"/>
    <w:link w:val="219"/>
    <w:semiHidden/>
    <w:unhideWhenUsed/>
    <w:qFormat/>
    <w:uiPriority w:val="0"/>
    <w:pPr>
      <w:keepNext/>
      <w:keepLines/>
      <w:spacing w:line="360" w:lineRule="auto"/>
      <w:ind w:firstLine="880"/>
      <w:outlineLvl w:val="2"/>
    </w:pPr>
    <w:rPr>
      <w:rFonts w:ascii="宋体" w:hAnsi="宋体" w:eastAsia="宋体" w:cs="宋体"/>
      <w:b/>
      <w:sz w:val="28"/>
      <w:szCs w:val="22"/>
    </w:rPr>
  </w:style>
  <w:style w:type="paragraph" w:styleId="6">
    <w:name w:val="heading 4"/>
    <w:basedOn w:val="1"/>
    <w:next w:val="1"/>
    <w:link w:val="220"/>
    <w:semiHidden/>
    <w:unhideWhenUsed/>
    <w:qFormat/>
    <w:uiPriority w:val="0"/>
    <w:pPr>
      <w:keepNext/>
      <w:keepLines/>
      <w:spacing w:line="360" w:lineRule="auto"/>
      <w:outlineLvl w:val="3"/>
    </w:pPr>
    <w:rPr>
      <w:rFonts w:ascii="Arial" w:hAnsi="Arial" w:eastAsia="宋体" w:cs="宋体"/>
      <w:b/>
      <w:sz w:val="24"/>
      <w:szCs w:val="22"/>
    </w:rPr>
  </w:style>
  <w:style w:type="paragraph" w:styleId="7">
    <w:name w:val="heading 5"/>
    <w:basedOn w:val="1"/>
    <w:next w:val="1"/>
    <w:link w:val="221"/>
    <w:semiHidden/>
    <w:unhideWhenUsed/>
    <w:qFormat/>
    <w:uiPriority w:val="0"/>
    <w:pPr>
      <w:keepNext/>
      <w:keepLines/>
      <w:spacing w:before="280" w:after="290" w:line="372" w:lineRule="auto"/>
      <w:outlineLvl w:val="4"/>
    </w:pPr>
    <w:rPr>
      <w:rFonts w:ascii="宋体" w:hAnsi="宋体" w:eastAsia="宋体" w:cs="宋体"/>
      <w:b/>
      <w:sz w:val="28"/>
      <w:szCs w:val="22"/>
    </w:rPr>
  </w:style>
  <w:style w:type="paragraph" w:styleId="8">
    <w:name w:val="heading 6"/>
    <w:basedOn w:val="1"/>
    <w:next w:val="1"/>
    <w:link w:val="213"/>
    <w:semiHidden/>
    <w:unhideWhenUsed/>
    <w:qFormat/>
    <w:uiPriority w:val="0"/>
    <w:pPr>
      <w:keepNext/>
      <w:keepLines/>
      <w:spacing w:before="240" w:after="64" w:line="320" w:lineRule="auto"/>
      <w:outlineLvl w:val="5"/>
    </w:pPr>
    <w:rPr>
      <w:rFonts w:asciiTheme="majorHAnsi" w:hAnsiTheme="majorHAnsi" w:eastAsiaTheme="majorEastAsia" w:cstheme="majorBidi"/>
      <w:b/>
      <w:bCs/>
      <w:sz w:val="24"/>
    </w:rPr>
  </w:style>
  <w:style w:type="paragraph" w:styleId="9">
    <w:name w:val="heading 7"/>
    <w:basedOn w:val="1"/>
    <w:next w:val="1"/>
    <w:link w:val="57"/>
    <w:unhideWhenUsed/>
    <w:qFormat/>
    <w:uiPriority w:val="9"/>
    <w:pPr>
      <w:keepNext/>
      <w:keepLines/>
      <w:spacing w:before="320" w:after="200"/>
      <w:outlineLvl w:val="6"/>
    </w:pPr>
    <w:rPr>
      <w:rFonts w:ascii="Arial" w:hAnsi="Arial" w:eastAsia="Arial" w:cs="Arial"/>
      <w:b/>
      <w:bCs/>
      <w:i/>
      <w:iCs/>
      <w:sz w:val="22"/>
      <w:szCs w:val="22"/>
    </w:rPr>
  </w:style>
  <w:style w:type="paragraph" w:styleId="10">
    <w:name w:val="heading 8"/>
    <w:basedOn w:val="1"/>
    <w:next w:val="1"/>
    <w:link w:val="58"/>
    <w:unhideWhenUsed/>
    <w:qFormat/>
    <w:uiPriority w:val="9"/>
    <w:pPr>
      <w:keepNext/>
      <w:keepLines/>
      <w:spacing w:before="320" w:after="200"/>
      <w:outlineLvl w:val="7"/>
    </w:pPr>
    <w:rPr>
      <w:rFonts w:ascii="Arial" w:hAnsi="Arial" w:eastAsia="Arial" w:cs="Arial"/>
      <w:i/>
      <w:iCs/>
      <w:sz w:val="22"/>
      <w:szCs w:val="22"/>
    </w:rPr>
  </w:style>
  <w:style w:type="paragraph" w:styleId="11">
    <w:name w:val="heading 9"/>
    <w:basedOn w:val="1"/>
    <w:next w:val="1"/>
    <w:link w:val="59"/>
    <w:unhideWhenUsed/>
    <w:qFormat/>
    <w:uiPriority w:val="9"/>
    <w:pPr>
      <w:keepNext/>
      <w:keepLines/>
      <w:spacing w:before="320" w:after="200"/>
      <w:outlineLvl w:val="8"/>
    </w:pPr>
    <w:rPr>
      <w:rFonts w:ascii="Arial" w:hAnsi="Arial" w:eastAsia="Arial" w:cs="Arial"/>
      <w:i/>
      <w:iCs/>
      <w:sz w:val="21"/>
      <w:szCs w:val="21"/>
    </w:rPr>
  </w:style>
  <w:style w:type="character" w:default="1" w:styleId="44">
    <w:name w:val="Default Paragraph Font"/>
    <w:semiHidden/>
    <w:unhideWhenUsed/>
    <w:qFormat/>
    <w:uiPriority w:val="1"/>
  </w:style>
  <w:style w:type="table" w:default="1" w:styleId="42">
    <w:name w:val="Normal Table"/>
    <w:semiHidden/>
    <w:unhideWhenUsed/>
    <w:qFormat/>
    <w:uiPriority w:val="99"/>
    <w:pPr>
      <w:keepNext w:val="0"/>
      <w:keepLines w:val="0"/>
      <w:widowControl/>
      <w:suppressLineNumbers w:val="0"/>
      <w:spacing w:before="0" w:beforeAutospacing="0" w:after="0" w:afterAutospacing="0"/>
      <w:ind w:left="0" w:right="0"/>
    </w:pPr>
    <w:rPr>
      <w:rFonts w:hint="eastAsia" w:ascii="等线" w:hAnsi="等线" w:eastAsia="等线" w:cs="等线"/>
      <w:sz w:val="20"/>
      <w:szCs w:val="20"/>
    </w:rPr>
    <w:tblPr>
      <w:tblCellMar>
        <w:top w:w="0" w:type="dxa"/>
        <w:left w:w="108" w:type="dxa"/>
        <w:bottom w:w="0" w:type="dxa"/>
        <w:right w:w="108" w:type="dxa"/>
      </w:tblCellMar>
    </w:tblPr>
  </w:style>
  <w:style w:type="paragraph" w:styleId="2">
    <w:name w:val="Message Header"/>
    <w:basedOn w:val="1"/>
    <w:qFormat/>
    <w:uiPriority w:val="0"/>
    <w:pPr>
      <w:adjustRightInd w:val="0"/>
    </w:pPr>
    <w:rPr>
      <w:rFonts w:ascii="仿宋_GB2312" w:hAnsi="仿宋_GB2312" w:eastAsia="等线 Light" w:cs="Arial"/>
      <w:szCs w:val="22"/>
    </w:rPr>
  </w:style>
  <w:style w:type="paragraph" w:styleId="12">
    <w:name w:val="toc 7"/>
    <w:basedOn w:val="1"/>
    <w:next w:val="1"/>
    <w:unhideWhenUsed/>
    <w:qFormat/>
    <w:uiPriority w:val="39"/>
    <w:pPr>
      <w:spacing w:after="57"/>
      <w:ind w:left="1701" w:right="0" w:firstLine="0"/>
    </w:pPr>
  </w:style>
  <w:style w:type="paragraph" w:styleId="13">
    <w:name w:val="Normal Indent"/>
    <w:basedOn w:val="1"/>
    <w:qFormat/>
    <w:uiPriority w:val="0"/>
    <w:pPr>
      <w:ind w:firstLine="420"/>
    </w:pPr>
  </w:style>
  <w:style w:type="paragraph" w:styleId="14">
    <w:name w:val="caption"/>
    <w:basedOn w:val="1"/>
    <w:next w:val="1"/>
    <w:semiHidden/>
    <w:unhideWhenUsed/>
    <w:qFormat/>
    <w:uiPriority w:val="35"/>
    <w:pPr>
      <w:spacing w:line="276" w:lineRule="auto"/>
    </w:pPr>
    <w:rPr>
      <w:b/>
      <w:bCs/>
      <w:color w:val="5B9BD5" w:themeColor="accent1"/>
      <w:sz w:val="18"/>
      <w:szCs w:val="18"/>
      <w14:textFill>
        <w14:solidFill>
          <w14:schemeClr w14:val="accent1"/>
        </w14:solidFill>
      </w14:textFill>
    </w:rPr>
  </w:style>
  <w:style w:type="paragraph" w:styleId="15">
    <w:name w:val="Document Map"/>
    <w:basedOn w:val="1"/>
    <w:qFormat/>
    <w:uiPriority w:val="0"/>
    <w:pPr>
      <w:shd w:val="clear" w:color="auto" w:fill="000080"/>
    </w:pPr>
    <w:rPr>
      <w:rFonts w:ascii="Times New Roman" w:hAnsi="Times New Roman"/>
      <w:kern w:val="0"/>
      <w:sz w:val="20"/>
      <w:szCs w:val="24"/>
    </w:rPr>
  </w:style>
  <w:style w:type="paragraph" w:styleId="16">
    <w:name w:val="annotation text"/>
    <w:basedOn w:val="1"/>
    <w:link w:val="216"/>
    <w:qFormat/>
    <w:uiPriority w:val="0"/>
    <w:pPr>
      <w:jc w:val="left"/>
    </w:pPr>
  </w:style>
  <w:style w:type="paragraph" w:styleId="17">
    <w:name w:val="Body Text"/>
    <w:basedOn w:val="1"/>
    <w:next w:val="1"/>
    <w:unhideWhenUsed/>
    <w:qFormat/>
    <w:uiPriority w:val="0"/>
    <w:pPr>
      <w:spacing w:after="120"/>
    </w:pPr>
    <w:rPr>
      <w:rFonts w:ascii="Calibri" w:hAnsi="Calibri"/>
      <w:szCs w:val="22"/>
    </w:rPr>
  </w:style>
  <w:style w:type="paragraph" w:styleId="18">
    <w:name w:val="Body Text Indent"/>
    <w:basedOn w:val="1"/>
    <w:next w:val="19"/>
    <w:link w:val="222"/>
    <w:qFormat/>
    <w:uiPriority w:val="0"/>
    <w:pPr>
      <w:spacing w:after="120"/>
      <w:ind w:left="420"/>
    </w:pPr>
  </w:style>
  <w:style w:type="paragraph" w:styleId="19">
    <w:name w:val="envelope return"/>
    <w:basedOn w:val="1"/>
    <w:qFormat/>
    <w:uiPriority w:val="99"/>
    <w:rPr>
      <w:rFonts w:ascii="Arial" w:hAnsi="Arial" w:cs="Arial"/>
    </w:rPr>
  </w:style>
  <w:style w:type="paragraph" w:styleId="20">
    <w:name w:val="toc 5"/>
    <w:basedOn w:val="1"/>
    <w:next w:val="1"/>
    <w:unhideWhenUsed/>
    <w:qFormat/>
    <w:uiPriority w:val="39"/>
    <w:pPr>
      <w:spacing w:after="57"/>
      <w:ind w:left="1134" w:right="0" w:firstLine="0"/>
    </w:pPr>
  </w:style>
  <w:style w:type="paragraph" w:styleId="21">
    <w:name w:val="toc 3"/>
    <w:basedOn w:val="1"/>
    <w:next w:val="1"/>
    <w:unhideWhenUsed/>
    <w:qFormat/>
    <w:uiPriority w:val="39"/>
    <w:pPr>
      <w:widowControl/>
      <w:spacing w:after="100" w:line="259" w:lineRule="auto"/>
      <w:ind w:left="440"/>
      <w:jc w:val="left"/>
    </w:pPr>
    <w:rPr>
      <w:rFonts w:cs="Times New Roman"/>
      <w:sz w:val="22"/>
      <w:szCs w:val="22"/>
    </w:rPr>
  </w:style>
  <w:style w:type="paragraph" w:styleId="22">
    <w:name w:val="Plain Text"/>
    <w:basedOn w:val="1"/>
    <w:unhideWhenUsed/>
    <w:qFormat/>
    <w:uiPriority w:val="0"/>
    <w:rPr>
      <w:rFonts w:ascii="宋体" w:hAnsi="Courier New" w:cs="Courier New"/>
      <w:szCs w:val="21"/>
    </w:rPr>
  </w:style>
  <w:style w:type="paragraph" w:styleId="23">
    <w:name w:val="toc 8"/>
    <w:basedOn w:val="1"/>
    <w:next w:val="1"/>
    <w:unhideWhenUsed/>
    <w:qFormat/>
    <w:uiPriority w:val="39"/>
    <w:pPr>
      <w:spacing w:after="57"/>
      <w:ind w:left="1984" w:right="0" w:firstLine="0"/>
    </w:pPr>
  </w:style>
  <w:style w:type="paragraph" w:styleId="24">
    <w:name w:val="endnote text"/>
    <w:basedOn w:val="1"/>
    <w:link w:val="196"/>
    <w:semiHidden/>
    <w:unhideWhenUsed/>
    <w:qFormat/>
    <w:uiPriority w:val="99"/>
    <w:pPr>
      <w:spacing w:after="0" w:line="240" w:lineRule="auto"/>
    </w:pPr>
    <w:rPr>
      <w:sz w:val="20"/>
    </w:rPr>
  </w:style>
  <w:style w:type="paragraph" w:styleId="25">
    <w:name w:val="Balloon Text"/>
    <w:basedOn w:val="1"/>
    <w:link w:val="218"/>
    <w:qFormat/>
    <w:uiPriority w:val="0"/>
    <w:rPr>
      <w:sz w:val="18"/>
      <w:szCs w:val="18"/>
    </w:rPr>
  </w:style>
  <w:style w:type="paragraph" w:styleId="26">
    <w:name w:val="footer"/>
    <w:basedOn w:val="1"/>
    <w:link w:val="201"/>
    <w:qFormat/>
    <w:uiPriority w:val="0"/>
    <w:pPr>
      <w:tabs>
        <w:tab w:val="center" w:pos="4153"/>
        <w:tab w:val="right" w:pos="8306"/>
      </w:tabs>
      <w:jc w:val="left"/>
    </w:pPr>
    <w:rPr>
      <w:sz w:val="18"/>
      <w:szCs w:val="18"/>
    </w:rPr>
  </w:style>
  <w:style w:type="paragraph" w:styleId="27">
    <w:name w:val="header"/>
    <w:basedOn w:val="1"/>
    <w:link w:val="200"/>
    <w:qFormat/>
    <w:uiPriority w:val="0"/>
    <w:pPr>
      <w:pBdr>
        <w:bottom w:val="single" w:color="auto" w:sz="6" w:space="1"/>
      </w:pBdr>
      <w:tabs>
        <w:tab w:val="center" w:pos="4153"/>
        <w:tab w:val="right" w:pos="8306"/>
      </w:tabs>
      <w:jc w:val="center"/>
    </w:pPr>
    <w:rPr>
      <w:sz w:val="18"/>
      <w:szCs w:val="18"/>
    </w:rPr>
  </w:style>
  <w:style w:type="paragraph" w:styleId="28">
    <w:name w:val="toc 1"/>
    <w:basedOn w:val="1"/>
    <w:next w:val="1"/>
    <w:unhideWhenUsed/>
    <w:qFormat/>
    <w:uiPriority w:val="39"/>
    <w:pPr>
      <w:widowControl/>
      <w:spacing w:after="100" w:line="259" w:lineRule="auto"/>
      <w:jc w:val="left"/>
    </w:pPr>
    <w:rPr>
      <w:rFonts w:cs="Times New Roman"/>
      <w:sz w:val="22"/>
      <w:szCs w:val="22"/>
    </w:rPr>
  </w:style>
  <w:style w:type="paragraph" w:styleId="29">
    <w:name w:val="toc 4"/>
    <w:basedOn w:val="1"/>
    <w:next w:val="1"/>
    <w:unhideWhenUsed/>
    <w:qFormat/>
    <w:uiPriority w:val="39"/>
    <w:pPr>
      <w:spacing w:after="57"/>
      <w:ind w:left="850" w:right="0" w:firstLine="0"/>
    </w:pPr>
  </w:style>
  <w:style w:type="paragraph" w:styleId="30">
    <w:name w:val="Subtitle"/>
    <w:basedOn w:val="1"/>
    <w:next w:val="1"/>
    <w:link w:val="62"/>
    <w:qFormat/>
    <w:uiPriority w:val="11"/>
    <w:pPr>
      <w:spacing w:before="200" w:after="200"/>
    </w:pPr>
    <w:rPr>
      <w:sz w:val="24"/>
      <w:szCs w:val="24"/>
    </w:rPr>
  </w:style>
  <w:style w:type="paragraph" w:styleId="31">
    <w:name w:val="footnote text"/>
    <w:basedOn w:val="1"/>
    <w:link w:val="195"/>
    <w:semiHidden/>
    <w:unhideWhenUsed/>
    <w:qFormat/>
    <w:uiPriority w:val="99"/>
    <w:pPr>
      <w:spacing w:after="40" w:line="240" w:lineRule="auto"/>
    </w:pPr>
    <w:rPr>
      <w:sz w:val="18"/>
    </w:rPr>
  </w:style>
  <w:style w:type="paragraph" w:styleId="32">
    <w:name w:val="toc 6"/>
    <w:basedOn w:val="1"/>
    <w:next w:val="1"/>
    <w:unhideWhenUsed/>
    <w:qFormat/>
    <w:uiPriority w:val="39"/>
    <w:pPr>
      <w:spacing w:after="57"/>
      <w:ind w:left="1417" w:right="0" w:firstLine="0"/>
    </w:pPr>
  </w:style>
  <w:style w:type="paragraph" w:styleId="33">
    <w:name w:val="table of figures"/>
    <w:basedOn w:val="1"/>
    <w:next w:val="1"/>
    <w:unhideWhenUsed/>
    <w:qFormat/>
    <w:uiPriority w:val="99"/>
    <w:pPr>
      <w:spacing w:after="0" w:afterAutospacing="0"/>
    </w:pPr>
  </w:style>
  <w:style w:type="paragraph" w:styleId="34">
    <w:name w:val="toc 2"/>
    <w:basedOn w:val="1"/>
    <w:next w:val="1"/>
    <w:qFormat/>
    <w:uiPriority w:val="39"/>
    <w:pPr>
      <w:ind w:left="420"/>
    </w:pPr>
  </w:style>
  <w:style w:type="paragraph" w:styleId="35">
    <w:name w:val="toc 9"/>
    <w:basedOn w:val="1"/>
    <w:next w:val="1"/>
    <w:unhideWhenUsed/>
    <w:qFormat/>
    <w:uiPriority w:val="39"/>
    <w:pPr>
      <w:spacing w:after="57"/>
      <w:ind w:left="2268" w:right="0" w:firstLine="0"/>
    </w:pPr>
  </w:style>
  <w:style w:type="paragraph" w:styleId="36">
    <w:name w:val="Normal (Web)"/>
    <w:basedOn w:val="1"/>
    <w:link w:val="210"/>
    <w:qFormat/>
    <w:uiPriority w:val="0"/>
    <w:pPr>
      <w:spacing w:beforeAutospacing="1" w:afterAutospacing="1"/>
      <w:jc w:val="left"/>
    </w:pPr>
    <w:rPr>
      <w:rFonts w:cs="Times New Roman"/>
      <w:sz w:val="24"/>
    </w:rPr>
  </w:style>
  <w:style w:type="paragraph" w:styleId="37">
    <w:name w:val="Title"/>
    <w:basedOn w:val="1"/>
    <w:next w:val="1"/>
    <w:link w:val="212"/>
    <w:qFormat/>
    <w:uiPriority w:val="0"/>
    <w:pPr>
      <w:spacing w:before="120" w:after="120"/>
      <w:jc w:val="center"/>
      <w:outlineLvl w:val="0"/>
    </w:pPr>
    <w:rPr>
      <w:rFonts w:eastAsia="黑体" w:asciiTheme="majorHAnsi" w:hAnsiTheme="majorHAnsi" w:cstheme="majorBidi"/>
      <w:b/>
      <w:bCs/>
      <w:sz w:val="44"/>
      <w:szCs w:val="32"/>
    </w:rPr>
  </w:style>
  <w:style w:type="paragraph" w:styleId="38">
    <w:name w:val="annotation subject"/>
    <w:basedOn w:val="16"/>
    <w:next w:val="16"/>
    <w:link w:val="217"/>
    <w:qFormat/>
    <w:uiPriority w:val="0"/>
    <w:rPr>
      <w:b/>
      <w:bCs/>
    </w:rPr>
  </w:style>
  <w:style w:type="paragraph" w:styleId="39">
    <w:name w:val="Body Text First Indent"/>
    <w:basedOn w:val="17"/>
    <w:next w:val="1"/>
    <w:unhideWhenUsed/>
    <w:qFormat/>
    <w:uiPriority w:val="99"/>
    <w:pPr>
      <w:ind w:firstLine="420"/>
    </w:pPr>
  </w:style>
  <w:style w:type="paragraph" w:styleId="40">
    <w:name w:val="Body Text First Indent 2"/>
    <w:basedOn w:val="18"/>
    <w:next w:val="41"/>
    <w:link w:val="223"/>
    <w:qFormat/>
    <w:uiPriority w:val="0"/>
    <w:pPr>
      <w:ind w:firstLine="420"/>
    </w:pPr>
  </w:style>
  <w:style w:type="paragraph" w:customStyle="1" w:styleId="41">
    <w:name w:val="样式 标题 3 + (中文) 黑体 小四 非加粗 段前: 7.8 磅 段后: 0 磅 行距: 固定值 20 磅_0"/>
    <w:basedOn w:val="1"/>
    <w:qFormat/>
    <w:uiPriority w:val="0"/>
    <w:pPr>
      <w:keepNext/>
      <w:keepLines/>
      <w:spacing w:line="400" w:lineRule="exact"/>
      <w:outlineLvl w:val="2"/>
    </w:pPr>
    <w:rPr>
      <w:rFonts w:eastAsia="黑体" w:cs="宋体"/>
      <w:szCs w:val="21"/>
    </w:rPr>
  </w:style>
  <w:style w:type="table" w:styleId="43">
    <w:name w:val="Table Grid"/>
    <w:basedOn w:val="42"/>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5">
    <w:name w:val="Strong"/>
    <w:basedOn w:val="44"/>
    <w:qFormat/>
    <w:uiPriority w:val="0"/>
    <w:rPr>
      <w:b/>
    </w:rPr>
  </w:style>
  <w:style w:type="character" w:styleId="46">
    <w:name w:val="endnote reference"/>
    <w:basedOn w:val="44"/>
    <w:semiHidden/>
    <w:unhideWhenUsed/>
    <w:qFormat/>
    <w:uiPriority w:val="99"/>
    <w:rPr>
      <w:vertAlign w:val="superscript"/>
    </w:rPr>
  </w:style>
  <w:style w:type="character" w:styleId="47">
    <w:name w:val="Emphasis"/>
    <w:qFormat/>
    <w:uiPriority w:val="0"/>
    <w:rPr>
      <w:i/>
    </w:rPr>
  </w:style>
  <w:style w:type="character" w:styleId="48">
    <w:name w:val="Hyperlink"/>
    <w:basedOn w:val="44"/>
    <w:unhideWhenUsed/>
    <w:qFormat/>
    <w:uiPriority w:val="99"/>
    <w:rPr>
      <w:color w:val="0563C1" w:themeColor="hyperlink"/>
      <w:u w:val="single"/>
      <w14:textFill>
        <w14:solidFill>
          <w14:schemeClr w14:val="hlink"/>
        </w14:solidFill>
      </w14:textFill>
    </w:rPr>
  </w:style>
  <w:style w:type="character" w:styleId="49">
    <w:name w:val="annotation reference"/>
    <w:basedOn w:val="44"/>
    <w:qFormat/>
    <w:uiPriority w:val="0"/>
    <w:rPr>
      <w:sz w:val="21"/>
      <w:szCs w:val="21"/>
    </w:rPr>
  </w:style>
  <w:style w:type="character" w:styleId="50">
    <w:name w:val="footnote reference"/>
    <w:basedOn w:val="44"/>
    <w:unhideWhenUsed/>
    <w:qFormat/>
    <w:uiPriority w:val="99"/>
    <w:rPr>
      <w:vertAlign w:val="superscript"/>
    </w:rPr>
  </w:style>
  <w:style w:type="character" w:customStyle="1" w:styleId="51">
    <w:name w:val="Heading 1 Char"/>
    <w:basedOn w:val="44"/>
    <w:qFormat/>
    <w:uiPriority w:val="9"/>
    <w:rPr>
      <w:rFonts w:ascii="Arial" w:hAnsi="Arial" w:eastAsia="Arial" w:cs="Arial"/>
      <w:sz w:val="40"/>
      <w:szCs w:val="40"/>
    </w:rPr>
  </w:style>
  <w:style w:type="character" w:customStyle="1" w:styleId="52">
    <w:name w:val="Heading 2 Char"/>
    <w:basedOn w:val="44"/>
    <w:qFormat/>
    <w:uiPriority w:val="9"/>
    <w:rPr>
      <w:rFonts w:ascii="Arial" w:hAnsi="Arial" w:eastAsia="Arial" w:cs="Arial"/>
      <w:sz w:val="34"/>
    </w:rPr>
  </w:style>
  <w:style w:type="character" w:customStyle="1" w:styleId="53">
    <w:name w:val="Heading 3 Char"/>
    <w:basedOn w:val="44"/>
    <w:qFormat/>
    <w:uiPriority w:val="9"/>
    <w:rPr>
      <w:rFonts w:ascii="Arial" w:hAnsi="Arial" w:eastAsia="Arial" w:cs="Arial"/>
      <w:sz w:val="30"/>
      <w:szCs w:val="30"/>
    </w:rPr>
  </w:style>
  <w:style w:type="character" w:customStyle="1" w:styleId="54">
    <w:name w:val="Heading 4 Char"/>
    <w:basedOn w:val="44"/>
    <w:qFormat/>
    <w:uiPriority w:val="9"/>
    <w:rPr>
      <w:rFonts w:ascii="Arial" w:hAnsi="Arial" w:eastAsia="Arial" w:cs="Arial"/>
      <w:b/>
      <w:bCs/>
      <w:sz w:val="26"/>
      <w:szCs w:val="26"/>
    </w:rPr>
  </w:style>
  <w:style w:type="character" w:customStyle="1" w:styleId="55">
    <w:name w:val="Heading 5 Char"/>
    <w:basedOn w:val="44"/>
    <w:qFormat/>
    <w:uiPriority w:val="9"/>
    <w:rPr>
      <w:rFonts w:ascii="Arial" w:hAnsi="Arial" w:eastAsia="Arial" w:cs="Arial"/>
      <w:b/>
      <w:bCs/>
      <w:sz w:val="24"/>
      <w:szCs w:val="24"/>
    </w:rPr>
  </w:style>
  <w:style w:type="character" w:customStyle="1" w:styleId="56">
    <w:name w:val="Heading 6 Char"/>
    <w:basedOn w:val="44"/>
    <w:qFormat/>
    <w:uiPriority w:val="9"/>
    <w:rPr>
      <w:rFonts w:ascii="Arial" w:hAnsi="Arial" w:eastAsia="Arial" w:cs="Arial"/>
      <w:b/>
      <w:bCs/>
      <w:sz w:val="22"/>
      <w:szCs w:val="22"/>
    </w:rPr>
  </w:style>
  <w:style w:type="character" w:customStyle="1" w:styleId="57">
    <w:name w:val="Heading 7 Char"/>
    <w:basedOn w:val="44"/>
    <w:link w:val="9"/>
    <w:qFormat/>
    <w:uiPriority w:val="9"/>
    <w:rPr>
      <w:rFonts w:ascii="Arial" w:hAnsi="Arial" w:eastAsia="Arial" w:cs="Arial"/>
      <w:b/>
      <w:bCs/>
      <w:i/>
      <w:iCs/>
      <w:sz w:val="22"/>
      <w:szCs w:val="22"/>
    </w:rPr>
  </w:style>
  <w:style w:type="character" w:customStyle="1" w:styleId="58">
    <w:name w:val="Heading 8 Char"/>
    <w:basedOn w:val="44"/>
    <w:link w:val="10"/>
    <w:qFormat/>
    <w:uiPriority w:val="9"/>
    <w:rPr>
      <w:rFonts w:ascii="Arial" w:hAnsi="Arial" w:eastAsia="Arial" w:cs="Arial"/>
      <w:i/>
      <w:iCs/>
      <w:sz w:val="22"/>
      <w:szCs w:val="22"/>
    </w:rPr>
  </w:style>
  <w:style w:type="character" w:customStyle="1" w:styleId="59">
    <w:name w:val="Heading 9 Char"/>
    <w:basedOn w:val="44"/>
    <w:link w:val="11"/>
    <w:qFormat/>
    <w:uiPriority w:val="9"/>
    <w:rPr>
      <w:rFonts w:ascii="Arial" w:hAnsi="Arial" w:eastAsia="Arial" w:cs="Arial"/>
      <w:i/>
      <w:iCs/>
      <w:sz w:val="21"/>
      <w:szCs w:val="21"/>
    </w:rPr>
  </w:style>
  <w:style w:type="paragraph" w:styleId="60">
    <w:name w:val="No Spacing"/>
    <w:qFormat/>
    <w:uiPriority w:val="1"/>
    <w:pPr>
      <w:spacing w:before="0" w:after="0" w:line="240" w:lineRule="auto"/>
    </w:pPr>
    <w:rPr>
      <w:rFonts w:hint="default" w:ascii="等线" w:hAnsi="等线" w:eastAsia="等线" w:cs="等线"/>
    </w:rPr>
  </w:style>
  <w:style w:type="character" w:customStyle="1" w:styleId="61">
    <w:name w:val="Title Char"/>
    <w:basedOn w:val="44"/>
    <w:qFormat/>
    <w:uiPriority w:val="10"/>
    <w:rPr>
      <w:sz w:val="48"/>
      <w:szCs w:val="48"/>
    </w:rPr>
  </w:style>
  <w:style w:type="character" w:customStyle="1" w:styleId="62">
    <w:name w:val="Subtitle Char"/>
    <w:basedOn w:val="44"/>
    <w:link w:val="30"/>
    <w:qFormat/>
    <w:uiPriority w:val="11"/>
    <w:rPr>
      <w:sz w:val="24"/>
      <w:szCs w:val="24"/>
    </w:rPr>
  </w:style>
  <w:style w:type="paragraph" w:styleId="63">
    <w:name w:val="Quote"/>
    <w:basedOn w:val="1"/>
    <w:next w:val="1"/>
    <w:link w:val="64"/>
    <w:qFormat/>
    <w:uiPriority w:val="29"/>
    <w:pPr>
      <w:ind w:left="720" w:right="720"/>
    </w:pPr>
    <w:rPr>
      <w:i/>
    </w:rPr>
  </w:style>
  <w:style w:type="character" w:customStyle="1" w:styleId="64">
    <w:name w:val="Quote Char"/>
    <w:link w:val="63"/>
    <w:qFormat/>
    <w:uiPriority w:val="29"/>
    <w:rPr>
      <w:i/>
    </w:rPr>
  </w:style>
  <w:style w:type="paragraph" w:styleId="65">
    <w:name w:val="Intense Quote"/>
    <w:basedOn w:val="1"/>
    <w:next w:val="1"/>
    <w:link w:val="66"/>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66">
    <w:name w:val="Intense Quote Char"/>
    <w:link w:val="65"/>
    <w:qFormat/>
    <w:uiPriority w:val="30"/>
    <w:rPr>
      <w:i/>
    </w:rPr>
  </w:style>
  <w:style w:type="character" w:customStyle="1" w:styleId="67">
    <w:name w:val="Header Char"/>
    <w:basedOn w:val="44"/>
    <w:qFormat/>
    <w:uiPriority w:val="99"/>
  </w:style>
  <w:style w:type="character" w:customStyle="1" w:styleId="68">
    <w:name w:val="Footer Char"/>
    <w:basedOn w:val="44"/>
    <w:qFormat/>
    <w:uiPriority w:val="99"/>
  </w:style>
  <w:style w:type="character" w:customStyle="1" w:styleId="69">
    <w:name w:val="Caption Char"/>
    <w:qFormat/>
    <w:uiPriority w:val="99"/>
  </w:style>
  <w:style w:type="table" w:customStyle="1" w:styleId="70">
    <w:name w:val="Table Grid Light"/>
    <w:basedOn w:val="4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71">
    <w:name w:val="Plain Table 1"/>
    <w:basedOn w:val="4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72">
    <w:name w:val="Plain Table 2"/>
    <w:basedOn w:val="42"/>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73">
    <w:name w:val="Plain Table 3"/>
    <w:basedOn w:val="42"/>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74">
    <w:name w:val="Plain Table 4"/>
    <w:basedOn w:val="42"/>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75">
    <w:name w:val="Plain Table 5"/>
    <w:basedOn w:val="42"/>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76">
    <w:name w:val="Grid Table 1 Light"/>
    <w:basedOn w:val="42"/>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77">
    <w:name w:val="Grid Table 1 Light - Accent 1"/>
    <w:basedOn w:val="42"/>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customStyle="1" w:styleId="78">
    <w:name w:val="Grid Table 1 Light - Accent 2"/>
    <w:basedOn w:val="42"/>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79">
    <w:name w:val="Grid Table 1 Light - Accent 3"/>
    <w:basedOn w:val="42"/>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80">
    <w:name w:val="Grid Table 1 Light - Accent 4"/>
    <w:basedOn w:val="42"/>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81">
    <w:name w:val="Grid Table 1 Light - Accent 5"/>
    <w:basedOn w:val="42"/>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style>
  <w:style w:type="table" w:customStyle="1" w:styleId="82">
    <w:name w:val="Grid Table 1 Light - Accent 6"/>
    <w:basedOn w:val="42"/>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customStyle="1" w:styleId="83">
    <w:name w:val="Grid Table 2"/>
    <w:basedOn w:val="4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4">
    <w:name w:val="Grid Table 2 - Accent 1"/>
    <w:basedOn w:val="42"/>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1" w:themeTint="34" w:fill="DDEAF6" w:themeFill="accent1" w:themeFillTint="34"/>
      </w:tcPr>
    </w:tblStylePr>
    <w:tblStylePr w:type="band1Horz">
      <w:rPr>
        <w:rFonts w:ascii="Arial" w:hAnsi="Arial"/>
        <w:color w:val="404040"/>
        <w:sz w:val="22"/>
      </w:rPr>
      <w:tcPr>
        <w:shd w:val="clear" w:color="DDEAF6" w:themeColor="accent1" w:themeTint="34" w:fill="DDEAF6" w:themeFill="accent1" w:themeFillTint="34"/>
      </w:tcPr>
    </w:tblStylePr>
  </w:style>
  <w:style w:type="table" w:customStyle="1" w:styleId="85">
    <w:name w:val="Grid Table 2 - Accent 2"/>
    <w:basedOn w:val="42"/>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86">
    <w:name w:val="Grid Table 2 - Accent 3"/>
    <w:basedOn w:val="42"/>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87">
    <w:name w:val="Grid Table 2 - Accent 4"/>
    <w:basedOn w:val="42"/>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88">
    <w:name w:val="Grid Table 2 - Accent 5"/>
    <w:basedOn w:val="42"/>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89">
    <w:name w:val="Grid Table 2 - Accent 6"/>
    <w:basedOn w:val="42"/>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90">
    <w:name w:val="Grid Table 3"/>
    <w:basedOn w:val="4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1">
    <w:name w:val="Grid Table 3 - Accent 1"/>
    <w:basedOn w:val="42"/>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themeColor="accent1" w:themeTint="34" w:fill="DDEAF6" w:themeFill="accent1" w:themeFillTint="34"/>
      </w:tcPr>
    </w:tblStylePr>
    <w:tblStylePr w:type="band1Horz">
      <w:rPr>
        <w:rFonts w:ascii="Arial" w:hAnsi="Arial"/>
        <w:color w:val="404040"/>
        <w:sz w:val="22"/>
      </w:rPr>
      <w:tcPr>
        <w:shd w:val="clear" w:color="DDEAF6" w:themeColor="accent1" w:themeTint="34" w:fill="DDEAF6" w:themeFill="accent1" w:themeFillTint="34"/>
      </w:tcPr>
    </w:tblStylePr>
  </w:style>
  <w:style w:type="table" w:customStyle="1" w:styleId="92">
    <w:name w:val="Grid Table 3 - Accent 2"/>
    <w:basedOn w:val="42"/>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93">
    <w:name w:val="Grid Table 3 - Accent 3"/>
    <w:basedOn w:val="42"/>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94">
    <w:name w:val="Grid Table 3 - Accent 4"/>
    <w:basedOn w:val="42"/>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95">
    <w:name w:val="Grid Table 3 - Accent 5"/>
    <w:basedOn w:val="42"/>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96">
    <w:name w:val="Grid Table 3 - Accent 6"/>
    <w:basedOn w:val="42"/>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97">
    <w:name w:val="Grid Table 4"/>
    <w:basedOn w:val="42"/>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8">
    <w:name w:val="Grid Table 4 - Accent 1"/>
    <w:basedOn w:val="42"/>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68A3D8" w:themeColor="accent1" w:themeTint="EA" w:fill="68A3D8" w:themeFill="accent1" w:themeFillTint="EA"/>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EEBF6" w:themeColor="accent1" w:themeTint="32" w:fill="DEEBF6" w:themeFill="accent1" w:themeFillTint="32"/>
      </w:tcPr>
    </w:tblStylePr>
    <w:tblStylePr w:type="band1Horz">
      <w:rPr>
        <w:rFonts w:ascii="Arial" w:hAnsi="Arial"/>
        <w:color w:val="404040"/>
        <w:sz w:val="22"/>
      </w:rPr>
      <w:tcPr>
        <w:shd w:val="clear" w:color="DEEBF6" w:themeColor="accent1" w:themeTint="32" w:fill="DEEBF6" w:themeFill="accent1" w:themeFillTint="32"/>
      </w:tcPr>
    </w:tblStylePr>
  </w:style>
  <w:style w:type="table" w:customStyle="1" w:styleId="99">
    <w:name w:val="Grid Table 4 - Accent 2"/>
    <w:basedOn w:val="42"/>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themeColor="accent2" w:themeTint="97" w:fill="F4B285" w:themeFill="accent2" w:themeFillTint="97"/>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100">
    <w:name w:val="Grid Table 4 - Accent 3"/>
    <w:basedOn w:val="42"/>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themeColor="accent3" w:themeTint="FE" w:fill="A5A5A5" w:themeFill="accent3" w:themeFillTint="FE"/>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101">
    <w:name w:val="Grid Table 4 - Accent 4"/>
    <w:basedOn w:val="42"/>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themeColor="accent4" w:themeTint="9A" w:fill="FFD864" w:themeFill="accent4" w:themeFillTint="9A"/>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102">
    <w:name w:val="Grid Table 4 - Accent 5"/>
    <w:basedOn w:val="42"/>
    <w:qFormat/>
    <w:uiPriority w:val="5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themeColor="accent5" w:fill="4472C4" w:themeFill="accent5"/>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103">
    <w:name w:val="Grid Table 4 - Accent 6"/>
    <w:basedOn w:val="42"/>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themeColor="accent6" w:fill="70AD47" w:themeFill="accent6"/>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104">
    <w:name w:val="Grid Table 5 Dark"/>
    <w:basedOn w:val="4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05">
    <w:name w:val="Grid Table 5 Dark- Accent 1"/>
    <w:basedOn w:val="4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5B9BD5" w:themeColor="accent1" w:fill="5B9BD5" w:themeFill="accent1"/>
      </w:tcPr>
    </w:tblStylePr>
    <w:tblStylePr w:type="lastRow">
      <w:rPr>
        <w:rFonts w:ascii="Arial" w:hAnsi="Arial"/>
        <w:b/>
        <w:color w:val="FFFFFF"/>
        <w:sz w:val="22"/>
      </w:rPr>
      <w:tcPr>
        <w:tcBorders>
          <w:top w:val="single" w:color="FFFFFF" w:themeColor="light1" w:sz="4" w:space="0"/>
        </w:tcBorders>
        <w:shd w:val="clear" w:color="5B9BD5" w:themeColor="accent1" w:fill="5B9BD5" w:themeFill="accent1"/>
      </w:tcPr>
    </w:tblStylePr>
    <w:tblStylePr w:type="firstCol">
      <w:rPr>
        <w:rFonts w:ascii="Arial" w:hAnsi="Arial"/>
        <w:b/>
        <w:color w:val="FFFFFF"/>
        <w:sz w:val="22"/>
      </w:rPr>
      <w:tcPr>
        <w:shd w:val="clear" w:color="5B9BD5" w:themeColor="accent1" w:fill="5B9BD5" w:themeFill="accent1"/>
      </w:tcPr>
    </w:tblStylePr>
    <w:tblStylePr w:type="lastCol">
      <w:rPr>
        <w:rFonts w:ascii="Arial" w:hAnsi="Arial"/>
        <w:b/>
        <w:color w:val="FFFFFF"/>
        <w:sz w:val="22"/>
      </w:rPr>
      <w:tcPr>
        <w:shd w:val="clear" w:color="5B9BD5" w:themeColor="accent1" w:fill="5B9BD5" w:themeFill="accent1"/>
      </w:tcPr>
    </w:tblStylePr>
    <w:tblStylePr w:type="band1Vert">
      <w:tcPr>
        <w:shd w:val="clear" w:color="B3D1EB" w:themeColor="accent1" w:themeTint="75" w:fill="B3D1EB" w:themeFill="accent1" w:themeFillTint="75"/>
      </w:tcPr>
    </w:tblStylePr>
    <w:tblStylePr w:type="band1Horz">
      <w:tcPr>
        <w:shd w:val="clear" w:color="B3D1EB" w:themeColor="accent1" w:themeTint="75" w:fill="B3D1EB" w:themeFill="accent1" w:themeFillTint="75"/>
      </w:tcPr>
    </w:tblStylePr>
  </w:style>
  <w:style w:type="table" w:customStyle="1" w:styleId="106">
    <w:name w:val="Grid Table 5 Dark - Accent 2"/>
    <w:basedOn w:val="4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tcBorders>
          <w:top w:val="single" w:color="FFFFFF" w:themeColor="light1" w:sz="4" w:space="0"/>
        </w:tcBorders>
        <w:shd w:val="clear" w:color="ED7D31" w:themeColor="accent2" w:fill="ED7D31" w:themeFill="accent2"/>
      </w:tcPr>
    </w:tblStylePr>
    <w:tblStylePr w:type="firstCol">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band1Vert">
      <w:tcPr>
        <w:shd w:val="clear" w:color="F6C3A0" w:themeColor="accent2" w:themeTint="75" w:fill="F6C3A0" w:themeFill="accent2" w:themeFillTint="75"/>
      </w:tcPr>
    </w:tblStylePr>
    <w:tblStylePr w:type="band1Horz">
      <w:tcPr>
        <w:shd w:val="clear" w:color="F6C3A0" w:themeColor="accent2" w:themeTint="75" w:fill="F6C3A0" w:themeFill="accent2" w:themeFillTint="75"/>
      </w:tcPr>
    </w:tblStylePr>
  </w:style>
  <w:style w:type="table" w:customStyle="1" w:styleId="107">
    <w:name w:val="Grid Table 5 Dark - Accent 3"/>
    <w:basedOn w:val="4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tcBorders>
          <w:top w:val="single" w:color="FFFFFF" w:themeColor="light1" w:sz="4" w:space="0"/>
        </w:tcBorders>
        <w:shd w:val="clear" w:color="A5A5A5" w:themeColor="accent3" w:fill="A5A5A5" w:themeFill="accent3"/>
      </w:tcPr>
    </w:tblStylePr>
    <w:tblStylePr w:type="firstCol">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band1Vert">
      <w:tcPr>
        <w:shd w:val="clear" w:color="D5D5D5" w:themeColor="accent3" w:themeTint="75" w:fill="D5D5D5" w:themeFill="accent3" w:themeFillTint="75"/>
      </w:tcPr>
    </w:tblStylePr>
    <w:tblStylePr w:type="band1Horz">
      <w:tcPr>
        <w:shd w:val="clear" w:color="D5D5D5" w:themeColor="accent3" w:themeTint="75" w:fill="D5D5D5" w:themeFill="accent3" w:themeFillTint="75"/>
      </w:tcPr>
    </w:tblStylePr>
  </w:style>
  <w:style w:type="table" w:customStyle="1" w:styleId="108">
    <w:name w:val="Grid Table 5 Dark- Accent 4"/>
    <w:basedOn w:val="4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tcBorders>
          <w:top w:val="single" w:color="FFFFFF" w:themeColor="light1" w:sz="4" w:space="0"/>
        </w:tcBorders>
        <w:shd w:val="clear" w:color="FFC000" w:themeColor="accent4" w:fill="FFC000" w:themeFill="accent4"/>
      </w:tcPr>
    </w:tblStylePr>
    <w:tblStylePr w:type="firstCol">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band1Vert">
      <w:tcPr>
        <w:shd w:val="clear" w:color="FEE289" w:themeColor="accent4" w:themeTint="75" w:fill="FEE289" w:themeFill="accent4" w:themeFillTint="75"/>
      </w:tcPr>
    </w:tblStylePr>
    <w:tblStylePr w:type="band1Horz">
      <w:tcPr>
        <w:shd w:val="clear" w:color="FEE289" w:themeColor="accent4" w:themeTint="75" w:fill="FEE289" w:themeFill="accent4" w:themeFillTint="75"/>
      </w:tcPr>
    </w:tblStylePr>
  </w:style>
  <w:style w:type="table" w:customStyle="1" w:styleId="109">
    <w:name w:val="Grid Table 5 Dark - Accent 5"/>
    <w:basedOn w:val="4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472C4" w:themeColor="accent5" w:fill="4472C4" w:themeFill="accent5"/>
      </w:tcPr>
    </w:tblStylePr>
    <w:tblStylePr w:type="lastRow">
      <w:rPr>
        <w:rFonts w:ascii="Arial" w:hAnsi="Arial"/>
        <w:b/>
        <w:color w:val="FFFFFF"/>
        <w:sz w:val="22"/>
      </w:rPr>
      <w:tcPr>
        <w:tcBorders>
          <w:top w:val="single" w:color="FFFFFF" w:themeColor="light1" w:sz="4" w:space="0"/>
        </w:tcBorders>
        <w:shd w:val="clear" w:color="4472C4" w:themeColor="accent5" w:fill="4472C4" w:themeFill="accent5"/>
      </w:tcPr>
    </w:tblStylePr>
    <w:tblStylePr w:type="firstCol">
      <w:rPr>
        <w:rFonts w:ascii="Arial" w:hAnsi="Arial"/>
        <w:b/>
        <w:color w:val="FFFFFF"/>
        <w:sz w:val="22"/>
      </w:rPr>
      <w:tcPr>
        <w:shd w:val="clear" w:color="4472C4" w:themeColor="accent5" w:fill="4472C4" w:themeFill="accent5"/>
      </w:tcPr>
    </w:tblStylePr>
    <w:tblStylePr w:type="lastCol">
      <w:rPr>
        <w:rFonts w:ascii="Arial" w:hAnsi="Arial"/>
        <w:b/>
        <w:color w:val="FFFFFF"/>
        <w:sz w:val="22"/>
      </w:rPr>
      <w:tcPr>
        <w:shd w:val="clear" w:color="4472C4" w:themeColor="accent5" w:fill="4472C4" w:themeFill="accent5"/>
      </w:tcPr>
    </w:tblStylePr>
    <w:tblStylePr w:type="band1Vert">
      <w:tcPr>
        <w:shd w:val="clear" w:color="A9BEE3" w:themeColor="accent5" w:themeTint="75" w:fill="A9BEE3" w:themeFill="accent5" w:themeFillTint="75"/>
      </w:tcPr>
    </w:tblStylePr>
    <w:tblStylePr w:type="band1Horz">
      <w:tcPr>
        <w:shd w:val="clear" w:color="A9BEE3" w:themeColor="accent5" w:themeTint="75" w:fill="A9BEE3" w:themeFill="accent5" w:themeFillTint="75"/>
      </w:tcPr>
    </w:tblStylePr>
  </w:style>
  <w:style w:type="table" w:customStyle="1" w:styleId="110">
    <w:name w:val="Grid Table 5 Dark - Accent 6"/>
    <w:basedOn w:val="4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tcBorders>
          <w:top w:val="single" w:color="FFFFFF" w:themeColor="light1" w:sz="4" w:space="0"/>
        </w:tcBorders>
        <w:shd w:val="clear" w:color="70AD47" w:themeColor="accent6" w:fill="70AD47" w:themeFill="accent6"/>
      </w:tcPr>
    </w:tblStylePr>
    <w:tblStylePr w:type="firstCol">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band1Vert">
      <w:tcPr>
        <w:shd w:val="clear" w:color="BCDBA8" w:themeColor="accent6" w:themeTint="75" w:fill="BCDBA8" w:themeFill="accent6" w:themeFillTint="75"/>
      </w:tcPr>
    </w:tblStylePr>
    <w:tblStylePr w:type="band1Horz">
      <w:tcPr>
        <w:shd w:val="clear" w:color="BCDBA8" w:themeColor="accent6" w:themeTint="75" w:fill="BCDBA8" w:themeFill="accent6" w:themeFillTint="75"/>
      </w:tcPr>
    </w:tblStylePr>
  </w:style>
  <w:style w:type="table" w:customStyle="1" w:styleId="111">
    <w:name w:val="Grid Table 6 Colorful"/>
    <w:basedOn w:val="42"/>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2">
    <w:name w:val="Grid Table 6 Colorful - Accent 1"/>
    <w:basedOn w:val="42"/>
    <w:qFormat/>
    <w:uiPriority w:val="99"/>
    <w:pPr>
      <w:spacing w:after="0" w:line="240" w:lineRule="auto"/>
    </w:pPr>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DDEAF6" w:themeColor="accent1" w:themeTint="34" w:fill="DDEAF6" w:themeFill="accent1" w:themeFillTint="34"/>
      </w:tcPr>
    </w:tblStyle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themeColor="accent1" w:themeTint="34" w:fill="DDEAF6" w:themeFill="accent1" w:themeFillTint="34"/>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style>
  <w:style w:type="table" w:customStyle="1" w:styleId="113">
    <w:name w:val="Grid Table 6 Colorful - Accent 2"/>
    <w:basedOn w:val="42"/>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14">
    <w:name w:val="Grid Table 6 Colorful - Accent 3"/>
    <w:basedOn w:val="42"/>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ECECEC" w:themeColor="accent3" w:themeTint="34" w:fill="ECECEC" w:themeFill="accent3" w:themeFillTint="34"/>
      </w:tcPr>
    </w:tblStyle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themeColor="accent3" w:themeTint="34" w:fill="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style>
  <w:style w:type="table" w:customStyle="1" w:styleId="115">
    <w:name w:val="Grid Table 6 Colorful - Accent 4"/>
    <w:basedOn w:val="42"/>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16">
    <w:name w:val="Grid Table 6 Colorful - Accent 5"/>
    <w:basedOn w:val="42"/>
    <w:qFormat/>
    <w:uiPriority w:val="99"/>
    <w:pPr>
      <w:spacing w:after="0" w:line="240" w:lineRule="auto"/>
    </w:p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D8E2F2" w:themeColor="accent5" w:themeTint="34" w:fill="D8E2F2" w:themeFill="accent5" w:themeFillTint="34"/>
      </w:tcPr>
    </w:tblStylePr>
    <w:tblStylePr w:type="band1Horz">
      <w:rPr>
        <w:rFonts w:ascii="Arial" w:hAnsi="Arial"/>
        <w:color w:val="254174" w:themeColor="accent5" w:themeShade="94"/>
        <w:sz w:val="22"/>
      </w:rPr>
      <w:tcPr>
        <w:shd w:val="clear" w:color="D8E2F2" w:themeColor="accent5" w:themeTint="34" w:fill="D8E2F2" w:themeFill="accent5" w:themeFillTint="34"/>
      </w:tcPr>
    </w:tblStylePr>
    <w:tblStylePr w:type="band2Horz">
      <w:rPr>
        <w:rFonts w:ascii="Arial" w:hAnsi="Arial"/>
        <w:color w:val="254174" w:themeColor="accent5" w:themeShade="94"/>
        <w:sz w:val="22"/>
      </w:rPr>
    </w:tblStylePr>
  </w:style>
  <w:style w:type="table" w:customStyle="1" w:styleId="117">
    <w:name w:val="Grid Table 6 Colorful - Accent 6"/>
    <w:basedOn w:val="42"/>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E1EFD8" w:themeColor="accent6" w:themeTint="34" w:fill="E1EFD8" w:themeFill="accent6" w:themeFillTint="34"/>
      </w:tcPr>
    </w:tblStylePr>
    <w:tblStylePr w:type="band1Horz">
      <w:rPr>
        <w:rFonts w:ascii="Arial" w:hAnsi="Arial"/>
        <w:color w:val="254174" w:themeColor="accent5" w:themeShade="94"/>
        <w:sz w:val="22"/>
      </w:rPr>
      <w:tcPr>
        <w:shd w:val="clear" w:color="E1EFD8" w:themeColor="accent6" w:themeTint="34" w:fill="E1EFD8" w:themeFill="accent6" w:themeFillTint="34"/>
      </w:tcPr>
    </w:tblStylePr>
    <w:tblStylePr w:type="band2Horz">
      <w:rPr>
        <w:rFonts w:ascii="Arial" w:hAnsi="Arial"/>
        <w:color w:val="254174" w:themeColor="accent5" w:themeShade="94"/>
        <w:sz w:val="22"/>
      </w:rPr>
    </w:tblStylePr>
  </w:style>
  <w:style w:type="table" w:customStyle="1" w:styleId="118">
    <w:name w:val="Grid Table 7 Colorful"/>
    <w:basedOn w:val="42"/>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9">
    <w:name w:val="Grid Table 7 Colorful - Accent 1"/>
    <w:basedOn w:val="42"/>
    <w:qFormat/>
    <w:uiPriority w:val="99"/>
    <w:pPr>
      <w:spacing w:after="0" w:line="240" w:lineRule="auto"/>
    </w:pPr>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themeColor="light1" w:fill="FFFFFF" w:themeFill="light1"/>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DDEAF6" w:themeColor="accent1" w:themeTint="34" w:fill="DDEAF6" w:themeFill="accent1" w:themeFillTint="34"/>
      </w:tcPr>
    </w:tblStyle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themeColor="accent1" w:themeTint="34" w:fill="DDEAF6" w:themeFill="accent1" w:themeFillTint="34"/>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style>
  <w:style w:type="table" w:customStyle="1" w:styleId="120">
    <w:name w:val="Grid Table 7 Colorful - Accent 2"/>
    <w:basedOn w:val="42"/>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21">
    <w:name w:val="Grid Table 7 Colorful - Accent 3"/>
    <w:basedOn w:val="42"/>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themeColor="light1" w:fill="FFFFFF" w:themeFill="light1"/>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ECECEC" w:themeColor="accent3" w:themeTint="34" w:fill="ECECEC" w:themeFill="accent3" w:themeFillTint="34"/>
      </w:tcPr>
    </w:tblStyle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themeColor="accent3" w:themeTint="34" w:fill="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style>
  <w:style w:type="table" w:customStyle="1" w:styleId="122">
    <w:name w:val="Grid Table 7 Colorful - Accent 4"/>
    <w:basedOn w:val="42"/>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23">
    <w:name w:val="Grid Table 7 Colorful - Accent 5"/>
    <w:basedOn w:val="42"/>
    <w:qFormat/>
    <w:uiPriority w:val="99"/>
    <w:pPr>
      <w:spacing w:after="0" w:line="240" w:lineRule="auto"/>
    </w:pPr>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themeColor="light1" w:fill="FFFFFF" w:themeFill="light1"/>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D8E2F2" w:themeColor="accent5" w:themeTint="34" w:fill="D8E2F2" w:themeFill="accent5" w:themeFillTint="34"/>
      </w:tcPr>
    </w:tblStylePr>
    <w:tblStylePr w:type="band1Horz">
      <w:rPr>
        <w:rFonts w:ascii="Arial" w:hAnsi="Arial"/>
        <w:color w:val="254174" w:themeColor="accent5" w:themeShade="94"/>
        <w:sz w:val="22"/>
      </w:rPr>
      <w:tcPr>
        <w:shd w:val="clear" w:color="D8E2F2" w:themeColor="accent5" w:themeTint="34" w:fill="D8E2F2" w:themeFill="accent5" w:themeFillTint="34"/>
      </w:tcPr>
    </w:tblStylePr>
    <w:tblStylePr w:type="band2Horz">
      <w:rPr>
        <w:rFonts w:ascii="Arial" w:hAnsi="Arial"/>
        <w:color w:val="254174" w:themeColor="accent5" w:themeShade="94"/>
        <w:sz w:val="22"/>
      </w:rPr>
    </w:tblStylePr>
  </w:style>
  <w:style w:type="table" w:customStyle="1" w:styleId="124">
    <w:name w:val="Grid Table 7 Colorful - Accent 6"/>
    <w:basedOn w:val="42"/>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themeColor="light1" w:fill="FFFFFF" w:themeFill="light1"/>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E1EFD8" w:themeColor="accent6" w:themeTint="34" w:fill="E1EFD8" w:themeFill="accent6" w:themeFillTint="34"/>
      </w:tcPr>
    </w:tblStylePr>
    <w:tblStylePr w:type="band1Horz">
      <w:rPr>
        <w:rFonts w:ascii="Arial" w:hAnsi="Arial"/>
        <w:color w:val="416429" w:themeColor="accent6" w:themeShade="94"/>
        <w:sz w:val="22"/>
      </w:rPr>
      <w:tcPr>
        <w:shd w:val="clear" w:color="E1EFD8" w:themeColor="accent6" w:themeTint="34" w:fill="E1EFD8" w:themeFill="accent6" w:themeFillTint="34"/>
      </w:tcPr>
    </w:tblStylePr>
    <w:tblStylePr w:type="band2Horz">
      <w:rPr>
        <w:rFonts w:ascii="Arial" w:hAnsi="Arial"/>
        <w:color w:val="416429" w:themeColor="accent6" w:themeShade="94"/>
        <w:sz w:val="22"/>
      </w:rPr>
    </w:tblStylePr>
  </w:style>
  <w:style w:type="table" w:customStyle="1" w:styleId="125">
    <w:name w:val="List Table 1 Light"/>
    <w:basedOn w:val="42"/>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26">
    <w:name w:val="List Table 1 Light - Accent 1"/>
    <w:basedOn w:val="42"/>
    <w:qFormat/>
    <w:uiPriority w:val="99"/>
    <w:pPr>
      <w:spacing w:after="0" w:line="240" w:lineRule="auto"/>
    </w:p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themeColor="accent1" w:themeTint="40" w:fill="D5E5F4" w:themeFill="accent1" w:themeFillTint="40"/>
      </w:tcPr>
    </w:tblStylePr>
    <w:tblStylePr w:type="band1Horz">
      <w:tcPr>
        <w:shd w:val="clear" w:color="D5E5F4" w:themeColor="accent1" w:themeTint="40" w:fill="D5E5F4" w:themeFill="accent1" w:themeFillTint="40"/>
      </w:tcPr>
    </w:tblStylePr>
  </w:style>
  <w:style w:type="table" w:customStyle="1" w:styleId="127">
    <w:name w:val="List Table 1 Light - Accent 2"/>
    <w:basedOn w:val="42"/>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themeColor="accent2" w:themeTint="40" w:fill="FADECB" w:themeFill="accent2" w:themeFillTint="40"/>
      </w:tcPr>
    </w:tblStylePr>
    <w:tblStylePr w:type="band1Horz">
      <w:tcPr>
        <w:shd w:val="clear" w:color="FADECB" w:themeColor="accent2" w:themeTint="40" w:fill="FADECB" w:themeFill="accent2" w:themeFillTint="40"/>
      </w:tcPr>
    </w:tblStylePr>
  </w:style>
  <w:style w:type="table" w:customStyle="1" w:styleId="128">
    <w:name w:val="List Table 1 Light - Accent 3"/>
    <w:basedOn w:val="42"/>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themeColor="accent3" w:themeTint="40" w:fill="E8E8E8" w:themeFill="accent3" w:themeFillTint="40"/>
      </w:tcPr>
    </w:tblStylePr>
    <w:tblStylePr w:type="band1Horz">
      <w:tcPr>
        <w:shd w:val="clear" w:color="E8E8E8" w:themeColor="accent3" w:themeTint="40" w:fill="E8E8E8" w:themeFill="accent3" w:themeFillTint="40"/>
      </w:tcPr>
    </w:tblStylePr>
  </w:style>
  <w:style w:type="table" w:customStyle="1" w:styleId="129">
    <w:name w:val="List Table 1 Light - Accent 4"/>
    <w:basedOn w:val="42"/>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themeColor="accent4" w:themeTint="40" w:fill="FFEFBE" w:themeFill="accent4" w:themeFillTint="40"/>
      </w:tcPr>
    </w:tblStylePr>
    <w:tblStylePr w:type="band1Horz">
      <w:tcPr>
        <w:shd w:val="clear" w:color="FFEFBE" w:themeColor="accent4" w:themeTint="40" w:fill="FFEFBE" w:themeFill="accent4" w:themeFillTint="40"/>
      </w:tcPr>
    </w:tblStylePr>
  </w:style>
  <w:style w:type="table" w:customStyle="1" w:styleId="130">
    <w:name w:val="List Table 1 Light - Accent 5"/>
    <w:basedOn w:val="42"/>
    <w:qFormat/>
    <w:uiPriority w:val="99"/>
    <w:pPr>
      <w:spacing w:after="0" w:line="240" w:lineRule="auto"/>
    </w:p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themeColor="accent5" w:themeTint="40" w:fill="D0DBF0" w:themeFill="accent5" w:themeFillTint="40"/>
      </w:tcPr>
    </w:tblStylePr>
    <w:tblStylePr w:type="band1Horz">
      <w:tcPr>
        <w:shd w:val="clear" w:color="D0DBF0" w:themeColor="accent5" w:themeTint="40" w:fill="D0DBF0" w:themeFill="accent5" w:themeFillTint="40"/>
      </w:tcPr>
    </w:tblStylePr>
  </w:style>
  <w:style w:type="table" w:customStyle="1" w:styleId="131">
    <w:name w:val="List Table 1 Light - Accent 6"/>
    <w:basedOn w:val="42"/>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themeColor="accent6" w:themeTint="40" w:fill="DAEBCF" w:themeFill="accent6" w:themeFillTint="40"/>
      </w:tcPr>
    </w:tblStylePr>
    <w:tblStylePr w:type="band1Horz">
      <w:tcPr>
        <w:shd w:val="clear" w:color="DAEBCF" w:themeColor="accent6" w:themeTint="40" w:fill="DAEBCF" w:themeFill="accent6" w:themeFillTint="40"/>
      </w:tcPr>
    </w:tblStylePr>
  </w:style>
  <w:style w:type="table" w:customStyle="1" w:styleId="132">
    <w:name w:val="List Table 2"/>
    <w:basedOn w:val="42"/>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3">
    <w:name w:val="List Table 2 - Accent 1"/>
    <w:basedOn w:val="42"/>
    <w:qFormat/>
    <w:uiPriority w:val="99"/>
    <w:pPr>
      <w:spacing w:after="0" w:line="240" w:lineRule="auto"/>
    </w:pPr>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themeColor="accent1" w:themeTint="40" w:fill="D5E5F4" w:themeFill="accent1" w:themeFillTint="40"/>
      </w:tcPr>
    </w:tblStylePr>
    <w:tblStylePr w:type="band1Horz">
      <w:rPr>
        <w:rFonts w:ascii="Arial" w:hAnsi="Arial"/>
        <w:color w:val="404040"/>
        <w:sz w:val="22"/>
      </w:rPr>
      <w:tcPr>
        <w:shd w:val="clear" w:color="D5E5F4" w:themeColor="accent1" w:themeTint="40" w:fill="D5E5F4" w:themeFill="accent1" w:themeFillTint="40"/>
      </w:tcPr>
    </w:tblStylePr>
  </w:style>
  <w:style w:type="table" w:customStyle="1" w:styleId="134">
    <w:name w:val="List Table 2 - Accent 2"/>
    <w:basedOn w:val="42"/>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35">
    <w:name w:val="List Table 2 - Accent 3"/>
    <w:basedOn w:val="42"/>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36">
    <w:name w:val="List Table 2 - Accent 4"/>
    <w:basedOn w:val="42"/>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37">
    <w:name w:val="List Table 2 - Accent 5"/>
    <w:basedOn w:val="42"/>
    <w:qFormat/>
    <w:uiPriority w:val="99"/>
    <w:pPr>
      <w:spacing w:after="0" w:line="240" w:lineRule="auto"/>
    </w:pPr>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themeColor="accent5" w:themeTint="40" w:fill="D0DBF0" w:themeFill="accent5" w:themeFillTint="40"/>
      </w:tcPr>
    </w:tblStylePr>
    <w:tblStylePr w:type="band1Horz">
      <w:rPr>
        <w:rFonts w:ascii="Arial" w:hAnsi="Arial"/>
        <w:color w:val="404040"/>
        <w:sz w:val="22"/>
      </w:rPr>
      <w:tcPr>
        <w:shd w:val="clear" w:color="D0DBF0" w:themeColor="accent5" w:themeTint="40" w:fill="D0DBF0" w:themeFill="accent5" w:themeFillTint="40"/>
      </w:tcPr>
    </w:tblStylePr>
  </w:style>
  <w:style w:type="table" w:customStyle="1" w:styleId="138">
    <w:name w:val="List Table 2 - Accent 6"/>
    <w:basedOn w:val="42"/>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39">
    <w:name w:val="List Table 3"/>
    <w:basedOn w:val="42"/>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40">
    <w:name w:val="List Table 3 - Accent 1"/>
    <w:basedOn w:val="42"/>
    <w:qFormat/>
    <w:uiPriority w:val="99"/>
    <w:pPr>
      <w:spacing w:after="0" w:line="240" w:lineRule="auto"/>
    </w:pPr>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1Horz">
      <w:rPr>
        <w:rFonts w:ascii="Arial" w:hAnsi="Arial"/>
        <w:color w:val="404040"/>
        <w:sz w:val="22"/>
      </w:rPr>
      <w:tcPr>
        <w:tcBorders>
          <w:top w:val="single" w:color="5B9BD5" w:themeColor="accent1" w:sz="4" w:space="0"/>
          <w:bottom w:val="single" w:color="5B9BD5" w:themeColor="accent1" w:sz="4" w:space="0"/>
        </w:tcBorders>
      </w:tcPr>
    </w:tblStylePr>
  </w:style>
  <w:style w:type="table" w:customStyle="1" w:styleId="141">
    <w:name w:val="List Table 3 - Accent 2"/>
    <w:basedOn w:val="42"/>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4B285" w:themeColor="accent2" w:themeTint="97" w:fill="F4B2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style>
  <w:style w:type="table" w:customStyle="1" w:styleId="142">
    <w:name w:val="List Table 3 - Accent 3"/>
    <w:basedOn w:val="42"/>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style>
  <w:style w:type="table" w:customStyle="1" w:styleId="143">
    <w:name w:val="List Table 3 - Accent 4"/>
    <w:basedOn w:val="42"/>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D864" w:themeColor="accent4" w:themeTint="9A" w:fill="FFD864"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style>
  <w:style w:type="table" w:customStyle="1" w:styleId="144">
    <w:name w:val="List Table 3 - Accent 5"/>
    <w:basedOn w:val="42"/>
    <w:qFormat/>
    <w:uiPriority w:val="99"/>
    <w:pPr>
      <w:spacing w:after="0" w:line="240" w:lineRule="auto"/>
    </w:pPr>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8EA9DB" w:themeColor="accent5" w:themeTint="9A" w:fill="8E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style>
  <w:style w:type="table" w:customStyle="1" w:styleId="145">
    <w:name w:val="List Table 3 - Accent 6"/>
    <w:basedOn w:val="42"/>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style>
  <w:style w:type="table" w:customStyle="1" w:styleId="146">
    <w:name w:val="List Table 4"/>
    <w:basedOn w:val="42"/>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47">
    <w:name w:val="List Table 4 - Accent 1"/>
    <w:basedOn w:val="42"/>
    <w:qFormat/>
    <w:uiPriority w:val="9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themeColor="accent1" w:themeTint="40" w:fill="D5E5F4" w:themeFill="accent1" w:themeFillTint="40"/>
      </w:tcPr>
    </w:tblStylePr>
    <w:tblStylePr w:type="band1Horz">
      <w:rPr>
        <w:rFonts w:ascii="Arial" w:hAnsi="Arial"/>
        <w:color w:val="404040"/>
        <w:sz w:val="22"/>
      </w:rPr>
      <w:tcPr>
        <w:shd w:val="clear" w:color="D5E5F4" w:themeColor="accent1" w:themeTint="40" w:fill="D5E5F4" w:themeFill="accent1" w:themeFillTint="40"/>
      </w:tcPr>
    </w:tblStylePr>
  </w:style>
  <w:style w:type="table" w:customStyle="1" w:styleId="148">
    <w:name w:val="List Table 4 - Accent 2"/>
    <w:basedOn w:val="42"/>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49">
    <w:name w:val="List Table 4 - Accent 3"/>
    <w:basedOn w:val="42"/>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50">
    <w:name w:val="List Table 4 - Accent 4"/>
    <w:basedOn w:val="42"/>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51">
    <w:name w:val="List Table 4 - Accent 5"/>
    <w:basedOn w:val="42"/>
    <w:qFormat/>
    <w:uiPriority w:val="9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themeColor="accent5" w:themeTint="40" w:fill="D0DBF0" w:themeFill="accent5" w:themeFillTint="40"/>
      </w:tcPr>
    </w:tblStylePr>
    <w:tblStylePr w:type="band1Horz">
      <w:rPr>
        <w:rFonts w:ascii="Arial" w:hAnsi="Arial"/>
        <w:color w:val="404040"/>
        <w:sz w:val="22"/>
      </w:rPr>
      <w:tcPr>
        <w:shd w:val="clear" w:color="D0DBF0" w:themeColor="accent5" w:themeTint="40" w:fill="D0DBF0" w:themeFill="accent5" w:themeFillTint="40"/>
      </w:tcPr>
    </w:tblStylePr>
  </w:style>
  <w:style w:type="table" w:customStyle="1" w:styleId="152">
    <w:name w:val="List Table 4 - Accent 6"/>
    <w:basedOn w:val="42"/>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53">
    <w:name w:val="List Table 5 Dark"/>
    <w:basedOn w:val="42"/>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54">
    <w:name w:val="List Table 5 Dark - Accent 1"/>
    <w:basedOn w:val="42"/>
    <w:qFormat/>
    <w:uiPriority w:val="99"/>
    <w:pPr>
      <w:spacing w:after="0" w:line="240" w:lineRule="auto"/>
    </w:pPr>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5B9BD5" w:themeColor="accent1" w:fill="5B9BD5"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5B9BD5" w:themeColor="accent1" w:fill="5B9BD5"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5B9BD5" w:themeColor="accent1" w:fill="5B9BD5" w:themeFill="accent1"/>
      </w:tcPr>
    </w:tblStylePr>
    <w:tblStylePr w:type="band2Horz">
      <w:tcPr>
        <w:tcBorders>
          <w:top w:val="single" w:color="FFFFFF" w:themeColor="light1" w:sz="4" w:space="0"/>
          <w:bottom w:val="single" w:color="FFFFFF" w:themeColor="light1" w:sz="4" w:space="0"/>
        </w:tcBorders>
        <w:shd w:val="clear" w:color="5B9BD5" w:themeColor="accent1" w:fill="5B9BD5" w:themeFill="accent1"/>
      </w:tcPr>
    </w:tblStylePr>
  </w:style>
  <w:style w:type="table" w:customStyle="1" w:styleId="155">
    <w:name w:val="List Table 5 Dark - Accent 2"/>
    <w:basedOn w:val="42"/>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themeColor="accent2" w:themeTint="97" w:fill="F4B28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themeColor="accent2" w:themeTint="97" w:fill="F4B28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tblStylePr w:type="band2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style>
  <w:style w:type="table" w:customStyle="1" w:styleId="156">
    <w:name w:val="List Table 5 Dark - Accent 3"/>
    <w:basedOn w:val="42"/>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themeColor="accent3" w:themeTint="98" w:fill="C9C9C9"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themeColor="accent3" w:themeTint="98" w:fill="C9C9C9"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2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style>
  <w:style w:type="table" w:customStyle="1" w:styleId="157">
    <w:name w:val="List Table 5 Dark - Accent 4"/>
    <w:basedOn w:val="42"/>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themeColor="accent4" w:themeTint="9A" w:fill="FFD864"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themeColor="accent4" w:themeTint="9A" w:fill="FFD864"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tblStylePr w:type="band2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style>
  <w:style w:type="table" w:customStyle="1" w:styleId="158">
    <w:name w:val="List Table 5 Dark - Accent 5"/>
    <w:basedOn w:val="42"/>
    <w:qFormat/>
    <w:uiPriority w:val="99"/>
    <w:pPr>
      <w:spacing w:after="0" w:line="240" w:lineRule="auto"/>
    </w:pPr>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8EA9DB" w:themeColor="accent5" w:themeTint="9A" w:fill="8EA9DB"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8EA9DB" w:themeColor="accent5" w:themeTint="9A" w:fill="8EA9DB"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8EA9DB" w:themeColor="accent5" w:themeTint="9A" w:fill="8EA9DB" w:themeFill="accent5" w:themeFillTint="9A"/>
      </w:tcPr>
    </w:tblStylePr>
    <w:tblStylePr w:type="band2Horz">
      <w:tcPr>
        <w:tcBorders>
          <w:top w:val="single" w:color="FFFFFF" w:themeColor="light1" w:sz="4" w:space="0"/>
          <w:bottom w:val="single" w:color="FFFFFF" w:themeColor="light1" w:sz="4" w:space="0"/>
        </w:tcBorders>
        <w:shd w:val="clear" w:color="8EA9DB" w:themeColor="accent5" w:themeTint="9A" w:fill="8EA9DB" w:themeFill="accent5" w:themeFillTint="9A"/>
      </w:tcPr>
    </w:tblStylePr>
  </w:style>
  <w:style w:type="table" w:customStyle="1" w:styleId="159">
    <w:name w:val="List Table 5 Dark - Accent 6"/>
    <w:basedOn w:val="42"/>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themeColor="accent6" w:themeTint="98" w:fill="A9D08E"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themeColor="accent6" w:themeTint="98" w:fill="A9D08E"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2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style>
  <w:style w:type="table" w:customStyle="1" w:styleId="160">
    <w:name w:val="List Table 6 Colorful"/>
    <w:basedOn w:val="42"/>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61">
    <w:name w:val="List Table 6 Colorful - Accent 1"/>
    <w:basedOn w:val="42"/>
    <w:qFormat/>
    <w:uiPriority w:val="99"/>
    <w:pPr>
      <w:spacing w:after="0" w:line="240" w:lineRule="auto"/>
    </w:pPr>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D5E5F4" w:themeColor="accent1" w:themeTint="40" w:fill="D5E5F4" w:themeFill="accent1" w:themeFillTint="40"/>
      </w:tcPr>
    </w:tblStylePr>
    <w:tblStylePr w:type="band1Horz">
      <w:rPr>
        <w:rFonts w:ascii="Arial" w:hAnsi="Arial"/>
        <w:color w:val="245B8C" w:themeColor="accent1" w:themeShade="94"/>
        <w:sz w:val="22"/>
      </w:rPr>
      <w:tcPr>
        <w:shd w:val="clear" w:color="D5E5F4" w:themeColor="accent1" w:themeTint="40" w:fill="D5E5F4" w:themeFill="accent1" w:themeFillTint="40"/>
      </w:tcPr>
    </w:tblStylePr>
    <w:tblStylePr w:type="band2Horz">
      <w:rPr>
        <w:rFonts w:ascii="Arial" w:hAnsi="Arial"/>
        <w:color w:val="245B8C" w:themeColor="accent1" w:themeShade="94"/>
        <w:sz w:val="22"/>
      </w:rPr>
    </w:tblStylePr>
  </w:style>
  <w:style w:type="table" w:customStyle="1" w:styleId="162">
    <w:name w:val="List Table 6 Colorful - Accent 2"/>
    <w:basedOn w:val="42"/>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63">
    <w:name w:val="List Table 6 Colorful - Accent 3"/>
    <w:basedOn w:val="42"/>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64">
    <w:name w:val="List Table 6 Colorful - Accent 4"/>
    <w:basedOn w:val="42"/>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65">
    <w:name w:val="List Table 6 Colorful - Accent 5"/>
    <w:basedOn w:val="42"/>
    <w:qFormat/>
    <w:uiPriority w:val="99"/>
    <w:pPr>
      <w:spacing w:after="0" w:line="240" w:lineRule="auto"/>
    </w:pPr>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D0DBF0" w:themeColor="accent5" w:themeTint="40" w:fill="D0DBF0" w:themeFill="accent5" w:themeFillTint="40"/>
      </w:tcPr>
    </w:tblStyle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themeColor="accent5" w:themeTint="40" w:fill="D0DBF0" w:themeFill="accent5" w:themeFillTint="4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style>
  <w:style w:type="table" w:customStyle="1" w:styleId="166">
    <w:name w:val="List Table 6 Colorful - Accent 6"/>
    <w:basedOn w:val="42"/>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67">
    <w:name w:val="List Table 7 Colorful"/>
    <w:basedOn w:val="42"/>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68">
    <w:name w:val="List Table 7 Colorful - Accent 1"/>
    <w:basedOn w:val="42"/>
    <w:qFormat/>
    <w:uiPriority w:val="99"/>
    <w:pPr>
      <w:spacing w:after="0" w:line="240" w:lineRule="auto"/>
    </w:pPr>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themeColor="light1" w:fill="FFFFFF" w:themeFill="light1"/>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D5E5F4" w:themeColor="accent1" w:themeTint="40" w:fill="D5E5F4" w:themeFill="accent1" w:themeFillTint="40"/>
      </w:tcPr>
    </w:tblStylePr>
    <w:tblStylePr w:type="band1Horz">
      <w:rPr>
        <w:rFonts w:ascii="Arial" w:hAnsi="Arial"/>
        <w:color w:val="245B8C" w:themeColor="accent1" w:themeShade="94"/>
        <w:sz w:val="22"/>
      </w:rPr>
      <w:tcPr>
        <w:shd w:val="clear" w:color="D5E5F4" w:themeColor="accent1" w:themeTint="40" w:fill="D5E5F4" w:themeFill="accent1" w:themeFillTint="40"/>
      </w:tcPr>
    </w:tblStylePr>
    <w:tblStylePr w:type="band2Horz">
      <w:rPr>
        <w:rFonts w:ascii="Arial" w:hAnsi="Arial"/>
        <w:color w:val="245B8C" w:themeColor="accent1" w:themeShade="94"/>
        <w:sz w:val="22"/>
      </w:rPr>
    </w:tblStylePr>
  </w:style>
  <w:style w:type="table" w:customStyle="1" w:styleId="169">
    <w:name w:val="List Table 7 Colorful - Accent 2"/>
    <w:basedOn w:val="42"/>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70">
    <w:name w:val="List Table 7 Colorful - Accent 3"/>
    <w:basedOn w:val="42"/>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themeColor="light1" w:fill="FFFFFF" w:themeFill="light1"/>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71">
    <w:name w:val="List Table 7 Colorful - Accent 4"/>
    <w:basedOn w:val="42"/>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72">
    <w:name w:val="List Table 7 Colorful - Accent 5"/>
    <w:basedOn w:val="42"/>
    <w:qFormat/>
    <w:uiPriority w:val="99"/>
    <w:pPr>
      <w:spacing w:after="0" w:line="240" w:lineRule="auto"/>
    </w:pPr>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themeColor="light1" w:fill="FFFFFF" w:themeFill="light1"/>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D0DBF0" w:themeColor="accent5" w:themeTint="40" w:fill="D0DBF0" w:themeFill="accent5" w:themeFillTint="40"/>
      </w:tcPr>
    </w:tblStyle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themeColor="accent5" w:themeTint="40" w:fill="D0DBF0" w:themeFill="accent5" w:themeFillTint="4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style>
  <w:style w:type="table" w:customStyle="1" w:styleId="173">
    <w:name w:val="List Table 7 Colorful - Accent 6"/>
    <w:basedOn w:val="42"/>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themeColor="light1" w:fill="FFFFFF" w:themeFill="light1"/>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74">
    <w:name w:val="Lined - Accent"/>
    <w:basedOn w:val="42"/>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5">
    <w:name w:val="Lined - Accent 1"/>
    <w:basedOn w:val="42"/>
    <w:qFormat/>
    <w:uiPriority w:val="99"/>
    <w:pPr>
      <w:spacing w:after="0" w:line="240" w:lineRule="auto"/>
    </w:pPr>
    <w:rPr>
      <w:color w:val="404040"/>
    </w:rPr>
    <w:tblStylePr w:type="firstRow">
      <w:rPr>
        <w:rFonts w:ascii="Arial" w:hAnsi="Arial"/>
        <w:color w:val="F2F2F2"/>
        <w:sz w:val="22"/>
      </w:rPr>
      <w:tcPr>
        <w:shd w:val="clear" w:color="68A3D8" w:themeColor="accent1" w:themeTint="EA" w:fill="68A3D8" w:themeFill="accent1" w:themeFillTint="EA"/>
      </w:tcPr>
    </w:tblStylePr>
    <w:tblStylePr w:type="lastRow">
      <w:rPr>
        <w:rFonts w:ascii="Arial" w:hAnsi="Arial"/>
        <w:color w:val="F2F2F2"/>
        <w:sz w:val="22"/>
      </w:rPr>
      <w:tcPr>
        <w:shd w:val="clear" w:color="68A3D8" w:themeColor="accent1" w:themeTint="EA" w:fill="68A3D8" w:themeFill="accent1" w:themeFillTint="EA"/>
      </w:tcPr>
    </w:tblStylePr>
    <w:tblStylePr w:type="firstCol">
      <w:rPr>
        <w:rFonts w:ascii="Arial" w:hAnsi="Arial"/>
        <w:color w:val="F2F2F2"/>
        <w:sz w:val="22"/>
      </w:rPr>
      <w:tcPr>
        <w:shd w:val="clear" w:color="68A3D8" w:themeColor="accent1" w:themeTint="EA" w:fill="68A3D8" w:themeFill="accent1" w:themeFillTint="EA"/>
      </w:tcPr>
    </w:tblStylePr>
    <w:tblStylePr w:type="lastCol">
      <w:rPr>
        <w:rFonts w:ascii="Arial" w:hAnsi="Arial"/>
        <w:color w:val="F2F2F2"/>
        <w:sz w:val="22"/>
      </w:rPr>
      <w:tcPr>
        <w:shd w:val="clear" w:color="68A3D8" w:themeColor="accent1" w:themeTint="EA" w:fill="68A3D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style>
  <w:style w:type="table" w:customStyle="1" w:styleId="176">
    <w:name w:val="Lined - Accent 2"/>
    <w:basedOn w:val="42"/>
    <w:qFormat/>
    <w:uiPriority w:val="99"/>
    <w:pPr>
      <w:spacing w:after="0" w:line="240" w:lineRule="auto"/>
    </w:pPr>
    <w:rPr>
      <w:color w:val="404040"/>
    </w:r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177">
    <w:name w:val="Lined - Accent 3"/>
    <w:basedOn w:val="42"/>
    <w:qFormat/>
    <w:uiPriority w:val="99"/>
    <w:pPr>
      <w:spacing w:after="0" w:line="240" w:lineRule="auto"/>
    </w:pPr>
    <w:rPr>
      <w:color w:val="404040"/>
    </w:r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178">
    <w:name w:val="Lined - Accent 4"/>
    <w:basedOn w:val="42"/>
    <w:qFormat/>
    <w:uiPriority w:val="99"/>
    <w:pPr>
      <w:spacing w:after="0" w:line="240" w:lineRule="auto"/>
    </w:pPr>
    <w:rPr>
      <w:color w:val="404040"/>
    </w:r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179">
    <w:name w:val="Lined - Accent 5"/>
    <w:basedOn w:val="42"/>
    <w:qFormat/>
    <w:uiPriority w:val="99"/>
    <w:pPr>
      <w:spacing w:after="0" w:line="240" w:lineRule="auto"/>
    </w:pPr>
    <w:rPr>
      <w:color w:val="404040"/>
    </w:rPr>
    <w:tblStylePr w:type="firstRow">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tblStylePr w:type="firstCol">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8E2F2" w:themeColor="accent5" w:themeTint="34" w:fill="D8E2F2" w:themeFill="accent5" w:themeFillTint="34"/>
      </w:tcPr>
    </w:tblStylePr>
  </w:style>
  <w:style w:type="table" w:customStyle="1" w:styleId="180">
    <w:name w:val="Lined - Accent 6"/>
    <w:basedOn w:val="42"/>
    <w:qFormat/>
    <w:uiPriority w:val="99"/>
    <w:pPr>
      <w:spacing w:after="0" w:line="240" w:lineRule="auto"/>
    </w:pPr>
    <w:rPr>
      <w:color w:val="404040"/>
    </w:r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181">
    <w:name w:val="Bordered &amp; Lined - Accent"/>
    <w:basedOn w:val="42"/>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82">
    <w:name w:val="Bordered &amp; Lined - Accent 1"/>
    <w:basedOn w:val="42"/>
    <w:qFormat/>
    <w:uiPriority w:val="99"/>
    <w:pPr>
      <w:spacing w:after="0" w:line="240" w:lineRule="auto"/>
    </w:pPr>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68A3D8" w:themeColor="accent1" w:themeTint="EA" w:fill="68A3D8" w:themeFill="accent1" w:themeFillTint="EA"/>
      </w:tcPr>
    </w:tblStylePr>
    <w:tblStylePr w:type="lastRow">
      <w:rPr>
        <w:rFonts w:ascii="Arial" w:hAnsi="Arial"/>
        <w:color w:val="F2F2F2"/>
        <w:sz w:val="22"/>
      </w:rPr>
      <w:tcPr>
        <w:shd w:val="clear" w:color="68A3D8" w:themeColor="accent1" w:themeTint="EA" w:fill="68A3D8" w:themeFill="accent1" w:themeFillTint="EA"/>
      </w:tcPr>
    </w:tblStylePr>
    <w:tblStylePr w:type="firstCol">
      <w:rPr>
        <w:rFonts w:ascii="Arial" w:hAnsi="Arial"/>
        <w:color w:val="F2F2F2"/>
        <w:sz w:val="22"/>
      </w:rPr>
      <w:tcPr>
        <w:shd w:val="clear" w:color="68A3D8" w:themeColor="accent1" w:themeTint="EA" w:fill="68A3D8" w:themeFill="accent1" w:themeFillTint="EA"/>
      </w:tcPr>
    </w:tblStylePr>
    <w:tblStylePr w:type="lastCol">
      <w:rPr>
        <w:rFonts w:ascii="Arial" w:hAnsi="Arial"/>
        <w:color w:val="F2F2F2"/>
        <w:sz w:val="22"/>
      </w:rPr>
      <w:tcPr>
        <w:shd w:val="clear" w:color="68A3D8" w:themeColor="accent1" w:themeTint="EA" w:fill="68A3D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style>
  <w:style w:type="table" w:customStyle="1" w:styleId="183">
    <w:name w:val="Bordered &amp; Lined - Accent 2"/>
    <w:basedOn w:val="42"/>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184">
    <w:name w:val="Bordered &amp; Lined - Accent 3"/>
    <w:basedOn w:val="42"/>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185">
    <w:name w:val="Bordered &amp; Lined - Accent 4"/>
    <w:basedOn w:val="42"/>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186">
    <w:name w:val="Bordered &amp; Lined - Accent 5"/>
    <w:basedOn w:val="42"/>
    <w:qFormat/>
    <w:uiPriority w:val="99"/>
    <w:pPr>
      <w:spacing w:after="0" w:line="240" w:lineRule="auto"/>
    </w:pPr>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tblStylePr w:type="firstCol">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8E2F2" w:themeColor="accent5" w:themeTint="34" w:fill="D8E2F2" w:themeFill="accent5" w:themeFillTint="34"/>
      </w:tcPr>
    </w:tblStylePr>
  </w:style>
  <w:style w:type="table" w:customStyle="1" w:styleId="187">
    <w:name w:val="Bordered &amp; Lined - Accent 6"/>
    <w:basedOn w:val="42"/>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188">
    <w:name w:val="Bordered"/>
    <w:basedOn w:val="42"/>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89">
    <w:name w:val="Bordered - Accent 1"/>
    <w:basedOn w:val="42"/>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customStyle="1" w:styleId="190">
    <w:name w:val="Bordered - Accent 2"/>
    <w:basedOn w:val="42"/>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191">
    <w:name w:val="Bordered - Accent 3"/>
    <w:basedOn w:val="42"/>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192">
    <w:name w:val="Bordered - Accent 4"/>
    <w:basedOn w:val="42"/>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193">
    <w:name w:val="Bordered - Accent 5"/>
    <w:basedOn w:val="42"/>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style>
  <w:style w:type="table" w:customStyle="1" w:styleId="194">
    <w:name w:val="Bordered - Accent 6"/>
    <w:basedOn w:val="42"/>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character" w:customStyle="1" w:styleId="195">
    <w:name w:val="Footnote Text Char"/>
    <w:link w:val="31"/>
    <w:qFormat/>
    <w:uiPriority w:val="99"/>
    <w:rPr>
      <w:sz w:val="18"/>
    </w:rPr>
  </w:style>
  <w:style w:type="character" w:customStyle="1" w:styleId="196">
    <w:name w:val="Endnote Text Char"/>
    <w:link w:val="24"/>
    <w:qFormat/>
    <w:uiPriority w:val="99"/>
    <w:rPr>
      <w:sz w:val="20"/>
    </w:rPr>
  </w:style>
  <w:style w:type="paragraph" w:customStyle="1" w:styleId="197">
    <w:name w:val="TOC Heading"/>
    <w:unhideWhenUsed/>
    <w:qFormat/>
    <w:uiPriority w:val="39"/>
    <w:rPr>
      <w:rFonts w:hint="default" w:ascii="等线" w:hAnsi="等线" w:eastAsia="等线" w:cs="等线"/>
    </w:rPr>
  </w:style>
  <w:style w:type="paragraph" w:customStyle="1" w:styleId="198">
    <w:name w:val="正文缩进1"/>
    <w:basedOn w:val="1"/>
    <w:qFormat/>
    <w:uiPriority w:val="0"/>
    <w:pPr>
      <w:ind w:firstLine="420"/>
    </w:pPr>
  </w:style>
  <w:style w:type="paragraph" w:customStyle="1" w:styleId="199">
    <w:name w:val="Default"/>
    <w:basedOn w:val="1"/>
    <w:semiHidden/>
    <w:qFormat/>
    <w:uiPriority w:val="0"/>
    <w:pPr>
      <w:jc w:val="left"/>
    </w:pPr>
    <w:rPr>
      <w:rFonts w:ascii="宋体" w:hAnsi="Calibri" w:cs="宋体"/>
      <w:color w:val="000000"/>
      <w:sz w:val="24"/>
    </w:rPr>
  </w:style>
  <w:style w:type="character" w:customStyle="1" w:styleId="200">
    <w:name w:val="页眉 字符"/>
    <w:basedOn w:val="44"/>
    <w:link w:val="27"/>
    <w:qFormat/>
    <w:uiPriority w:val="0"/>
    <w:rPr>
      <w:rFonts w:asciiTheme="minorHAnsi" w:hAnsiTheme="minorHAnsi" w:eastAsiaTheme="minorEastAsia" w:cstheme="minorBidi"/>
      <w:sz w:val="18"/>
      <w:szCs w:val="18"/>
    </w:rPr>
  </w:style>
  <w:style w:type="character" w:customStyle="1" w:styleId="201">
    <w:name w:val="页脚 字符"/>
    <w:basedOn w:val="44"/>
    <w:link w:val="26"/>
    <w:qFormat/>
    <w:uiPriority w:val="0"/>
    <w:rPr>
      <w:rFonts w:asciiTheme="minorHAnsi" w:hAnsiTheme="minorHAnsi" w:eastAsiaTheme="minorEastAsia" w:cstheme="minorBidi"/>
      <w:sz w:val="18"/>
      <w:szCs w:val="18"/>
    </w:rPr>
  </w:style>
  <w:style w:type="paragraph" w:customStyle="1" w:styleId="202">
    <w:name w:val="AONormal"/>
    <w:qFormat/>
    <w:uiPriority w:val="0"/>
    <w:pPr>
      <w:spacing w:line="400" w:lineRule="exact"/>
      <w:ind w:firstLine="440"/>
    </w:pPr>
    <w:rPr>
      <w:rFonts w:hint="default" w:ascii="华文楷体" w:hAnsi="华文楷体" w:eastAsia="华文楷体" w:cs="华文楷体"/>
      <w:sz w:val="22"/>
      <w:szCs w:val="21"/>
      <w:lang w:val="en-US" w:eastAsia="zh-CN" w:bidi="ar-SA"/>
    </w:rPr>
  </w:style>
  <w:style w:type="paragraph" w:customStyle="1" w:styleId="203">
    <w:name w:val="页脚1"/>
    <w:basedOn w:val="1"/>
    <w:unhideWhenUsed/>
    <w:qFormat/>
    <w:uiPriority w:val="99"/>
    <w:pPr>
      <w:tabs>
        <w:tab w:val="center" w:pos="4153"/>
        <w:tab w:val="right" w:pos="8306"/>
      </w:tabs>
      <w:jc w:val="left"/>
    </w:pPr>
    <w:rPr>
      <w:sz w:val="18"/>
      <w:szCs w:val="18"/>
    </w:rPr>
  </w:style>
  <w:style w:type="paragraph" w:customStyle="1" w:styleId="204">
    <w:name w:val="普通正文"/>
    <w:basedOn w:val="1"/>
    <w:qFormat/>
    <w:uiPriority w:val="0"/>
    <w:pPr>
      <w:spacing w:before="120" w:after="120" w:line="360" w:lineRule="auto"/>
      <w:ind w:firstLine="480"/>
      <w:jc w:val="left"/>
    </w:pPr>
    <w:rPr>
      <w:rFonts w:ascii="Arial" w:hAnsi="Arial" w:eastAsia="等线" w:cs="Arial"/>
      <w:sz w:val="24"/>
    </w:rPr>
  </w:style>
  <w:style w:type="paragraph" w:customStyle="1" w:styleId="205">
    <w:name w:val="正文首行缩进 21"/>
    <w:basedOn w:val="206"/>
    <w:qFormat/>
    <w:uiPriority w:val="0"/>
    <w:pPr>
      <w:ind w:firstLine="420"/>
    </w:pPr>
  </w:style>
  <w:style w:type="paragraph" w:customStyle="1" w:styleId="206">
    <w:name w:val="正文文本缩进1"/>
    <w:basedOn w:val="1"/>
    <w:qFormat/>
    <w:uiPriority w:val="0"/>
    <w:pPr>
      <w:spacing w:after="120"/>
      <w:ind w:left="420"/>
    </w:pPr>
  </w:style>
  <w:style w:type="character" w:customStyle="1" w:styleId="207">
    <w:name w:val="标题 1 字符"/>
    <w:basedOn w:val="44"/>
    <w:link w:val="3"/>
    <w:qFormat/>
    <w:uiPriority w:val="0"/>
    <w:rPr>
      <w:rFonts w:asciiTheme="minorHAnsi" w:hAnsiTheme="minorHAnsi" w:eastAsiaTheme="minorEastAsia" w:cstheme="minorBidi"/>
      <w:b/>
      <w:bCs/>
      <w:sz w:val="44"/>
      <w:szCs w:val="44"/>
    </w:rPr>
  </w:style>
  <w:style w:type="paragraph" w:customStyle="1" w:styleId="208">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sz w:val="32"/>
      <w:szCs w:val="32"/>
    </w:rPr>
  </w:style>
  <w:style w:type="paragraph" w:customStyle="1" w:styleId="209">
    <w:name w:val="标题123"/>
    <w:basedOn w:val="36"/>
    <w:link w:val="211"/>
    <w:qFormat/>
    <w:uiPriority w:val="0"/>
    <w:pPr>
      <w:keepNext/>
      <w:spacing w:beforeAutospacing="0" w:afterAutospacing="0"/>
      <w:jc w:val="center"/>
      <w:outlineLvl w:val="0"/>
    </w:pPr>
    <w:rPr>
      <w:rFonts w:ascii="黑体" w:hAnsi="宋体" w:eastAsia="黑体" w:cs="黑体"/>
      <w:b/>
      <w:bCs/>
      <w:color w:val="000000"/>
      <w:sz w:val="44"/>
      <w:szCs w:val="44"/>
    </w:rPr>
  </w:style>
  <w:style w:type="character" w:customStyle="1" w:styleId="210">
    <w:name w:val="普通(网站) 字符"/>
    <w:basedOn w:val="44"/>
    <w:link w:val="36"/>
    <w:qFormat/>
    <w:uiPriority w:val="0"/>
    <w:rPr>
      <w:rFonts w:asciiTheme="minorHAnsi" w:hAnsiTheme="minorHAnsi" w:eastAsiaTheme="minorEastAsia"/>
      <w:sz w:val="24"/>
      <w:szCs w:val="24"/>
    </w:rPr>
  </w:style>
  <w:style w:type="character" w:customStyle="1" w:styleId="211">
    <w:name w:val="标题123 字符"/>
    <w:basedOn w:val="210"/>
    <w:link w:val="209"/>
    <w:qFormat/>
    <w:uiPriority w:val="0"/>
    <w:rPr>
      <w:rFonts w:ascii="黑体" w:hAnsi="宋体" w:eastAsia="黑体" w:cs="黑体"/>
      <w:b/>
      <w:bCs/>
      <w:color w:val="000000"/>
      <w:sz w:val="44"/>
      <w:szCs w:val="44"/>
    </w:rPr>
  </w:style>
  <w:style w:type="character" w:customStyle="1" w:styleId="212">
    <w:name w:val="标题 字符"/>
    <w:basedOn w:val="44"/>
    <w:link w:val="37"/>
    <w:qFormat/>
    <w:uiPriority w:val="0"/>
    <w:rPr>
      <w:rFonts w:eastAsia="黑体" w:asciiTheme="majorHAnsi" w:hAnsiTheme="majorHAnsi" w:cstheme="majorBidi"/>
      <w:b/>
      <w:bCs/>
      <w:sz w:val="44"/>
      <w:szCs w:val="32"/>
    </w:rPr>
  </w:style>
  <w:style w:type="character" w:customStyle="1" w:styleId="213">
    <w:name w:val="标题 6 字符"/>
    <w:basedOn w:val="44"/>
    <w:link w:val="8"/>
    <w:qFormat/>
    <w:uiPriority w:val="9"/>
    <w:rPr>
      <w:rFonts w:asciiTheme="majorHAnsi" w:hAnsiTheme="majorHAnsi" w:eastAsiaTheme="majorEastAsia" w:cstheme="majorBidi"/>
      <w:b/>
      <w:bCs/>
      <w:sz w:val="24"/>
      <w:szCs w:val="24"/>
    </w:rPr>
  </w:style>
  <w:style w:type="table" w:customStyle="1" w:styleId="214">
    <w:name w:val="网格型1"/>
    <w:basedOn w:val="42"/>
    <w:qFormat/>
    <w:uiPriority w:val="0"/>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215">
    <w:name w:val="List Paragraph"/>
    <w:basedOn w:val="1"/>
    <w:qFormat/>
    <w:uiPriority w:val="99"/>
    <w:pPr>
      <w:ind w:firstLine="420"/>
    </w:pPr>
  </w:style>
  <w:style w:type="character" w:customStyle="1" w:styleId="216">
    <w:name w:val="批注文字 字符"/>
    <w:basedOn w:val="44"/>
    <w:link w:val="16"/>
    <w:qFormat/>
    <w:uiPriority w:val="0"/>
    <w:rPr>
      <w:rFonts w:asciiTheme="minorHAnsi" w:hAnsiTheme="minorHAnsi" w:eastAsiaTheme="minorEastAsia" w:cstheme="minorBidi"/>
      <w:sz w:val="21"/>
      <w:szCs w:val="24"/>
    </w:rPr>
  </w:style>
  <w:style w:type="character" w:customStyle="1" w:styleId="217">
    <w:name w:val="批注主题 字符"/>
    <w:basedOn w:val="216"/>
    <w:link w:val="38"/>
    <w:qFormat/>
    <w:uiPriority w:val="0"/>
    <w:rPr>
      <w:rFonts w:asciiTheme="minorHAnsi" w:hAnsiTheme="minorHAnsi" w:eastAsiaTheme="minorEastAsia" w:cstheme="minorBidi"/>
      <w:b/>
      <w:bCs/>
      <w:sz w:val="21"/>
      <w:szCs w:val="24"/>
    </w:rPr>
  </w:style>
  <w:style w:type="character" w:customStyle="1" w:styleId="218">
    <w:name w:val="批注框文本 字符"/>
    <w:basedOn w:val="44"/>
    <w:link w:val="25"/>
    <w:qFormat/>
    <w:uiPriority w:val="0"/>
    <w:rPr>
      <w:rFonts w:asciiTheme="minorHAnsi" w:hAnsiTheme="minorHAnsi" w:eastAsiaTheme="minorEastAsia" w:cstheme="minorBidi"/>
      <w:sz w:val="18"/>
      <w:szCs w:val="18"/>
    </w:rPr>
  </w:style>
  <w:style w:type="character" w:customStyle="1" w:styleId="219">
    <w:name w:val="标题 3 字符"/>
    <w:basedOn w:val="44"/>
    <w:link w:val="5"/>
    <w:semiHidden/>
    <w:qFormat/>
    <w:uiPriority w:val="0"/>
    <w:rPr>
      <w:rFonts w:ascii="宋体" w:hAnsi="宋体" w:cs="宋体"/>
      <w:b/>
      <w:sz w:val="28"/>
      <w:szCs w:val="22"/>
    </w:rPr>
  </w:style>
  <w:style w:type="character" w:customStyle="1" w:styleId="220">
    <w:name w:val="标题 4 字符"/>
    <w:basedOn w:val="44"/>
    <w:link w:val="6"/>
    <w:semiHidden/>
    <w:qFormat/>
    <w:uiPriority w:val="0"/>
    <w:rPr>
      <w:rFonts w:ascii="Arial" w:hAnsi="Arial" w:cs="宋体"/>
      <w:b/>
      <w:sz w:val="24"/>
      <w:szCs w:val="22"/>
    </w:rPr>
  </w:style>
  <w:style w:type="character" w:customStyle="1" w:styleId="221">
    <w:name w:val="标题 5 字符"/>
    <w:basedOn w:val="44"/>
    <w:link w:val="7"/>
    <w:semiHidden/>
    <w:qFormat/>
    <w:uiPriority w:val="0"/>
    <w:rPr>
      <w:rFonts w:ascii="宋体" w:hAnsi="宋体" w:cs="宋体"/>
      <w:b/>
      <w:sz w:val="28"/>
      <w:szCs w:val="22"/>
    </w:rPr>
  </w:style>
  <w:style w:type="character" w:customStyle="1" w:styleId="222">
    <w:name w:val="正文文本缩进 字符"/>
    <w:basedOn w:val="44"/>
    <w:link w:val="18"/>
    <w:qFormat/>
    <w:uiPriority w:val="0"/>
    <w:rPr>
      <w:rFonts w:asciiTheme="minorHAnsi" w:hAnsiTheme="minorHAnsi" w:eastAsiaTheme="minorEastAsia" w:cstheme="minorBidi"/>
      <w:sz w:val="21"/>
      <w:szCs w:val="24"/>
    </w:rPr>
  </w:style>
  <w:style w:type="character" w:customStyle="1" w:styleId="223">
    <w:name w:val="正文文本首行缩进 2 字符"/>
    <w:basedOn w:val="222"/>
    <w:link w:val="40"/>
    <w:qFormat/>
    <w:uiPriority w:val="0"/>
    <w:rPr>
      <w:rFonts w:asciiTheme="minorHAnsi" w:hAnsiTheme="minorHAnsi" w:eastAsiaTheme="minorEastAsia" w:cstheme="minorBidi"/>
      <w:sz w:val="21"/>
      <w:szCs w:val="24"/>
    </w:rPr>
  </w:style>
  <w:style w:type="character" w:customStyle="1" w:styleId="224">
    <w:name w:val="标题 2 字符"/>
    <w:link w:val="4"/>
    <w:semiHidden/>
    <w:qFormat/>
    <w:uiPriority w:val="0"/>
    <w:rPr>
      <w:rFonts w:ascii="宋体" w:hAnsi="宋体"/>
      <w:b/>
      <w:bCs/>
      <w:sz w:val="36"/>
      <w:szCs w:val="36"/>
    </w:rPr>
  </w:style>
  <w:style w:type="paragraph" w:customStyle="1" w:styleId="225">
    <w:name w:val="纯文本1"/>
    <w:basedOn w:val="1"/>
    <w:qFormat/>
    <w:uiPriority w:val="0"/>
    <w:pPr>
      <w:keepNext w:val="0"/>
      <w:keepLines w:val="0"/>
      <w:widowControl w:val="0"/>
      <w:suppressLineNumbers w:val="0"/>
      <w:spacing w:before="0" w:beforeAutospacing="0" w:after="0" w:afterAutospacing="0"/>
      <w:ind w:left="0" w:right="0"/>
      <w:jc w:val="both"/>
    </w:pPr>
    <w:rPr>
      <w:rFonts w:hint="eastAsia" w:ascii="宋体" w:hAnsi="Courier New" w:eastAsia="楷体_GB2312" w:cs="Times New Roman"/>
      <w:sz w:val="28"/>
      <w:szCs w:val="20"/>
      <w:lang w:val="en-US" w:eastAsia="zh-CN" w:bidi="ar"/>
    </w:rPr>
  </w:style>
  <w:style w:type="paragraph" w:customStyle="1" w:styleId="226">
    <w:name w:val="Heading 21"/>
    <w:basedOn w:val="1"/>
    <w:next w:val="1"/>
    <w:unhideWhenUsed/>
    <w:qFormat/>
    <w:uiPriority w:val="0"/>
    <w:pPr>
      <w:spacing w:beforeAutospacing="1" w:afterAutospacing="1"/>
      <w:jc w:val="left"/>
      <w:outlineLvl w:val="1"/>
    </w:pPr>
    <w:rPr>
      <w:rFonts w:hint="eastAsia" w:ascii="宋体" w:hAnsi="宋体" w:eastAsia="宋体" w:cs="Times New Roman"/>
      <w:b/>
      <w:bCs/>
      <w:sz w:val="36"/>
      <w:szCs w:val="36"/>
    </w:rPr>
  </w:style>
  <w:style w:type="paragraph" w:customStyle="1" w:styleId="227">
    <w:name w:val="普通(网站)12"/>
    <w:basedOn w:val="1"/>
    <w:qFormat/>
    <w:uiPriority w:val="0"/>
    <w:pPr>
      <w:spacing w:beforeAutospacing="1" w:afterAutospacing="1"/>
      <w:jc w:val="left"/>
    </w:pPr>
    <w:rPr>
      <w:rFonts w:cs="Times New Roman"/>
      <w:sz w:val="24"/>
    </w:rPr>
  </w:style>
  <w:style w:type="character" w:customStyle="1" w:styleId="228">
    <w:name w:val="font51"/>
    <w:basedOn w:val="44"/>
    <w:qFormat/>
    <w:uiPriority w:val="0"/>
    <w:rPr>
      <w:rFonts w:hint="eastAsia" w:ascii="宋体" w:hAnsi="宋体" w:eastAsia="宋体" w:cs="宋体"/>
      <w:color w:val="000000"/>
      <w:sz w:val="20"/>
      <w:szCs w:val="20"/>
      <w:u w:val="none"/>
    </w:rPr>
  </w:style>
  <w:style w:type="character" w:customStyle="1" w:styleId="229">
    <w:name w:val="font01"/>
    <w:basedOn w:val="44"/>
    <w:qFormat/>
    <w:uiPriority w:val="0"/>
    <w:rPr>
      <w:rFonts w:hint="eastAsia" w:ascii="宋体" w:hAnsi="宋体" w:eastAsia="宋体" w:cs="宋体"/>
      <w:color w:val="000000"/>
      <w:sz w:val="22"/>
      <w:szCs w:val="22"/>
      <w:u w:val="none"/>
    </w:rPr>
  </w:style>
  <w:style w:type="character" w:customStyle="1" w:styleId="230">
    <w:name w:val="font131"/>
    <w:basedOn w:val="44"/>
    <w:qFormat/>
    <w:uiPriority w:val="0"/>
    <w:rPr>
      <w:rFonts w:ascii="Segoe UI Symbol" w:hAnsi="Segoe UI Symbol" w:eastAsia="Segoe UI Symbol" w:cs="Segoe UI Symbol"/>
      <w:color w:val="000000"/>
      <w:sz w:val="20"/>
      <w:szCs w:val="20"/>
      <w:u w:val="none"/>
    </w:rPr>
  </w:style>
  <w:style w:type="paragraph" w:customStyle="1" w:styleId="231">
    <w:name w:val="_Style 13"/>
    <w:qFormat/>
    <w:uiPriority w:val="0"/>
    <w:pPr>
      <w:spacing w:before="120" w:after="120" w:line="288" w:lineRule="auto"/>
      <w:ind w:left="0"/>
      <w:jc w:val="left"/>
    </w:pPr>
    <w:rPr>
      <w:rFonts w:hint="default" w:ascii="Arial" w:hAnsi="Arial" w:eastAsia="等线" w:cs="Arial"/>
      <w:sz w:val="22"/>
      <w:szCs w:val="22"/>
    </w:rPr>
  </w:style>
  <w:style w:type="paragraph" w:customStyle="1" w:styleId="232">
    <w:name w:val="标题 11"/>
    <w:basedOn w:val="1"/>
    <w:next w:val="1"/>
    <w:qFormat/>
    <w:uiPriority w:val="0"/>
    <w:pPr>
      <w:spacing w:before="39"/>
      <w:ind w:left="120"/>
      <w:outlineLvl w:val="0"/>
    </w:pPr>
    <w:rPr>
      <w:sz w:val="27"/>
      <w:szCs w:val="27"/>
    </w:rPr>
  </w:style>
  <w:style w:type="paragraph" w:customStyle="1" w:styleId="233">
    <w:name w:val="Table Text"/>
    <w:basedOn w:val="1"/>
    <w:semiHidden/>
    <w:qFormat/>
    <w:uiPriority w:val="0"/>
    <w:rPr>
      <w:rFonts w:ascii="宋体" w:hAnsi="宋体" w:eastAsia="宋体" w:cs="宋体"/>
      <w:sz w:val="24"/>
      <w:szCs w:val="24"/>
    </w:rPr>
  </w:style>
  <w:style w:type="paragraph" w:customStyle="1" w:styleId="234">
    <w:name w:val="普通(网站)1"/>
    <w:basedOn w:val="1"/>
    <w:qFormat/>
    <w:uiPriority w:val="0"/>
    <w:pPr>
      <w:widowControl/>
      <w:spacing w:before="100" w:beforeAutospacing="1" w:after="100" w:afterAutospacing="1" w:line="360" w:lineRule="auto"/>
      <w:ind w:firstLine="420"/>
      <w:jc w:val="left"/>
    </w:pPr>
    <w:rPr>
      <w:rFonts w:ascii="宋体" w:hAnsi="宋体" w:eastAsia="宋体" w:cs="宋体"/>
      <w:color w:val="000000"/>
      <w:sz w:val="24"/>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4496F2-8972-4A23-A1CA-F9AA555E9041}">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96</Pages>
  <Words>12658</Words>
  <Characters>13645</Characters>
  <TotalTime>6</TotalTime>
  <ScaleCrop>false</ScaleCrop>
  <LinksUpToDate>false</LinksUpToDate>
  <CharactersWithSpaces>13651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正式环境陈艳测试账号</dc:creator>
  <cp:lastModifiedBy>陈辉</cp:lastModifiedBy>
  <dcterms:modified xsi:type="dcterms:W3CDTF">2026-10-26T04:00:59Z</dcterms:modified>
  <cp:revision>229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C1A6BB3D213A4F8A95B522201E086F9B_13</vt:lpwstr>
  </property>
  <property fmtid="{D5CDD505-2E9C-101B-9397-08002B2CF9AE}" pid="4" name="KSOTemplateDocerSaveRecord">
    <vt:lpwstr>eyJoZGlkIjoiOGNjNDM3YjE1ZmFjNDY2OWQ2MjY3N2I1ZWI0OGI2ZTQiLCJ1c2VySWQiOiI3MjY2ODQwMDkifQ==</vt:lpwstr>
  </property>
</Properties>
</file>