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5"/>
      <w:r/>
      <w:bookmarkStart w:id="1" w:name="OLE_LINK12"/>
      <w:r/>
      <w:r/>
    </w:p>
    <w:p>
      <w:pPr>
        <w:pStyle w:val="86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66"/>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66"/>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地面数字电视省前端相关设备更新项目</w:t>
      </w:r>
      <w:r/>
    </w:p>
    <w:p>
      <w:pPr>
        <w:pStyle w:val="86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866"/>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color w:val="auto"/>
          <w:sz w:val="48"/>
          <w:szCs w:val="48"/>
          <w:highlight w:val="none"/>
          <w:lang w:val="en-US" w:bidi="ar-SA"/>
        </w:rPr>
        <mc:AlternateContent>
          <mc:Choice Requires="wpg">
            <w:drawing>
              <wp:inline xmlns:wp="http://schemas.openxmlformats.org/drawingml/2006/wordprocessingDrawing" distT="0" distB="0" distL="0" distR="0">
                <wp:extent cx="1718310" cy="2132330"/>
                <wp:effectExtent l="0" t="0" r="0" b="0"/>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3"/>
                        <a:stretch/>
                      </pic:blipFill>
                      <pic:spPr bwMode="auto">
                        <a:xfrm>
                          <a:off x="0" y="0"/>
                          <a:ext cx="171831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3pt;height:167.9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Ansi="Times New Roman" w:cs="Times New Roman"/>
          <w:color w:val="auto"/>
          <w:sz w:val="21"/>
          <w:szCs w:val="21"/>
          <w:highlight w:val="none"/>
          <w:lang w:val="en-US" w:bidi="ar-SA"/>
        </w:rPr>
      </w:pPr>
      <w:r>
        <w:rPr>
          <w:rFonts w:hint="eastAsia" w:cs="Times New Roman"/>
          <w:b/>
          <w:color w:val="auto"/>
          <w:sz w:val="36"/>
          <w:szCs w:val="36"/>
          <w:highlight w:val="none"/>
          <w:lang w:val="en-US" w:bidi="ar-SA"/>
        </w:rPr>
        <w:t xml:space="preserve">项目编号：JSZC-320000-SNZX-G2026-0182</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采购人：江苏省广播电视局</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日期：二〇二六年十月</w:t>
      </w:r>
      <w:r>
        <w:rPr>
          <w:rFonts w:hint="eastAsia" w:cs="Times New Roman"/>
          <w:b/>
          <w:color w:val="auto"/>
          <w:sz w:val="36"/>
          <w:szCs w:val="36"/>
          <w:highlight w:val="none"/>
          <w:lang w:val="en-US" w:bidi="ar-SA"/>
        </w:rPr>
        <w:br w:type="page" w:clear="all"/>
      </w:r>
      <w:r/>
    </w:p>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791"/>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eastAsia="zh-CN"/>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79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eastAsia="zh-CN"/>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79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_Toc9832 \h </w:instrText>
      </w:r>
      <w:r>
        <w:rPr>
          <w:rFonts w:hint="eastAsia"/>
          <w:color w:val="auto"/>
          <w:sz w:val="28"/>
          <w:szCs w:val="28"/>
          <w:highlight w:val="none"/>
        </w:rPr>
        <w:fldChar w:fldCharType="separate"/>
      </w:r>
      <w:r>
        <w:rPr>
          <w:color w:val="auto"/>
          <w:sz w:val="28"/>
          <w:szCs w:val="28"/>
          <w:highlight w:val="none"/>
        </w:rPr>
        <w:t xml:space="preserve">1</w:t>
      </w:r>
      <w:r>
        <w:rPr>
          <w:rFonts w:hint="eastAsia"/>
          <w:color w:val="auto"/>
          <w:sz w:val="28"/>
          <w:szCs w:val="28"/>
          <w:highlight w:val="none"/>
          <w:lang w:val="en-US" w:eastAsia="zh-CN"/>
        </w:rPr>
        <w:t xml:space="preserve">7</w:t>
      </w:r>
      <w:r>
        <w:rPr>
          <w:rFonts w:hint="eastAsia"/>
          <w:color w:val="auto"/>
          <w:sz w:val="28"/>
          <w:szCs w:val="28"/>
          <w:highlight w:val="none"/>
        </w:rPr>
        <w:fldChar w:fldCharType="end"/>
      </w:r>
      <w:r>
        <w:rPr>
          <w:rFonts w:hint="eastAsia"/>
          <w:color w:val="auto"/>
          <w:sz w:val="28"/>
          <w:szCs w:val="28"/>
          <w:highlight w:val="none"/>
        </w:rPr>
        <w:fldChar w:fldCharType="end"/>
      </w:r>
      <w:r/>
    </w:p>
    <w:p>
      <w:pPr>
        <w:pStyle w:val="79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w:t>
      </w:r>
      <w:r>
        <w:rPr>
          <w:rFonts w:hint="eastAsia"/>
          <w:color w:val="auto"/>
          <w:sz w:val="28"/>
          <w:szCs w:val="28"/>
          <w:highlight w:val="none"/>
          <w:lang w:val="en-US" w:eastAsia="zh-CN"/>
        </w:rPr>
        <w:t xml:space="preserve">0</w:t>
      </w:r>
      <w:r>
        <w:rPr>
          <w:color w:val="auto"/>
          <w:sz w:val="28"/>
          <w:szCs w:val="28"/>
          <w:highlight w:val="none"/>
        </w:rPr>
        <w:fldChar w:fldCharType="end"/>
      </w:r>
      <w:r/>
    </w:p>
    <w:p>
      <w:pPr>
        <w:pStyle w:val="791"/>
        <w:spacing w:line="480" w:lineRule="auto"/>
        <w:tabs>
          <w:tab w:val="right" w:pos="2400" w:leader="none"/>
          <w:tab w:val="right" w:pos="9638"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eastAsia="zh-CN"/>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rFonts w:hint="eastAsia"/>
          <w:color w:val="auto"/>
          <w:sz w:val="28"/>
          <w:szCs w:val="28"/>
          <w:highlight w:val="none"/>
          <w:lang w:val="en-US" w:eastAsia="zh-CN"/>
        </w:rPr>
        <w:t xml:space="preserve">3</w:t>
      </w:r>
      <w:r>
        <w:rPr>
          <w:color w:val="auto"/>
          <w:sz w:val="28"/>
          <w:szCs w:val="28"/>
          <w:highlight w:val="none"/>
        </w:rPr>
        <w:fldChar w:fldCharType="end"/>
      </w:r>
      <w:r>
        <w:rPr>
          <w:rFonts w:hint="eastAsia"/>
          <w:color w:val="auto"/>
          <w:sz w:val="28"/>
          <w:szCs w:val="28"/>
          <w:highlight w:val="none"/>
          <w:lang w:val="en-US" w:eastAsia="zh-CN"/>
        </w:rPr>
        <w:t xml:space="preserve">0</w:t>
      </w:r>
      <w:r/>
    </w:p>
    <w:p>
      <w:pPr>
        <w:pStyle w:val="79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eastAsia="zh-CN"/>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3</w:t>
      </w:r>
      <w:r>
        <w:rPr>
          <w:rFonts w:hint="eastAsia"/>
          <w:color w:val="auto"/>
          <w:sz w:val="28"/>
          <w:szCs w:val="28"/>
          <w:highlight w:val="none"/>
          <w:lang w:val="en-US" w:eastAsia="zh-CN"/>
        </w:rPr>
        <w:t xml:space="preserve">5</w:t>
      </w:r>
      <w:r>
        <w:rPr>
          <w:color w:val="auto"/>
          <w:sz w:val="28"/>
          <w:szCs w:val="28"/>
          <w:highlight w:val="none"/>
        </w:rPr>
        <w:fldChar w:fldCharType="end"/>
      </w:r>
      <w:r/>
    </w:p>
    <w:p>
      <w:pPr>
        <w:pStyle w:val="866"/>
        <w:ind w:left="0" w:firstLine="0"/>
        <w:spacing w:line="480" w:lineRule="auto"/>
        <w:rPr>
          <w:color w:val="auto"/>
          <w:highlight w:val="none"/>
          <w:lang w:val="en-US"/>
        </w:rPr>
      </w:pPr>
      <w:r>
        <w:rPr>
          <w:rFonts w:hint="eastAsia"/>
          <w:color w:val="auto"/>
          <w:sz w:val="28"/>
          <w:szCs w:val="28"/>
          <w:highlight w:val="none"/>
          <w:lang w:val="en-US"/>
        </w:rPr>
        <w:fldChar w:fldCharType="end"/>
      </w:r>
      <w:r/>
    </w:p>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hint="eastAsia" w:ascii="黑体" w:eastAsia="黑体"/>
          <w:b/>
          <w:color w:val="auto"/>
          <w:sz w:val="36"/>
          <w:highlight w:val="none"/>
          <w:lang w:val="en" w:eastAsia="zh-CN"/>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eastAsia="zh-CN"/>
        </w:rPr>
        <w:t xml:space="preserve"> 招标公告</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地面数字电视省前端相关设备更新项目</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11</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18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rPr>
      </w:pPr>
      <w:r>
        <w:rPr>
          <w:rFonts w:hint="eastAsia"/>
          <w:color w:val="auto"/>
          <w:sz w:val="24"/>
          <w:szCs w:val="24"/>
          <w:highlight w:val="none"/>
        </w:rPr>
        <w:t xml:space="preserve">项目编号：JSZC-320000-SNZX-G2026-0182</w:t>
      </w:r>
      <w:r/>
    </w:p>
    <w:p>
      <w:pPr>
        <w:ind w:firstLine="480"/>
        <w:spacing w:line="360" w:lineRule="auto"/>
        <w:rPr>
          <w:color w:val="auto"/>
          <w:sz w:val="24"/>
          <w:szCs w:val="24"/>
          <w:highlight w:val="none"/>
        </w:rPr>
      </w:pPr>
      <w:r>
        <w:rPr>
          <w:rFonts w:hint="eastAsia"/>
          <w:color w:val="auto"/>
          <w:sz w:val="24"/>
          <w:szCs w:val="24"/>
          <w:highlight w:val="none"/>
        </w:rPr>
        <w:t xml:space="preserve">项目名称：地面数字电视省前端相关设备更新项目</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140</w:t>
      </w:r>
      <w:r>
        <w:rPr>
          <w:rFonts w:hint="eastAsia"/>
          <w:color w:val="auto"/>
          <w:sz w:val="24"/>
          <w:szCs w:val="24"/>
          <w:highlight w:val="none"/>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140</w:t>
      </w:r>
      <w:r>
        <w:rPr>
          <w:rFonts w:hint="eastAsia"/>
          <w:color w:val="auto"/>
          <w:sz w:val="24"/>
          <w:szCs w:val="24"/>
          <w:highlight w:val="none"/>
        </w:rPr>
        <w:t xml:space="preserve">万元，投标报价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lang w:val="en-US"/>
        </w:rPr>
      </w:pPr>
      <w:r>
        <w:rPr>
          <w:rFonts w:hint="eastAsia"/>
          <w:color w:val="auto"/>
          <w:sz w:val="24"/>
          <w:szCs w:val="24"/>
          <w:highlight w:val="none"/>
        </w:rPr>
        <w:t xml:space="preserve">采购需求：地面数字电视省前端相关设备更新项目，</w:t>
      </w:r>
      <w:r>
        <w:rPr>
          <w:rFonts w:hint="eastAsia"/>
          <w:color w:val="auto"/>
          <w:sz w:val="24"/>
          <w:szCs w:val="24"/>
          <w:highlight w:val="none"/>
          <w:lang w:val="en-US"/>
        </w:rPr>
        <w:t xml:space="preserve">具体详见招标文件。</w:t>
      </w:r>
      <w:r/>
    </w:p>
    <w:p>
      <w:pPr>
        <w:pStyle w:val="778"/>
        <w:ind w:firstLine="480"/>
        <w:spacing w:line="360" w:lineRule="auto"/>
        <w:rPr>
          <w:color w:val="auto"/>
          <w:sz w:val="24"/>
          <w:szCs w:val="24"/>
          <w:highlight w:val="none"/>
          <w:lang w:val="en-US"/>
        </w:rPr>
      </w:pPr>
      <w:r>
        <w:rPr>
          <w:rFonts w:hint="eastAsia"/>
          <w:color w:val="auto"/>
          <w:sz w:val="24"/>
          <w:szCs w:val="24"/>
          <w:highlight w:val="none"/>
          <w:lang w:val="en-US"/>
        </w:rPr>
        <w:t xml:space="preserve">合同履行期限</w:t>
      </w:r>
      <w:r>
        <w:rPr>
          <w:rFonts w:hint="eastAsia"/>
          <w:color w:val="auto"/>
          <w:sz w:val="24"/>
          <w:szCs w:val="24"/>
          <w:highlight w:val="none"/>
        </w:rPr>
        <w:t xml:space="preserve">：签订合同后</w:t>
      </w:r>
      <w:r>
        <w:rPr>
          <w:color w:val="auto"/>
          <w:sz w:val="24"/>
          <w:szCs w:val="24"/>
          <w:highlight w:val="none"/>
        </w:rPr>
        <w:t xml:space="preserve">30个日历日内完成本项目。</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866"/>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利润表）（法人或者其他组织成立未满三个月的可以不提供），或其银行出具的资信证书（复印件）（开标前六个月内），或其上一年度经审计的财务报告复印件加盖公章；</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4、有依法缴纳税收和社会保障资金的良好记录（提供参加本次采购活动前一年内至少一个月依法缴纳增值税或企业所得税的凭据，及社会保障资金的相关材料复印件加盖公章）；</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866"/>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（1）本项目整体专门面向中小企业采购工程。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（2）本项目整体专门面向小微企业采购工程。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（3）本项目通过以下第（）种方式预留部分采购份额采购中小企业工程：</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①本项目要求供应商以联合体形式参加，中小企业合同金额应当达到的比例为/%。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②本项目要求供应商进行合同分包，中小企业合同金额应当达到的比例为/%。</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（4）本项目为非预留份额的采购项目或采购包，执行价格扣除优惠政策，具体详见第三章。</w:t>
      </w:r>
      <w:r/>
    </w:p>
    <w:p>
      <w:pPr>
        <w:pStyle w:val="866"/>
        <w:contextualSpacing/>
        <w:ind w:left="0" w:firstLine="480"/>
        <w:spacing w:line="360" w:lineRule="auto"/>
        <w:tabs>
          <w:tab w:val="left" w:pos="1061" w:leader="none"/>
        </w:tabs>
        <w:rPr>
          <w:color w:val="auto"/>
          <w:sz w:val="24"/>
          <w:szCs w:val="24"/>
          <w:highlight w:val="none"/>
          <w:lang w:val="en-US"/>
        </w:rPr>
      </w:pPr>
      <w:r>
        <w:rPr>
          <w:rFonts w:hint="eastAsia"/>
          <w:color w:val="auto"/>
          <w:sz w:val="24"/>
          <w:szCs w:val="24"/>
          <w:highlight w:val="none"/>
        </w:rPr>
        <w:t xml:space="preserve">（三）本项目的特定资格要求：</w:t>
      </w:r>
      <w:bookmarkStart w:id="4" w:name="三、获取招标文件"/>
      <w:r/>
      <w:bookmarkEnd w:id="4"/>
      <w:r>
        <w:rPr>
          <w:rFonts w:hint="eastAsia"/>
          <w:color w:val="auto"/>
          <w:sz w:val="24"/>
          <w:szCs w:val="24"/>
          <w:highlight w:val="none"/>
          <w:lang w:val="en-US"/>
        </w:rPr>
        <w:t xml:space="preserve">无</w:t>
      </w:r>
      <w:r/>
    </w:p>
    <w:p>
      <w:pPr>
        <w:pStyle w:val="866"/>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三、获取招标文件</w:t>
      </w:r>
      <w:r/>
    </w:p>
    <w:p>
      <w:pPr>
        <w:contextualSpacing/>
        <w:ind w:firstLine="480"/>
        <w:spacing w:line="360" w:lineRule="auto"/>
        <w:rPr>
          <w:color w:val="auto"/>
          <w:sz w:val="24"/>
          <w:szCs w:val="24"/>
          <w:highlight w:val="none"/>
          <w:lang w:val="en-US"/>
        </w:rPr>
      </w:pPr>
      <w:r/>
      <w:bookmarkStart w:id="5" w:name="四、提交投标文件截止时间、开标时间和地点"/>
      <w:r/>
      <w:bookmarkEnd w:id="5"/>
      <w:r>
        <w:rPr>
          <w:rFonts w:hint="eastAsia"/>
          <w:color w:val="auto"/>
          <w:sz w:val="24"/>
          <w:szCs w:val="24"/>
          <w:highlight w:val="none"/>
          <w:lang w:val="en-US"/>
        </w:rPr>
        <w:t xml:space="preserve">时间：自招标文件公告发布之日起5个工作日</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地点：江苏政府采购网苏采云系统</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方式：网上下载</w:t>
      </w:r>
      <w:r/>
    </w:p>
    <w:p>
      <w:pPr>
        <w:contextualSpacing/>
        <w:ind w:firstLine="480"/>
        <w:spacing w:line="360" w:lineRule="auto"/>
        <w:rPr>
          <w:color w:val="auto"/>
          <w:sz w:val="24"/>
          <w:szCs w:val="24"/>
          <w:highlight w:val="none"/>
        </w:rPr>
      </w:pPr>
      <w:r>
        <w:rPr>
          <w:rFonts w:hint="eastAsia"/>
          <w:color w:val="auto"/>
          <w:sz w:val="24"/>
          <w:szCs w:val="24"/>
          <w:highlight w:val="none"/>
          <w:lang w:val="en-US"/>
        </w:rPr>
        <w:t xml:space="preserve">售价：0元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11</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18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bookmarkStart w:id="31" w:name="_GoBack"/>
      <w:r/>
      <w:bookmarkEnd w:id="31"/>
      <w:r/>
      <w:r/>
    </w:p>
    <w:p>
      <w:pPr>
        <w:ind w:firstLine="480"/>
        <w:spacing w:line="360" w:lineRule="auto"/>
        <w:rPr>
          <w:color w:val="auto"/>
          <w:sz w:val="24"/>
          <w:szCs w:val="24"/>
          <w:highlight w:val="none"/>
          <w:lang w:val="en-US"/>
        </w:rPr>
      </w:pPr>
      <w:r/>
      <w:bookmarkStart w:id="6" w:name="七、对本次招标提出询问，请按以下方式联系。"/>
      <w:r/>
      <w:bookmarkEnd w:id="6"/>
      <w:r/>
      <w:bookmarkStart w:id="7"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（3）拒绝列入失信被执行人、重大税收违法失信主体、政府采购严重违法失信行为记录名单中的供应商参加本项目的采购活动。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778"/>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（1）政府采购促进中小企业发展</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（2）政府采购支持监狱企业发展</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（3）政府采购促进残疾人就业</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（4）政府采购鼓励采购节能环保产品</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w:t>
      </w:r>
      <w:r>
        <w:rPr>
          <w:rFonts w:hint="eastAsia"/>
          <w:color w:val="auto"/>
          <w:sz w:val="24"/>
          <w:szCs w:val="24"/>
          <w:highlight w:val="none"/>
          <w:lang w:val="en-US"/>
        </w:rPr>
        <w:t xml:space="preserve">不接受</w:t>
      </w:r>
      <w:r>
        <w:rPr>
          <w:color w:val="auto"/>
          <w:sz w:val="24"/>
          <w:szCs w:val="24"/>
          <w:highlight w:val="none"/>
          <w:lang w:val="en-US"/>
        </w:rPr>
        <w:t xml:space="preserve">。</w:t>
      </w:r>
      <w:r/>
    </w:p>
    <w:p>
      <w:pPr>
        <w:pStyle w:val="778"/>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制造业</w:t>
      </w:r>
      <w:r>
        <w:rPr>
          <w:color w:val="auto"/>
          <w:sz w:val="24"/>
          <w:szCs w:val="24"/>
          <w:highlight w:val="none"/>
          <w:lang w:val="en-US"/>
        </w:rPr>
        <w:t xml:space="preserve">。</w:t>
      </w:r>
      <w:bookmarkEnd w:id="7"/>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江苏省广播电视局</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江苏省南京市秦淮区中山东路132号</w:t>
      </w:r>
      <w:r/>
    </w:p>
    <w:p>
      <w:pPr>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联系人：</w:t>
      </w:r>
      <w:r>
        <w:rPr>
          <w:rFonts w:hint="eastAsia"/>
          <w:color w:val="auto"/>
          <w:sz w:val="24"/>
          <w:szCs w:val="24"/>
          <w:highlight w:val="none"/>
          <w:u w:val="single"/>
          <w:lang w:val="en-US"/>
        </w:rPr>
        <w:t xml:space="preserve">孙伯明</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025-84752231</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w:t>
      </w:r>
      <w:r/>
    </w:p>
    <w:p>
      <w:pPr>
        <w:ind w:firstLine="480"/>
        <w:spacing w:line="360" w:lineRule="auto"/>
        <w:tabs>
          <w:tab w:val="left" w:pos="1617" w:leader="none"/>
          <w:tab w:val="left" w:pos="2457" w:leader="none"/>
          <w:tab w:val="left" w:pos="7076" w:leader="none"/>
        </w:tabs>
        <w:rPr>
          <w:color w:val="auto"/>
          <w:highlight w:val="non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color w:val="auto"/>
          <w:sz w:val="36"/>
          <w:highlight w:val="none"/>
        </w:rPr>
        <w:outlineLvl w:val="0"/>
      </w:pPr>
      <w:r/>
      <w:bookmarkStart w:id="8" w:name="一、项目基本情况"/>
      <w:r/>
      <w:bookmarkEnd w:id="8"/>
      <w:r/>
      <w:bookmarkStart w:id="9" w:name="_Toc15993"/>
      <w:r>
        <w:rPr>
          <w:rFonts w:hint="eastAsia" w:ascii="黑体" w:eastAsia="黑体"/>
          <w:color w:val="auto"/>
          <w:sz w:val="36"/>
          <w:highlight w:val="none"/>
        </w:rPr>
        <w:t xml:space="preserve">第二章供应商须知</w:t>
      </w:r>
      <w:bookmarkEnd w:id="9"/>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778"/>
        <w:ind w:firstLine="420"/>
        <w:spacing w:line="360" w:lineRule="auto"/>
        <w:rPr>
          <w:color w:val="auto"/>
          <w:highlight w:val="none"/>
        </w:rPr>
      </w:pPr>
      <w:r/>
      <w:bookmarkStart w:id="10" w:name="1、适用法律"/>
      <w:r/>
      <w:bookmarkEnd w:id="10"/>
      <w:r>
        <w:rPr>
          <w:rFonts w:hint="eastAsia"/>
          <w:color w:val="auto"/>
          <w:highlight w:val="none"/>
        </w:rPr>
        <w:t xml:space="preserve">1、适用法律</w:t>
      </w:r>
      <w:r/>
    </w:p>
    <w:p>
      <w:pPr>
        <w:pStyle w:val="778"/>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1" w:name="2、定义"/>
      <w:r/>
      <w:bookmarkEnd w:id="11"/>
      <w:r>
        <w:rPr>
          <w:rFonts w:hint="eastAsia"/>
          <w:b/>
          <w:color w:val="auto"/>
          <w:sz w:val="21"/>
          <w:szCs w:val="21"/>
          <w:highlight w:val="none"/>
        </w:rPr>
        <w:t xml:space="preserve">2、定义</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2.1</w:t>
      </w: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2.2</w:t>
      </w: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86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2.3</w:t>
      </w:r>
      <w:r>
        <w:rPr>
          <w:rFonts w:hint="eastAsia"/>
          <w:color w:val="auto"/>
          <w:sz w:val="21"/>
          <w:szCs w:val="21"/>
          <w:highlight w:val="none"/>
        </w:rPr>
        <w:t xml:space="preserve">“用户或使用单位”是指使用服务的单位。 </w:t>
      </w:r>
      <w:r/>
    </w:p>
    <w:p>
      <w:pPr>
        <w:pStyle w:val="86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3.1</w:t>
      </w:r>
      <w:r>
        <w:rPr>
          <w:rFonts w:hint="eastAsia"/>
          <w:color w:val="auto"/>
          <w:sz w:val="21"/>
          <w:szCs w:val="21"/>
          <w:highlight w:val="none"/>
          <w:lang w:val="en-US"/>
        </w:rPr>
        <w:t xml:space="preserve"> </w:t>
      </w: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3.2</w:t>
      </w:r>
      <w:r>
        <w:rPr>
          <w:rFonts w:hint="eastAsia"/>
          <w:color w:val="auto"/>
          <w:sz w:val="21"/>
          <w:szCs w:val="21"/>
          <w:highlight w:val="none"/>
          <w:lang w:val="en-US"/>
        </w:rPr>
        <w:t xml:space="preserve"> </w:t>
      </w: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3.3</w:t>
      </w:r>
      <w:r>
        <w:rPr>
          <w:rFonts w:hint="eastAsia"/>
          <w:color w:val="auto"/>
          <w:sz w:val="21"/>
          <w:szCs w:val="21"/>
          <w:highlight w:val="none"/>
          <w:lang w:val="en-US"/>
        </w:rPr>
        <w:t xml:space="preserve"> </w:t>
      </w: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3.4</w:t>
      </w:r>
      <w:r>
        <w:rPr>
          <w:rFonts w:hint="eastAsia"/>
          <w:color w:val="auto"/>
          <w:sz w:val="21"/>
          <w:szCs w:val="21"/>
          <w:highlight w:val="none"/>
          <w:lang w:val="en-US"/>
        </w:rPr>
        <w:t xml:space="preserve"> </w:t>
      </w: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3.5</w:t>
      </w:r>
      <w:r>
        <w:rPr>
          <w:rFonts w:hint="eastAsia"/>
          <w:color w:val="auto"/>
          <w:sz w:val="21"/>
          <w:szCs w:val="21"/>
          <w:highlight w:val="none"/>
          <w:lang w:val="en-US"/>
        </w:rPr>
        <w:t xml:space="preserve"> </w:t>
      </w: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3.6</w:t>
      </w:r>
      <w:r>
        <w:rPr>
          <w:rFonts w:hint="eastAsia"/>
          <w:color w:val="auto"/>
          <w:sz w:val="21"/>
          <w:szCs w:val="21"/>
          <w:highlight w:val="none"/>
          <w:lang w:val="en-US"/>
        </w:rPr>
        <w:t xml:space="preserve"> </w:t>
      </w: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866"/>
        <w:numPr>
          <w:ilvl w:val="1"/>
          <w:numId w:val="0"/>
        </w:numPr>
        <w:ind w:firstLine="420"/>
        <w:spacing w:line="360" w:lineRule="auto"/>
        <w:tabs>
          <w:tab w:val="left" w:pos="1114" w:leader="none"/>
        </w:tabs>
        <w:rPr>
          <w:color w:val="auto"/>
          <w:sz w:val="21"/>
          <w:szCs w:val="21"/>
          <w:highlight w:val="none"/>
        </w:rPr>
      </w:pPr>
      <w:r>
        <w:rPr>
          <w:color w:val="auto"/>
          <w:sz w:val="21"/>
          <w:szCs w:val="21"/>
          <w:highlight w:val="none"/>
        </w:rPr>
        <w:t xml:space="preserve">3.7</w:t>
      </w:r>
      <w:r>
        <w:rPr>
          <w:rFonts w:hint="eastAsia"/>
          <w:color w:val="auto"/>
          <w:sz w:val="21"/>
          <w:szCs w:val="21"/>
          <w:highlight w:val="none"/>
          <w:lang w:val="en-US"/>
        </w:rPr>
        <w:t xml:space="preserve"> </w:t>
      </w: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w:t>
      </w:r>
      <w:r>
        <w:rPr>
          <w:rFonts w:hint="eastAsia"/>
          <w:color w:val="auto"/>
          <w:sz w:val="21"/>
          <w:szCs w:val="21"/>
          <w:highlight w:val="none"/>
          <w:lang w:val="en-US"/>
        </w:rPr>
        <w:t xml:space="preserve"> </w:t>
      </w:r>
      <w:r>
        <w:rPr>
          <w:color w:val="auto"/>
          <w:sz w:val="21"/>
          <w:szCs w:val="21"/>
          <w:highlight w:val="none"/>
        </w:rPr>
        <w:t xml:space="preserve">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4.1</w:t>
      </w: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4.2</w:t>
      </w: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4.3</w:t>
      </w: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2" w:name="5、招标文件的澄清、修改"/>
      <w:r/>
      <w:bookmarkEnd w:id="12"/>
      <w:r>
        <w:rPr>
          <w:rFonts w:hint="eastAsia"/>
          <w:b/>
          <w:color w:val="auto"/>
          <w:sz w:val="21"/>
          <w:szCs w:val="21"/>
          <w:highlight w:val="none"/>
        </w:rPr>
        <w:t xml:space="preserve">5、招标文件的澄清、修改</w:t>
      </w:r>
      <w:r/>
    </w:p>
    <w:p>
      <w:pPr>
        <w:pStyle w:val="866"/>
        <w:numPr>
          <w:ilvl w:val="1"/>
          <w:numId w:val="0"/>
        </w:numPr>
        <w:ind w:firstLine="420"/>
        <w:spacing w:line="360" w:lineRule="auto"/>
        <w:tabs>
          <w:tab w:val="left" w:pos="956" w:leader="none"/>
        </w:tabs>
        <w:rPr>
          <w:color w:val="auto"/>
          <w:sz w:val="21"/>
          <w:szCs w:val="21"/>
          <w:highlight w:val="none"/>
        </w:rPr>
      </w:pPr>
      <w:r>
        <w:rPr>
          <w:color w:val="auto"/>
          <w:spacing w:val="-2"/>
          <w:sz w:val="19"/>
          <w:szCs w:val="19"/>
          <w:highlight w:val="none"/>
        </w:rPr>
        <w:t xml:space="preserve">5.1</w:t>
      </w: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866"/>
        <w:numPr>
          <w:ilvl w:val="1"/>
          <w:numId w:val="0"/>
        </w:numPr>
        <w:ind w:firstLine="420"/>
        <w:spacing w:line="360" w:lineRule="auto"/>
        <w:tabs>
          <w:tab w:val="left" w:pos="1059" w:leader="none"/>
        </w:tabs>
        <w:rPr>
          <w:color w:val="auto"/>
          <w:sz w:val="21"/>
          <w:szCs w:val="21"/>
          <w:highlight w:val="none"/>
        </w:rPr>
      </w:pPr>
      <w:r>
        <w:rPr>
          <w:color w:val="auto"/>
          <w:spacing w:val="-2"/>
          <w:sz w:val="19"/>
          <w:szCs w:val="19"/>
          <w:highlight w:val="none"/>
        </w:rPr>
        <w:t xml:space="preserve">5.2</w:t>
      </w: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866"/>
        <w:numPr>
          <w:ilvl w:val="1"/>
          <w:numId w:val="0"/>
        </w:numPr>
        <w:ind w:firstLine="420"/>
        <w:spacing w:line="360" w:lineRule="auto"/>
        <w:tabs>
          <w:tab w:val="left" w:pos="1059" w:leader="none"/>
        </w:tabs>
        <w:rPr>
          <w:b/>
          <w:color w:val="auto"/>
          <w:sz w:val="21"/>
          <w:szCs w:val="21"/>
          <w:highlight w:val="none"/>
        </w:rPr>
      </w:pPr>
      <w:r>
        <w:rPr>
          <w:color w:val="auto"/>
          <w:spacing w:val="-2"/>
          <w:sz w:val="19"/>
          <w:szCs w:val="19"/>
          <w:highlight w:val="none"/>
        </w:rPr>
        <w:t xml:space="preserve">5.3</w:t>
      </w:r>
      <w:r>
        <w:rPr>
          <w:rFonts w:hint="eastAsia"/>
          <w:color w:val="auto"/>
          <w:sz w:val="21"/>
          <w:szCs w:val="21"/>
          <w:highlight w:val="none"/>
        </w:rPr>
        <w:t xml:space="preserve">供应商应在投标截止时间前关注原采购信息发布媒体上有关本招标项目有无变更公告。  </w:t>
      </w:r>
      <w:bookmarkStart w:id="13" w:name="三、投标"/>
      <w:r/>
      <w:bookmarkEnd w:id="13"/>
      <w:r/>
      <w:r/>
    </w:p>
    <w:p>
      <w:pPr>
        <w:pStyle w:val="86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86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866"/>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4" w:name="8、投标费用"/>
      <w:r/>
      <w:bookmarkEnd w:id="14"/>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招标代理服务费：本次采购，中标供应商按中标金额*0.42%计取（不足4000元按照4000元）向招标代理机构支付招标服务费。该项费用请供应商综合考虑在投标报价中，后期招标人不单独列支，必须在领取中标通知书前向招标代理机构支付招标服务费。</w:t>
      </w:r>
      <w:r>
        <w:rPr>
          <w:bCs/>
          <w:color w:val="auto"/>
          <w:sz w:val="21"/>
          <w:szCs w:val="21"/>
          <w:highlight w:val="none"/>
          <w:lang w:val="en-US"/>
        </w:rPr>
        <w:t xml:space="preserve">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866"/>
        <w:numPr>
          <w:ilvl w:val="1"/>
          <w:numId w:val="0"/>
        </w:numPr>
        <w:ind w:firstLine="420"/>
        <w:spacing w:line="360" w:lineRule="auto"/>
        <w:tabs>
          <w:tab w:val="left" w:pos="1006" w:leader="none"/>
        </w:tabs>
        <w:rPr>
          <w:color w:val="auto"/>
          <w:sz w:val="21"/>
          <w:szCs w:val="21"/>
          <w:highlight w:val="none"/>
        </w:rPr>
      </w:pPr>
      <w:r>
        <w:rPr>
          <w:color w:val="auto"/>
          <w:sz w:val="21"/>
          <w:szCs w:val="21"/>
          <w:highlight w:val="none"/>
        </w:rPr>
        <w:t xml:space="preserve">9.1</w:t>
      </w: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66"/>
        <w:numPr>
          <w:ilvl w:val="1"/>
          <w:numId w:val="0"/>
        </w:numPr>
        <w:ind w:firstLine="420"/>
        <w:spacing w:line="360" w:lineRule="auto"/>
        <w:tabs>
          <w:tab w:val="left" w:pos="1049" w:leader="none"/>
        </w:tabs>
        <w:rPr>
          <w:color w:val="auto"/>
          <w:sz w:val="21"/>
          <w:szCs w:val="21"/>
          <w:highlight w:val="none"/>
        </w:rPr>
      </w:pPr>
      <w:r>
        <w:rPr>
          <w:color w:val="auto"/>
          <w:sz w:val="21"/>
          <w:szCs w:val="21"/>
          <w:highlight w:val="none"/>
        </w:rPr>
        <w:t xml:space="preserve">9.2</w:t>
      </w: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866"/>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9.3</w:t>
      </w:r>
      <w:r>
        <w:rPr>
          <w:rFonts w:hint="eastAsia"/>
          <w:color w:val="auto"/>
          <w:sz w:val="21"/>
          <w:szCs w:val="21"/>
          <w:highlight w:val="none"/>
        </w:rPr>
        <w:t xml:space="preserve">投标文件由商务部分、技术部分、价格部分，以及其他部分组成。 </w:t>
      </w:r>
      <w:r/>
    </w:p>
    <w:p>
      <w:pPr>
        <w:pStyle w:val="866"/>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778"/>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b/>
          <w:color w:val="auto"/>
          <w:highlight w:val="none"/>
        </w:rPr>
        <w:t xml:space="preserve">★</w:t>
      </w:r>
      <w:r>
        <w:rPr>
          <w:rFonts w:hint="eastAsia"/>
          <w:color w:val="auto"/>
          <w:highlight w:val="none"/>
        </w:rPr>
        <w:t xml:space="preserve">”项目不得有缺失或无效。</w:t>
      </w:r>
      <w:r/>
    </w:p>
    <w:p>
      <w:pPr>
        <w:pStyle w:val="86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投标申请及声明；</w:t>
      </w:r>
      <w:r/>
    </w:p>
    <w:p>
      <w:pPr>
        <w:pStyle w:val="866"/>
        <w:numPr>
          <w:ilvl w:val="0"/>
          <w:numId w:val="1"/>
        </w:numPr>
        <w:ind w:firstLine="442"/>
        <w:spacing w:line="360" w:lineRule="auto"/>
        <w:tabs>
          <w:tab w:val="left" w:pos="1164" w:leader="none"/>
        </w:tabs>
        <w:rPr>
          <w:color w:val="auto"/>
          <w:sz w:val="21"/>
          <w:szCs w:val="21"/>
          <w:highlight w:val="none"/>
        </w:rPr>
      </w:pPr>
      <w:r>
        <w:rPr>
          <w:rFonts w:hint="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866"/>
        <w:numPr>
          <w:ilvl w:val="0"/>
          <w:numId w:val="1"/>
        </w:numPr>
        <w:ind w:firstLine="442"/>
        <w:spacing w:line="360" w:lineRule="auto"/>
        <w:tabs>
          <w:tab w:val="left" w:pos="1169" w:leader="none"/>
        </w:tabs>
        <w:rPr>
          <w:color w:val="auto"/>
          <w:sz w:val="21"/>
          <w:szCs w:val="21"/>
          <w:highlight w:val="none"/>
        </w:rPr>
      </w:pPr>
      <w:r>
        <w:rPr>
          <w:rFonts w:hint="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866"/>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b/>
          <w:color w:val="auto"/>
          <w:szCs w:val="21"/>
          <w:highlight w:val="none"/>
        </w:rPr>
        <w:t xml:space="preserve">★</w:t>
      </w:r>
      <w:r>
        <w:rPr>
          <w:rFonts w:hint="eastAsia"/>
          <w:color w:val="auto"/>
          <w:sz w:val="21"/>
          <w:szCs w:val="21"/>
          <w:highlight w:val="none"/>
        </w:rPr>
        <w:t xml:space="preserve">《商务条款偏离表》；</w:t>
      </w:r>
      <w:r/>
    </w:p>
    <w:p>
      <w:pPr>
        <w:pStyle w:val="866"/>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86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86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11.1</w:t>
      </w: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86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11.2</w:t>
      </w:r>
      <w:r>
        <w:rPr>
          <w:rFonts w:hint="eastAsia"/>
          <w:color w:val="auto"/>
          <w:sz w:val="21"/>
          <w:szCs w:val="21"/>
          <w:highlight w:val="none"/>
        </w:rPr>
        <w:t xml:space="preserve">若技术性能无特殊说明，则按国家有关部门最新颁布的标准及规范为准；</w:t>
      </w:r>
      <w:r/>
    </w:p>
    <w:p>
      <w:pPr>
        <w:pStyle w:val="866"/>
        <w:numPr>
          <w:ilvl w:val="1"/>
          <w:numId w:val="0"/>
        </w:numPr>
        <w:ind w:firstLine="420"/>
        <w:spacing w:line="360" w:lineRule="auto"/>
        <w:tabs>
          <w:tab w:val="left" w:pos="1164" w:leader="none"/>
        </w:tabs>
        <w:rPr>
          <w:color w:val="auto"/>
          <w:sz w:val="21"/>
          <w:szCs w:val="21"/>
          <w:highlight w:val="none"/>
        </w:rPr>
      </w:pPr>
      <w:r>
        <w:rPr>
          <w:color w:val="auto"/>
          <w:spacing w:val="-2"/>
          <w:sz w:val="21"/>
          <w:szCs w:val="21"/>
          <w:highlight w:val="none"/>
        </w:rPr>
        <w:t xml:space="preserve">11.3</w:t>
      </w:r>
      <w:r>
        <w:rPr>
          <w:rFonts w:hint="eastAsia"/>
          <w:color w:val="auto"/>
          <w:sz w:val="21"/>
          <w:szCs w:val="21"/>
          <w:highlight w:val="none"/>
        </w:rPr>
        <w:t xml:space="preserve">提供的服务如与招标文件要求有不符之处，应说明其差别之所在，并在《技术条款偏离表》中逐条予以说明。</w:t>
      </w:r>
      <w:r/>
    </w:p>
    <w:p>
      <w:pPr>
        <w:pStyle w:val="866"/>
        <w:numPr>
          <w:ilvl w:val="1"/>
          <w:numId w:val="0"/>
        </w:numPr>
        <w:ind w:firstLine="420"/>
        <w:spacing w:line="360" w:lineRule="auto"/>
        <w:tabs>
          <w:tab w:val="left" w:pos="1164" w:leader="none"/>
        </w:tabs>
        <w:rPr>
          <w:b/>
          <w:color w:val="auto"/>
          <w:sz w:val="21"/>
          <w:szCs w:val="21"/>
          <w:highlight w:val="none"/>
        </w:rPr>
      </w:pPr>
      <w:r>
        <w:rPr>
          <w:b/>
          <w:color w:val="auto"/>
          <w:spacing w:val="-2"/>
          <w:sz w:val="21"/>
          <w:szCs w:val="21"/>
          <w:highlight w:val="none"/>
        </w:rPr>
        <w:t xml:space="preserve">11.4</w:t>
      </w: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b/>
          <w:color w:val="auto"/>
          <w:szCs w:val="21"/>
          <w:highlight w:val="none"/>
        </w:rPr>
        <w:t xml:space="preserve">★</w:t>
      </w:r>
      <w:r>
        <w:rPr>
          <w:rFonts w:hint="eastAsia"/>
          <w:b/>
          <w:color w:val="auto"/>
          <w:sz w:val="21"/>
          <w:szCs w:val="21"/>
          <w:highlight w:val="none"/>
        </w:rPr>
        <w:t xml:space="preserve">项目不得有缺失或无效：</w:t>
      </w:r>
      <w:r/>
    </w:p>
    <w:p>
      <w:pPr>
        <w:pStyle w:val="866"/>
        <w:ind w:left="0"/>
        <w:spacing w:line="360" w:lineRule="auto"/>
        <w:tabs>
          <w:tab w:val="left" w:pos="1164" w:leader="none"/>
        </w:tabs>
        <w:rPr>
          <w:bCs/>
          <w:color w:val="auto"/>
          <w:sz w:val="21"/>
          <w:szCs w:val="21"/>
          <w:highlight w:val="none"/>
        </w:rPr>
      </w:pPr>
      <w:r>
        <w:rPr>
          <w:color w:val="auto"/>
          <w:spacing w:val="-1"/>
          <w:sz w:val="19"/>
          <w:szCs w:val="19"/>
          <w:highlight w:val="none"/>
        </w:rPr>
        <w:t xml:space="preserve">（1）</w:t>
      </w:r>
      <w:r>
        <w:rPr>
          <w:rFonts w:hint="eastAsia"/>
          <w:bCs/>
          <w:color w:val="auto"/>
          <w:sz w:val="21"/>
          <w:szCs w:val="21"/>
          <w:highlight w:val="none"/>
        </w:rPr>
        <w:t xml:space="preserve">拟投入本项目人员配备表；</w:t>
      </w:r>
      <w:r/>
    </w:p>
    <w:p>
      <w:pPr>
        <w:pStyle w:val="866"/>
        <w:ind w:left="0"/>
        <w:spacing w:line="360" w:lineRule="auto"/>
        <w:tabs>
          <w:tab w:val="left" w:pos="1163" w:leader="none"/>
        </w:tabs>
        <w:rPr>
          <w:color w:val="auto"/>
          <w:sz w:val="21"/>
          <w:szCs w:val="21"/>
          <w:highlight w:val="none"/>
        </w:rPr>
      </w:pPr>
      <w:r>
        <w:rPr>
          <w:color w:val="auto"/>
          <w:spacing w:val="-1"/>
          <w:sz w:val="19"/>
          <w:szCs w:val="19"/>
          <w:highlight w:val="none"/>
        </w:rPr>
        <w:t xml:space="preserve">（2）</w:t>
      </w:r>
      <w:r>
        <w:rPr>
          <w:rFonts w:hint="eastAsia"/>
          <w:color w:val="auto"/>
          <w:sz w:val="21"/>
          <w:szCs w:val="21"/>
          <w:highlight w:val="none"/>
        </w:rPr>
        <w:t xml:space="preserve">项目实施方案；</w:t>
      </w:r>
      <w:r/>
    </w:p>
    <w:p>
      <w:pPr>
        <w:pStyle w:val="866"/>
        <w:ind w:left="0"/>
        <w:spacing w:line="360" w:lineRule="auto"/>
        <w:tabs>
          <w:tab w:val="left" w:pos="1164" w:leader="none"/>
        </w:tabs>
        <w:rPr>
          <w:color w:val="auto"/>
          <w:sz w:val="21"/>
          <w:szCs w:val="21"/>
          <w:highlight w:val="none"/>
        </w:rPr>
      </w:pPr>
      <w:r>
        <w:rPr>
          <w:color w:val="auto"/>
          <w:spacing w:val="-1"/>
          <w:sz w:val="19"/>
          <w:szCs w:val="19"/>
          <w:highlight w:val="none"/>
        </w:rPr>
        <w:t xml:space="preserve">（3）</w:t>
      </w:r>
      <w:r>
        <w:rPr>
          <w:rFonts w:hint="eastAsia"/>
          <w:color w:val="auto"/>
          <w:sz w:val="21"/>
          <w:szCs w:val="21"/>
          <w:highlight w:val="none"/>
        </w:rPr>
        <w:t xml:space="preserve">服务承诺；</w:t>
      </w:r>
      <w:r/>
    </w:p>
    <w:p>
      <w:pPr>
        <w:pStyle w:val="866"/>
        <w:ind w:left="0" w:firstLine="442"/>
        <w:spacing w:line="360" w:lineRule="auto"/>
        <w:tabs>
          <w:tab w:val="left" w:pos="1163" w:leader="none"/>
        </w:tabs>
        <w:rPr>
          <w:color w:val="auto"/>
          <w:sz w:val="21"/>
          <w:szCs w:val="21"/>
          <w:highlight w:val="none"/>
        </w:rPr>
      </w:pPr>
      <w:r>
        <w:rPr>
          <w:color w:val="auto"/>
          <w:spacing w:val="-1"/>
          <w:sz w:val="19"/>
          <w:szCs w:val="19"/>
          <w:highlight w:val="none"/>
        </w:rPr>
        <w:t xml:space="preserve">（4）</w:t>
      </w:r>
      <w:r>
        <w:rPr>
          <w:rFonts w:hint="eastAsia"/>
          <w:b/>
          <w:color w:val="auto"/>
          <w:szCs w:val="21"/>
          <w:highlight w:val="none"/>
        </w:rPr>
        <w:t xml:space="preserve">★</w:t>
      </w:r>
      <w:r>
        <w:rPr>
          <w:rFonts w:hint="eastAsia"/>
          <w:color w:val="auto"/>
          <w:sz w:val="21"/>
          <w:szCs w:val="21"/>
          <w:highlight w:val="none"/>
        </w:rPr>
        <w:t xml:space="preserve">《技术条款偏离表》；</w:t>
      </w:r>
      <w:r/>
    </w:p>
    <w:p>
      <w:pPr>
        <w:pStyle w:val="866"/>
        <w:ind w:left="0"/>
        <w:spacing w:line="360" w:lineRule="auto"/>
        <w:tabs>
          <w:tab w:val="left" w:pos="1163" w:leader="none"/>
        </w:tabs>
        <w:rPr>
          <w:b/>
          <w:color w:val="auto"/>
          <w:sz w:val="21"/>
          <w:szCs w:val="21"/>
          <w:highlight w:val="none"/>
        </w:rPr>
      </w:pPr>
      <w:r>
        <w:rPr>
          <w:color w:val="auto"/>
          <w:spacing w:val="-1"/>
          <w:sz w:val="19"/>
          <w:szCs w:val="19"/>
          <w:highlight w:val="none"/>
        </w:rPr>
        <w:t xml:space="preserve">（5）</w:t>
      </w:r>
      <w:r>
        <w:rPr>
          <w:rFonts w:hint="eastAsia"/>
          <w:color w:val="auto"/>
          <w:sz w:val="21"/>
          <w:szCs w:val="21"/>
          <w:highlight w:val="none"/>
        </w:rPr>
        <w:t xml:space="preserve">供应商认为需要提供的其他技术资料。</w:t>
      </w:r>
      <w:r/>
    </w:p>
    <w:p>
      <w:pPr>
        <w:pStyle w:val="866"/>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86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86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6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86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866"/>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778"/>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778"/>
        <w:ind w:firstLine="422"/>
        <w:spacing w:line="360" w:lineRule="auto"/>
        <w:rPr>
          <w:b/>
          <w:color w:val="auto"/>
          <w:highlight w:val="none"/>
        </w:rPr>
      </w:pPr>
      <w:r>
        <w:rPr>
          <w:rFonts w:hint="eastAsia"/>
          <w:b/>
          <w:color w:val="auto"/>
          <w:highlight w:val="none"/>
        </w:rPr>
        <w:t xml:space="preserve">14、投标有效期</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14.1</w:t>
      </w: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14.2</w:t>
      </w: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15.1</w:t>
      </w: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86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866"/>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5" w:name="四、开标、评标与确定中标供应商"/>
      <w:r/>
      <w:bookmarkEnd w:id="15"/>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86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86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866"/>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866"/>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866"/>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866"/>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866"/>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866"/>
        <w:ind w:left="0"/>
        <w:spacing w:line="360" w:lineRule="auto"/>
        <w:tabs>
          <w:tab w:val="left" w:pos="1163" w:leader="none"/>
        </w:tabs>
        <w:rPr>
          <w:color w:val="auto"/>
          <w:sz w:val="21"/>
          <w:szCs w:val="21"/>
          <w:highlight w:val="none"/>
        </w:rPr>
      </w:pPr>
      <w:r/>
      <w:bookmarkStart w:id="16" w:name="20.2.1.1采购人代表将依法对投标人的资格进行审查。"/>
      <w:r/>
      <w:bookmarkEnd w:id="16"/>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86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866"/>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866"/>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866"/>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866"/>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66"/>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866"/>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866"/>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866"/>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866"/>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866"/>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866"/>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86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6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6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86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866"/>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866"/>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86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866"/>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866"/>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w:t>
      </w:r>
      <w:r>
        <w:rPr>
          <w:rFonts w:hint="eastAsia"/>
          <w:color w:val="auto"/>
          <w:sz w:val="21"/>
          <w:szCs w:val="21"/>
          <w:highlight w:val="none"/>
          <w:lang w:val="en-US"/>
        </w:rPr>
        <w:t xml:space="preserve">2</w:t>
      </w:r>
      <w:r>
        <w:rPr>
          <w:color w:val="auto"/>
          <w:sz w:val="21"/>
          <w:szCs w:val="21"/>
          <w:highlight w:val="none"/>
        </w:rPr>
        <w:t xml:space="preserve">）种方式确定中标供应商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866"/>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866"/>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23.1</w:t>
      </w:r>
      <w:r>
        <w:rPr>
          <w:rFonts w:hint="eastAsia"/>
          <w:color w:val="auto"/>
          <w:sz w:val="21"/>
          <w:szCs w:val="21"/>
          <w:highlight w:val="none"/>
        </w:rPr>
        <w:t xml:space="preserve">招标代理将采取必要措施，保证评标在严格保密的情况下进行。</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23.2</w:t>
      </w:r>
      <w:r>
        <w:rPr>
          <w:rFonts w:hint="eastAsia"/>
          <w:color w:val="auto"/>
          <w:sz w:val="21"/>
          <w:szCs w:val="21"/>
          <w:highlight w:val="none"/>
        </w:rPr>
        <w:t xml:space="preserve">任何单位和个人不得非法干预、影响评标办法的确定，以及评标过程和结果。</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23.3</w:t>
      </w: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7" w:name="五、签订合同"/>
      <w:r/>
      <w:bookmarkEnd w:id="17"/>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24.1</w:t>
      </w: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24.2</w:t>
      </w: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866"/>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24.3</w:t>
      </w: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24.4</w:t>
      </w: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8" w:name="六、询问、质疑、投诉和诚实信用"/>
      <w:r/>
      <w:bookmarkEnd w:id="18"/>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778"/>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26.1</w:t>
      </w: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866"/>
        <w:numPr>
          <w:ilvl w:val="1"/>
          <w:numId w:val="0"/>
        </w:numPr>
        <w:ind w:firstLine="420"/>
        <w:spacing w:line="360" w:lineRule="auto"/>
        <w:tabs>
          <w:tab w:val="left" w:pos="1155" w:leader="none"/>
        </w:tabs>
        <w:rPr>
          <w:color w:val="auto"/>
          <w:sz w:val="21"/>
          <w:szCs w:val="21"/>
          <w:highlight w:val="none"/>
        </w:rPr>
      </w:pPr>
      <w:r>
        <w:rPr>
          <w:color w:val="auto"/>
          <w:sz w:val="21"/>
          <w:szCs w:val="21"/>
          <w:highlight w:val="none"/>
        </w:rPr>
        <w:t xml:space="preserve">26.2</w:t>
      </w: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26.3</w:t>
      </w: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866"/>
        <w:numPr>
          <w:ilvl w:val="1"/>
          <w:numId w:val="0"/>
        </w:numPr>
        <w:ind w:firstLine="420"/>
        <w:spacing w:line="360" w:lineRule="auto"/>
        <w:tabs>
          <w:tab w:val="left" w:pos="1109" w:leader="none"/>
        </w:tabs>
        <w:rPr>
          <w:color w:val="auto"/>
          <w:sz w:val="21"/>
          <w:szCs w:val="21"/>
          <w:highlight w:val="none"/>
        </w:rPr>
      </w:pPr>
      <w:r>
        <w:rPr>
          <w:color w:val="auto"/>
          <w:sz w:val="21"/>
          <w:szCs w:val="21"/>
          <w:highlight w:val="none"/>
        </w:rPr>
        <w:t xml:space="preserve">26.4</w:t>
      </w:r>
      <w:r>
        <w:rPr>
          <w:rFonts w:hint="eastAsia"/>
          <w:color w:val="auto"/>
          <w:sz w:val="21"/>
          <w:szCs w:val="21"/>
          <w:highlight w:val="none"/>
        </w:rPr>
        <w:t xml:space="preserve">上述应知其权益受到损害之日是指：</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对招标文件提出质疑的，为投标文件公告期限届满之日起计算；</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对采购过程提出质疑的，自采购程序环节结束之日起计算；</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对中标结果提出质疑的，自中标结果公告期限届满之日起计算。</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26.5</w:t>
      </w: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（1）</w:t>
      </w:r>
      <w:r>
        <w:rPr>
          <w:rFonts w:hint="eastAsia"/>
          <w:color w:val="auto"/>
          <w:sz w:val="21"/>
          <w:szCs w:val="21"/>
          <w:highlight w:val="none"/>
        </w:rPr>
        <w:t xml:space="preserve">质疑项目名称、项目编号、包号、招标公告发布时间、开标时间；</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（2）</w:t>
      </w:r>
      <w:r>
        <w:rPr>
          <w:rFonts w:hint="eastAsia"/>
          <w:color w:val="auto"/>
          <w:sz w:val="21"/>
          <w:szCs w:val="21"/>
          <w:highlight w:val="none"/>
        </w:rPr>
        <w:t xml:space="preserve">提起质疑的日期、具体的质疑事项及事实根据（具体条款）；</w:t>
      </w:r>
      <w:r/>
    </w:p>
    <w:p>
      <w:pPr>
        <w:pStyle w:val="866"/>
        <w:ind w:left="0"/>
        <w:spacing w:line="360" w:lineRule="auto"/>
        <w:tabs>
          <w:tab w:val="left" w:pos="1167" w:leader="none"/>
        </w:tabs>
        <w:rPr>
          <w:color w:val="auto"/>
          <w:sz w:val="21"/>
          <w:szCs w:val="21"/>
          <w:highlight w:val="none"/>
        </w:rPr>
      </w:pPr>
      <w:r>
        <w:rPr>
          <w:color w:val="auto"/>
          <w:sz w:val="19"/>
          <w:szCs w:val="19"/>
          <w:highlight w:val="none"/>
        </w:rPr>
        <w:t xml:space="preserve">（3）</w:t>
      </w: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66"/>
        <w:ind w:left="0"/>
        <w:spacing w:line="360" w:lineRule="auto"/>
        <w:tabs>
          <w:tab w:val="left" w:pos="1163" w:leader="none"/>
        </w:tabs>
        <w:rPr>
          <w:color w:val="auto"/>
          <w:sz w:val="21"/>
          <w:szCs w:val="21"/>
          <w:highlight w:val="none"/>
        </w:rPr>
      </w:pPr>
      <w:r>
        <w:rPr>
          <w:color w:val="auto"/>
          <w:sz w:val="19"/>
          <w:szCs w:val="19"/>
          <w:highlight w:val="none"/>
        </w:rPr>
        <w:t xml:space="preserve">（4）</w:t>
      </w:r>
      <w:r>
        <w:rPr>
          <w:rFonts w:hint="eastAsia"/>
          <w:color w:val="auto"/>
          <w:sz w:val="21"/>
          <w:szCs w:val="21"/>
          <w:highlight w:val="none"/>
        </w:rPr>
        <w:t xml:space="preserve">质疑供应商名称、地址、邮编、联系人、联系电话（包括座机、手机、传真号码等）；</w:t>
      </w:r>
      <w:r/>
    </w:p>
    <w:p>
      <w:pPr>
        <w:pStyle w:val="866"/>
        <w:ind w:left="0"/>
        <w:spacing w:line="360" w:lineRule="auto"/>
        <w:tabs>
          <w:tab w:val="left" w:pos="1167" w:leader="none"/>
        </w:tabs>
        <w:rPr>
          <w:color w:val="auto"/>
          <w:sz w:val="21"/>
          <w:szCs w:val="21"/>
          <w:highlight w:val="none"/>
        </w:rPr>
      </w:pPr>
      <w:r>
        <w:rPr>
          <w:color w:val="auto"/>
          <w:sz w:val="19"/>
          <w:szCs w:val="19"/>
          <w:highlight w:val="none"/>
        </w:rPr>
        <w:t xml:space="preserve">（5）</w:t>
      </w: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866"/>
        <w:ind w:left="0"/>
        <w:spacing w:line="360" w:lineRule="auto"/>
        <w:tabs>
          <w:tab w:val="left" w:pos="1167" w:leader="none"/>
        </w:tabs>
        <w:rPr>
          <w:color w:val="auto"/>
          <w:sz w:val="21"/>
          <w:szCs w:val="21"/>
          <w:highlight w:val="none"/>
        </w:rPr>
      </w:pPr>
      <w:r>
        <w:rPr>
          <w:color w:val="auto"/>
          <w:sz w:val="19"/>
          <w:szCs w:val="19"/>
          <w:highlight w:val="none"/>
        </w:rPr>
        <w:t xml:space="preserve">（6）</w:t>
      </w:r>
      <w:r>
        <w:rPr>
          <w:rFonts w:hint="eastAsia"/>
          <w:color w:val="auto"/>
          <w:sz w:val="21"/>
          <w:szCs w:val="21"/>
          <w:highlight w:val="none"/>
        </w:rPr>
        <w:t xml:space="preserve">供应商委托代理质疑的，应当向被质疑人提交授权委托书，并载明委托代理的具体权限和事项。</w:t>
      </w:r>
      <w:r/>
    </w:p>
    <w:p>
      <w:pPr>
        <w:pStyle w:val="866"/>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26.6</w:t>
      </w: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778"/>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86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28.1</w:t>
      </w: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86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28.2</w:t>
      </w: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6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28.3</w:t>
      </w: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66"/>
        <w:numPr>
          <w:ilvl w:val="1"/>
          <w:numId w:val="0"/>
        </w:numPr>
        <w:contextualSpacing/>
        <w:ind w:firstLine="420"/>
        <w:spacing w:line="360" w:lineRule="auto"/>
        <w:tabs>
          <w:tab w:val="left" w:pos="1164" w:leader="none"/>
        </w:tabs>
        <w:rPr>
          <w:color w:val="auto"/>
          <w:sz w:val="21"/>
          <w:szCs w:val="21"/>
          <w:highlight w:val="none"/>
        </w:rPr>
      </w:pPr>
      <w:r>
        <w:rPr>
          <w:color w:val="auto"/>
          <w:sz w:val="21"/>
          <w:szCs w:val="21"/>
          <w:highlight w:val="none"/>
        </w:rPr>
        <w:t xml:space="preserve">28.4</w:t>
      </w:r>
      <w:r>
        <w:rPr>
          <w:rFonts w:hint="eastAsia"/>
          <w:color w:val="auto"/>
          <w:sz w:val="21"/>
          <w:szCs w:val="21"/>
          <w:highlight w:val="none"/>
        </w:rPr>
        <w:t xml:space="preserve">供应商不得虚假承诺，否则，按照提供虚假材料谋取中标成交处理。</w:t>
      </w:r>
      <w:r/>
    </w:p>
    <w:p>
      <w:pPr>
        <w:pStyle w:val="866"/>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19" w:name="_Toc9832"/>
      <w:r>
        <w:rPr>
          <w:rFonts w:hint="eastAsia" w:ascii="黑体" w:eastAsia="黑体"/>
          <w:b/>
          <w:color w:val="auto"/>
          <w:sz w:val="36"/>
          <w:highlight w:val="none"/>
        </w:rPr>
        <w:t xml:space="preserve">第三章 评标标准</w:t>
      </w:r>
      <w:bookmarkEnd w:id="19"/>
      <w:r/>
      <w:r/>
    </w:p>
    <w:p>
      <w:pPr>
        <w:ind w:firstLine="440"/>
        <w:spacing w:line="360" w:lineRule="auto"/>
        <w:rPr>
          <w:color w:val="auto"/>
          <w:highlight w:val="none"/>
        </w:rPr>
      </w:pPr>
      <w:r>
        <w:rPr>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评标委员会推荐中标候选人。</w:t>
      </w:r>
      <w:bookmarkStart w:id="20" w:name="_Toc12644"/>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605"/>
        <w:gridCol w:w="5955"/>
        <w:gridCol w:w="1052"/>
      </w:tblGrid>
      <w:tr>
        <w:trPr/>
        <w:tc>
          <w:tcPr>
            <w:tcW w:w="1020" w:type="dxa"/>
            <w:vAlign w:val="center"/>
            <w:textDirection w:val="lrTb"/>
            <w:noWrap w:val="false"/>
          </w:tcPr>
          <w:p>
            <w:pPr>
              <w:jc w:val="center"/>
              <w:widowControl/>
              <w:rPr>
                <w:color w:val="auto"/>
                <w:highlight w:val="none"/>
              </w:rPr>
            </w:pPr>
            <w:r>
              <w:rPr>
                <w:rFonts w:hint="eastAsia"/>
                <w:b/>
                <w:bCs/>
                <w:color w:val="auto"/>
                <w:highlight w:val="none"/>
              </w:rPr>
              <w:t xml:space="preserve">序号</w:t>
            </w:r>
            <w:r/>
          </w:p>
        </w:tc>
        <w:tc>
          <w:tcPr>
            <w:tcW w:w="1605" w:type="dxa"/>
            <w:vAlign w:val="center"/>
            <w:textDirection w:val="lrTb"/>
            <w:noWrap w:val="false"/>
          </w:tcPr>
          <w:p>
            <w:pPr>
              <w:jc w:val="center"/>
              <w:widowControl/>
              <w:rPr>
                <w:color w:val="auto"/>
                <w:highlight w:val="none"/>
              </w:rPr>
            </w:pPr>
            <w:r>
              <w:rPr>
                <w:rFonts w:hint="eastAsia"/>
                <w:b/>
                <w:bCs/>
                <w:color w:val="auto"/>
                <w:highlight w:val="none"/>
              </w:rPr>
              <w:t xml:space="preserve">评分因素</w:t>
            </w:r>
            <w:r/>
          </w:p>
        </w:tc>
        <w:tc>
          <w:tcPr>
            <w:tcW w:w="5955" w:type="dxa"/>
            <w:vAlign w:val="center"/>
            <w:textDirection w:val="lrTb"/>
            <w:noWrap w:val="false"/>
          </w:tcPr>
          <w:p>
            <w:pPr>
              <w:jc w:val="center"/>
              <w:widowControl/>
              <w:rPr>
                <w:color w:val="auto"/>
                <w:highlight w:val="none"/>
              </w:rPr>
            </w:pPr>
            <w:r>
              <w:rPr>
                <w:rFonts w:hint="eastAsia"/>
                <w:b/>
                <w:bCs/>
                <w:color w:val="auto"/>
                <w:highlight w:val="none"/>
              </w:rPr>
              <w:t xml:space="preserve">评审标准</w:t>
            </w:r>
            <w:r/>
          </w:p>
        </w:tc>
        <w:tc>
          <w:tcPr>
            <w:tcW w:w="1052" w:type="dxa"/>
            <w:vAlign w:val="center"/>
            <w:textDirection w:val="lrTb"/>
            <w:noWrap w:val="false"/>
          </w:tcPr>
          <w:p>
            <w:pPr>
              <w:jc w:val="center"/>
              <w:widowControl/>
              <w:rPr>
                <w:color w:val="auto"/>
                <w:highlight w:val="none"/>
              </w:rPr>
            </w:pPr>
            <w:r>
              <w:rPr>
                <w:rFonts w:hint="eastAsia"/>
                <w:b/>
                <w:bCs/>
                <w:color w:val="auto"/>
                <w:highlight w:val="none"/>
              </w:rPr>
              <w:t xml:space="preserve">分值</w:t>
            </w:r>
            <w:r/>
          </w:p>
        </w:tc>
      </w:tr>
      <w:tr>
        <w:trPr/>
        <w:tc>
          <w:tcPr>
            <w:tcW w:w="1020" w:type="dxa"/>
            <w:vAlign w:val="center"/>
            <w:textDirection w:val="lrTb"/>
            <w:noWrap w:val="false"/>
          </w:tcPr>
          <w:p>
            <w:pPr>
              <w:jc w:val="center"/>
              <w:widowControl/>
              <w:rPr>
                <w:color w:val="auto"/>
                <w:highlight w:val="none"/>
              </w:rPr>
            </w:pPr>
            <w:r>
              <w:rPr>
                <w:rFonts w:hint="eastAsia"/>
                <w:b/>
                <w:bCs/>
                <w:color w:val="auto"/>
                <w:highlight w:val="none"/>
              </w:rPr>
              <w:t xml:space="preserve">1</w:t>
            </w:r>
            <w:r/>
          </w:p>
        </w:tc>
        <w:tc>
          <w:tcPr>
            <w:tcW w:w="1605" w:type="dxa"/>
            <w:vAlign w:val="center"/>
            <w:textDirection w:val="lrTb"/>
            <w:noWrap w:val="false"/>
          </w:tcPr>
          <w:p>
            <w:pPr>
              <w:jc w:val="center"/>
              <w:widowControl/>
              <w:rPr>
                <w:color w:val="auto"/>
                <w:highlight w:val="none"/>
              </w:rPr>
            </w:pPr>
            <w:r>
              <w:rPr>
                <w:rFonts w:hint="eastAsia"/>
                <w:b/>
                <w:bCs/>
                <w:color w:val="auto"/>
                <w:highlight w:val="none"/>
              </w:rPr>
              <w:t xml:space="preserve">投标报价</w:t>
            </w:r>
            <w:r/>
          </w:p>
        </w:tc>
        <w:tc>
          <w:tcPr>
            <w:tcW w:w="5955" w:type="dxa"/>
            <w:vAlign w:val="center"/>
            <w:textDirection w:val="lrTb"/>
            <w:noWrap w:val="false"/>
          </w:tcPr>
          <w:p>
            <w:pPr>
              <w:jc w:val="both"/>
              <w:rPr>
                <w:color w:val="auto"/>
                <w:highlight w:val="none"/>
              </w:rPr>
            </w:pPr>
            <w:r>
              <w:rPr>
                <w:rFonts w:hint="eastAsia"/>
                <w:color w:val="auto"/>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1052" w:type="dxa"/>
            <w:vAlign w:val="center"/>
            <w:textDirection w:val="lrTb"/>
            <w:noWrap w:val="false"/>
          </w:tcPr>
          <w:p>
            <w:pPr>
              <w:jc w:val="center"/>
              <w:widowControl/>
              <w:rPr>
                <w:color w:val="auto"/>
                <w:highlight w:val="none"/>
              </w:rPr>
            </w:pPr>
            <w:r>
              <w:rPr>
                <w:rFonts w:hint="eastAsia"/>
                <w:color w:val="auto"/>
                <w:highlight w:val="none"/>
              </w:rPr>
              <w:t xml:space="preserve">30</w:t>
            </w:r>
            <w:r/>
          </w:p>
        </w:tc>
      </w:tr>
      <w:tr>
        <w:trPr/>
        <w:tc>
          <w:tcPr>
            <w:tcW w:w="1020" w:type="dxa"/>
            <w:vAlign w:val="center"/>
            <w:textDirection w:val="lrTb"/>
            <w:noWrap w:val="false"/>
          </w:tcPr>
          <w:p>
            <w:pPr>
              <w:jc w:val="center"/>
              <w:widowControl/>
              <w:rPr>
                <w:color w:val="auto"/>
                <w:highlight w:val="none"/>
              </w:rPr>
            </w:pPr>
            <w:r>
              <w:rPr>
                <w:rFonts w:hint="eastAsia"/>
                <w:b/>
                <w:bCs/>
                <w:color w:val="auto"/>
                <w:highlight w:val="none"/>
              </w:rPr>
              <w:t xml:space="preserve">2</w:t>
            </w:r>
            <w:r/>
          </w:p>
        </w:tc>
        <w:tc>
          <w:tcPr>
            <w:tcW w:w="1605" w:type="dxa"/>
            <w:vAlign w:val="center"/>
            <w:textDirection w:val="lrTb"/>
            <w:noWrap w:val="false"/>
          </w:tcPr>
          <w:p>
            <w:pPr>
              <w:jc w:val="center"/>
              <w:widowControl/>
              <w:rPr>
                <w:color w:val="auto"/>
                <w:highlight w:val="none"/>
              </w:rPr>
            </w:pPr>
            <w:r>
              <w:rPr>
                <w:rFonts w:hint="eastAsia"/>
                <w:b/>
                <w:bCs/>
                <w:color w:val="auto"/>
                <w:highlight w:val="none"/>
              </w:rPr>
              <w:t xml:space="preserve">技术参数</w:t>
            </w:r>
            <w:r/>
          </w:p>
        </w:tc>
        <w:tc>
          <w:tcPr>
            <w:tcW w:w="5955" w:type="dxa"/>
            <w:vAlign w:val="center"/>
            <w:textDirection w:val="lrTb"/>
            <w:noWrap w:val="false"/>
          </w:tcPr>
          <w:p>
            <w:pPr>
              <w:jc w:val="both"/>
              <w:rPr>
                <w:color w:val="auto"/>
                <w:highlight w:val="none"/>
              </w:rPr>
            </w:pPr>
            <w:r>
              <w:rPr>
                <w:rFonts w:hint="eastAsia"/>
                <w:color w:val="auto"/>
                <w:highlight w:val="none"/>
              </w:rPr>
              <w:t xml:space="preserve">根据招标文件第四章招标项目要求，对响应文件中响应情况说明满足程度进行打分，全部响应即满足采购文件第四章招标项目要求的得</w:t>
            </w:r>
            <w:r>
              <w:rPr>
                <w:color w:val="auto"/>
                <w:highlight w:val="none"/>
              </w:rPr>
              <w:t xml:space="preserve">30分；其中标注“★”的参数为实质性要求，负偏离作无效投标处理；标注“▲”的参数为重要参数，有一项负偏离的，每项扣2分；其余参数，有一项负偏离的，每项扣1分，扣完为止。</w:t>
            </w:r>
            <w:r/>
          </w:p>
          <w:p>
            <w:pPr>
              <w:jc w:val="both"/>
              <w:rPr>
                <w:color w:val="auto"/>
                <w:highlight w:val="none"/>
              </w:rPr>
            </w:pPr>
            <w:r>
              <w:rPr>
                <w:rFonts w:hint="eastAsia"/>
                <w:color w:val="auto"/>
                <w:highlight w:val="none"/>
              </w:rPr>
              <w:t xml:space="preserve">（投标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1052" w:type="dxa"/>
            <w:vAlign w:val="center"/>
            <w:textDirection w:val="lrTb"/>
            <w:noWrap w:val="false"/>
          </w:tcPr>
          <w:p>
            <w:pPr>
              <w:jc w:val="center"/>
              <w:widowControl/>
              <w:rPr>
                <w:color w:val="auto"/>
                <w:highlight w:val="none"/>
              </w:rPr>
            </w:pPr>
            <w:r>
              <w:rPr>
                <w:rFonts w:hint="eastAsia"/>
                <w:bCs/>
                <w:color w:val="auto"/>
                <w:highlight w:val="none"/>
              </w:rPr>
              <w:t xml:space="preserve">30</w:t>
            </w:r>
            <w:r/>
          </w:p>
        </w:tc>
      </w:tr>
      <w:tr>
        <w:trPr/>
        <w:tc>
          <w:tcPr>
            <w:tcW w:w="1020" w:type="dxa"/>
            <w:vAlign w:val="center"/>
            <w:textDirection w:val="lrTb"/>
            <w:noWrap w:val="false"/>
          </w:tcPr>
          <w:p>
            <w:pPr>
              <w:jc w:val="center"/>
              <w:widowControl/>
              <w:rPr>
                <w:color w:val="auto"/>
                <w:highlight w:val="none"/>
              </w:rPr>
            </w:pPr>
            <w:r>
              <w:rPr>
                <w:rFonts w:hint="eastAsia"/>
                <w:b/>
                <w:bCs/>
                <w:color w:val="auto"/>
                <w:highlight w:val="none"/>
              </w:rPr>
              <w:t xml:space="preserve">3</w:t>
            </w:r>
            <w:r/>
          </w:p>
        </w:tc>
        <w:tc>
          <w:tcPr>
            <w:tcW w:w="1605" w:type="dxa"/>
            <w:vAlign w:val="center"/>
            <w:textDirection w:val="lrTb"/>
            <w:noWrap w:val="false"/>
          </w:tcPr>
          <w:p>
            <w:pPr>
              <w:jc w:val="center"/>
              <w:rPr>
                <w:color w:val="auto"/>
                <w:highlight w:val="none"/>
              </w:rPr>
            </w:pPr>
            <w:r>
              <w:rPr>
                <w:rFonts w:hint="eastAsia"/>
                <w:b/>
                <w:bCs/>
                <w:color w:val="auto"/>
                <w:highlight w:val="none"/>
              </w:rPr>
              <w:t xml:space="preserve">企业业绩</w:t>
            </w:r>
            <w:r/>
          </w:p>
        </w:tc>
        <w:tc>
          <w:tcPr>
            <w:tcW w:w="5955" w:type="dxa"/>
            <w:vAlign w:val="center"/>
            <w:textDirection w:val="lrTb"/>
            <w:noWrap w:val="false"/>
          </w:tcPr>
          <w:p>
            <w:pPr>
              <w:jc w:val="both"/>
              <w:rPr>
                <w:color w:val="auto"/>
                <w:highlight w:val="none"/>
              </w:rPr>
            </w:pPr>
            <w:r>
              <w:rPr>
                <w:color w:val="auto"/>
                <w:highlight w:val="none"/>
              </w:rPr>
              <w:t xml:space="preserve">1、供应商或所投产品制造商自2022年1月1日（含）以来（以合同签订时间为准）具有所投复用器产品供货案例，每提供1个有效案例得1分，最高得5分；</w:t>
            </w:r>
            <w:r/>
          </w:p>
          <w:p>
            <w:pPr>
              <w:jc w:val="both"/>
              <w:rPr>
                <w:color w:val="auto"/>
                <w:highlight w:val="none"/>
              </w:rPr>
            </w:pPr>
            <w:r>
              <w:rPr>
                <w:color w:val="auto"/>
                <w:highlight w:val="none"/>
              </w:rPr>
              <w:t xml:space="preserve">2、供应商或所投产品制造商自2022 年1月1日（含）以来（以合同签订时间为准）具有所投信号质量监测产品供货案例，每提供1个有效案例得1分，最高得5分。</w:t>
            </w:r>
            <w:r/>
          </w:p>
          <w:p>
            <w:pPr>
              <w:jc w:val="both"/>
              <w:rPr>
                <w:color w:val="auto"/>
                <w:highlight w:val="none"/>
              </w:rPr>
            </w:pPr>
            <w:r>
              <w:rPr>
                <w:rFonts w:hint="eastAsia"/>
                <w:color w:val="auto"/>
                <w:highlight w:val="none"/>
              </w:rPr>
              <w:t xml:space="preserve">（提供有效合同加盖供应商公章，合同需能反映出相关内容，否则不得分）</w:t>
            </w:r>
            <w:r/>
          </w:p>
        </w:tc>
        <w:tc>
          <w:tcPr>
            <w:tcW w:w="1052" w:type="dxa"/>
            <w:vAlign w:val="center"/>
            <w:textDirection w:val="lrTb"/>
            <w:noWrap w:val="false"/>
          </w:tcPr>
          <w:p>
            <w:pPr>
              <w:jc w:val="center"/>
              <w:widowControl/>
              <w:rPr>
                <w:color w:val="auto"/>
                <w:highlight w:val="none"/>
              </w:rPr>
            </w:pPr>
            <w:r>
              <w:rPr>
                <w:rFonts w:hint="eastAsia"/>
                <w:bCs/>
                <w:color w:val="auto"/>
                <w:highlight w:val="none"/>
              </w:rPr>
              <w:t xml:space="preserve">10</w:t>
            </w:r>
            <w:r/>
          </w:p>
        </w:tc>
      </w:tr>
      <w:tr>
        <w:trPr/>
        <w:tc>
          <w:tcPr>
            <w:tcW w:w="1020" w:type="dxa"/>
            <w:vAlign w:val="center"/>
            <w:textDirection w:val="lrTb"/>
            <w:noWrap w:val="false"/>
          </w:tcPr>
          <w:p>
            <w:pPr>
              <w:jc w:val="center"/>
              <w:widowControl/>
              <w:rPr>
                <w:b/>
                <w:bCs/>
                <w:color w:val="auto"/>
                <w:highlight w:val="none"/>
              </w:rPr>
            </w:pPr>
            <w:r>
              <w:rPr>
                <w:rFonts w:hint="eastAsia"/>
                <w:b/>
                <w:bCs/>
                <w:color w:val="auto"/>
                <w:highlight w:val="none"/>
              </w:rPr>
              <w:t xml:space="preserve">4</w:t>
            </w:r>
            <w:r/>
          </w:p>
        </w:tc>
        <w:tc>
          <w:tcPr>
            <w:tcW w:w="1605" w:type="dxa"/>
            <w:vAlign w:val="center"/>
            <w:textDirection w:val="lrTb"/>
            <w:noWrap w:val="false"/>
          </w:tcPr>
          <w:p>
            <w:pPr>
              <w:jc w:val="center"/>
              <w:rPr>
                <w:b/>
                <w:bCs/>
                <w:color w:val="auto"/>
                <w:highlight w:val="none"/>
              </w:rPr>
            </w:pPr>
            <w:r>
              <w:rPr>
                <w:rFonts w:hint="eastAsia"/>
                <w:b/>
                <w:bCs/>
                <w:color w:val="auto"/>
                <w:highlight w:val="none"/>
              </w:rPr>
              <w:t xml:space="preserve">质保期</w:t>
            </w:r>
            <w:r/>
          </w:p>
        </w:tc>
        <w:tc>
          <w:tcPr>
            <w:tcW w:w="5955" w:type="dxa"/>
            <w:vAlign w:val="center"/>
            <w:textDirection w:val="lrTb"/>
            <w:noWrap w:val="false"/>
          </w:tcPr>
          <w:p>
            <w:pPr>
              <w:jc w:val="both"/>
              <w:rPr>
                <w:color w:val="auto"/>
                <w:highlight w:val="none"/>
              </w:rPr>
            </w:pPr>
            <w:r>
              <w:rPr>
                <w:color w:val="auto"/>
                <w:highlight w:val="none"/>
              </w:rPr>
              <w:t xml:space="preserve">供电设备中免维护铅酸蓄电池</w:t>
            </w:r>
            <w:r>
              <w:rPr>
                <w:rFonts w:hint="eastAsia"/>
                <w:color w:val="auto"/>
                <w:highlight w:val="none"/>
              </w:rPr>
              <w:t xml:space="preserve">固定</w:t>
            </w:r>
            <w:r>
              <w:rPr>
                <w:color w:val="auto"/>
                <w:highlight w:val="none"/>
              </w:rPr>
              <w:t xml:space="preserve">为5年</w:t>
            </w:r>
            <w:r>
              <w:rPr>
                <w:rFonts w:hint="eastAsia"/>
                <w:color w:val="auto"/>
                <w:highlight w:val="none"/>
              </w:rPr>
              <w:t xml:space="preserve">。</w:t>
            </w:r>
            <w:r/>
          </w:p>
          <w:p>
            <w:pPr>
              <w:jc w:val="both"/>
              <w:rPr>
                <w:color w:val="auto"/>
                <w:highlight w:val="none"/>
              </w:rPr>
            </w:pPr>
            <w:r>
              <w:rPr>
                <w:rFonts w:hint="eastAsia"/>
                <w:color w:val="auto"/>
                <w:highlight w:val="none"/>
              </w:rPr>
              <w:t xml:space="preserve">其他设备质保期3年，</w:t>
            </w:r>
            <w:r>
              <w:rPr>
                <w:color w:val="auto"/>
                <w:highlight w:val="none"/>
              </w:rPr>
              <w:t xml:space="preserve">在此基础上，每增加一年得1分，最多得3分。</w:t>
            </w:r>
            <w:r>
              <w:rPr>
                <w:rFonts w:hint="eastAsia"/>
                <w:color w:val="auto"/>
                <w:highlight w:val="none"/>
              </w:rPr>
              <w:t xml:space="preserve">（提供承诺书加盖公章）</w:t>
            </w:r>
            <w:r/>
          </w:p>
        </w:tc>
        <w:tc>
          <w:tcPr>
            <w:tcW w:w="1052" w:type="dxa"/>
            <w:vAlign w:val="center"/>
            <w:textDirection w:val="lrTb"/>
            <w:noWrap w:val="false"/>
          </w:tcPr>
          <w:p>
            <w:pPr>
              <w:jc w:val="center"/>
              <w:widowControl/>
              <w:rPr>
                <w:bCs/>
                <w:color w:val="auto"/>
                <w:highlight w:val="none"/>
              </w:rPr>
            </w:pPr>
            <w:r>
              <w:rPr>
                <w:rFonts w:hint="eastAsia"/>
                <w:bCs/>
                <w:color w:val="auto"/>
                <w:highlight w:val="none"/>
              </w:rPr>
              <w:t xml:space="preserve">3</w:t>
            </w:r>
            <w:r/>
          </w:p>
        </w:tc>
      </w:tr>
      <w:tr>
        <w:trPr/>
        <w:tc>
          <w:tcPr>
            <w:tcW w:w="1020" w:type="dxa"/>
            <w:vAlign w:val="center"/>
            <w:textDirection w:val="lrTb"/>
            <w:noWrap w:val="false"/>
          </w:tcPr>
          <w:p>
            <w:pPr>
              <w:jc w:val="center"/>
              <w:widowControl/>
              <w:rPr>
                <w:b/>
                <w:bCs/>
                <w:color w:val="auto"/>
                <w:highlight w:val="none"/>
              </w:rPr>
            </w:pPr>
            <w:r>
              <w:rPr>
                <w:rFonts w:hint="eastAsia"/>
                <w:b/>
                <w:bCs/>
                <w:color w:val="auto"/>
                <w:highlight w:val="none"/>
              </w:rPr>
              <w:t xml:space="preserve">5.1</w:t>
            </w:r>
            <w:r/>
          </w:p>
        </w:tc>
        <w:tc>
          <w:tcPr>
            <w:tcW w:w="1605" w:type="dxa"/>
            <w:vAlign w:val="center"/>
            <w:vMerge w:val="restart"/>
            <w:textDirection w:val="lrTb"/>
            <w:noWrap w:val="false"/>
          </w:tcPr>
          <w:p>
            <w:pPr>
              <w:jc w:val="center"/>
              <w:rPr>
                <w:b/>
                <w:bCs/>
                <w:color w:val="auto"/>
                <w:highlight w:val="none"/>
              </w:rPr>
            </w:pPr>
            <w:r>
              <w:rPr>
                <w:rFonts w:hint="eastAsia"/>
                <w:b/>
                <w:bCs/>
                <w:color w:val="auto"/>
                <w:highlight w:val="none"/>
              </w:rPr>
              <w:t xml:space="preserve">服务方案</w:t>
            </w:r>
            <w:r/>
          </w:p>
        </w:tc>
        <w:tc>
          <w:tcPr>
            <w:tcW w:w="5955" w:type="dxa"/>
            <w:textDirection w:val="lrTb"/>
            <w:noWrap w:val="false"/>
          </w:tcPr>
          <w:p>
            <w:pPr>
              <w:jc w:val="both"/>
              <w:widowControl/>
              <w:rPr>
                <w:color w:val="auto"/>
                <w:highlight w:val="none"/>
              </w:rPr>
            </w:pPr>
            <w:r>
              <w:rPr>
                <w:rFonts w:hint="eastAsia"/>
                <w:b/>
                <w:color w:val="auto"/>
                <w:highlight w:val="none"/>
              </w:rPr>
              <w:t xml:space="preserve">实施方案：</w:t>
            </w:r>
            <w:r>
              <w:rPr>
                <w:rFonts w:hint="eastAsia"/>
                <w:color w:val="auto"/>
                <w:highlight w:val="none"/>
              </w:rPr>
              <w:br/>
            </w:r>
            <w:r>
              <w:rPr>
                <w:rFonts w:hint="eastAsia"/>
                <w:color w:val="auto"/>
                <w:highlight w:val="none"/>
              </w:rPr>
              <w:t xml:space="preserve">根据投标供应商对本项目的实施方案（包含：组织架构、进度控制、风险控制管理、质量保障措施、安全管理措施、文档管理措施）综合评分进行综合评分：</w:t>
            </w:r>
            <w:r/>
          </w:p>
          <w:p>
            <w:pPr>
              <w:jc w:val="both"/>
              <w:widowControl/>
              <w:rPr>
                <w:color w:val="auto"/>
                <w:highlight w:val="none"/>
              </w:rPr>
            </w:pPr>
            <w:r>
              <w:rPr>
                <w:rFonts w:hint="eastAsia"/>
                <w:color w:val="auto"/>
                <w:highlight w:val="none"/>
              </w:rPr>
              <w:t xml:space="preserve">（a）实施方案全面，具有合理的进度安排、组织架构，具有良好的进度控制、风险控制管理、质量保障措施、安全管理措施、文档管理措施，得9分；</w:t>
            </w:r>
            <w:r/>
          </w:p>
          <w:p>
            <w:pPr>
              <w:jc w:val="both"/>
              <w:widowControl/>
              <w:rPr>
                <w:color w:val="auto"/>
                <w:highlight w:val="none"/>
              </w:rPr>
            </w:pPr>
            <w:r>
              <w:rPr>
                <w:rFonts w:hint="eastAsia"/>
                <w:color w:val="auto"/>
                <w:highlight w:val="none"/>
              </w:rPr>
              <w:t xml:space="preserve">（b）实施方案较全面，进度安排、组织架构较为合理，进度控制、风险控制管理、质量保障措施、安全管理措施、文档管理措施基本满足项目需求，得6分；</w:t>
            </w:r>
            <w:r/>
          </w:p>
          <w:p>
            <w:pPr>
              <w:jc w:val="both"/>
              <w:widowControl/>
              <w:rPr>
                <w:color w:val="auto"/>
                <w:highlight w:val="none"/>
              </w:rPr>
            </w:pPr>
            <w:r>
              <w:rPr>
                <w:rFonts w:hint="eastAsia"/>
                <w:color w:val="auto"/>
                <w:highlight w:val="none"/>
              </w:rPr>
              <w:t xml:space="preserve">（c）实施方案较片面，进度安排、组织架构一般，进度控制、风险控制管理、质量保障措施、安全管理措施、文档管理措施一般得3分；</w:t>
            </w:r>
            <w:r/>
          </w:p>
          <w:p>
            <w:pPr>
              <w:jc w:val="both"/>
              <w:widowControl/>
              <w:rPr>
                <w:color w:val="auto"/>
                <w:highlight w:val="none"/>
              </w:rPr>
            </w:pPr>
            <w:r>
              <w:rPr>
                <w:rFonts w:hint="eastAsia"/>
                <w:color w:val="auto"/>
                <w:highlight w:val="none"/>
              </w:rPr>
              <w:t xml:space="preserve">（d）实施方案片面无针对性，进度安排、组织架构不太合理，进度控制、风险控制管理、质量保障措施、安全管理措施、文档管理措施不太全面的或未提供实施方案的得0分。</w:t>
            </w:r>
            <w:r/>
          </w:p>
        </w:tc>
        <w:tc>
          <w:tcPr>
            <w:tcW w:w="1052" w:type="dxa"/>
            <w:vAlign w:val="center"/>
            <w:textDirection w:val="lrTb"/>
            <w:noWrap w:val="false"/>
          </w:tcPr>
          <w:p>
            <w:pPr>
              <w:jc w:val="center"/>
              <w:rPr>
                <w:bCs/>
                <w:color w:val="auto"/>
                <w:highlight w:val="none"/>
              </w:rPr>
            </w:pPr>
            <w:r>
              <w:rPr>
                <w:rFonts w:hint="eastAsia"/>
                <w:color w:val="auto"/>
                <w:highlight w:val="none"/>
              </w:rPr>
              <w:t xml:space="preserve">9</w:t>
            </w:r>
            <w:r/>
          </w:p>
        </w:tc>
      </w:tr>
      <w:tr>
        <w:trPr/>
        <w:tc>
          <w:tcPr>
            <w:tcW w:w="1020" w:type="dxa"/>
            <w:vAlign w:val="center"/>
            <w:textDirection w:val="lrTb"/>
            <w:noWrap w:val="false"/>
          </w:tcPr>
          <w:p>
            <w:pPr>
              <w:jc w:val="center"/>
              <w:widowControl/>
              <w:rPr>
                <w:b/>
                <w:bCs/>
                <w:color w:val="auto"/>
                <w:highlight w:val="none"/>
              </w:rPr>
            </w:pPr>
            <w:r>
              <w:rPr>
                <w:rFonts w:hint="eastAsia"/>
                <w:b/>
                <w:bCs/>
                <w:color w:val="auto"/>
                <w:highlight w:val="none"/>
              </w:rPr>
              <w:t xml:space="preserve">5.2</w:t>
            </w:r>
            <w:r/>
          </w:p>
        </w:tc>
        <w:tc>
          <w:tcPr>
            <w:tcW w:w="1605" w:type="dxa"/>
            <w:vAlign w:val="center"/>
            <w:vMerge w:val="continue"/>
            <w:textDirection w:val="lrTb"/>
            <w:noWrap w:val="false"/>
          </w:tcPr>
          <w:p>
            <w:pPr>
              <w:jc w:val="center"/>
              <w:rPr>
                <w:b/>
                <w:bCs/>
                <w:color w:val="auto"/>
                <w:highlight w:val="none"/>
              </w:rPr>
            </w:pPr>
            <w:r>
              <w:rPr>
                <w:b/>
                <w:bCs/>
                <w:color w:val="auto"/>
                <w:highlight w:val="none"/>
              </w:rPr>
            </w:r>
            <w:r/>
          </w:p>
        </w:tc>
        <w:tc>
          <w:tcPr>
            <w:tcW w:w="5955" w:type="dxa"/>
            <w:textDirection w:val="lrTb"/>
            <w:noWrap w:val="false"/>
          </w:tcPr>
          <w:p>
            <w:pPr>
              <w:jc w:val="both"/>
              <w:widowControl/>
              <w:rPr>
                <w:color w:val="auto"/>
                <w:highlight w:val="none"/>
              </w:rPr>
            </w:pPr>
            <w:r>
              <w:rPr>
                <w:rFonts w:hint="eastAsia"/>
                <w:b/>
                <w:color w:val="auto"/>
                <w:highlight w:val="none"/>
              </w:rPr>
              <w:t xml:space="preserve">培训方案：</w:t>
            </w:r>
            <w:r>
              <w:rPr>
                <w:rFonts w:hint="eastAsia"/>
                <w:color w:val="auto"/>
                <w:highlight w:val="none"/>
              </w:rPr>
              <w:br/>
            </w:r>
            <w:r>
              <w:rPr>
                <w:rFonts w:hint="eastAsia"/>
                <w:color w:val="auto"/>
                <w:highlight w:val="none"/>
              </w:rPr>
              <w:t xml:space="preserve">根据投标供应商对本项目的培训方案（包含：培训计划、培训内容等）进行综合评分：</w:t>
            </w:r>
            <w:r/>
          </w:p>
          <w:p>
            <w:pPr>
              <w:jc w:val="both"/>
              <w:widowControl/>
              <w:rPr>
                <w:color w:val="auto"/>
                <w:highlight w:val="none"/>
              </w:rPr>
            </w:pPr>
            <w:r>
              <w:rPr>
                <w:rFonts w:hint="eastAsia"/>
                <w:color w:val="auto"/>
                <w:highlight w:val="none"/>
              </w:rPr>
              <w:t xml:space="preserve">（a）培训方案全面合理有效，具有详细的培训计划、培训内容的得9分；</w:t>
            </w:r>
            <w:r/>
          </w:p>
          <w:p>
            <w:pPr>
              <w:jc w:val="both"/>
              <w:widowControl/>
              <w:rPr>
                <w:color w:val="auto"/>
                <w:highlight w:val="none"/>
              </w:rPr>
            </w:pPr>
            <w:r>
              <w:rPr>
                <w:rFonts w:hint="eastAsia"/>
                <w:color w:val="auto"/>
                <w:highlight w:val="none"/>
              </w:rPr>
              <w:t xml:space="preserve">（b）培训方案较全面，基本合理有效，培训计划、培训内容基本完整的得6分；</w:t>
            </w:r>
            <w:r/>
          </w:p>
          <w:p>
            <w:pPr>
              <w:jc w:val="both"/>
              <w:widowControl/>
              <w:rPr>
                <w:color w:val="auto"/>
                <w:highlight w:val="none"/>
              </w:rPr>
            </w:pPr>
            <w:r>
              <w:rPr>
                <w:rFonts w:hint="eastAsia"/>
                <w:color w:val="auto"/>
                <w:highlight w:val="none"/>
              </w:rPr>
              <w:t xml:space="preserve">（c）培训方案较片面，执行有效性欠缺，培训计划、培训内容一般的得3分；</w:t>
            </w:r>
            <w:r/>
          </w:p>
          <w:p>
            <w:pPr>
              <w:jc w:val="both"/>
              <w:widowControl/>
              <w:rPr>
                <w:color w:val="auto"/>
                <w:highlight w:val="none"/>
              </w:rPr>
            </w:pPr>
            <w:r>
              <w:rPr>
                <w:rFonts w:hint="eastAsia"/>
                <w:color w:val="auto"/>
                <w:highlight w:val="none"/>
              </w:rPr>
              <w:t xml:space="preserve">（d）培训方案空洞、不具备执行有效性，培训计划培训内容粗略或未提供培训方案的得0分。</w:t>
            </w:r>
            <w:r/>
          </w:p>
        </w:tc>
        <w:tc>
          <w:tcPr>
            <w:tcW w:w="1052" w:type="dxa"/>
            <w:vAlign w:val="center"/>
            <w:textDirection w:val="lrTb"/>
            <w:noWrap w:val="false"/>
          </w:tcPr>
          <w:p>
            <w:pPr>
              <w:jc w:val="center"/>
              <w:rPr>
                <w:color w:val="auto"/>
                <w:highlight w:val="none"/>
              </w:rPr>
            </w:pPr>
            <w:r>
              <w:rPr>
                <w:rFonts w:hint="eastAsia"/>
                <w:color w:val="auto"/>
                <w:highlight w:val="none"/>
              </w:rPr>
              <w:t xml:space="preserve">9</w:t>
            </w:r>
            <w:r/>
          </w:p>
        </w:tc>
      </w:tr>
      <w:tr>
        <w:trPr/>
        <w:tc>
          <w:tcPr>
            <w:tcW w:w="1020" w:type="dxa"/>
            <w:vAlign w:val="center"/>
            <w:textDirection w:val="lrTb"/>
            <w:noWrap w:val="false"/>
          </w:tcPr>
          <w:p>
            <w:pPr>
              <w:jc w:val="center"/>
              <w:widowControl/>
              <w:rPr>
                <w:b/>
                <w:bCs/>
                <w:color w:val="auto"/>
                <w:highlight w:val="none"/>
              </w:rPr>
            </w:pPr>
            <w:r>
              <w:rPr>
                <w:rFonts w:hint="eastAsia"/>
                <w:b/>
                <w:bCs/>
                <w:color w:val="auto"/>
                <w:highlight w:val="none"/>
              </w:rPr>
              <w:t xml:space="preserve">5.3</w:t>
            </w:r>
            <w:r/>
          </w:p>
        </w:tc>
        <w:tc>
          <w:tcPr>
            <w:tcW w:w="1605" w:type="dxa"/>
            <w:vAlign w:val="center"/>
            <w:vMerge w:val="continue"/>
            <w:textDirection w:val="lrTb"/>
            <w:noWrap w:val="false"/>
          </w:tcPr>
          <w:p>
            <w:pPr>
              <w:jc w:val="center"/>
              <w:rPr>
                <w:b/>
                <w:bCs/>
                <w:color w:val="auto"/>
                <w:highlight w:val="none"/>
              </w:rPr>
            </w:pPr>
            <w:r>
              <w:rPr>
                <w:b/>
                <w:bCs/>
                <w:color w:val="auto"/>
                <w:highlight w:val="none"/>
              </w:rPr>
            </w:r>
            <w:r/>
          </w:p>
        </w:tc>
        <w:tc>
          <w:tcPr>
            <w:tcW w:w="5955" w:type="dxa"/>
            <w:vAlign w:val="center"/>
            <w:textDirection w:val="lrTb"/>
            <w:noWrap w:val="false"/>
          </w:tcPr>
          <w:p>
            <w:pPr>
              <w:jc w:val="both"/>
              <w:widowControl/>
              <w:rPr>
                <w:color w:val="auto"/>
                <w:highlight w:val="none"/>
              </w:rPr>
            </w:pPr>
            <w:r>
              <w:rPr>
                <w:rFonts w:hint="eastAsia"/>
                <w:b/>
                <w:color w:val="auto"/>
                <w:highlight w:val="none"/>
              </w:rPr>
              <w:t xml:space="preserve">售后服务方案：</w:t>
            </w:r>
            <w:r>
              <w:rPr>
                <w:rFonts w:hint="eastAsia"/>
                <w:color w:val="auto"/>
                <w:highlight w:val="none"/>
              </w:rPr>
              <w:br/>
            </w:r>
            <w:r>
              <w:rPr>
                <w:rFonts w:hint="eastAsia"/>
                <w:color w:val="auto"/>
                <w:highlight w:val="none"/>
              </w:rPr>
              <w:t xml:space="preserve">根据投标供应商对本项目的售后服务方案（包括并不限于制定详细的质保期内、外的售后服务方案，服务流程及内容具体，响应时间，服务人员配备等内容）进行综合评分：</w:t>
            </w:r>
            <w:r/>
          </w:p>
          <w:p>
            <w:pPr>
              <w:jc w:val="both"/>
              <w:widowControl/>
              <w:rPr>
                <w:color w:val="auto"/>
                <w:highlight w:val="none"/>
              </w:rPr>
            </w:pPr>
            <w:r>
              <w:rPr>
                <w:rFonts w:hint="eastAsia"/>
                <w:color w:val="auto"/>
                <w:highlight w:val="none"/>
              </w:rPr>
              <w:t xml:space="preserve">（a）售后服务方案全面合理，服务流程及内容具体，响应时间迅速，服务人员齐备得9分；</w:t>
            </w:r>
            <w:r/>
          </w:p>
          <w:p>
            <w:pPr>
              <w:jc w:val="both"/>
              <w:widowControl/>
              <w:rPr>
                <w:color w:val="auto"/>
                <w:highlight w:val="none"/>
              </w:rPr>
            </w:pPr>
            <w:r>
              <w:rPr>
                <w:rFonts w:hint="eastAsia"/>
                <w:color w:val="auto"/>
                <w:highlight w:val="none"/>
              </w:rPr>
              <w:t xml:space="preserve">（b）售后服务方案较全面，基本服务流程及内容较为完善，响应时间较为迅速，服务人员匹配基本满足需求得6分；</w:t>
            </w:r>
            <w:r/>
          </w:p>
          <w:p>
            <w:pPr>
              <w:jc w:val="both"/>
              <w:widowControl/>
              <w:rPr>
                <w:color w:val="auto"/>
                <w:highlight w:val="none"/>
              </w:rPr>
            </w:pPr>
            <w:r>
              <w:rPr>
                <w:rFonts w:hint="eastAsia"/>
                <w:color w:val="auto"/>
                <w:highlight w:val="none"/>
              </w:rPr>
              <w:t xml:space="preserve">（c）售后服务方案较片面，服务流程及内容一般，响应时间一般，服务人员匹配一般得3分；</w:t>
            </w:r>
            <w:r/>
          </w:p>
          <w:p>
            <w:pPr>
              <w:jc w:val="both"/>
              <w:rPr>
                <w:color w:val="auto"/>
                <w:highlight w:val="none"/>
              </w:rPr>
            </w:pPr>
            <w:r>
              <w:rPr>
                <w:rFonts w:hint="eastAsia"/>
                <w:color w:val="auto"/>
                <w:highlight w:val="none"/>
              </w:rPr>
              <w:t xml:space="preserve">（d）售后服务方案片面无针对性，服务流程及内容空洞或欠缺，响应时间缓慢，服务人员匹配欠缺的或未提供售后服务方案的得0分。</w:t>
            </w:r>
            <w:r/>
          </w:p>
        </w:tc>
        <w:tc>
          <w:tcPr>
            <w:tcW w:w="1052" w:type="dxa"/>
            <w:vAlign w:val="center"/>
            <w:textDirection w:val="lrTb"/>
            <w:noWrap w:val="false"/>
          </w:tcPr>
          <w:p>
            <w:pPr>
              <w:jc w:val="center"/>
              <w:widowControl/>
              <w:rPr>
                <w:color w:val="auto"/>
                <w:highlight w:val="none"/>
              </w:rPr>
            </w:pPr>
            <w:r>
              <w:rPr>
                <w:rFonts w:hint="eastAsia"/>
                <w:color w:val="auto"/>
                <w:highlight w:val="none"/>
              </w:rPr>
              <w:t xml:space="preserve">9</w:t>
            </w:r>
            <w:r/>
          </w:p>
        </w:tc>
      </w:tr>
      <w:tr>
        <w:trPr>
          <w:trHeight w:val="480"/>
        </w:trPr>
        <w:tc>
          <w:tcPr>
            <w:tcW w:w="1020" w:type="dxa"/>
            <w:vAlign w:val="center"/>
            <w:textDirection w:val="lrTb"/>
            <w:noWrap w:val="false"/>
          </w:tcPr>
          <w:p>
            <w:pPr>
              <w:jc w:val="center"/>
              <w:widowControl/>
              <w:rPr>
                <w:b/>
                <w:bCs/>
                <w:color w:val="auto"/>
                <w:highlight w:val="none"/>
                <w:lang w:val="en-US"/>
              </w:rPr>
            </w:pPr>
            <w:r>
              <w:rPr>
                <w:rFonts w:hint="eastAsia"/>
                <w:b/>
                <w:bCs/>
                <w:color w:val="auto"/>
                <w:highlight w:val="none"/>
                <w:lang w:val="en-US"/>
              </w:rPr>
              <w:t xml:space="preserve">6</w:t>
            </w:r>
            <w:r/>
          </w:p>
        </w:tc>
        <w:tc>
          <w:tcPr>
            <w:tcW w:w="1605" w:type="dxa"/>
            <w:vAlign w:val="center"/>
            <w:textDirection w:val="lrTb"/>
            <w:noWrap w:val="false"/>
          </w:tcPr>
          <w:p>
            <w:pPr>
              <w:jc w:val="center"/>
              <w:rPr>
                <w:b/>
                <w:bCs/>
                <w:color w:val="auto"/>
                <w:highlight w:val="none"/>
                <w:lang w:val="en-US"/>
              </w:rPr>
            </w:pPr>
            <w:r>
              <w:rPr>
                <w:rFonts w:hint="eastAsia"/>
                <w:b/>
                <w:bCs/>
                <w:color w:val="auto"/>
                <w:highlight w:val="none"/>
                <w:lang w:val="en-US"/>
              </w:rPr>
              <w:t xml:space="preserve">合计</w:t>
            </w:r>
            <w:r/>
          </w:p>
        </w:tc>
        <w:tc>
          <w:tcPr>
            <w:gridSpan w:val="2"/>
            <w:tcW w:w="7007" w:type="dxa"/>
            <w:vAlign w:val="center"/>
            <w:textDirection w:val="lrTb"/>
            <w:noWrap w:val="false"/>
          </w:tcPr>
          <w:p>
            <w:pPr>
              <w:jc w:val="right"/>
              <w:widowControl/>
              <w:rPr>
                <w:color w:val="auto"/>
                <w:highlight w:val="none"/>
                <w:lang w:val="en-US"/>
              </w:rPr>
            </w:pPr>
            <w:r>
              <w:rPr>
                <w:rFonts w:hint="eastAsia"/>
                <w:color w:val="auto"/>
                <w:highlight w:val="none"/>
                <w:lang w:val="en-US"/>
              </w:rPr>
              <w:t xml:space="preserve">100分</w:t>
            </w:r>
            <w:r/>
          </w:p>
        </w:tc>
      </w:tr>
    </w:tbl>
    <w:p>
      <w:pPr>
        <w:rPr>
          <w:b/>
          <w:color w:val="auto"/>
          <w:highlight w:val="none"/>
        </w:rPr>
      </w:pPr>
      <w:r>
        <w:rPr>
          <w:rStyle w:val="998"/>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998"/>
          <w:rFonts w:hint="eastAsia" w:ascii="宋体" w:hAnsi="宋体" w:cs="宋体"/>
          <w:color w:val="auto"/>
          <w:szCs w:val="21"/>
          <w:highlight w:val="none"/>
          <w:lang w:bidi="ar"/>
        </w:rPr>
        <w:t xml:space="preserve">（3）供应商需按照采购文件的要求提供相应的《中小企业声明函》。 </w:t>
      </w:r>
      <w:r/>
    </w:p>
    <w:p>
      <w:pPr>
        <w:ind w:firstLine="440"/>
        <w:spacing w:line="360" w:lineRule="auto"/>
        <w:rPr>
          <w:color w:val="auto"/>
          <w:highlight w:val="none"/>
        </w:rPr>
      </w:pPr>
      <w:r>
        <w:rPr>
          <w:rStyle w:val="998"/>
          <w:rFonts w:hint="eastAsia" w:ascii="宋体" w:hAnsi="宋体" w:cs="宋体"/>
          <w:color w:val="auto"/>
          <w:szCs w:val="21"/>
          <w:highlight w:val="none"/>
          <w:lang w:bidi="ar"/>
        </w:rPr>
        <w:t xml:space="preserve">（4）企业标准请参照《关于印发中小企业划型标准规定的通知》（工信部联企业[2011]300</w:t>
      </w:r>
      <w:r>
        <w:rPr>
          <w:rStyle w:val="998"/>
          <w:color w:val="auto"/>
          <w:szCs w:val="21"/>
          <w:highlight w:val="none"/>
          <w:lang w:bidi="ar"/>
        </w:rPr>
        <w:t xml:space="preserve"> </w:t>
      </w:r>
      <w:r>
        <w:rPr>
          <w:rStyle w:val="998"/>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b/>
          <w:color w:val="auto"/>
          <w:highlight w:val="none"/>
        </w:rPr>
      </w:pPr>
      <w:r>
        <w:rPr>
          <w:rStyle w:val="998"/>
          <w:rFonts w:hint="eastAsia" w:ascii="宋体" w:hAnsi="宋体" w:cs="宋体"/>
          <w:b/>
          <w:bCs/>
          <w:color w:val="auto"/>
          <w:szCs w:val="21"/>
          <w:highlight w:val="none"/>
          <w:lang w:val="en-US" w:bidi="ar"/>
        </w:rPr>
        <w:t xml:space="preserve">6</w:t>
      </w:r>
      <w:r>
        <w:rPr>
          <w:rStyle w:val="998"/>
          <w:rFonts w:hint="eastAsia" w:ascii="宋体" w:hAnsi="宋体" w:cs="宋体"/>
          <w:b/>
          <w:bCs/>
          <w:color w:val="auto"/>
          <w:szCs w:val="21"/>
          <w:highlight w:val="none"/>
          <w:lang w:bidi="ar"/>
        </w:rPr>
        <w:t xml:space="preserve">、所有认证、证明和业绩除上表要求外均须提供有效的证明材料复印件加盖公章。</w:t>
      </w:r>
      <w:r/>
    </w:p>
    <w:p>
      <w:pPr>
        <w:contextualSpacing/>
        <w:jc w:val="center"/>
        <w:spacing w:line="360" w:lineRule="auto"/>
        <w:rPr>
          <w:rFonts w:ascii="Times New Roman" w:hAnsi="Times New Roman" w:cs="Times New Roman"/>
          <w:b/>
          <w:color w:val="auto"/>
          <w:sz w:val="44"/>
          <w:szCs w:val="44"/>
          <w:highlight w:val="none"/>
          <w:lang w:val="en-US" w:bidi="ar-SA"/>
        </w:rPr>
      </w:pPr>
      <w:r>
        <w:rPr>
          <w:rFonts w:hint="eastAsia" w:ascii="黑体" w:eastAsia="黑体"/>
          <w:b/>
          <w:color w:val="auto"/>
          <w:sz w:val="36"/>
          <w:highlight w:val="none"/>
        </w:rPr>
        <w:br w:type="page" w:clear="all"/>
      </w:r>
      <w:r>
        <w:rPr>
          <w:rFonts w:hint="eastAsia" w:ascii="黑体" w:eastAsia="黑体"/>
          <w:b/>
          <w:color w:val="auto"/>
          <w:sz w:val="36"/>
          <w:highlight w:val="none"/>
        </w:rPr>
        <w:t xml:space="preserve">第四章 招标项目的技术规格、要求和数量等</w:t>
      </w:r>
      <w:bookmarkEnd w:id="20"/>
      <w:r/>
      <w:bookmarkStart w:id="21" w:name="_Toc17931"/>
      <w:r/>
      <w:r/>
    </w:p>
    <w:p>
      <w:pPr>
        <w:jc w:val="both"/>
        <w:spacing w:line="360" w:lineRule="auto"/>
        <w:rPr>
          <w:b/>
          <w:color w:val="auto"/>
          <w:highlight w:val="none"/>
          <w:lang w:val="en-US" w:bidi="ar-SA"/>
        </w:rPr>
      </w:pPr>
      <w:r>
        <w:rPr>
          <w:rFonts w:hint="eastAsia"/>
          <w:b/>
          <w:color w:val="auto"/>
          <w:highlight w:val="none"/>
          <w:lang w:val="en-US" w:bidi="ar-SA"/>
        </w:rPr>
        <w:t xml:space="preserve">一、项目名称：地面数字电视省前端相关设备更新项目</w:t>
      </w:r>
      <w:r/>
    </w:p>
    <w:p>
      <w:pPr>
        <w:jc w:val="both"/>
        <w:spacing w:line="360" w:lineRule="auto"/>
        <w:rPr>
          <w:b/>
          <w:color w:val="auto"/>
          <w:highlight w:val="none"/>
          <w:lang w:val="en-US" w:bidi="ar-SA"/>
        </w:rPr>
      </w:pPr>
      <w:r>
        <w:rPr>
          <w:rFonts w:hint="eastAsia"/>
          <w:b/>
          <w:color w:val="auto"/>
          <w:highlight w:val="none"/>
          <w:lang w:val="en-US" w:bidi="ar-SA"/>
        </w:rPr>
        <w:t xml:space="preserve">二、采购清单</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875"/>
        <w:gridCol w:w="3105"/>
        <w:gridCol w:w="1095"/>
        <w:gridCol w:w="1275"/>
        <w:gridCol w:w="1559"/>
      </w:tblGrid>
      <w:tr>
        <w:trPr/>
        <w:tc>
          <w:tcPr>
            <w:tcW w:w="723"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序号</w:t>
            </w:r>
            <w:r/>
          </w:p>
        </w:tc>
        <w:tc>
          <w:tcPr>
            <w:gridSpan w:val="2"/>
            <w:tcW w:w="498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设备名称</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数量</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单位</w:t>
            </w:r>
            <w:r/>
          </w:p>
        </w:tc>
        <w:tc>
          <w:tcPr>
            <w:tcW w:w="1559"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备注</w:t>
            </w:r>
            <w:r/>
          </w:p>
        </w:tc>
      </w:tr>
      <w:tr>
        <w:trPr>
          <w:trHeight w:val="567" w:hRule="exact"/>
        </w:trPr>
        <w:tc>
          <w:tcPr>
            <w:tcW w:w="723"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875"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信号设备</w:t>
            </w:r>
            <w:r/>
          </w:p>
        </w:tc>
        <w:tc>
          <w:tcPr>
            <w:tcW w:w="310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复用器</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3</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310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3米C波段卫星接收天线</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3</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套</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2</w:t>
            </w:r>
            <w:r/>
          </w:p>
        </w:tc>
        <w:tc>
          <w:tcPr>
            <w:tcW w:w="1875"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监控大屏</w:t>
            </w:r>
            <w:r/>
          </w:p>
        </w:tc>
        <w:tc>
          <w:tcPr>
            <w:tcW w:w="310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显示设备</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9</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310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拼接处理器</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3105"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系统集成</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套</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3</w:t>
            </w:r>
            <w:r/>
          </w:p>
        </w:tc>
        <w:tc>
          <w:tcPr>
            <w:tcW w:w="1875"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供电设备</w:t>
            </w:r>
            <w:r/>
          </w:p>
        </w:tc>
        <w:tc>
          <w:tcPr>
            <w:tcW w:w="3105" w:type="dxa"/>
            <w:vAlign w:val="center"/>
            <w:textDirection w:val="lrTb"/>
            <w:noWrap w:val="false"/>
          </w:tcPr>
          <w:p>
            <w:pPr>
              <w:jc w:val="center"/>
              <w:spacing w:line="360" w:lineRule="auto"/>
              <w:rPr>
                <w:bCs/>
                <w:color w:val="auto"/>
                <w:highlight w:val="none"/>
                <w:lang w:val="en-US"/>
              </w:rPr>
            </w:pPr>
            <w:r>
              <w:rPr>
                <w:rFonts w:hint="eastAsia"/>
                <w:bCs/>
                <w:color w:val="auto"/>
                <w:highlight w:val="none"/>
              </w:rPr>
              <w:t xml:space="preserve">免维护铅酸蓄电池</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80</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节</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rPr>
            </w:pPr>
            <w:r>
              <w:rPr>
                <w:bCs/>
                <w:color w:val="auto"/>
                <w:highlight w:val="none"/>
              </w:rPr>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STS静态转换开关</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rPr>
            </w:pPr>
            <w:r>
              <w:rPr>
                <w:bCs/>
                <w:color w:val="auto"/>
                <w:highlight w:val="none"/>
              </w:rPr>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微波供电设备</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套</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4</w:t>
            </w:r>
            <w:r/>
          </w:p>
        </w:tc>
        <w:tc>
          <w:tcPr>
            <w:tcW w:w="1875" w:type="dxa"/>
            <w:vAlign w:val="center"/>
            <w:vMerge w:val="restart"/>
            <w:textDirection w:val="lrTb"/>
            <w:noWrap w:val="false"/>
          </w:tcPr>
          <w:p>
            <w:pPr>
              <w:jc w:val="center"/>
              <w:spacing w:line="360" w:lineRule="auto"/>
              <w:rPr>
                <w:bCs/>
                <w:color w:val="auto"/>
                <w:highlight w:val="none"/>
              </w:rPr>
            </w:pPr>
            <w:r>
              <w:rPr>
                <w:rFonts w:hint="eastAsia"/>
                <w:bCs/>
                <w:color w:val="auto"/>
                <w:highlight w:val="none"/>
              </w:rPr>
              <w:t xml:space="preserve">网络安全防护设备</w:t>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网络安全运维审计（堡垒机）</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rPr>
              <w:t xml:space="preserve">核心产品</w:t>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rPr>
            </w:pPr>
            <w:r>
              <w:rPr>
                <w:bCs/>
                <w:color w:val="auto"/>
                <w:highlight w:val="none"/>
              </w:rPr>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网络安全日志审计</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restart"/>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5</w:t>
            </w:r>
            <w:r/>
          </w:p>
        </w:tc>
        <w:tc>
          <w:tcPr>
            <w:tcW w:w="1875" w:type="dxa"/>
            <w:vAlign w:val="center"/>
            <w:vMerge w:val="restart"/>
            <w:textDirection w:val="lrTb"/>
            <w:noWrap w:val="false"/>
          </w:tcPr>
          <w:p>
            <w:pPr>
              <w:jc w:val="center"/>
              <w:spacing w:line="360" w:lineRule="auto"/>
              <w:rPr>
                <w:bCs/>
                <w:color w:val="auto"/>
                <w:highlight w:val="none"/>
              </w:rPr>
            </w:pPr>
            <w:r>
              <w:rPr>
                <w:rFonts w:hint="eastAsia"/>
                <w:bCs/>
                <w:color w:val="auto"/>
                <w:highlight w:val="none"/>
              </w:rPr>
              <w:t xml:space="preserve">播出信号质量评估设备</w:t>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信号质量监测设备</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8</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r>
        <w:trPr>
          <w:trHeight w:val="567" w:hRule="exact"/>
        </w:trPr>
        <w:tc>
          <w:tcPr>
            <w:tcW w:w="723" w:type="dxa"/>
            <w:vAlign w:val="center"/>
            <w:vMerge w:val="continue"/>
            <w:textDirection w:val="lrTb"/>
            <w:noWrap w:val="false"/>
          </w:tcPr>
          <w:p>
            <w:pPr>
              <w:jc w:val="center"/>
              <w:spacing w:line="360" w:lineRule="auto"/>
              <w:rPr>
                <w:bCs/>
                <w:color w:val="auto"/>
                <w:highlight w:val="none"/>
                <w:lang w:val="en-US" w:bidi="ar-SA"/>
              </w:rPr>
            </w:pPr>
            <w:r>
              <w:rPr>
                <w:bCs/>
                <w:color w:val="auto"/>
                <w:highlight w:val="none"/>
                <w:lang w:val="en-US" w:bidi="ar-SA"/>
              </w:rPr>
            </w:r>
            <w:r/>
          </w:p>
        </w:tc>
        <w:tc>
          <w:tcPr>
            <w:tcW w:w="1875" w:type="dxa"/>
            <w:vAlign w:val="center"/>
            <w:vMerge w:val="continue"/>
            <w:textDirection w:val="lrTb"/>
            <w:noWrap w:val="false"/>
          </w:tcPr>
          <w:p>
            <w:pPr>
              <w:jc w:val="center"/>
              <w:spacing w:line="360" w:lineRule="auto"/>
              <w:rPr>
                <w:bCs/>
                <w:color w:val="auto"/>
                <w:highlight w:val="none"/>
              </w:rPr>
            </w:pPr>
            <w:r>
              <w:rPr>
                <w:bCs/>
                <w:color w:val="auto"/>
                <w:highlight w:val="none"/>
              </w:rPr>
            </w:r>
            <w:r/>
          </w:p>
        </w:tc>
        <w:tc>
          <w:tcPr>
            <w:tcW w:w="3105"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码流采集设备</w:t>
            </w:r>
            <w:r/>
          </w:p>
        </w:tc>
        <w:tc>
          <w:tcPr>
            <w:tcW w:w="109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4</w:t>
            </w:r>
            <w:r/>
          </w:p>
        </w:tc>
        <w:tc>
          <w:tcPr>
            <w:tcW w:w="1275"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台</w:t>
            </w:r>
            <w:r/>
          </w:p>
        </w:tc>
        <w:tc>
          <w:tcPr>
            <w:tcW w:w="1559" w:type="dxa"/>
            <w:vAlign w:val="center"/>
            <w:textDirection w:val="lrTb"/>
            <w:noWrap w:val="false"/>
          </w:tcPr>
          <w:p>
            <w:pPr>
              <w:jc w:val="center"/>
              <w:spacing w:line="360" w:lineRule="auto"/>
              <w:rPr>
                <w:bCs/>
                <w:color w:val="auto"/>
                <w:highlight w:val="none"/>
                <w:lang w:val="en-US" w:bidi="ar-SA"/>
              </w:rPr>
            </w:pPr>
            <w:r>
              <w:rPr>
                <w:bCs/>
                <w:color w:val="auto"/>
                <w:highlight w:val="none"/>
                <w:lang w:val="en-US" w:bidi="ar-SA"/>
              </w:rPr>
            </w:r>
            <w:r/>
          </w:p>
        </w:tc>
      </w:tr>
    </w:tbl>
    <w:p>
      <w:pPr>
        <w:jc w:val="both"/>
        <w:spacing w:line="360" w:lineRule="auto"/>
        <w:rPr>
          <w:b/>
          <w:color w:val="auto"/>
          <w:highlight w:val="none"/>
          <w:lang w:val="en-US" w:bidi="ar-SA"/>
        </w:rPr>
      </w:pPr>
      <w:r>
        <w:rPr>
          <w:rFonts w:hint="eastAsia"/>
          <w:b/>
          <w:color w:val="auto"/>
          <w:highlight w:val="none"/>
          <w:lang w:val="en-US" w:bidi="ar-SA"/>
        </w:rPr>
        <w:t xml:space="preserve">三、技术参数要求</w:t>
      </w:r>
      <w:r/>
    </w:p>
    <w:p>
      <w:pPr>
        <w:jc w:val="both"/>
        <w:spacing w:line="360" w:lineRule="auto"/>
        <w:rPr>
          <w:b/>
          <w:color w:val="auto"/>
          <w:highlight w:val="none"/>
          <w:lang w:val="en-US" w:bidi="ar-SA"/>
        </w:rPr>
      </w:pPr>
      <w:r>
        <w:rPr>
          <w:rFonts w:hint="eastAsia"/>
          <w:b/>
          <w:color w:val="auto"/>
          <w:highlight w:val="none"/>
          <w:lang w:val="en-US" w:bidi="ar-SA"/>
        </w:rPr>
        <w:t xml:space="preserve">（一）、信号设备</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70"/>
        <w:gridCol w:w="7391"/>
      </w:tblGrid>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序号</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设备名称</w:t>
            </w:r>
            <w:r/>
          </w:p>
        </w:tc>
        <w:tc>
          <w:tcPr>
            <w:tcW w:w="739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技术参数</w:t>
            </w:r>
            <w:r/>
          </w:p>
        </w:tc>
      </w:tr>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复用器</w:t>
            </w:r>
            <w:r/>
          </w:p>
        </w:tc>
        <w:tc>
          <w:tcPr>
            <w:tcW w:w="7391" w:type="dxa"/>
            <w:vAlign w:val="center"/>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可替换地数省前端当前在用复用器且技术指标不低于现有设备，满足自主可控和可集成性要求，必须包含以下功能：</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1)设备为1U嵌入式架构，非X86架构；（提供第三方检测机构出具的检测报告复印件并加盖公章，检测报告内容须覆盖本条所列技术指标）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2)设备为插卡式结构，具备不少于6个通用卡槽，可扩展提供各类接口、功能，例如编码、解码、调制、卫星接收、ASI接口、DS3接口等；（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3)设备机框具备至少4路全双工SFP接口（2+2），光模块、电模块可选（为通信安全且避免占用设备板卡槽位，不得采用IP接口卡等简易扩展IP的方式），单个IP接口输入或输出码率不低于900Mbps；（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4)设备前面板具备LCD液晶显示面板及板卡状态指示灯，方便设备信息查询；（提供第三方检测机构出具的检测报告复印件并加盖公章，检测报告内容须覆盖本条所列技术指标）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5)提供5个可自定义为输入输出的ASI端口；（提供第三方检测机构出具的检测报告复印件并加盖公章，检测报告内容须覆盖本条所列技术指标）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bCs/>
                <w:color w:val="auto"/>
                <w:highlight w:val="none"/>
                <w:lang w:val="en-US" w:bidi="ar-SA"/>
              </w:rPr>
              <w:t xml:space="preserve">6)背板端口备份和节目备份授权，不少于256个端口备份和256个节目备份；</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7)</w:t>
            </w:r>
            <w:r>
              <w:rPr>
                <w:rFonts w:hint="eastAsia"/>
                <w:color w:val="auto"/>
                <w:highlight w:val="none"/>
              </w:rPr>
              <w:t xml:space="preserve"> </w:t>
            </w:r>
            <w:r>
              <w:rPr>
                <w:bCs/>
                <w:color w:val="auto"/>
                <w:highlight w:val="none"/>
                <w:lang w:val="en-US" w:bidi="ar-SA"/>
              </w:rPr>
              <w:t xml:space="preserve">具备有效期内的广播电视设备器材入网认定证书，证书品种应覆盖所投产品，并提供可查询的证明材料</w:t>
            </w:r>
            <w:r>
              <w:rPr>
                <w:rFonts w:hint="eastAsia"/>
                <w:bCs/>
                <w:color w:val="auto"/>
                <w:highlight w:val="none"/>
                <w:lang w:val="en-US" w:bidi="ar-SA"/>
              </w:rPr>
              <w:t xml:space="preserve">；</w:t>
            </w:r>
            <w:r/>
          </w:p>
          <w:p>
            <w:pPr>
              <w:jc w:val="left"/>
              <w:spacing w:line="360" w:lineRule="auto"/>
              <w:rPr>
                <w:bCs/>
                <w:color w:val="auto"/>
                <w:highlight w:val="none"/>
                <w:lang w:val="en-US" w:bidi="ar-SA"/>
              </w:rPr>
            </w:pPr>
            <w:r>
              <w:rPr>
                <w:color w:val="auto"/>
                <w:highlight w:val="none"/>
              </w:rPr>
              <w:t xml:space="preserve">★</w:t>
            </w:r>
            <w:r>
              <w:rPr>
                <w:rFonts w:hint="eastAsia"/>
                <w:bCs/>
                <w:color w:val="auto"/>
                <w:highlight w:val="none"/>
                <w:lang w:val="en-US" w:bidi="ar-SA"/>
              </w:rPr>
              <w:t xml:space="preserve">8</w:t>
            </w:r>
            <w:r>
              <w:rPr>
                <w:bCs/>
                <w:color w:val="auto"/>
                <w:highlight w:val="none"/>
                <w:lang w:val="en-US" w:bidi="ar-SA"/>
              </w:rPr>
              <w:t xml:space="preserve">)设备具备高可靠性，须保障无故障运行时间大于100000小时</w:t>
            </w:r>
            <w:r>
              <w:rPr>
                <w:rFonts w:hint="eastAsia"/>
                <w:bCs/>
                <w:color w:val="auto"/>
                <w:highlight w:val="none"/>
                <w:lang w:val="en-US" w:bidi="ar-SA"/>
              </w:rPr>
              <w:t xml:space="preserve">；（</w:t>
            </w:r>
            <w:r>
              <w:rPr>
                <w:bCs/>
                <w:color w:val="auto"/>
                <w:highlight w:val="none"/>
                <w:lang w:val="en-US" w:bidi="ar-SA"/>
              </w:rPr>
              <w:t xml:space="preserve">提供第三方检测机构出具的产品可靠性检验证书，并提供相关证书复印件</w:t>
            </w:r>
            <w:r>
              <w:rPr>
                <w:rFonts w:hint="eastAsia"/>
                <w:bCs/>
                <w:color w:val="auto"/>
                <w:highlight w:val="none"/>
                <w:lang w:val="en-US" w:bidi="ar-SA"/>
              </w:rPr>
              <w:t xml:space="preserve">）</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9</w:t>
            </w:r>
            <w:r>
              <w:rPr>
                <w:bCs/>
                <w:color w:val="auto"/>
                <w:highlight w:val="none"/>
                <w:lang w:val="en-US" w:bidi="ar-SA"/>
              </w:rPr>
              <w:t xml:space="preserve">)设备符合环境标志产品技术规范要求</w:t>
            </w:r>
            <w:r>
              <w:rPr>
                <w:rFonts w:hint="eastAsia"/>
                <w:bCs/>
                <w:color w:val="auto"/>
                <w:highlight w:val="none"/>
                <w:lang w:val="en-US" w:bidi="ar-SA"/>
              </w:rPr>
              <w:t xml:space="preserve">；</w:t>
            </w:r>
            <w:r>
              <w:rPr>
                <w:bCs/>
                <w:color w:val="auto"/>
                <w:highlight w:val="none"/>
                <w:lang w:val="en-US" w:bidi="ar-SA"/>
              </w:rPr>
              <w:t xml:space="preserve">（提供第三方检测机构出具的检测报告复印件并加盖公章，检测报告内容须覆盖本条所列技术指标）</w:t>
            </w:r>
            <w:r/>
          </w:p>
          <w:p>
            <w:pPr>
              <w:jc w:val="left"/>
              <w:spacing w:line="360" w:lineRule="auto"/>
              <w:rPr>
                <w:bCs/>
                <w:color w:val="auto"/>
                <w:highlight w:val="none"/>
                <w:lang w:val="en-US" w:bidi="ar-SA"/>
              </w:rPr>
            </w:pPr>
            <w:r>
              <w:rPr>
                <w:rFonts w:hint="eastAsia"/>
                <w:bCs/>
                <w:color w:val="auto"/>
                <w:highlight w:val="none"/>
                <w:lang w:val="en-US" w:bidi="ar-SA"/>
              </w:rPr>
              <w:t xml:space="preserve">10)提供双电源供电方式，电源提供交/直流可选，提供电源模块的热备份及热插拔，在更换电源模块时不会导致业务中断；</w:t>
            </w:r>
            <w:r/>
          </w:p>
          <w:p>
            <w:pPr>
              <w:jc w:val="left"/>
              <w:spacing w:line="360" w:lineRule="auto"/>
              <w:rPr>
                <w:bCs/>
                <w:color w:val="auto"/>
                <w:highlight w:val="none"/>
                <w:lang w:val="en-US" w:bidi="ar-SA"/>
              </w:rPr>
            </w:pPr>
            <w:r>
              <w:rPr>
                <w:rFonts w:hint="eastAsia"/>
                <w:bCs/>
                <w:color w:val="auto"/>
                <w:highlight w:val="none"/>
                <w:lang w:val="en-US" w:bidi="ar-SA"/>
              </w:rPr>
              <w:t xml:space="preserve">11)提供基于WEB的中文图像用户界面的设备管理和业务配置；</w:t>
            </w:r>
            <w:r/>
          </w:p>
          <w:p>
            <w:pPr>
              <w:jc w:val="left"/>
              <w:spacing w:line="360" w:lineRule="auto"/>
              <w:rPr>
                <w:bCs/>
                <w:color w:val="auto"/>
                <w:highlight w:val="none"/>
                <w:lang w:val="en-US" w:bidi="ar-SA"/>
              </w:rPr>
            </w:pPr>
            <w:r>
              <w:rPr>
                <w:rFonts w:hint="eastAsia"/>
                <w:bCs/>
                <w:color w:val="auto"/>
                <w:highlight w:val="none"/>
                <w:lang w:val="en-US" w:bidi="ar-SA"/>
              </w:rPr>
              <w:t xml:space="preserve">12)设备提供独立的控制网口，可实现基于SNMP的集中网络管理，可通过统一网管软件系统的监控管理进行设备配置，并实现通过网管统一集中进行状态监控，并可提供软件升级。同时应提供设备通信协议，协议应与原设备一致，便于无缝接入原来的监控系统；</w:t>
            </w:r>
            <w:r/>
          </w:p>
        </w:tc>
      </w:tr>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2</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3米C波段卫星接收天线</w:t>
            </w:r>
            <w:r/>
          </w:p>
        </w:tc>
        <w:tc>
          <w:tcPr>
            <w:tcW w:w="7391" w:type="dxa"/>
            <w:vAlign w:val="center"/>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1)天线主体3.0m、主焦、精度≤2.0mm RMS、立柱式；</w:t>
            </w:r>
            <w:r/>
          </w:p>
          <w:p>
            <w:pPr>
              <w:jc w:val="left"/>
              <w:spacing w:line="360" w:lineRule="auto"/>
              <w:rPr>
                <w:bCs/>
                <w:color w:val="auto"/>
                <w:highlight w:val="none"/>
                <w:lang w:val="en-US" w:bidi="ar-SA"/>
              </w:rPr>
            </w:pPr>
            <w:r>
              <w:rPr>
                <w:rFonts w:hint="eastAsia"/>
                <w:bCs/>
                <w:color w:val="auto"/>
                <w:highlight w:val="none"/>
                <w:lang w:val="en-US" w:bidi="ar-SA"/>
              </w:rPr>
              <w:t xml:space="preserve">2)增益≥39.3 </w:t>
            </w:r>
            <w:r>
              <w:rPr>
                <w:color w:val="auto"/>
                <w:highlight w:val="none"/>
              </w:rPr>
              <w:fldChar w:fldCharType="begin"/>
            </w:r>
            <w:r>
              <w:rPr>
                <w:color w:val="auto"/>
                <w:highlight w:val="none"/>
              </w:rPr>
              <w:instrText xml:space="preserve"> HYPERLINK "mailto:dBi@3.8GHz、旁瓣满足%20CCIR%20580-5" </w:instrText>
            </w:r>
            <w:r>
              <w:rPr>
                <w:color w:val="auto"/>
                <w:highlight w:val="none"/>
              </w:rPr>
              <w:fldChar w:fldCharType="separate"/>
            </w:r>
            <w:r>
              <w:rPr>
                <w:rFonts w:hint="eastAsia"/>
                <w:color w:val="auto"/>
                <w:highlight w:val="none"/>
                <w:lang w:val="en-US" w:bidi="ar-SA"/>
              </w:rPr>
              <w:t xml:space="preserve">dBi@3.8GHz、旁瓣满足CCIR 580-5</w:t>
            </w:r>
            <w:r>
              <w:rPr>
                <w:rFonts w:hint="eastAsia"/>
                <w:color w:val="auto"/>
                <w:highlight w:val="none"/>
                <w:lang w:val="en-US" w:bidi="ar-SA"/>
              </w:rPr>
              <w:fldChar w:fldCharType="end"/>
            </w:r>
            <w:r>
              <w:rPr>
                <w:rFonts w:hint="eastAsia"/>
                <w:color w:val="auto"/>
                <w:highlight w:val="none"/>
                <w:lang w:val="en-US" w:bidi="ar-SA"/>
              </w:rPr>
              <w:t xml:space="preserve">；</w:t>
            </w:r>
            <w:r/>
          </w:p>
          <w:p>
            <w:pPr>
              <w:jc w:val="left"/>
              <w:spacing w:line="360" w:lineRule="auto"/>
              <w:rPr>
                <w:bCs/>
                <w:color w:val="auto"/>
                <w:highlight w:val="none"/>
                <w:lang w:val="en-US" w:bidi="ar-SA"/>
              </w:rPr>
            </w:pPr>
            <w:r>
              <w:rPr>
                <w:rFonts w:hint="eastAsia"/>
                <w:bCs/>
                <w:color w:val="auto"/>
                <w:highlight w:val="none"/>
                <w:lang w:val="en-US" w:bidi="ar-SA"/>
              </w:rPr>
              <w:t xml:space="preserve">3)指向与驱动：手动；方位0–360°、俯仰0–90°、极化±180°；</w:t>
            </w:r>
            <w:r/>
          </w:p>
          <w:p>
            <w:pPr>
              <w:jc w:val="left"/>
              <w:spacing w:line="360" w:lineRule="auto"/>
              <w:rPr>
                <w:bCs/>
                <w:color w:val="auto"/>
                <w:highlight w:val="none"/>
                <w:lang w:val="en-US" w:bidi="ar-SA"/>
              </w:rPr>
            </w:pPr>
            <w:r>
              <w:rPr>
                <w:rFonts w:hint="eastAsia"/>
                <w:bCs/>
                <w:color w:val="auto"/>
                <w:highlight w:val="none"/>
                <w:lang w:val="en-US" w:bidi="ar-SA"/>
              </w:rPr>
              <w:t xml:space="preserve">4)机械环境：工作风速97km/h、生存风速≥200km/h、温度-40至+60℃、裹冰13/25mm；</w:t>
            </w:r>
            <w:r/>
          </w:p>
          <w:p>
            <w:pPr>
              <w:jc w:val="left"/>
              <w:spacing w:line="360" w:lineRule="auto"/>
              <w:rPr>
                <w:bCs/>
                <w:color w:val="auto"/>
                <w:highlight w:val="none"/>
                <w:lang w:val="en-US" w:bidi="ar-SA"/>
              </w:rPr>
            </w:pPr>
            <w:r>
              <w:rPr>
                <w:rFonts w:hint="eastAsia"/>
                <w:bCs/>
                <w:color w:val="auto"/>
                <w:highlight w:val="none"/>
                <w:lang w:val="en-US" w:bidi="ar-SA"/>
              </w:rPr>
              <w:t xml:space="preserve">5)底座浇筑、天线安装</w:t>
            </w:r>
            <w:r>
              <w:rPr>
                <w:bCs/>
                <w:color w:val="auto"/>
                <w:highlight w:val="none"/>
                <w:lang w:val="en-US" w:bidi="ar-SA"/>
              </w:rPr>
              <w:t xml:space="preserve">、对星调试、原天线拆除工作</w:t>
            </w:r>
            <w:r>
              <w:rPr>
                <w:rFonts w:hint="eastAsia"/>
                <w:bCs/>
                <w:color w:val="auto"/>
                <w:highlight w:val="none"/>
                <w:lang w:val="en-US" w:bidi="ar-SA"/>
              </w:rPr>
              <w:t xml:space="preserve">；</w:t>
            </w:r>
            <w:r/>
          </w:p>
          <w:p>
            <w:pPr>
              <w:jc w:val="left"/>
              <w:spacing w:line="360" w:lineRule="auto"/>
              <w:rPr>
                <w:bCs/>
                <w:color w:val="auto"/>
                <w:highlight w:val="none"/>
                <w:lang w:val="en-US" w:bidi="ar-SA"/>
              </w:rPr>
            </w:pPr>
            <w:r>
              <w:rPr>
                <w:rFonts w:hint="eastAsia"/>
                <w:bCs/>
                <w:color w:val="auto"/>
                <w:highlight w:val="none"/>
                <w:lang w:val="en-US" w:bidi="ar-SA"/>
              </w:rPr>
              <w:t xml:space="preserve">6)其中一套卫星天线提供融雪系统，由采购人指定安装位置。</w:t>
            </w:r>
            <w:r/>
          </w:p>
        </w:tc>
      </w:tr>
    </w:tbl>
    <w:p>
      <w:pPr>
        <w:ind w:firstLine="433"/>
        <w:jc w:val="both"/>
        <w:spacing w:line="360" w:lineRule="auto"/>
        <w:rPr>
          <w:b/>
          <w:color w:val="auto"/>
          <w:highlight w:val="none"/>
          <w:lang w:val="en-US" w:bidi="ar-SA"/>
        </w:rPr>
      </w:pPr>
      <w:r>
        <w:rPr>
          <w:b/>
          <w:color w:val="auto"/>
          <w:highlight w:val="none"/>
          <w:lang w:val="en-US" w:bidi="ar-SA"/>
        </w:rPr>
      </w:r>
      <w:r/>
    </w:p>
    <w:p>
      <w:pPr>
        <w:jc w:val="both"/>
        <w:spacing w:line="360" w:lineRule="auto"/>
        <w:rPr>
          <w:b/>
          <w:color w:val="auto"/>
          <w:highlight w:val="none"/>
          <w:lang w:val="en-US" w:bidi="ar-SA"/>
        </w:rPr>
        <w:sectPr>
          <w:headerReference w:type="default" r:id="rId9"/>
          <w:footerReference w:type="default" r:id="rId11"/>
          <w:footnotePr/>
          <w:endnotePr/>
          <w:type w:val="nextPage"/>
          <w:pgSz w:w="11910" w:h="16840" w:orient="portrait"/>
          <w:pgMar w:top="1134" w:right="1134" w:bottom="1134" w:left="1134" w:header="567" w:footer="567" w:gutter="0"/>
          <w:cols w:num="1" w:sep="0" w:space="720" w:equalWidth="1"/>
          <w:docGrid w:linePitch="360"/>
        </w:sectPr>
      </w:pPr>
      <w:r>
        <w:rPr>
          <w:b/>
          <w:color w:val="auto"/>
          <w:highlight w:val="none"/>
          <w:lang w:val="en-US" w:bidi="ar-SA"/>
        </w:rPr>
      </w:r>
      <w:r/>
    </w:p>
    <w:p>
      <w:pPr>
        <w:jc w:val="both"/>
        <w:spacing w:line="360" w:lineRule="auto"/>
        <w:rPr>
          <w:b/>
          <w:color w:val="auto"/>
          <w:highlight w:val="none"/>
          <w:lang w:val="en-US" w:bidi="ar-SA"/>
        </w:rPr>
      </w:pPr>
      <w:r>
        <w:rPr>
          <w:rFonts w:hint="eastAsia"/>
          <w:b/>
          <w:color w:val="auto"/>
          <w:highlight w:val="none"/>
          <w:lang w:val="en-US" w:bidi="ar-SA"/>
        </w:rPr>
        <w:t xml:space="preserve">（二）、监控大屏</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70"/>
        <w:gridCol w:w="7391"/>
      </w:tblGrid>
      <w:tr>
        <w:trPr/>
        <w:tc>
          <w:tcPr>
            <w:tcW w:w="771" w:type="dxa"/>
            <w:vAlign w:val="center"/>
            <w:textDirection w:val="lrTb"/>
            <w:noWrap w:val="false"/>
          </w:tcPr>
          <w:p>
            <w:pPr>
              <w:jc w:val="center"/>
              <w:spacing w:line="360" w:lineRule="auto"/>
              <w:rPr>
                <w:b/>
                <w:color w:val="auto"/>
                <w:highlight w:val="none"/>
                <w:lang w:val="en-US" w:bidi="ar-SA"/>
              </w:rPr>
            </w:pPr>
            <w:r>
              <w:rPr>
                <w:rFonts w:hint="eastAsia"/>
                <w:bCs/>
                <w:color w:val="auto"/>
                <w:highlight w:val="none"/>
                <w:lang w:val="en-US" w:bidi="ar-SA"/>
              </w:rPr>
              <w:t xml:space="preserve">序号</w:t>
            </w:r>
            <w:r/>
          </w:p>
        </w:tc>
        <w:tc>
          <w:tcPr>
            <w:tcW w:w="1470" w:type="dxa"/>
            <w:vAlign w:val="center"/>
            <w:textDirection w:val="lrTb"/>
            <w:noWrap w:val="false"/>
          </w:tcPr>
          <w:p>
            <w:pPr>
              <w:jc w:val="center"/>
              <w:spacing w:line="360" w:lineRule="auto"/>
              <w:rPr>
                <w:b/>
                <w:color w:val="auto"/>
                <w:highlight w:val="none"/>
                <w:lang w:val="en-US" w:bidi="ar-SA"/>
              </w:rPr>
            </w:pPr>
            <w:r>
              <w:rPr>
                <w:rFonts w:hint="eastAsia"/>
                <w:bCs/>
                <w:color w:val="auto"/>
                <w:highlight w:val="none"/>
                <w:lang w:val="en-US" w:bidi="ar-SA"/>
              </w:rPr>
              <w:t xml:space="preserve">设备名称</w:t>
            </w:r>
            <w:r/>
          </w:p>
        </w:tc>
        <w:tc>
          <w:tcPr>
            <w:tcW w:w="7391" w:type="dxa"/>
            <w:vAlign w:val="center"/>
            <w:textDirection w:val="lrTb"/>
            <w:noWrap w:val="false"/>
          </w:tcPr>
          <w:p>
            <w:pPr>
              <w:jc w:val="center"/>
              <w:spacing w:line="360" w:lineRule="auto"/>
              <w:rPr>
                <w:b/>
                <w:color w:val="auto"/>
                <w:highlight w:val="none"/>
                <w:lang w:val="en-US" w:bidi="ar-SA"/>
              </w:rPr>
            </w:pPr>
            <w:r>
              <w:rPr>
                <w:rFonts w:hint="eastAsia"/>
                <w:bCs/>
                <w:color w:val="auto"/>
                <w:highlight w:val="none"/>
                <w:lang w:val="en-US" w:bidi="ar-SA"/>
              </w:rPr>
              <w:t xml:space="preserve">技术参数</w:t>
            </w:r>
            <w:r/>
          </w:p>
        </w:tc>
      </w:tr>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显示设备</w:t>
            </w:r>
            <w:r/>
          </w:p>
        </w:tc>
        <w:tc>
          <w:tcPr>
            <w:tcW w:w="7391"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1)屏幕：55英寸，16:9，可视面积≥1209.6×680.3mm；</w:t>
            </w:r>
            <w:r/>
          </w:p>
          <w:p>
            <w:pPr>
              <w:jc w:val="left"/>
              <w:spacing w:line="360" w:lineRule="auto"/>
              <w:rPr>
                <w:bCs/>
                <w:color w:val="auto"/>
                <w:highlight w:val="none"/>
                <w:lang w:val="en-US" w:bidi="ar-SA"/>
              </w:rPr>
            </w:pPr>
            <w:r>
              <w:rPr>
                <w:rFonts w:hint="eastAsia"/>
                <w:bCs/>
                <w:color w:val="auto"/>
                <w:highlight w:val="none"/>
                <w:lang w:val="en-US" w:bidi="ar-SA"/>
              </w:rPr>
              <w:t xml:space="preserve">2)面板：IPS（或S-IPS）工业级液晶面板，直下式LED背光，屏面防眩光处理；</w:t>
            </w:r>
            <w:r/>
          </w:p>
          <w:p>
            <w:pPr>
              <w:jc w:val="left"/>
              <w:spacing w:line="360" w:lineRule="auto"/>
              <w:rPr>
                <w:bCs/>
                <w:color w:val="auto"/>
                <w:highlight w:val="none"/>
                <w:lang w:val="en-US" w:bidi="ar-SA"/>
              </w:rPr>
            </w:pPr>
            <w:r>
              <w:rPr>
                <w:rFonts w:hint="eastAsia"/>
                <w:bCs/>
                <w:color w:val="auto"/>
                <w:highlight w:val="none"/>
                <w:lang w:val="en-US" w:bidi="ar-SA"/>
              </w:rPr>
              <w:t xml:space="preserve">3)拼缝：单边边框≤0.44mm，相邻两屏拼缝（边到边）合计≤0.88mm；</w:t>
            </w:r>
            <w:r/>
          </w:p>
          <w:p>
            <w:pPr>
              <w:jc w:val="left"/>
              <w:spacing w:line="360" w:lineRule="auto"/>
              <w:rPr>
                <w:bCs/>
                <w:color w:val="auto"/>
                <w:highlight w:val="none"/>
                <w:lang w:val="en-US" w:bidi="ar-SA"/>
              </w:rPr>
            </w:pPr>
            <w:r>
              <w:rPr>
                <w:rFonts w:hint="eastAsia"/>
                <w:bCs/>
                <w:color w:val="auto"/>
                <w:highlight w:val="none"/>
                <w:lang w:val="en-US" w:bidi="ar-SA"/>
              </w:rPr>
              <w:t xml:space="preserve">4)分辨率：≥1920×1080@60Hz，提供1080P/60逐行信号；</w:t>
            </w:r>
            <w:r/>
          </w:p>
          <w:p>
            <w:pPr>
              <w:jc w:val="left"/>
              <w:spacing w:line="360" w:lineRule="auto"/>
              <w:rPr>
                <w:bCs/>
                <w:color w:val="auto"/>
                <w:highlight w:val="none"/>
                <w:lang w:val="en-US" w:bidi="ar-SA"/>
              </w:rPr>
            </w:pPr>
            <w:r>
              <w:rPr>
                <w:rFonts w:hint="eastAsia"/>
                <w:bCs/>
                <w:color w:val="auto"/>
                <w:highlight w:val="none"/>
                <w:lang w:val="en-US" w:bidi="ar-SA"/>
              </w:rPr>
              <w:t xml:space="preserve">5)亮度：≥500 cd/m²（典型值）；</w:t>
            </w:r>
            <w:r/>
          </w:p>
          <w:p>
            <w:pPr>
              <w:jc w:val="left"/>
              <w:spacing w:line="360" w:lineRule="auto"/>
              <w:rPr>
                <w:bCs/>
                <w:color w:val="auto"/>
                <w:highlight w:val="none"/>
                <w:lang w:val="en-US" w:bidi="ar-SA"/>
              </w:rPr>
            </w:pPr>
            <w:r>
              <w:rPr>
                <w:rFonts w:hint="eastAsia"/>
                <w:bCs/>
                <w:color w:val="auto"/>
                <w:highlight w:val="none"/>
                <w:lang w:val="en-US" w:bidi="ar-SA"/>
              </w:rPr>
              <w:t xml:space="preserve">6)对比度：≥1100:1（典型值，静态；</w:t>
            </w:r>
            <w:r/>
          </w:p>
          <w:p>
            <w:pPr>
              <w:jc w:val="left"/>
              <w:spacing w:line="360" w:lineRule="auto"/>
              <w:rPr>
                <w:bCs/>
                <w:color w:val="auto"/>
                <w:highlight w:val="none"/>
                <w:lang w:val="en-US" w:bidi="ar-SA"/>
              </w:rPr>
            </w:pPr>
            <w:r>
              <w:rPr>
                <w:rFonts w:hint="eastAsia"/>
                <w:bCs/>
                <w:color w:val="auto"/>
                <w:highlight w:val="none"/>
                <w:lang w:val="en-US" w:bidi="ar-SA"/>
              </w:rPr>
              <w:t xml:space="preserve">7)可视角度：≥178°/178°（对比度≥10时）；</w:t>
            </w:r>
            <w:r/>
          </w:p>
          <w:p>
            <w:pPr>
              <w:jc w:val="left"/>
              <w:spacing w:line="360" w:lineRule="auto"/>
              <w:rPr>
                <w:bCs/>
                <w:color w:val="auto"/>
                <w:highlight w:val="none"/>
                <w:lang w:val="en-US" w:bidi="ar-SA"/>
              </w:rPr>
            </w:pPr>
            <w:r>
              <w:rPr>
                <w:rFonts w:hint="eastAsia"/>
                <w:bCs/>
                <w:color w:val="auto"/>
                <w:highlight w:val="none"/>
                <w:lang w:val="en-US" w:bidi="ar-SA"/>
              </w:rPr>
              <w:t xml:space="preserve">8)响应时间：≤8ms（G to G）；</w:t>
            </w:r>
            <w:r/>
          </w:p>
          <w:p>
            <w:pPr>
              <w:jc w:val="left"/>
              <w:spacing w:line="360" w:lineRule="auto"/>
              <w:rPr>
                <w:bCs/>
                <w:color w:val="auto"/>
                <w:highlight w:val="none"/>
                <w:lang w:val="en-US" w:bidi="ar-SA"/>
              </w:rPr>
            </w:pPr>
            <w:r>
              <w:rPr>
                <w:rFonts w:hint="eastAsia"/>
                <w:bCs/>
                <w:color w:val="auto"/>
                <w:highlight w:val="none"/>
                <w:lang w:val="en-US" w:bidi="ar-SA"/>
              </w:rPr>
              <w:t xml:space="preserve">9)色彩：不低于16.7M色（8bit）；</w:t>
            </w:r>
            <w:r/>
          </w:p>
          <w:p>
            <w:pPr>
              <w:jc w:val="left"/>
              <w:spacing w:line="360" w:lineRule="auto"/>
              <w:rPr>
                <w:bCs/>
                <w:color w:val="auto"/>
                <w:highlight w:val="none"/>
                <w:lang w:val="en-US" w:bidi="ar-SA"/>
              </w:rPr>
            </w:pPr>
            <w:r>
              <w:rPr>
                <w:rFonts w:hint="eastAsia"/>
                <w:bCs/>
                <w:color w:val="auto"/>
                <w:highlight w:val="none"/>
                <w:lang w:val="en-US" w:bidi="ar-SA"/>
              </w:rPr>
              <w:t xml:space="preserve">10)亮度均匀性：九点均匀性≥85%；</w:t>
            </w:r>
            <w:r/>
          </w:p>
          <w:p>
            <w:pPr>
              <w:jc w:val="left"/>
              <w:spacing w:line="360" w:lineRule="auto"/>
              <w:rPr>
                <w:bCs/>
                <w:strike/>
                <w:color w:val="auto"/>
                <w:highlight w:val="none"/>
                <w:lang w:val="en-US" w:bidi="ar-SA"/>
              </w:rPr>
            </w:pPr>
            <w:r>
              <w:rPr>
                <w:rFonts w:hint="eastAsia"/>
                <w:bCs/>
                <w:color w:val="auto"/>
                <w:highlight w:val="none"/>
                <w:lang w:val="en-US" w:bidi="ar-SA"/>
              </w:rPr>
              <w:t xml:space="preserve">11)色度一致性：同批次各屏之间色差ΔE≤3；</w:t>
            </w:r>
            <w:r/>
          </w:p>
          <w:p>
            <w:pPr>
              <w:jc w:val="left"/>
              <w:spacing w:line="360" w:lineRule="auto"/>
              <w:rPr>
                <w:bCs/>
                <w:color w:val="auto"/>
                <w:highlight w:val="none"/>
                <w:lang w:val="en-US" w:bidi="ar-SA"/>
              </w:rPr>
            </w:pPr>
            <w:r>
              <w:rPr>
                <w:rFonts w:hint="eastAsia"/>
                <w:bCs/>
                <w:color w:val="auto"/>
                <w:highlight w:val="none"/>
                <w:lang w:val="en-US" w:bidi="ar-SA"/>
              </w:rPr>
              <w:t xml:space="preserve">12)坏点：符合ISO 9241-307 Class II及以上，屏面中心区不得有亮点；</w:t>
            </w:r>
            <w:r/>
          </w:p>
          <w:p>
            <w:pPr>
              <w:jc w:val="left"/>
              <w:spacing w:line="360" w:lineRule="auto"/>
              <w:rPr>
                <w:bCs/>
                <w:color w:val="auto"/>
                <w:highlight w:val="none"/>
                <w:lang w:val="en-US" w:bidi="ar-SA"/>
              </w:rPr>
            </w:pPr>
            <w:r>
              <w:rPr>
                <w:bCs/>
                <w:color w:val="auto"/>
                <w:highlight w:val="none"/>
                <w:lang w:val="en-US"/>
              </w:rPr>
              <w:t xml:space="preserve">▲</w:t>
            </w:r>
            <w:r>
              <w:rPr>
                <w:rFonts w:hint="eastAsia"/>
                <w:bCs/>
                <w:color w:val="auto"/>
                <w:highlight w:val="none"/>
                <w:lang w:val="en-US" w:bidi="ar-SA"/>
              </w:rPr>
              <w:t xml:space="preserve">13)使用寿命：面板标称寿命≥60000小时；（提供第三方检测报告）</w:t>
            </w:r>
            <w:r/>
          </w:p>
          <w:p>
            <w:pPr>
              <w:jc w:val="left"/>
              <w:spacing w:line="360" w:lineRule="auto"/>
              <w:rPr>
                <w:bCs/>
                <w:color w:val="auto"/>
                <w:highlight w:val="none"/>
                <w:lang w:val="en-US" w:bidi="ar-SA"/>
              </w:rPr>
            </w:pPr>
            <w:r>
              <w:rPr>
                <w:rFonts w:hint="eastAsia"/>
                <w:bCs/>
                <w:color w:val="auto"/>
                <w:highlight w:val="none"/>
                <w:lang w:val="en-US" w:bidi="ar-SA"/>
              </w:rPr>
              <w:t xml:space="preserve">14)信号输入：DVI-D×1、HDMI×2、DisplayPort×1；</w:t>
            </w:r>
            <w:r/>
          </w:p>
          <w:p>
            <w:pPr>
              <w:jc w:val="left"/>
              <w:spacing w:line="360" w:lineRule="auto"/>
              <w:rPr>
                <w:bCs/>
                <w:color w:val="auto"/>
                <w:highlight w:val="none"/>
                <w:lang w:val="en-US" w:bidi="ar-SA"/>
              </w:rPr>
            </w:pPr>
            <w:r>
              <w:rPr>
                <w:rFonts w:hint="eastAsia"/>
                <w:bCs/>
                <w:color w:val="auto"/>
                <w:highlight w:val="none"/>
                <w:lang w:val="en-US" w:bidi="ar-SA"/>
              </w:rPr>
              <w:t xml:space="preserve">15)信号环出：具备数字信号环出（DP或HDMI daisy chain）能力；</w:t>
            </w:r>
            <w:r/>
          </w:p>
          <w:p>
            <w:pPr>
              <w:jc w:val="left"/>
              <w:spacing w:line="360" w:lineRule="auto"/>
              <w:rPr>
                <w:bCs/>
                <w:color w:val="auto"/>
                <w:highlight w:val="none"/>
                <w:lang w:val="en-US" w:bidi="ar-SA"/>
              </w:rPr>
            </w:pPr>
            <w:r>
              <w:rPr>
                <w:rFonts w:hint="eastAsia"/>
                <w:bCs/>
                <w:color w:val="auto"/>
                <w:highlight w:val="none"/>
                <w:lang w:val="en-US" w:bidi="ar-SA"/>
              </w:rPr>
              <w:t xml:space="preserve">16)控制接口：RS-232C输入×1及环出×1，LAN 100M网口×1，提供显示单元ID编址（不少于1~9）；</w:t>
            </w:r>
            <w:r/>
          </w:p>
          <w:p>
            <w:pPr>
              <w:jc w:val="left"/>
              <w:spacing w:line="360" w:lineRule="auto"/>
              <w:rPr>
                <w:bCs/>
                <w:color w:val="auto"/>
                <w:highlight w:val="none"/>
                <w:lang w:val="en-US" w:bidi="ar-SA"/>
              </w:rPr>
            </w:pPr>
            <w:r>
              <w:rPr>
                <w:rFonts w:hint="eastAsia"/>
                <w:bCs/>
                <w:color w:val="auto"/>
                <w:highlight w:val="none"/>
                <w:lang w:val="en-US" w:bidi="ar-SA"/>
              </w:rPr>
              <w:t xml:space="preserve">17)其他接口：USB Type-A×1；VGA或复合视频（BNC）作可选，不作为考核项；</w:t>
            </w:r>
            <w:r/>
          </w:p>
          <w:p>
            <w:pPr>
              <w:jc w:val="left"/>
              <w:spacing w:line="360" w:lineRule="auto"/>
              <w:rPr>
                <w:bCs/>
                <w:color w:val="auto"/>
                <w:highlight w:val="none"/>
                <w:lang w:val="en-US" w:bidi="ar-SA"/>
              </w:rPr>
            </w:pPr>
            <w:r>
              <w:rPr>
                <w:rFonts w:hint="eastAsia"/>
                <w:bCs/>
                <w:color w:val="auto"/>
                <w:highlight w:val="none"/>
                <w:lang w:val="en-US" w:bidi="ar-SA"/>
              </w:rPr>
              <w:t xml:space="preserve">18)运行能力：提供7×24小时连续运行，MTBF≥50000小时；</w:t>
            </w:r>
            <w:r/>
          </w:p>
          <w:p>
            <w:pPr>
              <w:jc w:val="left"/>
              <w:spacing w:line="360" w:lineRule="auto"/>
              <w:rPr>
                <w:bCs/>
                <w:color w:val="auto"/>
                <w:highlight w:val="none"/>
                <w:lang w:val="en-US" w:bidi="ar-SA"/>
              </w:rPr>
            </w:pPr>
            <w:r>
              <w:rPr>
                <w:rFonts w:hint="eastAsia"/>
                <w:bCs/>
                <w:color w:val="auto"/>
                <w:highlight w:val="none"/>
                <w:lang w:val="en-US" w:bidi="ar-SA"/>
              </w:rPr>
              <w:t xml:space="preserve">19)安装方式：提供壁挂、立柱、嵌入式、机柜式安装；提供横向与纵向（含吊装）安装不影响色彩、亮度与寿命；</w:t>
            </w:r>
            <w:r/>
          </w:p>
          <w:p>
            <w:pPr>
              <w:jc w:val="left"/>
              <w:spacing w:line="360" w:lineRule="auto"/>
              <w:rPr>
                <w:bCs/>
                <w:color w:val="auto"/>
                <w:highlight w:val="none"/>
                <w:lang w:val="en-US" w:bidi="ar-SA"/>
              </w:rPr>
            </w:pPr>
            <w:r>
              <w:rPr>
                <w:rFonts w:hint="eastAsia"/>
                <w:bCs/>
                <w:color w:val="auto"/>
                <w:highlight w:val="none"/>
                <w:lang w:val="en-US" w:bidi="ar-SA"/>
              </w:rPr>
              <w:t xml:space="preserve">20)整机尺寸与重量：单屏外形≤1211×682×100mm，整机重量≤25kg；</w:t>
            </w:r>
            <w:r/>
          </w:p>
          <w:p>
            <w:pPr>
              <w:jc w:val="left"/>
              <w:spacing w:line="360" w:lineRule="auto"/>
              <w:rPr>
                <w:bCs/>
                <w:color w:val="auto"/>
                <w:highlight w:val="none"/>
                <w:lang w:val="en-US" w:bidi="ar-SA"/>
              </w:rPr>
            </w:pPr>
            <w:r>
              <w:rPr>
                <w:rFonts w:hint="eastAsia"/>
                <w:bCs/>
                <w:color w:val="auto"/>
                <w:highlight w:val="none"/>
                <w:lang w:val="en-US" w:bidi="ar-SA"/>
              </w:rPr>
              <w:t xml:space="preserve">21)安装孔位：VESA标准，M6螺钉孔；</w:t>
            </w:r>
            <w:r/>
          </w:p>
          <w:p>
            <w:pPr>
              <w:jc w:val="left"/>
              <w:spacing w:line="360" w:lineRule="auto"/>
              <w:rPr>
                <w:bCs/>
                <w:color w:val="auto"/>
                <w:highlight w:val="none"/>
                <w:lang w:val="en-US" w:bidi="ar-SA"/>
              </w:rPr>
            </w:pPr>
            <w:r>
              <w:rPr>
                <w:rFonts w:hint="eastAsia"/>
                <w:bCs/>
                <w:color w:val="auto"/>
                <w:highlight w:val="none"/>
                <w:lang w:val="en-US" w:bidi="ar-SA"/>
              </w:rPr>
              <w:t xml:space="preserve">22)结构：金属外壳，阻燃材料，具备良好散热与抗电磁干扰能力；</w:t>
            </w:r>
            <w:r/>
          </w:p>
          <w:p>
            <w:pPr>
              <w:jc w:val="left"/>
              <w:spacing w:line="360" w:lineRule="auto"/>
              <w:rPr>
                <w:bCs/>
                <w:color w:val="auto"/>
                <w:highlight w:val="none"/>
                <w:lang w:val="en-US" w:bidi="ar-SA"/>
              </w:rPr>
            </w:pPr>
            <w:r>
              <w:rPr>
                <w:rFonts w:hint="eastAsia"/>
                <w:bCs/>
                <w:color w:val="auto"/>
                <w:highlight w:val="none"/>
                <w:lang w:val="en-US" w:bidi="ar-SA"/>
              </w:rPr>
              <w:t xml:space="preserve">23)功耗：整机典型功耗≤300W，待机功耗≤3W；</w:t>
            </w:r>
            <w:r/>
          </w:p>
          <w:p>
            <w:pPr>
              <w:jc w:val="left"/>
              <w:spacing w:line="360" w:lineRule="auto"/>
              <w:rPr>
                <w:bCs/>
                <w:color w:val="auto"/>
                <w:highlight w:val="none"/>
                <w:lang w:val="en-US" w:bidi="ar-SA"/>
              </w:rPr>
            </w:pPr>
            <w:r>
              <w:rPr>
                <w:rFonts w:hint="eastAsia"/>
                <w:bCs/>
                <w:color w:val="auto"/>
                <w:highlight w:val="none"/>
                <w:lang w:val="en-US" w:bidi="ar-SA"/>
              </w:rPr>
              <w:t xml:space="preserve">24)环境与电源：工作温度0~40℃、湿度20%~80%（不结露），存储−20~60℃；AC 100~240V、50/60Hz自适应；</w:t>
            </w:r>
            <w:r/>
          </w:p>
          <w:p>
            <w:pPr>
              <w:jc w:val="left"/>
              <w:spacing w:line="360" w:lineRule="auto"/>
              <w:rPr>
                <w:bCs/>
                <w:color w:val="auto"/>
                <w:highlight w:val="none"/>
                <w:lang w:val="en-US" w:bidi="ar-SA"/>
              </w:rPr>
            </w:pPr>
            <w:r>
              <w:rPr>
                <w:rFonts w:hint="eastAsia"/>
                <w:bCs/>
                <w:color w:val="auto"/>
                <w:highlight w:val="none"/>
                <w:lang w:val="en-US" w:bidi="ar-SA"/>
              </w:rPr>
              <w:t xml:space="preserve">25)维修性：提供壁挂前拆装，便于单屏更换而不拆整墙；</w:t>
            </w:r>
            <w:r/>
          </w:p>
          <w:p>
            <w:pPr>
              <w:jc w:val="left"/>
              <w:spacing w:line="360" w:lineRule="auto"/>
              <w:rPr>
                <w:bCs/>
                <w:color w:val="auto"/>
                <w:highlight w:val="none"/>
                <w:lang w:val="en-US" w:bidi="ar-SA"/>
              </w:rPr>
            </w:pPr>
            <w:r>
              <w:rPr>
                <w:rFonts w:hint="eastAsia"/>
                <w:bCs/>
                <w:color w:val="auto"/>
                <w:highlight w:val="none"/>
                <w:lang w:val="en-US" w:bidi="ar-SA"/>
              </w:rPr>
              <w:t xml:space="preserve">26)一致性：9台须为同一品牌、同一型号、同一批次；</w:t>
            </w:r>
            <w:r/>
          </w:p>
          <w:p>
            <w:pPr>
              <w:jc w:val="left"/>
              <w:spacing w:line="360" w:lineRule="auto"/>
              <w:rPr>
                <w:bCs/>
                <w:color w:val="auto"/>
                <w:highlight w:val="none"/>
                <w:lang w:val="en-US" w:bidi="ar-SA"/>
              </w:rPr>
            </w:pPr>
            <w:r>
              <w:rPr>
                <w:rFonts w:hint="eastAsia"/>
                <w:bCs/>
                <w:color w:val="auto"/>
                <w:highlight w:val="none"/>
                <w:lang w:val="en-US" w:bidi="ar-SA"/>
              </w:rPr>
              <w:t xml:space="preserve">27)质保：质保期内免费更换故障整机；</w:t>
            </w:r>
            <w:r/>
          </w:p>
          <w:p>
            <w:pPr>
              <w:jc w:val="left"/>
              <w:spacing w:line="360" w:lineRule="auto"/>
              <w:rPr>
                <w:bCs/>
                <w:color w:val="auto"/>
                <w:highlight w:val="none"/>
                <w:lang w:val="en-US" w:bidi="ar-SA"/>
              </w:rPr>
            </w:pPr>
            <w:r>
              <w:rPr>
                <w:rFonts w:hint="eastAsia"/>
                <w:bCs/>
                <w:color w:val="auto"/>
                <w:highlight w:val="none"/>
                <w:lang w:val="en-US" w:bidi="ar-SA"/>
              </w:rPr>
              <w:t xml:space="preserve">28)到货及上墙验收：核对数量、型号、外观、序列号，查验原厂证明与检测报告；检查拼接平整度、拼缝用塞尺抽检（边到边≤0.88mm）、各屏ID与控制响应、无缝跨屏漫游；</w:t>
            </w:r>
            <w:r/>
          </w:p>
          <w:p>
            <w:pPr>
              <w:jc w:val="left"/>
              <w:spacing w:line="360" w:lineRule="auto"/>
              <w:rPr>
                <w:b/>
                <w:color w:val="auto"/>
                <w:highlight w:val="none"/>
                <w:lang w:val="en-US" w:bidi="ar-SA"/>
              </w:rPr>
            </w:pPr>
            <w:r>
              <w:rPr>
                <w:rFonts w:hint="eastAsia"/>
                <w:bCs/>
                <w:color w:val="auto"/>
                <w:highlight w:val="none"/>
                <w:lang w:val="en-US" w:bidi="ar-SA"/>
              </w:rPr>
              <w:t xml:space="preserve">29)连续点亮测试：整墙连续点亮72小时，期间不得出现花屏、闪屏、自动重启、单屏失效。</w:t>
            </w:r>
            <w:r/>
          </w:p>
        </w:tc>
      </w:tr>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2</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拼接处理器</w:t>
            </w:r>
            <w:r/>
          </w:p>
        </w:tc>
        <w:tc>
          <w:tcPr>
            <w:tcW w:w="7391"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1)基于硬件的交换架构，板卡模块化设计，可灵活配置、扩展；</w:t>
            </w:r>
            <w:r/>
          </w:p>
          <w:p>
            <w:pPr>
              <w:jc w:val="left"/>
              <w:spacing w:line="360" w:lineRule="auto"/>
              <w:rPr>
                <w:bCs/>
                <w:color w:val="auto"/>
                <w:highlight w:val="none"/>
                <w:lang w:val="en-US" w:bidi="ar-SA"/>
              </w:rPr>
            </w:pPr>
            <w:r>
              <w:rPr>
                <w:rFonts w:hint="eastAsia"/>
                <w:bCs/>
                <w:color w:val="auto"/>
                <w:highlight w:val="none"/>
                <w:lang w:val="en-US" w:bidi="ar-SA"/>
              </w:rPr>
              <w:t xml:space="preserve">2)输入：不少于12路DVI/HDMI（最大分辨率1920x1200@60）输入，2路DP （最大分辨率4096x2160@60）输入；</w:t>
            </w:r>
            <w:r/>
          </w:p>
          <w:p>
            <w:pPr>
              <w:jc w:val="left"/>
              <w:spacing w:line="360" w:lineRule="auto"/>
              <w:rPr>
                <w:bCs/>
                <w:color w:val="auto"/>
                <w:highlight w:val="none"/>
                <w:lang w:val="en-US" w:bidi="ar-SA"/>
              </w:rPr>
            </w:pPr>
            <w:r>
              <w:rPr>
                <w:rFonts w:hint="eastAsia"/>
                <w:bCs/>
                <w:color w:val="auto"/>
                <w:highlight w:val="none"/>
                <w:lang w:val="en-US" w:bidi="ar-SA"/>
              </w:rPr>
              <w:t xml:space="preserve">3)输出：不少于8路DVI/HDMI（最大分辨率1920x1200@60）输出；</w:t>
            </w:r>
            <w:r/>
          </w:p>
          <w:p>
            <w:pPr>
              <w:jc w:val="left"/>
              <w:spacing w:line="360" w:lineRule="auto"/>
              <w:rPr>
                <w:bCs/>
                <w:color w:val="auto"/>
                <w:highlight w:val="none"/>
                <w:lang w:val="en-US" w:bidi="ar-SA"/>
              </w:rPr>
            </w:pPr>
            <w:r>
              <w:rPr>
                <w:rFonts w:hint="eastAsia"/>
                <w:bCs/>
                <w:color w:val="auto"/>
                <w:highlight w:val="none"/>
                <w:lang w:val="en-US" w:bidi="ar-SA"/>
              </w:rPr>
              <w:t xml:space="preserve">4)提供音频输出；</w:t>
            </w:r>
            <w:r/>
          </w:p>
          <w:p>
            <w:pPr>
              <w:jc w:val="left"/>
              <w:spacing w:line="360" w:lineRule="auto"/>
              <w:rPr>
                <w:bCs/>
                <w:color w:val="auto"/>
                <w:highlight w:val="none"/>
                <w:lang w:val="en-US" w:bidi="ar-SA"/>
              </w:rPr>
            </w:pPr>
            <w:r>
              <w:rPr>
                <w:rFonts w:hint="eastAsia"/>
                <w:bCs/>
                <w:color w:val="auto"/>
                <w:highlight w:val="none"/>
                <w:lang w:val="en-US" w:bidi="ar-SA"/>
              </w:rPr>
              <w:t xml:space="preserve">5)提供不同类型的视频信号在拼接屏上多样显示，包括不限于：信号裁剪，画面分割、叠加、漫游，图层、台标、底图、滚动字母等显示效果；</w:t>
            </w:r>
            <w:r/>
          </w:p>
          <w:p>
            <w:pPr>
              <w:jc w:val="left"/>
              <w:spacing w:line="360" w:lineRule="auto"/>
              <w:rPr>
                <w:bCs/>
                <w:color w:val="auto"/>
                <w:highlight w:val="none"/>
                <w:lang w:val="en-US" w:bidi="ar-SA"/>
              </w:rPr>
            </w:pPr>
            <w:r>
              <w:rPr>
                <w:rFonts w:hint="eastAsia"/>
                <w:bCs/>
                <w:color w:val="auto"/>
                <w:highlight w:val="none"/>
                <w:lang w:val="en-US" w:bidi="ar-SA"/>
              </w:rPr>
              <w:t xml:space="preserve">6)提供多端网管控制；</w:t>
            </w:r>
            <w:r/>
          </w:p>
          <w:p>
            <w:pPr>
              <w:jc w:val="left"/>
              <w:spacing w:line="360" w:lineRule="auto"/>
              <w:rPr>
                <w:b/>
                <w:color w:val="auto"/>
                <w:highlight w:val="none"/>
                <w:lang w:val="en-US" w:bidi="ar-SA"/>
              </w:rPr>
            </w:pPr>
            <w:r>
              <w:rPr>
                <w:rFonts w:hint="eastAsia"/>
                <w:bCs/>
                <w:color w:val="auto"/>
                <w:highlight w:val="none"/>
                <w:lang w:val="en-US" w:bidi="ar-SA"/>
              </w:rPr>
              <w:t xml:space="preserve">7)双AC电源冗余输入，提供断电自动恢复。</w:t>
            </w:r>
            <w:r/>
          </w:p>
        </w:tc>
      </w:tr>
      <w:tr>
        <w:trPr/>
        <w:tc>
          <w:tcPr>
            <w:tcW w:w="771"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3</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系统集成</w:t>
            </w:r>
            <w:r/>
          </w:p>
        </w:tc>
        <w:tc>
          <w:tcPr>
            <w:tcW w:w="7391"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1)要求在现有位置进行改造，布局为2x4规格，配备音响输出，拼接处理器与屏幕间使用DVI/HDMI光纤线连接，并且对挂架、装饰墙做相应改造；</w:t>
            </w:r>
            <w:r/>
          </w:p>
          <w:p>
            <w:pPr>
              <w:jc w:val="left"/>
              <w:spacing w:line="360" w:lineRule="auto"/>
              <w:rPr>
                <w:bCs/>
                <w:color w:val="auto"/>
                <w:highlight w:val="none"/>
                <w:lang w:val="en-US" w:bidi="ar-SA"/>
              </w:rPr>
            </w:pPr>
            <w:r>
              <w:rPr>
                <w:rFonts w:hint="eastAsia"/>
                <w:bCs/>
                <w:color w:val="auto"/>
                <w:highlight w:val="none"/>
                <w:lang w:val="en-US" w:bidi="ar-SA"/>
              </w:rPr>
              <w:t xml:space="preserve">2)拼接屏供电、线路、支架等改造施工，包含线缆、音响与辅材；</w:t>
            </w:r>
            <w:r/>
          </w:p>
          <w:p>
            <w:pPr>
              <w:jc w:val="left"/>
              <w:spacing w:line="360" w:lineRule="auto"/>
              <w:rPr>
                <w:b/>
                <w:color w:val="auto"/>
                <w:highlight w:val="none"/>
                <w:lang w:val="en-US" w:bidi="ar-SA"/>
              </w:rPr>
            </w:pPr>
            <w:r>
              <w:rPr>
                <w:rFonts w:hint="eastAsia"/>
                <w:bCs/>
                <w:color w:val="auto"/>
                <w:highlight w:val="none"/>
                <w:lang w:val="en-US" w:bidi="ar-SA"/>
              </w:rPr>
              <w:t xml:space="preserve">3)拼接屏立面基础结构及管线等改造。</w:t>
            </w:r>
            <w:r/>
          </w:p>
        </w:tc>
      </w:tr>
    </w:tbl>
    <w:p>
      <w:pPr>
        <w:jc w:val="both"/>
        <w:spacing w:line="360" w:lineRule="auto"/>
        <w:rPr>
          <w:b/>
          <w:color w:val="auto"/>
          <w:highlight w:val="none"/>
          <w:lang w:val="en-US" w:bidi="ar-SA"/>
        </w:rPr>
      </w:pPr>
      <w:r>
        <w:rPr>
          <w:rFonts w:hint="eastAsia"/>
          <w:b/>
          <w:color w:val="auto"/>
          <w:highlight w:val="none"/>
          <w:lang w:val="en-US" w:bidi="ar-SA"/>
        </w:rPr>
        <w:t xml:space="preserve">（三）、供电设备 </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470"/>
        <w:gridCol w:w="7406"/>
      </w:tblGrid>
      <w:tr>
        <w:trPr/>
        <w:tc>
          <w:tcPr>
            <w:tcW w:w="756"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序号</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设备名称</w:t>
            </w:r>
            <w:r/>
          </w:p>
        </w:tc>
        <w:tc>
          <w:tcPr>
            <w:tcW w:w="7406"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技术参数</w:t>
            </w:r>
            <w:r/>
          </w:p>
        </w:tc>
      </w:tr>
      <w:tr>
        <w:trPr/>
        <w:tc>
          <w:tcPr>
            <w:tcW w:w="756"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1</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免维护铅酸蓄电池</w:t>
            </w:r>
            <w:r/>
          </w:p>
        </w:tc>
        <w:tc>
          <w:tcPr>
            <w:tcW w:w="7406" w:type="dxa"/>
            <w:vAlign w:val="center"/>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1)12V100AH阀控式密封铅酸蓄电池，2组32节，2组4节1组8节；</w:t>
            </w:r>
            <w:r/>
          </w:p>
          <w:p>
            <w:pPr>
              <w:jc w:val="left"/>
              <w:spacing w:line="360" w:lineRule="auto"/>
              <w:rPr>
                <w:bCs/>
                <w:color w:val="auto"/>
                <w:highlight w:val="none"/>
                <w:lang w:val="en-US" w:bidi="ar-SA"/>
              </w:rPr>
            </w:pPr>
            <w:r>
              <w:rPr>
                <w:rFonts w:hint="eastAsia"/>
                <w:bCs/>
                <w:color w:val="auto"/>
                <w:highlight w:val="none"/>
                <w:lang w:val="en-US" w:bidi="ar-SA"/>
              </w:rPr>
              <w:t xml:space="preserve">2)浮充寿命为：25℃环境温度下不低于10年；</w:t>
            </w:r>
            <w:r/>
          </w:p>
          <w:p>
            <w:pPr>
              <w:jc w:val="left"/>
              <w:spacing w:line="360" w:lineRule="auto"/>
              <w:rPr>
                <w:bCs/>
                <w:color w:val="auto"/>
                <w:highlight w:val="none"/>
                <w:lang w:val="en-US" w:bidi="ar-SA"/>
              </w:rPr>
            </w:pPr>
            <w:r>
              <w:rPr>
                <w:rFonts w:hint="eastAsia"/>
                <w:bCs/>
                <w:color w:val="auto"/>
                <w:highlight w:val="none"/>
                <w:lang w:val="en-US" w:bidi="ar-SA"/>
              </w:rPr>
              <w:t xml:space="preserve">3)正、负极端子有明显标志，并预留用于监控的测量端子及日常维护的测量空间；</w:t>
            </w:r>
            <w:r/>
          </w:p>
          <w:p>
            <w:pPr>
              <w:jc w:val="left"/>
              <w:spacing w:line="360" w:lineRule="auto"/>
              <w:rPr>
                <w:bCs/>
                <w:color w:val="auto"/>
                <w:highlight w:val="none"/>
                <w:lang w:val="en-US" w:bidi="ar-SA"/>
              </w:rPr>
            </w:pPr>
            <w:r>
              <w:rPr>
                <w:rFonts w:hint="eastAsia"/>
                <w:bCs/>
                <w:color w:val="auto"/>
                <w:highlight w:val="none"/>
                <w:lang w:val="en-US" w:bidi="ar-SA"/>
              </w:rPr>
              <w:t xml:space="preserve">4)外观不得有变形、漏液、裂纹及污迹，标志要清晰；</w:t>
            </w:r>
            <w:r/>
          </w:p>
          <w:p>
            <w:pPr>
              <w:jc w:val="left"/>
              <w:spacing w:line="360" w:lineRule="auto"/>
              <w:rPr>
                <w:bCs/>
                <w:color w:val="auto"/>
                <w:highlight w:val="none"/>
                <w:lang w:val="en-US" w:bidi="ar-SA"/>
              </w:rPr>
            </w:pPr>
            <w:r>
              <w:rPr>
                <w:rFonts w:hint="eastAsia"/>
                <w:bCs/>
                <w:color w:val="auto"/>
                <w:highlight w:val="none"/>
                <w:lang w:val="en-US" w:bidi="ar-SA"/>
              </w:rPr>
              <w:t xml:space="preserve">5)蓄电池应能承受50kPa的正压或负压而不破裂、不开胶，压力释放后壳体无残余变形；</w:t>
            </w:r>
            <w:r/>
          </w:p>
          <w:p>
            <w:pPr>
              <w:jc w:val="left"/>
              <w:spacing w:line="360" w:lineRule="auto"/>
              <w:rPr>
                <w:bCs/>
                <w:color w:val="auto"/>
                <w:highlight w:val="none"/>
                <w:lang w:val="en-US" w:bidi="ar-SA"/>
              </w:rPr>
            </w:pPr>
            <w:r>
              <w:rPr>
                <w:rFonts w:hint="eastAsia"/>
                <w:bCs/>
                <w:color w:val="auto"/>
                <w:highlight w:val="none"/>
                <w:lang w:val="en-US" w:bidi="ar-SA"/>
              </w:rPr>
              <w:t xml:space="preserve">6)蓄电池在充电过程中遇到明火，内部应不引燃、不引爆；</w:t>
            </w:r>
            <w:r/>
          </w:p>
          <w:p>
            <w:pPr>
              <w:jc w:val="left"/>
              <w:spacing w:line="360" w:lineRule="auto"/>
              <w:rPr>
                <w:bCs/>
                <w:color w:val="auto"/>
                <w:highlight w:val="none"/>
                <w:lang w:val="en-US" w:bidi="ar-SA"/>
              </w:rPr>
            </w:pPr>
            <w:r>
              <w:rPr>
                <w:rFonts w:hint="eastAsia"/>
                <w:bCs/>
                <w:color w:val="auto"/>
                <w:highlight w:val="none"/>
                <w:lang w:val="en-US" w:bidi="ar-SA"/>
              </w:rPr>
              <w:t xml:space="preserve">7)采用封口剂的蓄电池，在温度-30℃～＋65℃之间，封口剂不应有裂纹与溢流现象；</w:t>
            </w:r>
            <w:r/>
          </w:p>
          <w:p>
            <w:pPr>
              <w:jc w:val="left"/>
              <w:spacing w:line="360" w:lineRule="auto"/>
              <w:rPr>
                <w:bCs/>
                <w:color w:val="auto"/>
                <w:highlight w:val="none"/>
                <w:lang w:val="en-US" w:bidi="ar-SA"/>
              </w:rPr>
            </w:pPr>
            <w:r>
              <w:rPr>
                <w:rFonts w:hint="eastAsia"/>
                <w:bCs/>
                <w:color w:val="auto"/>
                <w:highlight w:val="none"/>
                <w:lang w:val="en-US" w:bidi="ar-SA"/>
              </w:rPr>
              <w:t xml:space="preserve">8)蓄电池组应可安装在标准型电池架内，整组电池无电气物暴露；</w:t>
            </w:r>
            <w:r/>
          </w:p>
          <w:p>
            <w:pPr>
              <w:jc w:val="left"/>
              <w:spacing w:line="360" w:lineRule="auto"/>
              <w:rPr>
                <w:bCs/>
                <w:color w:val="auto"/>
                <w:highlight w:val="none"/>
                <w:lang w:val="en-US" w:bidi="ar-SA"/>
              </w:rPr>
            </w:pPr>
            <w:r>
              <w:rPr>
                <w:rFonts w:hint="eastAsia"/>
                <w:bCs/>
                <w:color w:val="auto"/>
                <w:highlight w:val="none"/>
                <w:lang w:val="en-US" w:bidi="ar-SA"/>
              </w:rPr>
              <w:t xml:space="preserve">9)放电终止电压：按《YD/T 799-2010通信用阀控式密封铅酸蓄电池》7.7条规定的方法试验，3h率单体终止电压为10.8V，1h率单体终止电压10.5V；</w:t>
            </w:r>
            <w:r/>
          </w:p>
          <w:p>
            <w:pPr>
              <w:jc w:val="left"/>
              <w:spacing w:line="360" w:lineRule="auto"/>
              <w:rPr>
                <w:bCs/>
                <w:color w:val="auto"/>
                <w:highlight w:val="none"/>
                <w:lang w:val="en-US" w:bidi="ar-SA"/>
              </w:rPr>
            </w:pPr>
            <w:r>
              <w:rPr>
                <w:rFonts w:hint="eastAsia"/>
                <w:bCs/>
                <w:color w:val="auto"/>
                <w:highlight w:val="none"/>
                <w:lang w:val="en-US" w:bidi="ar-SA"/>
              </w:rPr>
              <w:t xml:space="preserve">10)容量保持率：静置28天后其容量保存率不低于96%；</w:t>
            </w:r>
            <w:r/>
          </w:p>
          <w:p>
            <w:pPr>
              <w:jc w:val="left"/>
              <w:spacing w:line="360" w:lineRule="auto"/>
              <w:rPr>
                <w:bCs/>
                <w:color w:val="auto"/>
                <w:highlight w:val="none"/>
                <w:lang w:val="en-US" w:bidi="ar-SA"/>
              </w:rPr>
            </w:pPr>
            <w:r>
              <w:rPr>
                <w:rFonts w:hint="eastAsia"/>
                <w:bCs/>
                <w:color w:val="auto"/>
                <w:highlight w:val="none"/>
                <w:lang w:val="en-US" w:bidi="ar-SA"/>
              </w:rPr>
              <w:t xml:space="preserve">11)密封反应效率：蓄电池密封反应效率应不低于95%；</w:t>
            </w:r>
            <w:r/>
          </w:p>
          <w:p>
            <w:pPr>
              <w:jc w:val="left"/>
              <w:spacing w:line="360" w:lineRule="auto"/>
              <w:rPr>
                <w:bCs/>
                <w:color w:val="auto"/>
                <w:highlight w:val="none"/>
                <w:lang w:val="en-US" w:bidi="ar-SA"/>
              </w:rPr>
            </w:pPr>
            <w:r>
              <w:rPr>
                <w:rFonts w:hint="eastAsia"/>
                <w:bCs/>
                <w:color w:val="auto"/>
                <w:highlight w:val="none"/>
                <w:lang w:val="en-US" w:bidi="ar-SA"/>
              </w:rPr>
              <w:t xml:space="preserve">12)防酸雾性能：电池在正常浮充工作过程中应无酸雾溢出；</w:t>
            </w:r>
            <w:r/>
          </w:p>
          <w:p>
            <w:pPr>
              <w:jc w:val="left"/>
              <w:spacing w:line="360" w:lineRule="auto"/>
              <w:rPr>
                <w:bCs/>
                <w:color w:val="auto"/>
                <w:highlight w:val="none"/>
                <w:lang w:val="en-US" w:bidi="ar-SA"/>
              </w:rPr>
            </w:pPr>
            <w:r>
              <w:rPr>
                <w:rFonts w:hint="eastAsia"/>
                <w:bCs/>
                <w:color w:val="auto"/>
                <w:highlight w:val="none"/>
                <w:lang w:val="en-US" w:bidi="ar-SA"/>
              </w:rPr>
              <w:t xml:space="preserve">13)耐过充电能力：蓄电池按YD/T 799-2010《通信用阀控式密封铅酸蓄电池》7.13条要求试验后，其外观应无明显变形及渗液；</w:t>
            </w:r>
            <w:r/>
          </w:p>
          <w:p>
            <w:pPr>
              <w:jc w:val="left"/>
              <w:spacing w:line="360" w:lineRule="auto"/>
              <w:rPr>
                <w:bCs/>
                <w:color w:val="auto"/>
                <w:highlight w:val="none"/>
                <w:lang w:val="en-US" w:bidi="ar-SA"/>
              </w:rPr>
            </w:pPr>
            <w:r>
              <w:rPr>
                <w:rFonts w:hint="eastAsia"/>
                <w:bCs/>
                <w:color w:val="auto"/>
                <w:highlight w:val="none"/>
                <w:lang w:val="en-US" w:bidi="ar-SA"/>
              </w:rPr>
              <w:t xml:space="preserve">14)负责UPS系统蓄电池更换的安装及工程测试，UPS主机蓄电池参数设置；</w:t>
            </w:r>
            <w:r/>
          </w:p>
          <w:p>
            <w:pPr>
              <w:jc w:val="left"/>
              <w:spacing w:line="360" w:lineRule="auto"/>
              <w:rPr>
                <w:bCs/>
                <w:color w:val="auto"/>
                <w:highlight w:val="none"/>
                <w:lang w:val="en-US" w:bidi="ar-SA"/>
              </w:rPr>
            </w:pPr>
            <w:r>
              <w:rPr>
                <w:bCs/>
                <w:color w:val="auto"/>
                <w:highlight w:val="none"/>
                <w:lang w:val="en-US" w:bidi="ar-SA"/>
              </w:rPr>
            </w:r>
            <w:r/>
          </w:p>
          <w:p>
            <w:pPr>
              <w:jc w:val="left"/>
              <w:spacing w:line="360" w:lineRule="auto"/>
              <w:rPr>
                <w:bCs/>
                <w:color w:val="auto"/>
                <w:highlight w:val="none"/>
                <w:lang w:val="en-US" w:bidi="ar-SA"/>
              </w:rPr>
            </w:pPr>
            <w:r>
              <w:rPr>
                <w:rFonts w:hint="eastAsia"/>
                <w:bCs/>
                <w:color w:val="auto"/>
                <w:highlight w:val="none"/>
                <w:lang w:val="en-US" w:bidi="ar-SA"/>
              </w:rPr>
              <w:t xml:space="preserve">15)生产日期：设备到货前3个月以内；</w:t>
            </w:r>
            <w:r/>
          </w:p>
          <w:p>
            <w:pPr>
              <w:jc w:val="left"/>
              <w:spacing w:line="360" w:lineRule="auto"/>
              <w:rPr>
                <w:bCs/>
                <w:color w:val="auto"/>
                <w:highlight w:val="none"/>
                <w:lang w:val="en-US" w:bidi="ar-SA"/>
              </w:rPr>
            </w:pPr>
            <w:r>
              <w:rPr>
                <w:rFonts w:hint="eastAsia"/>
                <w:bCs/>
                <w:color w:val="auto"/>
                <w:highlight w:val="none"/>
                <w:lang w:val="en-US" w:bidi="ar-SA"/>
              </w:rPr>
              <w:t xml:space="preserve">16)安装时负责旧蓄电池组的拆除；</w:t>
            </w:r>
            <w:r/>
          </w:p>
          <w:p>
            <w:pPr>
              <w:jc w:val="left"/>
              <w:spacing w:line="360" w:lineRule="auto"/>
              <w:rPr>
                <w:bCs/>
                <w:color w:val="auto"/>
                <w:highlight w:val="none"/>
                <w:lang w:val="en-US" w:bidi="ar-SA"/>
              </w:rPr>
            </w:pPr>
            <w:r>
              <w:rPr>
                <w:rFonts w:hint="eastAsia"/>
                <w:bCs/>
                <w:color w:val="auto"/>
                <w:highlight w:val="none"/>
                <w:lang w:val="en-US" w:bidi="ar-SA"/>
              </w:rPr>
              <w:t xml:space="preserve">17)原厂7*24免费保修服务。</w:t>
            </w:r>
            <w:r/>
          </w:p>
        </w:tc>
      </w:tr>
      <w:tr>
        <w:trPr/>
        <w:tc>
          <w:tcPr>
            <w:tcW w:w="756"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2</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STS静态转换开关</w:t>
            </w:r>
            <w:r/>
          </w:p>
        </w:tc>
        <w:tc>
          <w:tcPr>
            <w:tcW w:w="7406" w:type="dxa"/>
            <w:vAlign w:val="center"/>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1)输入：2路，单相230V/50Hz，IEC C20（额定16A），配2根输入线；</w:t>
            </w:r>
            <w:r/>
          </w:p>
          <w:p>
            <w:pPr>
              <w:jc w:val="left"/>
              <w:spacing w:line="360" w:lineRule="auto"/>
              <w:rPr>
                <w:bCs/>
                <w:color w:val="auto"/>
                <w:highlight w:val="none"/>
                <w:lang w:val="en-US" w:bidi="ar-SA"/>
              </w:rPr>
            </w:pPr>
            <w:r>
              <w:rPr>
                <w:rFonts w:hint="eastAsia"/>
                <w:bCs/>
                <w:color w:val="auto"/>
                <w:highlight w:val="none"/>
                <w:lang w:val="en-US" w:bidi="ar-SA"/>
              </w:rPr>
              <w:t xml:space="preserve">2)输出：不少于8路；其中 IEC C13（10A/路）不少于8路，IEC C19（16A/路）不少于1路；</w:t>
            </w:r>
            <w:r/>
          </w:p>
          <w:p>
            <w:pPr>
              <w:jc w:val="left"/>
              <w:spacing w:line="360" w:lineRule="auto"/>
              <w:rPr>
                <w:bCs/>
                <w:color w:val="auto"/>
                <w:highlight w:val="none"/>
                <w:lang w:val="en-US" w:bidi="ar-SA"/>
              </w:rPr>
            </w:pPr>
            <w:r>
              <w:rPr>
                <w:rFonts w:hint="eastAsia"/>
                <w:bCs/>
                <w:color w:val="auto"/>
                <w:highlight w:val="none"/>
                <w:lang w:val="en-US" w:bidi="ar-SA"/>
              </w:rPr>
              <w:t xml:space="preserve">3)总输出容量 ≥3kW（16A@230V）；每路过流保护；</w:t>
            </w:r>
            <w:r/>
          </w:p>
          <w:p>
            <w:pPr>
              <w:jc w:val="left"/>
              <w:spacing w:line="360" w:lineRule="auto"/>
              <w:rPr>
                <w:bCs/>
                <w:color w:val="auto"/>
                <w:highlight w:val="none"/>
                <w:lang w:val="en-US" w:bidi="ar-SA"/>
              </w:rPr>
            </w:pPr>
            <w:r>
              <w:rPr>
                <w:rFonts w:hint="eastAsia"/>
                <w:bCs/>
                <w:color w:val="auto"/>
                <w:highlight w:val="none"/>
                <w:lang w:val="en-US" w:bidi="ar-SA"/>
              </w:rPr>
              <w:t xml:space="preserve">4)切换性能：自动 + 手动；判据为失压/欠压/过压；切换时间≤12ms；主路优先、可自动回切；</w:t>
            </w:r>
            <w:r/>
          </w:p>
          <w:p>
            <w:pPr>
              <w:jc w:val="left"/>
              <w:spacing w:line="360" w:lineRule="auto"/>
              <w:rPr>
                <w:bCs/>
                <w:color w:val="auto"/>
                <w:highlight w:val="none"/>
                <w:lang w:val="en-US" w:bidi="ar-SA"/>
              </w:rPr>
            </w:pPr>
            <w:r>
              <w:rPr>
                <w:rFonts w:hint="eastAsia"/>
                <w:bCs/>
                <w:color w:val="auto"/>
                <w:highlight w:val="none"/>
                <w:lang w:val="en-US" w:bidi="ar-SA"/>
              </w:rPr>
              <w:t xml:space="preserve">5)机械：19英寸机架1U；面板显示主/备路状态、输出电流、告警；</w:t>
            </w:r>
            <w:r/>
          </w:p>
          <w:p>
            <w:pPr>
              <w:jc w:val="left"/>
              <w:spacing w:line="360" w:lineRule="auto"/>
              <w:rPr>
                <w:bCs/>
                <w:color w:val="auto"/>
                <w:highlight w:val="none"/>
                <w:lang w:val="en-US" w:bidi="ar-SA"/>
              </w:rPr>
            </w:pPr>
            <w:r>
              <w:rPr>
                <w:rFonts w:hint="eastAsia"/>
                <w:bCs/>
                <w:color w:val="auto"/>
                <w:highlight w:val="none"/>
                <w:lang w:val="en-US" w:bidi="ar-SA"/>
              </w:rPr>
              <w:t xml:space="preserve">6)监控：提供 SNMP/Web 网管 + 告警干接点，便于接入现有动环监控；</w:t>
            </w:r>
            <w:r/>
          </w:p>
          <w:p>
            <w:pPr>
              <w:jc w:val="left"/>
              <w:spacing w:line="360" w:lineRule="auto"/>
              <w:rPr>
                <w:bCs/>
                <w:color w:val="auto"/>
                <w:highlight w:val="none"/>
                <w:lang w:val="en-US" w:bidi="ar-SA"/>
              </w:rPr>
            </w:pPr>
            <w:r>
              <w:rPr>
                <w:rFonts w:hint="eastAsia"/>
                <w:bCs/>
                <w:color w:val="auto"/>
                <w:highlight w:val="none"/>
                <w:lang w:val="en-US" w:bidi="ar-SA"/>
              </w:rPr>
              <w:t xml:space="preserve">7)环境与认证：0-45℃、湿度0-95%、海拔 ≤3000m。</w:t>
            </w:r>
            <w:r/>
          </w:p>
        </w:tc>
      </w:tr>
      <w:tr>
        <w:trPr/>
        <w:tc>
          <w:tcPr>
            <w:tcW w:w="756"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lang w:val="en-US" w:bidi="ar-SA"/>
              </w:rPr>
              <w:t xml:space="preserve">3</w:t>
            </w:r>
            <w:r/>
          </w:p>
        </w:tc>
        <w:tc>
          <w:tcPr>
            <w:tcW w:w="1470" w:type="dxa"/>
            <w:vAlign w:val="center"/>
            <w:textDirection w:val="lrTb"/>
            <w:noWrap w:val="false"/>
          </w:tcPr>
          <w:p>
            <w:pPr>
              <w:jc w:val="center"/>
              <w:spacing w:line="360" w:lineRule="auto"/>
              <w:rPr>
                <w:bCs/>
                <w:color w:val="auto"/>
                <w:highlight w:val="none"/>
                <w:lang w:val="en-US" w:bidi="ar-SA"/>
              </w:rPr>
            </w:pPr>
            <w:r>
              <w:rPr>
                <w:rFonts w:hint="eastAsia"/>
                <w:bCs/>
                <w:color w:val="auto"/>
                <w:highlight w:val="none"/>
              </w:rPr>
              <w:t xml:space="preserve">微波供电设备</w:t>
            </w:r>
            <w:r/>
          </w:p>
        </w:tc>
        <w:tc>
          <w:tcPr>
            <w:tcW w:w="7406" w:type="dxa"/>
            <w:vAlign w:val="center"/>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1)电源数量及规格：200A 2台；100A 1台。</w:t>
            </w:r>
            <w:r/>
          </w:p>
          <w:p>
            <w:pPr>
              <w:jc w:val="left"/>
              <w:spacing w:line="360" w:lineRule="auto"/>
              <w:rPr>
                <w:bCs/>
                <w:color w:val="auto"/>
                <w:highlight w:val="none"/>
                <w:lang w:val="en-US" w:bidi="ar-SA"/>
              </w:rPr>
            </w:pPr>
            <w:r>
              <w:rPr>
                <w:rFonts w:hint="eastAsia"/>
                <w:bCs/>
                <w:color w:val="auto"/>
                <w:highlight w:val="none"/>
                <w:lang w:val="en-US" w:bidi="ar-SA"/>
              </w:rPr>
              <w:t xml:space="preserve">2)物理参数：系统高度：2U。重量：≤10kg（不含整流模块）。安装方式：19英寸机架或嵌入式机柜安装。走线方式：前进前出。维护模式：前维护。温控方式：自然散热。防护等级：IP20。</w:t>
            </w:r>
            <w:r/>
          </w:p>
          <w:p>
            <w:pPr>
              <w:jc w:val="left"/>
              <w:spacing w:line="360" w:lineRule="auto"/>
              <w:rPr>
                <w:bCs/>
                <w:color w:val="auto"/>
                <w:highlight w:val="none"/>
                <w:lang w:val="en-US" w:bidi="ar-SA"/>
              </w:rPr>
            </w:pPr>
            <w:r>
              <w:rPr>
                <w:rFonts w:hint="eastAsia"/>
                <w:bCs/>
                <w:color w:val="auto"/>
                <w:highlight w:val="none"/>
                <w:lang w:val="en-US" w:bidi="ar-SA"/>
              </w:rPr>
              <w:t xml:space="preserve">3)交流输入：输入制式：220/380 V AC三相四线，兼容单相220 V AC、双火线110 V AC。额定电压：200/346～240/415 V AC。电压范围：85/148～300/520 V AC。输入频率：45～65 Hz，额定值50 Hz/60 Hz。</w:t>
            </w:r>
            <w:r/>
          </w:p>
          <w:p>
            <w:pPr>
              <w:jc w:val="left"/>
              <w:spacing w:line="360" w:lineRule="auto"/>
              <w:rPr>
                <w:bCs/>
                <w:color w:val="auto"/>
                <w:highlight w:val="none"/>
                <w:lang w:val="en-US" w:bidi="ar-SA"/>
              </w:rPr>
            </w:pPr>
            <w:r>
              <w:rPr>
                <w:rFonts w:hint="eastAsia"/>
                <w:bCs/>
                <w:color w:val="auto"/>
                <w:highlight w:val="none"/>
                <w:lang w:val="en-US" w:bidi="ar-SA"/>
              </w:rPr>
              <w:t xml:space="preserve">4)直流输入（HVDC）：输入制式：HVDC（HV+，HV−）输入。额定电压：380 V DC。电压范围：85～420 V DC。</w:t>
            </w:r>
            <w:r/>
          </w:p>
          <w:p>
            <w:pPr>
              <w:jc w:val="left"/>
              <w:spacing w:line="360" w:lineRule="auto"/>
              <w:rPr>
                <w:bCs/>
                <w:color w:val="auto"/>
                <w:highlight w:val="none"/>
                <w:lang w:val="en-US" w:bidi="ar-SA"/>
              </w:rPr>
            </w:pPr>
            <w:r>
              <w:rPr>
                <w:rFonts w:hint="eastAsia"/>
                <w:bCs/>
                <w:color w:val="auto"/>
                <w:highlight w:val="none"/>
                <w:lang w:val="en-US" w:bidi="ar-SA"/>
              </w:rPr>
              <w:t xml:space="preserve">5)直流输出：输出电压范围：−42～−58 V DC。额定输出电压：−53.5 V DC。最大输出功率：10 kW。额定输出电流：200 A。稳压精度：≤±1%。峰-峰值杂音电压：≤200 mV。均流不平衡度：≤±5%（50%～100%负载）。</w:t>
            </w:r>
            <w:r/>
          </w:p>
          <w:p>
            <w:pPr>
              <w:jc w:val="left"/>
              <w:spacing w:line="360" w:lineRule="auto"/>
              <w:rPr>
                <w:bCs/>
                <w:color w:val="auto"/>
                <w:highlight w:val="none"/>
                <w:lang w:val="en-US" w:bidi="ar-SA"/>
              </w:rPr>
            </w:pPr>
            <w:r>
              <w:rPr>
                <w:rFonts w:hint="eastAsia"/>
                <w:bCs/>
                <w:color w:val="auto"/>
                <w:highlight w:val="none"/>
                <w:lang w:val="en-US" w:bidi="ar-SA"/>
              </w:rPr>
              <w:t xml:space="preserve">6)配电与保护：直流配电配置：负</w:t>
            </w:r>
            <w:r>
              <w:rPr>
                <w:rFonts w:hint="eastAsia"/>
                <w:bCs/>
                <w:color w:val="auto"/>
                <w:highlight w:val="none"/>
                <w:lang w:val="en-US" w:bidi="ar-SA"/>
              </w:rPr>
              <w:t xml:space="preserve">载支路提供2路80A/1P、4路63A/1P、2路40A/1P空开；电池支路提供2路100A/1P空开。交流输入过压保护：&gt;300 V AC动作；恢复至290 V AC后系统恢复输出。交流输入欠压保护：&lt;80 V AC动作；恢复至85 V AC后系统恢复输出。直流输入过压保护：&gt;420 V DC动作；恢复至414 V DC后系统恢复输出。直流输出过压保护：动作范围56～60 V DC。其他保护：系统具备过压、欠压、过流、短路及过热等多重保护机制，并内置智能监控模块，实时监测运行状态，异常时迅速切断故障路径。</w:t>
            </w:r>
            <w:r/>
          </w:p>
          <w:p>
            <w:pPr>
              <w:jc w:val="both"/>
              <w:spacing w:line="360" w:lineRule="auto"/>
              <w:rPr>
                <w:bCs/>
                <w:strike/>
                <w:color w:val="auto"/>
                <w:highlight w:val="none"/>
                <w:lang w:val="en-US" w:bidi="ar-SA"/>
              </w:rPr>
            </w:pPr>
            <w:r>
              <w:rPr>
                <w:rFonts w:hint="eastAsia"/>
                <w:bCs/>
                <w:color w:val="auto"/>
                <w:highlight w:val="none"/>
                <w:lang w:val="en-US" w:bidi="ar-SA"/>
              </w:rPr>
              <w:t xml:space="preserve">7)环境适应性：工作温度：</w:t>
            </w:r>
            <w:r>
              <w:rPr>
                <w:rFonts w:hint="eastAsia" w:ascii="微软雅黑" w:hAnsi="微软雅黑" w:eastAsia="微软雅黑" w:cs="微软雅黑"/>
                <w:bCs/>
                <w:color w:val="auto"/>
                <w:highlight w:val="none"/>
                <w:lang w:val="en-US" w:bidi="ar-SA"/>
              </w:rPr>
              <w:t xml:space="preserve">−</w:t>
            </w:r>
            <w:r>
              <w:rPr>
                <w:rFonts w:hint="eastAsia"/>
                <w:bCs/>
                <w:color w:val="auto"/>
                <w:highlight w:val="none"/>
                <w:lang w:val="en-US" w:bidi="ar-SA"/>
              </w:rPr>
              <w:t xml:space="preserve">40℃～+65℃；55℃～65℃时模块自动降额。贮存温度：</w:t>
            </w:r>
            <w:r>
              <w:rPr>
                <w:rFonts w:hint="eastAsia" w:ascii="微软雅黑" w:hAnsi="微软雅黑" w:eastAsia="微软雅黑" w:cs="微软雅黑"/>
                <w:bCs/>
                <w:color w:val="auto"/>
                <w:highlight w:val="none"/>
                <w:lang w:val="en-US" w:bidi="ar-SA"/>
              </w:rPr>
              <w:t xml:space="preserve">−</w:t>
            </w:r>
            <w:r>
              <w:rPr>
                <w:rFonts w:hint="eastAsia"/>
                <w:bCs/>
                <w:color w:val="auto"/>
                <w:highlight w:val="none"/>
                <w:lang w:val="en-US" w:bidi="ar-SA"/>
              </w:rPr>
              <w:t xml:space="preserve">40℃～+70℃。运输温度：</w:t>
            </w:r>
            <w:r>
              <w:rPr>
                <w:rFonts w:hint="eastAsia" w:ascii="微软雅黑" w:hAnsi="微软雅黑" w:eastAsia="微软雅黑" w:cs="微软雅黑"/>
                <w:bCs/>
                <w:color w:val="auto"/>
                <w:highlight w:val="none"/>
                <w:lang w:val="en-US" w:bidi="ar-SA"/>
              </w:rPr>
              <w:t xml:space="preserve">−</w:t>
            </w:r>
            <w:r>
              <w:rPr>
                <w:rFonts w:hint="eastAsia"/>
                <w:bCs/>
                <w:color w:val="auto"/>
                <w:highlight w:val="none"/>
                <w:lang w:val="en-US" w:bidi="ar-SA"/>
              </w:rPr>
              <w:t xml:space="preserve">40℃～+70℃。工作湿度：5%RH～90%RH，无凝露。贮存湿度：5%RH～95%RH，无凝露。海拔要求：0m～4000m；2000～4000m环境下高温降额，每升高200m，工作温度降低1℃。</w:t>
            </w:r>
            <w:r/>
          </w:p>
          <w:p>
            <w:pPr>
              <w:jc w:val="left"/>
              <w:spacing w:line="360" w:lineRule="auto"/>
              <w:rPr>
                <w:bCs/>
                <w:color w:val="auto"/>
                <w:highlight w:val="none"/>
                <w:lang w:val="en-US" w:bidi="ar-SA"/>
              </w:rPr>
            </w:pPr>
            <w:r>
              <w:rPr>
                <w:bCs/>
                <w:color w:val="auto"/>
                <w:highlight w:val="none"/>
                <w:lang w:val="en-US" w:bidi="ar-SA"/>
              </w:rPr>
              <w:t xml:space="preserve">8</w:t>
            </w:r>
            <w:r>
              <w:rPr>
                <w:rFonts w:hint="eastAsia"/>
                <w:bCs/>
                <w:color w:val="auto"/>
                <w:highlight w:val="none"/>
                <w:lang w:val="en-US" w:bidi="ar-SA"/>
              </w:rPr>
              <w:t xml:space="preserve">)可靠性与维护：整流模块MTBF：&gt;50万小时。热插拔：提供整流模块、监控模块热插拔。电池管理：智能化蓄电池管理和电池保护功能，延长电池使用寿命。远程监控：提供环境监控，通过干接点、串口等实现远程管理。在线升级：提供远程在线升级。</w:t>
            </w:r>
            <w:r/>
          </w:p>
          <w:p>
            <w:pPr>
              <w:jc w:val="left"/>
              <w:spacing w:line="360" w:lineRule="auto"/>
              <w:rPr>
                <w:bCs/>
                <w:color w:val="auto"/>
                <w:highlight w:val="none"/>
                <w:lang w:val="en-US" w:bidi="ar-SA"/>
              </w:rPr>
            </w:pPr>
            <w:r>
              <w:rPr>
                <w:bCs/>
                <w:color w:val="auto"/>
                <w:highlight w:val="none"/>
                <w:lang w:val="en-US" w:bidi="ar-SA"/>
              </w:rPr>
              <w:t xml:space="preserve">9</w:t>
            </w:r>
            <w:r>
              <w:rPr>
                <w:rFonts w:hint="eastAsia"/>
                <w:bCs/>
                <w:color w:val="auto"/>
                <w:highlight w:val="none"/>
                <w:lang w:val="en-US" w:bidi="ar-SA"/>
              </w:rPr>
              <w:t xml:space="preserve">)整流模块配置：系统最多可配置5个整流模块。模块1：额定功率2000 W（176～300 V AC），效率&gt;96%。模块2：额定功率1000 W（176～300 V AC），效率&gt;95%（25%～100%带载）。</w:t>
            </w:r>
            <w:r/>
          </w:p>
          <w:p>
            <w:pPr>
              <w:jc w:val="left"/>
              <w:spacing w:line="360" w:lineRule="auto"/>
              <w:rPr>
                <w:bCs/>
                <w:color w:val="auto"/>
                <w:highlight w:val="none"/>
                <w:lang w:val="en-US" w:bidi="ar-SA"/>
              </w:rPr>
            </w:pPr>
            <w:r>
              <w:rPr>
                <w:bCs/>
                <w:color w:val="auto"/>
                <w:highlight w:val="none"/>
                <w:lang w:val="en-US" w:bidi="ar-SA"/>
              </w:rPr>
              <w:t xml:space="preserve">10</w:t>
            </w:r>
            <w:r>
              <w:rPr>
                <w:rFonts w:hint="eastAsia"/>
                <w:bCs/>
                <w:color w:val="auto"/>
                <w:highlight w:val="none"/>
                <w:lang w:val="en-US" w:bidi="ar-SA"/>
              </w:rPr>
              <w:t xml:space="preserve">)监控模块：配备监控模块，提供SNMP、HTTPS WebUI，提供协议，并提供接入现有监控系统。</w:t>
            </w:r>
            <w:r/>
          </w:p>
          <w:p>
            <w:pPr>
              <w:jc w:val="left"/>
              <w:spacing w:line="360" w:lineRule="auto"/>
              <w:rPr>
                <w:bCs/>
                <w:color w:val="auto"/>
                <w:highlight w:val="none"/>
                <w:lang w:val="en-US" w:bidi="ar-SA"/>
              </w:rPr>
            </w:pPr>
            <w:r>
              <w:rPr>
                <w:rFonts w:hint="eastAsia"/>
                <w:bCs/>
                <w:color w:val="auto"/>
                <w:highlight w:val="none"/>
                <w:lang w:val="en-US" w:bidi="ar-SA"/>
              </w:rPr>
              <w:t xml:space="preserve">1</w:t>
            </w:r>
            <w:r>
              <w:rPr>
                <w:bCs/>
                <w:color w:val="auto"/>
                <w:highlight w:val="none"/>
                <w:lang w:val="en-US" w:bidi="ar-SA"/>
              </w:rPr>
              <w:t xml:space="preserve">1</w:t>
            </w:r>
            <w:r>
              <w:rPr>
                <w:rFonts w:hint="eastAsia"/>
                <w:bCs/>
                <w:color w:val="auto"/>
                <w:highlight w:val="none"/>
                <w:lang w:val="en-US" w:bidi="ar-SA"/>
              </w:rPr>
              <w:t xml:space="preserve">)直流电源逆变器1台，将站内</w:t>
            </w:r>
            <w:r>
              <w:rPr>
                <w:rFonts w:hint="eastAsia" w:ascii="微软雅黑" w:hAnsi="微软雅黑" w:eastAsia="微软雅黑" w:cs="微软雅黑"/>
                <w:bCs/>
                <w:color w:val="auto"/>
                <w:highlight w:val="none"/>
                <w:lang w:val="en-US" w:bidi="ar-SA"/>
              </w:rPr>
              <w:t xml:space="preserve">−</w:t>
            </w:r>
            <w:r>
              <w:rPr>
                <w:rFonts w:hint="eastAsia"/>
                <w:bCs/>
                <w:color w:val="auto"/>
                <w:highlight w:val="none"/>
                <w:lang w:val="en-US" w:bidi="ar-SA"/>
              </w:rPr>
              <w:t xml:space="preserve">48V直流逆变为220V交流，为交流设备提供不间断电源。直流输入：额定 DC 48V（</w:t>
            </w:r>
            <w:r>
              <w:rPr>
                <w:rFonts w:hint="eastAsia" w:ascii="微软雅黑" w:hAnsi="微软雅黑" w:eastAsia="微软雅黑" w:cs="微软雅黑"/>
                <w:bCs/>
                <w:color w:val="auto"/>
                <w:highlight w:val="none"/>
                <w:lang w:val="en-US" w:bidi="ar-SA"/>
              </w:rPr>
              <w:t xml:space="preserve">−</w:t>
            </w:r>
            <w:r>
              <w:rPr>
                <w:rFonts w:hint="eastAsia"/>
                <w:bCs/>
                <w:color w:val="auto"/>
                <w:highlight w:val="none"/>
                <w:lang w:val="en-US" w:bidi="ar-SA"/>
              </w:rPr>
              <w:t xml:space="preserve">48V 制式，正极接地）；输入范围40-57.6V；防反接保护；输入端反灌杂音电流不大于输入电流的1%。交流输出：额定220VAC，50Hz，纯正弦波（不得为方波/修正波）；容量3kVA，有功3kW（要求功率因1.0满额；若产品功率因数0.8，须选4kVA 机型并在投标文件注明）；稳压精度 ≤±3%；频率50Hz±0.5Hz；波形失真度≤3%（线性负载）；负载25%→50%→75突变时电压变化≤5%，瞬态恢复≤5ms。</w:t>
            </w:r>
            <w:r/>
          </w:p>
        </w:tc>
      </w:tr>
    </w:tbl>
    <w:p>
      <w:pPr>
        <w:jc w:val="both"/>
        <w:spacing w:line="360" w:lineRule="auto"/>
        <w:rPr>
          <w:b/>
          <w:color w:val="auto"/>
          <w:highlight w:val="none"/>
          <w:lang w:val="en-US" w:bidi="ar-SA"/>
        </w:rPr>
      </w:pPr>
      <w:r>
        <w:rPr>
          <w:rFonts w:hint="eastAsia"/>
          <w:b/>
          <w:color w:val="auto"/>
          <w:highlight w:val="none"/>
          <w:lang w:val="en-US" w:bidi="ar-SA"/>
        </w:rPr>
        <w:t xml:space="preserve">（四）、网络安全防护设备</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55"/>
        <w:gridCol w:w="7406"/>
      </w:tblGrid>
      <w:tr>
        <w:trPr/>
        <w:tc>
          <w:tcPr>
            <w:tcW w:w="771"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序号</w:t>
            </w:r>
            <w:r/>
          </w:p>
        </w:tc>
        <w:tc>
          <w:tcPr>
            <w:tcW w:w="1455"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设备名称</w:t>
            </w:r>
            <w:r/>
          </w:p>
        </w:tc>
        <w:tc>
          <w:tcPr>
            <w:tcW w:w="7406" w:type="dxa"/>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技术参数</w:t>
            </w:r>
            <w:r/>
          </w:p>
        </w:tc>
      </w:tr>
      <w:tr>
        <w:trPr/>
        <w:tc>
          <w:tcPr>
            <w:tcW w:w="771"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1</w:t>
            </w:r>
            <w:r/>
          </w:p>
        </w:tc>
        <w:tc>
          <w:tcPr>
            <w:tcW w:w="1455" w:type="dxa"/>
            <w:vAlign w:val="center"/>
            <w:textDirection w:val="lrTb"/>
            <w:noWrap w:val="false"/>
          </w:tcPr>
          <w:p>
            <w:pPr>
              <w:jc w:val="center"/>
              <w:spacing w:line="360" w:lineRule="auto"/>
              <w:rPr>
                <w:bCs/>
                <w:color w:val="auto"/>
                <w:highlight w:val="none"/>
                <w:lang w:val="en-US"/>
              </w:rPr>
            </w:pPr>
            <w:r/>
            <w:bookmarkStart w:id="22" w:name="OLE_LINK8"/>
            <w:r/>
            <w:bookmarkStart w:id="23" w:name="OLE_LINK7"/>
            <w:r>
              <w:rPr>
                <w:rFonts w:hint="eastAsia"/>
                <w:bCs/>
                <w:color w:val="auto"/>
                <w:highlight w:val="none"/>
              </w:rPr>
              <w:t xml:space="preserve">网络安全运维审计（堡垒机）</w:t>
            </w:r>
            <w:bookmarkEnd w:id="22"/>
            <w:r/>
            <w:bookmarkEnd w:id="23"/>
            <w:r/>
            <w:r/>
          </w:p>
        </w:tc>
        <w:tc>
          <w:tcPr>
            <w:tcW w:w="7406"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1)机架式设备。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2)国产自主可控处理器，</w:t>
            </w:r>
            <w:bookmarkStart w:id="24" w:name="OLE_LINK10"/>
            <w:r/>
            <w:bookmarkStart w:id="25" w:name="OLE_LINK9"/>
            <w:r>
              <w:rPr>
                <w:rFonts w:hint="eastAsia"/>
                <w:bCs/>
                <w:color w:val="auto"/>
                <w:highlight w:val="none"/>
                <w:lang w:val="en-US" w:bidi="ar-SA"/>
              </w:rPr>
              <w:t xml:space="preserve">须列入安全可靠测评目录Ⅰ级及以上</w:t>
            </w:r>
            <w:bookmarkEnd w:id="24"/>
            <w:r/>
            <w:bookmarkEnd w:id="25"/>
            <w:r>
              <w:rPr>
                <w:rFonts w:hint="eastAsia"/>
                <w:bCs/>
                <w:color w:val="auto"/>
                <w:highlight w:val="none"/>
                <w:lang w:val="en-US" w:bidi="ar-SA"/>
              </w:rPr>
              <w:t xml:space="preserve">。</w:t>
            </w:r>
            <w:r>
              <w:rPr>
                <w:rFonts w:hint="eastAsia"/>
                <w:b/>
                <w:color w:val="auto"/>
                <w:highlight w:val="none"/>
                <w:lang w:val="en-US" w:bidi="ar-SA"/>
              </w:rPr>
              <w:t xml:space="preserve">提供证明材料。</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3)操作系统：预装正版国产操作系统，须列入安全可靠测评目录Ⅰ级及以上，含终身授权。</w:t>
            </w:r>
            <w:r/>
          </w:p>
          <w:p>
            <w:pPr>
              <w:jc w:val="left"/>
              <w:spacing w:line="360" w:lineRule="auto"/>
              <w:rPr>
                <w:bCs/>
                <w:color w:val="auto"/>
                <w:highlight w:val="none"/>
                <w:lang w:val="en-US" w:bidi="ar-SA"/>
              </w:rPr>
            </w:pPr>
            <w:r>
              <w:rPr>
                <w:rFonts w:hint="eastAsia"/>
                <w:bCs/>
                <w:color w:val="auto"/>
                <w:highlight w:val="none"/>
                <w:lang w:val="en-US" w:bidi="ar-SA"/>
              </w:rPr>
              <w:t xml:space="preserve">4)提供纳管国产操作系统（麒麟、统信、欧拉等）及主流非信创资产（操作系统、应用系统、安全设备、网络设备、数据库等）。</w:t>
            </w:r>
            <w:r/>
          </w:p>
          <w:p>
            <w:pPr>
              <w:jc w:val="left"/>
              <w:spacing w:line="360" w:lineRule="auto"/>
              <w:rPr>
                <w:bCs/>
                <w:color w:val="auto"/>
                <w:highlight w:val="none"/>
                <w:lang w:val="en-US" w:bidi="ar-SA"/>
              </w:rPr>
            </w:pPr>
            <w:r>
              <w:rPr>
                <w:rFonts w:hint="eastAsia"/>
                <w:bCs/>
                <w:color w:val="auto"/>
                <w:highlight w:val="none"/>
                <w:lang w:val="en-US" w:bidi="ar-SA"/>
              </w:rPr>
              <w:t xml:space="preserve">5)提供字符协议（SSH/Telnet）、图形协议（RDP/VNC）、文件传输协议（FTP/SFTP）及主流数据库协议的运维与审计。</w:t>
            </w:r>
            <w:r/>
          </w:p>
          <w:p>
            <w:pPr>
              <w:jc w:val="left"/>
              <w:spacing w:line="360" w:lineRule="auto"/>
              <w:rPr>
                <w:bCs/>
                <w:color w:val="auto"/>
                <w:highlight w:val="none"/>
                <w:lang w:val="en-US" w:bidi="ar-SA"/>
              </w:rPr>
            </w:pPr>
            <w:r>
              <w:rPr>
                <w:rFonts w:hint="eastAsia"/>
                <w:bCs/>
                <w:color w:val="auto"/>
                <w:highlight w:val="none"/>
                <w:lang w:val="en-US" w:bidi="ar-SA"/>
              </w:rPr>
              <w:t xml:space="preserve">6)提供操作全程录屏及文本审计记录，提供动态双因素认证。</w:t>
            </w:r>
            <w:r/>
          </w:p>
          <w:p>
            <w:pPr>
              <w:jc w:val="left"/>
              <w:spacing w:line="360" w:lineRule="auto"/>
              <w:rPr>
                <w:bCs/>
                <w:color w:val="auto"/>
                <w:highlight w:val="none"/>
                <w:lang w:val="en-US" w:bidi="ar-SA"/>
              </w:rPr>
            </w:pPr>
            <w:r>
              <w:rPr>
                <w:rFonts w:hint="eastAsia"/>
                <w:bCs/>
                <w:color w:val="auto"/>
                <w:highlight w:val="none"/>
                <w:lang w:val="en-US" w:bidi="ar-SA"/>
              </w:rPr>
              <w:t xml:space="preserve">7)最大提供600路字符会话或300路图形会话并发。</w:t>
            </w:r>
            <w:r/>
          </w:p>
          <w:p>
            <w:pPr>
              <w:jc w:val="left"/>
              <w:spacing w:line="360" w:lineRule="auto"/>
              <w:rPr>
                <w:bCs/>
                <w:color w:val="auto"/>
                <w:highlight w:val="none"/>
                <w:lang w:val="en-US" w:bidi="ar-SA"/>
              </w:rPr>
            </w:pPr>
            <w:r>
              <w:rPr>
                <w:rFonts w:hint="eastAsia"/>
                <w:bCs/>
                <w:color w:val="auto"/>
                <w:highlight w:val="none"/>
                <w:lang w:val="en-US" w:bidi="ar-SA"/>
              </w:rPr>
              <w:t xml:space="preserve">8)至少50个永久资产数量授权。</w:t>
            </w:r>
            <w:r/>
          </w:p>
          <w:p>
            <w:pPr>
              <w:jc w:val="left"/>
              <w:spacing w:line="360" w:lineRule="auto"/>
              <w:rPr>
                <w:b/>
                <w:color w:val="auto"/>
                <w:highlight w:val="none"/>
                <w:lang w:val="en-US" w:bidi="ar-SA"/>
              </w:rPr>
            </w:pPr>
            <w:r>
              <w:rPr>
                <w:rFonts w:hint="eastAsia"/>
                <w:bCs/>
                <w:color w:val="auto"/>
                <w:highlight w:val="none"/>
                <w:lang w:val="en-US" w:bidi="ar-SA"/>
              </w:rPr>
              <w:t xml:space="preserve">9)技术服务应含7×24小时热线提供、5×8小时远程技术提供；质保服务应含硬件更换服务、硬件维修服务、软件功能更新、问题修复、漏洞修复。</w:t>
            </w:r>
            <w:r/>
          </w:p>
        </w:tc>
      </w:tr>
      <w:tr>
        <w:trPr/>
        <w:tc>
          <w:tcPr>
            <w:tcW w:w="771"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2</w:t>
            </w:r>
            <w:r/>
          </w:p>
        </w:tc>
        <w:tc>
          <w:tcPr>
            <w:tcW w:w="1455" w:type="dxa"/>
            <w:vAlign w:val="center"/>
            <w:textDirection w:val="lrTb"/>
            <w:noWrap w:val="false"/>
          </w:tcPr>
          <w:p>
            <w:pPr>
              <w:jc w:val="center"/>
              <w:spacing w:line="360" w:lineRule="auto"/>
              <w:rPr>
                <w:bCs/>
                <w:color w:val="auto"/>
                <w:highlight w:val="none"/>
                <w:lang w:val="en-US"/>
              </w:rPr>
            </w:pPr>
            <w:r>
              <w:rPr>
                <w:rFonts w:hint="eastAsia"/>
                <w:bCs/>
                <w:color w:val="auto"/>
                <w:highlight w:val="none"/>
              </w:rPr>
              <w:t xml:space="preserve">网络安全日志审计</w:t>
            </w:r>
            <w:r/>
          </w:p>
        </w:tc>
        <w:tc>
          <w:tcPr>
            <w:tcW w:w="7406"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1)机架式设备。</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2)国产自主可控处理器，须列入安全可靠测评目录Ⅰ级及以上。</w:t>
            </w:r>
            <w:r>
              <w:rPr>
                <w:rFonts w:hint="eastAsia"/>
                <w:b/>
                <w:color w:val="auto"/>
                <w:highlight w:val="none"/>
                <w:lang w:val="en-US" w:bidi="ar-SA"/>
              </w:rPr>
              <w:t xml:space="preserve">提供证明材料。</w:t>
            </w:r>
            <w:r/>
          </w:p>
          <w:p>
            <w:pPr>
              <w:jc w:val="left"/>
              <w:spacing w:line="360" w:lineRule="auto"/>
              <w:rPr>
                <w:bCs/>
                <w:color w:val="auto"/>
                <w:highlight w:val="none"/>
                <w:lang w:val="en-US" w:bidi="ar-SA"/>
              </w:rPr>
            </w:pPr>
            <w:r>
              <w:rPr>
                <w:rFonts w:hint="eastAsia"/>
                <w:color w:val="auto"/>
                <w:highlight w:val="none"/>
              </w:rPr>
              <w:t xml:space="preserve">▲</w:t>
            </w:r>
            <w:r>
              <w:rPr>
                <w:rFonts w:hint="eastAsia"/>
                <w:bCs/>
                <w:color w:val="auto"/>
                <w:highlight w:val="none"/>
                <w:lang w:val="en-US" w:bidi="ar-SA"/>
              </w:rPr>
              <w:t xml:space="preserve">3)操作系统：预装正版国产操作系统，须列入安全可靠测评目录Ⅰ级及以上，含终身授权。</w:t>
            </w:r>
            <w:r/>
          </w:p>
          <w:p>
            <w:pPr>
              <w:jc w:val="left"/>
              <w:spacing w:line="360" w:lineRule="auto"/>
              <w:rPr>
                <w:bCs/>
                <w:color w:val="auto"/>
                <w:highlight w:val="none"/>
                <w:lang w:val="en-US" w:bidi="ar-SA"/>
              </w:rPr>
            </w:pPr>
            <w:r>
              <w:rPr>
                <w:rFonts w:hint="eastAsia"/>
                <w:bCs/>
                <w:color w:val="auto"/>
                <w:highlight w:val="none"/>
                <w:lang w:val="en-US" w:bidi="ar-SA"/>
              </w:rPr>
              <w:t xml:space="preserve">4)内存≥16GB，有效存储容量≥4TB，日志保存时间不少于6个月。</w:t>
            </w:r>
            <w:r/>
          </w:p>
          <w:p>
            <w:pPr>
              <w:jc w:val="left"/>
              <w:spacing w:line="360" w:lineRule="auto"/>
              <w:rPr>
                <w:bCs/>
                <w:color w:val="auto"/>
                <w:highlight w:val="none"/>
                <w:lang w:val="en-US" w:bidi="ar-SA"/>
              </w:rPr>
            </w:pPr>
            <w:r>
              <w:rPr>
                <w:rFonts w:hint="eastAsia"/>
                <w:bCs/>
                <w:color w:val="auto"/>
                <w:highlight w:val="none"/>
                <w:lang w:val="en-US" w:bidi="ar-SA"/>
              </w:rPr>
              <w:t xml:space="preserve">5)提供Syslog、SNMP、WMI、Agent等多种日志采集方式。</w:t>
            </w:r>
            <w:r/>
          </w:p>
          <w:p>
            <w:pPr>
              <w:jc w:val="left"/>
              <w:spacing w:line="360" w:lineRule="auto"/>
              <w:rPr>
                <w:bCs/>
                <w:color w:val="auto"/>
                <w:highlight w:val="none"/>
                <w:lang w:val="en-US" w:bidi="ar-SA"/>
              </w:rPr>
            </w:pPr>
            <w:r>
              <w:rPr>
                <w:rFonts w:hint="eastAsia"/>
                <w:bCs/>
                <w:color w:val="auto"/>
                <w:highlight w:val="none"/>
                <w:lang w:val="en-US" w:bidi="ar-SA"/>
              </w:rPr>
              <w:t xml:space="preserve">6)内置日志解析规则≥5000条，提供对采集日志进行标准化、归一化处理。</w:t>
            </w:r>
            <w:r/>
          </w:p>
          <w:p>
            <w:pPr>
              <w:jc w:val="left"/>
              <w:spacing w:line="360" w:lineRule="auto"/>
              <w:rPr>
                <w:bCs/>
                <w:color w:val="auto"/>
                <w:highlight w:val="none"/>
                <w:lang w:val="en-US" w:bidi="ar-SA"/>
              </w:rPr>
            </w:pPr>
            <w:r>
              <w:rPr>
                <w:rFonts w:hint="eastAsia"/>
                <w:bCs/>
                <w:color w:val="auto"/>
                <w:highlight w:val="none"/>
                <w:lang w:val="en-US" w:bidi="ar-SA"/>
              </w:rPr>
              <w:t xml:space="preserve">7)提供安全事件关联分析与告警。</w:t>
            </w:r>
            <w:r/>
          </w:p>
          <w:p>
            <w:pPr>
              <w:jc w:val="left"/>
              <w:spacing w:line="360" w:lineRule="auto"/>
              <w:rPr>
                <w:bCs/>
                <w:color w:val="auto"/>
                <w:highlight w:val="none"/>
                <w:lang w:val="en-US" w:bidi="ar-SA"/>
              </w:rPr>
            </w:pPr>
            <w:r>
              <w:rPr>
                <w:rFonts w:hint="eastAsia"/>
                <w:bCs/>
                <w:color w:val="auto"/>
                <w:highlight w:val="none"/>
                <w:lang w:val="en-US" w:bidi="ar-SA"/>
              </w:rPr>
              <w:t xml:space="preserve">8)日志处理性能（平均）≥1000EPS，提供使用和服务在内的多种审计数据源的日志采集，并且提供日志过滤归并功能提高日志采集能力；系统内置日志分析规则库，提供针对日志的查询，告警，审计，报表，报告等功能，提供自定义分析规则与自定义报表、报告；提供多种多样的可视化日志分析能力。</w:t>
            </w:r>
            <w:r/>
          </w:p>
          <w:p>
            <w:pPr>
              <w:jc w:val="left"/>
              <w:spacing w:line="360" w:lineRule="auto"/>
              <w:rPr>
                <w:bCs/>
                <w:color w:val="auto"/>
                <w:highlight w:val="none"/>
                <w:lang w:val="en-US" w:bidi="ar-SA"/>
              </w:rPr>
            </w:pPr>
            <w:r>
              <w:rPr>
                <w:rFonts w:hint="eastAsia"/>
                <w:bCs/>
                <w:color w:val="auto"/>
                <w:highlight w:val="none"/>
                <w:lang w:val="en-US" w:bidi="ar-SA"/>
              </w:rPr>
              <w:t xml:space="preserve">9)至少50个永久日志源接入授权，覆盖主流设备与系统。</w:t>
            </w:r>
            <w:r/>
          </w:p>
          <w:p>
            <w:pPr>
              <w:jc w:val="left"/>
              <w:spacing w:line="360" w:lineRule="auto"/>
              <w:rPr>
                <w:b/>
                <w:color w:val="auto"/>
                <w:highlight w:val="none"/>
                <w:lang w:val="en-US" w:bidi="ar-SA"/>
              </w:rPr>
            </w:pPr>
            <w:r>
              <w:rPr>
                <w:rFonts w:hint="eastAsia"/>
                <w:bCs/>
                <w:color w:val="auto"/>
                <w:highlight w:val="none"/>
                <w:lang w:val="en-US" w:bidi="ar-SA"/>
              </w:rPr>
              <w:t xml:space="preserve">10)技术服务应含7×24小时热线提供、5×8小时远程技术提供；质保服务应含硬件更换服务、硬件维修服务、软件功能更新、问题修复、漏洞修复。</w:t>
            </w:r>
            <w:r/>
          </w:p>
        </w:tc>
      </w:tr>
    </w:tbl>
    <w:p>
      <w:pPr>
        <w:jc w:val="both"/>
        <w:spacing w:line="360" w:lineRule="auto"/>
        <w:rPr>
          <w:b/>
          <w:color w:val="auto"/>
          <w:highlight w:val="none"/>
          <w:lang w:val="en-US" w:bidi="ar-SA"/>
        </w:rPr>
      </w:pPr>
      <w:r>
        <w:rPr>
          <w:rFonts w:hint="eastAsia"/>
          <w:b/>
          <w:color w:val="auto"/>
          <w:highlight w:val="none"/>
          <w:lang w:val="en-US" w:bidi="ar-SA"/>
        </w:rPr>
        <w:t xml:space="preserve">（五）、播出信号质量评估设备</w:t>
      </w:r>
      <w:r/>
    </w:p>
    <w:tbl>
      <w:tblPr>
        <w:tblStyle w:val="8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457"/>
        <w:gridCol w:w="7421"/>
      </w:tblGrid>
      <w:tr>
        <w:trPr/>
        <w:tc>
          <w:tcPr>
            <w:tcW w:w="754" w:type="dxa"/>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序号</w:t>
            </w:r>
            <w:r/>
          </w:p>
        </w:tc>
        <w:tc>
          <w:tcPr>
            <w:tcW w:w="1457" w:type="dxa"/>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设备名称</w:t>
            </w:r>
            <w:r/>
          </w:p>
        </w:tc>
        <w:tc>
          <w:tcPr>
            <w:tcW w:w="7421" w:type="dxa"/>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技术参数</w:t>
            </w:r>
            <w:r/>
          </w:p>
        </w:tc>
      </w:tr>
      <w:tr>
        <w:trPr/>
        <w:tc>
          <w:tcPr>
            <w:tcW w:w="754"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1</w:t>
            </w:r>
            <w:r/>
          </w:p>
        </w:tc>
        <w:tc>
          <w:tcPr>
            <w:tcW w:w="1457"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信号质量监测设备</w:t>
            </w:r>
            <w:r/>
          </w:p>
        </w:tc>
        <w:tc>
          <w:tcPr>
            <w:tcW w:w="7421"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1)机箱及电源：2U定制机箱（带热备份冗余电源，前面板LCD显控）；</w:t>
            </w:r>
            <w:r/>
          </w:p>
          <w:p>
            <w:pPr>
              <w:jc w:val="left"/>
              <w:spacing w:line="360" w:lineRule="auto"/>
              <w:rPr>
                <w:bCs/>
                <w:color w:val="auto"/>
                <w:highlight w:val="none"/>
                <w:lang w:val="en-US" w:bidi="ar-SA"/>
              </w:rPr>
            </w:pPr>
            <w:r>
              <w:rPr>
                <w:rFonts w:hint="eastAsia"/>
                <w:bCs/>
                <w:color w:val="auto"/>
                <w:highlight w:val="none"/>
                <w:lang w:val="en-US" w:bidi="ar-SA"/>
              </w:rPr>
              <w:t xml:space="preserve">2)码流技术监测：提供 TR 101 290 三级告警；码率与带宽实时统计；PID 与节目级分析；PSI/SI 表解析与一致性检查。</w:t>
            </w:r>
            <w:r/>
          </w:p>
          <w:p>
            <w:pPr>
              <w:jc w:val="left"/>
              <w:spacing w:line="360" w:lineRule="auto"/>
              <w:rPr>
                <w:bCs/>
                <w:color w:val="auto"/>
                <w:highlight w:val="none"/>
                <w:lang w:val="en-US" w:bidi="ar-SA"/>
              </w:rPr>
            </w:pPr>
            <w:r>
              <w:rPr>
                <w:rFonts w:hint="eastAsia"/>
                <w:bCs/>
                <w:color w:val="auto"/>
                <w:highlight w:val="none"/>
                <w:lang w:val="en-US" w:bidi="ar-SA"/>
              </w:rPr>
              <w:t xml:space="preserve">3)视音频质量监测：提供黑场、静帧、静音、爆音检测；视频一致性监测；宏块（马赛克）错误监测；音视频丢失检测。</w:t>
            </w:r>
            <w:r/>
          </w:p>
          <w:p>
            <w:pPr>
              <w:jc w:val="left"/>
              <w:spacing w:line="360" w:lineRule="auto"/>
              <w:rPr>
                <w:bCs/>
                <w:color w:val="auto"/>
                <w:highlight w:val="none"/>
                <w:lang w:val="en-US" w:bidi="ar-SA"/>
              </w:rPr>
            </w:pPr>
            <w:r>
              <w:rPr>
                <w:rFonts w:hint="eastAsia"/>
                <w:bCs/>
                <w:color w:val="auto"/>
                <w:highlight w:val="none"/>
                <w:lang w:val="en-US" w:bidi="ar-SA"/>
              </w:rPr>
              <w:t xml:space="preserve">4)网络层监测：丢包、抖动、连续计数错误等网络层质量监测。</w:t>
            </w:r>
            <w:r/>
          </w:p>
          <w:p>
            <w:pPr>
              <w:jc w:val="left"/>
              <w:spacing w:line="360" w:lineRule="auto"/>
              <w:rPr>
                <w:bCs/>
                <w:color w:val="auto"/>
                <w:highlight w:val="none"/>
                <w:lang w:val="en-US" w:bidi="ar-SA"/>
              </w:rPr>
            </w:pPr>
            <w:r>
              <w:rPr>
                <w:rFonts w:hint="eastAsia"/>
                <w:bCs/>
                <w:color w:val="auto"/>
                <w:highlight w:val="none"/>
                <w:lang w:val="en-US" w:bidi="ar-SA"/>
              </w:rPr>
              <w:t xml:space="preserve">5)报警功能：实时报警显示、报警查询、分级报警（视频层/传输层/系统层）。</w:t>
            </w:r>
            <w:r/>
          </w:p>
          <w:p>
            <w:pPr>
              <w:jc w:val="left"/>
              <w:spacing w:line="360" w:lineRule="auto"/>
              <w:rPr>
                <w:bCs/>
                <w:color w:val="auto"/>
                <w:highlight w:val="none"/>
                <w:lang w:val="en-US" w:bidi="ar-SA"/>
              </w:rPr>
            </w:pPr>
            <w:r>
              <w:rPr>
                <w:rFonts w:hint="eastAsia"/>
                <w:bCs/>
                <w:color w:val="auto"/>
                <w:highlight w:val="none"/>
                <w:lang w:val="en-US" w:bidi="ar-SA"/>
              </w:rPr>
              <w:t xml:space="preserve">6)其他：</w:t>
            </w:r>
            <w:r>
              <w:rPr>
                <w:rFonts w:hint="eastAsia"/>
                <w:color w:val="auto"/>
                <w:highlight w:val="none"/>
                <w:lang w:val="en-US" w:bidi="ar-SA"/>
              </w:rPr>
              <w:t xml:space="preserve">其中1台提供不少于3个频点的DTMB解调接收，至少提供4个千兆网口，</w:t>
            </w:r>
            <w:r>
              <w:rPr>
                <w:rFonts w:hint="eastAsia"/>
                <w:bCs/>
                <w:color w:val="auto"/>
                <w:highlight w:val="none"/>
                <w:lang w:val="en-US" w:bidi="ar-SA"/>
              </w:rPr>
              <w:t xml:space="preserve">具备外显输出卡，</w:t>
            </w:r>
            <w:r>
              <w:rPr>
                <w:rFonts w:hint="eastAsia"/>
                <w:color w:val="auto"/>
                <w:highlight w:val="none"/>
                <w:lang w:val="en-US" w:bidi="ar-SA"/>
              </w:rPr>
              <w:t xml:space="preserve">提供2块大屏的输出显示，具有DVI、HDMI接口可供选择，每屏的显示分辨率均可达1920*1080</w:t>
            </w:r>
            <w:r>
              <w:rPr>
                <w:rFonts w:hint="eastAsia"/>
                <w:bCs/>
                <w:color w:val="auto"/>
                <w:highlight w:val="none"/>
                <w:lang w:val="en-US" w:bidi="ar-SA"/>
              </w:rPr>
              <w:t xml:space="preserve">，设备硬件需满足提供监测软件60路标清或30路高清同时运行多画面监控及码流监测。</w:t>
            </w:r>
            <w:r/>
          </w:p>
          <w:p>
            <w:pPr>
              <w:jc w:val="left"/>
              <w:spacing w:line="360" w:lineRule="auto"/>
              <w:rPr>
                <w:bCs/>
                <w:color w:val="auto"/>
                <w:highlight w:val="none"/>
                <w:lang w:val="en-US"/>
              </w:rPr>
            </w:pPr>
            <w:r>
              <w:rPr>
                <w:rFonts w:hint="eastAsia"/>
                <w:bCs/>
                <w:color w:val="auto"/>
                <w:highlight w:val="none"/>
                <w:lang w:val="en-US" w:bidi="ar-SA"/>
              </w:rPr>
              <w:t xml:space="preserve">7)软件授权沿用现有 U-key 授权。供应商须负责完成原授权向新设备的迁移。</w:t>
            </w:r>
            <w:r/>
          </w:p>
        </w:tc>
      </w:tr>
      <w:tr>
        <w:trPr/>
        <w:tc>
          <w:tcPr>
            <w:tcW w:w="754"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2</w:t>
            </w:r>
            <w:r/>
          </w:p>
        </w:tc>
        <w:tc>
          <w:tcPr>
            <w:tcW w:w="1457" w:type="dxa"/>
            <w:vAlign w:val="center"/>
            <w:textDirection w:val="lrTb"/>
            <w:noWrap w:val="false"/>
          </w:tcPr>
          <w:p>
            <w:pPr>
              <w:jc w:val="center"/>
              <w:spacing w:line="360" w:lineRule="auto"/>
              <w:rPr>
                <w:bCs/>
                <w:color w:val="auto"/>
                <w:highlight w:val="none"/>
                <w:lang w:val="en-US"/>
              </w:rPr>
            </w:pPr>
            <w:r>
              <w:rPr>
                <w:rFonts w:hint="eastAsia"/>
                <w:bCs/>
                <w:color w:val="auto"/>
                <w:highlight w:val="none"/>
                <w:lang w:val="en-US"/>
              </w:rPr>
              <w:t xml:space="preserve">码流采集设备</w:t>
            </w:r>
            <w:r/>
          </w:p>
        </w:tc>
        <w:tc>
          <w:tcPr>
            <w:tcW w:w="7421" w:type="dxa"/>
            <w:textDirection w:val="lrTb"/>
            <w:noWrap w:val="false"/>
          </w:tcPr>
          <w:p>
            <w:pPr>
              <w:jc w:val="left"/>
              <w:spacing w:line="360" w:lineRule="auto"/>
              <w:rPr>
                <w:bCs/>
                <w:color w:val="auto"/>
                <w:highlight w:val="none"/>
                <w:lang w:val="en-US" w:bidi="ar-SA"/>
              </w:rPr>
            </w:pPr>
            <w:r>
              <w:rPr>
                <w:rFonts w:hint="eastAsia"/>
                <w:bCs/>
                <w:color w:val="auto"/>
                <w:highlight w:val="none"/>
                <w:lang w:val="en-US" w:bidi="ar-SA"/>
              </w:rPr>
              <w:t xml:space="preserve">1)机箱及电源：2U定制机箱（带热备份冗余电源，前面板LCD显控）；</w:t>
            </w:r>
            <w:r/>
          </w:p>
          <w:p>
            <w:pPr>
              <w:jc w:val="left"/>
              <w:spacing w:line="360" w:lineRule="auto"/>
              <w:rPr>
                <w:bCs/>
                <w:color w:val="auto"/>
                <w:highlight w:val="none"/>
                <w:lang w:val="en-US" w:bidi="ar-SA"/>
              </w:rPr>
            </w:pPr>
            <w:r>
              <w:rPr>
                <w:rFonts w:hint="eastAsia"/>
                <w:bCs/>
                <w:color w:val="auto"/>
                <w:highlight w:val="none"/>
                <w:lang w:val="en-US" w:bidi="ar-SA"/>
              </w:rPr>
              <w:t xml:space="preserve">2)码流接口与协议：提供 TS over IP（UDP/RTP，单播/组播，IGMP v2/v3）；提供 MPTS 与 SPTS；提供188/204字节包长；提供 PSI/SI 表解析。</w:t>
            </w:r>
            <w:r/>
          </w:p>
          <w:p>
            <w:pPr>
              <w:jc w:val="left"/>
              <w:spacing w:line="360" w:lineRule="auto"/>
              <w:rPr>
                <w:bCs/>
                <w:color w:val="auto"/>
                <w:highlight w:val="none"/>
                <w:lang w:val="en-US" w:bidi="ar-SA"/>
              </w:rPr>
            </w:pPr>
            <w:r>
              <w:rPr>
                <w:rFonts w:hint="eastAsia"/>
                <w:bCs/>
                <w:color w:val="auto"/>
                <w:highlight w:val="none"/>
                <w:lang w:val="en-US" w:bidi="ar-SA"/>
              </w:rPr>
              <w:t xml:space="preserve">3)并发采集：单台并发采集流数</w:t>
            </w:r>
            <w:r>
              <w:rPr>
                <w:bCs/>
                <w:color w:val="auto"/>
                <w:highlight w:val="none"/>
                <w:lang w:val="en-US" w:bidi="ar-SA"/>
              </w:rPr>
              <w:t xml:space="preserve">满足采购人现场业务采集路数需求，中标后现场核验</w:t>
            </w:r>
            <w:r>
              <w:rPr>
                <w:rFonts w:hint="eastAsia"/>
                <w:bCs/>
                <w:color w:val="auto"/>
                <w:highlight w:val="none"/>
                <w:lang w:val="en-US" w:bidi="ar-SA"/>
              </w:rPr>
              <w:t xml:space="preserve">，单流码率1-50Mbps；采集不得丢包。</w:t>
            </w:r>
            <w:r/>
          </w:p>
          <w:p>
            <w:pPr>
              <w:jc w:val="left"/>
              <w:spacing w:line="360" w:lineRule="auto"/>
              <w:rPr>
                <w:bCs/>
                <w:color w:val="auto"/>
                <w:highlight w:val="none"/>
                <w:lang w:val="en-US" w:bidi="ar-SA"/>
              </w:rPr>
            </w:pPr>
            <w:r>
              <w:rPr>
                <w:rFonts w:hint="eastAsia"/>
                <w:bCs/>
                <w:color w:val="auto"/>
                <w:highlight w:val="none"/>
                <w:lang w:val="en-US" w:bidi="ar-SA"/>
              </w:rPr>
              <w:t xml:space="preserve">4)录存容量：单台有效录存容量 ≥120TB；采用不少于12个企业级硬盘、热插拔盘位、RAID 冗余（允许单盘故障不中断录存）。</w:t>
            </w:r>
            <w:r/>
          </w:p>
          <w:p>
            <w:pPr>
              <w:jc w:val="left"/>
              <w:spacing w:line="360" w:lineRule="auto"/>
              <w:rPr>
                <w:bCs/>
                <w:color w:val="auto"/>
                <w:highlight w:val="none"/>
                <w:lang w:val="en-US" w:bidi="ar-SA"/>
              </w:rPr>
            </w:pPr>
            <w:r>
              <w:rPr>
                <w:rFonts w:hint="eastAsia"/>
                <w:bCs/>
                <w:color w:val="auto"/>
                <w:highlight w:val="none"/>
                <w:lang w:val="en-US" w:bidi="ar-SA"/>
              </w:rPr>
              <w:t xml:space="preserve">5)网络接口：不少于6×千兆电口，码流采集与数据上送分离。</w:t>
            </w:r>
            <w:r/>
          </w:p>
          <w:p>
            <w:pPr>
              <w:jc w:val="left"/>
              <w:spacing w:line="360" w:lineRule="auto"/>
              <w:rPr>
                <w:bCs/>
                <w:color w:val="auto"/>
                <w:highlight w:val="none"/>
                <w:lang w:val="en-US" w:bidi="ar-SA"/>
              </w:rPr>
            </w:pPr>
            <w:r>
              <w:rPr>
                <w:rFonts w:hint="eastAsia"/>
                <w:bCs/>
                <w:color w:val="auto"/>
                <w:highlight w:val="none"/>
                <w:lang w:val="en-US" w:bidi="ar-SA"/>
              </w:rPr>
              <w:t xml:space="preserve">6)录存策略：提供按通道/节目/时段设定录存计划；提供循环覆盖与按优先级保留；提供断点续录；提供开机自动恢复录存任务。</w:t>
            </w:r>
            <w:r/>
          </w:p>
          <w:p>
            <w:pPr>
              <w:jc w:val="left"/>
              <w:spacing w:line="360" w:lineRule="auto"/>
              <w:rPr>
                <w:bCs/>
                <w:color w:val="auto"/>
                <w:highlight w:val="none"/>
                <w:lang w:val="en-US" w:bidi="ar-SA"/>
              </w:rPr>
            </w:pPr>
            <w:r>
              <w:rPr>
                <w:rFonts w:hint="eastAsia"/>
                <w:bCs/>
                <w:color w:val="auto"/>
                <w:highlight w:val="none"/>
                <w:lang w:val="en-US" w:bidi="ar-SA"/>
              </w:rPr>
              <w:t xml:space="preserve">7)检索与回放：提供按时间、通道、节目名称、事件标记检索；提供在线回放与下载导出。</w:t>
            </w:r>
            <w:r/>
          </w:p>
          <w:p>
            <w:pPr>
              <w:jc w:val="left"/>
              <w:spacing w:line="360" w:lineRule="auto"/>
              <w:rPr>
                <w:bCs/>
                <w:color w:val="auto"/>
                <w:highlight w:val="none"/>
                <w:lang w:val="en-US" w:bidi="ar-SA"/>
              </w:rPr>
            </w:pPr>
            <w:r>
              <w:rPr>
                <w:rFonts w:hint="eastAsia"/>
                <w:bCs/>
                <w:color w:val="auto"/>
                <w:highlight w:val="none"/>
                <w:lang w:val="en-US" w:bidi="ar-SA"/>
              </w:rPr>
              <w:t xml:space="preserve">8)码流监测分析：码率/带宽实时统计、PID 与节目级分析、TR 101 290三级告警、音视频丢失与静帧检测；提供告警记录与历史查询。</w:t>
            </w:r>
            <w:r/>
          </w:p>
          <w:p>
            <w:pPr>
              <w:jc w:val="left"/>
              <w:spacing w:line="360" w:lineRule="auto"/>
              <w:rPr>
                <w:bCs/>
                <w:color w:val="auto"/>
                <w:highlight w:val="none"/>
                <w:lang w:val="en-US" w:bidi="ar-SA"/>
              </w:rPr>
            </w:pPr>
            <w:r>
              <w:rPr>
                <w:rFonts w:hint="eastAsia"/>
                <w:bCs/>
                <w:color w:val="auto"/>
                <w:highlight w:val="none"/>
                <w:lang w:val="en-US" w:bidi="ar-SA"/>
              </w:rPr>
              <w:t xml:space="preserve">9)供货文件：产品合格证、出厂检验报告、主要部件原厂证明。</w:t>
            </w:r>
            <w:r/>
          </w:p>
          <w:p>
            <w:pPr>
              <w:jc w:val="left"/>
              <w:spacing w:line="360" w:lineRule="auto"/>
              <w:rPr>
                <w:bCs/>
                <w:color w:val="auto"/>
                <w:highlight w:val="none"/>
                <w:lang w:val="en-US"/>
              </w:rPr>
            </w:pPr>
            <w:r>
              <w:rPr>
                <w:rFonts w:hint="eastAsia"/>
                <w:bCs/>
                <w:color w:val="auto"/>
                <w:highlight w:val="none"/>
                <w:lang w:val="en-US" w:bidi="ar-SA"/>
              </w:rPr>
              <w:t xml:space="preserve">10)质保期内免费更换故障部件。</w:t>
            </w:r>
            <w:r/>
          </w:p>
        </w:tc>
      </w:tr>
    </w:tbl>
    <w:p>
      <w:pPr>
        <w:jc w:val="both"/>
        <w:spacing w:line="360" w:lineRule="auto"/>
        <w:rPr>
          <w:b/>
          <w:color w:val="auto"/>
          <w:highlight w:val="none"/>
          <w:lang w:val="en-US" w:bidi="ar-SA"/>
        </w:rPr>
      </w:pPr>
      <w:r>
        <w:rPr>
          <w:rFonts w:hint="eastAsia"/>
          <w:b/>
          <w:color w:val="auto"/>
          <w:highlight w:val="none"/>
          <w:lang w:val="en-US" w:bidi="ar-SA"/>
        </w:rPr>
        <w:t xml:space="preserve">四、商务要求</w:t>
      </w:r>
      <w:r/>
    </w:p>
    <w:p>
      <w:pPr>
        <w:ind w:firstLine="442"/>
        <w:jc w:val="both"/>
        <w:spacing w:line="360" w:lineRule="auto"/>
        <w:rPr>
          <w:bCs/>
          <w:color w:val="auto"/>
          <w:highlight w:val="none"/>
          <w:lang w:val="en-US" w:bidi="ar-SA"/>
        </w:rPr>
      </w:pPr>
      <w:r>
        <w:rPr>
          <w:rFonts w:hint="eastAsia"/>
          <w:b/>
          <w:color w:val="auto"/>
          <w:highlight w:val="none"/>
          <w:lang w:val="en-US" w:bidi="ar-SA"/>
        </w:rPr>
        <w:t xml:space="preserve">（一）、</w:t>
      </w:r>
      <w:r>
        <w:rPr>
          <w:rFonts w:hint="eastAsia"/>
          <w:bCs/>
          <w:color w:val="auto"/>
          <w:highlight w:val="none"/>
          <w:lang w:val="en-US" w:bidi="ar-SA"/>
        </w:rPr>
        <w:t xml:space="preserve">报价应包含设备、运输、安装施工、系统集成、调试验收、旧设备或电池拆除、辅材、培训、税费及招标文件要求的质保服务等费用。</w:t>
      </w:r>
      <w:r/>
    </w:p>
    <w:p>
      <w:pPr>
        <w:ind w:firstLine="442"/>
        <w:jc w:val="both"/>
        <w:spacing w:line="360" w:lineRule="auto"/>
        <w:rPr>
          <w:b/>
          <w:color w:val="auto"/>
          <w:highlight w:val="none"/>
          <w:lang w:val="en-US" w:bidi="ar-SA"/>
        </w:rPr>
      </w:pPr>
      <w:r>
        <w:rPr>
          <w:rFonts w:hint="eastAsia"/>
          <w:b/>
          <w:color w:val="auto"/>
          <w:highlight w:val="none"/>
          <w:lang w:val="en-US" w:bidi="ar-SA"/>
        </w:rPr>
        <w:t xml:space="preserve">（二）、服务要求</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1</w:t>
      </w:r>
      <w:r>
        <w:rPr>
          <w:bCs/>
          <w:color w:val="auto"/>
          <w:highlight w:val="none"/>
          <w:lang w:val="en-US" w:bidi="ar-SA"/>
        </w:rPr>
        <w:t xml:space="preserve">、乙方所提供的货物的技术规格应与招标文件规定的技术规格及所附的技术规格、参数相一致；若技术性能无特殊说明，则按国家有关部门最新颁布的标准及规范为准。</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2</w:t>
      </w:r>
      <w:r>
        <w:rPr>
          <w:bCs/>
          <w:color w:val="auto"/>
          <w:highlight w:val="none"/>
          <w:lang w:val="en-US" w:bidi="ar-SA"/>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40"/>
        <w:jc w:val="both"/>
        <w:spacing w:line="360" w:lineRule="auto"/>
        <w:rPr>
          <w:bCs/>
          <w:color w:val="auto"/>
          <w:highlight w:val="none"/>
          <w:lang w:val="en-US" w:bidi="ar-SA"/>
        </w:rPr>
      </w:pPr>
      <w:r>
        <w:rPr>
          <w:rFonts w:hint="eastAsia"/>
          <w:bCs/>
          <w:color w:val="auto"/>
          <w:highlight w:val="none"/>
          <w:lang w:val="en-US" w:bidi="ar-SA"/>
        </w:rPr>
        <w:t xml:space="preserve">3</w:t>
      </w:r>
      <w:r>
        <w:rPr>
          <w:bCs/>
          <w:color w:val="auto"/>
          <w:highlight w:val="none"/>
          <w:lang w:val="en-US" w:bidi="ar-SA"/>
        </w:rPr>
        <w:t xml:space="preserve">、乙方不得有出租、抵押等有损于货物权的行为。</w:t>
      </w:r>
      <w:r/>
    </w:p>
    <w:p>
      <w:pPr>
        <w:ind w:firstLine="442"/>
        <w:jc w:val="both"/>
        <w:spacing w:line="360" w:lineRule="auto"/>
        <w:rPr>
          <w:b/>
          <w:color w:val="auto"/>
          <w:highlight w:val="none"/>
          <w:lang w:val="en-US" w:bidi="ar-SA"/>
        </w:rPr>
      </w:pPr>
      <w:r>
        <w:rPr>
          <w:rFonts w:hint="eastAsia"/>
          <w:b/>
          <w:color w:val="auto"/>
          <w:highlight w:val="none"/>
          <w:lang w:val="en-US" w:bidi="ar-SA"/>
        </w:rPr>
        <w:t xml:space="preserve">（三）、验收标准</w:t>
      </w:r>
      <w:r/>
    </w:p>
    <w:p>
      <w:pPr>
        <w:ind w:firstLine="440"/>
        <w:jc w:val="both"/>
        <w:spacing w:line="360" w:lineRule="auto"/>
        <w:rPr>
          <w:bCs/>
          <w:color w:val="auto"/>
          <w:highlight w:val="none"/>
          <w:lang w:bidi="ar-SA"/>
        </w:rPr>
      </w:pPr>
      <w:r>
        <w:rPr>
          <w:rFonts w:hint="eastAsia"/>
          <w:bCs/>
          <w:color w:val="auto"/>
          <w:highlight w:val="none"/>
          <w:lang w:val="en-US" w:bidi="ar-SA"/>
        </w:rPr>
        <w:t xml:space="preserve">1、</w:t>
      </w:r>
      <w:r>
        <w:rPr>
          <w:bCs/>
          <w:color w:val="auto"/>
          <w:highlight w:val="none"/>
          <w:lang w:bidi="ar-SA"/>
        </w:rPr>
        <w:t xml:space="preserve">乙方应出具设备明细清单，列明产品名称、品牌、规格型号、数量、单价、金额等信息。甲双方现场验收乙方提供的货物数量、质量或品牌等不符合招投标文件和合同规定的，甲方有权按乙方投标价格扣减相应货物金额或拒收货物，由此引起的风险，由乙方承担。</w:t>
      </w:r>
      <w:r/>
    </w:p>
    <w:p>
      <w:pPr>
        <w:ind w:firstLine="440"/>
        <w:jc w:val="both"/>
        <w:spacing w:line="360" w:lineRule="auto"/>
        <w:rPr>
          <w:bCs/>
          <w:color w:val="auto"/>
          <w:highlight w:val="none"/>
          <w:lang w:bidi="ar-SA"/>
        </w:rPr>
      </w:pPr>
      <w:r>
        <w:rPr>
          <w:rFonts w:hint="eastAsia"/>
          <w:bCs/>
          <w:color w:val="auto"/>
          <w:highlight w:val="none"/>
          <w:lang w:val="en-US" w:bidi="ar-SA"/>
        </w:rPr>
        <w:t xml:space="preserve">2</w:t>
      </w:r>
      <w:r>
        <w:rPr>
          <w:bCs/>
          <w:color w:val="auto"/>
          <w:highlight w:val="none"/>
          <w:lang w:bidi="ar-SA"/>
        </w:rPr>
        <w:t xml:space="preserve">、货物的到货验收包括：型号、规格、数量、外观质量、及货物包装是否完好。</w:t>
      </w:r>
      <w:r/>
    </w:p>
    <w:p>
      <w:pPr>
        <w:ind w:firstLine="440"/>
        <w:jc w:val="both"/>
        <w:spacing w:line="360" w:lineRule="auto"/>
        <w:rPr>
          <w:bCs/>
          <w:color w:val="auto"/>
          <w:highlight w:val="none"/>
          <w:lang w:bidi="ar-SA"/>
        </w:rPr>
      </w:pPr>
      <w:r>
        <w:rPr>
          <w:rFonts w:hint="eastAsia"/>
          <w:bCs/>
          <w:color w:val="auto"/>
          <w:highlight w:val="none"/>
          <w:lang w:val="en-US" w:bidi="ar-SA"/>
        </w:rPr>
        <w:t xml:space="preserve">3</w:t>
      </w:r>
      <w:r>
        <w:rPr>
          <w:bCs/>
          <w:color w:val="auto"/>
          <w:highlight w:val="none"/>
          <w:lang w:bidi="ar-SA"/>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40"/>
        <w:jc w:val="both"/>
        <w:spacing w:line="360" w:lineRule="auto"/>
        <w:rPr>
          <w:bCs/>
          <w:color w:val="auto"/>
          <w:highlight w:val="none"/>
          <w:lang w:bidi="ar-SA"/>
        </w:rPr>
      </w:pPr>
      <w:r>
        <w:rPr>
          <w:rFonts w:hint="eastAsia"/>
          <w:bCs/>
          <w:color w:val="auto"/>
          <w:highlight w:val="none"/>
          <w:lang w:val="en-US" w:bidi="ar-SA"/>
        </w:rPr>
        <w:t xml:space="preserve">4</w:t>
      </w:r>
      <w:r>
        <w:rPr>
          <w:bCs/>
          <w:color w:val="auto"/>
          <w:highlight w:val="none"/>
          <w:lang w:bidi="ar-SA"/>
        </w:rPr>
        <w:t xml:space="preserve">、货物和系统调试验收的标准：按行业通行标准、厂方出厂标准和乙方投标文件的承诺（详见合同附件载明的标准，并不低于国家相关标准）。</w:t>
      </w:r>
      <w:r/>
    </w:p>
    <w:p>
      <w:pPr>
        <w:ind w:firstLine="440"/>
        <w:jc w:val="both"/>
        <w:spacing w:line="360" w:lineRule="auto"/>
        <w:rPr>
          <w:bCs/>
          <w:color w:val="auto"/>
          <w:highlight w:val="none"/>
          <w:lang w:bidi="ar-SA"/>
        </w:rPr>
      </w:pPr>
      <w:r>
        <w:rPr>
          <w:rFonts w:hint="eastAsia"/>
          <w:bCs/>
          <w:color w:val="auto"/>
          <w:highlight w:val="none"/>
          <w:lang w:val="en-US" w:bidi="ar-SA"/>
        </w:rPr>
        <w:t xml:space="preserve">5</w:t>
      </w:r>
      <w:r>
        <w:rPr>
          <w:bCs/>
          <w:color w:val="auto"/>
          <w:highlight w:val="none"/>
          <w:lang w:bidi="ar-SA"/>
        </w:rPr>
        <w:t xml:space="preserve">、乙方在装机后必须对设备装机所产生的垃圾及包装拆除物进行清理。因包装拆除物原因引起的事故和纠纷，由供应商承担全部法律和经济责任。</w:t>
      </w:r>
      <w:r/>
    </w:p>
    <w:p>
      <w:pPr>
        <w:ind w:firstLine="442"/>
        <w:jc w:val="both"/>
        <w:spacing w:line="360" w:lineRule="auto"/>
        <w:rPr>
          <w:b/>
          <w:color w:val="auto"/>
          <w:highlight w:val="none"/>
          <w:lang w:val="en-US" w:bidi="ar-SA"/>
        </w:rPr>
      </w:pPr>
      <w:r>
        <w:rPr>
          <w:b/>
          <w:color w:val="auto"/>
          <w:highlight w:val="none"/>
          <w:lang w:val="en-US" w:bidi="ar-SA"/>
        </w:rPr>
        <w:t xml:space="preserve">（四）质保要求</w:t>
      </w:r>
      <w:r/>
    </w:p>
    <w:p>
      <w:pPr>
        <w:ind w:firstLine="440"/>
        <w:jc w:val="both"/>
        <w:spacing w:line="360" w:lineRule="auto"/>
        <w:rPr>
          <w:bCs/>
          <w:color w:val="auto"/>
          <w:highlight w:val="none"/>
          <w:lang w:bidi="ar-SA"/>
        </w:rPr>
      </w:pPr>
      <w:r>
        <w:rPr>
          <w:rFonts w:hint="eastAsia"/>
          <w:bCs/>
          <w:color w:val="auto"/>
          <w:highlight w:val="none"/>
          <w:lang w:bidi="ar-SA"/>
        </w:rPr>
        <w:t xml:space="preserve">★</w:t>
      </w:r>
      <w:r>
        <w:rPr>
          <w:bCs/>
          <w:color w:val="auto"/>
          <w:highlight w:val="none"/>
          <w:lang w:bidi="ar-SA"/>
        </w:rPr>
        <w:t xml:space="preserve">供应商应为本项目提供不少于三年的整体</w:t>
      </w:r>
      <w:r>
        <w:rPr>
          <w:rFonts w:hint="eastAsia"/>
          <w:bCs/>
          <w:color w:val="auto"/>
          <w:highlight w:val="none"/>
          <w:lang w:bidi="ar-SA"/>
        </w:rPr>
        <w:t xml:space="preserve">原厂</w:t>
      </w:r>
      <w:r>
        <w:rPr>
          <w:bCs/>
          <w:color w:val="auto"/>
          <w:highlight w:val="none"/>
          <w:lang w:bidi="ar-SA"/>
        </w:rPr>
        <w:t xml:space="preserve">质保（供电设备中免维护铅酸蓄电池为5年），从验收合格之日起计算，响应时需提供承诺函。</w:t>
      </w:r>
      <w:r/>
    </w:p>
    <w:p>
      <w:pPr>
        <w:ind w:firstLine="442"/>
        <w:jc w:val="both"/>
        <w:spacing w:line="360" w:lineRule="auto"/>
        <w:rPr>
          <w:b/>
          <w:bCs/>
          <w:color w:val="auto"/>
          <w:highlight w:val="none"/>
          <w:lang w:bidi="ar-SA"/>
        </w:rPr>
      </w:pPr>
      <w:r>
        <w:rPr>
          <w:rFonts w:hint="eastAsia"/>
          <w:b/>
          <w:bCs/>
          <w:color w:val="auto"/>
          <w:highlight w:val="none"/>
          <w:lang w:bidi="ar-SA"/>
        </w:rPr>
        <w:t xml:space="preserve">（五）</w:t>
      </w:r>
      <w:r>
        <w:rPr>
          <w:b/>
          <w:bCs/>
          <w:color w:val="auto"/>
          <w:highlight w:val="none"/>
          <w:lang w:bidi="ar-SA"/>
        </w:rPr>
        <w:t xml:space="preserve">售后服务要求</w:t>
      </w:r>
      <w:r/>
    </w:p>
    <w:p>
      <w:pPr>
        <w:ind w:firstLine="440"/>
        <w:jc w:val="both"/>
        <w:spacing w:line="360" w:lineRule="auto"/>
        <w:rPr>
          <w:bCs/>
          <w:color w:val="auto"/>
          <w:highlight w:val="none"/>
          <w:lang w:bidi="ar-SA"/>
        </w:rPr>
      </w:pPr>
      <w:r>
        <w:rPr>
          <w:rFonts w:hint="eastAsia"/>
          <w:bCs/>
          <w:color w:val="auto"/>
          <w:highlight w:val="none"/>
          <w:lang w:bidi="ar-SA"/>
        </w:rPr>
        <w:t xml:space="preserve">（</w:t>
      </w:r>
      <w:r>
        <w:rPr>
          <w:bCs/>
          <w:color w:val="auto"/>
          <w:highlight w:val="none"/>
          <w:lang w:bidi="ar-SA"/>
        </w:rPr>
        <w:t xml:space="preserve">1）质保期内因设备本身缺陷造成各种故障应由供应商免费技术服务和维修。</w:t>
      </w:r>
      <w:r/>
    </w:p>
    <w:p>
      <w:pPr>
        <w:ind w:firstLine="440"/>
        <w:jc w:val="both"/>
        <w:spacing w:line="360" w:lineRule="auto"/>
        <w:rPr>
          <w:bCs/>
          <w:color w:val="auto"/>
          <w:highlight w:val="none"/>
          <w:lang w:bidi="ar-SA"/>
        </w:rPr>
      </w:pPr>
      <w:r>
        <w:rPr>
          <w:rFonts w:hint="eastAsia"/>
          <w:bCs/>
          <w:color w:val="auto"/>
          <w:highlight w:val="none"/>
          <w:lang w:bidi="ar-SA"/>
        </w:rPr>
        <w:t xml:space="preserve">（</w:t>
      </w:r>
      <w:r>
        <w:rPr>
          <w:bCs/>
          <w:color w:val="auto"/>
          <w:highlight w:val="none"/>
          <w:lang w:bidi="ar-SA"/>
        </w:rPr>
        <w:t xml:space="preserve">2）供应商接到保修请求，维修应在2小时内响应，4小时内维修人员到达现场，必要时应向采购人提供应急备用设备。质保期后，供应商提供终生服务，保证零配件的供给。</w:t>
      </w:r>
      <w:r/>
    </w:p>
    <w:p>
      <w:pPr>
        <w:ind w:firstLine="442"/>
        <w:jc w:val="both"/>
        <w:spacing w:line="360" w:lineRule="auto"/>
        <w:rPr>
          <w:b/>
          <w:bCs/>
          <w:color w:val="auto"/>
          <w:highlight w:val="none"/>
          <w:lang w:bidi="ar-SA"/>
        </w:rPr>
      </w:pPr>
      <w:r>
        <w:rPr>
          <w:b/>
          <w:bCs/>
          <w:color w:val="auto"/>
          <w:highlight w:val="none"/>
          <w:lang w:bidi="ar-SA"/>
        </w:rPr>
        <w:t xml:space="preserve">（六）</w:t>
      </w:r>
      <w:r>
        <w:rPr>
          <w:rFonts w:hint="eastAsia"/>
          <w:b/>
          <w:bCs/>
          <w:color w:val="auto"/>
          <w:highlight w:val="none"/>
          <w:lang w:bidi="ar-SA"/>
        </w:rPr>
        <w:t xml:space="preserve">付款方式</w:t>
      </w:r>
      <w:r/>
    </w:p>
    <w:p>
      <w:pPr>
        <w:ind w:firstLine="440"/>
        <w:jc w:val="both"/>
        <w:spacing w:line="360" w:lineRule="auto"/>
        <w:rPr>
          <w:bCs/>
          <w:color w:val="auto"/>
          <w:highlight w:val="none"/>
          <w:lang w:bidi="ar-SA"/>
        </w:rPr>
      </w:pPr>
      <w:r>
        <w:rPr>
          <w:rFonts w:hint="eastAsia"/>
          <w:bCs/>
          <w:color w:val="auto"/>
          <w:highlight w:val="none"/>
          <w:lang w:bidi="ar-SA"/>
        </w:rPr>
        <w:t xml:space="preserve">签订合同后</w:t>
      </w:r>
      <w:r>
        <w:rPr>
          <w:bCs/>
          <w:color w:val="auto"/>
          <w:highlight w:val="none"/>
          <w:lang w:bidi="ar-SA"/>
        </w:rPr>
        <w:t xml:space="preserve">15个工作日内，采购人向供应商支付合同金额的30%作为预付款；采购人验收合格后，供应商开具符合财务规定的全款正式发票，自采购人收到发票后10个工作日内，向供应商支付剩余全部款项。  </w:t>
      </w:r>
      <w:r/>
    </w:p>
    <w:p>
      <w:pPr>
        <w:ind w:firstLine="440"/>
        <w:jc w:val="both"/>
        <w:spacing w:line="360" w:lineRule="auto"/>
        <w:rPr>
          <w:bCs/>
          <w:color w:val="auto"/>
          <w:highlight w:val="none"/>
          <w:lang w:bidi="ar-SA"/>
        </w:rPr>
      </w:pPr>
      <w:r>
        <w:rPr>
          <w:bCs/>
          <w:color w:val="auto"/>
          <w:highlight w:val="none"/>
          <w:lang w:bidi="ar-SA"/>
        </w:rPr>
      </w:r>
      <w:r/>
    </w:p>
    <w:p>
      <w:pPr>
        <w:jc w:val="both"/>
        <w:spacing w:line="360" w:lineRule="auto"/>
        <w:rPr>
          <w:bCs/>
          <w:color w:val="auto"/>
          <w:highlight w:val="none"/>
          <w:lang w:val="en-US" w:bidi="ar-SA"/>
        </w:rPr>
      </w:pPr>
      <w:r>
        <w:rPr>
          <w:bCs/>
          <w:color w:val="auto"/>
          <w:highlight w:val="none"/>
          <w:lang w:val="en-US" w:bidi="ar-SA"/>
        </w:rPr>
      </w:r>
      <w:r/>
    </w:p>
    <w:p>
      <w:pPr>
        <w:jc w:val="both"/>
        <w:spacing w:line="360" w:lineRule="auto"/>
        <w:rPr>
          <w:bCs/>
          <w:color w:val="auto"/>
          <w:highlight w:val="none"/>
          <w:lang w:val="en-US" w:bidi="ar-SA"/>
        </w:rPr>
        <w:sectPr>
          <w:footnotePr/>
          <w:endnotePr/>
          <w:type w:val="nextPage"/>
          <w:pgSz w:w="11910" w:h="16840" w:orient="portrait"/>
          <w:pgMar w:top="1134" w:right="1134" w:bottom="1134" w:left="1134" w:header="567" w:footer="567" w:gutter="0"/>
          <w:cols w:num="1" w:sep="0" w:space="720" w:equalWidth="1"/>
          <w:docGrid w:linePitch="360"/>
        </w:sectPr>
      </w:pPr>
      <w:r>
        <w:rPr>
          <w:bCs/>
          <w:color w:val="auto"/>
          <w:highlight w:val="none"/>
          <w:lang w:val="en-US" w:bidi="ar-SA"/>
        </w:rPr>
      </w:r>
      <w:r/>
    </w:p>
    <w:p>
      <w:pPr>
        <w:ind w:right="40"/>
        <w:jc w:val="center"/>
        <w:spacing w:before="29"/>
        <w:tabs>
          <w:tab w:val="left" w:pos="1439" w:leader="none"/>
        </w:tabs>
        <w:rPr>
          <w:rFonts w:ascii="黑体" w:eastAsia="黑体"/>
          <w:color w:val="auto"/>
          <w:sz w:val="36"/>
          <w:highlight w:val="none"/>
        </w:rPr>
        <w:outlineLvl w:val="0"/>
      </w:pPr>
      <w:r>
        <w:rPr>
          <w:rFonts w:hint="eastAsia" w:ascii="黑体" w:eastAsia="黑体"/>
          <w:color w:val="auto"/>
          <w:sz w:val="36"/>
          <w:highlight w:val="none"/>
        </w:rPr>
        <w:t xml:space="preserve">第五章</w:t>
      </w:r>
      <w:r>
        <w:rPr>
          <w:rFonts w:hint="eastAsia" w:ascii="黑体" w:eastAsia="黑体"/>
          <w:color w:val="auto"/>
          <w:sz w:val="36"/>
          <w:highlight w:val="none"/>
        </w:rPr>
        <w:tab/>
      </w:r>
      <w:bookmarkEnd w:id="21"/>
      <w:r/>
      <w:bookmarkStart w:id="26" w:name="_Toc11634"/>
      <w:r>
        <w:rPr>
          <w:rFonts w:hint="eastAsia" w:ascii="黑体" w:eastAsia="黑体"/>
          <w:color w:val="auto"/>
          <w:sz w:val="36"/>
          <w:highlight w:val="none"/>
        </w:rPr>
        <w:t xml:space="preserve">合同主要条款及格式</w:t>
      </w:r>
      <w:r/>
    </w:p>
    <w:p>
      <w:pPr>
        <w:ind w:right="85"/>
        <w:jc w:val="both"/>
        <w:spacing w:line="360" w:lineRule="auto"/>
        <w:rPr>
          <w:rFonts w:ascii="黑体" w:eastAsia="黑体"/>
          <w:color w:val="auto"/>
          <w:sz w:val="36"/>
          <w:highlight w:val="none"/>
        </w:rPr>
        <w:outlineLvl w:val="0"/>
      </w:pPr>
      <w:r>
        <w:rPr>
          <w:rFonts w:ascii="黑体" w:eastAsia="黑体"/>
          <w:color w:val="auto"/>
          <w:sz w:val="36"/>
          <w:highlight w:val="none"/>
        </w:rPr>
      </w:r>
      <w:r/>
    </w:p>
    <w:p>
      <w:pPr>
        <w:jc w:val="center"/>
        <w:spacing w:line="360" w:lineRule="auto"/>
        <w:widowControl/>
        <w:rPr>
          <w:b/>
          <w:bCs/>
          <w:color w:val="auto"/>
          <w:sz w:val="32"/>
          <w:szCs w:val="32"/>
          <w:highlight w:val="none"/>
          <w:lang w:val="en-US" w:bidi="ar-SA"/>
        </w:rPr>
      </w:pPr>
      <w:r>
        <w:rPr>
          <w:b/>
          <w:bCs/>
          <w:color w:val="auto"/>
          <w:sz w:val="32"/>
          <w:szCs w:val="32"/>
          <w:highlight w:val="none"/>
          <w:lang w:val="en-US" w:bidi="ar-SA"/>
        </w:rPr>
      </w:r>
      <w:r/>
    </w:p>
    <w:p>
      <w:pPr>
        <w:jc w:val="center"/>
        <w:spacing w:line="360" w:lineRule="auto"/>
        <w:widowControl/>
        <w:rPr>
          <w:b/>
          <w:bCs/>
          <w:color w:val="auto"/>
          <w:sz w:val="32"/>
          <w:szCs w:val="32"/>
          <w:highlight w:val="none"/>
          <w:lang w:val="en-US" w:bidi="ar-SA"/>
        </w:rPr>
      </w:pPr>
      <w:r>
        <w:rPr>
          <w:b/>
          <w:bCs/>
          <w:color w:val="auto"/>
          <w:sz w:val="32"/>
          <w:szCs w:val="32"/>
          <w:highlight w:val="none"/>
          <w:lang w:val="en-US" w:bidi="ar-SA"/>
        </w:rPr>
      </w:r>
      <w:r/>
    </w:p>
    <w:p>
      <w:pPr>
        <w:jc w:val="center"/>
        <w:spacing w:line="360" w:lineRule="auto"/>
        <w:widowControl/>
        <w:rPr>
          <w:b/>
          <w:bCs/>
          <w:color w:val="auto"/>
          <w:sz w:val="32"/>
          <w:szCs w:val="32"/>
          <w:highlight w:val="none"/>
          <w:lang w:val="en-US" w:bidi="ar-SA"/>
        </w:rPr>
      </w:pPr>
      <w:r>
        <w:rPr>
          <w:rFonts w:hint="eastAsia"/>
          <w:b/>
          <w:bCs/>
          <w:color w:val="auto"/>
          <w:sz w:val="32"/>
          <w:szCs w:val="32"/>
          <w:highlight w:val="none"/>
          <w:lang w:val="en-US" w:bidi="ar-SA"/>
        </w:rPr>
        <w:t xml:space="preserve">江苏省政府采购合同</w:t>
      </w:r>
      <w:r/>
    </w:p>
    <w:p>
      <w:pPr>
        <w:jc w:val="both"/>
        <w:spacing w:line="360" w:lineRule="auto"/>
        <w:widowControl/>
        <w:rPr>
          <w:b/>
          <w:bCs/>
          <w:color w:val="auto"/>
          <w:sz w:val="36"/>
          <w:szCs w:val="36"/>
          <w:highlight w:val="none"/>
          <w:lang w:val="en-US" w:bidi="ar-SA"/>
        </w:rPr>
      </w:pPr>
      <w:r>
        <w:rPr>
          <w:rFonts w:hint="eastAsia"/>
          <w:b/>
          <w:bCs/>
          <w:color w:val="auto"/>
          <w:sz w:val="36"/>
          <w:szCs w:val="36"/>
          <w:highlight w:val="none"/>
          <w:lang w:val="en-US" w:bidi="ar-SA"/>
        </w:rPr>
        <w:t xml:space="preserve"> </w:t>
      </w:r>
      <w:r/>
    </w:p>
    <w:p>
      <w:pPr>
        <w:ind w:firstLine="315"/>
        <w:jc w:val="both"/>
        <w:spacing w:line="360" w:lineRule="auto"/>
        <w:widowControl/>
        <w:rPr>
          <w:color w:val="auto"/>
          <w:sz w:val="24"/>
          <w:szCs w:val="24"/>
          <w:highlight w:val="none"/>
          <w:lang w:val="en-US" w:bidi="ar-SA"/>
        </w:rPr>
      </w:pPr>
      <w:r>
        <w:rPr>
          <w:rFonts w:hint="eastAsia"/>
          <w:color w:val="auto"/>
          <w:sz w:val="21"/>
          <w:szCs w:val="20"/>
          <w:highlight w:val="none"/>
          <w:lang w:val="en-US" w:bidi="ar-SA"/>
        </w:rPr>
        <w:t xml:space="preserve"> </w:t>
      </w:r>
      <w:r/>
    </w:p>
    <w:p>
      <w:pPr>
        <w:ind w:firstLine="315"/>
        <w:jc w:val="both"/>
        <w:spacing w:line="360" w:lineRule="auto"/>
        <w:widowControl/>
        <w:rPr>
          <w:color w:val="auto"/>
          <w:sz w:val="21"/>
          <w:szCs w:val="20"/>
          <w:highlight w:val="none"/>
          <w:lang w:val="en-US" w:bidi="ar-SA"/>
        </w:rPr>
      </w:pPr>
      <w:r>
        <w:rPr>
          <w:rFonts w:hint="eastAsia"/>
          <w:color w:val="auto"/>
          <w:sz w:val="21"/>
          <w:szCs w:val="20"/>
          <w:highlight w:val="none"/>
          <w:lang w:val="en-US" w:bidi="ar-SA"/>
        </w:rPr>
        <w:t xml:space="preserve"> </w:t>
      </w:r>
      <w:r/>
    </w:p>
    <w:p>
      <w:pPr>
        <w:jc w:val="both"/>
        <w:spacing w:line="360" w:lineRule="auto"/>
        <w:widowControl/>
        <w:rPr>
          <w:color w:val="auto"/>
          <w:sz w:val="21"/>
          <w:szCs w:val="20"/>
          <w:highlight w:val="none"/>
          <w:lang w:val="en-US" w:bidi="ar-SA"/>
        </w:rPr>
      </w:pPr>
      <w:r>
        <w:rPr>
          <w:rFonts w:hint="eastAsia"/>
          <w:color w:val="auto"/>
          <w:sz w:val="21"/>
          <w:szCs w:val="20"/>
          <w:highlight w:val="none"/>
          <w:lang w:val="en-US" w:bidi="ar-SA"/>
        </w:rPr>
        <w:t xml:space="preserve"> </w:t>
      </w:r>
      <w:r/>
    </w:p>
    <w:p>
      <w:pPr>
        <w:jc w:val="both"/>
        <w:spacing w:line="360" w:lineRule="auto"/>
        <w:widowControl/>
        <w:rPr>
          <w:color w:val="auto"/>
          <w:sz w:val="21"/>
          <w:szCs w:val="20"/>
          <w:highlight w:val="none"/>
          <w:lang w:val="en-US" w:bidi="ar-SA"/>
        </w:rPr>
      </w:pPr>
      <w:r>
        <w:rPr>
          <w:rFonts w:hint="eastAsia"/>
          <w:color w:val="auto"/>
          <w:sz w:val="21"/>
          <w:szCs w:val="20"/>
          <w:highlight w:val="none"/>
          <w:lang w:val="en-US" w:bidi="ar-SA"/>
        </w:rPr>
        <w:t xml:space="preserve"> </w:t>
      </w:r>
      <w:r/>
    </w:p>
    <w:p>
      <w:pPr>
        <w:ind w:firstLine="1918"/>
        <w:jc w:val="both"/>
        <w:spacing w:line="360" w:lineRule="auto"/>
        <w:widowControl/>
        <w:rPr>
          <w:color w:val="auto"/>
          <w:sz w:val="32"/>
          <w:szCs w:val="32"/>
          <w:highlight w:val="none"/>
          <w:lang w:val="en-US" w:bidi="ar-SA"/>
        </w:rPr>
      </w:pPr>
      <w:r>
        <w:rPr>
          <w:rFonts w:hint="eastAsia"/>
          <w:b/>
          <w:bCs/>
          <w:color w:val="auto"/>
          <w:sz w:val="32"/>
          <w:szCs w:val="32"/>
          <w:highlight w:val="none"/>
          <w:lang w:val="en-US" w:bidi="ar-SA"/>
        </w:rPr>
        <w:t xml:space="preserve">合同编号 ：</w:t>
      </w:r>
      <w:r>
        <w:rPr>
          <w:rFonts w:hint="eastAsia"/>
          <w:b/>
          <w:bCs/>
          <w:color w:val="auto"/>
          <w:sz w:val="32"/>
          <w:szCs w:val="32"/>
          <w:highlight w:val="none"/>
          <w:u w:val="single"/>
          <w:lang w:val="en-US" w:bidi="ar-SA"/>
        </w:rPr>
        <w:t xml:space="preserve">          </w:t>
      </w:r>
      <w:r/>
    </w:p>
    <w:p>
      <w:pPr>
        <w:ind w:firstLine="1918"/>
        <w:jc w:val="both"/>
        <w:spacing w:line="360" w:lineRule="auto"/>
        <w:widowControl/>
        <w:rPr>
          <w:color w:val="auto"/>
          <w:sz w:val="32"/>
          <w:szCs w:val="32"/>
          <w:highlight w:val="none"/>
          <w:lang w:val="en-US" w:bidi="ar-SA"/>
        </w:rPr>
      </w:pPr>
      <w:r>
        <w:rPr>
          <w:rFonts w:hint="eastAsia"/>
          <w:b/>
          <w:bCs/>
          <w:color w:val="auto"/>
          <w:sz w:val="32"/>
          <w:szCs w:val="32"/>
          <w:highlight w:val="none"/>
          <w:lang w:val="en-US" w:bidi="ar-SA"/>
        </w:rPr>
        <w:t xml:space="preserve">项目名称 ：</w:t>
      </w:r>
      <w:r>
        <w:rPr>
          <w:rFonts w:hint="eastAsia"/>
          <w:b/>
          <w:bCs/>
          <w:color w:val="auto"/>
          <w:sz w:val="32"/>
          <w:szCs w:val="32"/>
          <w:highlight w:val="none"/>
          <w:u w:val="single"/>
          <w:lang w:val="en-US" w:bidi="ar-SA"/>
        </w:rPr>
        <w:t xml:space="preserve">          </w:t>
      </w:r>
      <w:r/>
    </w:p>
    <w:p>
      <w:pPr>
        <w:ind w:firstLine="1918"/>
        <w:jc w:val="both"/>
        <w:spacing w:line="360" w:lineRule="auto"/>
        <w:widowControl/>
        <w:rPr>
          <w:color w:val="auto"/>
          <w:sz w:val="32"/>
          <w:szCs w:val="32"/>
          <w:highlight w:val="none"/>
          <w:lang w:val="en-US" w:bidi="ar-SA"/>
        </w:rPr>
      </w:pPr>
      <w:r>
        <w:rPr>
          <w:rFonts w:hint="eastAsia"/>
          <w:b/>
          <w:bCs/>
          <w:color w:val="auto"/>
          <w:sz w:val="32"/>
          <w:szCs w:val="32"/>
          <w:highlight w:val="none"/>
          <w:lang w:val="en-US" w:bidi="ar-SA"/>
        </w:rPr>
        <w:t xml:space="preserve">采 购 人 ：</w:t>
      </w:r>
      <w:r>
        <w:rPr>
          <w:rFonts w:hint="eastAsia"/>
          <w:b/>
          <w:bCs/>
          <w:color w:val="auto"/>
          <w:sz w:val="32"/>
          <w:szCs w:val="32"/>
          <w:highlight w:val="none"/>
          <w:u w:val="single"/>
          <w:lang w:val="en-US" w:bidi="ar-SA"/>
        </w:rPr>
        <w:t xml:space="preserve">          </w:t>
      </w:r>
      <w:r/>
    </w:p>
    <w:p>
      <w:pPr>
        <w:ind w:firstLine="1916"/>
        <w:jc w:val="both"/>
        <w:spacing w:line="360" w:lineRule="auto"/>
        <w:widowControl/>
        <w:rPr>
          <w:color w:val="auto"/>
          <w:sz w:val="32"/>
          <w:szCs w:val="32"/>
          <w:highlight w:val="none"/>
          <w:lang w:val="en-US" w:bidi="ar-SA"/>
        </w:rPr>
      </w:pPr>
      <w:r>
        <w:rPr>
          <w:rFonts w:hint="eastAsia"/>
          <w:b/>
          <w:bCs/>
          <w:color w:val="auto"/>
          <w:sz w:val="32"/>
          <w:szCs w:val="32"/>
          <w:highlight w:val="none"/>
          <w:lang w:val="en-US" w:bidi="ar-SA"/>
        </w:rPr>
        <w:t xml:space="preserve">供 应 商 ：</w:t>
      </w:r>
      <w:r>
        <w:rPr>
          <w:rFonts w:hint="eastAsia"/>
          <w:b/>
          <w:bCs/>
          <w:color w:val="auto"/>
          <w:sz w:val="32"/>
          <w:szCs w:val="32"/>
          <w:highlight w:val="none"/>
          <w:u w:val="single"/>
          <w:lang w:val="en-US" w:bidi="ar-SA"/>
        </w:rPr>
        <w:t xml:space="preserve">          </w:t>
      </w:r>
      <w:r/>
    </w:p>
    <w:p>
      <w:pPr>
        <w:ind w:firstLine="1916"/>
        <w:jc w:val="both"/>
        <w:spacing w:line="360" w:lineRule="auto"/>
        <w:widowControl/>
        <w:rPr>
          <w:color w:val="auto"/>
          <w:sz w:val="32"/>
          <w:szCs w:val="32"/>
          <w:highlight w:val="none"/>
          <w:lang w:val="en-US" w:bidi="ar-SA"/>
        </w:rPr>
      </w:pPr>
      <w:r>
        <w:rPr>
          <w:rFonts w:hint="eastAsia"/>
          <w:b/>
          <w:bCs/>
          <w:color w:val="auto"/>
          <w:sz w:val="32"/>
          <w:szCs w:val="32"/>
          <w:highlight w:val="none"/>
          <w:lang w:val="en-US" w:bidi="ar-SA"/>
        </w:rPr>
        <w:t xml:space="preserve">签订日期 ：</w:t>
      </w:r>
      <w:r>
        <w:rPr>
          <w:rFonts w:hint="eastAsia"/>
          <w:b/>
          <w:bCs/>
          <w:color w:val="auto"/>
          <w:sz w:val="32"/>
          <w:szCs w:val="32"/>
          <w:highlight w:val="none"/>
          <w:u w:val="single"/>
          <w:lang w:val="en-US" w:bidi="ar-SA"/>
        </w:rPr>
        <w:t xml:space="preserve">          </w:t>
      </w:r>
      <w:r/>
    </w:p>
    <w:p>
      <w:pPr>
        <w:jc w:val="both"/>
        <w:spacing w:line="360" w:lineRule="auto"/>
        <w:widowControl/>
        <w:rPr>
          <w:color w:val="auto"/>
          <w:sz w:val="30"/>
          <w:szCs w:val="30"/>
          <w:highlight w:val="none"/>
          <w:lang w:val="en-US" w:bidi="ar-SA"/>
        </w:rPr>
      </w:pPr>
      <w:r>
        <w:rPr>
          <w:rFonts w:hint="eastAsia"/>
          <w:color w:val="auto"/>
          <w:sz w:val="30"/>
          <w:szCs w:val="30"/>
          <w:highlight w:val="none"/>
          <w:lang w:val="en-US" w:bidi="ar-SA"/>
        </w:rPr>
        <w:t xml:space="preserve">      </w:t>
      </w:r>
      <w:r/>
    </w:p>
    <w:p>
      <w:pPr>
        <w:jc w:val="center"/>
        <w:rPr>
          <w:b/>
          <w:bCs/>
          <w:color w:val="auto"/>
          <w:sz w:val="32"/>
          <w:szCs w:val="32"/>
          <w:highlight w:val="none"/>
          <w:lang w:val="en-US" w:bidi="ar-SA"/>
        </w:rPr>
      </w:pPr>
      <w:r>
        <w:rPr>
          <w:rFonts w:hint="eastAsia"/>
          <w:b/>
          <w:bCs/>
          <w:color w:val="auto"/>
          <w:sz w:val="32"/>
          <w:szCs w:val="32"/>
          <w:highlight w:val="none"/>
          <w:lang w:val="en-US" w:bidi="ar-SA"/>
        </w:rPr>
        <w:t xml:space="preserve"> </w:t>
      </w:r>
      <w:r/>
    </w:p>
    <w:p>
      <w:pPr>
        <w:ind w:firstLine="643"/>
        <w:jc w:val="both"/>
        <w:rPr>
          <w:b/>
          <w:bCs/>
          <w:color w:val="auto"/>
          <w:sz w:val="32"/>
          <w:szCs w:val="32"/>
          <w:highlight w:val="none"/>
          <w:lang w:bidi="ar-SA"/>
        </w:rPr>
      </w:pPr>
      <w:r>
        <w:rPr>
          <w:rFonts w:hint="eastAsia"/>
          <w:b/>
          <w:bCs/>
          <w:color w:val="auto"/>
          <w:sz w:val="32"/>
          <w:szCs w:val="32"/>
          <w:highlight w:val="none"/>
          <w:lang w:bidi="ar-SA"/>
        </w:rPr>
        <w:t xml:space="preserve"> </w:t>
      </w:r>
      <w:r/>
    </w:p>
    <w:p>
      <w:pPr>
        <w:spacing w:line="360" w:lineRule="auto"/>
        <w:rPr>
          <w:color w:val="auto"/>
          <w:sz w:val="32"/>
          <w:szCs w:val="32"/>
          <w:highlight w:val="none"/>
          <w:lang w:val="en-US" w:bidi="ar-SA"/>
        </w:rPr>
      </w:pPr>
      <w:r>
        <w:rPr>
          <w:rFonts w:hint="eastAsia"/>
          <w:color w:val="auto"/>
          <w:sz w:val="32"/>
          <w:szCs w:val="32"/>
          <w:highlight w:val="none"/>
          <w:lang w:val="en-US" w:bidi="ar-SA"/>
        </w:rPr>
        <w:t xml:space="preserve"> </w:t>
      </w:r>
      <w:r/>
    </w:p>
    <w:p>
      <w:pPr>
        <w:spacing w:line="360" w:lineRule="auto"/>
        <w:rPr>
          <w:color w:val="auto"/>
          <w:sz w:val="32"/>
          <w:szCs w:val="32"/>
          <w:highlight w:val="none"/>
          <w:lang w:val="en-US" w:bidi="ar-SA"/>
        </w:rPr>
      </w:pPr>
      <w:r>
        <w:rPr>
          <w:rFonts w:hint="eastAsia"/>
          <w:color w:val="auto"/>
          <w:sz w:val="32"/>
          <w:szCs w:val="32"/>
          <w:highlight w:val="none"/>
          <w:lang w:val="en-US" w:bidi="ar-SA"/>
        </w:rPr>
        <w:t xml:space="preserve"> </w:t>
      </w:r>
      <w:r/>
    </w:p>
    <w:p>
      <w:pPr>
        <w:spacing w:line="360" w:lineRule="auto"/>
        <w:rPr>
          <w:b/>
          <w:bCs/>
          <w:color w:val="auto"/>
          <w:sz w:val="32"/>
          <w:szCs w:val="32"/>
          <w:highlight w:val="none"/>
          <w:lang w:val="en-US" w:bidi="ar-SA"/>
        </w:rPr>
      </w:pPr>
      <w:r>
        <w:rPr>
          <w:rFonts w:hint="eastAsia"/>
          <w:b/>
          <w:bCs/>
          <w:color w:val="auto"/>
          <w:sz w:val="32"/>
          <w:szCs w:val="32"/>
          <w:highlight w:val="none"/>
          <w:lang w:val="en-US" w:bidi="ar-SA"/>
        </w:rPr>
        <w:t xml:space="preserve">注：本合同仅为合同的参考文本，合同签订双方可根据项目的具体要求进行修订，但不得更改实质性要求。</w:t>
      </w:r>
      <w:r/>
    </w:p>
    <w:p>
      <w:pPr>
        <w:jc w:val="both"/>
        <w:spacing w:line="360" w:lineRule="auto"/>
        <w:rPr>
          <w:color w:val="auto"/>
          <w:sz w:val="21"/>
          <w:szCs w:val="20"/>
          <w:highlight w:val="none"/>
          <w:lang w:bidi="ar-SA"/>
        </w:rPr>
      </w:pPr>
      <w:r>
        <w:rPr>
          <w:rFonts w:hint="eastAsia"/>
          <w:b/>
          <w:bCs/>
          <w:color w:val="auto"/>
          <w:sz w:val="30"/>
          <w:szCs w:val="30"/>
          <w:highlight w:val="none"/>
          <w:lang w:val="en-US" w:bidi="ar-SA"/>
        </w:rPr>
        <w:br w:type="page" w:clear="all"/>
      </w:r>
      <w:r/>
    </w:p>
    <w:p>
      <w:pPr>
        <w:jc w:val="both"/>
        <w:spacing w:line="400" w:lineRule="exact"/>
        <w:rPr>
          <w:color w:val="auto"/>
          <w:sz w:val="21"/>
          <w:szCs w:val="21"/>
          <w:highlight w:val="none"/>
          <w:lang w:bidi="ar-SA"/>
        </w:rPr>
      </w:pPr>
      <w:r>
        <w:rPr>
          <w:rFonts w:hint="eastAsia"/>
          <w:color w:val="auto"/>
          <w:sz w:val="21"/>
          <w:szCs w:val="21"/>
          <w:highlight w:val="none"/>
          <w:lang w:bidi="ar-SA"/>
        </w:rPr>
        <w:t xml:space="preserve">合同编号：</w:t>
      </w:r>
      <w:r/>
    </w:p>
    <w:p>
      <w:pPr>
        <w:jc w:val="both"/>
        <w:spacing w:line="400" w:lineRule="exact"/>
        <w:rPr>
          <w:color w:val="auto"/>
          <w:sz w:val="21"/>
          <w:szCs w:val="21"/>
          <w:highlight w:val="none"/>
          <w:lang w:val="en-US" w:bidi="ar-SA"/>
        </w:rPr>
      </w:pPr>
      <w:r>
        <w:rPr>
          <w:rFonts w:hint="eastAsia"/>
          <w:color w:val="auto"/>
          <w:sz w:val="21"/>
          <w:szCs w:val="21"/>
          <w:highlight w:val="none"/>
          <w:lang w:bidi="ar-SA"/>
        </w:rPr>
        <w:t xml:space="preserve">政府采购计划号：</w:t>
      </w:r>
      <w:r/>
    </w:p>
    <w:tbl>
      <w:tblPr>
        <w:tblStyle w:val="77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spacing w:line="400" w:lineRule="exact"/>
              <w:rPr>
                <w:color w:val="auto"/>
                <w:sz w:val="21"/>
                <w:szCs w:val="21"/>
                <w:highlight w:val="none"/>
                <w:lang w:bidi="ar-SA"/>
              </w:rPr>
            </w:pPr>
            <w:r>
              <w:rPr>
                <w:rFonts w:hint="eastAsia"/>
                <w:color w:val="auto"/>
                <w:sz w:val="21"/>
                <w:szCs w:val="21"/>
                <w:highlight w:val="none"/>
                <w:lang w:bidi="ar-SA"/>
              </w:rPr>
              <w:t xml:space="preserve">采购人（以下称甲方）</w:t>
            </w:r>
            <w:r/>
          </w:p>
        </w:tc>
        <w:tc>
          <w:tcPr>
            <w:tcW w:w="4643" w:type="dxa"/>
            <w:textDirection w:val="lrTb"/>
            <w:noWrap w:val="false"/>
          </w:tcPr>
          <w:p>
            <w:pPr>
              <w:spacing w:line="400" w:lineRule="exact"/>
              <w:rPr>
                <w:color w:val="auto"/>
                <w:sz w:val="21"/>
                <w:szCs w:val="21"/>
                <w:highlight w:val="none"/>
                <w:lang w:bidi="ar-SA"/>
              </w:rPr>
            </w:pPr>
            <w:r>
              <w:rPr>
                <w:rFonts w:hint="eastAsia"/>
                <w:color w:val="auto"/>
                <w:sz w:val="21"/>
                <w:szCs w:val="21"/>
                <w:highlight w:val="none"/>
                <w:lang w:bidi="ar-SA"/>
              </w:rPr>
              <w:t xml:space="preserve">供应商：（以下称乙方）</w:t>
            </w:r>
            <w:r/>
          </w:p>
        </w:tc>
      </w:tr>
      <w:tr>
        <w:trPr/>
        <w:tc>
          <w:tcPr>
            <w:tcW w:w="4643" w:type="dxa"/>
            <w:textDirection w:val="lrTb"/>
            <w:noWrap w:val="false"/>
          </w:tcPr>
          <w:p>
            <w:pPr>
              <w:spacing w:line="400" w:lineRule="exact"/>
              <w:rPr>
                <w:color w:val="auto"/>
                <w:sz w:val="21"/>
                <w:szCs w:val="21"/>
                <w:highlight w:val="none"/>
                <w:lang w:val="en-US" w:bidi="ar-SA"/>
              </w:rPr>
            </w:pPr>
            <w:r>
              <w:rPr>
                <w:rFonts w:hint="eastAsia"/>
                <w:color w:val="auto"/>
                <w:sz w:val="21"/>
                <w:szCs w:val="21"/>
                <w:highlight w:val="none"/>
                <w:lang w:bidi="ar-SA"/>
              </w:rPr>
              <w:t xml:space="preserve">住所地：</w:t>
            </w:r>
            <w:r/>
          </w:p>
        </w:tc>
        <w:tc>
          <w:tcPr>
            <w:tcW w:w="4643" w:type="dxa"/>
            <w:textDirection w:val="lrTb"/>
            <w:noWrap w:val="false"/>
          </w:tcPr>
          <w:p>
            <w:pPr>
              <w:spacing w:line="400" w:lineRule="exact"/>
              <w:rPr>
                <w:color w:val="auto"/>
                <w:sz w:val="21"/>
                <w:szCs w:val="21"/>
                <w:highlight w:val="none"/>
                <w:lang w:val="en-US" w:bidi="ar-SA"/>
              </w:rPr>
            </w:pPr>
            <w:r>
              <w:rPr>
                <w:rFonts w:hint="eastAsia"/>
                <w:color w:val="auto"/>
                <w:sz w:val="21"/>
                <w:szCs w:val="21"/>
                <w:highlight w:val="none"/>
                <w:lang w:bidi="ar-SA"/>
              </w:rPr>
              <w:t xml:space="preserve">住所地</w:t>
            </w:r>
            <w:r/>
          </w:p>
        </w:tc>
      </w:tr>
    </w:tbl>
    <w:p>
      <w:pPr>
        <w:ind w:firstLine="420"/>
        <w:spacing w:line="400" w:lineRule="exact"/>
        <w:rPr>
          <w:color w:val="auto"/>
          <w:sz w:val="21"/>
          <w:szCs w:val="21"/>
          <w:highlight w:val="none"/>
          <w:lang w:val="en-US" w:bidi="ar-SA"/>
        </w:rPr>
      </w:pPr>
      <w:r>
        <w:rPr>
          <w:rFonts w:hint="eastAsia"/>
          <w:color w:val="auto"/>
          <w:sz w:val="21"/>
          <w:szCs w:val="21"/>
          <w:highlight w:val="none"/>
          <w:lang w:bidi="ar-SA"/>
        </w:rPr>
        <w:t xml:space="preserve">根据《中华人民共和国政府采购法》、《中华人民共和国民法典》等法律法规的规定，甲乙双方按照招标结果签订本合同。</w:t>
      </w:r>
      <w:r/>
    </w:p>
    <w:p>
      <w:pPr>
        <w:ind w:firstLine="420"/>
        <w:jc w:val="both"/>
        <w:spacing w:line="400" w:lineRule="exact"/>
        <w:rPr>
          <w:color w:val="auto"/>
          <w:sz w:val="21"/>
          <w:szCs w:val="21"/>
          <w:highlight w:val="none"/>
          <w:lang w:bidi="ar-SA"/>
        </w:rPr>
      </w:pPr>
      <w:r>
        <w:rPr>
          <w:rFonts w:hint="eastAsia"/>
          <w:b/>
          <w:bCs/>
          <w:color w:val="auto"/>
          <w:sz w:val="21"/>
          <w:szCs w:val="21"/>
          <w:highlight w:val="none"/>
          <w:lang w:bidi="ar-SA"/>
        </w:rPr>
        <w:t xml:space="preserve">第一条 合同标的</w:t>
      </w:r>
      <w:r>
        <w:rPr>
          <w:rFonts w:hint="eastAsia"/>
          <w:color w:val="auto"/>
          <w:sz w:val="21"/>
          <w:szCs w:val="21"/>
          <w:highlight w:val="none"/>
          <w:lang w:bidi="ar-SA"/>
        </w:rPr>
        <w:t xml:space="preserve">  乙方根据甲方需求提供下列货物：</w:t>
      </w:r>
      <w:r>
        <w:rPr>
          <w:rFonts w:hint="eastAsia"/>
          <w:color w:val="auto"/>
          <w:sz w:val="21"/>
          <w:szCs w:val="21"/>
          <w:highlight w:val="none"/>
          <w:u w:val="single"/>
          <w:lang w:bidi="ar-SA"/>
        </w:rPr>
        <w:t xml:space="preserve">                    </w:t>
      </w:r>
      <w:r>
        <w:rPr>
          <w:rFonts w:hint="eastAsia"/>
          <w:color w:val="auto"/>
          <w:sz w:val="21"/>
          <w:szCs w:val="21"/>
          <w:highlight w:val="none"/>
          <w:lang w:bidi="ar-SA"/>
        </w:rPr>
        <w:t xml:space="preserve">，货物名称、规格及数量详见乙方投标文件。</w:t>
      </w:r>
      <w:r/>
    </w:p>
    <w:p>
      <w:pPr>
        <w:ind w:firstLine="420"/>
        <w:spacing w:line="400" w:lineRule="exact"/>
        <w:rPr>
          <w:color w:val="auto"/>
          <w:sz w:val="21"/>
          <w:szCs w:val="21"/>
          <w:highlight w:val="none"/>
          <w:lang w:bidi="ar-SA"/>
        </w:rPr>
      </w:pPr>
      <w:r>
        <w:rPr>
          <w:rFonts w:hint="eastAsia"/>
          <w:b/>
          <w:bCs/>
          <w:color w:val="auto"/>
          <w:sz w:val="21"/>
          <w:szCs w:val="21"/>
          <w:highlight w:val="none"/>
          <w:lang w:bidi="ar-SA"/>
        </w:rPr>
        <w:t xml:space="preserve">第二条 合同总价款</w:t>
      </w:r>
      <w:r>
        <w:rPr>
          <w:rFonts w:hint="eastAsia"/>
          <w:color w:val="auto"/>
          <w:sz w:val="21"/>
          <w:szCs w:val="21"/>
          <w:highlight w:val="none"/>
          <w:lang w:bidi="ar-SA"/>
        </w:rPr>
        <w:t xml:space="preserve">  本合同项下货物单价为___________（大写）人民币总价款为___________（大写）人民币，分项价款在“投标报价表”中有明确规定。</w:t>
      </w:r>
      <w:r/>
    </w:p>
    <w:p>
      <w:pPr>
        <w:ind w:firstLine="420"/>
        <w:jc w:val="both"/>
        <w:spacing w:line="400" w:lineRule="exact"/>
        <w:rPr>
          <w:b/>
          <w:color w:val="auto"/>
          <w:sz w:val="21"/>
          <w:szCs w:val="21"/>
          <w:highlight w:val="none"/>
          <w:lang w:val="en-US" w:bidi="ar-SA"/>
        </w:rPr>
      </w:pPr>
      <w:r>
        <w:rPr>
          <w:rFonts w:hint="eastAsia"/>
          <w:color w:val="auto"/>
          <w:sz w:val="21"/>
          <w:szCs w:val="21"/>
          <w:highlight w:val="none"/>
          <w:lang w:bidi="ar-SA"/>
        </w:rPr>
        <w:t xml:space="preserve">本合同总价款是</w:t>
      </w:r>
      <w:r>
        <w:rPr>
          <w:rFonts w:hint="eastAsia"/>
          <w:color w:val="auto"/>
          <w:sz w:val="21"/>
          <w:szCs w:val="21"/>
          <w:highlight w:val="none"/>
          <w:lang w:bidi="ar-SA"/>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bCs/>
          <w:color w:val="auto"/>
          <w:sz w:val="21"/>
          <w:szCs w:val="21"/>
          <w:highlight w:val="none"/>
          <w:lang w:val="en-US" w:bidi="ar-SA"/>
        </w:rPr>
        <w:t xml:space="preserve">，以</w:t>
      </w:r>
      <w:r>
        <w:rPr>
          <w:rFonts w:hint="eastAsia"/>
          <w:color w:val="auto"/>
          <w:sz w:val="21"/>
          <w:szCs w:val="21"/>
          <w:highlight w:val="none"/>
          <w:lang w:val="en-US" w:bidi="ar-SA"/>
        </w:rPr>
        <w:t xml:space="preserve">及供应商认为需要的其他费用等</w:t>
      </w:r>
      <w:r>
        <w:rPr>
          <w:rFonts w:hint="eastAsia"/>
          <w:color w:val="auto"/>
          <w:sz w:val="21"/>
          <w:szCs w:val="21"/>
          <w:highlight w:val="none"/>
          <w:lang w:bidi="ar-SA"/>
        </w:rPr>
        <w:t xml:space="preserve">。</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本合同总价款还包含乙方应当提供的伴随服务/售后服务费用。</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本合同执行期间合同总价款不变。</w:t>
      </w:r>
      <w:r/>
    </w:p>
    <w:p>
      <w:pPr>
        <w:ind w:firstLine="413"/>
        <w:jc w:val="both"/>
        <w:spacing w:line="400" w:lineRule="exact"/>
        <w:rPr>
          <w:color w:val="auto"/>
          <w:sz w:val="21"/>
          <w:szCs w:val="21"/>
          <w:highlight w:val="none"/>
          <w:lang w:bidi="ar-SA"/>
        </w:rPr>
      </w:pPr>
      <w:r>
        <w:rPr>
          <w:rFonts w:hint="eastAsia"/>
          <w:b/>
          <w:bCs/>
          <w:color w:val="auto"/>
          <w:sz w:val="21"/>
          <w:szCs w:val="21"/>
          <w:highlight w:val="none"/>
          <w:lang w:bidi="ar-SA"/>
        </w:rPr>
        <w:t xml:space="preserve">第三条 组成本合同的有关文件</w:t>
      </w:r>
      <w:r>
        <w:rPr>
          <w:rFonts w:hint="eastAsia"/>
          <w:color w:val="auto"/>
          <w:sz w:val="21"/>
          <w:szCs w:val="21"/>
          <w:highlight w:val="none"/>
          <w:lang w:bidi="ar-SA"/>
        </w:rPr>
        <w:t xml:space="preserve">  下列关于</w:t>
      </w:r>
      <w:r>
        <w:rPr>
          <w:rFonts w:hint="eastAsia"/>
          <w:color w:val="auto"/>
          <w:sz w:val="21"/>
          <w:szCs w:val="21"/>
          <w:highlight w:val="none"/>
          <w:u w:val="single"/>
          <w:lang w:val="en-US" w:bidi="ar-SA"/>
        </w:rPr>
        <w:t xml:space="preserve">           </w:t>
      </w:r>
      <w:r>
        <w:rPr>
          <w:rFonts w:hint="eastAsia"/>
          <w:color w:val="auto"/>
          <w:sz w:val="21"/>
          <w:szCs w:val="21"/>
          <w:highlight w:val="none"/>
          <w:lang w:bidi="ar-SA"/>
        </w:rPr>
        <w:t xml:space="preserve">标的招投标文件或与本次采购活动方式相适应的文件及有关附件是本合同不可分割的组成部分，与本合同具有同等法律效力，这些文件包括但不限于：</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（1）乙方提供的投标文件和投标报价表；           （2）供货一览表；</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（3）交货一览表；                               （4）服务承诺；</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（5）投标承诺；                                 （6）中标通知书；</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（7）甲乙双方商定的其他文件等。                               </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第四条 权利保证</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乙方应保证甲方在使用该货物或其任何一部分时不受第三方提出侵犯其专利权、版权、商标权或其他权利的起诉。一旦出现侵权，乙方应承担全部责任。</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第五条 质量保证</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1、乙方所提供的货物的技术规格应与采购文件规定的技术规格及所附的</w:t>
      </w:r>
      <w:r>
        <w:rPr>
          <w:rFonts w:hint="eastAsia"/>
          <w:color w:val="auto"/>
          <w:sz w:val="21"/>
          <w:szCs w:val="21"/>
          <w:highlight w:val="none"/>
          <w:lang w:val="en-US" w:bidi="ar-SA"/>
        </w:rPr>
        <w:t xml:space="preserve">技术规格、参数</w:t>
      </w:r>
      <w:r>
        <w:rPr>
          <w:rFonts w:hint="eastAsia"/>
          <w:color w:val="auto"/>
          <w:sz w:val="21"/>
          <w:szCs w:val="21"/>
          <w:highlight w:val="none"/>
          <w:lang w:bidi="ar-SA"/>
        </w:rPr>
        <w:t xml:space="preserve">相一致；若技术性能无特殊说明，则按国家有关部门最新颁布的标准及规范为准。</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第六条 包装要求</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2、每一包装单元内应附详细的装箱单和质量合格凭证。</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第七条 交货和验收</w:t>
      </w:r>
      <w:r/>
    </w:p>
    <w:p>
      <w:pPr>
        <w:ind w:firstLine="420"/>
        <w:spacing w:line="400" w:lineRule="exact"/>
        <w:rPr>
          <w:color w:val="auto"/>
          <w:sz w:val="21"/>
          <w:szCs w:val="21"/>
          <w:highlight w:val="none"/>
          <w:u w:val="single"/>
          <w:lang w:bidi="ar-SA"/>
        </w:rPr>
      </w:pPr>
      <w:r>
        <w:rPr>
          <w:rFonts w:hint="eastAsia"/>
          <w:color w:val="auto"/>
          <w:sz w:val="21"/>
          <w:szCs w:val="21"/>
          <w:highlight w:val="none"/>
          <w:lang w:bidi="ar-SA"/>
        </w:rPr>
        <w:t xml:space="preserve">1、交付时间：</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3、货物的到货验收包括：型号、规格、数量、外观质量、及货物包装是否完好。</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5、货物和系统调试验收的标准：按行业通行标准、厂方出厂标准和乙方投标文件的承诺（详见合同附件载明的标准，并不低于国家相关标准）。</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第八条 伴随服务／售后服务</w:t>
      </w:r>
      <w:r/>
    </w:p>
    <w:p>
      <w:pPr>
        <w:ind w:firstLine="420"/>
        <w:spacing w:line="400" w:lineRule="exact"/>
        <w:tabs>
          <w:tab w:val="left" w:pos="1620" w:leader="none"/>
        </w:tabs>
        <w:rPr>
          <w:color w:val="auto"/>
          <w:sz w:val="21"/>
          <w:szCs w:val="21"/>
          <w:highlight w:val="none"/>
          <w:lang w:bidi="ar-SA"/>
        </w:rPr>
      </w:pPr>
      <w:r>
        <w:rPr>
          <w:rFonts w:hint="eastAsia"/>
          <w:color w:val="auto"/>
          <w:sz w:val="21"/>
          <w:szCs w:val="21"/>
          <w:highlight w:val="none"/>
          <w:lang w:bidi="ar-SA"/>
        </w:rPr>
        <w:t xml:space="preserve">1、乙方应按照国家有关法律法规规章和“三包”规定以及合同所附的“服务承诺”提供服务。</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2、除前款规定外，乙方还应提供下列服务：</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（1）货物的现场安装、调试和/或启动监督；</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（2）就货物的安装、启动、运行及维护等对甲方人员进行免费培训。</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3、有关伴随服务或售后服务的承诺，双方作如下约定：</w:t>
      </w:r>
      <w:r/>
    </w:p>
    <w:p>
      <w:pPr>
        <w:ind w:left="440"/>
        <w:spacing w:line="400" w:lineRule="exact"/>
        <w:rPr>
          <w:color w:val="auto"/>
          <w:sz w:val="21"/>
          <w:szCs w:val="21"/>
          <w:highlight w:val="none"/>
          <w:lang w:bidi="ar-SA"/>
        </w:rPr>
      </w:pPr>
      <w:r>
        <w:rPr>
          <w:rFonts w:hint="eastAsia"/>
          <w:color w:val="auto"/>
          <w:sz w:val="21"/>
          <w:szCs w:val="21"/>
          <w:highlight w:val="none"/>
          <w:u w:val="single"/>
          <w:lang w:val="en-US" w:bidi="ar-SA"/>
        </w:rPr>
        <w:t xml:space="preserve">                                                                               </w:t>
      </w:r>
      <w:r>
        <w:rPr>
          <w:rFonts w:hint="eastAsia"/>
          <w:color w:val="auto"/>
          <w:sz w:val="21"/>
          <w:szCs w:val="21"/>
          <w:highlight w:val="none"/>
          <w:lang w:val="en-US" w:bidi="ar-SA"/>
        </w:rPr>
        <w:t xml:space="preserve"> </w:t>
      </w:r>
      <w:r>
        <w:rPr>
          <w:rFonts w:hint="eastAsia"/>
          <w:color w:val="auto"/>
          <w:sz w:val="21"/>
          <w:szCs w:val="21"/>
          <w:highlight w:val="none"/>
          <w:lang w:bidi="ar-SA"/>
        </w:rPr>
        <w:t xml:space="preserve">保修期后的货物维护由双方协商再定。</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第九条 履约保证金</w:t>
      </w:r>
      <w:r/>
    </w:p>
    <w:p>
      <w:pPr>
        <w:ind w:firstLine="420"/>
        <w:spacing w:line="400" w:lineRule="exact"/>
        <w:rPr>
          <w:i/>
          <w:iCs/>
          <w:color w:val="auto"/>
          <w:sz w:val="21"/>
          <w:szCs w:val="21"/>
          <w:highlight w:val="none"/>
          <w:lang w:val="en-US" w:bidi="ar-SA"/>
        </w:rPr>
      </w:pPr>
      <w:r>
        <w:rPr>
          <w:rFonts w:hint="eastAsia"/>
          <w:color w:val="auto"/>
          <w:sz w:val="21"/>
          <w:szCs w:val="21"/>
          <w:highlight w:val="none"/>
          <w:lang w:val="en-US" w:bidi="ar-SA"/>
        </w:rPr>
        <w:t xml:space="preserve"> 无</w:t>
      </w:r>
      <w:r/>
    </w:p>
    <w:p>
      <w:pPr>
        <w:ind w:firstLine="413"/>
        <w:jc w:val="both"/>
        <w:spacing w:line="400" w:lineRule="exact"/>
        <w:rPr>
          <w:b/>
          <w:bCs/>
          <w:i/>
          <w:iCs/>
          <w:color w:val="auto"/>
          <w:sz w:val="21"/>
          <w:szCs w:val="21"/>
          <w:highlight w:val="none"/>
          <w:lang w:bidi="ar-SA"/>
        </w:rPr>
      </w:pPr>
      <w:r>
        <w:rPr>
          <w:rFonts w:hint="eastAsia"/>
          <w:b/>
          <w:bCs/>
          <w:color w:val="auto"/>
          <w:sz w:val="21"/>
          <w:szCs w:val="21"/>
          <w:highlight w:val="none"/>
          <w:lang w:bidi="ar-SA"/>
        </w:rPr>
        <w:t xml:space="preserve">第十条 合同款支付</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1、本合同项下所有款项均以人民币支付。</w:t>
      </w:r>
      <w:r/>
    </w:p>
    <w:p>
      <w:pPr>
        <w:ind w:firstLine="420"/>
        <w:spacing w:line="400" w:lineRule="exact"/>
        <w:rPr>
          <w:color w:val="auto"/>
          <w:sz w:val="21"/>
          <w:szCs w:val="21"/>
          <w:highlight w:val="none"/>
          <w:lang w:bidi="ar-SA"/>
        </w:rPr>
      </w:pPr>
      <w:r>
        <w:rPr>
          <w:rFonts w:hint="eastAsia"/>
          <w:color w:val="auto"/>
          <w:sz w:val="21"/>
          <w:szCs w:val="21"/>
          <w:highlight w:val="none"/>
          <w:lang w:bidi="ar-SA"/>
        </w:rPr>
        <w:t xml:space="preserve">2、本合同项下的采购资金由甲方自行支付，乙方向甲方开具发票。</w:t>
      </w:r>
      <w:r/>
    </w:p>
    <w:p>
      <w:pPr>
        <w:ind w:firstLine="420"/>
        <w:jc w:val="both"/>
        <w:spacing w:line="400" w:lineRule="exact"/>
        <w:rPr>
          <w:color w:val="auto"/>
          <w:sz w:val="21"/>
          <w:szCs w:val="21"/>
          <w:highlight w:val="none"/>
          <w:lang w:val="en-US" w:bidi="ar-SA"/>
        </w:rPr>
      </w:pPr>
      <w:r>
        <w:rPr>
          <w:rFonts w:hint="eastAsia"/>
          <w:color w:val="auto"/>
          <w:sz w:val="21"/>
          <w:szCs w:val="21"/>
          <w:highlight w:val="none"/>
          <w:lang w:val="en-US" w:bidi="ar-SA"/>
        </w:rPr>
        <w:t xml:space="preserve">3、付款条件：签订合同后</w:t>
      </w:r>
      <w:r>
        <w:rPr>
          <w:color w:val="auto"/>
          <w:sz w:val="21"/>
          <w:szCs w:val="21"/>
          <w:highlight w:val="none"/>
          <w:lang w:val="en-US" w:bidi="ar-SA"/>
        </w:rPr>
        <w:t xml:space="preserve">15个工作日内，</w:t>
      </w:r>
      <w:r>
        <w:rPr>
          <w:rFonts w:hint="eastAsia"/>
          <w:color w:val="auto"/>
          <w:sz w:val="21"/>
          <w:szCs w:val="21"/>
          <w:highlight w:val="none"/>
          <w:lang w:val="en-US" w:bidi="ar-SA"/>
        </w:rPr>
        <w:t xml:space="preserve">甲方</w:t>
      </w:r>
      <w:r>
        <w:rPr>
          <w:color w:val="auto"/>
          <w:sz w:val="21"/>
          <w:szCs w:val="21"/>
          <w:highlight w:val="none"/>
          <w:lang w:val="en-US" w:bidi="ar-SA"/>
        </w:rPr>
        <w:t xml:space="preserve">向乙方支付合同金额的</w:t>
      </w:r>
      <w:r>
        <w:rPr>
          <w:rFonts w:hint="default"/>
          <w:color w:val="auto"/>
          <w:sz w:val="21"/>
          <w:szCs w:val="21"/>
          <w:highlight w:val="none"/>
          <w:lang w:val="en" w:bidi="ar-SA"/>
        </w:rPr>
        <w:t xml:space="preserve">4</w:t>
      </w:r>
      <w:r>
        <w:rPr>
          <w:color w:val="auto"/>
          <w:sz w:val="21"/>
          <w:szCs w:val="21"/>
          <w:highlight w:val="none"/>
          <w:lang w:val="en-US" w:bidi="ar-SA"/>
        </w:rPr>
        <w:t xml:space="preserve">0%作为预付款；甲方验收合格后，</w:t>
      </w:r>
      <w:r>
        <w:rPr>
          <w:rFonts w:hint="eastAsia"/>
          <w:color w:val="auto"/>
          <w:sz w:val="21"/>
          <w:szCs w:val="21"/>
          <w:highlight w:val="none"/>
          <w:lang w:val="en-US" w:bidi="ar-SA"/>
        </w:rPr>
        <w:t xml:space="preserve">乙方</w:t>
      </w:r>
      <w:r>
        <w:rPr>
          <w:color w:val="auto"/>
          <w:sz w:val="21"/>
          <w:szCs w:val="21"/>
          <w:highlight w:val="none"/>
          <w:lang w:val="en-US" w:bidi="ar-SA"/>
        </w:rPr>
        <w:t xml:space="preserve">开具符合财务规定的全款正式发票，自</w:t>
      </w:r>
      <w:r>
        <w:rPr>
          <w:rFonts w:hint="eastAsia"/>
          <w:color w:val="auto"/>
          <w:sz w:val="21"/>
          <w:szCs w:val="21"/>
          <w:highlight w:val="none"/>
          <w:lang w:val="en-US" w:bidi="ar-SA"/>
        </w:rPr>
        <w:t xml:space="preserve">甲方</w:t>
      </w:r>
      <w:r>
        <w:rPr>
          <w:color w:val="auto"/>
          <w:sz w:val="21"/>
          <w:szCs w:val="21"/>
          <w:highlight w:val="none"/>
          <w:lang w:val="en-US" w:bidi="ar-SA"/>
        </w:rPr>
        <w:t xml:space="preserve">收到发票后10个工作日内，向</w:t>
      </w:r>
      <w:r>
        <w:rPr>
          <w:rFonts w:hint="eastAsia"/>
          <w:color w:val="auto"/>
          <w:sz w:val="21"/>
          <w:szCs w:val="21"/>
          <w:highlight w:val="none"/>
          <w:lang w:val="en-US" w:bidi="ar-SA"/>
        </w:rPr>
        <w:t xml:space="preserve">乙方</w:t>
      </w:r>
      <w:r>
        <w:rPr>
          <w:color w:val="auto"/>
          <w:sz w:val="21"/>
          <w:szCs w:val="21"/>
          <w:highlight w:val="none"/>
          <w:lang w:val="en-US" w:bidi="ar-SA"/>
        </w:rPr>
        <w:t xml:space="preserve">支付剩余全部款项。  </w:t>
      </w:r>
      <w:r/>
    </w:p>
    <w:p>
      <w:pPr>
        <w:ind w:firstLine="422"/>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第十一条 违约责任</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1、甲方无正当理由拒收货物、拒付货物款的，由甲方向乙方偿付合同总价的5%违约金。</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2、甲方未按合同规定的期限向乙方支付货款的，每逾期1天甲方向乙方偿付欠款总额的5‰滞纳金，但累计滞纳金总额不超过欠款总额的5% 。</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3、如乙方不能交付货物、完成安装调试的，乙方应向甲方支付合同总价5%的违约金。</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4、乙方逾期交付的，每逾期1天，乙方向甲方偿付合同总额的5‰的滞纳金。如乙方逾期交付达10天，甲方有权解除合同，解除合同的通知自到达乙方时生效。</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5、乙方所交付的货物品种、型号、规格不符合合同规定的，甲方有权拒收。甲方拒收的，乙方应向甲方支付货款总额5%的违约金。</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7、乙方未按本合同的规定和“服务承诺”提供伴随服务/售后服务的，应按合同总价款的5 %向甲方承担违约责任。</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9、乙方投标属虚假承诺，或经权威部门监测提供的货物不能满足采购文件要求，或是由于乙方的过错造成合同无法继续履行的，乙方履约保证金不予退还外，还应向甲方支付不少于合同总价30%赔偿金。</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第十二条 </w:t>
      </w:r>
      <w:r>
        <w:rPr>
          <w:rFonts w:hint="eastAsia"/>
          <w:b/>
          <w:bCs/>
          <w:color w:val="auto"/>
          <w:sz w:val="21"/>
          <w:szCs w:val="21"/>
          <w:highlight w:val="none"/>
          <w:lang w:bidi="ar-SA"/>
        </w:rPr>
        <w:t xml:space="preserve">合同的变更和终止</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1、除《政府采购法》第50条第二款规定的情形外，本合同一经签订，甲乙双方不得擅自变更、中止或终止合同。</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2、</w:t>
      </w:r>
      <w:r>
        <w:rPr>
          <w:rFonts w:hint="eastAsia"/>
          <w:color w:val="auto"/>
          <w:sz w:val="21"/>
          <w:szCs w:val="21"/>
          <w:highlight w:val="none"/>
          <w:lang w:val="en-US" w:bidi="ar-SA"/>
        </w:rPr>
        <w:t xml:space="preserve">除发生法律规定的不能预见、不能避免并不能克服的客观情况外，甲乙双方不得放弃或拒绝履行合同。</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第十三条 </w:t>
      </w:r>
      <w:r>
        <w:rPr>
          <w:rFonts w:hint="eastAsia"/>
          <w:b/>
          <w:bCs/>
          <w:color w:val="auto"/>
          <w:sz w:val="21"/>
          <w:szCs w:val="21"/>
          <w:highlight w:val="none"/>
          <w:lang w:bidi="ar-SA"/>
        </w:rPr>
        <w:t xml:space="preserve">合同的转让</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乙方不得擅自部分或全部转让其应履行的合同义务。</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第十四条</w:t>
      </w:r>
      <w:r>
        <w:rPr>
          <w:rFonts w:hint="eastAsia"/>
          <w:b/>
          <w:bCs/>
          <w:color w:val="auto"/>
          <w:sz w:val="21"/>
          <w:szCs w:val="21"/>
          <w:highlight w:val="none"/>
          <w:lang w:bidi="ar-SA"/>
        </w:rPr>
        <w:t xml:space="preserve"> 争议的解决</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2、因履行本合同引起的或与本合同有关的争议，甲、乙双方应首先通过友好协商解决，如果协商不能解决争议，则采取以下第（ ）种方式解决争议：</w:t>
      </w:r>
      <w:r/>
    </w:p>
    <w:p>
      <w:pPr>
        <w:ind w:firstLine="560"/>
        <w:spacing w:line="400" w:lineRule="exact"/>
        <w:widowControl/>
        <w:rPr>
          <w:color w:val="auto"/>
          <w:sz w:val="21"/>
          <w:szCs w:val="21"/>
          <w:highlight w:val="none"/>
          <w:lang w:bidi="ar-SA"/>
        </w:rPr>
      </w:pPr>
      <w:r>
        <w:rPr>
          <w:rFonts w:hint="eastAsia"/>
          <w:color w:val="auto"/>
          <w:sz w:val="21"/>
          <w:szCs w:val="21"/>
          <w:highlight w:val="none"/>
          <w:lang w:bidi="ar-SA"/>
        </w:rPr>
        <w:t xml:space="preserve">（1）向甲方所在地有管辖权的人民法院提起诉讼；</w:t>
      </w:r>
      <w:r/>
    </w:p>
    <w:p>
      <w:pPr>
        <w:ind w:firstLine="560"/>
        <w:spacing w:line="400" w:lineRule="exact"/>
        <w:widowControl/>
        <w:rPr>
          <w:color w:val="auto"/>
          <w:sz w:val="21"/>
          <w:szCs w:val="21"/>
          <w:highlight w:val="none"/>
          <w:lang w:bidi="ar-SA"/>
        </w:rPr>
      </w:pPr>
      <w:r>
        <w:rPr>
          <w:rFonts w:hint="eastAsia"/>
          <w:color w:val="auto"/>
          <w:sz w:val="21"/>
          <w:szCs w:val="21"/>
          <w:highlight w:val="none"/>
          <w:lang w:bidi="ar-SA"/>
        </w:rPr>
        <w:t xml:space="preserve">（2）向南京仲裁委员会按其仲裁规则申请仲裁。</w:t>
      </w:r>
      <w:r/>
    </w:p>
    <w:p>
      <w:pPr>
        <w:ind w:firstLine="560"/>
        <w:spacing w:line="400" w:lineRule="exact"/>
        <w:widowControl/>
        <w:rPr>
          <w:color w:val="auto"/>
          <w:sz w:val="21"/>
          <w:szCs w:val="21"/>
          <w:highlight w:val="none"/>
          <w:lang w:bidi="ar-SA"/>
        </w:rPr>
      </w:pPr>
      <w:r>
        <w:rPr>
          <w:rFonts w:hint="eastAsia"/>
          <w:color w:val="auto"/>
          <w:sz w:val="21"/>
          <w:szCs w:val="21"/>
          <w:highlight w:val="none"/>
          <w:lang w:bidi="ar-SA"/>
        </w:rPr>
        <w:t xml:space="preserve">如没有约定，默认采取第2种方式解决争议。</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3、在仲裁期间，本合同应继续履行。</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第十五条 </w:t>
      </w:r>
      <w:r>
        <w:rPr>
          <w:rFonts w:hint="eastAsia"/>
          <w:b/>
          <w:bCs/>
          <w:color w:val="auto"/>
          <w:sz w:val="21"/>
          <w:szCs w:val="21"/>
          <w:highlight w:val="none"/>
          <w:lang w:bidi="ar-SA"/>
        </w:rPr>
        <w:t xml:space="preserve">诚实信用</w:t>
      </w:r>
      <w:r>
        <w:rPr>
          <w:rFonts w:hint="eastAsia"/>
          <w:b/>
          <w:bCs/>
          <w:color w:val="auto"/>
          <w:sz w:val="21"/>
          <w:szCs w:val="21"/>
          <w:highlight w:val="none"/>
          <w:lang w:bidi="ar-SA"/>
        </w:rPr>
        <w:t xml:space="preserve"> </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乙方应诚实信用，严格按照采购文件要求和投标承诺履行合同，不向甲方进行商业贿赂或者提供不正当利益。</w:t>
      </w:r>
      <w:r/>
    </w:p>
    <w:p>
      <w:pPr>
        <w:ind w:firstLine="413"/>
        <w:jc w:val="both"/>
        <w:spacing w:line="400" w:lineRule="exact"/>
        <w:rPr>
          <w:b/>
          <w:bCs/>
          <w:color w:val="auto"/>
          <w:sz w:val="21"/>
          <w:szCs w:val="21"/>
          <w:highlight w:val="none"/>
          <w:lang w:bidi="ar-SA"/>
        </w:rPr>
      </w:pPr>
      <w:r>
        <w:rPr>
          <w:rFonts w:hint="eastAsia"/>
          <w:b/>
          <w:bCs/>
          <w:color w:val="auto"/>
          <w:sz w:val="21"/>
          <w:szCs w:val="21"/>
          <w:highlight w:val="none"/>
          <w:lang w:bidi="ar-SA"/>
        </w:rPr>
        <w:t xml:space="preserve">第十六条 合同生效及其他</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1、本合同自签订之日起生效。</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2、本合同一式</w:t>
      </w:r>
      <w:r>
        <w:rPr>
          <w:rFonts w:hint="eastAsia"/>
          <w:color w:val="auto"/>
          <w:sz w:val="21"/>
          <w:szCs w:val="21"/>
          <w:highlight w:val="none"/>
          <w:u w:val="single"/>
          <w:lang w:val="en-US" w:bidi="ar-SA"/>
        </w:rPr>
        <w:t xml:space="preserve">      </w:t>
      </w:r>
      <w:r>
        <w:rPr>
          <w:rFonts w:hint="eastAsia"/>
          <w:color w:val="auto"/>
          <w:sz w:val="21"/>
          <w:szCs w:val="21"/>
          <w:highlight w:val="none"/>
          <w:lang w:bidi="ar-SA"/>
        </w:rPr>
        <w:t xml:space="preserve">份，甲乙双方各执</w:t>
      </w:r>
      <w:r>
        <w:rPr>
          <w:rFonts w:hint="eastAsia"/>
          <w:color w:val="auto"/>
          <w:sz w:val="21"/>
          <w:szCs w:val="21"/>
          <w:highlight w:val="none"/>
          <w:u w:val="single"/>
          <w:lang w:val="en-US" w:bidi="ar-SA"/>
        </w:rPr>
        <w:t xml:space="preserve">      </w:t>
      </w:r>
      <w:r>
        <w:rPr>
          <w:rFonts w:hint="eastAsia"/>
          <w:color w:val="auto"/>
          <w:sz w:val="21"/>
          <w:szCs w:val="21"/>
          <w:highlight w:val="none"/>
          <w:lang w:bidi="ar-SA"/>
        </w:rPr>
        <w:t xml:space="preserve">份。</w:t>
      </w:r>
      <w:r/>
    </w:p>
    <w:p>
      <w:pPr>
        <w:ind w:firstLine="420"/>
        <w:spacing w:line="400" w:lineRule="exact"/>
        <w:widowControl/>
        <w:rPr>
          <w:color w:val="auto"/>
          <w:sz w:val="21"/>
          <w:szCs w:val="21"/>
          <w:highlight w:val="none"/>
          <w:lang w:bidi="ar-SA"/>
        </w:rPr>
      </w:pPr>
      <w:r>
        <w:rPr>
          <w:rFonts w:hint="eastAsia"/>
          <w:color w:val="auto"/>
          <w:sz w:val="21"/>
          <w:szCs w:val="21"/>
          <w:highlight w:val="none"/>
          <w:lang w:bidi="ar-SA"/>
        </w:rPr>
        <w:t xml:space="preserve">3、本合同应按照中华人民共和国的现行法律进行解释。</w:t>
      </w:r>
      <w:r/>
    </w:p>
    <w:p>
      <w:pPr>
        <w:ind w:firstLine="420"/>
        <w:spacing w:line="400" w:lineRule="exact"/>
        <w:widowControl/>
        <w:rPr>
          <w:color w:val="auto"/>
          <w:sz w:val="21"/>
          <w:szCs w:val="21"/>
          <w:highlight w:val="none"/>
          <w:lang w:bidi="ar-SA"/>
        </w:rPr>
      </w:pPr>
      <w:r>
        <w:rPr>
          <w:color w:val="auto"/>
          <w:sz w:val="21"/>
          <w:szCs w:val="21"/>
          <w:highlight w:val="none"/>
          <w:lang w:bidi="ar-SA"/>
        </w:rPr>
      </w:r>
      <w:r/>
    </w:p>
    <w:p>
      <w:pPr>
        <w:ind w:firstLine="420"/>
        <w:spacing w:line="400" w:lineRule="exact"/>
        <w:widowControl/>
        <w:rPr>
          <w:color w:val="auto"/>
          <w:sz w:val="21"/>
          <w:szCs w:val="21"/>
          <w:highlight w:val="none"/>
          <w:lang w:bidi="ar-SA"/>
        </w:rPr>
      </w:pPr>
      <w:r>
        <w:rPr>
          <w:color w:val="auto"/>
          <w:sz w:val="21"/>
          <w:szCs w:val="21"/>
          <w:highlight w:val="none"/>
          <w:lang w:bidi="ar-SA"/>
        </w:rPr>
      </w:r>
      <w:r/>
    </w:p>
    <w:tbl>
      <w:tblPr>
        <w:tblStyle w:val="773"/>
        <w:tblW w:w="0"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spacing w:line="360" w:lineRule="auto"/>
              <w:widowControl/>
              <w:rPr>
                <w:color w:val="auto"/>
                <w:sz w:val="21"/>
                <w:szCs w:val="21"/>
                <w:highlight w:val="none"/>
                <w:lang w:bidi="ar-SA"/>
              </w:rPr>
            </w:pPr>
            <w:r>
              <w:rPr>
                <w:rFonts w:hint="eastAsia"/>
                <w:color w:val="auto"/>
                <w:sz w:val="21"/>
                <w:szCs w:val="21"/>
                <w:highlight w:val="none"/>
                <w:lang w:bidi="ar-SA"/>
              </w:rPr>
              <w:t xml:space="preserve">甲方（采购人）：（盖章）</w:t>
            </w:r>
            <w:r/>
          </w:p>
        </w:tc>
        <w:tc>
          <w:tcPr>
            <w:tcW w:w="4643" w:type="dxa"/>
            <w:textDirection w:val="lrTb"/>
            <w:noWrap w:val="false"/>
          </w:tcPr>
          <w:p>
            <w:pPr>
              <w:spacing w:line="360" w:lineRule="auto"/>
              <w:widowControl/>
              <w:rPr>
                <w:color w:val="auto"/>
                <w:sz w:val="21"/>
                <w:szCs w:val="21"/>
                <w:highlight w:val="none"/>
                <w:lang w:bidi="ar-SA"/>
              </w:rPr>
            </w:pPr>
            <w:r>
              <w:rPr>
                <w:rFonts w:hint="eastAsia"/>
                <w:color w:val="auto"/>
                <w:sz w:val="21"/>
                <w:szCs w:val="21"/>
                <w:highlight w:val="none"/>
                <w:lang w:bidi="ar-SA"/>
              </w:rPr>
              <w:t xml:space="preserve">乙方（供应商）：（盖章）</w:t>
            </w:r>
            <w:r/>
          </w:p>
        </w:tc>
      </w:tr>
      <w:tr>
        <w:trPr/>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代表人：</w:t>
            </w:r>
            <w:r/>
          </w:p>
        </w:tc>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代表人</w:t>
            </w:r>
            <w:r>
              <w:rPr>
                <w:rFonts w:hint="eastAsia"/>
                <w:color w:val="auto"/>
                <w:sz w:val="21"/>
                <w:szCs w:val="21"/>
                <w:highlight w:val="none"/>
                <w:lang w:val="en-US" w:bidi="ar-SA"/>
              </w:rPr>
              <w:t xml:space="preserve">：</w:t>
            </w:r>
            <w:r/>
          </w:p>
        </w:tc>
      </w:tr>
      <w:tr>
        <w:trPr/>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电</w:t>
            </w:r>
            <w:r>
              <w:rPr>
                <w:rFonts w:hint="eastAsia"/>
                <w:color w:val="auto"/>
                <w:sz w:val="21"/>
                <w:szCs w:val="21"/>
                <w:highlight w:val="none"/>
                <w:lang w:val="en-US" w:bidi="ar-SA"/>
              </w:rPr>
              <w:t xml:space="preserve">    </w:t>
            </w:r>
            <w:r>
              <w:rPr>
                <w:rFonts w:hint="eastAsia"/>
                <w:color w:val="auto"/>
                <w:sz w:val="21"/>
                <w:szCs w:val="21"/>
                <w:highlight w:val="none"/>
                <w:lang w:bidi="ar-SA"/>
              </w:rPr>
              <w:t xml:space="preserve">话：</w:t>
            </w:r>
            <w:r/>
          </w:p>
        </w:tc>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电</w:t>
            </w:r>
            <w:r>
              <w:rPr>
                <w:rFonts w:hint="eastAsia"/>
                <w:color w:val="auto"/>
                <w:sz w:val="21"/>
                <w:szCs w:val="21"/>
                <w:highlight w:val="none"/>
                <w:lang w:val="en-US" w:bidi="ar-SA"/>
              </w:rPr>
              <w:t xml:space="preserve">    </w:t>
            </w:r>
            <w:r>
              <w:rPr>
                <w:rFonts w:hint="eastAsia"/>
                <w:color w:val="auto"/>
                <w:sz w:val="21"/>
                <w:szCs w:val="21"/>
                <w:highlight w:val="none"/>
                <w:lang w:bidi="ar-SA"/>
              </w:rPr>
              <w:t xml:space="preserve">话：</w:t>
            </w:r>
            <w:r/>
          </w:p>
        </w:tc>
      </w:tr>
      <w:tr>
        <w:trPr/>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开户银行：</w:t>
            </w:r>
            <w:r/>
          </w:p>
        </w:tc>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开户银行：</w:t>
            </w:r>
            <w:r/>
          </w:p>
        </w:tc>
      </w:tr>
      <w:tr>
        <w:trPr/>
        <w:tc>
          <w:tcPr>
            <w:tcW w:w="4643" w:type="dxa"/>
            <w:textDirection w:val="lrTb"/>
            <w:noWrap w:val="false"/>
          </w:tcPr>
          <w:p>
            <w:pPr>
              <w:spacing w:line="360" w:lineRule="auto"/>
              <w:widowControl/>
              <w:rPr>
                <w:color w:val="auto"/>
                <w:sz w:val="21"/>
                <w:szCs w:val="21"/>
                <w:highlight w:val="none"/>
                <w:lang w:val="en-US" w:bidi="ar-SA"/>
              </w:rPr>
            </w:pPr>
            <w:r>
              <w:rPr>
                <w:rFonts w:hint="eastAsia"/>
                <w:color w:val="auto"/>
                <w:sz w:val="21"/>
                <w:szCs w:val="21"/>
                <w:highlight w:val="none"/>
                <w:lang w:bidi="ar-SA"/>
              </w:rPr>
              <w:t xml:space="preserve">帐</w:t>
            </w:r>
            <w:r>
              <w:rPr>
                <w:rFonts w:hint="eastAsia"/>
                <w:color w:val="auto"/>
                <w:sz w:val="21"/>
                <w:szCs w:val="21"/>
                <w:highlight w:val="none"/>
                <w:lang w:val="en-US" w:bidi="ar-SA"/>
              </w:rPr>
              <w:t xml:space="preserve">    </w:t>
            </w:r>
            <w:r>
              <w:rPr>
                <w:rFonts w:hint="eastAsia"/>
                <w:color w:val="auto"/>
                <w:sz w:val="21"/>
                <w:szCs w:val="21"/>
                <w:highlight w:val="none"/>
                <w:lang w:bidi="ar-SA"/>
              </w:rPr>
              <w:t xml:space="preserve">号：</w:t>
            </w:r>
            <w:r/>
          </w:p>
        </w:tc>
        <w:tc>
          <w:tcPr>
            <w:tcW w:w="4643" w:type="dxa"/>
            <w:textDirection w:val="lrTb"/>
            <w:noWrap w:val="false"/>
          </w:tcPr>
          <w:p>
            <w:pPr>
              <w:spacing w:line="360" w:lineRule="auto"/>
              <w:widowControl/>
              <w:rPr>
                <w:color w:val="auto"/>
                <w:sz w:val="21"/>
                <w:szCs w:val="21"/>
                <w:highlight w:val="none"/>
                <w:lang w:bidi="ar-SA"/>
              </w:rPr>
            </w:pPr>
            <w:r>
              <w:rPr>
                <w:rFonts w:hint="eastAsia"/>
                <w:color w:val="auto"/>
                <w:sz w:val="21"/>
                <w:szCs w:val="21"/>
                <w:highlight w:val="none"/>
                <w:lang w:bidi="ar-SA"/>
              </w:rPr>
              <w:t xml:space="preserve">帐</w:t>
            </w:r>
            <w:r>
              <w:rPr>
                <w:rFonts w:hint="eastAsia"/>
                <w:color w:val="auto"/>
                <w:sz w:val="21"/>
                <w:szCs w:val="21"/>
                <w:highlight w:val="none"/>
                <w:lang w:val="en-US" w:bidi="ar-SA"/>
              </w:rPr>
              <w:t xml:space="preserve">    </w:t>
            </w:r>
            <w:r>
              <w:rPr>
                <w:rFonts w:hint="eastAsia"/>
                <w:color w:val="auto"/>
                <w:sz w:val="21"/>
                <w:szCs w:val="21"/>
                <w:highlight w:val="none"/>
                <w:lang w:bidi="ar-SA"/>
              </w:rPr>
              <w:t xml:space="preserve">号：</w:t>
            </w:r>
            <w:r/>
          </w:p>
        </w:tc>
      </w:tr>
      <w:tr>
        <w:trPr/>
        <w:tc>
          <w:tcPr>
            <w:tcW w:w="4643" w:type="dxa"/>
            <w:textDirection w:val="lrTb"/>
            <w:noWrap w:val="false"/>
          </w:tcPr>
          <w:p>
            <w:pPr>
              <w:spacing w:line="360" w:lineRule="auto"/>
              <w:widowControl/>
              <w:rPr>
                <w:color w:val="auto"/>
                <w:sz w:val="21"/>
                <w:szCs w:val="21"/>
                <w:highlight w:val="none"/>
                <w:lang w:bidi="ar-SA"/>
              </w:rPr>
            </w:pPr>
            <w:r>
              <w:rPr>
                <w:rFonts w:hint="eastAsia"/>
                <w:color w:val="auto"/>
                <w:sz w:val="21"/>
                <w:szCs w:val="20"/>
                <w:highlight w:val="none"/>
                <w:lang w:val="en-US" w:bidi="ar-SA"/>
              </w:rPr>
              <w:br w:type="page" w:clear="all"/>
            </w:r>
            <w:r>
              <w:rPr>
                <w:rFonts w:hint="eastAsia"/>
                <w:color w:val="auto"/>
                <w:sz w:val="21"/>
                <w:szCs w:val="21"/>
                <w:highlight w:val="none"/>
                <w:lang w:bidi="ar-SA"/>
              </w:rPr>
              <w:t xml:space="preserve">日      期：     年    月    日</w:t>
            </w:r>
            <w:r/>
          </w:p>
        </w:tc>
        <w:tc>
          <w:tcPr>
            <w:tcW w:w="4643" w:type="dxa"/>
            <w:textDirection w:val="lrTb"/>
            <w:noWrap w:val="false"/>
          </w:tcPr>
          <w:p>
            <w:pPr>
              <w:spacing w:line="360" w:lineRule="auto"/>
              <w:widowControl/>
              <w:rPr>
                <w:color w:val="auto"/>
                <w:sz w:val="21"/>
                <w:szCs w:val="21"/>
                <w:highlight w:val="none"/>
                <w:lang w:bidi="ar-SA"/>
              </w:rPr>
            </w:pPr>
            <w:r>
              <w:rPr>
                <w:rFonts w:hint="eastAsia"/>
                <w:color w:val="auto"/>
                <w:sz w:val="21"/>
                <w:szCs w:val="21"/>
                <w:highlight w:val="none"/>
                <w:lang w:bidi="ar-SA"/>
              </w:rPr>
              <w:t xml:space="preserve">日      期：     年    月    日</w:t>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p>
            <w:pPr>
              <w:jc w:val="both"/>
              <w:rPr>
                <w:color w:val="auto"/>
                <w:sz w:val="21"/>
                <w:szCs w:val="20"/>
                <w:highlight w:val="none"/>
                <w:lang w:bidi="ar-SA"/>
              </w:rPr>
            </w:pPr>
            <w:r>
              <w:rPr>
                <w:color w:val="auto"/>
                <w:sz w:val="21"/>
                <w:szCs w:val="20"/>
                <w:highlight w:val="none"/>
                <w:lang w:bidi="ar-SA"/>
              </w:rPr>
            </w:r>
            <w:r/>
          </w:p>
          <w:p>
            <w:pPr>
              <w:ind w:left="1260"/>
              <w:jc w:val="both"/>
              <w:rPr>
                <w:color w:val="auto"/>
                <w:sz w:val="21"/>
                <w:highlight w:val="none"/>
                <w:lang w:bidi="ar-SA"/>
              </w:rPr>
            </w:pPr>
            <w:r>
              <w:rPr>
                <w:color w:val="auto"/>
                <w:sz w:val="21"/>
                <w:highlight w:val="none"/>
                <w:lang w:bidi="ar-SA"/>
              </w:rPr>
            </w:r>
            <w:r/>
          </w:p>
        </w:tc>
      </w:tr>
    </w:tbl>
    <w:p>
      <w:pPr>
        <w:ind w:right="85"/>
        <w:jc w:val="both"/>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567" w:gutter="0"/>
          <w:cols w:num="1" w:sep="0" w:space="720" w:equalWidth="1"/>
          <w:docGrid w:linePitch="360"/>
        </w:sectPr>
        <w:outlineLvl w:val="0"/>
      </w:pPr>
      <w:r>
        <w:rPr>
          <w:rFonts w:ascii="黑体" w:eastAsia="黑体"/>
          <w:color w:val="auto"/>
          <w:sz w:val="36"/>
          <w:highlight w:val="none"/>
        </w:rPr>
      </w:r>
      <w:r/>
    </w:p>
    <w:p>
      <w:pPr>
        <w:ind w:right="85"/>
        <w:jc w:val="center"/>
        <w:spacing w:line="360" w:lineRule="auto"/>
        <w:rPr>
          <w:rFonts w:ascii="黑体" w:eastAsia="黑体"/>
          <w:color w:val="auto"/>
          <w:sz w:val="36"/>
          <w:highlight w:val="none"/>
        </w:rPr>
        <w:outlineLvl w:val="0"/>
      </w:pPr>
      <w:r>
        <w:rPr>
          <w:rFonts w:hint="eastAsia" w:ascii="黑体" w:eastAsia="黑体"/>
          <w:color w:val="auto"/>
          <w:sz w:val="36"/>
          <w:highlight w:val="none"/>
        </w:rPr>
        <w:t xml:space="preserve">第六章投标文件格式及附件</w:t>
      </w:r>
      <w:bookmarkEnd w:id="26"/>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b/>
          <w:color w:val="auto"/>
          <w:sz w:val="36"/>
          <w:highlight w:val="none"/>
        </w:rPr>
        <w:t xml:space="preserve">供应商名称：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7" w:name="_Toc489655320"/>
      <w:r>
        <w:rPr>
          <w:rFonts w:hint="eastAsia"/>
          <w:b/>
          <w:bCs/>
          <w:color w:val="auto"/>
          <w:sz w:val="28"/>
          <w:szCs w:val="28"/>
          <w:highlight w:val="none"/>
        </w:rPr>
        <w:t xml:space="preserve">投标文件主要目录</w:t>
      </w:r>
      <w:bookmarkEnd w:id="27"/>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七、技术</w:t>
      </w:r>
      <w:r>
        <w:rPr>
          <w:rFonts w:hint="eastAsia"/>
          <w:color w:val="auto"/>
          <w:sz w:val="28"/>
          <w:szCs w:val="28"/>
          <w:highlight w:val="none"/>
        </w:rPr>
        <w:t xml:space="preserve">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w:t>
      </w:r>
      <w:r>
        <w:rPr>
          <w:rFonts w:hint="eastAsia"/>
          <w:color w:val="auto"/>
          <w:sz w:val="28"/>
          <w:szCs w:val="28"/>
          <w:highlight w:val="none"/>
          <w:lang w:val="en-US"/>
        </w:rPr>
        <w:t xml:space="preserve">供货</w:t>
      </w:r>
      <w:r>
        <w:rPr>
          <w:rFonts w:hint="eastAsia"/>
          <w:color w:val="auto"/>
          <w:sz w:val="28"/>
          <w:szCs w:val="28"/>
          <w:highlight w:val="none"/>
        </w:rPr>
        <w:t xml:space="preserve">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相关承诺</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006"/>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b/>
          <w:color w:val="auto"/>
          <w:sz w:val="36"/>
          <w:highlight w:val="none"/>
        </w:rPr>
      </w:pPr>
      <w:r>
        <w:rPr>
          <w:rFonts w:hint="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江苏省广播电视局</w:t>
      </w:r>
      <w:r/>
    </w:p>
    <w:p>
      <w:pPr>
        <w:ind w:firstLine="420"/>
        <w:spacing w:line="360" w:lineRule="auto"/>
        <w:rPr>
          <w:color w:val="auto"/>
          <w:sz w:val="21"/>
          <w:szCs w:val="21"/>
          <w:highlight w:val="none"/>
        </w:rPr>
      </w:pPr>
      <w:r>
        <w:rPr>
          <w:color w:val="auto"/>
          <w:sz w:val="21"/>
          <w:szCs w:val="21"/>
          <w:highlight w:val="none"/>
        </w:rPr>
        <w:t xml:space="preserve">根据贵方（项目名称）（项目编号）投标邀请，正式授权下述签字人(姓名和职务)代表供应商（供应商名称），提交投标文件。</w:t>
      </w:r>
      <w:r/>
    </w:p>
    <w:p>
      <w:pPr>
        <w:ind w:firstLine="420"/>
        <w:spacing w:line="360" w:lineRule="auto"/>
        <w:rPr>
          <w:color w:val="auto"/>
          <w:sz w:val="21"/>
          <w:szCs w:val="21"/>
          <w:highlight w:val="none"/>
        </w:rPr>
      </w:pPr>
      <w:r>
        <w:rPr>
          <w:color w:val="auto"/>
          <w:sz w:val="21"/>
          <w:szCs w:val="21"/>
          <w:highlight w:val="none"/>
        </w:rPr>
        <w:t xml:space="preserve">据此函，签字人兹宣布声明和承诺如下：</w:t>
      </w:r>
      <w:r/>
    </w:p>
    <w:p>
      <w:pPr>
        <w:ind w:firstLine="420"/>
        <w:spacing w:line="360" w:lineRule="auto"/>
        <w:rPr>
          <w:color w:val="auto"/>
          <w:sz w:val="21"/>
          <w:highlight w:val="none"/>
        </w:rPr>
      </w:pPr>
      <w:r>
        <w:rPr>
          <w:color w:val="auto"/>
          <w:sz w:val="21"/>
          <w:highlight w:val="none"/>
        </w:rPr>
        <w:t xml:space="preserve">1</w:t>
      </w:r>
      <w:r>
        <w:rPr>
          <w:rFonts w:hint="eastAsia"/>
          <w:color w:val="auto"/>
          <w:sz w:val="21"/>
          <w:highlight w:val="none"/>
        </w:rPr>
        <w:t xml:space="preserve">、</w:t>
      </w:r>
      <w:r>
        <w:rPr>
          <w:color w:val="auto"/>
          <w:sz w:val="21"/>
          <w:highlight w:val="none"/>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auto"/>
          <w:sz w:val="21"/>
          <w:highlight w:val="none"/>
        </w:rPr>
      </w:pPr>
      <w:r>
        <w:rPr>
          <w:color w:val="auto"/>
          <w:sz w:val="21"/>
          <w:highlight w:val="none"/>
        </w:rPr>
        <w:t xml:space="preserve">2</w:t>
      </w:r>
      <w:r>
        <w:rPr>
          <w:rFonts w:hint="eastAsia"/>
          <w:color w:val="auto"/>
          <w:sz w:val="21"/>
          <w:highlight w:val="none"/>
        </w:rPr>
        <w:t xml:space="preserve">、</w:t>
      </w:r>
      <w:r>
        <w:rPr>
          <w:color w:val="auto"/>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highlight w:val="none"/>
        </w:rPr>
      </w:pPr>
      <w:r>
        <w:rPr>
          <w:color w:val="auto"/>
          <w:sz w:val="21"/>
          <w:highlight w:val="none"/>
        </w:rPr>
        <w:t xml:space="preserve">3</w:t>
      </w:r>
      <w:r>
        <w:rPr>
          <w:rFonts w:hint="eastAsia"/>
          <w:color w:val="auto"/>
          <w:sz w:val="21"/>
          <w:highlight w:val="none"/>
        </w:rPr>
        <w:t xml:space="preserve">、</w:t>
      </w:r>
      <w:r>
        <w:rPr>
          <w:color w:val="auto"/>
          <w:sz w:val="21"/>
          <w:highlight w:val="none"/>
        </w:rPr>
        <w:t xml:space="preserve">我们同意在本项目招标文件中规定的开标之日起</w:t>
      </w:r>
      <w:r>
        <w:rPr>
          <w:rFonts w:hint="eastAsia"/>
          <w:color w:val="auto"/>
          <w:sz w:val="21"/>
          <w:highlight w:val="none"/>
        </w:rPr>
        <w:t xml:space="preserve">6</w:t>
      </w:r>
      <w:r>
        <w:rPr>
          <w:color w:val="auto"/>
          <w:sz w:val="21"/>
          <w:highlight w:val="none"/>
        </w:rPr>
        <w:t xml:space="preserve">0天内遵守本投标文件中的承诺且在此期限期满之前均具有约束力。</w:t>
      </w:r>
      <w:r/>
    </w:p>
    <w:p>
      <w:pPr>
        <w:ind w:firstLine="420"/>
        <w:spacing w:line="360" w:lineRule="auto"/>
        <w:rPr>
          <w:color w:val="auto"/>
          <w:sz w:val="21"/>
          <w:highlight w:val="none"/>
        </w:rPr>
      </w:pPr>
      <w:r>
        <w:rPr>
          <w:color w:val="auto"/>
          <w:sz w:val="21"/>
          <w:highlight w:val="none"/>
        </w:rPr>
        <w:t xml:space="preserve">4</w:t>
      </w:r>
      <w:r>
        <w:rPr>
          <w:rFonts w:hint="eastAsia"/>
          <w:color w:val="auto"/>
          <w:sz w:val="21"/>
          <w:highlight w:val="none"/>
        </w:rPr>
        <w:t xml:space="preserve">、</w:t>
      </w:r>
      <w:r>
        <w:rPr>
          <w:color w:val="auto"/>
          <w:sz w:val="21"/>
          <w:highlight w:val="none"/>
        </w:rPr>
        <w:t xml:space="preserve">我们愿意向采购代理机构提供任何与本次招标有关的其他资料，并保证已提供和将要提供的文件是真实的、准确的。</w:t>
      </w:r>
      <w:r/>
    </w:p>
    <w:p>
      <w:pPr>
        <w:ind w:firstLine="420"/>
        <w:spacing w:line="360" w:lineRule="auto"/>
        <w:rPr>
          <w:color w:val="auto"/>
          <w:sz w:val="21"/>
          <w:highlight w:val="none"/>
        </w:rPr>
      </w:pPr>
      <w:r>
        <w:rPr>
          <w:color w:val="auto"/>
          <w:sz w:val="21"/>
          <w:highlight w:val="none"/>
        </w:rPr>
        <w:t xml:space="preserve">5</w:t>
      </w:r>
      <w:r>
        <w:rPr>
          <w:rFonts w:hint="eastAsia"/>
          <w:color w:val="auto"/>
          <w:sz w:val="21"/>
          <w:highlight w:val="none"/>
        </w:rPr>
        <w:t xml:space="preserve">、</w:t>
      </w:r>
      <w:r>
        <w:rPr>
          <w:color w:val="auto"/>
          <w:sz w:val="21"/>
          <w:highlight w:val="none"/>
        </w:rPr>
        <w:t xml:space="preserve">我们理解，你们无义务必须接受投标价最低的投标，并有权拒绝所有的投标。</w:t>
      </w:r>
      <w:r/>
    </w:p>
    <w:p>
      <w:pPr>
        <w:ind w:firstLine="420"/>
        <w:spacing w:line="360" w:lineRule="auto"/>
        <w:rPr>
          <w:color w:val="auto"/>
          <w:sz w:val="21"/>
          <w:highlight w:val="none"/>
        </w:rPr>
      </w:pPr>
      <w:r>
        <w:rPr>
          <w:color w:val="auto"/>
          <w:sz w:val="21"/>
          <w:highlight w:val="none"/>
        </w:rPr>
        <w:t xml:space="preserve">6</w:t>
      </w:r>
      <w:r>
        <w:rPr>
          <w:rFonts w:hint="eastAsia"/>
          <w:color w:val="auto"/>
          <w:sz w:val="21"/>
          <w:highlight w:val="none"/>
        </w:rPr>
        <w:t xml:space="preserve">、</w:t>
      </w:r>
      <w:r>
        <w:rPr>
          <w:color w:val="auto"/>
          <w:sz w:val="21"/>
          <w:highlight w:val="none"/>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auto"/>
          <w:sz w:val="21"/>
          <w:szCs w:val="21"/>
          <w:highlight w:val="none"/>
        </w:rPr>
      </w:pPr>
      <w:r>
        <w:rPr>
          <w:color w:val="auto"/>
          <w:sz w:val="21"/>
          <w:highlight w:val="none"/>
        </w:rPr>
        <w:t xml:space="preserve">7</w:t>
      </w:r>
      <w:r>
        <w:rPr>
          <w:rFonts w:hint="eastAsia"/>
          <w:color w:val="auto"/>
          <w:sz w:val="21"/>
          <w:highlight w:val="none"/>
        </w:rPr>
        <w:t xml:space="preserve">、</w:t>
      </w:r>
      <w:r>
        <w:rPr>
          <w:color w:val="auto"/>
          <w:sz w:val="21"/>
          <w:highlight w:val="none"/>
        </w:rPr>
        <w:t xml:space="preserve">其它说明：</w:t>
      </w:r>
      <w:r/>
    </w:p>
    <w:p>
      <w:pPr>
        <w:ind w:firstLine="420"/>
        <w:spacing w:line="360" w:lineRule="auto"/>
        <w:rPr>
          <w:color w:val="auto"/>
          <w:sz w:val="21"/>
          <w:szCs w:val="21"/>
          <w:highlight w:val="none"/>
        </w:rPr>
      </w:pPr>
      <w:r>
        <w:rPr>
          <w:color w:val="auto"/>
          <w:sz w:val="21"/>
          <w:szCs w:val="21"/>
          <w:highlight w:val="none"/>
        </w:rPr>
        <w:t xml:space="preserve">8、与本投标有关的正式联系方式为：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目录二、法定代表人授权书格</w:t>
      </w:r>
      <w:r/>
    </w:p>
    <w:p>
      <w:pPr>
        <w:jc w:val="center"/>
        <w:spacing w:line="360" w:lineRule="auto"/>
        <w:rPr>
          <w:b/>
          <w:color w:val="auto"/>
          <w:sz w:val="36"/>
          <w:highlight w:val="none"/>
        </w:rPr>
      </w:pPr>
      <w:r>
        <w:rPr>
          <w:rFonts w:hint="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江苏省广播电视局</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供应商名称（公章）：</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被授权人：（签字）</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pStyle w:val="1007"/>
        <w:jc w:val="both"/>
        <w:keepLines w:val="0"/>
        <w:keepNext w:val="0"/>
        <w:widowControl/>
        <w:rPr>
          <w:rFonts w:hAnsi="Times New Roman" w:cs="Times New Roman"/>
          <w:b w:val="0"/>
          <w:bCs w:val="0"/>
          <w:color w:val="auto"/>
          <w:sz w:val="21"/>
          <w:szCs w:val="21"/>
          <w:highlight w:val="none"/>
          <w:lang w:bidi="ar-SA"/>
        </w:rPr>
      </w:pPr>
      <w:r>
        <w:rPr>
          <w:rFonts w:hint="eastAsia" w:hAnsi="Times New Roman" w:cs="Times New Roman"/>
          <w:b w:val="0"/>
          <w:bCs w:val="0"/>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pStyle w:val="1007"/>
        <w:keepLines w:val="0"/>
        <w:keepNext w:val="0"/>
        <w:widowControl/>
        <w:rPr>
          <w:color w:val="auto"/>
          <w:sz w:val="21"/>
          <w:highlight w:val="none"/>
        </w:rPr>
      </w:pPr>
      <w:r>
        <w:rPr>
          <w:color w:val="auto"/>
          <w:sz w:val="21"/>
          <w:highlight w:val="none"/>
        </w:rPr>
        <w:t xml:space="preserve">目录三、开标一览表格式</w:t>
      </w:r>
      <w:r/>
    </w:p>
    <w:p>
      <w:pPr>
        <w:pStyle w:val="1007"/>
        <w:jc w:val="center"/>
        <w:keepLines w:val="0"/>
        <w:keepNext w:val="0"/>
        <w:widowControl/>
        <w:rPr>
          <w:color w:val="auto"/>
          <w:highlight w:val="none"/>
        </w:rPr>
      </w:pPr>
      <w:r>
        <w:rPr>
          <w:rStyle w:val="1008"/>
          <w:rFonts w:hint="eastAsia" w:cs="宋体"/>
          <w:b/>
          <w:bCs w:val="0"/>
          <w:color w:val="auto"/>
          <w:sz w:val="36"/>
          <w:szCs w:val="36"/>
          <w:highlight w:val="none"/>
        </w:rPr>
        <w:t xml:space="preserve">开标一览表（总价）</w:t>
      </w:r>
      <w:r/>
    </w:p>
    <w:p>
      <w:pPr>
        <w:pStyle w:val="1010"/>
        <w:rPr>
          <w:color w:val="auto"/>
          <w:sz w:val="21"/>
          <w:szCs w:val="20"/>
          <w:highlight w:val="none"/>
        </w:rPr>
      </w:pPr>
      <w:r>
        <w:rPr>
          <w:rFonts w:hint="eastAsia"/>
          <w:color w:val="auto"/>
          <w:sz w:val="21"/>
          <w:szCs w:val="20"/>
          <w:highlight w:val="none"/>
        </w:rPr>
        <w:t xml:space="preserve">投标人全称（CA公章）：供应商名称 </w:t>
      </w:r>
      <w:r/>
    </w:p>
    <w:p>
      <w:pPr>
        <w:pStyle w:val="1010"/>
        <w:rPr>
          <w:color w:val="auto"/>
          <w:sz w:val="21"/>
          <w:szCs w:val="20"/>
          <w:highlight w:val="none"/>
        </w:rPr>
      </w:pPr>
      <w:r>
        <w:rPr>
          <w:rFonts w:hint="eastAsia"/>
          <w:color w:val="auto"/>
          <w:sz w:val="21"/>
          <w:szCs w:val="20"/>
          <w:highlight w:val="none"/>
        </w:rPr>
        <w:t xml:space="preserve">项目名称：</w:t>
      </w:r>
      <w:r/>
    </w:p>
    <w:p>
      <w:pPr>
        <w:pStyle w:val="1010"/>
        <w:rPr>
          <w:color w:val="auto"/>
          <w:sz w:val="21"/>
          <w:szCs w:val="20"/>
          <w:highlight w:val="none"/>
        </w:rPr>
      </w:pPr>
      <w:r>
        <w:rPr>
          <w:rFonts w:hint="eastAsia"/>
          <w:color w:val="auto"/>
          <w:sz w:val="21"/>
          <w:szCs w:val="20"/>
          <w:highlight w:val="none"/>
        </w:rPr>
        <w:t xml:space="preserve">项目编号：</w:t>
      </w:r>
      <w:r/>
    </w:p>
    <w:p>
      <w:pPr>
        <w:pStyle w:val="1010"/>
        <w:rPr>
          <w:color w:val="auto"/>
          <w:highlight w:val="none"/>
        </w:rPr>
      </w:pPr>
      <w:r>
        <w:rPr>
          <w:rFonts w:hint="eastAsia"/>
          <w:color w:val="auto"/>
          <w:sz w:val="21"/>
          <w:szCs w:val="20"/>
          <w:highlight w:val="none"/>
        </w:rPr>
        <w:t xml:space="preserve">分包号：</w:t>
      </w:r>
      <w:r/>
    </w:p>
    <w:tbl>
      <w:tblPr>
        <w:tblStyle w:val="773"/>
        <w:tblW w:w="4515" w:type="pct"/>
        <w:tblCellSpacing w:w="15" w:type="dxa"/>
        <w:tblInd w:w="-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10"/>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010"/>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010"/>
              <w:rPr>
                <w:color w:val="auto"/>
                <w:sz w:val="21"/>
                <w:szCs w:val="21"/>
                <w:highlight w:val="none"/>
              </w:rPr>
            </w:pPr>
            <w:r>
              <w:rPr>
                <w:rFonts w:hint="eastAsia"/>
                <w:color w:val="auto"/>
                <w:sz w:val="21"/>
                <w:szCs w:val="21"/>
                <w:highlight w:val="none"/>
              </w:rPr>
              <w:t xml:space="preserve"> </w:t>
            </w:r>
            <w:r>
              <w:rPr>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highlight w:val="none"/>
        </w:rPr>
        <w:t xml:space="preserve"> 年</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highlight w:val="none"/>
        </w:rPr>
        <w:t xml:space="preserve"> 月</w:t>
      </w:r>
      <w:r>
        <w:rPr>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b/>
          <w:color w:val="auto"/>
          <w:sz w:val="36"/>
          <w:highlight w:val="none"/>
        </w:rPr>
      </w:pPr>
      <w:r>
        <w:rPr>
          <w:rFonts w:hint="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773"/>
        <w:tblW w:w="10348" w:type="dxa"/>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b/>
          <w:color w:val="auto"/>
          <w:sz w:val="36"/>
          <w:highlight w:val="none"/>
        </w:rPr>
      </w:pPr>
      <w:r>
        <w:rPr>
          <w:b/>
          <w:color w:val="auto"/>
          <w:sz w:val="36"/>
          <w:highlight w:val="none"/>
        </w:rPr>
        <w:t xml:space="preserve">技术条款偏离表</w:t>
      </w:r>
      <w:r/>
    </w:p>
    <w:p>
      <w:pPr>
        <w:jc w:val="center"/>
        <w:spacing w:line="360" w:lineRule="auto"/>
        <w:rPr>
          <w:b/>
          <w:color w:val="auto"/>
          <w:sz w:val="36"/>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77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color w:val="auto"/>
          <w:sz w:val="21"/>
          <w:szCs w:val="21"/>
          <w:highlight w:val="none"/>
        </w:rPr>
        <w:t xml:space="preserve">供应商名称：（盖章）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b/>
          <w:color w:val="auto"/>
          <w:sz w:val="36"/>
          <w:highlight w:val="none"/>
        </w:rPr>
      </w:pPr>
      <w:r>
        <w:rPr>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773"/>
        <w:tblW w:w="10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color w:val="auto"/>
          <w:sz w:val="21"/>
          <w:szCs w:val="21"/>
          <w:highlight w:val="none"/>
        </w:rPr>
        <w:t xml:space="preserve">供应商名称：（盖章）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b/>
          <w:color w:val="auto"/>
          <w:sz w:val="36"/>
          <w:highlight w:val="none"/>
        </w:rPr>
      </w:pPr>
      <w:r>
        <w:rPr>
          <w:rFonts w:hint="eastAsia"/>
          <w:b/>
          <w:color w:val="auto"/>
          <w:sz w:val="36"/>
          <w:highlight w:val="none"/>
        </w:rPr>
        <w:t xml:space="preserve">技术</w:t>
      </w:r>
      <w:r>
        <w:rPr>
          <w:b/>
          <w:color w:val="auto"/>
          <w:sz w:val="36"/>
          <w:highlight w:val="none"/>
        </w:rPr>
        <w:t xml:space="preserve">方案（</w:t>
      </w:r>
      <w:r>
        <w:rPr>
          <w:rFonts w:hint="eastAsia"/>
          <w:b/>
          <w:color w:val="auto"/>
          <w:sz w:val="36"/>
          <w:highlight w:val="none"/>
        </w:rPr>
        <w:t xml:space="preserve">内容自拟</w:t>
      </w:r>
      <w:r>
        <w:rPr>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b/>
          <w:color w:val="auto"/>
          <w:sz w:val="36"/>
          <w:highlight w:val="none"/>
        </w:rPr>
      </w:pPr>
      <w:r>
        <w:rPr>
          <w:rFonts w:hint="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b/>
          <w:color w:val="auto"/>
          <w:sz w:val="36"/>
          <w:highlight w:val="none"/>
        </w:rPr>
        <w:t xml:space="preserve">相关承诺</w:t>
      </w:r>
      <w:r>
        <w:rPr>
          <w:b/>
          <w:color w:val="auto"/>
          <w:sz w:val="36"/>
          <w:highlight w:val="none"/>
        </w:rPr>
        <w:t xml:space="preserve">（若有</w:t>
      </w:r>
      <w:r>
        <w:rPr>
          <w:color w:val="auto"/>
          <w:sz w:val="36"/>
          <w:highlight w:val="none"/>
        </w:rPr>
        <w:t xml:space="preserve">）</w:t>
      </w:r>
      <w:r/>
    </w:p>
    <w:p>
      <w:pPr>
        <w:pStyle w:val="778"/>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b/>
          <w:color w:val="auto"/>
          <w:sz w:val="36"/>
          <w:highlight w:val="none"/>
        </w:rPr>
      </w:pPr>
      <w:r>
        <w:rPr>
          <w:b/>
          <w:color w:val="auto"/>
          <w:sz w:val="36"/>
          <w:highlight w:val="none"/>
        </w:rPr>
        <w:t xml:space="preserve">投标需要的其他证明文件及材料（若有）</w:t>
      </w:r>
      <w:r/>
    </w:p>
    <w:p>
      <w:pPr>
        <w:pStyle w:val="778"/>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黑体" w:hAnsi="黑体" w:eastAsia="黑体" w:cs="Times New Roman"/>
          <w:b/>
          <w:color w:val="auto"/>
          <w:sz w:val="24"/>
          <w:szCs w:val="24"/>
          <w:highlight w:val="none"/>
        </w:rPr>
      </w:pPr>
      <w:r>
        <w:rPr>
          <w:rFonts w:hint="eastAsia" w:ascii="黑体" w:hAnsi="黑体" w:eastAsia="黑体" w:cs="Times New Roman"/>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w:t>
      </w:r>
      <w:r>
        <w:rPr>
          <w:rFonts w:hint="eastAsia"/>
          <w:color w:val="auto"/>
          <w:sz w:val="21"/>
          <w:szCs w:val="21"/>
          <w:highlight w:val="none"/>
          <w:u w:val="single"/>
          <w:lang w:val="en-US"/>
        </w:rPr>
        <w:t xml:space="preserve">制造业</w:t>
      </w:r>
      <w:r>
        <w:rPr>
          <w:rFonts w:hint="eastAsia"/>
          <w:color w:val="auto"/>
          <w:sz w:val="21"/>
          <w:szCs w:val="21"/>
          <w:highlight w:val="none"/>
        </w:rPr>
        <w:t xml:space="preserve">）行业；制造商为（企业名称），从业人员人，营业收入为万元，资产总额为万元，属于（中型企业、小型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w:t>
      </w:r>
      <w:r>
        <w:rPr>
          <w:rFonts w:hint="eastAsia"/>
          <w:color w:val="auto"/>
          <w:sz w:val="21"/>
          <w:szCs w:val="21"/>
          <w:highlight w:val="none"/>
          <w:u w:val="single"/>
          <w:lang w:val="en-US"/>
        </w:rPr>
        <w:t xml:space="preserve">制造业</w:t>
      </w:r>
      <w:r>
        <w:rPr>
          <w:rFonts w:hint="eastAsia"/>
          <w:color w:val="auto"/>
          <w:sz w:val="21"/>
          <w:szCs w:val="21"/>
          <w:highlight w:val="none"/>
        </w:rPr>
        <w:t xml:space="preserve">）行业；制造商为（企业名称），从业人员人，营业收入为万元，资产总额为万元，属于（中型企业、小型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注：</w:t>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pStyle w:val="781"/>
        <w:ind w:left="1320"/>
        <w:rPr>
          <w:color w:val="auto"/>
          <w:highlight w:val="none"/>
        </w:rPr>
      </w:pPr>
      <w:r>
        <w:rPr>
          <w:color w:val="auto"/>
          <w:highlight w:val="none"/>
        </w:rPr>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江苏省广播电视局</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江苏省广播电视局</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8" w:name="残疾人福利性单位声明函"/>
      <w:r/>
      <w:bookmarkEnd w:id="28"/>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29" w:name="附件五、属于监狱企业的证明文件"/>
      <w:r/>
      <w:bookmarkEnd w:id="29"/>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30" w:name="OLE_LINK31"/>
      <w:r/>
      <w:r/>
    </w:p>
    <w:p>
      <w:pPr>
        <w:spacing w:line="360" w:lineRule="auto"/>
        <w:rPr>
          <w:b/>
          <w:color w:val="auto"/>
          <w:sz w:val="21"/>
          <w:highlight w:val="none"/>
        </w:rPr>
      </w:pPr>
      <w:r>
        <w:rPr>
          <w:b/>
          <w:color w:val="auto"/>
          <w:sz w:val="21"/>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rPr>
          <w:color w:val="auto"/>
          <w:highlight w:val="none"/>
        </w:rPr>
      </w:pPr>
      <w:r>
        <w:rPr>
          <w:color w:val="auto"/>
          <w:highlight w:val="none"/>
        </w:rPr>
      </w:r>
      <w:r/>
    </w:p>
    <w:p>
      <w:pPr>
        <w:pStyle w:val="781"/>
        <w:ind w:left="1320"/>
        <w:rPr>
          <w:color w:val="auto"/>
          <w:highlight w:val="none"/>
        </w:rPr>
      </w:pPr>
      <w:r>
        <w:rPr>
          <w:color w:val="auto"/>
          <w:highlight w:val="none"/>
        </w:rPr>
      </w:r>
      <w:r/>
    </w:p>
    <w:p>
      <w:pPr>
        <w:pStyle w:val="781"/>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附件六、关于符合本国产品标准的声明函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799"/>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本公司（单位）郑重声明，根据《国务院办公厅关于在政府采购中实施本国产品标准及相关政策的通知》（国办发〔</w:t>
      </w:r>
      <w:r>
        <w:rPr>
          <w:rFonts w:hint="eastAsia"/>
          <w:color w:val="auto"/>
          <w:highlight w:val="none"/>
          <w:shd w:val="clear" w:color="auto" w:fill="ffffff"/>
        </w:rPr>
        <w:t xml:space="preserve">2025</w:t>
      </w:r>
      <w:r>
        <w:rPr>
          <w:rFonts w:hint="eastAsia" w:cs="微软雅黑"/>
          <w:color w:val="auto"/>
          <w:highlight w:val="none"/>
          <w:shd w:val="clear" w:color="auto" w:fill="ffffff"/>
        </w:rPr>
        <w:t xml:space="preserve">〕</w:t>
      </w:r>
      <w:r>
        <w:rPr>
          <w:rFonts w:hint="eastAsia"/>
          <w:color w:val="auto"/>
          <w:highlight w:val="none"/>
          <w:shd w:val="clear" w:color="auto" w:fill="ffffff"/>
        </w:rPr>
        <w:t xml:space="preserve">34</w:t>
      </w:r>
      <w:r>
        <w:rPr>
          <w:rFonts w:hint="eastAsia" w:cs="微软雅黑"/>
          <w:color w:val="auto"/>
          <w:highlight w:val="none"/>
          <w:shd w:val="clear" w:color="auto" w:fill="ffffff"/>
        </w:rPr>
        <w:t xml:space="preserve">号）的规定，本公司（单位）提供的以下产品属于本国产品。具体情况如下：</w:t>
      </w:r>
      <w:r/>
    </w:p>
    <w:p>
      <w:pPr>
        <w:pStyle w:val="799"/>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806"/>
          <w:rFonts w:hint="eastAsia" w:cs="微软雅黑"/>
          <w:color w:val="auto"/>
          <w:highlight w:val="none"/>
          <w:u w:val="single"/>
          <w:shd w:val="clear" w:color="auto" w:fill="ffffff"/>
        </w:rPr>
        <w:t xml:space="preserve">（产品名称</w:t>
      </w:r>
      <w:r>
        <w:rPr>
          <w:rStyle w:val="806"/>
          <w:rFonts w:hint="eastAsia"/>
          <w:color w:val="auto"/>
          <w:highlight w:val="none"/>
          <w:u w:val="single"/>
          <w:shd w:val="clear" w:color="auto" w:fill="ffffff"/>
        </w:rPr>
        <w:t xml:space="preserve">1</w:t>
      </w:r>
      <w:r>
        <w:rPr>
          <w:rStyle w:val="806"/>
          <w:rFonts w:hint="eastAsia" w:cs="微软雅黑"/>
          <w:color w:val="auto"/>
          <w:highlight w:val="none"/>
          <w:u w:val="single"/>
          <w:shd w:val="clear" w:color="auto" w:fill="ffffff"/>
        </w:rPr>
        <w:t xml:space="preserve">）</w:t>
      </w:r>
      <w:r>
        <w:rPr>
          <w:rStyle w:val="806"/>
          <w:rFonts w:hint="eastAsia"/>
          <w:color w:val="auto"/>
          <w:highlight w:val="none"/>
          <w:shd w:val="clear" w:color="auto" w:fill="ffffff"/>
          <w:vertAlign w:val="superscript"/>
        </w:rPr>
        <w:t xml:space="preserve">1</w:t>
      </w:r>
      <w:r>
        <w:rPr>
          <w:rFonts w:hint="eastAsia" w:cs="微软雅黑"/>
          <w:color w:val="auto"/>
          <w:highlight w:val="none"/>
          <w:shd w:val="clear" w:color="auto" w:fill="ffffff"/>
        </w:rPr>
        <w:t xml:space="preserve">，</w:t>
      </w:r>
      <w:r>
        <w:rPr>
          <w:rFonts w:hint="eastAsia" w:cs="微软雅黑"/>
          <w:color w:val="auto"/>
          <w:highlight w:val="none"/>
          <w:u w:val="single"/>
          <w:shd w:val="clear" w:color="auto" w:fill="ffffff"/>
        </w:rPr>
        <w:t xml:space="preserve">生产厂为</w:t>
      </w:r>
      <w:r>
        <w:rPr>
          <w:rStyle w:val="806"/>
          <w:rFonts w:hint="eastAsia" w:cs="微软雅黑"/>
          <w:color w:val="auto"/>
          <w:highlight w:val="none"/>
          <w:u w:val="single"/>
          <w:shd w:val="clear" w:color="auto" w:fill="ffffff"/>
        </w:rPr>
        <w:t xml:space="preserve">（厂名）</w:t>
      </w:r>
      <w:r>
        <w:rPr>
          <w:rStyle w:val="806"/>
          <w:rFonts w:hint="eastAsia"/>
          <w:color w:val="auto"/>
          <w:highlight w:val="none"/>
          <w:shd w:val="clear" w:color="auto" w:fill="ffffff"/>
          <w:vertAlign w:val="superscript"/>
        </w:rPr>
        <w:t xml:space="preserve">2</w:t>
      </w:r>
      <w:r>
        <w:rPr>
          <w:rFonts w:hint="eastAsia" w:cs="微软雅黑"/>
          <w:color w:val="auto"/>
          <w:highlight w:val="none"/>
          <w:shd w:val="clear" w:color="auto" w:fill="ffffff"/>
        </w:rPr>
        <w:t xml:space="preserve">，厂址为</w:t>
      </w:r>
      <w:r>
        <w:rPr>
          <w:rStyle w:val="80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1</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（规定比例）</w:t>
      </w:r>
      <w:r>
        <w:rPr>
          <w:rStyle w:val="806"/>
          <w:rFonts w:hint="eastAsia"/>
          <w:color w:val="auto"/>
          <w:highlight w:val="none"/>
          <w:shd w:val="clear" w:color="auto" w:fill="ffffff"/>
          <w:vertAlign w:val="superscript"/>
        </w:rPr>
        <w:t xml:space="preserve">3</w:t>
      </w:r>
      <w:r>
        <w:rPr>
          <w:rFonts w:hint="eastAsia" w:cs="微软雅黑"/>
          <w:strike/>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1</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06"/>
          <w:rFonts w:hint="eastAsia" w:cs="微软雅黑"/>
          <w:strike/>
          <w:color w:val="auto"/>
          <w:highlight w:val="none"/>
          <w:u w:val="single"/>
          <w:shd w:val="clear" w:color="auto" w:fill="ffffff"/>
        </w:rPr>
        <w:t xml:space="preserve">（关键组件）</w:t>
      </w:r>
      <w:r>
        <w:rPr>
          <w:rStyle w:val="806"/>
          <w:rFonts w:hint="eastAsia"/>
          <w:color w:val="auto"/>
          <w:highlight w:val="none"/>
          <w:shd w:val="clear" w:color="auto" w:fill="ffffff"/>
          <w:vertAlign w:val="superscript"/>
        </w:rPr>
        <w:t xml:space="preserve">4</w:t>
      </w:r>
      <w:r>
        <w:rPr>
          <w:rFonts w:hint="eastAsia" w:cs="微软雅黑"/>
          <w:strike/>
          <w:color w:val="auto"/>
          <w:highlight w:val="none"/>
          <w:shd w:val="clear" w:color="auto" w:fill="ffffff"/>
        </w:rPr>
        <w:t xml:space="preserve">在中国境内生产。</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1</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06"/>
          <w:rFonts w:hint="eastAsia" w:cs="微软雅黑"/>
          <w:strike/>
          <w:color w:val="auto"/>
          <w:highlight w:val="none"/>
          <w:u w:val="single"/>
          <w:shd w:val="clear" w:color="auto" w:fill="ffffff"/>
        </w:rPr>
        <w:t xml:space="preserve">（关键工序）</w:t>
      </w:r>
      <w:r>
        <w:rPr>
          <w:rStyle w:val="806"/>
          <w:rFonts w:hint="eastAsia"/>
          <w:color w:val="auto"/>
          <w:highlight w:val="none"/>
          <w:shd w:val="clear" w:color="auto" w:fill="ffffff"/>
          <w:vertAlign w:val="superscript"/>
        </w:rPr>
        <w:t xml:space="preserve">5</w:t>
      </w:r>
      <w:r>
        <w:rPr>
          <w:rFonts w:hint="eastAsia" w:cs="微软雅黑"/>
          <w:strike/>
          <w:color w:val="auto"/>
          <w:highlight w:val="none"/>
          <w:shd w:val="clear" w:color="auto" w:fill="ffffff"/>
        </w:rPr>
        <w:t xml:space="preserve">在中国境内完成。</w:t>
      </w:r>
      <w:r/>
    </w:p>
    <w:p>
      <w:pPr>
        <w:pStyle w:val="799"/>
        <w:ind w:firstLine="420"/>
        <w:spacing w:before="24" w:beforeAutospacing="0" w:after="24" w:afterAutospacing="0" w:line="360" w:lineRule="auto"/>
        <w:shd w:val="clear" w:color="auto" w:fill="ffffff"/>
        <w:rPr>
          <w:strike/>
          <w:color w:val="auto"/>
          <w:highlight w:val="none"/>
        </w:rPr>
      </w:pPr>
      <w:r>
        <w:rPr>
          <w:rFonts w:hint="eastAsia"/>
          <w:color w:val="auto"/>
          <w:highlight w:val="none"/>
          <w:shd w:val="clear" w:color="auto" w:fill="ffffff"/>
        </w:rPr>
        <w:t xml:space="preserve">2.</w:t>
      </w:r>
      <w:r>
        <w:rPr>
          <w:rStyle w:val="806"/>
          <w:rFonts w:hint="eastAsia" w:cs="微软雅黑"/>
          <w:color w:val="auto"/>
          <w:highlight w:val="none"/>
          <w:u w:val="single"/>
          <w:shd w:val="clear" w:color="auto" w:fill="ffffff"/>
        </w:rPr>
        <w:t xml:space="preserve">（产品名称</w:t>
      </w:r>
      <w:r>
        <w:rPr>
          <w:rStyle w:val="806"/>
          <w:rFonts w:hint="eastAsia"/>
          <w:color w:val="auto"/>
          <w:highlight w:val="none"/>
          <w:u w:val="single"/>
          <w:shd w:val="clear" w:color="auto" w:fill="ffffff"/>
        </w:rPr>
        <w:t xml:space="preserve">2</w:t>
      </w:r>
      <w:r>
        <w:rPr>
          <w:rStyle w:val="806"/>
          <w:rFonts w:hint="eastAsia" w:cs="微软雅黑"/>
          <w:color w:val="auto"/>
          <w:highlight w:val="none"/>
          <w:u w:val="single"/>
          <w:shd w:val="clear" w:color="auto" w:fill="ffffff"/>
        </w:rPr>
        <w:t xml:space="preserve">）</w:t>
      </w:r>
      <w:r>
        <w:rPr>
          <w:rFonts w:hint="eastAsia" w:cs="微软雅黑"/>
          <w:color w:val="auto"/>
          <w:highlight w:val="none"/>
          <w:shd w:val="clear" w:color="auto" w:fill="ffffff"/>
        </w:rPr>
        <w:t xml:space="preserve">，生产厂为</w:t>
      </w:r>
      <w:r>
        <w:rPr>
          <w:rStyle w:val="806"/>
          <w:rFonts w:hint="eastAsia" w:cs="微软雅黑"/>
          <w:color w:val="auto"/>
          <w:highlight w:val="none"/>
          <w:u w:val="single"/>
          <w:shd w:val="clear" w:color="auto" w:fill="ffffff"/>
        </w:rPr>
        <w:t xml:space="preserve">（厂名）</w:t>
      </w:r>
      <w:r>
        <w:rPr>
          <w:rFonts w:hint="eastAsia" w:cs="微软雅黑"/>
          <w:color w:val="auto"/>
          <w:highlight w:val="none"/>
          <w:shd w:val="clear" w:color="auto" w:fill="ffffff"/>
        </w:rPr>
        <w:t xml:space="preserve">，厂址为</w:t>
      </w:r>
      <w:r>
        <w:rPr>
          <w:rStyle w:val="806"/>
          <w:rFonts w:hint="eastAsia" w:cs="微软雅黑"/>
          <w:color w:val="auto"/>
          <w:highlight w:val="none"/>
          <w:u w:val="single"/>
          <w:shd w:val="clear" w:color="auto" w:fill="ffffff"/>
        </w:rPr>
        <w:t xml:space="preserve">（生产厂址）</w:t>
      </w:r>
      <w:r>
        <w:rPr>
          <w:rFonts w:hint="eastAsia" w:cs="微软雅黑"/>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2</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的中国境内生产的组件成本占比</w:t>
      </w:r>
      <w:r>
        <w:rPr>
          <w:strike/>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（规定比例）</w:t>
      </w:r>
      <w:r>
        <w:rPr>
          <w:rFonts w:hint="eastAsia" w:cs="微软雅黑"/>
          <w:strike/>
          <w:color w:val="auto"/>
          <w:highlight w:val="none"/>
          <w:shd w:val="clear" w:color="auto" w:fill="ffffff"/>
        </w:rPr>
        <w:t xml:space="preserve">。</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2</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06"/>
          <w:rFonts w:hint="eastAsia" w:cs="微软雅黑"/>
          <w:strike/>
          <w:color w:val="auto"/>
          <w:highlight w:val="none"/>
          <w:u w:val="single"/>
          <w:shd w:val="clear" w:color="auto" w:fill="ffffff"/>
        </w:rPr>
        <w:t xml:space="preserve">（关键组件）</w:t>
      </w:r>
      <w:r>
        <w:rPr>
          <w:rFonts w:hint="eastAsia" w:cs="微软雅黑"/>
          <w:strike/>
          <w:color w:val="auto"/>
          <w:highlight w:val="none"/>
          <w:shd w:val="clear" w:color="auto" w:fill="ffffff"/>
        </w:rPr>
        <w:t xml:space="preserve">在中国境内生产。</w:t>
      </w:r>
      <w:r>
        <w:rPr>
          <w:rStyle w:val="806"/>
          <w:rFonts w:hint="eastAsia" w:cs="微软雅黑"/>
          <w:strike/>
          <w:color w:val="auto"/>
          <w:highlight w:val="none"/>
          <w:u w:val="single"/>
          <w:shd w:val="clear" w:color="auto" w:fill="ffffff"/>
        </w:rPr>
        <w:t xml:space="preserve">（产品名称</w:t>
      </w:r>
      <w:r>
        <w:rPr>
          <w:rStyle w:val="806"/>
          <w:rFonts w:hint="eastAsia"/>
          <w:strike/>
          <w:color w:val="auto"/>
          <w:highlight w:val="none"/>
          <w:u w:val="single"/>
          <w:shd w:val="clear" w:color="auto" w:fill="ffffff"/>
        </w:rPr>
        <w:t xml:space="preserve">2</w:t>
      </w:r>
      <w:r>
        <w:rPr>
          <w:rStyle w:val="806"/>
          <w:rFonts w:hint="eastAsia" w:cs="微软雅黑"/>
          <w:strike/>
          <w:color w:val="auto"/>
          <w:highlight w:val="none"/>
          <w:u w:val="single"/>
          <w:shd w:val="clear" w:color="auto" w:fill="ffffff"/>
        </w:rPr>
        <w:t xml:space="preserve">）</w:t>
      </w:r>
      <w:r>
        <w:rPr>
          <w:rFonts w:hint="eastAsia" w:cs="微软雅黑"/>
          <w:strike/>
          <w:color w:val="auto"/>
          <w:highlight w:val="none"/>
          <w:shd w:val="clear" w:color="auto" w:fill="ffffff"/>
        </w:rPr>
        <w:t xml:space="preserve">的</w:t>
      </w:r>
      <w:r>
        <w:rPr>
          <w:rStyle w:val="806"/>
          <w:rFonts w:hint="eastAsia" w:cs="微软雅黑"/>
          <w:strike/>
          <w:color w:val="auto"/>
          <w:highlight w:val="none"/>
          <w:u w:val="single"/>
          <w:shd w:val="clear" w:color="auto" w:fill="ffffff"/>
        </w:rPr>
        <w:t xml:space="preserve">（关键工序）</w:t>
      </w:r>
      <w:r>
        <w:rPr>
          <w:rFonts w:hint="eastAsia" w:cs="微软雅黑"/>
          <w:strike/>
          <w:color w:val="auto"/>
          <w:highlight w:val="none"/>
          <w:shd w:val="clear" w:color="auto" w:fill="ffffff"/>
        </w:rPr>
        <w:t xml:space="preserve">在中国境内完成。</w:t>
      </w:r>
      <w:r/>
    </w:p>
    <w:p>
      <w:pPr>
        <w:pStyle w:val="799"/>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799"/>
        <w:ind w:firstLine="420"/>
        <w:spacing w:before="24" w:beforeAutospacing="0" w:after="24" w:afterAutospacing="0" w:line="360" w:lineRule="auto"/>
        <w:shd w:val="clear" w:color="auto" w:fill="ffffff"/>
        <w:rPr>
          <w:color w:val="auto"/>
          <w:highlight w:val="none"/>
          <w:shd w:val="clear" w:color="auto" w:fill="ffffff"/>
        </w:rPr>
      </w:pPr>
      <w:r>
        <w:rPr>
          <w:rFonts w:hint="eastAsia" w:cs="微软雅黑"/>
          <w:color w:val="auto"/>
          <w:highlight w:val="none"/>
          <w:shd w:val="clear" w:color="auto" w:fill="ffffff"/>
        </w:rPr>
        <w:t xml:space="preserve">本采购包中提供的符合本国产品标准的产品成本之和占该采购包提供的全部产品成本之和的比例为</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s="微软雅黑"/>
          <w:color w:val="auto"/>
          <w:highlight w:val="none"/>
          <w:shd w:val="clear" w:color="auto" w:fill="ffffff"/>
        </w:rPr>
        <w:t xml:space="preserve">。</w:t>
      </w:r>
      <w:r/>
    </w:p>
    <w:p>
      <w:pPr>
        <w:pStyle w:val="799"/>
        <w:ind w:firstLine="420"/>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本公司（单位）对上述声明内容的真实性负责。如有虚假，愿承担相应法律责任。</w:t>
      </w:r>
      <w:r/>
    </w:p>
    <w:p>
      <w:pPr>
        <w:pStyle w:val="799"/>
        <w:jc w:val="right"/>
        <w:spacing w:before="24" w:beforeAutospacing="0" w:after="24" w:afterAutospacing="0" w:line="360" w:lineRule="auto"/>
        <w:shd w:val="clear" w:color="auto" w:fill="ffffff"/>
        <w:rPr>
          <w:color w:val="auto"/>
          <w:highlight w:val="none"/>
        </w:rPr>
      </w:pPr>
      <w:r>
        <w:rPr>
          <w:rFonts w:hint="eastAsia" w:cs="微软雅黑"/>
          <w:color w:val="auto"/>
          <w:highlight w:val="none"/>
          <w:shd w:val="clear" w:color="auto" w:fill="ffffff"/>
        </w:rPr>
        <w:t xml:space="preserve">公司（单位）名称（盖章）：　</w:t>
      </w:r>
      <w:r>
        <w:rPr>
          <w:rFonts w:hint="eastAsia"/>
          <w:color w:val="auto"/>
          <w:highlight w:val="none"/>
          <w:shd w:val="clear" w:color="auto" w:fill="ffffff"/>
        </w:rPr>
        <w:t xml:space="preserve">        </w:t>
      </w:r>
      <w:r/>
    </w:p>
    <w:p>
      <w:pPr>
        <w:pStyle w:val="799"/>
        <w:jc w:val="right"/>
        <w:spacing w:before="24" w:beforeAutospacing="0" w:after="24" w:afterAutospacing="0" w:line="360" w:lineRule="auto"/>
        <w:shd w:val="clear" w:color="auto" w:fill="ffffff"/>
        <w:rPr>
          <w:color w:val="auto"/>
          <w:sz w:val="28"/>
          <w:szCs w:val="28"/>
          <w:highlight w:val="none"/>
        </w:rPr>
      </w:pPr>
      <w:r>
        <w:rPr>
          <w:rFonts w:hint="eastAsia" w:cs="微软雅黑"/>
          <w:color w:val="auto"/>
          <w:highlight w:val="none"/>
          <w:shd w:val="clear" w:color="auto" w:fill="ffffff"/>
        </w:rPr>
        <w:t xml:space="preserve">日期：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年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月　</w:t>
      </w:r>
      <w:r>
        <w:rPr>
          <w:rFonts w:hint="eastAsia"/>
          <w:color w:val="auto"/>
          <w:highlight w:val="none"/>
          <w:shd w:val="clear" w:color="auto" w:fill="ffffff"/>
        </w:rPr>
        <w:t xml:space="preserve">  </w:t>
      </w:r>
      <w:r>
        <w:rPr>
          <w:rFonts w:hint="eastAsia" w:cs="微软雅黑"/>
          <w:color w:val="auto"/>
          <w:highlight w:val="none"/>
          <w:shd w:val="clear" w:color="auto" w:fill="ffffff"/>
        </w:rPr>
        <w:t xml:space="preserve">日</w:t>
      </w:r>
      <w:r>
        <w:rPr>
          <w:rFonts w:hint="eastAsia"/>
          <w:color w:val="auto"/>
          <w:highlight w:val="none"/>
          <w:shd w:val="clear" w:color="auto" w:fill="ffffff"/>
        </w:rPr>
        <w:t xml:space="preserve">    </w:t>
      </w:r>
      <w:r>
        <w:rPr>
          <w:rFonts w:hint="eastAsia"/>
          <w:color w:val="auto"/>
          <w:sz w:val="28"/>
          <w:szCs w:val="28"/>
          <w:highlight w:val="none"/>
          <w:shd w:val="clear" w:color="auto" w:fill="ffffff"/>
        </w:rPr>
        <w:t xml:space="preserve">     </w:t>
      </w:r>
      <w:r/>
    </w:p>
    <w:p>
      <w:pPr>
        <w:pStyle w:val="799"/>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799"/>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Fonts w:hint="eastAsia" w:cs="微软雅黑"/>
          <w:color w:val="auto"/>
          <w:sz w:val="21"/>
          <w:szCs w:val="21"/>
          <w:highlight w:val="none"/>
          <w:shd w:val="clear" w:color="auto" w:fill="ffffff"/>
        </w:rPr>
        <w:t xml:space="preserve">产品如有型号，请在</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产品名称</w:t>
      </w:r>
      <w:r>
        <w:rPr>
          <w:color w:val="auto"/>
          <w:sz w:val="21"/>
          <w:szCs w:val="21"/>
          <w:highlight w:val="none"/>
          <w:shd w:val="clear" w:color="auto" w:fill="ffffff"/>
        </w:rPr>
        <w:t xml:space="preserve">”</w:t>
      </w:r>
      <w:r>
        <w:rPr>
          <w:rFonts w:hint="eastAsia" w:cs="微软雅黑"/>
          <w:color w:val="auto"/>
          <w:sz w:val="21"/>
          <w:szCs w:val="21"/>
          <w:highlight w:val="none"/>
          <w:shd w:val="clear" w:color="auto" w:fill="ffffff"/>
        </w:rPr>
        <w:t xml:space="preserve">栏一并填写。</w:t>
      </w:r>
      <w:r/>
    </w:p>
    <w:p>
      <w:pPr>
        <w:pStyle w:val="799"/>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Fonts w:hint="eastAsia" w:cs="微软雅黑"/>
          <w:color w:val="auto"/>
          <w:sz w:val="21"/>
          <w:szCs w:val="21"/>
          <w:highlight w:val="none"/>
          <w:shd w:val="clear" w:color="auto" w:fill="ffffff"/>
        </w:rPr>
        <w:t xml:space="preserve">生产厂名与厂址应与生产厂营业执照载明的相关信息保持一致。</w:t>
      </w:r>
      <w:r/>
    </w:p>
    <w:p>
      <w:pPr>
        <w:pStyle w:val="799"/>
        <w:ind w:firstLine="420"/>
        <w:spacing w:before="24" w:beforeAutospacing="0" w:after="24" w:afterAutospacing="0" w:line="360" w:lineRule="auto"/>
        <w:shd w:val="clear" w:color="auto" w:fill="ffffff"/>
        <w:rPr>
          <w:b/>
          <w:bCs/>
          <w:color w:val="auto"/>
          <w:sz w:val="21"/>
          <w:szCs w:val="21"/>
          <w:highlight w:val="none"/>
        </w:rPr>
      </w:pPr>
      <w:r>
        <w:rPr>
          <w:rFonts w:hint="eastAsia"/>
          <w:b/>
          <w:bCs/>
          <w:color w:val="auto"/>
          <w:sz w:val="21"/>
          <w:szCs w:val="21"/>
          <w:highlight w:val="none"/>
          <w:shd w:val="clear" w:color="auto" w:fill="ffffff"/>
        </w:rPr>
        <w:t xml:space="preserve">3.</w:t>
      </w:r>
      <w:r>
        <w:rPr>
          <w:rFonts w:hint="eastAsia" w:cs="微软雅黑"/>
          <w:b/>
          <w:bCs/>
          <w:color w:val="auto"/>
          <w:sz w:val="21"/>
          <w:szCs w:val="21"/>
          <w:highlight w:val="none"/>
          <w:shd w:val="clear" w:color="auto" w:fill="ffffff"/>
        </w:rPr>
        <w:t xml:space="preserve">该产品的中国境内生产的组件成本占比相关要求实施前，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规定比例</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99"/>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4.</w:t>
      </w:r>
      <w:r>
        <w:rPr>
          <w:rFonts w:hint="eastAsia" w:cs="微软雅黑"/>
          <w:b/>
          <w:bCs/>
          <w:color w:val="auto"/>
          <w:sz w:val="21"/>
          <w:szCs w:val="21"/>
          <w:highlight w:val="none"/>
          <w:shd w:val="clear" w:color="auto" w:fill="ffffff"/>
        </w:rPr>
        <w:t xml:space="preserve">该产品的关键组件要求实施前，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关键组件</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99"/>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b/>
          <w:bCs/>
          <w:color w:val="auto"/>
          <w:sz w:val="21"/>
          <w:szCs w:val="21"/>
          <w:highlight w:val="none"/>
          <w:shd w:val="clear" w:color="auto" w:fill="ffffff"/>
        </w:rPr>
        <w:t xml:space="preserve">5.</w:t>
      </w:r>
      <w:r>
        <w:rPr>
          <w:rFonts w:hint="eastAsia" w:cs="微软雅黑"/>
          <w:b/>
          <w:bCs/>
          <w:color w:val="auto"/>
          <w:sz w:val="21"/>
          <w:szCs w:val="21"/>
          <w:highlight w:val="none"/>
          <w:shd w:val="clear" w:color="auto" w:fill="ffffff"/>
        </w:rPr>
        <w:t xml:space="preserve">该产品的关键工序要求实施前，</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关键工序</w:t>
      </w:r>
      <w:r>
        <w:rPr>
          <w:b/>
          <w:bCs/>
          <w:color w:val="auto"/>
          <w:sz w:val="21"/>
          <w:szCs w:val="21"/>
          <w:highlight w:val="none"/>
          <w:shd w:val="clear" w:color="auto" w:fill="ffffff"/>
        </w:rPr>
        <w:t xml:space="preserve">”</w:t>
      </w:r>
      <w:r>
        <w:rPr>
          <w:rFonts w:hint="eastAsia" w:cs="微软雅黑"/>
          <w:b/>
          <w:bCs/>
          <w:color w:val="auto"/>
          <w:sz w:val="21"/>
          <w:szCs w:val="21"/>
          <w:highlight w:val="none"/>
          <w:shd w:val="clear" w:color="auto" w:fill="ffffff"/>
        </w:rPr>
        <w:t xml:space="preserve">栏可不填。</w:t>
      </w:r>
      <w:r/>
    </w:p>
    <w:p>
      <w:pPr>
        <w:pStyle w:val="799"/>
        <w:ind w:firstLine="420"/>
        <w:spacing w:before="24" w:beforeAutospacing="0" w:after="24"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6.</w:t>
      </w:r>
      <w:r>
        <w:rPr>
          <w:rFonts w:hint="eastAsia" w:cs="微软雅黑"/>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auto"/>
          <w:sz w:val="21"/>
          <w:szCs w:val="21"/>
          <w:highlight w:val="none"/>
          <w:shd w:val="clear" w:color="auto" w:fill="ffffff"/>
        </w:rPr>
        <w:t xml:space="preserve">20%</w:t>
      </w:r>
      <w:r>
        <w:rPr>
          <w:rFonts w:hint="eastAsia" w:cs="微软雅黑"/>
          <w:color w:val="auto"/>
          <w:sz w:val="21"/>
          <w:szCs w:val="21"/>
          <w:highlight w:val="none"/>
          <w:shd w:val="clear" w:color="auto" w:fill="ffffff"/>
        </w:rPr>
        <w:t xml:space="preserve">的价格扣除，用扣除后的价格参与评审。供应商未填写比例数值，或比例数值未达到</w:t>
      </w:r>
      <w:r>
        <w:rPr>
          <w:rFonts w:hint="eastAsia"/>
          <w:color w:val="auto"/>
          <w:sz w:val="21"/>
          <w:szCs w:val="21"/>
          <w:highlight w:val="none"/>
          <w:shd w:val="clear" w:color="auto" w:fill="ffffff"/>
        </w:rPr>
        <w:t xml:space="preserve">80%</w:t>
      </w:r>
      <w:r>
        <w:rPr>
          <w:rFonts w:hint="eastAsia" w:cs="微软雅黑"/>
          <w:color w:val="auto"/>
          <w:sz w:val="21"/>
          <w:szCs w:val="21"/>
          <w:highlight w:val="none"/>
          <w:shd w:val="clear" w:color="auto" w:fill="ffffff"/>
        </w:rPr>
        <w:t xml:space="preserve">的，将不享受本国产品价格评审优惠。</w:t>
      </w:r>
      <w:bookmarkEnd w:id="30"/>
      <w:r/>
      <w:r/>
    </w:p>
    <w:p>
      <w:pPr>
        <w:pStyle w:val="1002"/>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47</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47</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47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47</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47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47</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220" cy="236220"/>
              <wp:effectExtent l="0" t="0" r="0" b="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922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uiPriority w:val="1"/>
    <w:qFormat/>
    <w:pPr>
      <w:widowControl w:val="off"/>
    </w:pPr>
    <w:rPr>
      <w:rFonts w:ascii="宋体" w:hAnsi="宋体" w:eastAsia="宋体" w:cs="宋体"/>
      <w:sz w:val="22"/>
      <w:szCs w:val="22"/>
      <w:lang w:val="zh-CN" w:eastAsia="zh-CN" w:bidi="zh-CN"/>
    </w:rPr>
  </w:style>
  <w:style w:type="paragraph" w:styleId="763">
    <w:name w:val="Heading 1"/>
    <w:basedOn w:val="762"/>
    <w:next w:val="762"/>
    <w:link w:val="847"/>
    <w:uiPriority w:val="1"/>
    <w:qFormat/>
    <w:pPr>
      <w:ind w:right="35"/>
      <w:jc w:val="center"/>
      <w:outlineLvl w:val="0"/>
    </w:pPr>
    <w:rPr>
      <w:b/>
      <w:bCs/>
      <w:sz w:val="72"/>
      <w:szCs w:val="72"/>
    </w:rPr>
  </w:style>
  <w:style w:type="paragraph" w:styleId="764">
    <w:name w:val="Heading 2"/>
    <w:basedOn w:val="762"/>
    <w:next w:val="762"/>
    <w:link w:val="1014"/>
    <w:uiPriority w:val="1"/>
    <w:qFormat/>
    <w:pPr>
      <w:ind w:left="218"/>
      <w:outlineLvl w:val="1"/>
    </w:pPr>
    <w:rPr>
      <w:b/>
      <w:bCs/>
      <w:sz w:val="32"/>
      <w:szCs w:val="32"/>
    </w:rPr>
  </w:style>
  <w:style w:type="paragraph" w:styleId="765">
    <w:name w:val="Heading 3"/>
    <w:basedOn w:val="762"/>
    <w:next w:val="762"/>
    <w:link w:val="849"/>
    <w:uiPriority w:val="1"/>
    <w:qFormat/>
    <w:pPr>
      <w:ind w:left="218"/>
      <w:outlineLvl w:val="2"/>
    </w:pPr>
    <w:rPr>
      <w:sz w:val="28"/>
      <w:szCs w:val="28"/>
    </w:rPr>
  </w:style>
  <w:style w:type="paragraph" w:styleId="766">
    <w:name w:val="Heading 4"/>
    <w:basedOn w:val="762"/>
    <w:next w:val="762"/>
    <w:link w:val="850"/>
    <w:uiPriority w:val="1"/>
    <w:qFormat/>
    <w:pPr>
      <w:ind w:left="218"/>
      <w:outlineLvl w:val="3"/>
    </w:pPr>
    <w:rPr>
      <w:sz w:val="24"/>
      <w:szCs w:val="24"/>
    </w:rPr>
  </w:style>
  <w:style w:type="paragraph" w:styleId="767">
    <w:name w:val="Heading 5"/>
    <w:basedOn w:val="762"/>
    <w:next w:val="762"/>
    <w:link w:val="851"/>
    <w:uiPriority w:val="9"/>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52"/>
    <w:uiPriority w:val="9"/>
    <w:qFormat/>
    <w:pPr>
      <w:keepLines/>
      <w:keepNext/>
      <w:spacing w:before="320" w:after="200"/>
      <w:outlineLvl w:val="5"/>
    </w:pPr>
    <w:rPr>
      <w:rFonts w:ascii="Arial" w:hAnsi="Arial" w:eastAsia="Arial" w:cs="Arial"/>
      <w:b/>
      <w:bCs/>
    </w:rPr>
  </w:style>
  <w:style w:type="paragraph" w:styleId="769">
    <w:name w:val="Heading 7"/>
    <w:basedOn w:val="762"/>
    <w:next w:val="762"/>
    <w:link w:val="853"/>
    <w:uiPriority w:val="9"/>
    <w:qFormat/>
    <w:pPr>
      <w:keepLines/>
      <w:keepNext/>
      <w:spacing w:before="320" w:after="200"/>
      <w:outlineLvl w:val="6"/>
    </w:pPr>
    <w:rPr>
      <w:rFonts w:ascii="Arial" w:hAnsi="Arial" w:eastAsia="Arial" w:cs="Arial"/>
      <w:b/>
      <w:bCs/>
      <w:i/>
      <w:iCs/>
    </w:rPr>
  </w:style>
  <w:style w:type="paragraph" w:styleId="770">
    <w:name w:val="Heading 8"/>
    <w:basedOn w:val="762"/>
    <w:next w:val="762"/>
    <w:link w:val="854"/>
    <w:uiPriority w:val="9"/>
    <w:qFormat/>
    <w:pPr>
      <w:keepLines/>
      <w:keepNext/>
      <w:spacing w:before="320" w:after="200"/>
      <w:outlineLvl w:val="7"/>
    </w:pPr>
    <w:rPr>
      <w:rFonts w:ascii="Arial" w:hAnsi="Arial" w:eastAsia="Arial" w:cs="Arial"/>
      <w:i/>
      <w:iCs/>
    </w:rPr>
  </w:style>
  <w:style w:type="paragraph" w:styleId="771">
    <w:name w:val="Heading 9"/>
    <w:basedOn w:val="762"/>
    <w:next w:val="762"/>
    <w:link w:val="855"/>
    <w:uiPriority w:val="9"/>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uiPriority w:val="0"/>
    <w:qFormat/>
    <w:pPr>
      <w:ind w:firstLine="420"/>
      <w:spacing w:line="360" w:lineRule="auto"/>
    </w:pPr>
    <w:rPr>
      <w:rFonts w:ascii="Times New Roman" w:hAnsi="Times New Roman"/>
      <w:sz w:val="24"/>
      <w:szCs w:val="21"/>
    </w:rPr>
  </w:style>
  <w:style w:type="paragraph" w:styleId="776">
    <w:name w:val="Caption"/>
    <w:basedOn w:val="762"/>
    <w:next w:val="762"/>
    <w:uiPriority w:val="35"/>
    <w:qFormat/>
    <w:pPr>
      <w:spacing w:line="276" w:lineRule="auto"/>
    </w:pPr>
    <w:rPr>
      <w:b/>
      <w:bCs/>
      <w:color w:val="4f81bd"/>
      <w:sz w:val="18"/>
      <w:szCs w:val="18"/>
    </w:rPr>
  </w:style>
  <w:style w:type="paragraph" w:styleId="777">
    <w:name w:val="annotation text"/>
    <w:basedOn w:val="762"/>
    <w:link w:val="856"/>
    <w:uiPriority w:val="0"/>
    <w:qFormat/>
  </w:style>
  <w:style w:type="paragraph" w:styleId="778">
    <w:name w:val="Body Text"/>
    <w:basedOn w:val="762"/>
    <w:next w:val="762"/>
    <w:uiPriority w:val="1"/>
    <w:qFormat/>
    <w:rPr>
      <w:sz w:val="21"/>
      <w:szCs w:val="21"/>
    </w:rPr>
  </w:style>
  <w:style w:type="paragraph" w:styleId="779">
    <w:name w:val="Body Text Indent"/>
    <w:basedOn w:val="762"/>
    <w:uiPriority w:val="0"/>
    <w:qFormat/>
    <w:pPr>
      <w:ind w:firstLine="301"/>
      <w:spacing w:line="200" w:lineRule="exact"/>
    </w:pPr>
    <w:rPr>
      <w:rFonts w:hAnsi="Courier New"/>
      <w:spacing w:val="-4"/>
      <w:sz w:val="18"/>
      <w:szCs w:val="20"/>
    </w:rPr>
  </w:style>
  <w:style w:type="paragraph" w:styleId="780">
    <w:name w:val="Block Text"/>
    <w:basedOn w:val="762"/>
    <w:uiPriority w:val="99"/>
    <w:unhideWhenUsed/>
    <w:qFormat/>
    <w:pPr>
      <w:ind w:left="1440" w:right="1440"/>
      <w:spacing w:after="120"/>
    </w:pPr>
  </w:style>
  <w:style w:type="paragraph" w:styleId="781">
    <w:name w:val="index 4"/>
    <w:basedOn w:val="762"/>
    <w:next w:val="762"/>
    <w:uiPriority w:val="0"/>
    <w:unhideWhenUsed/>
    <w:qFormat/>
    <w:pPr>
      <w:ind w:left="600"/>
    </w:pPr>
    <w:rPr>
      <w:b/>
      <w:position w:val="-10"/>
      <w:sz w:val="24"/>
      <w:szCs w:val="20"/>
    </w:rPr>
  </w:style>
  <w:style w:type="paragraph" w:styleId="782">
    <w:name w:val="toc 5"/>
    <w:basedOn w:val="762"/>
    <w:next w:val="762"/>
    <w:uiPriority w:val="39"/>
    <w:unhideWhenUsed/>
    <w:qFormat/>
    <w:pPr>
      <w:ind w:left="1134"/>
      <w:spacing w:after="57"/>
    </w:pPr>
  </w:style>
  <w:style w:type="paragraph" w:styleId="783">
    <w:name w:val="toc 3"/>
    <w:basedOn w:val="762"/>
    <w:next w:val="762"/>
    <w:uiPriority w:val="39"/>
    <w:unhideWhenUsed/>
    <w:qFormat/>
    <w:pPr>
      <w:ind w:left="567"/>
      <w:spacing w:after="57"/>
    </w:pPr>
  </w:style>
  <w:style w:type="paragraph" w:styleId="784">
    <w:name w:val="Plain Text"/>
    <w:basedOn w:val="762"/>
    <w:link w:val="857"/>
    <w:uiPriority w:val="0"/>
    <w:unhideWhenUsed/>
    <w:qFormat/>
    <w:rPr>
      <w:rFonts w:hAnsi="Courier New"/>
    </w:rPr>
  </w:style>
  <w:style w:type="paragraph" w:styleId="785">
    <w:name w:val="toc 8"/>
    <w:basedOn w:val="762"/>
    <w:next w:val="762"/>
    <w:uiPriority w:val="39"/>
    <w:unhideWhenUsed/>
    <w:qFormat/>
    <w:pPr>
      <w:ind w:left="1984"/>
      <w:spacing w:after="57"/>
    </w:pPr>
  </w:style>
  <w:style w:type="paragraph" w:styleId="786">
    <w:name w:val="Date"/>
    <w:basedOn w:val="762"/>
    <w:next w:val="762"/>
    <w:uiPriority w:val="0"/>
    <w:qFormat/>
    <w:pPr>
      <w:ind w:left="100"/>
    </w:pPr>
    <w:rPr>
      <w:rFonts w:ascii="Times New Roman" w:hAnsi="Times New Roman" w:cs="Times New Roman"/>
      <w:sz w:val="28"/>
    </w:rPr>
  </w:style>
  <w:style w:type="paragraph" w:styleId="787">
    <w:name w:val="endnote text"/>
    <w:basedOn w:val="762"/>
    <w:link w:val="858"/>
    <w:uiPriority w:val="99"/>
    <w:unhideWhenUsed/>
    <w:qFormat/>
    <w:rPr>
      <w:sz w:val="20"/>
    </w:rPr>
  </w:style>
  <w:style w:type="paragraph" w:styleId="788">
    <w:name w:val="Balloon Text"/>
    <w:basedOn w:val="762"/>
    <w:link w:val="859"/>
    <w:uiPriority w:val="0"/>
    <w:qFormat/>
    <w:rPr>
      <w:sz w:val="18"/>
      <w:szCs w:val="18"/>
    </w:rPr>
  </w:style>
  <w:style w:type="paragraph" w:styleId="789">
    <w:name w:val="Footer"/>
    <w:basedOn w:val="762"/>
    <w:link w:val="860"/>
    <w:uiPriority w:val="0"/>
    <w:qFormat/>
    <w:pPr>
      <w:tabs>
        <w:tab w:val="center" w:pos="4153" w:leader="none"/>
        <w:tab w:val="right" w:pos="8306" w:leader="none"/>
      </w:tabs>
    </w:pPr>
    <w:rPr>
      <w:sz w:val="18"/>
    </w:rPr>
  </w:style>
  <w:style w:type="paragraph" w:styleId="790">
    <w:name w:val="Header"/>
    <w:basedOn w:val="762"/>
    <w:link w:val="86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1">
    <w:name w:val="toc 1"/>
    <w:basedOn w:val="762"/>
    <w:next w:val="762"/>
    <w:uiPriority w:val="0"/>
    <w:qFormat/>
  </w:style>
  <w:style w:type="paragraph" w:styleId="792">
    <w:name w:val="toc 4"/>
    <w:basedOn w:val="762"/>
    <w:next w:val="762"/>
    <w:uiPriority w:val="39"/>
    <w:unhideWhenUsed/>
    <w:qFormat/>
    <w:pPr>
      <w:ind w:left="850"/>
      <w:spacing w:after="57"/>
    </w:pPr>
  </w:style>
  <w:style w:type="paragraph" w:styleId="793">
    <w:name w:val="Subtitle"/>
    <w:basedOn w:val="762"/>
    <w:next w:val="762"/>
    <w:link w:val="862"/>
    <w:uiPriority w:val="11"/>
    <w:qFormat/>
    <w:pPr>
      <w:spacing w:before="200" w:after="200"/>
    </w:pPr>
    <w:rPr>
      <w:sz w:val="24"/>
      <w:szCs w:val="24"/>
    </w:rPr>
  </w:style>
  <w:style w:type="paragraph" w:styleId="794">
    <w:name w:val="footnote text"/>
    <w:basedOn w:val="762"/>
    <w:link w:val="863"/>
    <w:uiPriority w:val="99"/>
    <w:unhideWhenUsed/>
    <w:qFormat/>
    <w:pPr>
      <w:spacing w:after="40"/>
    </w:pPr>
    <w:rPr>
      <w:sz w:val="18"/>
    </w:rPr>
  </w:style>
  <w:style w:type="paragraph" w:styleId="795">
    <w:name w:val="toc 6"/>
    <w:basedOn w:val="762"/>
    <w:next w:val="762"/>
    <w:uiPriority w:val="39"/>
    <w:unhideWhenUsed/>
    <w:qFormat/>
    <w:pPr>
      <w:ind w:left="1417"/>
      <w:spacing w:after="57"/>
    </w:pPr>
  </w:style>
  <w:style w:type="paragraph" w:styleId="796">
    <w:name w:val="table of figures"/>
    <w:basedOn w:val="762"/>
    <w:next w:val="762"/>
    <w:uiPriority w:val="99"/>
    <w:unhideWhenUsed/>
    <w:qFormat/>
  </w:style>
  <w:style w:type="paragraph" w:styleId="797">
    <w:name w:val="toc 2"/>
    <w:basedOn w:val="762"/>
    <w:next w:val="762"/>
    <w:uiPriority w:val="39"/>
    <w:unhideWhenUsed/>
    <w:qFormat/>
    <w:pPr>
      <w:ind w:left="283"/>
      <w:spacing w:after="57"/>
    </w:pPr>
  </w:style>
  <w:style w:type="paragraph" w:styleId="798">
    <w:name w:val="toc 9"/>
    <w:basedOn w:val="762"/>
    <w:next w:val="762"/>
    <w:uiPriority w:val="39"/>
    <w:unhideWhenUsed/>
    <w:qFormat/>
    <w:pPr>
      <w:ind w:left="2268"/>
      <w:spacing w:after="57"/>
    </w:pPr>
  </w:style>
  <w:style w:type="paragraph" w:styleId="799">
    <w:name w:val="Normal (Web)"/>
    <w:basedOn w:val="762"/>
    <w:uiPriority w:val="0"/>
    <w:qFormat/>
    <w:pPr>
      <w:spacing w:before="100" w:beforeAutospacing="1" w:after="100" w:afterAutospacing="1"/>
      <w:widowControl/>
    </w:pPr>
    <w:rPr>
      <w:sz w:val="24"/>
      <w:szCs w:val="24"/>
    </w:rPr>
  </w:style>
  <w:style w:type="paragraph" w:styleId="800">
    <w:name w:val="Title"/>
    <w:basedOn w:val="762"/>
    <w:next w:val="762"/>
    <w:link w:val="864"/>
    <w:uiPriority w:val="10"/>
    <w:qFormat/>
    <w:pPr>
      <w:contextualSpacing/>
      <w:spacing w:before="300" w:after="200"/>
    </w:pPr>
    <w:rPr>
      <w:sz w:val="48"/>
      <w:szCs w:val="48"/>
    </w:rPr>
  </w:style>
  <w:style w:type="paragraph" w:styleId="801">
    <w:name w:val="annotation subject"/>
    <w:basedOn w:val="777"/>
    <w:next w:val="777"/>
    <w:link w:val="865"/>
    <w:uiPriority w:val="0"/>
    <w:qFormat/>
    <w:rPr>
      <w:b/>
      <w:bCs/>
    </w:rPr>
  </w:style>
  <w:style w:type="paragraph" w:styleId="802">
    <w:name w:val="Body Text First Indent 2"/>
    <w:basedOn w:val="779"/>
    <w:uiPriority w:val="0"/>
    <w:unhideWhenUsed/>
    <w:qFormat/>
    <w:pPr>
      <w:ind w:left="420" w:firstLine="420"/>
      <w:spacing w:after="120" w:line="360" w:lineRule="auto"/>
    </w:pPr>
    <w:rPr>
      <w:sz w:val="24"/>
    </w:rPr>
  </w:style>
  <w:style w:type="table" w:styleId="803">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rPr>
  </w:style>
  <w:style w:type="character" w:styleId="805">
    <w:name w:val="endnote reference"/>
    <w:uiPriority w:val="99"/>
    <w:unhideWhenUsed/>
    <w:qFormat/>
    <w:rPr>
      <w:vertAlign w:val="superscript"/>
    </w:rPr>
  </w:style>
  <w:style w:type="character" w:styleId="806">
    <w:name w:val="Emphasis"/>
    <w:uiPriority w:val="0"/>
    <w:qFormat/>
    <w:rPr>
      <w:i/>
    </w:rPr>
  </w:style>
  <w:style w:type="character" w:styleId="807">
    <w:name w:val="Hyperlink"/>
    <w:uiPriority w:val="0"/>
    <w:unhideWhenUsed/>
    <w:qFormat/>
    <w:rPr>
      <w:color w:val="0000ff"/>
      <w:u w:val="single"/>
    </w:rPr>
  </w:style>
  <w:style w:type="character" w:styleId="808">
    <w:name w:val="annotation reference"/>
    <w:uiPriority w:val="0"/>
    <w:qFormat/>
    <w:rPr>
      <w:sz w:val="21"/>
      <w:szCs w:val="21"/>
    </w:rPr>
  </w:style>
  <w:style w:type="character" w:styleId="809">
    <w:name w:val="footnote reference"/>
    <w:uiPriority w:val="99"/>
    <w:unhideWhenUsed/>
    <w:qFormat/>
    <w:rPr>
      <w:vertAlign w:val="superscript"/>
    </w:rPr>
  </w:style>
  <w:style w:type="character" w:styleId="810" w:customStyle="1">
    <w:name w:val="Heading 1 Char"/>
    <w:basedOn w:val="772"/>
    <w:uiPriority w:val="9"/>
    <w:qFormat/>
    <w:rPr>
      <w:rFonts w:ascii="Arial" w:hAnsi="Arial" w:eastAsia="Arial" w:cs="Arial"/>
      <w:sz w:val="40"/>
      <w:szCs w:val="40"/>
    </w:rPr>
  </w:style>
  <w:style w:type="character" w:styleId="811" w:customStyle="1">
    <w:name w:val="Heading 2 Char"/>
    <w:basedOn w:val="772"/>
    <w:uiPriority w:val="9"/>
    <w:qFormat/>
    <w:rPr>
      <w:rFonts w:ascii="Arial" w:hAnsi="Arial" w:eastAsia="Arial" w:cs="Arial"/>
      <w:sz w:val="34"/>
    </w:rPr>
  </w:style>
  <w:style w:type="character" w:styleId="812" w:customStyle="1">
    <w:name w:val="Heading 3 Char"/>
    <w:basedOn w:val="772"/>
    <w:uiPriority w:val="9"/>
    <w:qFormat/>
    <w:rPr>
      <w:rFonts w:ascii="Arial" w:hAnsi="Arial" w:eastAsia="Arial" w:cs="Arial"/>
      <w:sz w:val="30"/>
      <w:szCs w:val="30"/>
    </w:rPr>
  </w:style>
  <w:style w:type="character" w:styleId="813" w:customStyle="1">
    <w:name w:val="Heading 4 Char"/>
    <w:basedOn w:val="772"/>
    <w:uiPriority w:val="9"/>
    <w:qFormat/>
    <w:rPr>
      <w:rFonts w:ascii="Arial" w:hAnsi="Arial" w:eastAsia="Arial" w:cs="Arial"/>
      <w:b/>
      <w:bCs/>
      <w:sz w:val="26"/>
      <w:szCs w:val="26"/>
    </w:rPr>
  </w:style>
  <w:style w:type="character" w:styleId="814" w:customStyle="1">
    <w:name w:val="Heading 5 Char"/>
    <w:basedOn w:val="772"/>
    <w:uiPriority w:val="9"/>
    <w:qFormat/>
    <w:rPr>
      <w:rFonts w:ascii="Arial" w:hAnsi="Arial" w:eastAsia="Arial" w:cs="Arial"/>
      <w:b/>
      <w:bCs/>
      <w:sz w:val="24"/>
      <w:szCs w:val="24"/>
    </w:rPr>
  </w:style>
  <w:style w:type="character" w:styleId="815" w:customStyle="1">
    <w:name w:val="Heading 6 Char"/>
    <w:basedOn w:val="772"/>
    <w:uiPriority w:val="9"/>
    <w:qFormat/>
    <w:rPr>
      <w:rFonts w:ascii="Arial" w:hAnsi="Arial" w:eastAsia="Arial" w:cs="Arial"/>
      <w:b/>
      <w:bCs/>
      <w:sz w:val="22"/>
      <w:szCs w:val="22"/>
    </w:rPr>
  </w:style>
  <w:style w:type="character" w:styleId="816" w:customStyle="1">
    <w:name w:val="Heading 7 Char"/>
    <w:basedOn w:val="772"/>
    <w:uiPriority w:val="9"/>
    <w:qFormat/>
    <w:rPr>
      <w:rFonts w:ascii="Arial" w:hAnsi="Arial" w:eastAsia="Arial" w:cs="Arial"/>
      <w:b/>
      <w:bCs/>
      <w:i/>
      <w:iCs/>
      <w:sz w:val="22"/>
      <w:szCs w:val="22"/>
    </w:rPr>
  </w:style>
  <w:style w:type="character" w:styleId="817" w:customStyle="1">
    <w:name w:val="Heading 8 Char"/>
    <w:basedOn w:val="772"/>
    <w:uiPriority w:val="9"/>
    <w:qFormat/>
    <w:rPr>
      <w:rFonts w:ascii="Arial" w:hAnsi="Arial" w:eastAsia="Arial" w:cs="Arial"/>
      <w:i/>
      <w:iCs/>
      <w:sz w:val="22"/>
      <w:szCs w:val="22"/>
    </w:rPr>
  </w:style>
  <w:style w:type="character" w:styleId="818" w:customStyle="1">
    <w:name w:val="Heading 9 Char"/>
    <w:basedOn w:val="772"/>
    <w:uiPriority w:val="9"/>
    <w:qFormat/>
    <w:rPr>
      <w:rFonts w:ascii="Arial" w:hAnsi="Arial" w:eastAsia="Arial" w:cs="Arial"/>
      <w:i/>
      <w:iCs/>
      <w:sz w:val="21"/>
      <w:szCs w:val="21"/>
    </w:rPr>
  </w:style>
  <w:style w:type="character" w:styleId="819" w:customStyle="1">
    <w:name w:val="Title Char"/>
    <w:basedOn w:val="772"/>
    <w:uiPriority w:val="10"/>
    <w:qFormat/>
    <w:rPr>
      <w:sz w:val="48"/>
      <w:szCs w:val="48"/>
    </w:rPr>
  </w:style>
  <w:style w:type="character" w:styleId="820" w:customStyle="1">
    <w:name w:val="Subtitle Char"/>
    <w:basedOn w:val="772"/>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72"/>
    <w:uiPriority w:val="99"/>
    <w:qFormat/>
  </w:style>
  <w:style w:type="character" w:styleId="824" w:customStyle="1">
    <w:name w:val="Caption Char"/>
    <w:uiPriority w:val="99"/>
    <w:qFormat/>
  </w:style>
  <w:style w:type="table" w:styleId="825" w:customStyle="1">
    <w:name w:val="无格式表格 11"/>
    <w:basedOn w:val="77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7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7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7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7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网格表 1 浅色1"/>
    <w:basedOn w:val="77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1" w:customStyle="1">
    <w:name w:val="网格表 21"/>
    <w:basedOn w:val="77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网格表 31"/>
    <w:basedOn w:val="77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网格表 41"/>
    <w:basedOn w:val="77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网格表 5 深色1"/>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6 彩色1"/>
    <w:basedOn w:val="77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cbcbcb" w:fill="cbcbcb"/>
      </w:tcPr>
    </w:tblStylePr>
    <w:tblStylePr w:type="band1Vert">
      <w:tcPr>
        <w:shd w:val="clear" w:color="cbcbcb" w:fill="cbcbcb"/>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836" w:customStyle="1">
    <w:name w:val="网格表 7 彩色1"/>
    <w:basedOn w:val="77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000000"/>
        <w:sz w:val="22"/>
      </w:rPr>
      <w:tcPr>
        <w:shd w:val="clear" w:color="f2f2f2" w:fill="f2f2f2"/>
      </w:tcPr>
    </w:tblStylePr>
    <w:tblStylePr w:type="band1Vert">
      <w:tcPr>
        <w:shd w:val="clear" w:color="f2f2f2" w:fill="f2f2f2"/>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清单表 1 浅色1"/>
    <w:basedOn w:val="77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清单表 21"/>
    <w:basedOn w:val="77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839" w:customStyle="1">
    <w:name w:val="清单表 31"/>
    <w:basedOn w:val="77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0" w:customStyle="1">
    <w:name w:val="清单表 41"/>
    <w:basedOn w:val="77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清单表 5 深色1"/>
    <w:basedOn w:val="77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842" w:customStyle="1">
    <w:name w:val="清单表 6 彩色1"/>
    <w:basedOn w:val="77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清单表 7 彩色1"/>
    <w:basedOn w:val="773"/>
    <w:uiPriority w:val="99"/>
    <w:qFormat/>
    <w:tblPr>
      <w:tblBorders>
        <w:right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character" w:styleId="847" w:customStyle="1">
    <w:name w:val="标题 1 字符"/>
    <w:link w:val="763"/>
    <w:uiPriority w:val="9"/>
    <w:qFormat/>
    <w:rPr>
      <w:rFonts w:ascii="Arial" w:hAnsi="Arial" w:eastAsia="Arial" w:cs="Arial"/>
      <w:sz w:val="40"/>
      <w:szCs w:val="40"/>
    </w:rPr>
  </w:style>
  <w:style w:type="character" w:styleId="848" w:customStyle="1">
    <w:name w:val="标题 2 字符"/>
    <w:uiPriority w:val="9"/>
    <w:qFormat/>
    <w:rPr>
      <w:rFonts w:ascii="Arial" w:hAnsi="Arial" w:eastAsia="Arial" w:cs="Arial"/>
      <w:sz w:val="34"/>
    </w:rPr>
  </w:style>
  <w:style w:type="character" w:styleId="849" w:customStyle="1">
    <w:name w:val="标题 3 字符"/>
    <w:link w:val="765"/>
    <w:uiPriority w:val="9"/>
    <w:qFormat/>
    <w:rPr>
      <w:rFonts w:ascii="Arial" w:hAnsi="Arial" w:eastAsia="Arial" w:cs="Arial"/>
      <w:sz w:val="30"/>
      <w:szCs w:val="30"/>
    </w:rPr>
  </w:style>
  <w:style w:type="character" w:styleId="850" w:customStyle="1">
    <w:name w:val="标题 4 字符"/>
    <w:link w:val="766"/>
    <w:uiPriority w:val="9"/>
    <w:qFormat/>
    <w:rPr>
      <w:rFonts w:ascii="Arial" w:hAnsi="Arial" w:eastAsia="Arial" w:cs="Arial"/>
      <w:b/>
      <w:bCs/>
      <w:sz w:val="26"/>
      <w:szCs w:val="26"/>
    </w:rPr>
  </w:style>
  <w:style w:type="character" w:styleId="851" w:customStyle="1">
    <w:name w:val="标题 5 字符"/>
    <w:link w:val="767"/>
    <w:uiPriority w:val="9"/>
    <w:qFormat/>
    <w:rPr>
      <w:rFonts w:ascii="Arial" w:hAnsi="Arial" w:eastAsia="Arial" w:cs="Arial"/>
      <w:b/>
      <w:bCs/>
      <w:sz w:val="24"/>
      <w:szCs w:val="24"/>
    </w:rPr>
  </w:style>
  <w:style w:type="character" w:styleId="852" w:customStyle="1">
    <w:name w:val="标题 6 字符"/>
    <w:link w:val="768"/>
    <w:uiPriority w:val="9"/>
    <w:qFormat/>
    <w:rPr>
      <w:rFonts w:ascii="Arial" w:hAnsi="Arial" w:eastAsia="Arial" w:cs="Arial"/>
      <w:b/>
      <w:bCs/>
      <w:sz w:val="22"/>
      <w:szCs w:val="22"/>
    </w:rPr>
  </w:style>
  <w:style w:type="character" w:styleId="853" w:customStyle="1">
    <w:name w:val="标题 7 字符"/>
    <w:link w:val="769"/>
    <w:uiPriority w:val="9"/>
    <w:qFormat/>
    <w:rPr>
      <w:rFonts w:ascii="Arial" w:hAnsi="Arial" w:eastAsia="Arial" w:cs="Arial"/>
      <w:b/>
      <w:bCs/>
      <w:i/>
      <w:iCs/>
      <w:sz w:val="22"/>
      <w:szCs w:val="22"/>
    </w:rPr>
  </w:style>
  <w:style w:type="character" w:styleId="854" w:customStyle="1">
    <w:name w:val="标题 8 字符"/>
    <w:link w:val="770"/>
    <w:uiPriority w:val="9"/>
    <w:qFormat/>
    <w:rPr>
      <w:rFonts w:ascii="Arial" w:hAnsi="Arial" w:eastAsia="Arial" w:cs="Arial"/>
      <w:i/>
      <w:iCs/>
      <w:sz w:val="22"/>
      <w:szCs w:val="22"/>
    </w:rPr>
  </w:style>
  <w:style w:type="character" w:styleId="855" w:customStyle="1">
    <w:name w:val="标题 9 字符"/>
    <w:link w:val="771"/>
    <w:uiPriority w:val="9"/>
    <w:qFormat/>
    <w:rPr>
      <w:rFonts w:ascii="Arial" w:hAnsi="Arial" w:eastAsia="Arial" w:cs="Arial"/>
      <w:i/>
      <w:iCs/>
      <w:sz w:val="21"/>
      <w:szCs w:val="21"/>
    </w:rPr>
  </w:style>
  <w:style w:type="character" w:styleId="856" w:customStyle="1">
    <w:name w:val="批注文字 字符"/>
    <w:link w:val="777"/>
    <w:uiPriority w:val="0"/>
    <w:qFormat/>
    <w:rPr>
      <w:rFonts w:ascii="宋体" w:hAnsi="宋体" w:cs="宋体"/>
      <w:sz w:val="22"/>
      <w:szCs w:val="22"/>
      <w:lang w:val="zh-CN" w:bidi="zh-CN"/>
    </w:rPr>
  </w:style>
  <w:style w:type="character" w:styleId="857" w:customStyle="1">
    <w:name w:val="纯文本 字符"/>
    <w:link w:val="784"/>
    <w:uiPriority w:val="99"/>
    <w:qFormat/>
    <w:rPr>
      <w:rFonts w:ascii="宋体" w:hAnsi="Courier New" w:cs="宋体"/>
      <w:sz w:val="22"/>
      <w:szCs w:val="22"/>
      <w:lang w:val="zh-CN" w:bidi="zh-CN"/>
    </w:rPr>
  </w:style>
  <w:style w:type="character" w:styleId="858" w:customStyle="1">
    <w:name w:val="尾注文本 字符"/>
    <w:link w:val="787"/>
    <w:uiPriority w:val="99"/>
    <w:qFormat/>
    <w:rPr>
      <w:sz w:val="20"/>
    </w:rPr>
  </w:style>
  <w:style w:type="character" w:styleId="859" w:customStyle="1">
    <w:name w:val="批注框文本 字符"/>
    <w:link w:val="788"/>
    <w:uiPriority w:val="0"/>
    <w:qFormat/>
    <w:rPr>
      <w:rFonts w:ascii="宋体" w:hAnsi="宋体" w:cs="宋体"/>
      <w:sz w:val="18"/>
      <w:szCs w:val="18"/>
      <w:lang w:val="zh-CN" w:bidi="zh-CN"/>
    </w:rPr>
  </w:style>
  <w:style w:type="character" w:styleId="860" w:customStyle="1">
    <w:name w:val="页脚 字符"/>
    <w:link w:val="789"/>
    <w:uiPriority w:val="99"/>
    <w:qFormat/>
  </w:style>
  <w:style w:type="character" w:styleId="861" w:customStyle="1">
    <w:name w:val="页眉 字符"/>
    <w:link w:val="790"/>
    <w:uiPriority w:val="99"/>
    <w:qFormat/>
  </w:style>
  <w:style w:type="character" w:styleId="862" w:customStyle="1">
    <w:name w:val="副标题 字符"/>
    <w:link w:val="793"/>
    <w:uiPriority w:val="11"/>
    <w:qFormat/>
    <w:rPr>
      <w:sz w:val="24"/>
      <w:szCs w:val="24"/>
    </w:rPr>
  </w:style>
  <w:style w:type="character" w:styleId="863" w:customStyle="1">
    <w:name w:val="脚注文本 字符"/>
    <w:link w:val="794"/>
    <w:uiPriority w:val="99"/>
    <w:qFormat/>
    <w:rPr>
      <w:sz w:val="18"/>
    </w:rPr>
  </w:style>
  <w:style w:type="character" w:styleId="864" w:customStyle="1">
    <w:name w:val="标题 字符"/>
    <w:link w:val="800"/>
    <w:uiPriority w:val="10"/>
    <w:qFormat/>
    <w:rPr>
      <w:sz w:val="48"/>
      <w:szCs w:val="48"/>
    </w:rPr>
  </w:style>
  <w:style w:type="character" w:styleId="865" w:customStyle="1">
    <w:name w:val="批注主题 字符"/>
    <w:link w:val="801"/>
    <w:uiPriority w:val="0"/>
    <w:qFormat/>
    <w:rPr>
      <w:rFonts w:ascii="宋体" w:hAnsi="宋体" w:cs="宋体"/>
      <w:b/>
      <w:bCs/>
      <w:sz w:val="22"/>
      <w:szCs w:val="22"/>
      <w:lang w:val="zh-CN" w:bidi="zh-CN"/>
    </w:rPr>
  </w:style>
  <w:style w:type="paragraph" w:styleId="866">
    <w:name w:val="List Paragraph"/>
    <w:basedOn w:val="762"/>
    <w:uiPriority w:val="1"/>
    <w:qFormat/>
    <w:pPr>
      <w:ind w:left="218" w:firstLine="420"/>
    </w:pPr>
  </w:style>
  <w:style w:type="paragraph" w:styleId="867">
    <w:name w:val="No Spacing"/>
    <w:uiPriority w:val="1"/>
    <w:qFormat/>
    <w:rPr>
      <w:rFonts w:ascii="Times New Roman" w:hAnsi="Times New Roman" w:eastAsia="宋体" w:cs="Times New Roman"/>
      <w:lang w:val="en-US" w:eastAsia="zh-CN" w:bidi="ar-SA"/>
    </w:rPr>
  </w:style>
  <w:style w:type="paragraph" w:styleId="868">
    <w:name w:val="Quote"/>
    <w:basedOn w:val="762"/>
    <w:next w:val="762"/>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62"/>
    <w:next w:val="762"/>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Footer Char"/>
    <w:uiPriority w:val="99"/>
    <w:qFormat/>
  </w:style>
  <w:style w:type="table" w:styleId="873" w:customStyle="1">
    <w:name w:val="Table Grid Light"/>
    <w:basedOn w:val="77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74" w:customStyle="1">
    <w:name w:val="Grid Table 1 Light - Accent 1"/>
    <w:basedOn w:val="77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7B4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5" w:customStyle="1">
    <w:name w:val="Grid Table 1 Light - Accent 2"/>
    <w:basedOn w:val="77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6" w:customStyle="1">
    <w:name w:val="Grid Table 1 Light - Accent 3"/>
    <w:basedOn w:val="77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1 Light - Accent 4"/>
    <w:basedOn w:val="77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5"/>
    <w:basedOn w:val="77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6"/>
    <w:basedOn w:val="77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2 - Accent 1"/>
    <w:basedOn w:val="77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2 - Accent 2"/>
    <w:basedOn w:val="77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2 - Accent 3"/>
    <w:basedOn w:val="77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2 - Accent 4"/>
    <w:basedOn w:val="77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2 - Accent 5"/>
    <w:basedOn w:val="77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6"/>
    <w:basedOn w:val="77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3 - Accent 1"/>
    <w:basedOn w:val="773"/>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3 - Accent 2"/>
    <w:basedOn w:val="773"/>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3 - Accent 3"/>
    <w:basedOn w:val="773"/>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3 - Accent 4"/>
    <w:basedOn w:val="77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3 - Accent 5"/>
    <w:basedOn w:val="77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3 - Accent 6"/>
    <w:basedOn w:val="77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4 - Accent 1"/>
    <w:basedOn w:val="77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A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4 - Accent 2"/>
    <w:basedOn w:val="773"/>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4 - Accent 3"/>
    <w:basedOn w:val="77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4 - Accent 4"/>
    <w:basedOn w:val="77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4 - Accent 5"/>
    <w:basedOn w:val="77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 Accent 6"/>
    <w:basedOn w:val="77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5 Dark- Accent 1"/>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5 Dark - Accent 2"/>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5 Dark - Accent 3"/>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5 Dark- Accent 4"/>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5 Dark - Accent 5"/>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5 Dark - Accent 6"/>
    <w:basedOn w:val="77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6 Colorful - Accent 1"/>
    <w:basedOn w:val="77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b/>
        <w:color w:val="4f81bd"/>
      </w:rPr>
    </w:tblStylePr>
    <w:tblStylePr w:type="firstRow">
      <w:rPr>
        <w:b/>
        <w:color w:val="4f81b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4f81bd"/>
      </w:rPr>
    </w:tblStylePr>
    <w:tblStylePr w:type="lastRow">
      <w:rPr>
        <w:b/>
        <w:color w:val="4f81bd"/>
      </w:rPr>
    </w:tblStylePr>
  </w:style>
  <w:style w:type="table" w:styleId="905" w:customStyle="1">
    <w:name w:val="Grid Table 6 Colorful - Accent 2"/>
    <w:basedOn w:val="773"/>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blStylePr>
  </w:style>
  <w:style w:type="table" w:styleId="906" w:customStyle="1">
    <w:name w:val="Grid Table 6 Colorful - Accent 3"/>
    <w:basedOn w:val="77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A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07" w:customStyle="1">
    <w:name w:val="Grid Table 6 Colorful - Accent 4"/>
    <w:basedOn w:val="77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blStylePr>
  </w:style>
  <w:style w:type="table" w:styleId="908" w:customStyle="1">
    <w:name w:val="Grid Table 6 Colorful - Accent 5"/>
    <w:basedOn w:val="77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09" w:customStyle="1">
    <w:name w:val="Grid Table 6 Colorful - Accent 6"/>
    <w:basedOn w:val="77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0" w:customStyle="1">
    <w:name w:val="Grid Table 7 Colorful - Accent 1"/>
    <w:basedOn w:val="77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rFonts w:ascii="Arial" w:hAnsi="Arial"/>
        <w:i/>
        <w:color w:val="4f81b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4f81b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4f81b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4f81b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2"/>
    <w:basedOn w:val="773"/>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b/>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7 Colorful - Accent 3"/>
    <w:basedOn w:val="773"/>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7 Colorful - Accent 4"/>
    <w:basedOn w:val="77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7 Colorful - Accent 5"/>
    <w:basedOn w:val="77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7 Colorful - Accent 6"/>
    <w:basedOn w:val="77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1"/>
    <w:basedOn w:val="77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2"/>
    <w:basedOn w:val="773"/>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3"/>
    <w:basedOn w:val="773"/>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1 Light - Accent 4"/>
    <w:basedOn w:val="77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1 Light - Accent 5"/>
    <w:basedOn w:val="77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1 Light - Accent 6"/>
    <w:basedOn w:val="773"/>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2 - Accent 1"/>
    <w:basedOn w:val="773"/>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23" w:customStyle="1">
    <w:name w:val="List Table 2 - Accent 2"/>
    <w:basedOn w:val="773"/>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insideH w:val="none" w:color="000000" w:sz="4" w:space="0"/>
          <w:insideV w:val="none" w:color="000000" w:sz="4" w:space="0"/>
        </w:tcBorders>
      </w:tcPr>
    </w:tblStylePr>
  </w:style>
  <w:style w:type="table" w:styleId="924" w:customStyle="1">
    <w:name w:val="List Table 2 - Accent 3"/>
    <w:basedOn w:val="773"/>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25" w:customStyle="1">
    <w:name w:val="List Table 2 - Accent 4"/>
    <w:basedOn w:val="773"/>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26" w:customStyle="1">
    <w:name w:val="List Table 2 - Accent 5"/>
    <w:basedOn w:val="773"/>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27" w:customStyle="1">
    <w:name w:val="List Table 2 - Accent 6"/>
    <w:basedOn w:val="773"/>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28" w:customStyle="1">
    <w:name w:val="List Table 3 - Accent 1"/>
    <w:basedOn w:val="77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List Table 3 - Accent 2"/>
    <w:basedOn w:val="773"/>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left w:val="none" w:color="000000" w:sz="4" w:space="0"/>
          <w:bottom w:val="single" w:color="D996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695" w:sz="4" w:space="0"/>
          <w:bottom w:val="none" w:color="000000" w:sz="4" w:space="0"/>
          <w:right w:val="single" w:color="D996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0" w:customStyle="1">
    <w:name w:val="List Table 3 - Accent 3"/>
    <w:basedOn w:val="773"/>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left w:val="none" w:color="000000" w:sz="4" w:space="0"/>
          <w:bottom w:val="single" w:color="C3D69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B" w:sz="4" w:space="0"/>
          <w:bottom w:val="none" w:color="000000" w:sz="4" w:space="0"/>
          <w:right w:val="single" w:color="C3D69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1" w:customStyle="1">
    <w:name w:val="List Table 3 - Accent 4"/>
    <w:basedOn w:val="77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2" w:customStyle="1">
    <w:name w:val="List Table 3 - Accent 5"/>
    <w:basedOn w:val="77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3" w:customStyle="1">
    <w:name w:val="List Table 3 - Accent 6"/>
    <w:basedOn w:val="77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4" w:customStyle="1">
    <w:name w:val="List Table 4 - Accent 1"/>
    <w:basedOn w:val="77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5" w:customStyle="1">
    <w:name w:val="List Table 4 - Accent 2"/>
    <w:basedOn w:val="773"/>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6" w:customStyle="1">
    <w:name w:val="List Table 4 - Accent 3"/>
    <w:basedOn w:val="77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7" w:customStyle="1">
    <w:name w:val="List Table 4 - Accent 4"/>
    <w:basedOn w:val="77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8" w:customStyle="1">
    <w:name w:val="List Table 4 - Accent 5"/>
    <w:basedOn w:val="77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9" w:customStyle="1">
    <w:name w:val="List Table 4 - Accent 6"/>
    <w:basedOn w:val="77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0" w:customStyle="1">
    <w:name w:val="List Table 5 Dark - Accent 1"/>
    <w:basedOn w:val="77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41" w:customStyle="1">
    <w:name w:val="List Table 5 Dark - Accent 2"/>
    <w:basedOn w:val="773"/>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695" w:fill="d996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695" w:fill="d996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6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695" w:fill="d99695"/>
        <w:tcBorders>
          <w:top w:val="single" w:color="D996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695" w:sz="32" w:space="0"/>
          <w:insideH w:val="none" w:color="000000" w:sz="4" w:space="0"/>
          <w:insideV w:val="none" w:color="000000" w:sz="4" w:space="0"/>
        </w:tcBorders>
      </w:tcPr>
    </w:tblStylePr>
    <w:tblStylePr w:type="lastRow">
      <w:rPr>
        <w:rFonts w:ascii="Arial" w:hAnsi="Arial"/>
        <w:b/>
        <w:color w:val="ffffff"/>
        <w:sz w:val="22"/>
      </w:rPr>
    </w:tblStylePr>
  </w:style>
  <w:style w:type="table" w:styleId="942" w:customStyle="1">
    <w:name w:val="List Table 5 Dark - Accent 3"/>
    <w:basedOn w:val="773"/>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b" w:fill="c3d69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b" w:fill="c3d69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b" w:fill="c3d69b"/>
        <w:tcBorders>
          <w:top w:val="single" w:color="C3D69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B" w:sz="32" w:space="0"/>
          <w:insideH w:val="none" w:color="000000" w:sz="4" w:space="0"/>
          <w:insideV w:val="none" w:color="000000" w:sz="4" w:space="0"/>
        </w:tcBorders>
      </w:tcPr>
    </w:tblStylePr>
    <w:tblStylePr w:type="lastRow">
      <w:rPr>
        <w:rFonts w:ascii="Arial" w:hAnsi="Arial"/>
        <w:b/>
        <w:color w:val="ffffff"/>
        <w:sz w:val="22"/>
      </w:rPr>
    </w:tblStylePr>
  </w:style>
  <w:style w:type="table" w:styleId="943" w:customStyle="1">
    <w:name w:val="List Table 5 Dark - Accent 4"/>
    <w:basedOn w:val="77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44" w:customStyle="1">
    <w:name w:val="List Table 5 Dark - Accent 5"/>
    <w:basedOn w:val="77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45" w:customStyle="1">
    <w:name w:val="List Table 5 Dark - Accent 6"/>
    <w:basedOn w:val="77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46" w:customStyle="1">
    <w:name w:val="List Table 6 Colorful - Accent 1"/>
    <w:basedOn w:val="773"/>
    <w:uiPriority w:val="99"/>
    <w:qFormat/>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0"/>
      </w:rPr>
    </w:tblStylePr>
    <w:tblStylePr w:type="lastRow">
      <w:rPr>
        <w:b/>
        <w:color w:val="2a4a7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List Table 6 Colorful - Accent 2"/>
    <w:basedOn w:val="773"/>
    <w:uiPriority w:val="99"/>
    <w:qFormat/>
    <w:tblPr>
      <w:tblBorders>
        <w:top w:val="single" w:color="D99695" w:sz="4" w:space="0"/>
        <w:bottom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b/>
        <w:color w:val="c0504d"/>
      </w:rPr>
    </w:tblStylePr>
    <w:tblStylePr w:type="firstRow">
      <w:rPr>
        <w:b/>
        <w:color w:val="c0504d"/>
      </w:rPr>
      <w:tcPr>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b/>
        <w:color w:val="c0504d"/>
      </w:rPr>
    </w:tblStylePr>
    <w:tblStylePr w:type="lastRow">
      <w:rPr>
        <w:b/>
        <w:color w:val="c0504d"/>
      </w:rPr>
      <w:tcPr>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3"/>
    <w:basedOn w:val="773"/>
    <w:uiPriority w:val="99"/>
    <w:qFormat/>
    <w:tblPr>
      <w:tblBorders>
        <w:top w:val="single" w:color="C3D69B" w:sz="4" w:space="0"/>
        <w:bottom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cPr>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6 Colorful - Accent 4"/>
    <w:basedOn w:val="773"/>
    <w:uiPriority w:val="99"/>
    <w:qFormat/>
    <w:tblPr>
      <w:tblBorders>
        <w:top w:val="single" w:color="B2A1C6" w:sz="4" w:space="0"/>
        <w:bottom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b/>
        <w:color w:val="8064a2"/>
      </w:rPr>
    </w:tblStylePr>
    <w:tblStylePr w:type="firstRow">
      <w:rPr>
        <w:b/>
        <w:color w:val="8064a2"/>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8064a2"/>
      </w:rPr>
    </w:tblStylePr>
    <w:tblStylePr w:type="lastRow">
      <w:rPr>
        <w:b/>
        <w:color w:val="8064a2"/>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6 Colorful - Accent 5"/>
    <w:basedOn w:val="773"/>
    <w:uiPriority w:val="99"/>
    <w:qFormat/>
    <w:tblPr>
      <w:tblBorders>
        <w:top w:val="single" w:color="92CCDC" w:sz="4" w:space="0"/>
        <w:bottom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b/>
        <w:color w:val="4bacc6"/>
      </w:rPr>
    </w:tblStylePr>
    <w:tblStylePr w:type="firstRow">
      <w:rPr>
        <w:b/>
        <w:color w:val="4bacc6"/>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4bacc6"/>
      </w:rPr>
    </w:tblStylePr>
    <w:tblStylePr w:type="lastRow">
      <w:rPr>
        <w:b/>
        <w:color w:val="4bacc6"/>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6 Colorful - Accent 6"/>
    <w:basedOn w:val="773"/>
    <w:uiPriority w:val="99"/>
    <w:qFormat/>
    <w:tblPr>
      <w:tblBorders>
        <w:top w:val="single" w:color="FAC090" w:sz="4" w:space="0"/>
        <w:bottom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b/>
        <w:color w:val="f79646"/>
      </w:rPr>
    </w:tblStylePr>
    <w:tblStylePr w:type="firstRow">
      <w:rPr>
        <w:b/>
        <w:color w:val="f79646"/>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79646"/>
      </w:rPr>
    </w:tblStylePr>
    <w:tblStylePr w:type="lastRow">
      <w:rPr>
        <w:b/>
        <w:color w:val="f79646"/>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7 Colorful - Accent 1"/>
    <w:basedOn w:val="773"/>
    <w:uiPriority w:val="99"/>
    <w:qFormat/>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7 Colorful - Accent 2"/>
    <w:basedOn w:val="773"/>
    <w:uiPriority w:val="99"/>
    <w:qFormat/>
    <w:tblPr>
      <w:tblBorders>
        <w:right w:val="single" w:color="D99695" w:sz="4" w:space="0"/>
      </w:tblBorders>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insideH w:val="none" w:color="000000" w:sz="4" w:space="0"/>
          <w:insideV w:val="none" w:color="000000" w:sz="4" w:space="0"/>
        </w:tcBorders>
      </w:tcPr>
    </w:tblStylePr>
    <w:tblStylePr w:type="firstRow">
      <w:rPr>
        <w:rFonts w:ascii="Arial" w:hAnsi="Arial"/>
        <w:i/>
        <w:color w:val="c0504d"/>
        <w:sz w:val="22"/>
      </w:rPr>
      <w:tcPr>
        <w:shd w:val="clear" w:color="ffffff" w:fill="ffffff"/>
        <w:tcBorders>
          <w:top w:val="none" w:color="000000" w:sz="4" w:space="0"/>
          <w:left w:val="none" w:color="000000" w:sz="4" w:space="0"/>
          <w:bottom w:val="single" w:color="D99695" w:sz="4" w:space="0"/>
          <w:right w:val="none" w:color="000000" w:sz="4" w:space="0"/>
          <w:insideH w:val="none" w:color="000000" w:sz="4" w:space="0"/>
          <w:insideV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0504d"/>
        <w:sz w:val="22"/>
      </w:rPr>
      <w:tcPr>
        <w:shd w:val="clear" w:color="ffffff" w:fill="ffffff"/>
        <w:tcBorders>
          <w:top w:val="single" w:color="D996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7 Colorful - Accent 3"/>
    <w:basedOn w:val="773"/>
    <w:uiPriority w:val="99"/>
    <w:qFormat/>
    <w:tblPr>
      <w:tblBorders>
        <w:right w:val="single" w:color="C3D69B" w:sz="4" w:space="0"/>
      </w:tblBorders>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C3D69B" w:sz="4" w:space="0"/>
          <w:insideH w:val="none" w:color="000000" w:sz="4" w:space="0"/>
          <w:insideV w:val="none" w:color="000000" w:sz="4" w:space="0"/>
        </w:tcBorders>
      </w:tcPr>
    </w:tblStylePr>
    <w:tblStylePr w:type="firstRow">
      <w:rPr>
        <w:rFonts w:ascii="Arial" w:hAnsi="Arial"/>
        <w:i/>
        <w:color w:val="9bbb59"/>
        <w:sz w:val="22"/>
      </w:rPr>
      <w:tcPr>
        <w:shd w:val="clear" w:color="ffffff" w:fill="ffffff"/>
        <w:tcBorders>
          <w:top w:val="none" w:color="000000" w:sz="4" w:space="0"/>
          <w:left w:val="none" w:color="000000" w:sz="4" w:space="0"/>
          <w:bottom w:val="single" w:color="C3D69B"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C3D69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bbb59"/>
        <w:sz w:val="22"/>
      </w:rPr>
      <w:tcPr>
        <w:shd w:val="clear" w:color="ffffff" w:fill="ffffff"/>
        <w:tcBorders>
          <w:top w:val="single" w:color="C3D69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7 Colorful - Accent 4"/>
    <w:basedOn w:val="773"/>
    <w:uiPriority w:val="99"/>
    <w:qFormat/>
    <w:tblPr>
      <w:tblBorders>
        <w:right w:val="single" w:color="B2A1C6" w:sz="4" w:space="0"/>
      </w:tblBorders>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8064a2"/>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64a2"/>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List Table 7 Colorful - Accent 5"/>
    <w:basedOn w:val="773"/>
    <w:uiPriority w:val="99"/>
    <w:qFormat/>
    <w:tblPr>
      <w:tblBorders>
        <w:right w:val="single" w:color="92CCDC" w:sz="4" w:space="0"/>
      </w:tblBorders>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rFonts w:ascii="Arial" w:hAnsi="Arial"/>
        <w:i/>
        <w:color w:val="4bacc6"/>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4bacc6"/>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4bacc6"/>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4bacc6"/>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List Table 7 Colorful - Accent 6"/>
    <w:basedOn w:val="773"/>
    <w:uiPriority w:val="99"/>
    <w:qFormat/>
    <w:tblPr>
      <w:tblBorders>
        <w:right w:val="single" w:color="FAC090" w:sz="4" w:space="0"/>
      </w:tblBorders>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rFonts w:ascii="Arial" w:hAnsi="Arial"/>
        <w:i/>
        <w:color w:val="f79646"/>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79646"/>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79646"/>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79646"/>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9"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0"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1"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2"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amp; Lined - Accent"/>
    <w:basedOn w:val="77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6" w:customStyle="1">
    <w:name w:val="Bordered &amp; Lined - Accent 1"/>
    <w:basedOn w:val="773"/>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7" w:customStyle="1">
    <w:name w:val="Bordered &amp; Lined - Accent 2"/>
    <w:basedOn w:val="773"/>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8" w:customStyle="1">
    <w:name w:val="Bordered &amp; Lined - Accent 3"/>
    <w:basedOn w:val="77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9" w:customStyle="1">
    <w:name w:val="Bordered &amp; Lined - Accent 4"/>
    <w:basedOn w:val="77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0" w:customStyle="1">
    <w:name w:val="Bordered &amp; Lined - Accent 5"/>
    <w:basedOn w:val="77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1" w:customStyle="1">
    <w:name w:val="Bordered &amp; Lined - Accent 6"/>
    <w:basedOn w:val="77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2" w:customStyle="1">
    <w:name w:val="Bordered"/>
    <w:basedOn w:val="77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 Accent 1"/>
    <w:basedOn w:val="773"/>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Bordered - Accent 2"/>
    <w:basedOn w:val="773"/>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6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6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6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3"/>
    <w:basedOn w:val="77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Bordered - Accent 4"/>
    <w:basedOn w:val="77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Bordered - Accent 5"/>
    <w:basedOn w:val="773"/>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Bordered - Accent 6"/>
    <w:basedOn w:val="77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9" w:customStyle="1">
    <w:name w:val="TOC 标题11"/>
    <w:uiPriority w:val="39"/>
    <w:unhideWhenUsed/>
    <w:qFormat/>
    <w:rPr>
      <w:rFonts w:ascii="Times New Roman" w:hAnsi="Times New Roman" w:eastAsia="宋体" w:cs="Times New Roman"/>
      <w:lang w:val="en-US" w:eastAsia="zh-CN" w:bidi="ar-SA"/>
    </w:r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Table Paragraph"/>
    <w:basedOn w:val="762"/>
    <w:uiPriority w:val="1"/>
    <w:qFormat/>
  </w:style>
  <w:style w:type="character" w:styleId="982" w:customStyle="1">
    <w:name w:val="font31"/>
    <w:uiPriority w:val="0"/>
    <w:qFormat/>
    <w:rPr>
      <w:rFonts w:hint="default" w:ascii="Times New Roman" w:hAnsi="Times New Roman" w:cs="Times New Roman"/>
      <w:color w:val="000000"/>
      <w:sz w:val="20"/>
      <w:szCs w:val="20"/>
      <w:u w:val="none"/>
    </w:rPr>
  </w:style>
  <w:style w:type="character" w:styleId="983" w:customStyle="1">
    <w:name w:val="font41"/>
    <w:uiPriority w:val="0"/>
    <w:qFormat/>
    <w:rPr>
      <w:rFonts w:hint="default" w:ascii="方正仿宋简体" w:hAnsi="方正仿宋简体" w:eastAsia="方正仿宋简体" w:cs="方正仿宋简体"/>
      <w:color w:val="000000"/>
      <w:sz w:val="20"/>
      <w:szCs w:val="20"/>
      <w:u w:val="none"/>
    </w:rPr>
  </w:style>
  <w:style w:type="character" w:styleId="984" w:customStyle="1">
    <w:name w:val="font11"/>
    <w:uiPriority w:val="0"/>
    <w:qFormat/>
    <w:rPr>
      <w:rFonts w:hint="eastAsia" w:ascii="宋体" w:hAnsi="宋体" w:eastAsia="宋体" w:cs="宋体"/>
      <w:color w:val="000000"/>
      <w:sz w:val="20"/>
      <w:szCs w:val="20"/>
      <w:u w:val="none"/>
    </w:rPr>
  </w:style>
  <w:style w:type="paragraph" w:styleId="985" w:customStyle="1">
    <w:name w:val="列出段落1"/>
    <w:basedOn w:val="762"/>
    <w:uiPriority w:val="99"/>
    <w:qFormat/>
    <w:pPr>
      <w:ind w:firstLine="420"/>
    </w:pPr>
  </w:style>
  <w:style w:type="paragraph" w:styleId="986" w:customStyle="1">
    <w:name w:val="标题 21"/>
    <w:basedOn w:val="762"/>
    <w:uiPriority w:val="1"/>
    <w:qFormat/>
    <w:pPr>
      <w:outlineLvl w:val="2"/>
    </w:pPr>
    <w:rPr>
      <w:rFonts w:ascii="黑体" w:hAnsi="黑体" w:eastAsia="黑体" w:cs="黑体"/>
      <w:sz w:val="36"/>
      <w:szCs w:val="36"/>
    </w:rPr>
  </w:style>
  <w:style w:type="paragraph" w:styleId="987" w:customStyle="1">
    <w:name w:val="标题 51"/>
    <w:basedOn w:val="762"/>
    <w:uiPriority w:val="1"/>
    <w:qFormat/>
    <w:pPr>
      <w:ind w:left="638"/>
      <w:outlineLvl w:val="5"/>
    </w:pPr>
    <w:rPr>
      <w:b/>
      <w:bCs/>
      <w:sz w:val="21"/>
      <w:szCs w:val="21"/>
    </w:rPr>
  </w:style>
  <w:style w:type="paragraph" w:styleId="988" w:customStyle="1">
    <w:name w:val="Body text|1"/>
    <w:basedOn w:val="762"/>
    <w:uiPriority w:val="0"/>
    <w:qFormat/>
    <w:pPr>
      <w:ind w:firstLine="400"/>
      <w:spacing w:after="180" w:line="410" w:lineRule="auto"/>
    </w:pPr>
    <w:rPr>
      <w:color w:val="1b1626"/>
      <w:sz w:val="30"/>
      <w:szCs w:val="30"/>
      <w:lang w:val="zh-TW" w:eastAsia="zh-TW" w:bidi="zh-TW"/>
    </w:rPr>
  </w:style>
  <w:style w:type="paragraph" w:styleId="989" w:customStyle="1">
    <w:name w:val="Heading #2|1"/>
    <w:basedOn w:val="762"/>
    <w:uiPriority w:val="0"/>
    <w:qFormat/>
    <w:pPr>
      <w:ind w:firstLine="700"/>
      <w:spacing w:after="180" w:line="584" w:lineRule="exact"/>
      <w:outlineLvl w:val="1"/>
    </w:pPr>
    <w:rPr>
      <w:b/>
      <w:bCs/>
      <w:color w:val="1b1626"/>
      <w:sz w:val="30"/>
      <w:szCs w:val="30"/>
      <w:lang w:val="zh-TW" w:eastAsia="zh-TW" w:bidi="zh-TW"/>
    </w:rPr>
  </w:style>
  <w:style w:type="paragraph" w:styleId="990" w:customStyle="1">
    <w:name w:val="表内文字居左"/>
    <w:basedOn w:val="762"/>
    <w:uiPriority w:val="0"/>
    <w:qFormat/>
    <w:rPr>
      <w:sz w:val="24"/>
      <w:szCs w:val="24"/>
    </w:rPr>
  </w:style>
  <w:style w:type="paragraph" w:styleId="991" w:customStyle="1">
    <w:name w:val="正文-首缩2"/>
    <w:basedOn w:val="762"/>
    <w:uiPriority w:val="0"/>
    <w:qFormat/>
    <w:pPr>
      <w:ind w:firstLine="200"/>
      <w:spacing w:line="360" w:lineRule="auto"/>
    </w:pPr>
    <w:rPr>
      <w:rFonts w:ascii="Times New Roman" w:hAnsi="Times New Roman" w:cs="Times New Roman"/>
      <w:sz w:val="28"/>
      <w:szCs w:val="28"/>
    </w:rPr>
  </w:style>
  <w:style w:type="paragraph" w:styleId="992" w:customStyle="1">
    <w:name w:val="正文首行缩进 211"/>
    <w:basedOn w:val="779"/>
    <w:uiPriority w:val="0"/>
    <w:qFormat/>
    <w:pPr>
      <w:ind w:firstLine="420"/>
      <w:spacing w:before="100" w:beforeAutospacing="1" w:line="360" w:lineRule="auto"/>
    </w:pPr>
    <w:rPr>
      <w:rFonts w:hAnsi="宋体"/>
      <w:sz w:val="20"/>
    </w:rPr>
  </w:style>
  <w:style w:type="paragraph" w:styleId="993" w:customStyle="1">
    <w:name w:val="正文首行缩进 21"/>
    <w:basedOn w:val="779"/>
    <w:uiPriority w:val="0"/>
    <w:qFormat/>
    <w:pPr>
      <w:ind w:firstLine="420"/>
      <w:spacing w:before="100" w:beforeAutospacing="1" w:line="360" w:lineRule="auto"/>
    </w:pPr>
    <w:rPr>
      <w:rFonts w:hAnsi="宋体"/>
      <w:sz w:val="20"/>
    </w:rPr>
  </w:style>
  <w:style w:type="paragraph" w:styleId="994" w:customStyle="1">
    <w:name w:val="WPSOffice手动目录 1"/>
    <w:uiPriority w:val="0"/>
    <w:qFormat/>
    <w:rPr>
      <w:rFonts w:ascii="Times New Roman" w:hAnsi="Times New Roman" w:eastAsia="宋体" w:cs="Times New Roman"/>
      <w:lang w:val="en-US" w:eastAsia="zh-CN" w:bidi="ar-SA"/>
    </w:rPr>
  </w:style>
  <w:style w:type="paragraph" w:styleId="995" w:customStyle="1">
    <w:name w:val="二级目录"/>
    <w:next w:val="762"/>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996" w:customStyle="1">
    <w:name w:val="font01"/>
    <w:uiPriority w:val="0"/>
    <w:qFormat/>
    <w:rPr>
      <w:rFonts w:hint="eastAsia" w:ascii="宋体" w:hAnsi="宋体" w:eastAsia="宋体" w:cs="宋体"/>
      <w:color w:val="000000"/>
      <w:sz w:val="22"/>
      <w:szCs w:val="22"/>
      <w:u w:val="none"/>
    </w:rPr>
  </w:style>
  <w:style w:type="paragraph" w:styleId="997" w:customStyle="1">
    <w:name w:val="彩色列表1"/>
    <w:basedOn w:val="762"/>
    <w:uiPriority w:val="0"/>
    <w:qFormat/>
    <w:pPr>
      <w:ind w:firstLine="420"/>
    </w:pPr>
    <w:rPr>
      <w:rFonts w:ascii="Times New Roman" w:hAnsi="Times New Roman" w:cs="Times New Roman"/>
      <w:szCs w:val="21"/>
    </w:rPr>
  </w:style>
  <w:style w:type="character" w:styleId="998" w:customStyle="1">
    <w:name w:val="15"/>
    <w:uiPriority w:val="0"/>
    <w:qFormat/>
    <w:rPr>
      <w:rFonts w:hint="default" w:ascii="Times New Roman" w:hAnsi="Times New Roman" w:cs="Times New Roman"/>
    </w:rPr>
  </w:style>
  <w:style w:type="paragraph" w:styleId="999" w:customStyle="1">
    <w:name w:val="Table Text"/>
    <w:basedOn w:val="762"/>
    <w:uiPriority w:val="0"/>
    <w:semiHidden/>
    <w:qFormat/>
    <w:rPr>
      <w:rFonts w:ascii="Arial" w:hAnsi="Arial" w:eastAsia="Arial" w:cs="Arial"/>
      <w:sz w:val="21"/>
      <w:szCs w:val="21"/>
      <w:lang w:val="en-US" w:eastAsia="en-US" w:bidi="ar-SA"/>
    </w:rPr>
  </w:style>
  <w:style w:type="character" w:styleId="1000" w:customStyle="1">
    <w:name w:val="font61"/>
    <w:uiPriority w:val="0"/>
    <w:qFormat/>
    <w:rPr>
      <w:rFonts w:hint="default" w:ascii="Times New Roman" w:hAnsi="Times New Roman" w:cs="Times New Roman"/>
      <w:color w:val="000000"/>
      <w:sz w:val="20"/>
      <w:szCs w:val="20"/>
      <w:u w:val="none"/>
    </w:rPr>
  </w:style>
  <w:style w:type="character" w:styleId="1001" w:customStyle="1">
    <w:name w:val="font51"/>
    <w:uiPriority w:val="0"/>
    <w:qFormat/>
    <w:rPr>
      <w:rFonts w:hint="eastAsia" w:ascii="微软雅黑" w:hAnsi="微软雅黑" w:eastAsia="微软雅黑" w:cs="微软雅黑"/>
      <w:color w:val="000000"/>
      <w:sz w:val="20"/>
      <w:szCs w:val="20"/>
      <w:u w:val="none"/>
    </w:rPr>
  </w:style>
  <w:style w:type="paragraph" w:styleId="1002" w:customStyle="1">
    <w:name w:val="列表段落1"/>
    <w:basedOn w:val="762"/>
    <w:uiPriority w:val="99"/>
    <w:qFormat/>
    <w:pPr>
      <w:contextualSpacing/>
      <w:ind w:left="720"/>
      <w:widowControl/>
    </w:pPr>
    <w:rPr>
      <w:rFonts w:ascii="Arial" w:hAnsi="Arial" w:eastAsia="黑体" w:cs="Times New Roman"/>
      <w:sz w:val="24"/>
      <w:szCs w:val="24"/>
      <w:lang w:val="en-US" w:eastAsia="en-US" w:bidi="ar-SA"/>
    </w:rPr>
  </w:style>
  <w:style w:type="paragraph" w:styleId="10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4" w:customStyle="1">
    <w:name w:val="正文文本首行缩进 21"/>
    <w:basedOn w:val="762"/>
    <w:uiPriority w:val="0"/>
    <w:qFormat/>
    <w:pPr>
      <w:ind w:left="420" w:firstLine="420"/>
      <w:jc w:val="both"/>
      <w:spacing w:after="120"/>
    </w:pPr>
    <w:rPr>
      <w:rFonts w:ascii="Times New Roman" w:hAnsi="Times New Roman" w:cs="Times New Roman"/>
      <w:sz w:val="21"/>
      <w:szCs w:val="24"/>
      <w:lang w:val="en-US" w:bidi="ar-SA"/>
    </w:rPr>
  </w:style>
  <w:style w:type="paragraph" w:styleId="1005" w:customStyle="1">
    <w:name w:val="纯文本111"/>
    <w:basedOn w:val="762"/>
    <w:uiPriority w:val="0"/>
    <w:qFormat/>
    <w:pPr>
      <w:jc w:val="both"/>
    </w:pPr>
    <w:rPr>
      <w:rFonts w:hAnsi="Courier New" w:cs="Courier New"/>
      <w:sz w:val="21"/>
      <w:szCs w:val="21"/>
      <w:lang w:val="en-US" w:bidi="ar-SA"/>
    </w:rPr>
  </w:style>
  <w:style w:type="paragraph" w:styleId="1006" w:customStyle="1">
    <w:name w:val="正文文本1"/>
    <w:basedOn w:val="762"/>
    <w:next w:val="762"/>
    <w:uiPriority w:val="99"/>
    <w:qFormat/>
    <w:pPr>
      <w:spacing w:after="120"/>
    </w:pPr>
    <w:rPr>
      <w:sz w:val="24"/>
    </w:rPr>
  </w:style>
  <w:style w:type="paragraph" w:styleId="1007" w:customStyle="1">
    <w:name w:val="标题 11"/>
    <w:basedOn w:val="762"/>
    <w:next w:val="762"/>
    <w:uiPriority w:val="99"/>
    <w:qFormat/>
    <w:pPr>
      <w:keepLines/>
      <w:keepNext/>
      <w:spacing w:before="340" w:after="330" w:line="576" w:lineRule="auto"/>
      <w:outlineLvl w:val="0"/>
    </w:pPr>
    <w:rPr>
      <w:b/>
      <w:bCs/>
      <w:sz w:val="44"/>
      <w:szCs w:val="44"/>
    </w:rPr>
  </w:style>
  <w:style w:type="character" w:styleId="1008" w:customStyle="1">
    <w:name w:val="要点1"/>
    <w:uiPriority w:val="99"/>
    <w:qFormat/>
    <w:rPr>
      <w:rFonts w:cs="Times New Roman"/>
      <w:b/>
    </w:rPr>
  </w:style>
  <w:style w:type="character" w:styleId="1009" w:customStyle="1">
    <w:name w:val="默认段落字体1"/>
    <w:uiPriority w:val="1"/>
    <w:unhideWhenUsed/>
    <w:qFormat/>
  </w:style>
  <w:style w:type="paragraph" w:styleId="1010" w:customStyle="1">
    <w:name w:val="普通(网站)1"/>
    <w:basedOn w:val="762"/>
    <w:uiPriority w:val="0"/>
    <w:qFormat/>
    <w:pPr>
      <w:spacing w:before="100" w:beforeAutospacing="1" w:after="100" w:afterAutospacing="1"/>
      <w:widowControl/>
    </w:pPr>
    <w:rPr>
      <w:sz w:val="24"/>
    </w:rPr>
  </w:style>
  <w:style w:type="paragraph" w:styleId="1011" w:customStyle="1">
    <w:name w:val="正文文本12"/>
    <w:basedOn w:val="762"/>
    <w:next w:val="1012"/>
    <w:uiPriority w:val="0"/>
    <w:unhideWhenUsed/>
    <w:qFormat/>
    <w:pPr>
      <w:spacing w:after="120"/>
    </w:pPr>
  </w:style>
  <w:style w:type="paragraph" w:styleId="1012" w:customStyle="1">
    <w:name w:val="日期11"/>
    <w:basedOn w:val="762"/>
    <w:next w:val="762"/>
    <w:uiPriority w:val="0"/>
    <w:qFormat/>
    <w:rPr>
      <w:rFonts w:ascii="Arial" w:hAnsi="Arial" w:cs="Arial"/>
      <w:b/>
      <w:sz w:val="28"/>
    </w:rPr>
  </w:style>
  <w:style w:type="character" w:styleId="1013" w:customStyle="1">
    <w:name w:val="批注文字 Char"/>
    <w:uiPriority w:val="0"/>
    <w:qFormat/>
    <w:rPr>
      <w:rFonts w:ascii="宋体" w:hAnsi="宋体" w:cs="宋体"/>
      <w:sz w:val="22"/>
      <w:szCs w:val="22"/>
      <w:lang w:val="zh-CN" w:bidi="zh-CN"/>
    </w:rPr>
  </w:style>
  <w:style w:type="character" w:styleId="1014" w:customStyle="1">
    <w:name w:val="标题 2 字符1"/>
    <w:link w:val="764"/>
    <w:uiPriority w:val="0"/>
    <w:qFormat/>
    <w:rPr>
      <w:rFonts w:ascii="Times New Roman" w:hAnsi="Times New Roman" w:eastAsia="楷体_GB2312" w:cs="楷体_GB2312"/>
      <w:sz w:val="32"/>
      <w:szCs w:val="32"/>
    </w:rPr>
  </w:style>
  <w:style w:type="paragraph" w:styleId="1015" w:customStyle="1">
    <w:name w:val="页脚1"/>
    <w:basedOn w:val="762"/>
    <w:uiPriority w:val="99"/>
    <w:qFormat/>
    <w:pPr>
      <w:tabs>
        <w:tab w:val="center" w:pos="4153" w:leader="none"/>
        <w:tab w:val="right" w:pos="8306" w:leader="none"/>
      </w:tabs>
    </w:pPr>
    <w:rPr>
      <w:rFonts w:ascii="Calibri" w:hAnsi="Calibri"/>
      <w:sz w:val="18"/>
      <w:szCs w:val="18"/>
    </w:rPr>
  </w:style>
  <w:style w:type="paragraph" w:styleId="1016" w:customStyle="1">
    <w:name w:val="正文 A"/>
    <w:uiPriority w:val="99"/>
    <w:qFormat/>
    <w:pPr>
      <w:jc w:val="both"/>
      <w:widowControl w:val="off"/>
      <w:framePr w:wrap="around" w:vAnchor="margin" w:hAnchor="text" w:y="1"/>
    </w:pPr>
    <w:rPr>
      <w:rFonts w:ascii="Arial Unicode MS" w:hAnsi="Arial Unicode MS" w:eastAsia="Arial Unicode MS" w:cs="Arial Unicode MS"/>
      <w:color w:val="000000"/>
      <w:sz w:val="21"/>
      <w:szCs w:val="21"/>
      <w:lang w:val="en-US" w:eastAsia="zh-CN" w:bidi="ar-SA"/>
    </w:rPr>
  </w:style>
  <w:style w:type="paragraph" w:styleId="1017" w:customStyle="1">
    <w:name w:val="首行缩进"/>
    <w:basedOn w:val="762"/>
    <w:uiPriority w:val="0"/>
    <w:qFormat/>
    <w:pPr>
      <w:ind w:firstLine="480"/>
    </w:pPr>
  </w:style>
  <w:style w:type="paragraph" w:styleId="1018" w:customStyle="1">
    <w:name w:val="Revision"/>
    <w:hidden/>
    <w:uiPriority w:val="99"/>
    <w:semiHidden/>
    <w:qFormat/>
    <w:rPr>
      <w:rFonts w:ascii="宋体" w:hAnsi="宋体" w:eastAsia="宋体" w:cs="宋体"/>
      <w:sz w:val="22"/>
      <w:szCs w:val="22"/>
      <w:lang w:val="zh-CN" w:eastAsia="zh-CN" w:bidi="zh-CN"/>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49</cp:revision>
  <dcterms:created xsi:type="dcterms:W3CDTF">2026-05-27T09:15:00Z</dcterms:created>
  <dcterms:modified xsi:type="dcterms:W3CDTF">2026-10-27T09:40:46Z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2052-12.1.0.29161</vt:lpwstr>
  </property>
  <property fmtid="{D5CDD505-2E9C-101B-9397-08002B2CF9AE}" pid="6" name="ICV">
    <vt:lpwstr>ADFF645001634784ADDA8F4955B99E0A_13</vt:lpwstr>
  </property>
  <property fmtid="{D5CDD505-2E9C-101B-9397-08002B2CF9AE}" pid="7" name="KSOTemplateDocerSaveRecord">
    <vt:lpwstr>eyJoZGlkIjoiN2I3ZmQwYzZkOTFkOWUzNWExNDQyN2NlOTM3ZmQyNTQiLCJ1c2VySWQiOiIxODUyMzkyNjcxIn0=</vt:lpwstr>
  </property>
</Properties>
</file>