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rPr>
          <w:color w:val="auto"/>
          <w:highlight w:val="none"/>
        </w:rPr>
      </w:r>
      <w:r/>
    </w:p>
    <w:p>
      <w:pPr>
        <w:ind w:firstLine="1446"/>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rPr>
          <w:color w:val="auto"/>
          <w:highlight w:val="none"/>
        </w:rPr>
      </w:r>
      <w:r/>
    </w:p>
    <w:p>
      <w:pPr>
        <w:jc w:val="center"/>
        <w:rPr>
          <w:rFonts w:hint="eastAsia" w:ascii="宋体" w:hAnsi="宋体" w:eastAsia="宋体" w:cs="宋体"/>
          <w:color w:val="auto"/>
          <w:highlight w:val="none"/>
        </w:rPr>
        <w:outlineLvl w:val="0"/>
      </w:pPr>
      <w:r>
        <w:rPr>
          <w:color w:val="auto"/>
          <w:highlight w:val="none"/>
        </w:rPr>
      </w:r>
      <w:bookmarkStart w:id="0" w:name="_Toc27424"/>
      <w:r>
        <w:rPr>
          <w:color w:val="auto"/>
          <w:highlight w:val="none"/>
        </w:rPr>
      </w:r>
      <w:bookmarkStart w:id="1" w:name="_Toc31315"/>
      <w:r>
        <w:rPr>
          <w:color w:val="auto"/>
          <w:highlight w:val="none"/>
        </w:rPr>
      </w:r>
      <w:bookmarkStart w:id="2" w:name="_Toc24495"/>
      <w:r>
        <w:rPr>
          <w:rFonts w:hint="eastAsia" w:ascii="宋体" w:hAnsi="宋体" w:eastAsia="宋体" w:cs="宋体"/>
          <w:color w:val="auto"/>
          <w:sz w:val="96"/>
          <w:szCs w:val="96"/>
          <w:highlight w:val="none"/>
        </w:rPr>
        <w:t xml:space="preserve">竞争性磋商文件</w:t>
      </w:r>
      <w:bookmarkEnd w:id="0"/>
      <w:r>
        <w:rPr>
          <w:color w:val="auto"/>
          <w:highlight w:val="none"/>
        </w:rPr>
      </w:r>
      <w:bookmarkEnd w:id="1"/>
      <w:r>
        <w:rPr>
          <w:color w:val="auto"/>
          <w:highlight w:val="none"/>
        </w:rPr>
      </w:r>
      <w:bookmarkEnd w:id="2"/>
      <w:r>
        <w:rPr>
          <w:color w:val="auto"/>
          <w:highlight w:val="none"/>
        </w:rPr>
      </w:r>
      <w:r/>
    </w:p>
    <w:p>
      <w:pPr>
        <w:ind w:firstLine="7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rPr>
          <w:color w:val="auto"/>
          <w:highlight w:val="none"/>
        </w:rPr>
      </w:r>
      <w:r/>
    </w:p>
    <w:p>
      <w:pPr>
        <w:jc w:val="center"/>
        <w:spacing w:line="360" w:lineRule="auto"/>
        <w:rPr>
          <w:rFonts w:hint="eastAsia" w:ascii="宋体" w:hAnsi="宋体" w:eastAsia="宋体" w:cs="宋体"/>
          <w:color w:val="auto"/>
          <w:sz w:val="84"/>
          <w:szCs w:val="21"/>
          <w:highlight w:val="none"/>
        </w:rPr>
      </w:pPr>
      <w:r>
        <w:rPr>
          <w:rFonts w:hint="eastAsia" w:ascii="宋体" w:hAnsi="宋体" w:eastAsia="宋体" w:cs="宋体"/>
          <w:color w:val="auto"/>
          <w:sz w:val="84"/>
          <w:szCs w:val="21"/>
          <w:highlight w:val="none"/>
          <w:lang w:val="zh-CN" w:bidi="zh-CN"/>
        </w:rPr>
      </w:r>
      <w:r>
        <w:rPr>
          <w:color w:val="auto"/>
          <w:highlight w:val="none"/>
        </w:rPr>
      </w:r>
      <w:r/>
    </w:p>
    <w:p>
      <w:pPr>
        <w:ind w:firstLine="640"/>
        <w:spacing w:before="80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lang w:eastAsia="zh-CN"/>
        </w:rPr>
        <w:t xml:space="preserve">JSZC-320100-NJLB-C2026-0010</w:t>
      </w:r>
      <w:r>
        <w:rPr>
          <w:rFonts w:hint="eastAsia" w:ascii="宋体" w:hAnsi="宋体" w:eastAsia="宋体" w:cs="宋体"/>
          <w:color w:val="auto"/>
          <w:sz w:val="32"/>
          <w:szCs w:val="32"/>
          <w:highlight w:val="none"/>
        </w:rPr>
        <w:t xml:space="preserve"> </w:t>
      </w:r>
      <w:r>
        <w:rPr>
          <w:color w:val="auto"/>
          <w:highlight w:val="none"/>
        </w:rPr>
      </w:r>
      <w:r/>
    </w:p>
    <w:p>
      <w:pPr>
        <w:ind w:firstLine="640"/>
        <w:spacing w:before="13" w:line="360" w:lineRule="auto"/>
        <w:rPr>
          <w:rFonts w:hint="eastAsia" w:ascii="宋体" w:hAnsi="宋体" w:eastAsia="宋体" w:cs="宋体"/>
          <w:bCs/>
          <w:color w:val="auto"/>
          <w:spacing w:val="-13"/>
          <w:sz w:val="32"/>
          <w:szCs w:val="32"/>
          <w:highlight w:val="none"/>
        </w:rPr>
      </w:pPr>
      <w:r>
        <w:rPr>
          <w:rFonts w:hint="eastAsia" w:ascii="宋体" w:hAnsi="宋体" w:eastAsia="宋体" w:cs="宋体"/>
          <w:color w:val="auto"/>
          <w:sz w:val="32"/>
          <w:szCs w:val="32"/>
          <w:highlight w:val="none"/>
        </w:rPr>
        <w:t xml:space="preserve">项目名称：南京市房屋租赁监管平台运维服务项目 </w:t>
      </w:r>
      <w:r>
        <w:rPr>
          <w:color w:val="auto"/>
          <w:highlight w:val="none"/>
        </w:rPr>
      </w:r>
      <w:r/>
    </w:p>
    <w:p>
      <w:pPr>
        <w:ind w:firstLine="1417"/>
        <w:spacing w:before="13"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highlight w:val="none"/>
        </w:rPr>
      </w:r>
      <w:r/>
    </w:p>
    <w:p>
      <w:pPr>
        <w:ind w:firstLine="444"/>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bidi="zh-CN"/>
        </w:rPr>
      </w:r>
      <w:r>
        <w:rPr>
          <w:color w:val="auto"/>
          <w:highlight w:val="none"/>
        </w:rPr>
      </w:r>
      <w:r/>
    </w:p>
    <w:p>
      <w:pPr>
        <w:spacing w:line="360" w:lineRule="auto"/>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lang w:val="zh-CN" w:bidi="zh-CN"/>
        </w:rPr>
      </w:r>
      <w:r>
        <w:rPr>
          <w:color w:val="auto"/>
          <w:highlight w:val="none"/>
        </w:rPr>
      </w:r>
      <w:r/>
    </w:p>
    <w:p>
      <w:pPr>
        <w:pStyle w:val="918"/>
        <w:ind w:firstLine="20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lang w:val="zh-CN" w:eastAsia="zh-CN" w:bidi="zh-CN"/>
        </w:rPr>
      </w:r>
      <w:r>
        <w:rPr>
          <w:color w:val="auto"/>
          <w:highlight w:val="none"/>
        </w:rPr>
      </w:r>
      <w:r/>
    </w:p>
    <w:p>
      <w:pPr>
        <w:pStyle w:val="918"/>
        <w:ind w:firstLine="20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lang w:val="zh-CN" w:eastAsia="zh-CN" w:bidi="zh-CN"/>
        </w:rPr>
      </w:r>
      <w:r>
        <w:rPr>
          <w:color w:val="auto"/>
          <w:highlight w:val="none"/>
        </w:rPr>
      </w:r>
      <w:r/>
    </w:p>
    <w:p>
      <w:pPr>
        <w:spacing w:line="360" w:lineRule="auto"/>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lang w:val="zh-CN" w:bidi="zh-CN"/>
        </w:rPr>
      </w:r>
      <w:r>
        <w:rPr>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rPr>
          <w:color w:val="auto"/>
          <w:highlight w:val="none"/>
        </w:rPr>
      </w:r>
      <w:bookmarkStart w:id="3" w:name="_Toc25928"/>
      <w:r>
        <w:rPr>
          <w:color w:val="auto"/>
          <w:highlight w:val="none"/>
        </w:rPr>
      </w:r>
      <w:bookmarkStart w:id="4" w:name="_Toc19340"/>
      <w:r>
        <w:rPr>
          <w:rFonts w:hint="eastAsia" w:ascii="宋体" w:hAnsi="宋体" w:eastAsia="宋体" w:cs="宋体"/>
          <w:b/>
          <w:bCs/>
          <w:color w:val="auto"/>
          <w:sz w:val="32"/>
          <w:szCs w:val="32"/>
          <w:highlight w:val="none"/>
          <w:lang w:val="zh-CN" w:bidi="zh-CN"/>
        </w:rPr>
        <w:t xml:space="preserve">南京林博工程项目管理有限公司</w:t>
      </w:r>
      <w:bookmarkEnd w:id="3"/>
      <w:r>
        <w:rPr>
          <w:color w:val="auto"/>
          <w:highlight w:val="none"/>
        </w:rPr>
      </w:r>
      <w:bookmarkEnd w:id="4"/>
      <w:r>
        <w:rPr>
          <w:color w:val="auto"/>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CN" w:bidi="zh-CN"/>
        </w:rPr>
        <w:t xml:space="preserve">二〇</w:t>
      </w:r>
      <w:r>
        <w:rPr>
          <w:rFonts w:hint="eastAsia" w:ascii="宋体" w:hAnsi="宋体" w:eastAsia="宋体" w:cs="宋体"/>
          <w:b/>
          <w:bCs/>
          <w:color w:val="auto"/>
          <w:sz w:val="32"/>
          <w:szCs w:val="32"/>
          <w:highlight w:val="none"/>
          <w:lang w:bidi="zh-CN"/>
        </w:rPr>
        <w:t xml:space="preserve">二六</w:t>
      </w:r>
      <w:r>
        <w:rPr>
          <w:rFonts w:hint="eastAsia" w:ascii="宋体" w:hAnsi="宋体" w:eastAsia="宋体" w:cs="宋体"/>
          <w:b/>
          <w:bCs/>
          <w:color w:val="auto"/>
          <w:sz w:val="32"/>
          <w:szCs w:val="32"/>
          <w:highlight w:val="none"/>
          <w:lang w:val="zh-CN" w:bidi="zh-CN"/>
        </w:rPr>
        <w:t xml:space="preserve">年</w:t>
      </w:r>
      <w:r>
        <w:rPr>
          <w:rFonts w:hint="eastAsia" w:ascii="宋体" w:hAnsi="宋体" w:eastAsia="宋体" w:cs="宋体"/>
          <w:b/>
          <w:bCs/>
          <w:color w:val="auto"/>
          <w:sz w:val="32"/>
          <w:szCs w:val="32"/>
          <w:highlight w:val="none"/>
          <w:lang w:val="zh-CN" w:bidi="zh-CN"/>
        </w:rPr>
        <w:t xml:space="preserve">十</w:t>
      </w:r>
      <w:r>
        <w:rPr>
          <w:rFonts w:hint="eastAsia" w:ascii="宋体" w:hAnsi="宋体" w:eastAsia="宋体" w:cs="宋体"/>
          <w:b/>
          <w:bCs/>
          <w:color w:val="auto"/>
          <w:sz w:val="32"/>
          <w:szCs w:val="32"/>
          <w:highlight w:val="none"/>
          <w:lang w:val="zh-CN" w:bidi="zh-CN"/>
        </w:rPr>
        <w:t xml:space="preserve">月</w:t>
      </w:r>
      <w:r>
        <w:rPr>
          <w:color w:val="auto"/>
          <w:highlight w:val="none"/>
        </w:rPr>
      </w:r>
      <w:r/>
    </w:p>
    <w:p>
      <w:pPr>
        <w:pStyle w:val="932"/>
        <w:ind w:firstLine="0"/>
        <w:jc w:val="center"/>
        <w:spacing w:line="720" w:lineRule="auto"/>
        <w:rPr>
          <w:rFonts w:hint="eastAsia" w:ascii="宋体" w:hAnsi="宋体" w:eastAsia="宋体" w:cs="宋体"/>
          <w:b/>
          <w:color w:val="auto"/>
          <w:sz w:val="32"/>
          <w:szCs w:val="32"/>
          <w:highlight w:val="none"/>
        </w:rPr>
        <w:sectPr>
          <w:headerReference w:type="default" r:id="rId9"/>
          <w:footnotePr/>
          <w:endnotePr/>
          <w:type w:val="nextPage"/>
          <w:pgSz w:w="11906" w:h="16838" w:orient="portrait"/>
          <w:pgMar w:top="1417" w:right="1134" w:bottom="1247" w:left="1304" w:header="851" w:footer="454" w:gutter="0"/>
          <w:cols w:num="1" w:sep="0" w:space="0" w:equalWidth="1"/>
          <w:docGrid w:linePitch="360"/>
        </w:sectPr>
        <w:outlineLvl w:val="0"/>
      </w:pPr>
      <w:r>
        <w:rPr>
          <w:rFonts w:hint="eastAsia" w:ascii="宋体" w:hAnsi="宋体" w:eastAsia="宋体" w:cs="宋体"/>
          <w:b/>
          <w:color w:val="auto"/>
          <w:sz w:val="32"/>
          <w:szCs w:val="32"/>
          <w:highlight w:val="none"/>
        </w:rPr>
      </w:r>
      <w:r>
        <w:rPr>
          <w:color w:val="auto"/>
          <w:highlight w:val="none"/>
        </w:rPr>
      </w:r>
      <w:r/>
    </w:p>
    <w:sdt>
      <w:sdtPr>
        <w15:appearance w15:val="boundingBox"/>
        <w:id w:val="147476349"/>
        <w:docPartObj>
          <w:docPartGallery w:val="Table of Contents"/>
          <w:docPartUnique w:val="true"/>
        </w:docPartObj>
        <w:rPr>
          <w:rFonts w:hint="eastAsia" w:ascii="宋体" w:hAnsi="宋体" w:eastAsia="宋体" w:cs="宋体"/>
        </w:rPr>
      </w:sdtPr>
      <w:sdtContent>
        <w:p>
          <w:pPr>
            <w:jc w:val="center"/>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 xml:space="preserve">目 录</w:t>
          </w:r>
          <w:r>
            <w:rPr>
              <w:color w:val="auto"/>
              <w:highlight w:val="none"/>
            </w:rPr>
          </w:r>
          <w:r/>
        </w:p>
        <w:p>
          <w:pPr>
            <w:pStyle w:val="900"/>
            <w:tabs>
              <w:tab w:val="right" w:pos="946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r>
            <w:rPr>
              <w:color w:val="auto"/>
              <w:highlight w:val="none"/>
            </w:rPr>
          </w:r>
          <w:r/>
        </w:p>
        <w:p>
          <w:pPr>
            <w:pStyle w:val="900"/>
            <w:tabs>
              <w:tab w:val="right" w:pos="9468"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"_Toc3147" </w:instrText>
          </w:r>
          <w:r>
            <w:rPr>
              <w:color w:val="auto"/>
              <w:highlight w:val="none"/>
            </w:rPr>
            <w:fldChar w:fldCharType="separate"/>
          </w:r>
          <w:r>
            <w:rPr>
              <w:rFonts w:hint="eastAsia" w:ascii="宋体" w:hAnsi="宋体" w:eastAsia="宋体" w:cs="宋体"/>
              <w:color w:val="auto"/>
              <w:sz w:val="21"/>
              <w:szCs w:val="21"/>
              <w:highlight w:val="none"/>
            </w:rPr>
            <w:t xml:space="preserve">第一章 竞争性磋商公告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color w:val="auto"/>
              <w:highlight w:val="none"/>
            </w:rPr>
          </w:r>
          <w:r/>
        </w:p>
        <w:p>
          <w:pPr>
            <w:pStyle w:val="900"/>
            <w:tabs>
              <w:tab w:val="right" w:pos="9468"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"_Toc18321" </w:instrText>
          </w:r>
          <w:r>
            <w:rPr>
              <w:color w:val="auto"/>
              <w:highlight w:val="none"/>
            </w:rPr>
            <w:fldChar w:fldCharType="separate"/>
          </w:r>
          <w:r>
            <w:rPr>
              <w:rFonts w:hint="eastAsia" w:ascii="宋体" w:hAnsi="宋体" w:eastAsia="宋体" w:cs="宋体"/>
              <w:color w:val="auto"/>
              <w:sz w:val="21"/>
              <w:szCs w:val="21"/>
              <w:highlight w:val="none"/>
            </w:rPr>
            <w:t xml:space="preserve">第二章 磋商供应商须知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_Toc18321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"_Toc31992" </w:instrText>
          </w:r>
          <w:r>
            <w:rPr>
              <w:color w:val="auto"/>
              <w:highlight w:val="none"/>
            </w:rPr>
            <w:fldChar w:fldCharType="separate"/>
          </w:r>
          <w:r>
            <w:rPr>
              <w:rFonts w:hint="eastAsia" w:ascii="宋体" w:hAnsi="宋体" w:eastAsia="宋体"/>
              <w:color w:val="auto"/>
              <w:sz w:val="21"/>
              <w:szCs w:val="21"/>
              <w:highlight w:val="none"/>
            </w:rPr>
            <w:t xml:space="preserve">一、总   则</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_Toc31992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9</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"_Toc7651" </w:instrText>
          </w:r>
          <w:r>
            <w:rPr>
              <w:color w:val="auto"/>
              <w:highlight w:val="none"/>
            </w:rPr>
            <w:fldChar w:fldCharType="separate"/>
          </w:r>
          <w:r>
            <w:rPr>
              <w:rFonts w:hint="eastAsia" w:ascii="宋体" w:hAnsi="宋体" w:eastAsia="宋体"/>
              <w:color w:val="auto"/>
              <w:sz w:val="21"/>
              <w:szCs w:val="21"/>
              <w:highlight w:val="none"/>
            </w:rPr>
            <w:t xml:space="preserve">二、响应文件编制</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_Toc7651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11</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"_Toc7920" </w:instrText>
          </w:r>
          <w:r>
            <w:rPr>
              <w:color w:val="auto"/>
              <w:highlight w:val="none"/>
            </w:rPr>
            <w:fldChar w:fldCharType="separate"/>
          </w:r>
          <w:r>
            <w:rPr>
              <w:rFonts w:hint="eastAsia" w:ascii="宋体" w:hAnsi="宋体" w:eastAsia="宋体"/>
              <w:bCs/>
              <w:color w:val="auto"/>
              <w:sz w:val="21"/>
              <w:szCs w:val="21"/>
              <w:highlight w:val="none"/>
            </w:rPr>
            <w:t xml:space="preserve">三、响应文件签署与递交</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_Toc7920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13</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"_Toc15049" </w:instrText>
          </w:r>
          <w:r>
            <w:rPr>
              <w:color w:val="auto"/>
              <w:highlight w:val="none"/>
            </w:rPr>
            <w:fldChar w:fldCharType="separate"/>
          </w:r>
          <w:r>
            <w:rPr>
              <w:rFonts w:hint="eastAsia" w:ascii="宋体" w:hAnsi="宋体" w:eastAsia="宋体"/>
              <w:bCs/>
              <w:color w:val="auto"/>
              <w:sz w:val="21"/>
              <w:szCs w:val="21"/>
              <w:highlight w:val="none"/>
            </w:rPr>
            <w:t xml:space="preserve">四、响应文件的解密与评审</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_Toc15049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14</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"_Toc27372" </w:instrText>
          </w:r>
          <w:r>
            <w:rPr>
              <w:color w:val="auto"/>
              <w:highlight w:val="none"/>
            </w:rPr>
            <w:fldChar w:fldCharType="separate"/>
          </w:r>
          <w:r>
            <w:rPr>
              <w:rFonts w:hint="eastAsia" w:ascii="宋体" w:hAnsi="宋体" w:eastAsia="宋体"/>
              <w:color w:val="auto"/>
              <w:sz w:val="21"/>
              <w:szCs w:val="21"/>
              <w:highlight w:val="none"/>
            </w:rPr>
            <w:t xml:space="preserve">五、成交</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_Toc27372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18</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"_Toc28007" </w:instrText>
          </w:r>
          <w:r>
            <w:rPr>
              <w:color w:val="auto"/>
              <w:highlight w:val="none"/>
            </w:rPr>
            <w:fldChar w:fldCharType="separate"/>
          </w:r>
          <w:r>
            <w:rPr>
              <w:rFonts w:hint="eastAsia" w:ascii="宋体" w:hAnsi="宋体" w:eastAsia="宋体"/>
              <w:bCs/>
              <w:color w:val="auto"/>
              <w:sz w:val="21"/>
              <w:szCs w:val="21"/>
              <w:highlight w:val="none"/>
            </w:rPr>
            <w:t xml:space="preserve">六、授予合同</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_Toc28007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19</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"_Toc4987" </w:instrText>
          </w:r>
          <w:r>
            <w:rPr>
              <w:color w:val="auto"/>
              <w:highlight w:val="none"/>
            </w:rPr>
            <w:fldChar w:fldCharType="separate"/>
          </w:r>
          <w:r>
            <w:rPr>
              <w:rFonts w:hint="eastAsia" w:ascii="宋体" w:hAnsi="宋体" w:eastAsia="宋体"/>
              <w:bCs/>
              <w:color w:val="auto"/>
              <w:sz w:val="21"/>
              <w:szCs w:val="21"/>
              <w:highlight w:val="none"/>
            </w:rPr>
            <w:t xml:space="preserve">七、询问、质疑、投诉和诚实信用</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_Toc4987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19</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00"/>
            <w:tabs>
              <w:tab w:val="right" w:pos="9468"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"_Toc9762" </w:instrText>
          </w:r>
          <w:r>
            <w:rPr>
              <w:color w:val="auto"/>
              <w:highlight w:val="none"/>
            </w:rPr>
            <w:fldChar w:fldCharType="separate"/>
          </w:r>
          <w:r>
            <w:rPr>
              <w:rFonts w:hint="eastAsia" w:ascii="宋体" w:hAnsi="宋体" w:eastAsia="宋体" w:cs="宋体"/>
              <w:color w:val="auto"/>
              <w:sz w:val="21"/>
              <w:szCs w:val="21"/>
              <w:highlight w:val="none"/>
            </w:rPr>
            <w:t xml:space="preserve">第三章 磋商评审标准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color w:val="auto"/>
              <w:highlight w:val="none"/>
            </w:rPr>
          </w:r>
          <w:r/>
        </w:p>
        <w:p>
          <w:pPr>
            <w:pStyle w:val="900"/>
            <w:tabs>
              <w:tab w:val="right" w:pos="9468"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"_Toc30518" </w:instrText>
          </w:r>
          <w:r>
            <w:rPr>
              <w:color w:val="auto"/>
              <w:highlight w:val="none"/>
            </w:rPr>
            <w:fldChar w:fldCharType="separate"/>
          </w:r>
          <w:r>
            <w:rPr>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_Toc30518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"_Toc25039" </w:instrText>
          </w:r>
          <w:r>
            <w:rPr>
              <w:color w:val="auto"/>
              <w:highlight w:val="none"/>
            </w:rPr>
            <w:fldChar w:fldCharType="separate"/>
          </w:r>
          <w:r>
            <w:rPr>
              <w:rFonts w:hint="eastAsia" w:ascii="宋体" w:hAnsi="宋体" w:eastAsia="宋体"/>
              <w:color w:val="auto"/>
              <w:sz w:val="21"/>
              <w:szCs w:val="21"/>
              <w:highlight w:val="none"/>
            </w:rPr>
            <w:t xml:space="preserve">一、项目概况</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_Toc25039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25</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"_Toc23992" </w:instrText>
          </w:r>
          <w:r>
            <w:rPr>
              <w:color w:val="auto"/>
              <w:highlight w:val="none"/>
            </w:rPr>
            <w:fldChar w:fldCharType="separate"/>
          </w:r>
          <w:r>
            <w:rPr>
              <w:rFonts w:hint="eastAsia" w:ascii="宋体" w:hAnsi="宋体" w:eastAsia="宋体"/>
              <w:color w:val="auto"/>
              <w:sz w:val="21"/>
              <w:szCs w:val="21"/>
              <w:highlight w:val="none"/>
            </w:rPr>
            <w:t xml:space="preserve">二、服务内容和要求</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_Toc23992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25</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"_Toc30540" </w:instrText>
          </w:r>
          <w:r>
            <w:rPr>
              <w:color w:val="auto"/>
              <w:highlight w:val="none"/>
            </w:rPr>
            <w:fldChar w:fldCharType="separate"/>
          </w:r>
          <w:r>
            <w:rPr>
              <w:rFonts w:hint="eastAsia" w:ascii="宋体" w:hAnsi="宋体" w:eastAsia="宋体"/>
              <w:color w:val="auto"/>
              <w:sz w:val="21"/>
              <w:szCs w:val="21"/>
              <w:highlight w:val="none"/>
            </w:rPr>
            <w:t xml:space="preserve">三、执行要求</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_Toc30540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25</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"_Toc337" </w:instrText>
          </w:r>
          <w:r>
            <w:rPr>
              <w:color w:val="auto"/>
              <w:highlight w:val="none"/>
            </w:rPr>
            <w:fldChar w:fldCharType="separate"/>
          </w:r>
          <w:r>
            <w:rPr>
              <w:rFonts w:hint="eastAsia" w:ascii="宋体" w:hAnsi="宋体" w:eastAsia="宋体"/>
              <w:color w:val="auto"/>
              <w:sz w:val="21"/>
              <w:szCs w:val="21"/>
              <w:highlight w:val="none"/>
            </w:rPr>
            <w:t xml:space="preserve">四、服务保障和自罚承诺</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_Toc337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26</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"_Toc8946" </w:instrText>
          </w:r>
          <w:r>
            <w:rPr>
              <w:color w:val="auto"/>
              <w:highlight w:val="none"/>
            </w:rPr>
            <w:fldChar w:fldCharType="separate"/>
          </w:r>
          <w:r>
            <w:rPr>
              <w:rFonts w:hint="eastAsia" w:ascii="宋体" w:hAnsi="宋体" w:eastAsia="宋体"/>
              <w:color w:val="auto"/>
              <w:sz w:val="21"/>
              <w:szCs w:val="21"/>
              <w:highlight w:val="none"/>
            </w:rPr>
            <w:t xml:space="preserve">五、报价说明</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_Toc8946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26</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"_Toc29489" </w:instrText>
          </w:r>
          <w:r>
            <w:rPr>
              <w:color w:val="auto"/>
              <w:highlight w:val="none"/>
            </w:rPr>
            <w:fldChar w:fldCharType="separate"/>
          </w:r>
          <w:r>
            <w:rPr>
              <w:rFonts w:hint="eastAsia" w:ascii="宋体" w:hAnsi="宋体" w:eastAsia="宋体"/>
              <w:color w:val="auto"/>
              <w:sz w:val="21"/>
              <w:szCs w:val="21"/>
              <w:highlight w:val="none"/>
            </w:rPr>
            <w:t xml:space="preserve">六、考核及付款</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_Toc29489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27</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sz w:val="21"/>
              <w:szCs w:val="21"/>
              <w:highlight w:val="none"/>
            </w:rPr>
          </w:pPr>
          <w:r>
            <w:rPr>
              <w:color w:val="auto"/>
              <w:highlight w:val="none"/>
            </w:rPr>
            <w:fldChar w:fldCharType="begin"/>
          </w:r>
          <w:r>
            <w:rPr>
              <w:color w:val="auto"/>
              <w:highlight w:val="none"/>
            </w:rPr>
            <w:instrText xml:space="preserve"> HYPERLINK \l "_Toc18047" </w:instrText>
          </w:r>
          <w:r>
            <w:rPr>
              <w:color w:val="auto"/>
              <w:highlight w:val="none"/>
            </w:rPr>
            <w:fldChar w:fldCharType="separate"/>
          </w:r>
          <w:r>
            <w:rPr>
              <w:rFonts w:hint="eastAsia" w:ascii="宋体" w:hAnsi="宋体" w:eastAsia="宋体"/>
              <w:color w:val="auto"/>
              <w:sz w:val="21"/>
              <w:szCs w:val="21"/>
              <w:highlight w:val="none"/>
            </w:rPr>
            <w:t xml:space="preserve">七、其他</w:t>
          </w:r>
          <w:r>
            <w:rPr>
              <w:rFonts w:hint="eastAsia" w:ascii="宋体" w:hAnsi="宋体" w:eastAsia="宋体"/>
              <w:color w:val="auto"/>
              <w:sz w:val="21"/>
              <w:szCs w:val="21"/>
              <w:highlight w:val="none"/>
              <w:lang w:val="en-US"/>
            </w:rPr>
            <w:t xml:space="preserve">说明</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PAGEREF _Toc18047 \h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28</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rPr>
              <w:color w:val="auto"/>
              <w:highlight w:val="none"/>
            </w:rPr>
          </w:r>
          <w:r/>
        </w:p>
        <w:p>
          <w:pPr>
            <w:pStyle w:val="900"/>
            <w:tabs>
              <w:tab w:val="right" w:pos="9468"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"_Toc5670" </w:instrText>
          </w:r>
          <w:r>
            <w:rPr>
              <w:color w:val="auto"/>
              <w:highlight w:val="none"/>
            </w:rPr>
            <w:fldChar w:fldCharType="separate"/>
          </w:r>
          <w:r>
            <w:rPr>
              <w:rFonts w:hint="eastAsia" w:ascii="宋体" w:hAnsi="宋体" w:eastAsia="宋体" w:cs="宋体"/>
              <w:color w:val="auto"/>
              <w:sz w:val="21"/>
              <w:szCs w:val="21"/>
              <w:highlight w:val="none"/>
            </w:rPr>
            <w:t xml:space="preserve">第五章 合同条款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_Toc5670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color w:val="auto"/>
              <w:highlight w:val="none"/>
            </w:rPr>
          </w:r>
          <w:r/>
        </w:p>
        <w:p>
          <w:pPr>
            <w:pStyle w:val="900"/>
            <w:tabs>
              <w:tab w:val="right" w:pos="9468"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"_Toc18794" </w:instrText>
          </w:r>
          <w:r>
            <w:rPr>
              <w:color w:val="auto"/>
              <w:highlight w:val="none"/>
            </w:rPr>
            <w:fldChar w:fldCharType="separate"/>
          </w:r>
          <w:r>
            <w:rPr>
              <w:rFonts w:hint="eastAsia" w:ascii="宋体" w:hAnsi="宋体" w:eastAsia="宋体" w:cs="宋体"/>
              <w:color w:val="auto"/>
              <w:sz w:val="21"/>
              <w:szCs w:val="21"/>
              <w:highlight w:val="none"/>
            </w:rPr>
            <w:t xml:space="preserve">第六章 竞争性磋商响应文件格式及附件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_Toc18794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color w:val="auto"/>
              <w:highlight w:val="none"/>
            </w:rPr>
          </w:r>
          <w:r/>
        </w:p>
        <w:p>
          <w:pPr>
            <w:pStyle w:val="910"/>
            <w:ind w:left="420"/>
            <w:tabs>
              <w:tab w:val="right" w:pos="9468" w:leader="dot"/>
            </w:tabs>
            <w:rPr>
              <w:rFonts w:hint="eastAsia" w:ascii="宋体" w:hAnsi="宋体" w:eastAsia="宋体"/>
              <w:color w:val="auto"/>
              <w:highlight w:val="none"/>
            </w:rPr>
          </w:pPr>
          <w:r>
            <w:rPr>
              <w:rFonts w:hint="eastAsia" w:ascii="宋体" w:hAnsi="宋体" w:eastAsia="宋体"/>
              <w:color w:val="auto"/>
              <w:highlight w:val="none"/>
            </w:rPr>
          </w:r>
          <w:r>
            <w:rPr>
              <w:color w:val="auto"/>
              <w:highlight w:val="none"/>
            </w:rPr>
          </w:r>
          <w:r/>
        </w:p>
        <w:p>
          <w:pPr>
            <w:pStyle w:val="1318"/>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color w:val="auto"/>
              <w:highlight w:val="none"/>
            </w:rPr>
          </w:r>
          <w:r/>
        </w:p>
      </w:sdtContent>
    </w:sdt>
    <w:p>
      <w:pPr>
        <w:pStyle w:val="1319"/>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color w:val="auto"/>
          <w:highlight w:val="none"/>
        </w:rPr>
      </w:r>
      <w:r/>
    </w:p>
    <w:p>
      <w:pPr>
        <w:pStyle w:val="932"/>
        <w:ind w:firstLine="0"/>
        <w:jc w:val="center"/>
        <w:spacing w:line="720" w:lineRule="auto"/>
        <w:rPr>
          <w:rFonts w:hint="eastAsia" w:ascii="宋体" w:hAnsi="宋体" w:eastAsia="宋体" w:cs="宋体"/>
          <w:b/>
          <w:color w:val="auto"/>
          <w:sz w:val="32"/>
          <w:szCs w:val="32"/>
          <w:highlight w:val="none"/>
        </w:rPr>
        <w:outlineLvl w:val="0"/>
      </w:pPr>
      <w:r>
        <w:rPr>
          <w:color w:val="auto"/>
          <w:highlight w:val="none"/>
        </w:rPr>
      </w:r>
      <w:bookmarkStart w:id="5" w:name="_Toc3147"/>
      <w:r>
        <w:rPr>
          <w:rFonts w:hint="eastAsia" w:ascii="宋体" w:hAnsi="宋体" w:eastAsia="宋体" w:cs="宋体"/>
          <w:b/>
          <w:color w:val="auto"/>
          <w:sz w:val="32"/>
          <w:szCs w:val="32"/>
          <w:highlight w:val="none"/>
        </w:rPr>
        <w:t xml:space="preserve">第一章 竞争性磋商公告</w:t>
      </w:r>
      <w:bookmarkEnd w:id="5"/>
      <w:r>
        <w:rPr>
          <w:color w:val="auto"/>
          <w:highlight w:val="none"/>
        </w:rPr>
      </w:r>
      <w:r/>
    </w:p>
    <w:tbl>
      <w:tblPr>
        <w:tblStyle w:val="92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458"/>
      </w:tblGrid>
      <w:tr>
        <w:trPr/>
        <w:tc>
          <w:tcPr>
            <w:tcW w:w="9685" w:type="dxa"/>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项目概况</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zh-CN"/>
              </w:rPr>
              <w:t xml:space="preserve">南京市房屋租赁监管平台运维服务项目</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color w:val="auto"/>
                <w:szCs w:val="21"/>
                <w:highlight w:val="none"/>
                <w:u w:val="single"/>
              </w:rPr>
              <w:t xml:space="preserve">2026年</w:t>
            </w:r>
            <w:r>
              <w:rPr>
                <w:rFonts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26</w:t>
            </w:r>
            <w:r>
              <w:rPr>
                <w:rFonts w:hint="eastAsia" w:ascii="宋体" w:hAnsi="宋体" w:eastAsia="宋体" w:cs="宋体"/>
                <w:color w:val="auto"/>
                <w:szCs w:val="21"/>
                <w:highlight w:val="none"/>
                <w:u w:val="single"/>
              </w:rPr>
              <w:t xml:space="preserve">日14时30分</w:t>
            </w:r>
            <w:r>
              <w:rPr>
                <w:rFonts w:hint="eastAsia" w:ascii="宋体" w:hAnsi="宋体" w:eastAsia="宋体" w:cs="宋体"/>
                <w:color w:val="auto"/>
                <w:szCs w:val="21"/>
                <w:highlight w:val="none"/>
              </w:rPr>
              <w:t xml:space="preserve">（北京时间）前递交投标文件。</w:t>
            </w:r>
            <w:r>
              <w:rPr>
                <w:color w:val="auto"/>
                <w:highlight w:val="none"/>
              </w:rPr>
            </w:r>
            <w:r/>
          </w:p>
        </w:tc>
      </w:tr>
    </w:tbl>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 </w:t>
      </w:r>
      <w:r>
        <w:rPr>
          <w:rFonts w:hint="eastAsia" w:ascii="宋体" w:hAnsi="宋体" w:eastAsia="宋体" w:cs="宋体"/>
          <w:color w:val="auto"/>
          <w:szCs w:val="21"/>
          <w:highlight w:val="none"/>
          <w:lang w:eastAsia="zh-CN"/>
        </w:rPr>
        <w:t xml:space="preserve">JSZC-320100-NJLB-C2026-0010</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项目名称：南京市房屋租赁监管平台运维服务项目；</w:t>
      </w:r>
      <w:r>
        <w:rPr>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招标方式：竞争性磋商；</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w:t>
      </w:r>
      <w:r>
        <w:rPr>
          <w:rFonts w:ascii="宋体" w:hAnsi="宋体" w:eastAsia="宋体" w:cs="宋体"/>
          <w:color w:val="auto"/>
          <w:szCs w:val="21"/>
          <w:highlight w:val="none"/>
        </w:rPr>
        <w:t xml:space="preserve">103.00</w:t>
      </w:r>
      <w:r>
        <w:rPr>
          <w:rFonts w:hint="eastAsia" w:ascii="宋体" w:hAnsi="宋体" w:eastAsia="宋体" w:cs="宋体"/>
          <w:color w:val="auto"/>
          <w:szCs w:val="21"/>
          <w:highlight w:val="none"/>
        </w:rPr>
        <w:t xml:space="preserve">万元；</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w:t>
      </w:r>
      <w:r>
        <w:rPr>
          <w:rFonts w:ascii="宋体" w:hAnsi="宋体" w:eastAsia="宋体" w:cs="宋体"/>
          <w:color w:val="auto"/>
          <w:szCs w:val="21"/>
          <w:highlight w:val="none"/>
        </w:rPr>
        <w:t xml:space="preserve">103.00</w:t>
      </w:r>
      <w:r>
        <w:rPr>
          <w:rFonts w:hint="eastAsia" w:ascii="宋体" w:hAnsi="宋体" w:eastAsia="宋体" w:cs="宋体"/>
          <w:color w:val="auto"/>
          <w:szCs w:val="21"/>
          <w:highlight w:val="none"/>
        </w:rPr>
        <w:t xml:space="preserve">万元；</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采购需求：南京市房屋租赁监管平台运维服务项目，详见采购文件；</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rPr>
          <w:rFonts w:hint="eastAsia" w:ascii="宋体" w:hAnsi="宋体" w:eastAsia="宋体" w:cs="宋体"/>
          <w:bCs/>
          <w:color w:val="auto"/>
          <w:szCs w:val="21"/>
          <w:highlight w:val="none"/>
        </w:rPr>
        <w:t xml:space="preserve">一年</w:t>
      </w:r>
      <w:r>
        <w:rPr>
          <w:rFonts w:hint="eastAsia" w:ascii="宋体" w:hAnsi="宋体" w:eastAsia="宋体" w:cs="宋体"/>
          <w:color w:val="auto"/>
          <w:szCs w:val="21"/>
          <w:highlight w:val="none"/>
        </w:rPr>
        <w:t xml:space="preserve">；</w:t>
      </w:r>
      <w:r>
        <w:rPr>
          <w:color w:val="auto"/>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本项目</w:t>
      </w:r>
      <w:r>
        <w:rPr>
          <w:rFonts w:hint="eastAsia" w:ascii="宋体" w:hAnsi="宋体" w:eastAsia="宋体" w:cs="宋体"/>
          <w:color w:val="auto"/>
          <w:szCs w:val="21"/>
          <w:highlight w:val="none"/>
        </w:rPr>
        <w:t xml:space="preserve">不</w:t>
      </w:r>
      <w:r>
        <w:rPr>
          <w:rFonts w:hint="eastAsia" w:ascii="宋体" w:hAnsi="宋体" w:eastAsia="宋体" w:cs="宋体"/>
          <w:color w:val="auto"/>
          <w:szCs w:val="21"/>
          <w:highlight w:val="none"/>
          <w:lang w:val="zh-CN"/>
        </w:rPr>
        <w:t xml:space="preserve">接受联合体招标。</w:t>
      </w:r>
      <w:r>
        <w:rPr>
          <w:color w:val="auto"/>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二、申请人资格条件</w:t>
      </w:r>
      <w:r>
        <w:rPr>
          <w:color w:val="auto"/>
          <w:highlight w:val="none"/>
        </w:rPr>
      </w:r>
      <w:r/>
    </w:p>
    <w:p>
      <w:pPr>
        <w:ind w:firstLine="426"/>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 满足《中华人民共和国政府采购法》第二十二条规定:</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（1）具有独立承担民事责任的能力（提供法人或者其他组织的营业执照，自然人的身份证明）；</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（2）具有良好的商业信誉和健全的财务会计制度（提供参加本次政府采购活动前的会计报表或经审计的财务报告或投标截止时间前六个月内银行出具的资信证明，成立不满一个月不需提供）；</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（3）具有履行合同所必需的设备和专业技术能力（提供履行合同所必需的设备和专业技术能力的证明材料）；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（6）法律、行政法规规定的其他条件：无</w:t>
      </w:r>
      <w:r>
        <w:rPr>
          <w:color w:val="auto"/>
          <w:highlight w:val="none"/>
        </w:rPr>
      </w:r>
      <w:r/>
    </w:p>
    <w:p>
      <w:pPr>
        <w:pStyle w:val="873"/>
        <w:ind w:firstLine="422"/>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2"/>
          <w:highlight w:val="none"/>
        </w:rPr>
        <w:t xml:space="preserve">落实政府采购政策需要满足的资格条件：</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本项目按照采用以下第（1）种方式落实政府采购促进中小企业发展的要求</w:t>
      </w:r>
      <w:r>
        <w:rPr>
          <w:rFonts w:hint="eastAsia" w:ascii="宋体" w:hAnsi="宋体" w:eastAsia="宋体" w:cs="宋体"/>
          <w:color w:val="auto"/>
          <w:szCs w:val="21"/>
          <w:highlight w:val="none"/>
        </w:rPr>
        <w:t xml:space="preserve">（如属于专门面向中小企业采购的项目，供应商应为中小微企业、监狱企业、残疾人福利性单位）：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（1）本项目整体专门面向中小企业采购服务。</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（2）本项目整体专门面向小微企业采购服务。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（3）本项目通过以下第（）种方式预留部分采购份额采购中小企业服务：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（4）本项目为非预留份额的采购项目或采购包，执行价格扣除优惠政策，具体详见采购文件。 </w:t>
      </w:r>
      <w:r>
        <w:rPr>
          <w:color w:val="auto"/>
          <w:highlight w:val="none"/>
        </w:rPr>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3.采购人根据采购项目的特殊要求规定的特定条件 ：无。</w:t>
      </w:r>
      <w:r>
        <w:rPr>
          <w:color w:val="auto"/>
          <w:highlight w:val="none"/>
        </w:rPr>
      </w:r>
      <w:r/>
    </w:p>
    <w:p>
      <w:pPr>
        <w:ind w:left="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val="zh-CN"/>
        </w:rPr>
        <w:t xml:space="preserve">获取</w:t>
      </w:r>
      <w:r>
        <w:rPr>
          <w:rFonts w:hint="eastAsia" w:ascii="宋体" w:hAnsi="宋体" w:eastAsia="宋体" w:cs="宋体"/>
          <w:b/>
          <w:bCs/>
          <w:color w:val="auto"/>
          <w:szCs w:val="21"/>
          <w:highlight w:val="none"/>
        </w:rPr>
        <w:t xml:space="preserve">招标</w:t>
      </w:r>
      <w:r>
        <w:rPr>
          <w:rFonts w:hint="eastAsia" w:ascii="宋体" w:hAnsi="宋体" w:eastAsia="宋体" w:cs="宋体"/>
          <w:b/>
          <w:bCs/>
          <w:color w:val="auto"/>
          <w:szCs w:val="21"/>
          <w:highlight w:val="none"/>
          <w:lang w:val="zh-CN"/>
        </w:rPr>
        <w:t xml:space="preserve">文件</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时间：自招标文件公告发布之日起5个工作日</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地点：“江苏政府采购网”自行免费下载</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rPr>
          <w:color w:val="auto"/>
          <w:highlight w:val="none"/>
        </w:rPr>
      </w:r>
      <w:r/>
    </w:p>
    <w:p>
      <w:pPr>
        <w:ind w:firstLine="422"/>
        <w:jc w:val="left"/>
        <w:spacing w:line="360" w:lineRule="auto"/>
        <w:shd w:val="clear" w:color="auto" w:fill="ffffff"/>
        <w:widowControl/>
        <w:tabs>
          <w:tab w:val="left" w:pos="6164"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时间：2026年</w:t>
      </w:r>
      <w:r>
        <w:rPr>
          <w:rFonts w:ascii="宋体" w:hAnsi="宋体" w:eastAsia="宋体" w:cs="宋体"/>
          <w:color w:val="auto"/>
          <w:szCs w:val="21"/>
          <w:highlight w:val="none"/>
        </w:rPr>
        <w:t xml:space="preserve">10</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26</w:t>
      </w:r>
      <w:r>
        <w:rPr>
          <w:rFonts w:hint="eastAsia" w:ascii="宋体" w:hAnsi="宋体" w:eastAsia="宋体" w:cs="宋体"/>
          <w:color w:val="auto"/>
          <w:szCs w:val="21"/>
          <w:highlight w:val="none"/>
        </w:rPr>
        <w:t xml:space="preserve">日14时30分（北京时间） </w:t>
      </w:r>
      <w:r>
        <w:rPr>
          <w:color w:val="auto"/>
          <w:highlight w:val="none"/>
        </w:rPr>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地点：江苏省政府采购交易系统（以下简称“苏采云系统”）网上开标大厅</w:t>
      </w:r>
      <w:r>
        <w:rPr>
          <w:color w:val="auto"/>
          <w:highlight w:val="none"/>
        </w:rPr>
      </w:r>
      <w:r/>
    </w:p>
    <w:p>
      <w:pPr>
        <w:numPr>
          <w:ilvl w:val="0"/>
          <w:numId w:val="6"/>
        </w:numPr>
        <w:ind w:firstLine="422"/>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开启</w:t>
      </w:r>
      <w:r>
        <w:rPr>
          <w:color w:val="auto"/>
          <w:highlight w:val="none"/>
        </w:rPr>
      </w:r>
      <w:r/>
    </w:p>
    <w:p>
      <w:pPr>
        <w:pStyle w:val="918"/>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时间：2026年</w:t>
      </w:r>
      <w:r>
        <w:rPr>
          <w:rFonts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26</w:t>
      </w:r>
      <w:r>
        <w:rPr>
          <w:rFonts w:hint="eastAsia" w:ascii="宋体" w:hAnsi="宋体" w:eastAsia="宋体" w:cs="宋体"/>
          <w:color w:val="auto"/>
          <w:szCs w:val="21"/>
          <w:highlight w:val="none"/>
          <w:lang w:eastAsia="zh-CN"/>
        </w:rPr>
        <w:t xml:space="preserve">日14时30分（北京时间）</w:t>
      </w:r>
      <w:r>
        <w:rPr>
          <w:color w:val="auto"/>
          <w:highlight w:val="none"/>
        </w:rPr>
      </w:r>
      <w:r/>
    </w:p>
    <w:p>
      <w:pPr>
        <w:pStyle w:val="918"/>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地点：江苏省政府采购交易系统（以下简称“苏采云系统”）网上开标大厅</w:t>
      </w:r>
      <w:r>
        <w:rPr>
          <w:color w:val="auto"/>
          <w:highlight w:val="none"/>
        </w:rPr>
      </w:r>
      <w:r/>
    </w:p>
    <w:p>
      <w:pPr>
        <w:ind w:firstLine="422"/>
        <w:spacing w:line="360" w:lineRule="auto"/>
        <w:rPr>
          <w:rFonts w:hint="eastAsia" w:ascii="宋体" w:hAnsi="宋体" w:eastAsia="宋体" w:cs="宋体"/>
          <w:b/>
          <w:color w:val="auto"/>
          <w:szCs w:val="21"/>
          <w:highlight w:val="none"/>
        </w:rPr>
        <w:outlineLvl w:val="1"/>
      </w:pPr>
      <w:r>
        <w:rPr>
          <w:color w:val="auto"/>
          <w:highlight w:val="none"/>
        </w:rPr>
      </w:r>
      <w:bookmarkStart w:id="6" w:name="_Toc21451"/>
      <w:r>
        <w:rPr>
          <w:color w:val="auto"/>
          <w:highlight w:val="none"/>
        </w:rPr>
      </w:r>
      <w:bookmarkStart w:id="7" w:name="_Toc25168"/>
      <w:r>
        <w:rPr>
          <w:rFonts w:hint="eastAsia" w:ascii="宋体" w:hAnsi="宋体" w:eastAsia="宋体" w:cs="宋体"/>
          <w:b/>
          <w:color w:val="auto"/>
          <w:szCs w:val="21"/>
          <w:highlight w:val="none"/>
        </w:rPr>
        <w:t xml:space="preserve">六、公告期限</w:t>
      </w:r>
      <w:bookmarkEnd w:id="6"/>
      <w:r>
        <w:rPr>
          <w:color w:val="auto"/>
          <w:highlight w:val="none"/>
        </w:rPr>
      </w:r>
      <w:bookmarkEnd w:id="7"/>
      <w:r>
        <w:rPr>
          <w:color w:val="auto"/>
          <w:highlight w:val="none"/>
        </w:rPr>
      </w:r>
      <w:r/>
    </w:p>
    <w:p>
      <w:pPr>
        <w:pStyle w:val="918"/>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自本公告发布之日起5个工作日内。</w:t>
      </w:r>
      <w:r>
        <w:rPr>
          <w:color w:val="auto"/>
          <w:highlight w:val="none"/>
        </w:rPr>
      </w:r>
      <w:r/>
    </w:p>
    <w:p>
      <w:pPr>
        <w:ind w:firstLine="422"/>
        <w:spacing w:line="360" w:lineRule="auto"/>
        <w:rPr>
          <w:rFonts w:hint="eastAsia" w:ascii="宋体" w:hAnsi="宋体" w:eastAsia="宋体" w:cs="宋体"/>
          <w:b/>
          <w:color w:val="auto"/>
          <w:szCs w:val="21"/>
          <w:highlight w:val="none"/>
        </w:rPr>
        <w:outlineLvl w:val="1"/>
      </w:pPr>
      <w:r>
        <w:rPr>
          <w:color w:val="auto"/>
          <w:highlight w:val="none"/>
        </w:rPr>
      </w:r>
      <w:bookmarkStart w:id="8" w:name="_Toc9500"/>
      <w:r>
        <w:rPr>
          <w:color w:val="auto"/>
          <w:highlight w:val="none"/>
        </w:rPr>
      </w:r>
      <w:bookmarkStart w:id="9" w:name="_Toc14088"/>
      <w:r>
        <w:rPr>
          <w:rFonts w:hint="eastAsia" w:ascii="宋体" w:hAnsi="宋体" w:eastAsia="宋体" w:cs="宋体"/>
          <w:b/>
          <w:color w:val="auto"/>
          <w:szCs w:val="21"/>
          <w:highlight w:val="none"/>
        </w:rPr>
        <w:t xml:space="preserve">七、其他补充事宜</w:t>
      </w:r>
      <w:bookmarkEnd w:id="8"/>
      <w:r>
        <w:rPr>
          <w:color w:val="auto"/>
          <w:highlight w:val="none"/>
        </w:rPr>
      </w:r>
      <w:bookmarkEnd w:id="9"/>
      <w:r>
        <w:rPr>
          <w:color w:val="auto"/>
          <w:highlight w:val="none"/>
        </w:rPr>
      </w:r>
      <w:r/>
    </w:p>
    <w:p>
      <w:pPr>
        <w:ind w:firstLine="420"/>
        <w:spacing w:line="360" w:lineRule="auto"/>
        <w:rPr>
          <w:rFonts w:hint="eastAsia" w:ascii="宋体" w:hAnsi="宋体" w:eastAsia="宋体" w:cs="宋体"/>
          <w:bCs/>
          <w:color w:val="auto"/>
          <w:szCs w:val="21"/>
          <w:highlight w:val="none"/>
        </w:rPr>
      </w:pPr>
      <w:r>
        <w:rPr>
          <w:color w:val="auto"/>
          <w:highlight w:val="none"/>
        </w:rPr>
      </w:r>
      <w:bookmarkStart w:id="10" w:name="_Toc3175"/>
      <w:r>
        <w:rPr>
          <w:rFonts w:hint="eastAsia" w:ascii="宋体" w:hAnsi="宋体" w:eastAsia="宋体" w:cs="宋体"/>
          <w:bCs/>
          <w:color w:val="auto"/>
          <w:szCs w:val="21"/>
          <w:highlight w:val="none"/>
        </w:rPr>
        <w:t xml:space="preserve">1. 拒绝下述投标人参加本次</w:t>
      </w:r>
      <w:r>
        <w:rPr>
          <w:rFonts w:hint="eastAsia" w:ascii="宋体" w:hAnsi="宋体" w:eastAsia="宋体" w:cs="宋体"/>
          <w:color w:val="auto"/>
          <w:szCs w:val="21"/>
          <w:highlight w:val="none"/>
        </w:rPr>
        <w:t xml:space="preserve">采购</w:t>
      </w:r>
      <w:r>
        <w:rPr>
          <w:rFonts w:hint="eastAsia" w:ascii="宋体" w:hAnsi="宋体" w:eastAsia="宋体" w:cs="宋体"/>
          <w:bCs/>
          <w:color w:val="auto"/>
          <w:szCs w:val="21"/>
          <w:highlight w:val="none"/>
        </w:rPr>
        <w:t xml:space="preserve">活动：</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（2）除单一来源采购项目外，为采购项目提供整体设计、规范编制或者项目管理、监理、检测等服务的供应商，不得再参加该采购项目的其他采购活动。</w:t>
      </w:r>
      <w:r>
        <w:rPr>
          <w:color w:val="auto"/>
          <w:highlight w:val="none"/>
        </w:rPr>
      </w:r>
      <w:r/>
    </w:p>
    <w:p>
      <w:pPr>
        <w:pStyle w:val="914"/>
        <w:ind w:firstLine="420"/>
        <w:spacing w:before="75" w:beforeAutospacing="0" w:after="75" w:afterAutospacing="0" w:line="360" w:lineRule="auto"/>
        <w:rPr>
          <w:rFonts w:hint="eastAsia"/>
          <w:color w:val="auto"/>
          <w:sz w:val="21"/>
          <w:szCs w:val="21"/>
          <w:highlight w:val="none"/>
        </w:rPr>
      </w:pPr>
      <w:r>
        <w:rPr>
          <w:rFonts w:hint="eastAsia"/>
          <w:color w:val="auto"/>
          <w:sz w:val="21"/>
          <w:szCs w:val="21"/>
          <w:highlight w:val="none"/>
        </w:rPr>
        <w:t xml:space="preserve">（3）供应商被“信用中国”网站、“中国政府采购”列入失信被执行人、重大税收违法失信主体、政府采购严重违法失信行为记录名单。</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color w:val="auto"/>
          <w:szCs w:val="21"/>
          <w:highlight w:val="none"/>
        </w:rPr>
        <w:t xml:space="preserve"> 依据南京市财政局“关于在政府采购中推</w:t>
      </w:r>
      <w:r>
        <w:rPr>
          <w:rFonts w:hint="eastAsia" w:ascii="宋体" w:hAnsi="宋体" w:cs="宋体"/>
          <w:color w:val="auto"/>
          <w:szCs w:val="21"/>
          <w:highlight w:val="none"/>
        </w:rPr>
        <w:t xml:space="preserve">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不适用信用承诺的情形：供应商被列入严重失信主体名单；被相关监督部门作出行政处罚且尚处在处罚有效期内；其他法律、行政法规规定的不适用信用承诺的情形。投标人对信用承诺内容的真实性、合法性、有效性负责。如作出虚假信用承诺，视同为</w:t>
      </w:r>
      <w:r>
        <w:rPr>
          <w:rFonts w:ascii="宋体" w:hAnsi="宋体" w:cs="宋体"/>
          <w:color w:val="auto"/>
          <w:szCs w:val="21"/>
          <w:highlight w:val="none"/>
        </w:rPr>
        <w:t xml:space="preserve">“</w:t>
      </w:r>
      <w:r>
        <w:rPr>
          <w:rFonts w:hint="eastAsia" w:ascii="宋体" w:hAnsi="宋体" w:cs="宋体"/>
          <w:color w:val="auto"/>
          <w:szCs w:val="21"/>
          <w:highlight w:val="none"/>
        </w:rPr>
        <w:t xml:space="preserve">提供虚假材料谋取中标、成交</w:t>
      </w:r>
      <w:r>
        <w:rPr>
          <w:rFonts w:ascii="宋体" w:hAnsi="宋体" w:cs="宋体"/>
          <w:color w:val="auto"/>
          <w:szCs w:val="21"/>
          <w:highlight w:val="none"/>
        </w:rPr>
        <w:t xml:space="preserve">”</w:t>
      </w:r>
      <w:r>
        <w:rPr>
          <w:rFonts w:hint="eastAsia" w:ascii="宋体" w:hAnsi="宋体" w:cs="宋体"/>
          <w:color w:val="auto"/>
          <w:szCs w:val="21"/>
          <w:highlight w:val="none"/>
        </w:rPr>
        <w:t xml:space="preserve">的违法行为。</w:t>
      </w:r>
      <w:r>
        <w:rPr>
          <w:color w:val="auto"/>
          <w:highlight w:val="none"/>
        </w:rPr>
      </w:r>
      <w:r/>
    </w:p>
    <w:p>
      <w:pPr>
        <w:ind w:firstLine="480"/>
        <w:spacing w:line="360" w:lineRule="auto"/>
        <w:rPr>
          <w:rFonts w:hint="eastAsia" w:ascii="宋体" w:hAnsi="宋体" w:eastAsia="宋体" w:cs="宋体"/>
          <w:color w:val="auto"/>
          <w:szCs w:val="21"/>
          <w:highlight w:val="none"/>
        </w:rPr>
      </w:pPr>
      <w:r>
        <w:rPr>
          <w:rFonts w:ascii="宋体" w:hAnsi="宋体" w:eastAsia="宋体" w:cs="宋体"/>
          <w:bCs/>
          <w:color w:val="auto"/>
          <w:szCs w:val="21"/>
          <w:highlight w:val="none"/>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本次采购采用“政府采购管理交易系统（苏采云）”，招标、投标、评标和中标结果发布全程电子化，</w:t>
      </w:r>
      <w:r>
        <w:rPr>
          <w:rFonts w:hint="eastAsia" w:ascii="宋体" w:hAnsi="宋体" w:eastAsia="宋体" w:cs="宋体"/>
          <w:b/>
          <w:bCs/>
          <w:color w:val="auto"/>
          <w:szCs w:val="21"/>
          <w:highlight w:val="none"/>
        </w:rPr>
        <w:t xml:space="preserve">开标方式为不见面开标。供应商通过苏采云系统参与本项目，需要办理江苏省政府采购数字证书CA及电子签章，具体详见苏采云系统登录页“CA办理指南”。供应商按《苏采云系统供应商操作手册》（以下简称“操作手册”）进行注册</w:t>
      </w:r>
      <w:r>
        <w:rPr>
          <w:rFonts w:hint="eastAsia" w:ascii="宋体" w:hAnsi="宋体" w:eastAsia="宋体" w:cs="宋体"/>
          <w:color w:val="auto"/>
          <w:szCs w:val="21"/>
          <w:highlight w:val="none"/>
        </w:rPr>
        <w:t xml:space="preserve">，并在规定时间内上传电子响应文件。如供应商未按要求操作，由此所产生的风险由供应商自行承担。</w:t>
      </w:r>
      <w:r>
        <w:rPr>
          <w:color w:val="auto"/>
          <w:highlight w:val="none"/>
        </w:rPr>
      </w:r>
      <w:r/>
    </w:p>
    <w:p>
      <w:pPr>
        <w:ind w:firstLine="420"/>
        <w:spacing w:line="360" w:lineRule="auto"/>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.本次采购公告在江苏政府采购网上发布,有关本次采购的事项若存在变动或修改，敬请及时关注发布的信息更正公告，如未及时关注导致投标有误的，其责任由投标人自行承担。</w:t>
      </w:r>
      <w:r>
        <w:rPr>
          <w:color w:val="auto"/>
          <w:highlight w:val="none"/>
        </w:rPr>
      </w:r>
      <w:r/>
    </w:p>
    <w:p>
      <w:pPr>
        <w:ind w:firstLine="422"/>
        <w:spacing w:line="360" w:lineRule="auto"/>
        <w:rPr>
          <w:rFonts w:hint="eastAsia" w:ascii="宋体" w:hAnsi="宋体" w:eastAsia="宋体" w:cs="宋体"/>
          <w:b/>
          <w:color w:val="auto"/>
          <w:szCs w:val="21"/>
          <w:highlight w:val="none"/>
        </w:rPr>
        <w:outlineLvl w:val="1"/>
      </w:pPr>
      <w:r>
        <w:rPr>
          <w:color w:val="auto"/>
          <w:highlight w:val="none"/>
        </w:rPr>
      </w:r>
      <w:bookmarkStart w:id="11" w:name="_Toc19640"/>
      <w:r>
        <w:rPr>
          <w:rFonts w:hint="eastAsia" w:ascii="宋体" w:hAnsi="宋体" w:eastAsia="宋体" w:cs="宋体"/>
          <w:b/>
          <w:color w:val="auto"/>
          <w:szCs w:val="21"/>
          <w:highlight w:val="none"/>
        </w:rPr>
        <w:t xml:space="preserve">八、凡对</w:t>
      </w:r>
      <w:bookmarkStart w:id="12" w:name="_Hlk124759339"/>
      <w:r>
        <w:rPr>
          <w:rFonts w:hint="eastAsia" w:ascii="宋体" w:hAnsi="宋体" w:eastAsia="宋体" w:cs="宋体"/>
          <w:b/>
          <w:color w:val="auto"/>
          <w:szCs w:val="21"/>
          <w:highlight w:val="none"/>
        </w:rPr>
        <w:t xml:space="preserve">本次招标提出询问，请按以下方式联系</w:t>
      </w:r>
      <w:bookmarkEnd w:id="10"/>
      <w:r>
        <w:rPr>
          <w:color w:val="auto"/>
          <w:highlight w:val="none"/>
        </w:rPr>
      </w:r>
      <w:bookmarkEnd w:id="11"/>
      <w:r>
        <w:rPr>
          <w:color w:val="auto"/>
          <w:highlight w:val="none"/>
        </w:rPr>
      </w:r>
      <w:bookmarkEnd w:id="12"/>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名称：南京市房地产市场交易中心</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地址：南京市鼓楼区华侨路35号</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联系人：方</w:t>
      </w:r>
      <w:r>
        <w:rPr>
          <w:rFonts w:hint="eastAsia" w:ascii="宋体" w:hAnsi="宋体" w:eastAsia="宋体" w:cs="宋体"/>
          <w:color w:val="auto"/>
          <w:szCs w:val="21"/>
          <w:highlight w:val="none"/>
        </w:rPr>
        <w:t xml:space="preserve">工</w:t>
      </w:r>
      <w:r>
        <w:rPr>
          <w:rFonts w:hint="eastAsia" w:ascii="宋体" w:hAnsi="宋体" w:eastAsia="宋体" w:cs="宋体"/>
          <w:color w:val="auto"/>
          <w:szCs w:val="21"/>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rPr>
        <w:t xml:space="preserve">025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84725303</w:t>
      </w:r>
      <w:r>
        <w:rPr>
          <w:rFonts w:hint="eastAsia" w:ascii="宋体" w:hAnsi="宋体" w:eastAsia="宋体" w:cs="宋体"/>
          <w:color w:val="auto"/>
          <w:szCs w:val="21"/>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名称：南京林博工程项目管理有限公司</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地址：南京市江宁区天印大道698号东山总部商务园A2栋506室</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联系人：夏工</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联系方式：025-52715006</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项目联系人：夏工</w:t>
      </w:r>
      <w:r>
        <w:rPr>
          <w:color w:val="auto"/>
          <w:highlight w:val="none"/>
        </w:rPr>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电话：025-52715006</w:t>
      </w:r>
      <w:r>
        <w:rPr>
          <w:color w:val="auto"/>
          <w:highlight w:val="none"/>
        </w:rPr>
      </w:r>
      <w:r/>
    </w:p>
    <w:p>
      <w:pPr>
        <w:ind w:firstLine="420"/>
        <w:jc w:val="center"/>
        <w:spacing w:line="360" w:lineRule="auto"/>
        <w:tabs>
          <w:tab w:val="left" w:pos="0" w:leader="none"/>
          <w:tab w:val="left" w:pos="510" w:leader="none"/>
          <w:tab w:val="left" w:pos="1134" w:leader="none"/>
        </w:tabs>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clear="all"/>
      </w:r>
      <w:bookmarkStart w:id="13" w:name="_Toc29253"/>
      <w:r>
        <w:rPr>
          <w:color w:val="auto"/>
          <w:highlight w:val="none"/>
        </w:rPr>
      </w:r>
      <w:bookmarkStart w:id="14" w:name="_Toc18321"/>
      <w:r>
        <w:rPr>
          <w:rFonts w:hint="eastAsia" w:ascii="宋体" w:hAnsi="宋体" w:eastAsia="宋体" w:cs="宋体"/>
          <w:b/>
          <w:color w:val="auto"/>
          <w:sz w:val="32"/>
          <w:szCs w:val="32"/>
          <w:highlight w:val="none"/>
        </w:rPr>
        <w:t xml:space="preserve">第二章 磋商供应商须知</w:t>
      </w:r>
      <w:bookmarkEnd w:id="13"/>
      <w:r>
        <w:rPr>
          <w:color w:val="auto"/>
          <w:highlight w:val="none"/>
        </w:rPr>
      </w:r>
      <w:bookmarkEnd w:id="14"/>
      <w:r>
        <w:rPr>
          <w:color w:val="auto"/>
          <w:highlight w:val="none"/>
        </w:rPr>
      </w:r>
      <w:r/>
    </w:p>
    <w:p>
      <w:pPr>
        <w:jc w:val="center"/>
        <w:rPr>
          <w:rFonts w:hint="eastAsia" w:ascii="宋体" w:hAnsi="宋体" w:eastAsia="宋体" w:cs="宋体"/>
          <w:b/>
          <w:color w:val="auto"/>
          <w:szCs w:val="28"/>
          <w:highlight w:val="none"/>
        </w:rPr>
      </w:pPr>
      <w:r>
        <w:rPr>
          <w:rFonts w:hint="eastAsia" w:ascii="宋体" w:hAnsi="宋体" w:eastAsia="宋体" w:cs="宋体"/>
          <w:b/>
          <w:color w:val="auto"/>
          <w:szCs w:val="28"/>
          <w:highlight w:val="none"/>
          <w:lang w:val="zh-CN"/>
        </w:rPr>
        <w:t xml:space="preserve">前附表</w:t>
      </w:r>
      <w:r>
        <w:rPr>
          <w:color w:val="auto"/>
          <w:highlight w:val="none"/>
        </w:rPr>
      </w:r>
      <w:r/>
    </w:p>
    <w:tbl>
      <w:tblPr>
        <w:tblStyle w:val="872"/>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1092"/>
        <w:gridCol w:w="1110"/>
        <w:gridCol w:w="1245"/>
        <w:gridCol w:w="5386"/>
      </w:tblGrid>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  目</w:t>
            </w:r>
            <w:r>
              <w:rPr>
                <w:color w:val="auto"/>
                <w:highlight w:val="none"/>
              </w:rPr>
            </w:r>
            <w:r/>
          </w:p>
        </w:tc>
        <w:tc>
          <w:tcPr>
            <w:gridSpan w:val="2"/>
            <w:tcW w:w="6631"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        容</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bidi="zh-CN"/>
              </w:rPr>
              <w:t xml:space="preserve">JSZC-320100-NJLB-C2026-0010</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南京市房屋租赁监管平台运维服务项目</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招标代理机构</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南京林博工程项目管理有限公司</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招标代理机构地址</w:t>
            </w:r>
            <w:r>
              <w:rPr>
                <w:color w:val="auto"/>
                <w:highlight w:val="none"/>
              </w:rPr>
            </w:r>
            <w:r/>
          </w:p>
        </w:tc>
        <w:tc>
          <w:tcPr>
            <w:gridSpan w:val="2"/>
            <w:tcW w:w="6631"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南京市江宁区天印大道698号东山总部商务园A2栋506室</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项目限价</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最高限价：</w:t>
            </w:r>
            <w:r>
              <w:rPr>
                <w:rFonts w:ascii="宋体" w:hAnsi="宋体" w:eastAsia="宋体" w:cs="宋体"/>
                <w:color w:val="auto"/>
                <w:szCs w:val="21"/>
                <w:highlight w:val="none"/>
              </w:rPr>
              <w:t xml:space="preserve">103.00</w:t>
            </w:r>
            <w:r>
              <w:rPr>
                <w:rFonts w:hint="eastAsia" w:ascii="宋体" w:hAnsi="宋体" w:eastAsia="宋体" w:cs="宋体"/>
                <w:color w:val="auto"/>
                <w:szCs w:val="21"/>
                <w:highlight w:val="none"/>
              </w:rPr>
              <w:t xml:space="preserve">万元</w:t>
            </w:r>
            <w:r>
              <w:rPr>
                <w:rFonts w:hint="eastAsia" w:ascii="宋体" w:hAnsi="宋体" w:eastAsia="宋体" w:cs="宋体"/>
                <w:bCs/>
                <w:color w:val="auto"/>
                <w:szCs w:val="21"/>
                <w:highlight w:val="none"/>
              </w:rPr>
              <w:t xml:space="preserve">，报价超过最高限价的响应文件被作为无效标处理。</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合同履行期限</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一年</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w:t>
            </w:r>
            <w:r>
              <w:rPr>
                <w:rFonts w:hint="eastAsia" w:ascii="宋体" w:hAnsi="宋体" w:eastAsia="宋体" w:cs="宋体"/>
                <w:bCs/>
                <w:color w:val="auto"/>
                <w:szCs w:val="21"/>
                <w:highlight w:val="none"/>
                <w:lang w:val="zh-CN"/>
              </w:rPr>
              <w:t xml:space="preserve">有效期</w:t>
            </w:r>
            <w:r>
              <w:rPr>
                <w:color w:val="auto"/>
                <w:highlight w:val="none"/>
              </w:rPr>
            </w:r>
            <w:r/>
          </w:p>
        </w:tc>
        <w:tc>
          <w:tcPr>
            <w:gridSpan w:val="2"/>
            <w:tcW w:w="6631" w:type="dxa"/>
            <w:vAlign w:val="center"/>
            <w:textDirection w:val="lrTb"/>
            <w:noWrap w:val="false"/>
          </w:tcPr>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highlight w:val="none"/>
              </w:rPr>
              <w:t xml:space="preserve">投标有效期从提交投标文件的截止之日起算</w:t>
            </w:r>
            <w:r>
              <w:rPr>
                <w:rFonts w:hint="eastAsia" w:ascii="宋体" w:hAnsi="宋体" w:eastAsia="宋体" w:cs="宋体"/>
                <w:bCs/>
                <w:color w:val="auto"/>
                <w:szCs w:val="21"/>
                <w:highlight w:val="none"/>
                <w:lang w:val="zh-CN"/>
              </w:rPr>
              <w:t xml:space="preserve">90天</w:t>
            </w:r>
            <w:r>
              <w:rPr>
                <w:color w:val="auto"/>
                <w:highlight w:val="none"/>
              </w:rPr>
            </w:r>
            <w:r/>
          </w:p>
        </w:tc>
      </w:tr>
      <w:tr>
        <w:trPr>
          <w:jc w:val="center"/>
          <w:trHeight w:val="1526"/>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rPr>
                <w:color w:val="auto"/>
                <w:highlight w:val="none"/>
              </w:rPr>
            </w:r>
            <w:r/>
          </w:p>
        </w:tc>
        <w:tc>
          <w:tcPr>
            <w:gridSpan w:val="2"/>
            <w:tcW w:w="2202" w:type="dxa"/>
            <w:vAlign w:val="center"/>
            <w:textDirection w:val="lrTb"/>
            <w:noWrap w:val="false"/>
          </w:tcPr>
          <w:p>
            <w:pPr>
              <w:jc w:val="center"/>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项目所属行业</w:t>
            </w:r>
            <w:r>
              <w:rPr>
                <w:rFonts w:hint="eastAsia" w:ascii="宋体" w:hAnsi="宋体" w:eastAsia="宋体" w:cs="宋体"/>
                <w:color w:val="auto"/>
                <w:szCs w:val="21"/>
                <w:highlight w:val="none"/>
                <w:lang w:eastAsia="en-US"/>
              </w:rPr>
              <w:t xml:space="preserve">划分</w:t>
            </w:r>
            <w:r>
              <w:rPr>
                <w:color w:val="auto"/>
                <w:highlight w:val="none"/>
              </w:rPr>
            </w:r>
            <w:r/>
          </w:p>
        </w:tc>
        <w:tc>
          <w:tcPr>
            <w:gridSpan w:val="2"/>
            <w:tcW w:w="6631"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根据《关于印发中小企业划型标准规定的通知》（工信部联企业〔2011〕300号）及《国家统计局关于印发〈统计上大中小微型企业划分办法（2017）〉的通知》（国统字〔2017〕213号）等文件规定，本项目所属行业为“软件和信息技术服务业”。</w:t>
            </w:r>
            <w:r>
              <w:rPr>
                <w:color w:val="auto"/>
                <w:highlight w:val="none"/>
              </w:rPr>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w:t>
            </w:r>
            <w:r>
              <w:rPr>
                <w:color w:val="auto"/>
                <w:highlight w:val="none"/>
              </w:rPr>
            </w:r>
            <w:r/>
          </w:p>
        </w:tc>
        <w:tc>
          <w:tcPr>
            <w:gridSpan w:val="2"/>
            <w:tcW w:w="2202" w:type="dxa"/>
            <w:vAlign w:val="center"/>
            <w:textDirection w:val="lrTb"/>
            <w:noWrap w:val="false"/>
          </w:tcPr>
          <w:p>
            <w:pPr>
              <w:pStyle w:val="932"/>
              <w:ind w:left="0" w:firstLine="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异常低价审查</w:t>
            </w:r>
            <w:r>
              <w:rPr>
                <w:color w:val="auto"/>
                <w:highlight w:val="none"/>
              </w:rPr>
            </w:r>
            <w:r/>
          </w:p>
        </w:tc>
        <w:tc>
          <w:tcPr>
            <w:gridSpan w:val="2"/>
            <w:tcW w:w="6631" w:type="dxa"/>
            <w:vAlign w:val="center"/>
            <w:textDirection w:val="lrTb"/>
            <w:noWrap w:val="false"/>
          </w:tcPr>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根据《财政部关于推动解决政府采购异常低价问题的通知》（财库[2026]2号），供应商的投标报价出现以下情形的，评审委员会（磋商小组）将启动异常低价投标（响应）审查。</w:t>
            </w:r>
            <w:r>
              <w:rPr>
                <w:color w:val="auto"/>
                <w:highlight w:val="none"/>
              </w:rPr>
            </w:r>
            <w:r/>
          </w:p>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rPr>
                <w:color w:val="auto"/>
                <w:highlight w:val="none"/>
              </w:rPr>
            </w:r>
            <w:r/>
          </w:p>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（4）评审委员会基于专业判断，认为供应商报价过低，有可能影响产品质量或者不能诚信履约的其他情形。</w:t>
            </w:r>
            <w:r>
              <w:rPr>
                <w:color w:val="auto"/>
                <w:highlight w:val="none"/>
              </w:rPr>
            </w:r>
            <w:r/>
          </w:p>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none"/>
              </w:rPr>
            </w:r>
            <w:r/>
          </w:p>
          <w:p>
            <w:pPr>
              <w:ind w:firstLine="414"/>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tc>
      </w:tr>
      <w:tr>
        <w:trPr>
          <w:jc w:val="center"/>
          <w:trHeight w:val="571"/>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rPr>
                <w:color w:val="auto"/>
                <w:highlight w:val="none"/>
              </w:rPr>
            </w:r>
            <w:r/>
          </w:p>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rPr>
                <w:color w:val="auto"/>
                <w:highlight w:val="none"/>
              </w:rPr>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响应文件递交信息</w:t>
            </w:r>
            <w:r>
              <w:rPr>
                <w:color w:val="auto"/>
                <w:highlight w:val="none"/>
              </w:rPr>
            </w:r>
            <w:r/>
          </w:p>
        </w:tc>
        <w:tc>
          <w:tcPr>
            <w:tcW w:w="1110"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时间</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202</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lang w:val="zh-CN"/>
              </w:rPr>
              <w:t xml:space="preserve">年</w:t>
            </w:r>
            <w:r>
              <w:rPr>
                <w:rFonts w:ascii="宋体" w:hAnsi="宋体" w:eastAsia="宋体" w:cs="宋体"/>
                <w:bCs/>
                <w:color w:val="auto"/>
                <w:szCs w:val="21"/>
                <w:highlight w:val="none"/>
              </w:rPr>
              <w:t xml:space="preserve">10</w:t>
            </w:r>
            <w:r>
              <w:rPr>
                <w:rFonts w:hint="eastAsia" w:ascii="宋体" w:hAnsi="宋体" w:eastAsia="宋体" w:cs="宋体"/>
                <w:bCs/>
                <w:color w:val="auto"/>
                <w:szCs w:val="21"/>
                <w:highlight w:val="none"/>
                <w:lang w:val="zh-CN"/>
              </w:rPr>
              <w:t xml:space="preserve">月</w:t>
            </w:r>
            <w:r>
              <w:rPr>
                <w:rFonts w:hint="eastAsia" w:ascii="宋体" w:hAnsi="宋体" w:eastAsia="宋体" w:cs="宋体"/>
                <w:bCs/>
                <w:color w:val="auto"/>
                <w:szCs w:val="21"/>
                <w:highlight w:val="none"/>
                <w:lang w:val="en-US" w:eastAsia="zh-CN"/>
              </w:rPr>
              <w:t xml:space="preserve">26</w:t>
            </w:r>
            <w:r>
              <w:rPr>
                <w:rFonts w:hint="eastAsia" w:ascii="宋体" w:hAnsi="宋体" w:eastAsia="宋体" w:cs="宋体"/>
                <w:bCs/>
                <w:color w:val="auto"/>
                <w:szCs w:val="21"/>
                <w:highlight w:val="none"/>
                <w:lang w:val="zh-CN"/>
              </w:rPr>
              <w:t xml:space="preserve">日</w:t>
            </w:r>
            <w:r>
              <w:rPr>
                <w:rFonts w:hint="eastAsia" w:ascii="宋体" w:hAnsi="宋体" w:eastAsia="宋体" w:cs="宋体"/>
                <w:bCs/>
                <w:color w:val="auto"/>
                <w:szCs w:val="21"/>
                <w:highlight w:val="none"/>
              </w:rPr>
              <w:t xml:space="preserve">14</w:t>
            </w:r>
            <w:r>
              <w:rPr>
                <w:rFonts w:hint="eastAsia" w:ascii="宋体" w:hAnsi="宋体" w:eastAsia="宋体" w:cs="宋体"/>
                <w:bCs/>
                <w:color w:val="auto"/>
                <w:szCs w:val="21"/>
                <w:highlight w:val="none"/>
                <w:lang w:val="zh-CN"/>
              </w:rPr>
              <w:t xml:space="preserve">点</w:t>
            </w:r>
            <w:r>
              <w:rPr>
                <w:rFonts w:hint="eastAsia" w:ascii="宋体" w:hAnsi="宋体" w:eastAsia="宋体" w:cs="宋体"/>
                <w:bCs/>
                <w:color w:val="auto"/>
                <w:szCs w:val="21"/>
                <w:highlight w:val="none"/>
              </w:rPr>
              <w:t xml:space="preserve">30</w:t>
            </w:r>
            <w:r>
              <w:rPr>
                <w:rFonts w:hint="eastAsia" w:ascii="宋体" w:hAnsi="宋体" w:eastAsia="宋体" w:cs="宋体"/>
                <w:bCs/>
                <w:color w:val="auto"/>
                <w:szCs w:val="21"/>
                <w:highlight w:val="none"/>
                <w:lang w:val="zh-CN"/>
              </w:rPr>
              <w:t xml:space="preserve">分</w:t>
            </w:r>
            <w:r>
              <w:rPr>
                <w:rFonts w:hint="eastAsia" w:ascii="宋体" w:hAnsi="宋体" w:eastAsia="宋体" w:cs="宋体"/>
                <w:bCs/>
                <w:color w:val="auto"/>
                <w:szCs w:val="21"/>
                <w:highlight w:val="none"/>
              </w:rPr>
              <w:t xml:space="preserve">前</w:t>
            </w:r>
            <w:r>
              <w:rPr>
                <w:color w:val="auto"/>
                <w:highlight w:val="none"/>
              </w:rPr>
            </w:r>
            <w:r/>
          </w:p>
        </w:tc>
      </w:tr>
      <w:tr>
        <w:trPr>
          <w:jc w:val="center"/>
          <w:trHeight w:val="421"/>
        </w:trPr>
        <w:tc>
          <w:tcPr>
            <w:tcW w:w="548"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1092"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地点</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江苏省政府采购交易系统（以下简称“苏采云系统”）网上开标大厅</w:t>
            </w:r>
            <w:r>
              <w:rPr>
                <w:color w:val="auto"/>
                <w:highlight w:val="none"/>
              </w:rPr>
            </w:r>
            <w:r/>
          </w:p>
        </w:tc>
      </w:tr>
      <w:tr>
        <w:trPr>
          <w:jc w:val="center"/>
          <w:trHeight w:val="5060"/>
        </w:trPr>
        <w:tc>
          <w:tcPr>
            <w:tcW w:w="548"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1092"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要求</w:t>
            </w:r>
            <w:r>
              <w:rPr>
                <w:color w:val="auto"/>
                <w:highlight w:val="none"/>
              </w:rPr>
            </w:r>
            <w:r/>
          </w:p>
        </w:tc>
        <w:tc>
          <w:tcPr>
            <w:gridSpan w:val="2"/>
            <w:tcW w:w="6631" w:type="dxa"/>
            <w:vAlign w:val="center"/>
            <w:textDirection w:val="lrTb"/>
            <w:noWrap w:val="false"/>
          </w:tcPr>
          <w:p>
            <w:pPr>
              <w:pStyle w:val="932"/>
              <w:ind w:left="-38"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《操作手册》下载地址：</w:t>
            </w:r>
            <w:r>
              <w:rPr>
                <w:color w:val="auto"/>
                <w:highlight w:val="none"/>
              </w:rPr>
            </w:r>
            <w:r/>
          </w:p>
          <w:p>
            <w:pPr>
              <w:rPr>
                <w:rFonts w:hint="eastAsia" w:ascii="宋体" w:hAnsi="宋体" w:eastAsia="宋体" w:cs="宋体"/>
                <w:color w:val="auto"/>
                <w:szCs w:val="21"/>
                <w:highlight w:val="none"/>
              </w:rPr>
            </w:pPr>
            <w:r>
              <w:rPr>
                <w:color w:val="auto"/>
                <w:highlight w:val="none"/>
              </w:rPr>
              <w:fldChar w:fldCharType="begin"/>
            </w:r>
            <w:r>
              <w:rPr>
                <w:color w:val="auto"/>
                <w:highlight w:val="none"/>
              </w:rPr>
              <w:instrText xml:space="preserve"> HYPERLINK "http://www.ccgp-jiangsu.gov.cn/jiangsu/zlxz/ee/" </w:instrText>
            </w:r>
            <w:r>
              <w:rPr>
                <w:color w:val="auto"/>
                <w:highlight w:val="none"/>
              </w:rPr>
              <w:fldChar w:fldCharType="separate"/>
            </w:r>
            <w:r>
              <w:rPr>
                <w:rStyle w:val="928"/>
                <w:rFonts w:hint="eastAsia" w:ascii="宋体" w:hAnsi="宋体" w:eastAsia="宋体" w:cs="宋体"/>
                <w:color w:val="auto"/>
                <w:szCs w:val="21"/>
                <w:highlight w:val="none"/>
                <w:u w:val="none"/>
                <w:lang w:bidi="ar"/>
              </w:rPr>
              <w:t xml:space="preserve">http://www.ccgp-jiangsu.gov.cn/jiangsu/zlxz/ee/</w:t>
            </w:r>
            <w:r>
              <w:rPr>
                <w:rStyle w:val="928"/>
                <w:rFonts w:hint="eastAsia" w:ascii="宋体" w:hAnsi="宋体" w:eastAsia="宋体" w:cs="宋体"/>
                <w:color w:val="auto"/>
                <w:szCs w:val="21"/>
                <w:highlight w:val="none"/>
                <w:u w:val="none"/>
                <w:lang w:bidi="ar"/>
              </w:rPr>
              <w:fldChar w:fldCharType="end"/>
            </w:r>
            <w:r>
              <w:rPr>
                <w:rFonts w:hint="eastAsia" w:ascii="宋体" w:hAnsi="宋体" w:eastAsia="宋体" w:cs="宋体"/>
                <w:color w:val="auto"/>
                <w:szCs w:val="21"/>
                <w:highlight w:val="none"/>
                <w:lang w:bidi="ar"/>
              </w:rPr>
              <w:t xml:space="preserve">ee3a4bc5a3454aa2b0d9312230633ce9.html</w:t>
            </w:r>
            <w:r>
              <w:rPr>
                <w:color w:val="auto"/>
                <w:highlight w:val="none"/>
              </w:rPr>
            </w:r>
            <w:r/>
          </w:p>
          <w:p>
            <w:pPr>
              <w:pStyle w:val="1310"/>
              <w:numPr>
                <w:ilvl w:val="0"/>
                <w:numId w:val="7"/>
              </w:num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bidi="ar"/>
              </w:rPr>
              <w:t xml:space="preserve">供应商应在响应文件提交截止时间之前</w:t>
            </w:r>
            <w:r>
              <w:rPr>
                <w:rFonts w:hint="eastAsia" w:ascii="宋体" w:hAnsi="宋体" w:eastAsia="宋体" w:cs="宋体"/>
                <w:b w:val="0"/>
                <w:bCs w:val="0"/>
                <w:color w:val="auto"/>
                <w:szCs w:val="21"/>
                <w:highlight w:val="none"/>
              </w:rPr>
              <w:t xml:space="preserve">上传电子响应文件至苏采云系统。</w:t>
            </w:r>
            <w:r>
              <w:rPr>
                <w:color w:val="auto"/>
                <w:highlight w:val="none"/>
              </w:rPr>
            </w:r>
            <w:r/>
          </w:p>
          <w:p>
            <w:pPr>
              <w:pStyle w:val="914"/>
              <w:jc w:val="both"/>
              <w:spacing w:before="0" w:beforeAutospacing="0" w:after="0" w:afterAutospacing="0" w:line="360" w:lineRule="atLeast"/>
              <w:rPr>
                <w:rFonts w:hint="eastAsia"/>
                <w:color w:val="auto"/>
                <w:sz w:val="21"/>
                <w:szCs w:val="21"/>
                <w:highlight w:val="none"/>
              </w:rPr>
            </w:pPr>
            <w:r>
              <w:rPr>
                <w:rFonts w:hint="eastAsia"/>
                <w:color w:val="auto"/>
                <w:sz w:val="21"/>
                <w:szCs w:val="21"/>
                <w:highlight w:val="none"/>
              </w:rPr>
              <w:t xml:space="preserve">（3）本项目为不见面开标，开启阶段供应商在【供应商解密】环节必须使用CA证书解密电子响应文件，如在系统规定的解密时间内未能完成解密的视为放弃参与本项目。</w:t>
            </w:r>
            <w:r>
              <w:rPr>
                <w:color w:val="auto"/>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请供应商确保电脑、系统及其他设备（视频输入输出设备等）无误，且开启直至项目结束始终保持系统在线状态。</w:t>
            </w:r>
            <w:r>
              <w:rPr>
                <w:color w:val="auto"/>
                <w:highlight w:val="none"/>
              </w:rPr>
            </w:r>
            <w:r/>
          </w:p>
        </w:tc>
      </w:tr>
      <w:tr>
        <w:trPr>
          <w:jc w:val="center"/>
          <w:trHeight w:val="1760"/>
        </w:trPr>
        <w:tc>
          <w:tcPr>
            <w:tcW w:w="548" w:type="dxa"/>
            <w:vAlign w:val="center"/>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rPr>
                <w:color w:val="auto"/>
                <w:highlight w:val="none"/>
              </w:rPr>
            </w:r>
            <w:r/>
          </w:p>
        </w:tc>
        <w:tc>
          <w:tcPr>
            <w:gridSpan w:val="2"/>
            <w:tcW w:w="220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响应文件</w:t>
            </w:r>
            <w:r>
              <w:rPr>
                <w:rFonts w:hint="eastAsia" w:ascii="宋体" w:hAnsi="宋体" w:eastAsia="宋体" w:cs="宋体"/>
                <w:bCs/>
                <w:color w:val="auto"/>
                <w:szCs w:val="21"/>
                <w:highlight w:val="none"/>
                <w:lang w:val="zh-CN"/>
              </w:rPr>
              <w:t xml:space="preserve">份数</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标后，投标供应商需无偿提供纸质版响应文件一式叁份；(电子版标书一份,U盘形式，单独封装;响应文件电子版中必须包含响应文件的全部内容，不得加密，所有文档、图表等采用PDF格式或WORD格式)，每份响应文件须清楚标明“正本”或“副本”字样。</w:t>
            </w:r>
            <w:r>
              <w:rPr>
                <w:color w:val="auto"/>
                <w:highlight w:val="none"/>
              </w:rPr>
            </w:r>
            <w:r/>
          </w:p>
        </w:tc>
      </w:tr>
      <w:tr>
        <w:trPr>
          <w:jc w:val="center"/>
          <w:trHeight w:val="558"/>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w:t>
            </w:r>
            <w:r>
              <w:rPr>
                <w:color w:val="auto"/>
                <w:highlight w:val="none"/>
              </w:rPr>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开标信息</w:t>
            </w:r>
            <w:r>
              <w:rPr>
                <w:color w:val="auto"/>
                <w:highlight w:val="none"/>
              </w:rPr>
            </w:r>
            <w:r/>
          </w:p>
        </w:tc>
        <w:tc>
          <w:tcPr>
            <w:tcW w:w="1110"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202</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lang w:val="zh-CN"/>
              </w:rPr>
              <w:t xml:space="preserve">年</w:t>
            </w:r>
            <w:r>
              <w:rPr>
                <w:rFonts w:ascii="宋体" w:hAnsi="宋体" w:eastAsia="宋体" w:cs="宋体"/>
                <w:bCs/>
                <w:color w:val="auto"/>
                <w:szCs w:val="21"/>
                <w:highlight w:val="none"/>
              </w:rPr>
              <w:t xml:space="preserve">10</w:t>
            </w:r>
            <w:r>
              <w:rPr>
                <w:rFonts w:hint="eastAsia" w:ascii="宋体" w:hAnsi="宋体" w:eastAsia="宋体" w:cs="宋体"/>
                <w:bCs/>
                <w:color w:val="auto"/>
                <w:szCs w:val="21"/>
                <w:highlight w:val="none"/>
                <w:lang w:val="zh-CN"/>
              </w:rPr>
              <w:t xml:space="preserve">月</w:t>
            </w:r>
            <w:r>
              <w:rPr>
                <w:rFonts w:hint="eastAsia" w:ascii="宋体" w:hAnsi="宋体" w:eastAsia="宋体" w:cs="宋体"/>
                <w:bCs/>
                <w:color w:val="auto"/>
                <w:szCs w:val="21"/>
                <w:highlight w:val="none"/>
                <w:lang w:val="en-US" w:eastAsia="zh-CN"/>
              </w:rPr>
              <w:t xml:space="preserve">26</w:t>
            </w:r>
            <w:r>
              <w:rPr>
                <w:rFonts w:hint="eastAsia" w:ascii="宋体" w:hAnsi="宋体" w:eastAsia="宋体" w:cs="宋体"/>
                <w:bCs/>
                <w:color w:val="auto"/>
                <w:szCs w:val="21"/>
                <w:highlight w:val="none"/>
                <w:lang w:val="zh-CN"/>
              </w:rPr>
              <w:t xml:space="preserve">日</w:t>
            </w:r>
            <w:r>
              <w:rPr>
                <w:rFonts w:hint="eastAsia" w:ascii="宋体" w:hAnsi="宋体" w:eastAsia="宋体" w:cs="宋体"/>
                <w:bCs/>
                <w:color w:val="auto"/>
                <w:szCs w:val="21"/>
                <w:highlight w:val="none"/>
              </w:rPr>
              <w:t xml:space="preserve">14</w:t>
            </w:r>
            <w:r>
              <w:rPr>
                <w:rFonts w:hint="eastAsia" w:ascii="宋体" w:hAnsi="宋体" w:eastAsia="宋体" w:cs="宋体"/>
                <w:bCs/>
                <w:color w:val="auto"/>
                <w:szCs w:val="21"/>
                <w:highlight w:val="none"/>
                <w:lang w:val="zh-CN"/>
              </w:rPr>
              <w:t xml:space="preserve">点</w:t>
            </w:r>
            <w:r>
              <w:rPr>
                <w:rFonts w:hint="eastAsia" w:ascii="宋体" w:hAnsi="宋体" w:eastAsia="宋体" w:cs="宋体"/>
                <w:bCs/>
                <w:color w:val="auto"/>
                <w:szCs w:val="21"/>
                <w:highlight w:val="none"/>
              </w:rPr>
              <w:t xml:space="preserve">30</w:t>
            </w:r>
            <w:r>
              <w:rPr>
                <w:rFonts w:hint="eastAsia" w:ascii="宋体" w:hAnsi="宋体" w:eastAsia="宋体" w:cs="宋体"/>
                <w:bCs/>
                <w:color w:val="auto"/>
                <w:szCs w:val="21"/>
                <w:highlight w:val="none"/>
                <w:lang w:val="zh-CN"/>
              </w:rPr>
              <w:t xml:space="preserve">分</w:t>
            </w:r>
            <w:r>
              <w:rPr>
                <w:color w:val="auto"/>
                <w:highlight w:val="none"/>
              </w:rPr>
            </w:r>
            <w:r/>
          </w:p>
        </w:tc>
      </w:tr>
      <w:tr>
        <w:trPr>
          <w:jc w:val="center"/>
          <w:trHeight w:val="571"/>
        </w:trPr>
        <w:tc>
          <w:tcPr>
            <w:tcW w:w="548"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092"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地点</w:t>
            </w:r>
            <w:r>
              <w:rPr>
                <w:color w:val="auto"/>
                <w:highlight w:val="none"/>
              </w:rPr>
            </w:r>
            <w:r/>
          </w:p>
        </w:tc>
        <w:tc>
          <w:tcPr>
            <w:gridSpan w:val="2"/>
            <w:tcW w:w="663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江苏省政府采购交易系统（以下简称“苏采云系统”）网上开标大厅</w:t>
            </w:r>
            <w:r>
              <w:rPr>
                <w:color w:val="auto"/>
                <w:highlight w:val="none"/>
              </w:rPr>
            </w:r>
            <w:r/>
          </w:p>
        </w:tc>
      </w:tr>
      <w:tr>
        <w:trPr>
          <w:jc w:val="center"/>
          <w:trHeight w:val="853"/>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rPr>
                <w:color w:val="auto"/>
                <w:highlight w:val="none"/>
              </w:rPr>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联系事项</w:t>
            </w:r>
            <w:r>
              <w:rPr>
                <w:color w:val="auto"/>
                <w:highlight w:val="none"/>
              </w:rPr>
            </w:r>
            <w:r/>
          </w:p>
        </w:tc>
        <w:tc>
          <w:tcPr>
            <w:tcW w:w="1110"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采购单位</w:t>
            </w:r>
            <w:r>
              <w:rPr>
                <w:color w:val="auto"/>
                <w:highlight w:val="none"/>
              </w:rPr>
            </w:r>
            <w:r/>
          </w:p>
        </w:tc>
        <w:tc>
          <w:tcPr>
            <w:tcW w:w="1245"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联系人</w:t>
            </w:r>
            <w:r>
              <w:rPr>
                <w:color w:val="auto"/>
                <w:highlight w:val="none"/>
              </w:rPr>
            </w:r>
            <w:r/>
          </w:p>
        </w:tc>
        <w:tc>
          <w:tcPr>
            <w:tcW w:w="5386"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方工</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r>
            <w:r>
              <w:rPr>
                <w:rFonts w:hint="eastAsia" w:ascii="宋体" w:hAnsi="宋体" w:eastAsia="宋体" w:cs="宋体"/>
                <w:color w:val="auto"/>
                <w:szCs w:val="21"/>
                <w:highlight w:val="none"/>
              </w:rPr>
              <w:t xml:space="preserve">025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84725303</w:t>
            </w:r>
            <w:r/>
            <w:r>
              <w:rPr>
                <w:rFonts w:hint="eastAsia" w:ascii="宋体" w:hAnsi="宋体" w:eastAsia="宋体" w:cs="宋体"/>
                <w:color w:val="auto"/>
                <w:szCs w:val="21"/>
                <w:highlight w:val="none"/>
              </w:rPr>
            </w:r>
            <w:r>
              <w:rPr>
                <w:color w:val="auto"/>
                <w:highlight w:val="none"/>
              </w:rPr>
            </w:r>
            <w:r/>
          </w:p>
        </w:tc>
      </w:tr>
      <w:tr>
        <w:trPr>
          <w:jc w:val="center"/>
          <w:trHeight w:val="580"/>
        </w:trPr>
        <w:tc>
          <w:tcPr>
            <w:tcW w:w="548"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092"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0"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代理机构</w:t>
            </w:r>
            <w:r>
              <w:rPr>
                <w:color w:val="auto"/>
                <w:highlight w:val="none"/>
              </w:rPr>
            </w:r>
            <w:r/>
          </w:p>
        </w:tc>
        <w:tc>
          <w:tcPr>
            <w:tcW w:w="1245"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联系人</w:t>
            </w:r>
            <w:r>
              <w:rPr>
                <w:color w:val="auto"/>
                <w:highlight w:val="none"/>
              </w:rPr>
            </w:r>
            <w:r/>
          </w:p>
        </w:tc>
        <w:tc>
          <w:tcPr>
            <w:tcW w:w="5386"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夏工</w:t>
            </w:r>
            <w:r>
              <w:rPr>
                <w:rFonts w:hint="eastAsia" w:ascii="宋体" w:hAnsi="宋体" w:eastAsia="宋体" w:cs="宋体"/>
                <w:bCs/>
                <w:color w:val="auto"/>
                <w:szCs w:val="21"/>
                <w:highlight w:val="none"/>
                <w:lang w:bidi="zh-CN"/>
              </w:rPr>
              <w:t xml:space="preserve">，</w:t>
            </w:r>
            <w:r>
              <w:rPr>
                <w:rFonts w:hint="eastAsia" w:ascii="宋体" w:hAnsi="宋体" w:eastAsia="宋体" w:cs="宋体"/>
                <w:color w:val="auto"/>
                <w:szCs w:val="21"/>
                <w:highlight w:val="none"/>
              </w:rPr>
              <w:t xml:space="preserve">025-52715006</w:t>
            </w:r>
            <w:r>
              <w:rPr>
                <w:color w:val="auto"/>
                <w:highlight w:val="none"/>
              </w:rPr>
            </w:r>
            <w:r/>
          </w:p>
        </w:tc>
      </w:tr>
    </w:tbl>
    <w:p>
      <w:pPr>
        <w:rPr>
          <w:rFonts w:hint="eastAsia" w:ascii="宋体" w:hAnsi="宋体" w:eastAsia="宋体" w:cs="宋体"/>
          <w:b/>
          <w:color w:val="auto"/>
          <w:szCs w:val="21"/>
          <w:highlight w:val="none"/>
        </w:rPr>
      </w:pPr>
      <w:r>
        <w:rPr>
          <w:color w:val="auto"/>
          <w:highlight w:val="none"/>
        </w:rPr>
      </w:r>
      <w:bookmarkStart w:id="15" w:name="_Toc31992"/>
      <w:r>
        <w:rPr>
          <w:color w:val="auto"/>
          <w:highlight w:val="none"/>
        </w:rPr>
      </w:r>
      <w:bookmarkStart w:id="16" w:name="_Toc1345"/>
      <w:r>
        <w:rPr>
          <w:rFonts w:hint="eastAsia" w:ascii="宋体" w:hAnsi="宋体" w:eastAsia="宋体" w:cs="宋体"/>
          <w:b/>
          <w:color w:val="auto"/>
          <w:szCs w:val="21"/>
          <w:highlight w:val="none"/>
        </w:rPr>
        <w:t xml:space="preserve">一、总    则</w:t>
      </w:r>
      <w:bookmarkEnd w:id="15"/>
      <w:r>
        <w:rPr>
          <w:color w:val="auto"/>
          <w:highlight w:val="none"/>
        </w:rPr>
      </w:r>
      <w:bookmarkEnd w:id="16"/>
      <w:r>
        <w:rPr>
          <w:color w:val="auto"/>
          <w:highlight w:val="none"/>
        </w:rPr>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1、适用法律</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《中华人民共和国政府采购法》《中华人民共和国政府采购法实施条例》《政府采购竞争性磋商采购方式管理暂行办法》等有关法律、规章和规定等。</w:t>
      </w:r>
      <w:r>
        <w:rPr>
          <w:color w:val="auto"/>
          <w:highlight w:val="none"/>
        </w:rPr>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2、定义</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“供应商”是指参加磋商竞争，并符合采购文件规定资格条件的法人、其他组织或者自然人。</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“服务”指本采购文件中所述产品及相关服务。</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 “用户或使用单位”是指使用服务的单位。</w:t>
      </w:r>
      <w:r>
        <w:rPr>
          <w:color w:val="auto"/>
          <w:highlight w:val="none"/>
        </w:rPr>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3、政策功能</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促进中小企业发展。在政府采购活动中，供应商提供的货物、工程或者服务符合下列情形的，享受中小企业扶持政策：</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（1）在货物采购项目中，货物由中小企业制造，即货物由中小企业生产且使用该中小企业商号或者注册商标；</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（2）在工程采购项目中，工程由中小企业承建，即工程施工单位为中小企业；</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（3）在服务采购项目中，服务由中小企业承接，即提供服务的人员为中小企业依照《中华人民共和国劳动合同法》订立劳动合同的从业人员。</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在货物采购项目中，供应商提供的货物既有中小企业制造货物，也有大型企业制造货物的，不享受中小企业扶持政策。</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以联合体形式参加政府采购活动，联合体各方均为中小企业的，联合体视同中小企业。其中，联合体各方均为小微企业的，联合体视同小微企业。</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中小企业供应商参加政府采购活动，应当出具《中小企业声明函》，否则不得享受相关中小企业扶持政策。</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 促进残疾人就业。残疾人福利性单位提供的产品和服务，在评标时将按照财库〔2017〕141号获得优势，参加投标的残疾人福利性单位，应当提供《残疾人福利性单位声明函》（格式见附件）。</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3.4 执行节能环保产品优先采购和强制采购制度。</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采购产品属于政府优先采购节能产品和环境标志产品的，对供应商提供的国家确定的认证机构出具的、处于有效期之内的节能产品或环境标志产品认证证书（特别说明：节能、环保产品必须纳入“中国政府采购网 http://www.ccgp.gov.cn”等官方网站“节能、环保产品查询系统”，且以提供的证书为准）。</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3.5进口产品政策</w:t>
      </w:r>
      <w:r>
        <w:rPr>
          <w:color w:val="auto"/>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
          <w:color w:val="auto"/>
          <w:szCs w:val="21"/>
          <w:highlight w:val="none"/>
          <w:lang w:val="zh-CN"/>
        </w:rPr>
        <w:t xml:space="preserve">本次采购不接受进口产品投标</w:t>
      </w:r>
      <w:r>
        <w:rPr>
          <w:rFonts w:hint="eastAsia" w:ascii="宋体" w:hAnsi="宋体" w:eastAsia="宋体" w:cs="宋体"/>
          <w:color w:val="auto"/>
          <w:szCs w:val="21"/>
          <w:highlight w:val="none"/>
          <w:lang w:val="zh-CN"/>
        </w:rPr>
        <w:t xml:space="preserve">，进口产品是指通过中国海关报关验放进入中国境内且产自关境外的产品。</w:t>
      </w:r>
      <w:r>
        <w:rPr>
          <w:rFonts w:hint="eastAsia" w:ascii="宋体" w:hAnsi="宋体" w:eastAsia="宋体" w:cs="宋体"/>
          <w:bCs/>
          <w:color w:val="auto"/>
          <w:szCs w:val="21"/>
          <w:highlight w:val="none"/>
        </w:rPr>
        <w:t xml:space="preserve">进口产品认定依照《财政部关于政府采购进口产品管理有关问题的通知》（财办库〔2008〕248号）的规定。</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3.6未按要求提供相关材料的，不享受相关政策。</w:t>
      </w:r>
      <w:r>
        <w:rPr>
          <w:color w:val="auto"/>
          <w:highlight w:val="none"/>
        </w:rPr>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本国产品标准及相关政策</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eastAsia="宋体" w:cs="宋体"/>
          <w:color w:val="auto"/>
          <w:szCs w:val="21"/>
          <w:highlight w:val="none"/>
          <w:lang w:val="zh-CN"/>
        </w:rPr>
        <w:t xml:space="preserve">&gt;</w:t>
      </w:r>
      <w:r>
        <w:rPr>
          <w:rFonts w:hint="eastAsia" w:ascii="宋体" w:hAnsi="宋体" w:eastAsia="宋体" w:cs="宋体"/>
          <w:color w:val="auto"/>
          <w:szCs w:val="21"/>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Cs w:val="21"/>
          <w:highlight w:val="none"/>
          <w:lang w:val="zh-CN"/>
        </w:rPr>
        <w:t xml:space="preserve">。</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.2本国产品应当符合以下条件：</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（1）在中国境内生产</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（2）在中国境内生产的组件成本占比达到规定比例</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（3）特定产品的关键组件、关键工序符合相关要求</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.3本国产品标准的适用范围</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3.7.4对本国产品的支持政策</w:t>
      </w:r>
      <w:r>
        <w:rPr>
          <w:color w:val="auto"/>
          <w:highlight w:val="none"/>
        </w:rPr>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本项目如</w:t>
      </w:r>
      <w:r>
        <w:rPr>
          <w:rFonts w:hint="eastAsia" w:ascii="宋体" w:hAnsi="宋体" w:eastAsia="宋体" w:cs="宋体"/>
          <w:color w:val="auto"/>
          <w:szCs w:val="21"/>
          <w:highlight w:val="none"/>
          <w:lang w:val="zh-CN"/>
        </w:rPr>
        <w:t xml:space="preserve">既有本国产品又有非本国产品参与竞争，依法对本国产品给予价格评审优惠</w:t>
      </w:r>
      <w:r>
        <w:rPr>
          <w:rFonts w:hint="eastAsia" w:ascii="宋体" w:hAnsi="宋体" w:eastAsia="宋体" w:cs="宋体"/>
          <w:bCs/>
          <w:color w:val="auto"/>
          <w:szCs w:val="21"/>
          <w:highlight w:val="none"/>
          <w:lang w:val="zh-CN"/>
        </w:rPr>
        <w:t xml:space="preserve">，对本国产品的报价给予20%的价格扣除，用扣除后的价格参与评审</w:t>
      </w:r>
      <w:r>
        <w:rPr>
          <w:rFonts w:hint="eastAsia" w:ascii="宋体" w:hAnsi="宋体" w:eastAsia="宋体" w:cs="宋体"/>
          <w:color w:val="auto"/>
          <w:szCs w:val="21"/>
          <w:highlight w:val="none"/>
        </w:rPr>
        <w:t xml:space="preserve">。</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3.7.5政策执行要求</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Cs w:val="21"/>
          <w:highlight w:val="none"/>
        </w:rPr>
        <w:t xml:space="preserve">详见《国务院办公厅关于在政府采购中实施本国产品标准及相关政策的通知》（国办发〔2025〕34号）规定。</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（2）有关证明文件。</w:t>
      </w:r>
      <w:r>
        <w:rPr>
          <w:rFonts w:hint="eastAsia" w:ascii="宋体" w:hAnsi="宋体" w:eastAsia="宋体" w:cs="宋体"/>
          <w:color w:val="auto"/>
          <w:szCs w:val="21"/>
          <w:highlight w:val="none"/>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color w:val="auto"/>
          <w:highlight w:val="none"/>
        </w:rPr>
      </w:r>
      <w:r/>
    </w:p>
    <w:p>
      <w:pPr>
        <w:ind w:firstLine="412"/>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color w:val="auto"/>
          <w:highlight w:val="none"/>
        </w:rPr>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4、磋商费用</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供应商应承担所有与准备和参加磋商有关的费用，无论采购结果如何，代理人和采购人在任何情况下均无义务和责任承担这些费用。</w:t>
      </w:r>
      <w:r>
        <w:rPr>
          <w:color w:val="auto"/>
          <w:highlight w:val="none"/>
        </w:rPr>
      </w:r>
      <w:r/>
    </w:p>
    <w:p>
      <w:pPr>
        <w:ind w:firstLine="420"/>
        <w:spacing w:line="360" w:lineRule="auto"/>
        <w:rPr>
          <w:rFonts w:hint="eastAsia" w:ascii="宋体" w:hAnsi="宋体"/>
          <w:color w:val="auto"/>
          <w:szCs w:val="21"/>
          <w:highlight w:val="none"/>
        </w:rPr>
      </w:pPr>
      <w:r>
        <w:rPr>
          <w:rFonts w:hint="eastAsia" w:ascii="宋体" w:hAnsi="宋体" w:eastAsia="宋体" w:cs="宋体"/>
          <w:bCs/>
          <w:color w:val="auto"/>
          <w:szCs w:val="21"/>
          <w:highlight w:val="none"/>
        </w:rPr>
        <w:t xml:space="preserve">4.2</w:t>
      </w:r>
      <w:r>
        <w:rPr>
          <w:rFonts w:hint="eastAsia" w:ascii="宋体" w:hAnsi="宋体"/>
          <w:color w:val="auto"/>
          <w:szCs w:val="21"/>
          <w:highlight w:val="none"/>
        </w:rPr>
        <w:t xml:space="preserve">招标代理费参照《招标代理服务收费管理暂行办法》（国家发展计划委员会“计价格[2002]1980号”）代理招标收费基准费率标准的70%收取，专家评委费以实际金额为准，由采购人支付。</w:t>
      </w:r>
      <w:r>
        <w:rPr>
          <w:color w:val="auto"/>
          <w:highlight w:val="none"/>
        </w:rPr>
      </w:r>
      <w:r/>
    </w:p>
    <w:p>
      <w:pPr>
        <w:ind w:firstLine="487"/>
        <w:spacing w:line="360" w:lineRule="auto"/>
        <w:rPr>
          <w:rFonts w:hint="eastAsia" w:ascii="宋体" w:hAnsi="宋体" w:eastAsia="宋体" w:cs="宋体"/>
          <w:b/>
          <w:color w:val="auto"/>
          <w:szCs w:val="21"/>
          <w:highlight w:val="none"/>
        </w:rPr>
        <w:outlineLvl w:val="1"/>
      </w:pPr>
      <w:r>
        <w:rPr>
          <w:color w:val="auto"/>
          <w:highlight w:val="none"/>
        </w:rPr>
      </w:r>
      <w:bookmarkStart w:id="17" w:name="_Toc12172"/>
      <w:r>
        <w:rPr>
          <w:color w:val="auto"/>
          <w:highlight w:val="none"/>
        </w:rPr>
      </w:r>
      <w:bookmarkStart w:id="18" w:name="_Toc7651"/>
      <w:r>
        <w:rPr>
          <w:rFonts w:hint="eastAsia" w:ascii="宋体" w:hAnsi="宋体" w:eastAsia="宋体" w:cs="宋体"/>
          <w:b/>
          <w:color w:val="auto"/>
          <w:szCs w:val="21"/>
          <w:highlight w:val="none"/>
          <w:lang w:val="zh-CN"/>
        </w:rPr>
        <w:t xml:space="preserve">二、响应文件编制</w:t>
      </w:r>
      <w:bookmarkEnd w:id="17"/>
      <w:r>
        <w:rPr>
          <w:color w:val="auto"/>
          <w:highlight w:val="none"/>
        </w:rPr>
      </w:r>
      <w:bookmarkEnd w:id="18"/>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5</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w:t>
      </w:r>
      <w:r>
        <w:rPr>
          <w:rFonts w:hint="eastAsia" w:ascii="宋体" w:hAnsi="宋体" w:eastAsia="宋体" w:cs="宋体"/>
          <w:color w:val="auto"/>
          <w:szCs w:val="21"/>
          <w:highlight w:val="none"/>
          <w:lang w:val="zh-CN"/>
        </w:rPr>
        <w:t xml:space="preserve">如标书制作工具中格式和内容与“江苏政府采购网”发布的磋商文件不一致，以“江苏政府采购网”发布的磋商文件为准。</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6、响应文件的语言、计量单位、货币和编制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6.2供应商所使用的计量单位应为国家法定计量单位。</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6.3供应商应用人民币报价。</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6.4响应文件应字迹清楚、内容齐全、不得涂改。如有修改，修改处须有供应商公章或法定代表人或其授权磋商代表签字。由授权磋商代表签字的，应当附法定代表人授权书。</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供应商应在响应文件中写清相应的项目编号、项目名称、供应商名称、地址、电话、传真等。</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val="zh-CN"/>
        </w:rPr>
        <w:t xml:space="preserve">证明磋商响应标的符合磋商文件规定的文件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.1 供应商应按照法律、法规、规章和规范性文件以及磋商文件要求提交证明文件，证明其响应标的符合磋商文件规定。</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 磋商文件对证明文件无明确形式要求的，证明文件可以以文字资料、图纸和数据等形式提交。</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val="zh-CN"/>
        </w:rPr>
        <w:t xml:space="preserve">磋商有效期</w:t>
      </w:r>
      <w:r>
        <w:rPr>
          <w:color w:val="auto"/>
          <w:highlight w:val="none"/>
        </w:rPr>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 磋商有效期为采购公告规定的提交响应文件截止之日起九十天。磋商有效期比规定短的将被视为非实质性响应磋商文件而被拒绝。</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val="zh-CN"/>
        </w:rPr>
        <w:t xml:space="preserve">、响应文件的组成</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Cs w:val="21"/>
          <w:highlight w:val="none"/>
          <w:lang w:val="zh-CN"/>
        </w:rPr>
        <w:t xml:space="preserve">响应文件由商务部分、技术部分、价格部分，以及其他部分组成。</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lang w:val="zh-CN"/>
        </w:rPr>
        <w:t xml:space="preserve">.2</w:t>
      </w:r>
      <w:r>
        <w:rPr>
          <w:rFonts w:hint="eastAsia" w:ascii="宋体" w:hAnsi="宋体" w:eastAsia="宋体" w:cs="宋体"/>
          <w:b/>
          <w:bCs/>
          <w:color w:val="auto"/>
          <w:szCs w:val="21"/>
          <w:highlight w:val="none"/>
          <w:lang w:val="zh-CN"/>
        </w:rPr>
        <w:t xml:space="preserve">响应文件的商务部分。</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，包括但不限于下列文件，其中加★项目不得有缺失或无效：</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（1）★磋商申请及声明；</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法定代表人授权委托书及委托代理人的身份证扫描件和采购公告前近三个月内任意一个月投标申请人为其缴纳的由社会保障部门出具的养老保险缴纳凭证扫描件（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color w:val="auto"/>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第一章竞争性磋商公告中</w:t>
      </w:r>
      <w:r>
        <w:rPr>
          <w:rFonts w:hint="eastAsia" w:ascii="宋体" w:hAnsi="宋体" w:eastAsia="宋体" w:cs="宋体"/>
          <w:color w:val="auto"/>
          <w:szCs w:val="21"/>
          <w:highlight w:val="none"/>
          <w:lang w:val="zh-CN"/>
        </w:rPr>
        <w:t xml:space="preserve">《中华人民共和国政府采购法》规定的资格条件证明文件；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第一章竞争性磋商公告中采购人根据采购项目的特殊要求规定的特定条件证明文件；</w:t>
      </w:r>
      <w:r>
        <w:rPr>
          <w:rFonts w:hint="eastAsia" w:ascii="宋体" w:hAnsi="宋体" w:eastAsia="宋体" w:cs="宋体"/>
          <w:color w:val="auto"/>
          <w:szCs w:val="21"/>
          <w:highlight w:val="none"/>
          <w:lang w:val="zh-CN"/>
        </w:rPr>
        <w:t xml:space="preserve"> </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（5）★《商务条款偏离表》；</w:t>
      </w:r>
      <w:r>
        <w:rPr>
          <w:color w:val="auto"/>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南京市政府采购供应商信用承诺书》</w:t>
      </w:r>
      <w:r>
        <w:rPr>
          <w:rFonts w:hint="eastAsia" w:ascii="宋体" w:hAnsi="宋体" w:eastAsia="宋体" w:cs="宋体"/>
          <w:color w:val="auto"/>
          <w:szCs w:val="21"/>
          <w:highlight w:val="none"/>
          <w:lang w:val="zh-CN"/>
        </w:rPr>
        <w:t xml:space="preserve">；</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（7）合同草案条款；</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（8）供应商认为需要</w:t>
      </w:r>
      <w:r>
        <w:rPr>
          <w:rFonts w:hint="eastAsia" w:ascii="宋体" w:hAnsi="宋体" w:eastAsia="宋体" w:cs="宋体"/>
          <w:color w:val="auto"/>
          <w:szCs w:val="21"/>
          <w:highlight w:val="none"/>
          <w:lang w:val="zh-CN"/>
        </w:rPr>
        <w:t xml:space="preserve">提供的其他资格证明文件和商务资料。</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lang w:val="zh-CN"/>
        </w:rPr>
        <w:t xml:space="preserve">.3</w:t>
      </w:r>
      <w:r>
        <w:rPr>
          <w:rFonts w:hint="eastAsia" w:ascii="宋体" w:hAnsi="宋体" w:eastAsia="宋体" w:cs="宋体"/>
          <w:b/>
          <w:bCs/>
          <w:color w:val="auto"/>
          <w:szCs w:val="21"/>
          <w:highlight w:val="none"/>
          <w:lang w:val="zh-CN"/>
        </w:rPr>
        <w:t xml:space="preserve">响应文件的技术部分。</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color w:val="auto"/>
          <w:highlight w:val="none"/>
        </w:rPr>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（1）项目的技术说明或实施方案；</w:t>
      </w:r>
      <w:r>
        <w:rPr>
          <w:color w:val="auto"/>
          <w:highlight w:val="none"/>
        </w:rPr>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（2）分项报价表；</w:t>
      </w:r>
      <w:r>
        <w:rPr>
          <w:color w:val="auto"/>
          <w:highlight w:val="none"/>
        </w:rPr>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（3）★《技术条款偏离表》；</w:t>
      </w:r>
      <w:r>
        <w:rPr>
          <w:color w:val="auto"/>
          <w:highlight w:val="none"/>
        </w:rPr>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（4）服务承诺；</w:t>
      </w:r>
      <w:r>
        <w:rPr>
          <w:color w:val="auto"/>
          <w:highlight w:val="none"/>
        </w:rPr>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（5）供应商拟投入本项目的人员情况一览表；</w:t>
      </w:r>
      <w:r>
        <w:rPr>
          <w:color w:val="auto"/>
          <w:highlight w:val="none"/>
        </w:rPr>
      </w:r>
      <w:r/>
    </w:p>
    <w:p>
      <w:pPr>
        <w:ind w:firstLine="6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（6）供应商认为需要提供的其他技术资料。</w:t>
      </w:r>
      <w:r>
        <w:rPr>
          <w:color w:val="auto"/>
          <w:highlight w:val="none"/>
        </w:rPr>
      </w:r>
      <w:r/>
    </w:p>
    <w:p>
      <w:pPr>
        <w:ind w:firstLine="484"/>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.4</w:t>
      </w:r>
      <w:r>
        <w:rPr>
          <w:rFonts w:hint="eastAsia" w:ascii="宋体" w:hAnsi="宋体" w:eastAsia="宋体" w:cs="宋体"/>
          <w:b/>
          <w:color w:val="auto"/>
          <w:szCs w:val="21"/>
          <w:highlight w:val="none"/>
          <w:lang w:val="zh-CN"/>
        </w:rPr>
        <w:t xml:space="preserve">响应文件的价格部分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（1）价格部分是对服务价格构成的说明，磋商文件如没有特别说明的话，对每一项服务仅接受一个价格。</w:t>
      </w:r>
      <w:r>
        <w:rPr>
          <w:color w:val="auto"/>
          <w:highlight w:val="none"/>
        </w:rPr>
      </w:r>
      <w:r/>
    </w:p>
    <w:p>
      <w:pPr>
        <w:ind w:firstLine="487"/>
        <w:spacing w:line="360" w:lineRule="auto"/>
        <w:rPr>
          <w:rStyle w:val="1316"/>
          <w:rFonts w:hint="eastAsia" w:ascii="宋体" w:hAnsi="宋体" w:eastAsia="宋体" w:cs="宋体"/>
          <w:color w:val="auto"/>
          <w:szCs w:val="21"/>
          <w:highlight w:val="none"/>
        </w:rPr>
      </w:pPr>
      <w:r>
        <w:rPr>
          <w:rStyle w:val="1316"/>
          <w:rFonts w:hint="eastAsia" w:ascii="宋体" w:hAnsi="宋体" w:eastAsia="宋体" w:cs="宋体"/>
          <w:bCs/>
          <w:color w:val="auto"/>
          <w:szCs w:val="21"/>
          <w:highlight w:val="none"/>
          <w:lang w:val="zh-CN"/>
        </w:rPr>
        <w:t xml:space="preserve">（2）报价应包含完成本服务项目发生的所有含税费用、支付给员工的工资和国家强制缴纳的各种社会保障资金</w:t>
      </w:r>
      <w:r>
        <w:rPr>
          <w:rStyle w:val="1316"/>
          <w:rFonts w:hint="eastAsia" w:ascii="宋体" w:hAnsi="宋体" w:eastAsia="宋体" w:cs="宋体"/>
          <w:bCs/>
          <w:color w:val="auto"/>
          <w:szCs w:val="21"/>
          <w:highlight w:val="none"/>
        </w:rPr>
        <w:t xml:space="preserve">以及</w:t>
      </w:r>
      <w:r>
        <w:rPr>
          <w:rFonts w:hint="eastAsia" w:ascii="宋体" w:hAnsi="宋体" w:eastAsia="宋体" w:cs="宋体"/>
          <w:color w:val="auto"/>
          <w:szCs w:val="21"/>
          <w:highlight w:val="none"/>
        </w:rPr>
        <w:t xml:space="preserve">供应商为完成相关服务所承担的全部费用。</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（3）供应商应充分考虑到市场价格变动，以及项目实施过程中的不可预见因素，一旦成交，子目单价及总价让利幅度不变。如果有漏项，视同让利。</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（5）经磋商后，如果成交价高于或低于供应商在磋商响应文件报价的话，分项报价同比例调整。</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.5</w:t>
      </w:r>
      <w:r>
        <w:rPr>
          <w:rFonts w:hint="eastAsia" w:ascii="宋体" w:hAnsi="宋体" w:eastAsia="宋体" w:cs="宋体"/>
          <w:b/>
          <w:color w:val="auto"/>
          <w:szCs w:val="21"/>
          <w:highlight w:val="none"/>
          <w:lang w:val="zh-CN"/>
        </w:rPr>
        <w:t xml:space="preserve">响应文件的其他部分。</w:t>
      </w:r>
      <w:r>
        <w:rPr>
          <w:rFonts w:hint="eastAsia" w:ascii="宋体" w:hAnsi="宋体" w:eastAsia="宋体" w:cs="宋体"/>
          <w:color w:val="auto"/>
          <w:szCs w:val="21"/>
          <w:highlight w:val="none"/>
          <w:lang w:val="zh-CN"/>
        </w:rPr>
        <w:t xml:space="preserve">其他部分由供应商根据编制响应文件需要提供的其他相关文件。</w:t>
      </w:r>
      <w:r>
        <w:rPr>
          <w:color w:val="auto"/>
          <w:highlight w:val="none"/>
        </w:rPr>
      </w:r>
      <w:r/>
    </w:p>
    <w:p>
      <w:pPr>
        <w:ind w:firstLine="487"/>
        <w:spacing w:line="360" w:lineRule="auto"/>
        <w:rPr>
          <w:rFonts w:hint="eastAsia" w:ascii="宋体" w:hAnsi="宋体" w:eastAsia="宋体" w:cs="宋体"/>
          <w:b/>
          <w:bCs/>
          <w:color w:val="auto"/>
          <w:szCs w:val="21"/>
          <w:highlight w:val="none"/>
        </w:rPr>
        <w:outlineLvl w:val="1"/>
      </w:pPr>
      <w:r>
        <w:rPr>
          <w:color w:val="auto"/>
          <w:highlight w:val="none"/>
        </w:rPr>
      </w:r>
      <w:bookmarkStart w:id="19" w:name="_Toc13288"/>
      <w:r>
        <w:rPr>
          <w:color w:val="auto"/>
          <w:highlight w:val="none"/>
        </w:rPr>
      </w:r>
      <w:bookmarkStart w:id="20" w:name="_Toc7920"/>
      <w:r>
        <w:rPr>
          <w:rFonts w:hint="eastAsia" w:ascii="宋体" w:hAnsi="宋体" w:eastAsia="宋体" w:cs="宋体"/>
          <w:b/>
          <w:bCs/>
          <w:color w:val="auto"/>
          <w:szCs w:val="21"/>
          <w:highlight w:val="none"/>
          <w:lang w:val="zh-CN"/>
        </w:rPr>
        <w:t xml:space="preserve">三、响应文件签署</w:t>
      </w:r>
      <w:r>
        <w:rPr>
          <w:rFonts w:hint="eastAsia" w:ascii="宋体" w:hAnsi="宋体" w:eastAsia="宋体" w:cs="宋体"/>
          <w:b/>
          <w:bCs/>
          <w:color w:val="auto"/>
          <w:szCs w:val="21"/>
          <w:highlight w:val="none"/>
        </w:rPr>
        <w:t xml:space="preserve">与递交</w:t>
      </w:r>
      <w:bookmarkEnd w:id="19"/>
      <w:r>
        <w:rPr>
          <w:color w:val="auto"/>
          <w:highlight w:val="none"/>
        </w:rPr>
      </w:r>
      <w:bookmarkEnd w:id="20"/>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w:t>
      </w:r>
      <w:r>
        <w:rPr>
          <w:rFonts w:hint="eastAsia" w:ascii="宋体" w:hAnsi="宋体" w:eastAsia="宋体" w:cs="宋体"/>
          <w:b/>
          <w:bCs/>
          <w:color w:val="auto"/>
          <w:szCs w:val="21"/>
          <w:highlight w:val="none"/>
          <w:lang w:val="zh-CN"/>
        </w:rPr>
        <w:t xml:space="preserve">、响应文件签署</w:t>
      </w:r>
      <w:r>
        <w:rPr>
          <w:rFonts w:hint="eastAsia" w:ascii="宋体" w:hAnsi="宋体" w:eastAsia="宋体" w:cs="宋体"/>
          <w:b/>
          <w:bCs/>
          <w:color w:val="auto"/>
          <w:szCs w:val="21"/>
          <w:highlight w:val="none"/>
        </w:rPr>
        <w:t xml:space="preserve">与递交</w:t>
      </w:r>
      <w:r>
        <w:rPr>
          <w:color w:val="auto"/>
          <w:highlight w:val="none"/>
        </w:rPr>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.1响应文件应由供应商法定代表人或授权代表签字，并加盖公章。</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供应商应当按照《操作手册》规定，按照磋商公告规定，在提交响应文件截止时间前制作并上传电子响应文件。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供应商应充分考虑网络环境、网络带宽等因素可能对磋商产生的影响，如因供应商自身原因造成的电子响应文件上传不成功的，按照本磋商文件第二章第17.3条规定做无效响应处理。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代理机构可以按照规定，通过修改磋商文件酌情延长提交响应文件截止日期，在此情况下，供应商的所有权利和义务均以延长后新的截止日期为准。</w:t>
      </w:r>
      <w:r>
        <w:rPr>
          <w:color w:val="auto"/>
          <w:highlight w:val="none"/>
        </w:rPr>
      </w:r>
      <w:r/>
    </w:p>
    <w:p>
      <w:pPr>
        <w:ind w:firstLine="487"/>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w:t>
      </w:r>
      <w:r>
        <w:rPr>
          <w:rFonts w:hint="eastAsia" w:ascii="宋体" w:hAnsi="宋体" w:eastAsia="宋体" w:cs="宋体"/>
          <w:b/>
          <w:color w:val="auto"/>
          <w:szCs w:val="21"/>
          <w:highlight w:val="none"/>
          <w:lang w:val="zh-CN"/>
        </w:rPr>
        <w:t xml:space="preserve">响应文件的拒收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代理机构拒绝接收提交响应文件截止时间后上传的任何电子响应文件。</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w:t>
      </w:r>
      <w:r>
        <w:rPr>
          <w:rFonts w:hint="eastAsia" w:ascii="宋体" w:hAnsi="宋体" w:eastAsia="宋体" w:cs="宋体"/>
          <w:b/>
          <w:bCs/>
          <w:color w:val="auto"/>
          <w:szCs w:val="21"/>
          <w:highlight w:val="none"/>
          <w:lang w:val="zh-CN"/>
        </w:rPr>
        <w:t xml:space="preserve">响应文件的撤回和修改</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 响应文件的撤回</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.1.1 供应商可在提交响应文件截止时间前撤回其电子响应文件，具体操作方法见《操作手册》。</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.1.2 供应商撤回电子响应文件，则认为其不再参与本项目磋商活动。</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 响应文件的修改</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.2.1 供应商可在提交响应文件截止时间前对其电子响应文件进行修改，具体操作方法见《操作手册》。</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.2.2 提交响应文件截止时间之后，供应商不得对其电子响应文件作任何修改。</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.3 在提交响应文件截止时间至磋商文件中规定的磋商有效期满之间的这段时间内，供应商不得撤回其响应文件。</w:t>
      </w:r>
      <w:r>
        <w:rPr>
          <w:color w:val="auto"/>
          <w:highlight w:val="none"/>
        </w:rPr>
      </w:r>
      <w:r/>
    </w:p>
    <w:p>
      <w:pPr>
        <w:ind w:firstLine="487"/>
        <w:spacing w:line="360" w:lineRule="auto"/>
        <w:rPr>
          <w:rFonts w:hint="eastAsia" w:ascii="宋体" w:hAnsi="宋体" w:eastAsia="宋体" w:cs="宋体"/>
          <w:b/>
          <w:bCs/>
          <w:color w:val="auto"/>
          <w:szCs w:val="21"/>
          <w:highlight w:val="none"/>
        </w:rPr>
        <w:outlineLvl w:val="1"/>
      </w:pPr>
      <w:r>
        <w:rPr>
          <w:color w:val="auto"/>
          <w:highlight w:val="none"/>
        </w:rPr>
      </w:r>
      <w:bookmarkStart w:id="21" w:name="_Toc16778"/>
      <w:r>
        <w:rPr>
          <w:color w:val="auto"/>
          <w:highlight w:val="none"/>
        </w:rPr>
      </w:r>
      <w:bookmarkStart w:id="22" w:name="_Toc15049"/>
      <w:r>
        <w:rPr>
          <w:rFonts w:hint="eastAsia" w:ascii="宋体" w:hAnsi="宋体" w:eastAsia="宋体" w:cs="宋体"/>
          <w:b/>
          <w:bCs/>
          <w:color w:val="auto"/>
          <w:szCs w:val="21"/>
          <w:highlight w:val="none"/>
          <w:lang w:val="zh-CN"/>
        </w:rPr>
        <w:t xml:space="preserve">四、响应文件的解密与评审</w:t>
      </w:r>
      <w:bookmarkEnd w:id="21"/>
      <w:r>
        <w:rPr>
          <w:color w:val="auto"/>
          <w:highlight w:val="none"/>
        </w:rPr>
      </w:r>
      <w:bookmarkEnd w:id="22"/>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w:t>
      </w:r>
      <w:r>
        <w:rPr>
          <w:rFonts w:hint="eastAsia" w:ascii="宋体" w:hAnsi="宋体" w:eastAsia="宋体" w:cs="宋体"/>
          <w:b/>
          <w:bCs/>
          <w:color w:val="auto"/>
          <w:szCs w:val="21"/>
          <w:highlight w:val="none"/>
          <w:lang w:val="zh-CN"/>
        </w:rPr>
        <w:t xml:space="preserve">响应文件解密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.1 供应商应当按照《操作手册》规定，在苏采云系统规定的时间内对响应文件进行解密。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.磋商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将组织磋商小组对响应文件进行评审。</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.2 磋商小组由采购人代表和有关技术、经济等方面的专家组成，且人员构成符合政府采购有关规定。</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.3 磋商小组独立工作，负责评审所有响应文件并推荐成交候选人，或根据采购人授权直接确定成交供应商。</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w:t>
      </w:r>
      <w:r>
        <w:rPr>
          <w:rFonts w:hint="eastAsia" w:ascii="宋体" w:hAnsi="宋体" w:eastAsia="宋体" w:cs="宋体"/>
          <w:b/>
          <w:bCs/>
          <w:color w:val="auto"/>
          <w:szCs w:val="21"/>
          <w:highlight w:val="none"/>
          <w:lang w:val="zh-CN"/>
        </w:rPr>
        <w:t xml:space="preserve">评审过程的保密与公正</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.1 磋商小组、采购人和</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工作人员、相关监督人员等与评审工作有关的人员，对评审情况以及在评审过程中获悉的国家秘密、商业秘密负有保密责任。</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.2 供应商不得以任何方式影响磋商评审，否则其响应文件将被作为无效响应文件。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.3 </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和磋商小组不向未成交的供应商解释未成交原因，也不公布评审过程中的相关细节。</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rPr>
          <w:rFonts w:hint="eastAsia" w:ascii="宋体" w:hAnsi="宋体" w:eastAsia="宋体" w:cs="宋体"/>
          <w:b/>
          <w:bCs/>
          <w:color w:val="auto"/>
          <w:szCs w:val="21"/>
          <w:highlight w:val="none"/>
          <w:lang w:val="zh-CN"/>
        </w:rPr>
        <w:t xml:space="preserve">评审过程中的澄清</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供应商的澄清、说明或者补正不得超出响应文件的范围或者改变响应文件的实质性内容。</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磋商小组并非对每个供应商都作澄清要求。</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.3 接到磋商小组澄清、说明和补正要求的供应商如未按规定做出澄清、说明和补正，其风险由供应商自行承担。</w:t>
      </w:r>
      <w:r>
        <w:rPr>
          <w:color w:val="auto"/>
          <w:highlight w:val="none"/>
        </w:rPr>
      </w:r>
      <w:r/>
    </w:p>
    <w:p>
      <w:pPr>
        <w:ind w:firstLine="525"/>
        <w:spacing w:line="360" w:lineRule="auto"/>
        <w:tabs>
          <w:tab w:val="left" w:pos="0" w:leader="none"/>
          <w:tab w:val="left" w:pos="360" w:leader="none"/>
          <w:tab w:val="left" w:pos="540"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eastAsia="宋体" w:cs="宋体"/>
          <w:b/>
          <w:bCs/>
          <w:color w:val="auto"/>
          <w:szCs w:val="21"/>
          <w:highlight w:val="none"/>
          <w:lang w:val="zh-CN"/>
        </w:rPr>
        <w:t xml:space="preserve">、联合体（本项目</w:t>
      </w:r>
      <w:r>
        <w:rPr>
          <w:rFonts w:hint="eastAsia" w:ascii="宋体" w:hAnsi="宋体" w:eastAsia="宋体" w:cs="宋体"/>
          <w:b/>
          <w:bCs/>
          <w:color w:val="auto"/>
          <w:szCs w:val="21"/>
          <w:highlight w:val="none"/>
        </w:rPr>
        <w:t xml:space="preserve">不</w:t>
      </w:r>
      <w:r>
        <w:rPr>
          <w:rFonts w:hint="eastAsia" w:ascii="宋体" w:hAnsi="宋体" w:eastAsia="宋体" w:cs="宋体"/>
          <w:b/>
          <w:bCs/>
          <w:color w:val="auto"/>
          <w:szCs w:val="21"/>
          <w:highlight w:val="none"/>
          <w:lang w:val="zh-CN"/>
        </w:rPr>
        <w:t xml:space="preserve">接受联合体投标）</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16.1</w:t>
      </w:r>
      <w:r>
        <w:rPr>
          <w:rFonts w:hint="eastAsia" w:ascii="宋体" w:hAnsi="宋体" w:eastAsia="宋体" w:cs="宋体"/>
          <w:color w:val="auto"/>
          <w:szCs w:val="21"/>
          <w:highlight w:val="none"/>
        </w:rPr>
        <w:t xml:space="preserve">两个及以上的自然人、法人或者其他组织可以组成一个联合体，以一个供应商的身份共同参加政府采购。</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16.2鼓励大中型企业和其他自然人、法人或者其他组织与小型、微型企业组成联合体共同参加非专门面向中小企业的政府采购活动。</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16.3以联合体形式参加采购的，</w:t>
      </w:r>
      <w:r>
        <w:rPr>
          <w:rFonts w:hint="eastAsia" w:ascii="宋体" w:hAnsi="宋体" w:eastAsia="宋体" w:cs="宋体"/>
          <w:bCs/>
          <w:color w:val="auto"/>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宋体" w:hAnsi="宋体" w:eastAsia="宋体" w:cs="宋体"/>
          <w:color w:val="auto"/>
          <w:szCs w:val="21"/>
          <w:highlight w:val="none"/>
        </w:rPr>
        <w:t xml:space="preserve">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16.4联合体各方之间应当签订联合体协议，明确约定联合体各方承担的工作和相应的责任，并将联合体协议连同响应文件一并提交。</w:t>
      </w:r>
      <w:r>
        <w:rPr>
          <w:color w:val="auto"/>
          <w:highlight w:val="none"/>
        </w:rPr>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16.5以联合体形式参加政府采购活动的，联合体各方不得再单独参加或者与其他供应商另外组成联合体参加同一合同项下的政府采购活动。</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w:t>
      </w:r>
      <w:r>
        <w:rPr>
          <w:rFonts w:hint="eastAsia" w:ascii="宋体" w:hAnsi="宋体" w:eastAsia="宋体" w:cs="宋体"/>
          <w:b/>
          <w:bCs/>
          <w:color w:val="auto"/>
          <w:szCs w:val="21"/>
          <w:highlight w:val="none"/>
          <w:lang w:val="zh-CN"/>
        </w:rPr>
        <w:t xml:space="preserve">响应文件的审查</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 响应文件审查分为资格审查和符合性审查。</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.1.1 资格审查。依据法律法规和磋商文件的规定，磋商小组对响应文件中的资格证明文件进行审查，以确定供应商是否具备参加磋商的资格。</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磋商小组进行资格审查时，将在“信用中国”网站（www.creditchina.gov.cn）查询供应商的信用记录，以确定供应商是否具备磋商资格,查询结果留存并归档。</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接受联合体的项目，联合体成员存在不良信用记录的，视同联合体存在不良信用记录。</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.1.3 未通过资格审查或符合性审查的供应商，磋商小组将通过苏采云系统告知具体原因，评审结束后将不再接受有关询问。</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 未实质性响应磋商文件的情形</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 供应商在苏采云系统规定的时间内未成功解密电子响应文件。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.3.2 供应商未按照磋商文件要求上传电子响应文件。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.3.3 同一供应商提交两个（含两个）以上不同的响应文件或者最后报价。</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.3.4 供应商不具备磋商文件中规定资格要求（</w:t>
      </w:r>
      <w:r>
        <w:rPr>
          <w:rFonts w:hint="eastAsia" w:ascii="宋体" w:hAnsi="宋体" w:eastAsia="宋体" w:cs="宋体"/>
          <w:color w:val="auto"/>
          <w:szCs w:val="21"/>
          <w:highlight w:val="none"/>
        </w:rPr>
        <w:t xml:space="preserve">包括未提供</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南京市政府采购供应商信用承诺书》</w:t>
      </w:r>
      <w:r>
        <w:rPr>
          <w:rFonts w:hint="eastAsia" w:ascii="宋体" w:hAnsi="宋体" w:eastAsia="宋体" w:cs="宋体"/>
          <w:color w:val="auto"/>
          <w:szCs w:val="21"/>
          <w:highlight w:val="none"/>
          <w:lang w:val="zh-CN"/>
        </w:rPr>
        <w:t xml:space="preserve">）。</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.3.5 供应商的最后报价超过了采购预算或最高限价。</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.3.6 不符合磋商文件中规定的实质性要求和条件（本磋商文件中斜体且有下划线部分或者打“★”内容，为实质性要求和条件，</w:t>
      </w:r>
      <w:r>
        <w:rPr>
          <w:rFonts w:hint="eastAsia" w:ascii="宋体" w:hAnsi="宋体" w:eastAsia="宋体" w:cs="宋体"/>
          <w:color w:val="auto"/>
          <w:szCs w:val="21"/>
          <w:highlight w:val="none"/>
        </w:rPr>
        <w:t xml:space="preserve">且包括改变清单设备配置、清单子目数量、单位及清单报价漏项、缺失等</w:t>
      </w:r>
      <w:r>
        <w:rPr>
          <w:rFonts w:hint="eastAsia" w:ascii="宋体" w:hAnsi="宋体" w:eastAsia="宋体" w:cs="宋体"/>
          <w:color w:val="auto"/>
          <w:szCs w:val="21"/>
          <w:highlight w:val="none"/>
          <w:lang w:val="zh-CN"/>
        </w:rPr>
        <w:t xml:space="preserve">）。</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.3.8 响应文件含有采购人不能接受的附加条件。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17.3.10</w:t>
      </w:r>
      <w:r>
        <w:rPr>
          <w:rFonts w:hint="eastAsia" w:ascii="宋体" w:hAnsi="宋体" w:eastAsia="宋体" w:cs="宋体"/>
          <w:color w:val="auto"/>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Cs w:val="21"/>
          <w:highlight w:val="none"/>
        </w:rPr>
        <w:t xml:space="preserve">、公积金，以</w:t>
      </w:r>
      <w:r>
        <w:rPr>
          <w:rFonts w:hint="eastAsia" w:ascii="宋体" w:hAnsi="宋体" w:eastAsia="宋体" w:cs="宋体"/>
          <w:color w:val="auto"/>
          <w:szCs w:val="21"/>
          <w:highlight w:val="none"/>
        </w:rPr>
        <w:t xml:space="preserve">及供应商认为需要的其他费用等。</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采购产品被财政部、国家发改委、生态环境部等列入“节能产品品目清单”强制采购范围，而供应商提供的产品不在强制采购范围内。</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响应文件未按照磋商文件要求加盖电子公章。</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法律法规及本磋商文件规定的其他无效响应的情形。</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.4 未实质性响应磋商文件的响应文件按无效响应处理。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.5 如果响应文件实质上没有响应磋商文件的要求，磋商小组将予以拒绝，供应商不得通过修改或撤销不合要求的偏离或保留而使其成为实质性响应的文件。</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.6 供应商在项目评审全过程中应保持通讯畅通，及时登录苏采云系统查阅、答复相关信息，并安排专人与代理公司及磋商小组联系。</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w:t>
      </w:r>
      <w:r>
        <w:rPr>
          <w:rFonts w:hint="eastAsia" w:ascii="宋体" w:hAnsi="宋体" w:eastAsia="宋体" w:cs="宋体"/>
          <w:b/>
          <w:bCs/>
          <w:color w:val="auto"/>
          <w:szCs w:val="21"/>
          <w:highlight w:val="none"/>
          <w:lang w:val="zh-CN"/>
        </w:rPr>
        <w:t xml:space="preserve">磋商程序及评审方法和评审标准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 磋商程序</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auto"/>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auto"/>
          <w:szCs w:val="21"/>
          <w:highlight w:val="none"/>
        </w:rPr>
        <w:t xml:space="preserve">提交最后报价的供应商不得少于3家，最后报价是供应商响应文件的有效组成部分。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color w:val="auto"/>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color w:val="auto"/>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 评审方法和评审标准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.2.2 评审标准。采用综合评分法。即在最大限度地满足竞争性磋商文件实质性要求前提下，按照磋商文件中规定的各项因素进行综合评审后，以评审总得分最高的供应商作为成交候选供应商或者成交供应商的评审方法。</w:t>
      </w:r>
      <w:r>
        <w:rPr>
          <w:color w:val="auto"/>
          <w:highlight w:val="none"/>
        </w:rPr>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3出现下列情形之一的，磋商终止：</w:t>
      </w:r>
      <w:r>
        <w:rPr>
          <w:color w:val="auto"/>
          <w:highlight w:val="none"/>
        </w:rPr>
      </w:r>
      <w:r/>
    </w:p>
    <w:p>
      <w:pPr>
        <w:ind w:firstLine="484"/>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（1）因情况变化，不再符合规定的竞争性磋商采购方式适用情形的；</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 xml:space="preserve">（2）</w:t>
      </w:r>
      <w:r>
        <w:rPr>
          <w:rFonts w:hint="eastAsia" w:ascii="宋体" w:hAnsi="宋体" w:eastAsia="宋体" w:cs="宋体"/>
          <w:color w:val="auto"/>
          <w:szCs w:val="21"/>
          <w:highlight w:val="none"/>
          <w:lang w:val="zh-CN"/>
        </w:rPr>
        <w:t xml:space="preserve">所有供应商的响应文件被磋商小组认定为无效的；</w:t>
      </w:r>
      <w:r>
        <w:rPr>
          <w:color w:val="auto"/>
          <w:highlight w:val="none"/>
        </w:rPr>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）在苏采云系统规定时间内成功解密电子响应文件的供应商不足3家；</w:t>
      </w:r>
      <w:r>
        <w:rPr>
          <w:color w:val="auto"/>
          <w:highlight w:val="none"/>
        </w:rPr>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zh-CN"/>
        </w:rPr>
        <w:t xml:space="preserve">）</w:t>
      </w:r>
      <w:r>
        <w:rPr>
          <w:rFonts w:hint="eastAsia" w:ascii="宋体" w:hAnsi="宋体" w:eastAsia="宋体" w:cs="宋体"/>
          <w:color w:val="auto"/>
          <w:szCs w:val="21"/>
          <w:highlight w:val="none"/>
          <w:lang w:val="zh-CN"/>
        </w:rPr>
        <w:t xml:space="preserve">出现影响采购公正的违法、违规行为的；</w:t>
      </w:r>
      <w:r>
        <w:rPr>
          <w:color w:val="auto"/>
          <w:highlight w:val="none"/>
        </w:rPr>
      </w:r>
      <w:r/>
    </w:p>
    <w:p>
      <w:pPr>
        <w:ind w:firstLine="484"/>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val="zh-CN"/>
        </w:rPr>
        <w:t xml:space="preserve">）所有供应商的最终报价超过采购预算的；</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）因重大变故，采购任务取消的；</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）采购人需求发生重大变化暂时不能确定或供应商提供的服务不能满足需求等。</w:t>
      </w:r>
      <w:r>
        <w:rPr>
          <w:color w:val="auto"/>
          <w:highlight w:val="none"/>
        </w:rPr>
      </w:r>
      <w:r/>
    </w:p>
    <w:p>
      <w:pPr>
        <w:ind w:firstLine="487"/>
        <w:spacing w:line="360" w:lineRule="auto"/>
        <w:rPr>
          <w:rFonts w:hint="eastAsia" w:ascii="宋体" w:hAnsi="宋体" w:eastAsia="宋体" w:cs="宋体"/>
          <w:b/>
          <w:color w:val="auto"/>
          <w:szCs w:val="21"/>
          <w:highlight w:val="none"/>
        </w:rPr>
        <w:outlineLvl w:val="1"/>
      </w:pPr>
      <w:r>
        <w:rPr>
          <w:color w:val="auto"/>
          <w:highlight w:val="none"/>
        </w:rPr>
      </w:r>
      <w:bookmarkStart w:id="23" w:name="_Toc6964"/>
      <w:r>
        <w:rPr>
          <w:color w:val="auto"/>
          <w:highlight w:val="none"/>
        </w:rPr>
      </w:r>
      <w:bookmarkStart w:id="24" w:name="_Toc27372"/>
      <w:r>
        <w:rPr>
          <w:rFonts w:hint="eastAsia" w:ascii="宋体" w:hAnsi="宋体" w:eastAsia="宋体" w:cs="宋体"/>
          <w:b/>
          <w:color w:val="auto"/>
          <w:szCs w:val="21"/>
          <w:highlight w:val="none"/>
        </w:rPr>
        <w:t xml:space="preserve">五、成交</w:t>
      </w:r>
      <w:bookmarkEnd w:id="23"/>
      <w:r>
        <w:rPr>
          <w:color w:val="auto"/>
          <w:highlight w:val="none"/>
        </w:rPr>
      </w:r>
      <w:bookmarkEnd w:id="24"/>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19、确定成交单位</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成交候选供应商的确定原则和数量见磋商文件第三章。</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 按以下第（1）种方式确定成交供应商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（1）磋商小组直接确定排名第一的成交候选供应商为成交供应商；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（2）采购人在磋商小组推荐的成交候选供应商中按顺序确定成交供应商。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代理机构将在“南京市公共采购信息网”“江苏政府采购网”发布成交结果公告，公告期限为1个工作日。</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 若有充分证据证明成交供应商有下列情况之一的，一经查实将被取消成交资格：</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19.4.1 提供虚假材料谋取成交。</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19.4.2 与评审专家、采购人、其他供应商或者代理机构工作人员恶意串通。</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19.4.3 向评审专家、采购人或代理机构工作人员行贿或者提供其他不正当利益。</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19.4.4 不满足本磋商文件规定的实质性要求，但在评审过程中未被磋商小组发现。</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19.4.5 成交后无正当理由拒不与采购人签订政府采购合同或者未按照磋商文件确定的事项签订政府采购合同。</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19.4.6 将合同标的转包。</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20、成交通知书</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成交结果确定后，代理机构将向成交供应商发出《成交通知书》。成交供应商可在成交结果公告届满之日起三十日内，登录苏采云系统下载。    </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 《成交通知书》将是合同的一个组成部分，对采购人和成交供应商均具有法律效力。《成交通知书》发出后，采购人改变成交结果的，或者成交供应商放弃成交项目的，应当依法承担法律责任。</w:t>
      </w:r>
      <w:r>
        <w:rPr>
          <w:color w:val="auto"/>
          <w:highlight w:val="none"/>
        </w:rPr>
      </w:r>
      <w:r/>
    </w:p>
    <w:p>
      <w:pPr>
        <w:ind w:firstLine="487"/>
        <w:spacing w:line="360" w:lineRule="auto"/>
        <w:rPr>
          <w:rFonts w:hint="eastAsia" w:ascii="宋体" w:hAnsi="宋体" w:eastAsia="宋体" w:cs="宋体"/>
          <w:b/>
          <w:bCs/>
          <w:color w:val="auto"/>
          <w:szCs w:val="21"/>
          <w:highlight w:val="none"/>
        </w:rPr>
        <w:outlineLvl w:val="1"/>
      </w:pPr>
      <w:r>
        <w:rPr>
          <w:color w:val="auto"/>
          <w:highlight w:val="none"/>
        </w:rPr>
      </w:r>
      <w:bookmarkStart w:id="25" w:name="_Toc28007"/>
      <w:r>
        <w:rPr>
          <w:color w:val="auto"/>
          <w:highlight w:val="none"/>
        </w:rPr>
      </w:r>
      <w:bookmarkStart w:id="26" w:name="_Toc20084"/>
      <w:r>
        <w:rPr>
          <w:rFonts w:hint="eastAsia" w:ascii="宋体" w:hAnsi="宋体" w:eastAsia="宋体" w:cs="宋体"/>
          <w:b/>
          <w:bCs/>
          <w:color w:val="auto"/>
          <w:szCs w:val="21"/>
          <w:highlight w:val="none"/>
        </w:rPr>
        <w:t xml:space="preserve">六、授予合同</w:t>
      </w:r>
      <w:bookmarkEnd w:id="25"/>
      <w:r>
        <w:rPr>
          <w:color w:val="auto"/>
          <w:highlight w:val="none"/>
        </w:rPr>
      </w:r>
      <w:bookmarkEnd w:id="26"/>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21</w:t>
      </w:r>
      <w:r>
        <w:rPr>
          <w:rFonts w:hint="eastAsia" w:ascii="宋体" w:hAnsi="宋体" w:eastAsia="宋体" w:cs="宋体"/>
          <w:b/>
          <w:color w:val="auto"/>
          <w:szCs w:val="21"/>
          <w:highlight w:val="none"/>
          <w:lang w:val="zh-CN"/>
        </w:rPr>
        <w:t xml:space="preserve">、</w:t>
      </w:r>
      <w:r>
        <w:rPr>
          <w:rFonts w:hint="eastAsia" w:ascii="宋体" w:hAnsi="宋体" w:eastAsia="宋体" w:cs="宋体"/>
          <w:b/>
          <w:bCs/>
          <w:color w:val="auto"/>
          <w:szCs w:val="21"/>
          <w:highlight w:val="none"/>
          <w:lang w:val="zh-CN"/>
        </w:rPr>
        <w:t xml:space="preserve">签订合同</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1成交供应商应当</w:t>
      </w:r>
      <w:r>
        <w:rPr>
          <w:rFonts w:hint="eastAsia" w:ascii="宋体" w:hAnsi="宋体" w:eastAsia="宋体" w:cs="宋体"/>
          <w:color w:val="auto"/>
          <w:szCs w:val="21"/>
          <w:highlight w:val="none"/>
          <w:lang w:val="zh-CN"/>
        </w:rPr>
        <w:t xml:space="preserve">自成交通知书发出之日起三十日内，</w:t>
      </w:r>
      <w:r>
        <w:rPr>
          <w:rFonts w:hint="eastAsia" w:ascii="宋体" w:hAnsi="宋体" w:eastAsia="宋体" w:cs="宋体"/>
          <w:color w:val="auto"/>
          <w:szCs w:val="21"/>
          <w:highlight w:val="none"/>
        </w:rPr>
        <w:t xml:space="preserve">与采购人签订政府采购合同，所签订的合同不得对磋商文件和响应文件作实质性修改。</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采购人不得向成交供应商提出任何不合理的要求作为签订合同的条件，不得与成交供应商私下订立背离合同实质性内容的协议。</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除不可抗力等因素外，</w:t>
      </w:r>
      <w:r>
        <w:rPr>
          <w:rFonts w:hint="eastAsia" w:ascii="宋体" w:hAnsi="宋体" w:eastAsia="宋体" w:cs="宋体"/>
          <w:color w:val="auto"/>
          <w:szCs w:val="21"/>
          <w:highlight w:val="none"/>
          <w:lang w:val="zh-CN"/>
        </w:rPr>
        <w:t xml:space="preserve">成交通知书发出后，采购人改变成交结果，或者成交供应商拒绝签订政府采购合同的，应当承担相应的法律责任。</w:t>
      </w:r>
      <w:r>
        <w:rPr>
          <w:color w:val="auto"/>
          <w:highlight w:val="none"/>
        </w:rPr>
      </w:r>
      <w:r/>
    </w:p>
    <w:p>
      <w:pPr>
        <w:ind w:firstLine="484"/>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.4</w:t>
      </w:r>
      <w:r>
        <w:rPr>
          <w:rFonts w:hint="eastAsia" w:ascii="宋体" w:hAnsi="宋体" w:eastAsia="宋体" w:cs="宋体"/>
          <w:bCs/>
          <w:color w:val="auto"/>
          <w:szCs w:val="21"/>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.5成交供应商拒绝签订政府采购合同的，</w:t>
      </w:r>
      <w:r>
        <w:rPr>
          <w:rFonts w:hint="eastAsia" w:ascii="宋体" w:hAnsi="宋体" w:eastAsia="宋体" w:cs="宋体"/>
          <w:color w:val="auto"/>
          <w:szCs w:val="21"/>
          <w:highlight w:val="none"/>
        </w:rPr>
        <w:t xml:space="preserve">或因不可抗力或者自身原因不能履行政府采购合同的，</w:t>
      </w:r>
      <w:r>
        <w:rPr>
          <w:rFonts w:hint="eastAsia" w:ascii="宋体" w:hAnsi="宋体" w:eastAsia="宋体" w:cs="宋体"/>
          <w:color w:val="auto"/>
          <w:szCs w:val="21"/>
          <w:highlight w:val="none"/>
          <w:lang w:val="zh-CN"/>
        </w:rPr>
        <w:t xml:space="preserve">采购人可以视情与排位在成交供应商之后第一位的成交候选供应商签订政府采购合同，也可以重新开展采购活动。</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.6政府采购合同履行中，采购人需追加与合同标的相同的服务的，在不改变合同其他条款的前提下，可以与供应商协商签订补充合同。</w:t>
      </w:r>
      <w:r>
        <w:rPr>
          <w:color w:val="auto"/>
          <w:highlight w:val="none"/>
        </w:rPr>
      </w:r>
      <w:r/>
    </w:p>
    <w:p>
      <w:pPr>
        <w:ind w:firstLine="487"/>
        <w:spacing w:line="360" w:lineRule="auto"/>
        <w:rPr>
          <w:rFonts w:hint="eastAsia" w:ascii="宋体" w:hAnsi="宋体" w:eastAsia="宋体" w:cs="宋体"/>
          <w:b/>
          <w:bCs/>
          <w:color w:val="auto"/>
          <w:szCs w:val="21"/>
          <w:highlight w:val="none"/>
        </w:rPr>
        <w:outlineLvl w:val="1"/>
      </w:pPr>
      <w:r>
        <w:rPr>
          <w:color w:val="auto"/>
          <w:highlight w:val="none"/>
        </w:rPr>
      </w:r>
      <w:bookmarkStart w:id="27" w:name="_Toc4987"/>
      <w:r>
        <w:rPr>
          <w:color w:val="auto"/>
          <w:highlight w:val="none"/>
        </w:rPr>
      </w:r>
      <w:bookmarkStart w:id="28" w:name="_Toc23599"/>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val="zh-CN"/>
        </w:rPr>
        <w:t xml:space="preserve">、询问、质疑、投诉和诚实信用</w:t>
      </w:r>
      <w:bookmarkEnd w:id="27"/>
      <w:r>
        <w:rPr>
          <w:color w:val="auto"/>
          <w:highlight w:val="none"/>
        </w:rPr>
      </w:r>
      <w:bookmarkEnd w:id="28"/>
      <w:r>
        <w:rPr>
          <w:color w:val="auto"/>
          <w:highlight w:val="none"/>
        </w:rPr>
      </w:r>
      <w:r/>
    </w:p>
    <w:p>
      <w:pPr>
        <w:ind w:firstLine="48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、询问</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.1供应商对采购活动事项有疑问的，可以向采购代理提出询问，采购代理将在两个工作日内作出答复，但答复的内容不涉及商业秘密。</w:t>
      </w:r>
      <w:r>
        <w:rPr>
          <w:color w:val="auto"/>
          <w:highlight w:val="none"/>
        </w:rPr>
      </w:r>
      <w:r/>
    </w:p>
    <w:p>
      <w:pPr>
        <w:ind w:firstLine="48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、质疑</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.1供应商认为采购文件、采购过程和成交结果使自己的合法权益受到损害的，可以在知道或者应当知道其权益受到损害之日起七个工作日内，</w:t>
      </w:r>
      <w:r>
        <w:rPr>
          <w:rFonts w:hint="eastAsia" w:ascii="宋体" w:hAnsi="宋体" w:eastAsia="宋体" w:cs="宋体"/>
          <w:bCs/>
          <w:color w:val="auto"/>
          <w:szCs w:val="21"/>
          <w:highlight w:val="none"/>
          <w:lang w:val="zh-CN"/>
        </w:rPr>
        <w:t xml:space="preserve">将质疑文件原件送达</w:t>
      </w:r>
      <w:r>
        <w:rPr>
          <w:rFonts w:hint="eastAsia" w:ascii="宋体" w:hAnsi="宋体" w:eastAsia="宋体" w:cs="宋体"/>
          <w:bCs/>
          <w:color w:val="auto"/>
          <w:szCs w:val="21"/>
          <w:highlight w:val="none"/>
        </w:rPr>
        <w:t xml:space="preserve">代理公司</w:t>
      </w:r>
      <w:r>
        <w:rPr>
          <w:rFonts w:hint="eastAsia" w:ascii="宋体" w:hAnsi="宋体" w:eastAsia="宋体" w:cs="宋体"/>
          <w:bCs/>
          <w:color w:val="auto"/>
          <w:szCs w:val="21"/>
          <w:highlight w:val="none"/>
          <w:lang w:val="zh-CN"/>
        </w:rPr>
        <w:t xml:space="preserve">。</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.2质疑文件应包括以下主要内容，并</w:t>
      </w:r>
      <w:r>
        <w:rPr>
          <w:rFonts w:hint="eastAsia" w:ascii="宋体" w:hAnsi="宋体" w:eastAsia="宋体" w:cs="宋体"/>
          <w:color w:val="auto"/>
          <w:szCs w:val="21"/>
          <w:highlight w:val="none"/>
        </w:rPr>
        <w:t xml:space="preserve">按照“谁主张、谁举证”的原则，附上相关证明材料。否则，采购代理不予受理：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（1）质疑项目名称、项目编号、包号、采购公告发布时间、磋商时间；</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（2）提起质疑的日期、具体的质疑事项及事实根据（具体条款）；</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（3）认为自己合法权益受到损害或可能受到损害的相关证据材料；</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（4）质疑供应商名称、地址、邮编、联系人、联系电话</w:t>
      </w:r>
      <w:r>
        <w:rPr>
          <w:rFonts w:hint="eastAsia" w:ascii="宋体" w:hAnsi="宋体" w:eastAsia="宋体" w:cs="宋体"/>
          <w:color w:val="auto"/>
          <w:szCs w:val="21"/>
          <w:highlight w:val="none"/>
        </w:rPr>
        <w:t xml:space="preserve">（包括座机、手机、传真号码等）</w:t>
      </w:r>
      <w:r>
        <w:rPr>
          <w:rFonts w:hint="eastAsia" w:ascii="宋体" w:hAnsi="宋体" w:eastAsia="宋体" w:cs="宋体"/>
          <w:color w:val="auto"/>
          <w:szCs w:val="21"/>
          <w:highlight w:val="none"/>
          <w:lang w:val="zh-CN"/>
        </w:rPr>
        <w:t xml:space="preserve">；</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（5）质疑文件应当署名，质疑人为自然人的，应当由本人签字并附有效身份证明；质疑人为法人或其他组织的，应当由法定代表人签字并加盖单位公章；</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（6）供应商委托代理质疑的，应当提交授权委托书，并载明委托代理的具体权限和事项。</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.3质疑</w:t>
      </w:r>
      <w:r>
        <w:rPr>
          <w:rFonts w:hint="eastAsia" w:ascii="宋体" w:hAnsi="宋体" w:eastAsia="宋体" w:cs="宋体"/>
          <w:color w:val="auto"/>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w:t>
      </w:r>
      <w:r>
        <w:rPr>
          <w:rFonts w:hint="eastAsia" w:ascii="宋体" w:hAnsi="宋体" w:eastAsia="宋体" w:cs="宋体"/>
          <w:color w:val="auto"/>
          <w:szCs w:val="21"/>
          <w:highlight w:val="none"/>
          <w:lang w:val="zh-CN"/>
        </w:rPr>
        <w:t xml:space="preserve">采购代理</w:t>
      </w:r>
      <w:r>
        <w:rPr>
          <w:rFonts w:hint="eastAsia" w:ascii="宋体" w:hAnsi="宋体" w:eastAsia="宋体" w:cs="宋体"/>
          <w:color w:val="auto"/>
          <w:szCs w:val="21"/>
          <w:highlight w:val="none"/>
        </w:rPr>
        <w:t xml:space="preserve">在收到供应商的书面质疑后将及时组织调查核实，在</w:t>
      </w:r>
      <w:r>
        <w:rPr>
          <w:rFonts w:hint="eastAsia" w:ascii="宋体" w:hAnsi="宋体" w:eastAsia="宋体" w:cs="宋体"/>
          <w:color w:val="auto"/>
          <w:szCs w:val="21"/>
          <w:highlight w:val="none"/>
          <w:lang w:val="zh-CN"/>
        </w:rPr>
        <w:t xml:space="preserve">七个工作日内作出答复，并以书面通知质疑供应商和其他有关供应商，答复的内容不涉及商业秘密。采购代理</w:t>
      </w:r>
      <w:r>
        <w:rPr>
          <w:rFonts w:hint="eastAsia" w:ascii="宋体" w:hAnsi="宋体" w:eastAsia="宋体" w:cs="宋体"/>
          <w:color w:val="auto"/>
          <w:szCs w:val="21"/>
          <w:highlight w:val="none"/>
        </w:rPr>
        <w:t xml:space="preserve">遵循“谁过错谁负担”的原则，有过错的一方承担调查论证费用。</w:t>
      </w:r>
      <w:r>
        <w:rPr>
          <w:color w:val="auto"/>
          <w:highlight w:val="none"/>
        </w:rPr>
      </w:r>
      <w:r/>
    </w:p>
    <w:p>
      <w:pPr>
        <w:ind w:firstLine="487"/>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w:t>
      </w:r>
      <w:r>
        <w:rPr>
          <w:rFonts w:hint="eastAsia" w:ascii="宋体" w:hAnsi="宋体" w:eastAsia="宋体" w:cs="宋体"/>
          <w:b/>
          <w:bCs/>
          <w:color w:val="auto"/>
          <w:szCs w:val="21"/>
          <w:highlight w:val="none"/>
          <w:lang w:val="zh-CN"/>
        </w:rPr>
        <w:t xml:space="preserve">、投诉</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w:t>
      </w:r>
      <w:r>
        <w:rPr>
          <w:rFonts w:hint="eastAsia" w:ascii="宋体" w:hAnsi="宋体" w:eastAsia="宋体" w:cs="宋体"/>
          <w:color w:val="auto"/>
          <w:szCs w:val="21"/>
          <w:highlight w:val="none"/>
          <w:lang w:val="zh-CN"/>
        </w:rPr>
        <w:t xml:space="preserve">.1质疑供应商对采购代理的答复不满意，或采购代理未在规定的时间内作出答复的，可以在答复期满后十五个工作日内向采购项目同级财政部门投诉。</w:t>
      </w:r>
      <w:r>
        <w:rPr>
          <w:color w:val="auto"/>
          <w:highlight w:val="none"/>
        </w:rPr>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w:t>
      </w:r>
      <w:r>
        <w:rPr>
          <w:rFonts w:hint="eastAsia" w:ascii="宋体" w:hAnsi="宋体" w:eastAsia="宋体" w:cs="宋体"/>
          <w:b/>
          <w:bCs/>
          <w:color w:val="auto"/>
          <w:szCs w:val="21"/>
          <w:highlight w:val="none"/>
          <w:lang w:val="zh-CN"/>
        </w:rPr>
        <w:t xml:space="preserve">、诚实信用</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.1供应商之间不得相互串通报价，不得妨碍其他供应商的公平竞争，不得损害采购人和其他供应商的合法权益。</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.2供应商不得以向采购代理工作人员、磋商小组成员行贿或者采取其他不正当手段谋取成交。经查实供应商有此行为的，</w:t>
      </w:r>
      <w:r>
        <w:rPr>
          <w:rFonts w:hint="eastAsia" w:ascii="宋体" w:hAnsi="宋体" w:eastAsia="宋体" w:cs="宋体"/>
          <w:color w:val="auto"/>
          <w:szCs w:val="21"/>
          <w:highlight w:val="none"/>
        </w:rPr>
        <w:t xml:space="preserve">政府采购管理部门将供应商列入不良行为记录名单，按照《政府采购法》有关规定处理。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.3供应商不得虚假质疑和恶意质疑，并对质疑内容的真实性承担责任。</w:t>
      </w:r>
      <w:r>
        <w:rPr>
          <w:rFonts w:hint="eastAsia" w:ascii="宋体" w:hAnsi="宋体" w:eastAsia="宋体" w:cs="宋体"/>
          <w:color w:val="auto"/>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.4供应商不得虚假承诺，否则，按照提供虚假材料谋取成交处理。</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.5供应商应自觉遵守磋商、评审纪律，扰乱磋商、评审现场秩序的，属于失信行为，根据《江苏省政府采购供应商监督管理暂行办法》，失信行为将被记入供应商诚信档案。</w:t>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r>
      <w:r>
        <w:rPr>
          <w:rFonts w:hint="eastAsia" w:ascii="宋体" w:hAnsi="宋体" w:eastAsia="宋体" w:cs="宋体"/>
          <w:color w:val="auto"/>
          <w:szCs w:val="21"/>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ind w:firstLine="484"/>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pStyle w:val="932"/>
        <w:ind w:firstLine="0"/>
        <w:jc w:val="center"/>
        <w:spacing w:line="720" w:lineRule="auto"/>
        <w:rPr>
          <w:rFonts w:hint="eastAsia" w:ascii="宋体" w:hAnsi="宋体" w:eastAsia="宋体" w:cs="宋体"/>
          <w:b/>
          <w:bCs/>
          <w:color w:val="auto"/>
          <w:sz w:val="32"/>
          <w:szCs w:val="32"/>
          <w:highlight w:val="none"/>
        </w:rPr>
        <w:outlineLvl w:val="0"/>
      </w:pPr>
      <w:r>
        <w:rPr>
          <w:color w:val="auto"/>
          <w:highlight w:val="none"/>
        </w:rPr>
      </w:r>
      <w:r>
        <w:rPr>
          <w:color w:val="auto"/>
          <w:highlight w:val="none"/>
        </w:rPr>
      </w:r>
      <w:r/>
    </w:p>
    <w:p>
      <w:pPr>
        <w:pStyle w:val="932"/>
        <w:ind w:firstLine="0"/>
        <w:jc w:val="center"/>
        <w:spacing w:line="720" w:lineRule="auto"/>
        <w:rPr>
          <w:color w:val="auto"/>
          <w:highlight w:val="none"/>
        </w:rPr>
        <w:outlineLvl w:val="0"/>
      </w:pPr>
      <w:r>
        <w:rPr>
          <w:color w:val="auto"/>
          <w:highlight w:val="none"/>
        </w:rPr>
      </w:r>
      <w:r>
        <w:rPr>
          <w:color w:val="auto"/>
          <w:highlight w:val="none"/>
        </w:rPr>
      </w:r>
      <w:r/>
    </w:p>
    <w:p>
      <w:pPr>
        <w:pStyle w:val="932"/>
        <w:ind w:firstLine="0"/>
        <w:jc w:val="center"/>
        <w:spacing w:line="720" w:lineRule="auto"/>
        <w:rPr>
          <w:color w:val="auto"/>
          <w:highlight w:val="none"/>
        </w:rPr>
        <w:outlineLvl w:val="0"/>
      </w:pPr>
      <w:r>
        <w:rPr>
          <w:color w:val="auto"/>
          <w:highlight w:val="none"/>
        </w:rPr>
      </w:r>
      <w:bookmarkStart w:id="29" w:name="_Toc9762"/>
      <w:r>
        <w:rPr>
          <w:color w:val="auto"/>
          <w:highlight w:val="none"/>
        </w:rPr>
      </w:r>
      <w:bookmarkStart w:id="30" w:name="_Toc29670"/>
      <w:r>
        <w:rPr>
          <w:rFonts w:hint="eastAsia" w:ascii="宋体" w:hAnsi="宋体" w:eastAsia="宋体" w:cs="宋体"/>
          <w:b/>
          <w:color w:val="auto"/>
          <w:sz w:val="32"/>
          <w:szCs w:val="32"/>
          <w:highlight w:val="none"/>
        </w:rPr>
        <w:t xml:space="preserve">第三章 磋商评审标准</w:t>
      </w:r>
      <w:bookmarkEnd w:id="29"/>
      <w:r>
        <w:rPr>
          <w:color w:val="auto"/>
          <w:highlight w:val="none"/>
        </w:rPr>
      </w:r>
      <w:bookmarkEnd w:id="30"/>
      <w:r>
        <w:rPr>
          <w:color w:val="auto"/>
          <w:highlight w:val="none"/>
        </w:rPr>
      </w:r>
      <w:r/>
    </w:p>
    <w:p>
      <w:pPr>
        <w:pStyle w:val="932"/>
        <w:numPr>
          <w:ilvl w:val="0"/>
          <w:numId w:val="8"/>
        </w:numPr>
        <w:ind w:firstLine="422"/>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评分方法和标准：</w:t>
      </w:r>
      <w:r>
        <w:rPr>
          <w:rFonts w:hint="eastAsia" w:ascii="宋体" w:hAnsi="宋体" w:eastAsia="宋体" w:cs="宋体"/>
          <w:color w:val="auto"/>
          <w:szCs w:val="21"/>
          <w:highlight w:val="none"/>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rPr>
          <w:color w:val="auto"/>
          <w:highlight w:val="none"/>
        </w:rPr>
      </w:r>
      <w:r/>
    </w:p>
    <w:tbl>
      <w:tblPr>
        <w:tblStyle w:val="1313"/>
        <w:tblW w:w="505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0"/>
        <w:gridCol w:w="943"/>
        <w:gridCol w:w="913"/>
        <w:gridCol w:w="6680"/>
      </w:tblGrid>
      <w:tr>
        <w:trPr>
          <w:trHeight w:val="529"/>
        </w:trPr>
        <w:tc>
          <w:tcPr>
            <w:tcW w:w="538" w:type="pct"/>
            <w:vAlign w:val="center"/>
            <w:textDirection w:val="lrTb"/>
            <w:noWrap w:val="false"/>
          </w:tcPr>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类别</w:t>
            </w:r>
            <w:r>
              <w:rPr>
                <w:color w:val="auto"/>
                <w:highlight w:val="none"/>
              </w:rPr>
            </w:r>
            <w:r/>
          </w:p>
        </w:tc>
        <w:tc>
          <w:tcPr>
            <w:tcW w:w="493" w:type="pct"/>
            <w:vAlign w:val="center"/>
            <w:textDirection w:val="lrTb"/>
            <w:noWrap w:val="false"/>
          </w:tcPr>
          <w:p>
            <w:pPr>
              <w:ind w:firstLine="422"/>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评审项目</w:t>
            </w:r>
            <w:r>
              <w:rPr>
                <w:color w:val="auto"/>
                <w:highlight w:val="none"/>
              </w:rPr>
            </w:r>
            <w:r/>
          </w:p>
        </w:tc>
        <w:tc>
          <w:tcPr>
            <w:tcW w:w="477" w:type="pct"/>
            <w:vAlign w:val="center"/>
            <w:textDirection w:val="lrTb"/>
            <w:noWrap w:val="false"/>
          </w:tcPr>
          <w:p>
            <w:pPr>
              <w:ind w:firstLine="422"/>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标准分</w:t>
            </w:r>
            <w:r>
              <w:rPr>
                <w:color w:val="auto"/>
                <w:highlight w:val="none"/>
              </w:rPr>
            </w:r>
            <w:r/>
          </w:p>
        </w:tc>
        <w:tc>
          <w:tcPr>
            <w:tcW w:w="3491" w:type="pct"/>
            <w:vAlign w:val="center"/>
            <w:textDirection w:val="lrTb"/>
            <w:noWrap w:val="false"/>
          </w:tcPr>
          <w:p>
            <w:pPr>
              <w:ind w:firstLine="422"/>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评分标准说明</w:t>
            </w:r>
            <w:r>
              <w:rPr>
                <w:color w:val="auto"/>
                <w:highlight w:val="none"/>
              </w:rPr>
            </w:r>
            <w:r/>
          </w:p>
        </w:tc>
      </w:tr>
      <w:tr>
        <w:trPr>
          <w:trHeight w:val="1029"/>
        </w:trPr>
        <w:tc>
          <w:tcPr>
            <w:tcW w:w="538" w:type="pct"/>
            <w:vAlign w:val="center"/>
            <w:textDirection w:val="lrTb"/>
            <w:noWrap w:val="false"/>
          </w:tcPr>
          <w:p>
            <w:pPr>
              <w:jc w:val="center"/>
              <w:rPr>
                <w:rFonts w:hint="eastAsia" w:ascii="宋体" w:hAnsi="宋体" w:cs="宋体"/>
                <w:color w:val="auto"/>
                <w:szCs w:val="21"/>
                <w:highlight w:val="none"/>
              </w:rPr>
            </w:pPr>
            <w:r>
              <w:rPr>
                <w:color w:val="auto"/>
                <w:highlight w:val="none"/>
              </w:rPr>
            </w:r>
            <w:bookmarkStart w:id="31" w:name="_Hlk240980845"/>
            <w:r>
              <w:rPr>
                <w:rFonts w:hint="eastAsia" w:ascii="宋体" w:hAnsi="宋体" w:cs="宋体"/>
                <w:color w:val="auto"/>
                <w:szCs w:val="21"/>
                <w:highlight w:val="none"/>
              </w:rPr>
              <w:t xml:space="preserve">报价</w:t>
            </w:r>
            <w:r>
              <w:rPr>
                <w:color w:val="auto"/>
                <w:highlight w:val="none"/>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报价分</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磋商报价得分＝（磋商基准价／最后磋商报价）×10</w:t>
            </w:r>
            <w:r>
              <w:rPr>
                <w:color w:val="auto"/>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注：磋商基准价为满足磋商文件要求且最后报价最低的供应商的价格。</w:t>
            </w:r>
            <w:r>
              <w:rPr>
                <w:color w:val="auto"/>
                <w:highlight w:val="none"/>
              </w:rPr>
            </w:r>
            <w:r/>
          </w:p>
        </w:tc>
      </w:tr>
      <w:tr>
        <w:trPr>
          <w:trHeight w:val="1309"/>
        </w:trPr>
        <w:tc>
          <w:tcPr>
            <w:tcW w:w="538"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商务</w:t>
            </w:r>
            <w:r>
              <w:rPr>
                <w:rFonts w:hint="eastAsia" w:ascii="宋体" w:hAnsi="宋体" w:cs="宋体"/>
                <w:color w:val="auto"/>
                <w:szCs w:val="21"/>
                <w:highlight w:val="none"/>
              </w:rPr>
              <w:br/>
            </w:r>
            <w:r>
              <w:rPr>
                <w:rFonts w:hint="eastAsia" w:ascii="宋体" w:hAnsi="宋体" w:cs="宋体"/>
                <w:color w:val="auto"/>
                <w:szCs w:val="21"/>
                <w:highlight w:val="none"/>
              </w:rPr>
              <w:t xml:space="preserve">部分</w:t>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同类业绩</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投标人具有2022年1月1日以来（以合同签订时间为准），同类运维服务相关项目业绩的，每提供1个得3分，最高得9分。</w:t>
            </w:r>
            <w:r>
              <w:rPr>
                <w:color w:val="auto"/>
                <w:highlight w:val="none"/>
              </w:rPr>
            </w:r>
            <w:r/>
          </w:p>
          <w:p>
            <w:pPr>
              <w:ind w:firstLine="422"/>
              <w:jc w:val="left"/>
              <w:rPr>
                <w:rFonts w:hint="eastAsia" w:ascii="宋体" w:hAnsi="宋体" w:cs="宋体"/>
                <w:color w:val="auto"/>
                <w:szCs w:val="21"/>
                <w:highlight w:val="none"/>
              </w:rPr>
            </w:pPr>
            <w:r>
              <w:rPr>
                <w:rFonts w:hint="eastAsia" w:ascii="宋体" w:hAnsi="宋体" w:cs="宋体"/>
                <w:b/>
                <w:bCs/>
                <w:color w:val="auto"/>
                <w:szCs w:val="21"/>
                <w:highlight w:val="none"/>
              </w:rPr>
              <w:t xml:space="preserve">注：以上证明提供合同复印件加盖投标人公章，时间以合同签订时间为准，不提供不得分。</w:t>
            </w:r>
            <w:r>
              <w:rPr>
                <w:color w:val="auto"/>
                <w:highlight w:val="none"/>
              </w:rPr>
            </w:r>
            <w:r/>
          </w:p>
        </w:tc>
      </w:tr>
      <w:tr>
        <w:trPr>
          <w:trHeight w:val="1383"/>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服务能力</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3</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.投标人具有信息系统建设和服务能力等级证书（CS），能力达到优秀级（CS4 )及以上得 </w:t>
            </w:r>
            <w:r>
              <w:rPr>
                <w:rFonts w:ascii="宋体" w:hAnsi="宋体" w:cs="宋体"/>
                <w:color w:val="auto"/>
                <w:szCs w:val="21"/>
                <w:highlight w:val="none"/>
              </w:rPr>
              <w:t xml:space="preserve">3</w:t>
            </w:r>
            <w:r>
              <w:rPr>
                <w:rFonts w:hint="eastAsia" w:ascii="宋体" w:hAnsi="宋体" w:cs="宋体"/>
                <w:color w:val="auto"/>
                <w:szCs w:val="21"/>
                <w:highlight w:val="none"/>
              </w:rPr>
              <w:t xml:space="preserve"> 分，良好级（CS3 )得 </w:t>
            </w:r>
            <w:r>
              <w:rPr>
                <w:rFonts w:ascii="宋体" w:hAnsi="宋体" w:cs="宋体"/>
                <w:color w:val="auto"/>
                <w:szCs w:val="21"/>
                <w:highlight w:val="none"/>
              </w:rPr>
              <w:t xml:space="preserve">2</w:t>
            </w:r>
            <w:r>
              <w:rPr>
                <w:rFonts w:hint="eastAsia" w:ascii="宋体" w:hAnsi="宋体" w:cs="宋体"/>
                <w:color w:val="auto"/>
                <w:szCs w:val="21"/>
                <w:highlight w:val="none"/>
              </w:rPr>
              <w:t xml:space="preserve"> 分，基本（CS2）得1分。</w:t>
            </w:r>
            <w:r>
              <w:rPr>
                <w:rFonts w:hint="eastAsia" w:ascii="宋体" w:hAnsi="宋体" w:cs="宋体"/>
                <w:b/>
                <w:color w:val="auto"/>
                <w:szCs w:val="21"/>
                <w:highlight w:val="none"/>
              </w:rPr>
              <w:t xml:space="preserve">需提供有效期内证书复印件并加盖单位公章，未提供或内容不符的，得0分。</w:t>
            </w:r>
            <w:r>
              <w:rPr>
                <w:color w:val="auto"/>
                <w:highlight w:val="none"/>
              </w:rPr>
            </w:r>
            <w:r/>
          </w:p>
        </w:tc>
      </w:tr>
      <w:tr>
        <w:trPr>
          <w:trHeight w:val="927"/>
        </w:trPr>
        <w:tc>
          <w:tcPr>
            <w:tcW w:w="538"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3</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.投标人具有信息技术服务标准（ITSS）证书，评估等级为二级及以上得 </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分，三级得 </w:t>
            </w:r>
            <w:r>
              <w:rPr>
                <w:rFonts w:ascii="宋体" w:hAnsi="宋体" w:cs="宋体"/>
                <w:color w:val="auto"/>
                <w:szCs w:val="21"/>
                <w:highlight w:val="none"/>
              </w:rPr>
              <w:t xml:space="preserve">2</w:t>
            </w:r>
            <w:r>
              <w:rPr>
                <w:rFonts w:hint="eastAsia" w:ascii="宋体" w:hAnsi="宋体" w:cs="宋体"/>
                <w:color w:val="auto"/>
                <w:szCs w:val="21"/>
                <w:highlight w:val="none"/>
              </w:rPr>
              <w:t xml:space="preserve"> 分，四级得1分。</w:t>
            </w:r>
            <w:r>
              <w:rPr>
                <w:rFonts w:hint="eastAsia" w:ascii="宋体" w:hAnsi="宋体" w:cs="宋体"/>
                <w:b/>
                <w:color w:val="auto"/>
                <w:szCs w:val="21"/>
                <w:highlight w:val="none"/>
              </w:rPr>
              <w:t xml:space="preserve">需提供有效期内证书复印件并加盖单位公章，未提供或内容不符的，得0分。</w:t>
            </w:r>
            <w:r>
              <w:rPr>
                <w:color w:val="auto"/>
                <w:highlight w:val="none"/>
              </w:rPr>
            </w:r>
            <w:r/>
          </w:p>
        </w:tc>
      </w:tr>
      <w:tr>
        <w:trPr>
          <w:trHeight w:val="841"/>
        </w:trPr>
        <w:tc>
          <w:tcPr>
            <w:tcW w:w="538"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.投标人具有数据管理能力成熟度等级证书（DCMM），等级为稳健级(3级) 及以上得 2 分。</w:t>
            </w:r>
            <w:r>
              <w:rPr>
                <w:rFonts w:hint="eastAsia" w:ascii="宋体" w:hAnsi="宋体" w:cs="宋体"/>
                <w:b/>
                <w:color w:val="auto"/>
                <w:szCs w:val="21"/>
                <w:highlight w:val="none"/>
              </w:rPr>
              <w:t xml:space="preserve">需提供有效期内证书复印件并加盖单位公章，未提供或内容不符的，得0分。</w:t>
            </w:r>
            <w:r>
              <w:rPr>
                <w:color w:val="auto"/>
                <w:highlight w:val="none"/>
              </w:rPr>
            </w:r>
            <w:r/>
          </w:p>
        </w:tc>
      </w:tr>
      <w:tr>
        <w:trPr>
          <w:trHeight w:val="599"/>
        </w:trPr>
        <w:tc>
          <w:tcPr>
            <w:tcW w:w="538"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.投标人具有 ISO27701 隐私信息管理体系认证证书的得 2 分。</w:t>
            </w:r>
            <w:r>
              <w:rPr>
                <w:rFonts w:hint="eastAsia" w:ascii="宋体" w:hAnsi="宋体" w:cs="宋体"/>
                <w:b/>
                <w:color w:val="auto"/>
                <w:szCs w:val="21"/>
                <w:highlight w:val="none"/>
              </w:rPr>
              <w:t xml:space="preserve">需提供有效期内证书复印件并加盖单位公章，未提供或内容不符的，得0分。</w:t>
            </w:r>
            <w:r>
              <w:rPr>
                <w:color w:val="auto"/>
                <w:highlight w:val="none"/>
              </w:rPr>
            </w:r>
            <w:r/>
          </w:p>
        </w:tc>
      </w:tr>
      <w:tr>
        <w:trPr>
          <w:trHeight w:val="1247"/>
        </w:trPr>
        <w:tc>
          <w:tcPr>
            <w:tcW w:w="538"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W w:w="3491" w:type="pct"/>
            <w:vAlign w:val="center"/>
            <w:textDirection w:val="lrTb"/>
            <w:noWrap w:val="false"/>
          </w:tcPr>
          <w:p>
            <w:pPr>
              <w:jc w:val="left"/>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.投标人具有信息安全服务资质认证证书-软件安全开发服务资质、信息安全服务资质认证证书-信息系统安全运维服务资质，每提供一项证书得 1 分，本项最多得 2 分。</w:t>
            </w:r>
            <w:r>
              <w:rPr>
                <w:rFonts w:hint="eastAsia" w:ascii="宋体" w:hAnsi="宋体" w:cs="宋体"/>
                <w:b/>
                <w:color w:val="auto"/>
                <w:szCs w:val="21"/>
                <w:highlight w:val="none"/>
              </w:rPr>
              <w:t xml:space="preserve">提供有效期内证书复印件并加盖单位公章，未提供或内容不符的，得0分。</w:t>
            </w:r>
            <w:r>
              <w:rPr>
                <w:color w:val="auto"/>
                <w:highlight w:val="none"/>
              </w:rPr>
            </w:r>
            <w:r/>
          </w:p>
        </w:tc>
      </w:tr>
      <w:tr>
        <w:trPr>
          <w:trHeight w:val="421"/>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rPr>
                <w:b/>
                <w:color w:val="auto"/>
                <w:sz w:val="21"/>
                <w:szCs w:val="21"/>
                <w:highlight w:val="none"/>
              </w:rPr>
            </w:pPr>
            <w:r>
              <w:rPr>
                <w:rFonts w:hint="eastAsia" w:ascii="宋体" w:hAnsi="宋体" w:cs="宋体"/>
                <w:color w:val="auto"/>
                <w:sz w:val="21"/>
                <w:szCs w:val="21"/>
                <w:highlight w:val="none"/>
              </w:rPr>
              <w:t xml:space="preserve">投标人拟派项目负责人（限1人）具备信息系统项目管理师（高级）、数据库系统工程师证书的，每提供 1 个有效证书得 2.5 分，本项最高得 5 分。 </w:t>
            </w:r>
            <w:r>
              <w:rPr>
                <w:rFonts w:hint="eastAsia" w:ascii="宋体" w:hAnsi="宋体" w:cs="宋体"/>
                <w:b/>
                <w:color w:val="auto"/>
                <w:sz w:val="21"/>
                <w:szCs w:val="21"/>
                <w:highlight w:val="none"/>
              </w:rPr>
              <w:t xml:space="preserve">注：1. 须提供项目负责人证书复印件；2. 提供投标人为该项目负责人缴纳的社保证明（以投标截止时间往前推算近三个月内任意 1 个月）；3. 证书须真实有效，虚假材料不予计分。</w:t>
            </w:r>
            <w:r>
              <w:rPr>
                <w:color w:val="auto"/>
                <w:highlight w:val="none"/>
              </w:rPr>
            </w:r>
            <w:r/>
          </w:p>
        </w:tc>
      </w:tr>
      <w:tr>
        <w:trPr>
          <w:trHeight w:val="274"/>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项目团队</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投标人拟派项目团队成员（不含项目负责人）中，具有下列证书之一的，每提供 1 张有效证书得 1 分，本项最高得 5 分： （1）系统架构设计师；（2）软件设计师；（3）信息安全工程师；（4）软件测试工程师；（5）系统集成项目管理工程师。</w:t>
            </w:r>
            <w:r>
              <w:rPr>
                <w:rFonts w:hint="eastAsia" w:ascii="宋体" w:hAnsi="宋体" w:cs="宋体"/>
                <w:b/>
                <w:bCs/>
                <w:color w:val="auto"/>
                <w:sz w:val="21"/>
                <w:szCs w:val="21"/>
                <w:highlight w:val="none"/>
              </w:rPr>
              <w:t xml:space="preserve"> 注：1. 须提供证书复印件及投标人为其缴纳的社保证明（以投标截止时间往前推算近三个月内任意 1 个月，社保缴纳单位须为投标人）；2. 同一人员的多张证书、同一类型证书在不同人员名下，均不重复计分；3. 证书须真实有效，不在有效期内或材料不符的不得分</w:t>
            </w:r>
            <w:r>
              <w:rPr>
                <w:color w:val="auto"/>
                <w:highlight w:val="none"/>
              </w:rPr>
            </w:r>
            <w:r/>
          </w:p>
        </w:tc>
      </w:tr>
      <w:tr>
        <w:trPr>
          <w:trHeight w:val="2934"/>
        </w:trPr>
        <w:tc>
          <w:tcPr>
            <w:tcW w:w="538"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w:t>
            </w:r>
            <w:r>
              <w:rPr>
                <w:rFonts w:hint="eastAsia" w:ascii="宋体" w:hAnsi="宋体" w:cs="宋体"/>
                <w:color w:val="auto"/>
                <w:szCs w:val="21"/>
                <w:highlight w:val="none"/>
              </w:rPr>
              <w:br/>
            </w:r>
            <w:r>
              <w:rPr>
                <w:rFonts w:hint="eastAsia" w:ascii="宋体" w:hAnsi="宋体" w:cs="宋体"/>
                <w:color w:val="auto"/>
                <w:szCs w:val="21"/>
                <w:highlight w:val="none"/>
              </w:rPr>
              <w:t xml:space="preserve">部分</w:t>
            </w:r>
            <w:r>
              <w:rPr>
                <w:rFonts w:hint="eastAsia" w:ascii="宋体" w:hAnsi="宋体" w:cs="宋体"/>
                <w:color w:val="auto"/>
                <w:szCs w:val="21"/>
                <w:highlight w:val="none"/>
              </w:rPr>
              <w:br/>
            </w:r>
            <w:r>
              <w:rPr>
                <w:color w:val="auto"/>
                <w:highlight w:val="none"/>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平台整体架构理解</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根据投标人针对政务类房屋租赁监管平台的通用架构认知、业务逻辑理解、数据流转机制、平台运维重难点把控、适配改造思路等通用技术认知进行综合评分</w:t>
            </w:r>
            <w:r>
              <w:rPr>
                <w:rFonts w:hint="eastAsia" w:ascii="宋体" w:hAnsi="宋体" w:cs="宋体"/>
                <w:color w:val="auto"/>
                <w:sz w:val="21"/>
                <w:szCs w:val="21"/>
                <w:highlight w:val="none"/>
              </w:rPr>
              <w:t xml:space="preserve">：</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对平台整体架构、核心业务、运行痛点理解透彻，分析详实、贴合项目实际、认知准确，得5分；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对平台架构及运行情况理解较为清晰，分析内容较完整，基本贴合项目实际，得3分；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3. 对平台架构及运行认知存在偏差，分析内容简略、针对性不足，部分内容与实际不符，得1分；</w:t>
            </w:r>
            <w:r>
              <w:rPr>
                <w:color w:val="auto"/>
                <w:highlight w:val="none"/>
              </w:rPr>
            </w:r>
            <w:r/>
          </w:p>
          <w:p>
            <w:pPr>
              <w:ind w:firstLine="440"/>
              <w:rPr>
                <w:color w:val="auto"/>
                <w:sz w:val="21"/>
                <w:szCs w:val="21"/>
                <w:highlight w:val="none"/>
              </w:rPr>
            </w:pPr>
            <w:r>
              <w:rPr>
                <w:rFonts w:hint="eastAsia" w:ascii="宋体" w:hAnsi="宋体" w:cs="宋体"/>
                <w:color w:val="auto"/>
                <w:sz w:val="21"/>
                <w:szCs w:val="21"/>
                <w:highlight w:val="none"/>
                <w:lang w:bidi="ar"/>
              </w:rPr>
              <w:t xml:space="preserve">4. 未提供相关内容的，本项得0分。</w:t>
            </w:r>
            <w:r>
              <w:rPr>
                <w:color w:val="auto"/>
                <w:highlight w:val="none"/>
              </w:rPr>
            </w:r>
            <w:r/>
          </w:p>
        </w:tc>
      </w:tr>
      <w:tr>
        <w:trPr>
          <w:trHeight w:val="3226"/>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系统功能及运行理解</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根据投标人对政务房屋租赁监管类主体管理系统的通用功能架构、业务流程、运维重难点、风险管控、适配保障方案等专业认知与落地思路进行综合评分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理解全面透彻、认知准确，分析贴合系统实际运行情况，完全匹配项目运维需求，得5分；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理解较为全面，核心功能认知准确，分析基本贴合系统实际，满足基本运维需求，得3分；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3. 理解较为浅显，分析内容简略，仅能覆盖基础功能，针对性不足，得1分；</w:t>
            </w:r>
            <w:r>
              <w:rPr>
                <w:color w:val="auto"/>
                <w:highlight w:val="none"/>
              </w:rPr>
            </w:r>
            <w:r/>
          </w:p>
          <w:p>
            <w:pPr>
              <w:ind w:firstLine="440"/>
              <w:rPr>
                <w:color w:val="auto"/>
                <w:sz w:val="21"/>
                <w:szCs w:val="21"/>
                <w:highlight w:val="none"/>
              </w:rPr>
            </w:pPr>
            <w:r>
              <w:rPr>
                <w:rFonts w:hint="eastAsia" w:ascii="宋体" w:hAnsi="宋体" w:cs="宋体"/>
                <w:color w:val="auto"/>
                <w:sz w:val="21"/>
                <w:szCs w:val="21"/>
                <w:highlight w:val="none"/>
                <w:lang w:bidi="ar"/>
              </w:rPr>
              <w:t xml:space="preserve">4. 未提供相关内容的，本项得0分。</w:t>
            </w:r>
            <w:r>
              <w:rPr>
                <w:color w:val="auto"/>
                <w:highlight w:val="none"/>
              </w:rPr>
            </w:r>
            <w:r/>
          </w:p>
        </w:tc>
      </w:tr>
      <w:tr>
        <w:trPr>
          <w:trHeight w:val="846"/>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根据投标人对政务监测分析类系统的通用功能架构、数据监测逻辑、统计分析运维要点、数据准确性保障、异常处置机制等专业认知与运维方案进行综合评分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理解全面透彻、认知准确，分析贴合系统实际运行情况，完全匹配项目运维需求，得5分；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理解较为全面，核心功能认知准确，分析基本贴合系统实际，满足基本运维需求，得3分；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3. 理解较为浅显，分析内容简略，仅能覆盖基础功能，针对性不足，得1分；</w:t>
            </w:r>
            <w:r>
              <w:rPr>
                <w:color w:val="auto"/>
                <w:highlight w:val="none"/>
              </w:rPr>
            </w:r>
            <w:r/>
          </w:p>
          <w:p>
            <w:pPr>
              <w:ind w:firstLine="440"/>
              <w:rPr>
                <w:color w:val="auto"/>
                <w:sz w:val="21"/>
                <w:szCs w:val="21"/>
                <w:highlight w:val="none"/>
              </w:rPr>
            </w:pPr>
            <w:r>
              <w:rPr>
                <w:rFonts w:hint="eastAsia" w:ascii="宋体" w:hAnsi="宋体" w:cs="宋体"/>
                <w:color w:val="auto"/>
                <w:sz w:val="21"/>
                <w:szCs w:val="21"/>
                <w:highlight w:val="none"/>
                <w:lang w:bidi="ar"/>
              </w:rPr>
              <w:t xml:space="preserve">4. 未提供相关内容的，本项得0分。</w:t>
            </w:r>
            <w:r>
              <w:rPr>
                <w:color w:val="auto"/>
                <w:highlight w:val="none"/>
              </w:rPr>
            </w:r>
            <w:r/>
          </w:p>
        </w:tc>
      </w:tr>
      <w:tr>
        <w:trPr>
          <w:trHeight w:val="2805"/>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根据投标人对财政奖补类政务管理系统的业务流程、数据上报、核算管理、合规运维、风险把控等通用专业能力与专项运维思路进行综合评分：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理解全面透彻、认知准确，分析贴合系统实际运行情况，完全匹配项目运维需求，得5分；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理解较为全面，核心功能认知准确，分析基本贴合系统实际，满足基本运维需求，得3分；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3. 理解较为浅显，分析内容简略，仅能覆盖基础功能，针对性不足，得1分；</w:t>
            </w:r>
            <w:r>
              <w:rPr>
                <w:color w:val="auto"/>
                <w:highlight w:val="none"/>
              </w:rPr>
            </w:r>
            <w:r/>
          </w:p>
          <w:p>
            <w:pPr>
              <w:ind w:firstLine="440"/>
              <w:rPr>
                <w:color w:val="auto"/>
                <w:sz w:val="21"/>
                <w:szCs w:val="21"/>
                <w:highlight w:val="none"/>
              </w:rPr>
            </w:pPr>
            <w:r>
              <w:rPr>
                <w:rFonts w:hint="eastAsia" w:ascii="宋体" w:hAnsi="宋体" w:cs="宋体"/>
                <w:color w:val="auto"/>
                <w:sz w:val="21"/>
                <w:szCs w:val="21"/>
                <w:highlight w:val="none"/>
                <w:lang w:bidi="ar"/>
              </w:rPr>
              <w:t xml:space="preserve">4. 未提供相关内容的，本项得0分。</w:t>
            </w:r>
            <w:r>
              <w:rPr>
                <w:color w:val="auto"/>
                <w:highlight w:val="none"/>
              </w:rPr>
            </w:r>
            <w:r/>
          </w:p>
        </w:tc>
      </w:tr>
      <w:tr>
        <w:trPr>
          <w:trHeight w:val="2024"/>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根据投标人对政务合同全生命周期管理系统的通用业务架构、数据联动规则、运维管控重点、业务适配保障能力进行综合评分：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理解全面透彻、认知准确，分析贴合系统实际运行情况，完全匹配项目运维需求，得5分；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理解较为全面，核心功能认知准确，分析基本贴合系统实际，满足基本运维需求，得3分；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3. 理解较为浅显，分析内容简略，仅能覆盖基础功能，针对性不足，得1分；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4. 未提供相关内容的，本项得0分。</w:t>
            </w:r>
            <w:r>
              <w:rPr>
                <w:color w:val="auto"/>
                <w:highlight w:val="none"/>
              </w:rPr>
            </w:r>
            <w:r/>
          </w:p>
        </w:tc>
      </w:tr>
      <w:tr>
        <w:trPr>
          <w:trHeight w:val="90"/>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根据投标人对政务信用归集、信用评价、信用应用类系统的通用运维标准、数据合规管控、业务适配保障能力进行综合评分：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理解全面透彻、认知准确，分析贴合系统实际运行情况，完全匹配项目运维需求，得5分；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理解较为全面，核心功能认知准确，分析基本贴合系统实际，满足基本运维需求，得3分；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3. 理解较为浅显，分析内容简略，仅能覆盖基础功能，针对性不足，得1分；</w:t>
            </w:r>
            <w:r>
              <w:rPr>
                <w:color w:val="auto"/>
                <w:highlight w:val="none"/>
              </w:rPr>
            </w:r>
            <w:r/>
          </w:p>
          <w:p>
            <w:pPr>
              <w:ind w:firstLine="440"/>
              <w:rPr>
                <w:color w:val="auto"/>
                <w:sz w:val="21"/>
                <w:szCs w:val="21"/>
                <w:highlight w:val="none"/>
              </w:rPr>
            </w:pPr>
            <w:r>
              <w:rPr>
                <w:rFonts w:hint="eastAsia" w:ascii="宋体" w:hAnsi="宋体" w:cs="宋体"/>
                <w:color w:val="auto"/>
                <w:sz w:val="21"/>
                <w:szCs w:val="21"/>
                <w:highlight w:val="none"/>
                <w:lang w:bidi="ar"/>
              </w:rPr>
              <w:t xml:space="preserve">4. 未提供相关内容的，本项得0分。</w:t>
            </w:r>
            <w:r>
              <w:rPr>
                <w:color w:val="auto"/>
                <w:highlight w:val="none"/>
              </w:rPr>
            </w:r>
            <w:r/>
          </w:p>
        </w:tc>
      </w:tr>
      <w:tr>
        <w:trPr>
          <w:trHeight w:val="1555"/>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运维服务方案</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3491" w:type="pct"/>
            <w:vAlign w:val="center"/>
            <w:textDirection w:val="lrTb"/>
            <w:noWrap w:val="false"/>
          </w:tcPr>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根据投标人提供的本项目专项运维服务方案（包含但不限于运维服务内容、服务范围、服务标准、日常运维工作机制、问题处置流程等）综合评分：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1. 方案内容完整详实、贴合本平台运维实际，服务机制清晰、可落地性强，完全满足项目运维需求，得5分；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2. 方案内容较完整，核心运维内容齐全，具备基本服务机制，可落地性较强，得3分；</w:t>
            </w:r>
            <w:r>
              <w:rPr>
                <w:color w:val="auto"/>
                <w:highlight w:val="none"/>
              </w:rPr>
            </w:r>
            <w:r/>
          </w:p>
          <w:p>
            <w:pPr>
              <w:ind w:firstLine="44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 方案内容简略，运维机制不完善，内容针对性一般，仅能满足基础运维需求，得1分；</w:t>
            </w:r>
            <w:r>
              <w:rPr>
                <w:color w:val="auto"/>
                <w:highlight w:val="none"/>
              </w:rPr>
            </w:r>
            <w:r/>
          </w:p>
          <w:p>
            <w:pPr>
              <w:ind w:firstLine="440"/>
              <w:jc w:val="left"/>
              <w:widowControl/>
              <w:rPr>
                <w:color w:val="auto"/>
                <w:sz w:val="21"/>
                <w:szCs w:val="21"/>
                <w:highlight w:val="none"/>
              </w:rPr>
            </w:pPr>
            <w:r>
              <w:rPr>
                <w:rFonts w:hint="eastAsia" w:ascii="宋体" w:hAnsi="宋体" w:cs="宋体"/>
                <w:color w:val="auto"/>
                <w:sz w:val="21"/>
                <w:szCs w:val="21"/>
                <w:highlight w:val="none"/>
                <w:lang w:bidi="ar"/>
              </w:rPr>
              <w:t xml:space="preserve">4. 未提供专项运维服务方案的，本项得0分。</w:t>
            </w:r>
            <w:r>
              <w:rPr>
                <w:color w:val="auto"/>
                <w:highlight w:val="none"/>
              </w:rPr>
            </w:r>
            <w:r/>
          </w:p>
        </w:tc>
      </w:tr>
      <w:tr>
        <w:trPr>
          <w:trHeight w:val="2589"/>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运维服务体系</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r/>
          </w:p>
        </w:tc>
        <w:tc>
          <w:tcPr>
            <w:tcW w:w="3491" w:type="pct"/>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具备完整的运维服务体系，具备专业的运维服务管理相关系统。投标人通过该系统进行运维服务管理、用户通过该系统自助进行故障申报、评价、查询以及问题变更的情况。根据投标人提供的运维服务体系进行综合评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1、运维服务体系描述完善详尽，流程合理完善的，得6分；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2、运维服务体系描述较为详细，流程较合理的，得3分；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3、运维服务体系描述较简略，流程不完善的，得1分；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4、未提供不得分。</w:t>
            </w:r>
            <w:r>
              <w:rPr>
                <w:color w:val="auto"/>
                <w:highlight w:val="none"/>
              </w:rPr>
            </w:r>
            <w:r/>
          </w:p>
        </w:tc>
      </w:tr>
      <w:tr>
        <w:trPr>
          <w:trHeight w:val="1925"/>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应急服务方案</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6</w:t>
            </w:r>
            <w:r>
              <w:rPr>
                <w:color w:val="auto"/>
                <w:highlight w:val="none"/>
              </w:rPr>
            </w:r>
            <w:r/>
          </w:p>
        </w:tc>
        <w:tc>
          <w:tcPr>
            <w:tcW w:w="3491" w:type="pct"/>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根据投标人提供的应急服务方案进行综合评分：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1、服务响应及时、管理规范符合本项目实际情况，针对性强，内容完整，响应措施全面的，得</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2、应急服务方案有欠缺、响应措施有欠缺、针对性不强的，得</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3、应急服务方案有欠缺、响应措施有欠缺、针对性一般的，得1分；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4、未提供不得分。</w:t>
            </w:r>
            <w:r>
              <w:rPr>
                <w:color w:val="auto"/>
                <w:highlight w:val="none"/>
              </w:rPr>
            </w:r>
            <w:r/>
          </w:p>
        </w:tc>
      </w:tr>
      <w:tr>
        <w:trPr>
          <w:trHeight w:val="1468"/>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服务质量控制</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6</w:t>
            </w:r>
            <w:r>
              <w:rPr>
                <w:color w:val="auto"/>
                <w:highlight w:val="none"/>
              </w:rPr>
            </w:r>
            <w:r/>
          </w:p>
        </w:tc>
        <w:tc>
          <w:tcPr>
            <w:tcW w:w="3491" w:type="pct"/>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根据投标人提供的服务质量控制方案进行综合评分：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1、方案科学合理，质量控制针对性强，安排合理有序，可行性强的，得</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2、方案较为合理，质量控制针对性一般，安排较为合理，可行性较强的，得</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3、方案整体有缺漏，质量控制针对性较差，可行性一般的，得1分；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4、未提供不得分。</w:t>
            </w:r>
            <w:r>
              <w:rPr>
                <w:color w:val="auto"/>
                <w:highlight w:val="none"/>
              </w:rPr>
            </w:r>
            <w:r/>
          </w:p>
        </w:tc>
      </w:tr>
      <w:tr>
        <w:trPr>
          <w:trHeight w:val="723"/>
        </w:trPr>
        <w:tc>
          <w:tcPr>
            <w:tcW w:w="53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9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培训方案</w:t>
            </w:r>
            <w:r>
              <w:rPr>
                <w:color w:val="auto"/>
                <w:highlight w:val="none"/>
              </w:rPr>
            </w:r>
            <w:r/>
          </w:p>
        </w:tc>
        <w:tc>
          <w:tcPr>
            <w:tcW w:w="477"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6</w:t>
            </w:r>
            <w:r>
              <w:rPr>
                <w:color w:val="auto"/>
                <w:highlight w:val="none"/>
              </w:rPr>
            </w:r>
            <w:r/>
          </w:p>
        </w:tc>
        <w:tc>
          <w:tcPr>
            <w:tcW w:w="3491" w:type="pct"/>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根据投标人提供的培训方案包括但不限于培训对象、培训内容、培训方式、培训场次、培训成果等进行综合评分：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1、方案科学合理，培训组织能力及针对性强，时间安排合理有序，可行性强的，得</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2、方案较为合理，培训组织能力及针对性一般，时间安排较为合理，可行性较强的，得</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3、方案整体有缺漏，培训组织能力及针对性较差，可行性一般的，得1分；</w:t>
            </w:r>
            <w:r>
              <w:rPr>
                <w:color w:val="auto"/>
                <w:highlight w:val="none"/>
              </w:rPr>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4、未提供不得分。</w:t>
            </w:r>
            <w:bookmarkEnd w:id="31"/>
            <w:r>
              <w:rPr>
                <w:color w:val="auto"/>
                <w:highlight w:val="none"/>
              </w:rPr>
            </w:r>
            <w:r/>
          </w:p>
        </w:tc>
      </w:tr>
    </w:tbl>
    <w:p>
      <w:pPr>
        <w:pStyle w:val="932"/>
        <w:ind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pStyle w:val="885"/>
        <w:ind w:left="0" w:right="220" w:firstLine="422"/>
        <w:jc w:val="both"/>
        <w:spacing w:before="24" w:line="312" w:lineRule="auto"/>
        <w:rPr>
          <w:rFonts w:hint="eastAsia" w:eastAsia="宋体" w:cs="宋体"/>
          <w:b/>
          <w:bCs/>
          <w:color w:val="auto"/>
          <w:highlight w:val="none"/>
        </w:rPr>
      </w:pPr>
      <w:r>
        <w:rPr>
          <w:rFonts w:hint="eastAsia" w:eastAsia="宋体" w:cs="宋体"/>
          <w:b/>
          <w:bCs/>
          <w:color w:val="auto"/>
          <w:highlight w:val="none"/>
          <w:lang w:eastAsia="zh-CN"/>
        </w:rPr>
        <w:t xml:space="preserve">说明</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rPr>
          <w:color w:val="auto"/>
          <w:highlight w:val="none"/>
        </w:rPr>
      </w:r>
      <w:r/>
    </w:p>
    <w:p>
      <w:pPr>
        <w:ind w:firstLine="420"/>
        <w:spacing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小微型企业价格扣除:本项目为专门面向中小企业的政府采购服务项目，评审时不再执行小微企业价格扣除。</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3、残疾人福利单位价格扣除</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（1）本项目对残疾人福利性单位视同小型、微型企业，给予10%的价格扣除，用扣除后的价格参与评审。</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（2）残疾人福利单位需按照招标文件的要求提供《残疾人福利性单位声明函》。</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4、监狱和戒毒企业价格扣除</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（1）本项目对监狱和戒毒企业（简称监狱企业）视同小型、微型企业，给予10%的价格扣除，用扣除后的价格参与评审。</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（3）监狱企业标准请参照《关于政府采购支持监狱企业发展有关问题的通知》（财库[2014]68号）。</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5、残疾人福利单位、监狱企业属于小型、微型企业的，不重复享受政策。</w:t>
      </w:r>
      <w:r>
        <w:rPr>
          <w:color w:val="auto"/>
          <w:highlight w:val="none"/>
        </w:rPr>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6、评标委员会不保证有效报价最低的投标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rPr>
        <w:t xml:space="preserve">中标。</w:t>
      </w:r>
      <w:r>
        <w:rPr>
          <w:color w:val="auto"/>
          <w:highlight w:val="none"/>
        </w:rPr>
      </w:r>
      <w:r/>
    </w:p>
    <w:p>
      <w:pPr>
        <w:ind w:firstLine="422"/>
        <w:spacing w:line="312" w:lineRule="auto"/>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7、投标时上传的相关证明，在中标后需提供原件至招标代理公司进行核验，若投标</w:t>
      </w:r>
      <w:r>
        <w:rPr>
          <w:rFonts w:hint="eastAsia" w:ascii="宋体" w:hAnsi="宋体" w:eastAsia="宋体" w:cs="宋体"/>
          <w:b/>
          <w:bCs/>
          <w:color w:val="auto"/>
          <w:szCs w:val="21"/>
          <w:highlight w:val="none"/>
          <w:u w:val="single"/>
        </w:rPr>
        <w:t xml:space="preserve">供应商</w:t>
      </w:r>
      <w:r>
        <w:rPr>
          <w:rFonts w:hint="eastAsia" w:ascii="宋体" w:hAnsi="宋体" w:eastAsia="宋体" w:cs="宋体"/>
          <w:b/>
          <w:bCs/>
          <w:color w:val="auto"/>
          <w:szCs w:val="21"/>
          <w:highlight w:val="none"/>
          <w:u w:val="single"/>
        </w:rPr>
        <w:t xml:space="preserve">提供虚假资料，一经查实按弄虚作假处理。</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pStyle w:val="919"/>
        <w:ind w:left="420"/>
        <w:rPr>
          <w:rFonts w:hint="eastAsia" w:ascii="宋体" w:hAnsi="宋体" w:eastAsia="宋体"/>
          <w:color w:val="auto"/>
          <w:highlight w:val="none"/>
        </w:rPr>
      </w:pPr>
      <w:r>
        <w:rPr>
          <w:rFonts w:hint="eastAsia" w:ascii="宋体" w:hAnsi="宋体" w:eastAsia="宋体"/>
          <w:color w:val="auto"/>
          <w:highlight w:val="none"/>
        </w:rPr>
      </w:r>
      <w:r>
        <w:rPr>
          <w:color w:val="auto"/>
          <w:highlight w:val="none"/>
        </w:rPr>
      </w:r>
      <w:r/>
    </w:p>
    <w:p>
      <w:pPr>
        <w:rPr>
          <w:rFonts w:hint="eastAsia" w:ascii="宋体" w:hAnsi="宋体" w:eastAsia="宋体" w:cs="宋体"/>
          <w:b/>
          <w:color w:val="auto"/>
          <w:sz w:val="32"/>
          <w:szCs w:val="32"/>
          <w:highlight w:val="none"/>
        </w:rPr>
      </w:pPr>
      <w:r>
        <w:rPr>
          <w:color w:val="auto"/>
          <w:highlight w:val="none"/>
        </w:rPr>
      </w:r>
      <w:bookmarkStart w:id="32" w:name="_Toc3026"/>
      <w:r>
        <w:rPr>
          <w:color w:val="auto"/>
          <w:highlight w:val="none"/>
        </w:rPr>
      </w:r>
      <w:bookmarkStart w:id="33" w:name="_Toc30518"/>
      <w:r>
        <w:rPr>
          <w:rFonts w:hint="eastAsia" w:ascii="宋体" w:hAnsi="宋体" w:eastAsia="宋体" w:cs="宋体"/>
          <w:b/>
          <w:color w:val="auto"/>
          <w:sz w:val="32"/>
          <w:szCs w:val="32"/>
          <w:highlight w:val="none"/>
        </w:rPr>
        <w:br w:type="page" w:clear="all"/>
      </w:r>
      <w:r>
        <w:rPr>
          <w:color w:val="auto"/>
          <w:highlight w:val="none"/>
        </w:rPr>
      </w:r>
      <w:r/>
    </w:p>
    <w:p>
      <w:pPr>
        <w:pStyle w:val="932"/>
        <w:ind w:left="735" w:firstLine="0"/>
        <w:jc w:val="center"/>
        <w:spacing w:line="72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 采购需求</w:t>
      </w:r>
      <w:bookmarkEnd w:id="32"/>
      <w:r>
        <w:rPr>
          <w:color w:val="auto"/>
          <w:highlight w:val="none"/>
        </w:rPr>
      </w:r>
      <w:bookmarkEnd w:id="33"/>
      <w:r>
        <w:rPr>
          <w:rFonts w:hint="eastAsia" w:ascii="宋体" w:hAnsi="宋体" w:eastAsia="宋体" w:cs="宋体"/>
          <w:b/>
          <w:color w:val="auto"/>
          <w:sz w:val="32"/>
          <w:szCs w:val="32"/>
          <w:highlight w:val="none"/>
        </w:rPr>
        <w:t xml:space="preserve"> </w:t>
      </w:r>
      <w:r>
        <w:rPr>
          <w:color w:val="auto"/>
          <w:highlight w:val="none"/>
        </w:rPr>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一、项目概述</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1.项目背景</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南京市房屋租赁服务监管平台是面向全市住房租赁市场的综合性监管服务平台，涵盖房源信息采集、房源发布、合同管理、满意度调查、主体管理、信用管理、中央财政奖补管理、租金托管、违规出租监管、企业经营情况调查、监测分析、</w:t>
      </w:r>
      <w:bookmarkStart w:id="34" w:name="OLE_LINK4"/>
      <w:r>
        <w:rPr>
          <w:rFonts w:ascii="宋体" w:hAnsi="宋体" w:cs="宋体"/>
          <w:color w:val="auto"/>
          <w:szCs w:val="21"/>
          <w:highlight w:val="none"/>
        </w:rPr>
        <w:t xml:space="preserve">在宁高校集中租用社会房源改善学生住宿条件试点项目管理</w:t>
      </w:r>
      <w:bookmarkEnd w:id="34"/>
      <w:r>
        <w:rPr>
          <w:rFonts w:hint="eastAsia" w:ascii="宋体" w:hAnsi="宋体" w:cs="宋体"/>
          <w:color w:val="auto"/>
          <w:szCs w:val="21"/>
          <w:highlight w:val="none"/>
        </w:rPr>
        <w:t xml:space="preserve">、经纪机构年报外网申报、门户网站与企业端、宁慧租（小程序）、我的南京（APP）等全业务链条。平台依托“智慧房产”中心数据库，采用大数据、GIS、二三维一体化等技术手段，实现对全市租赁市场的精细化管理和服务。</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本项目采购运维服务，旨在保障平台各业务系统7×24小时稳定运行，确保数据安全、业务连续、服务高效，为市、区房产管理部门、租赁企业、经纪机构及广大市民提供可靠的系统支撑。</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2.运维服务范围</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运维服务覆盖平台16大核心业务模块及配套支撑系统，具体包括：房源信息采集、房源发布、合同管理、满意度调查、主体管理、信用管理、中央财政奖补管理、租金托管、违规出租监管、企业经营情况调查、监测分析、</w:t>
      </w:r>
      <w:r>
        <w:rPr>
          <w:rFonts w:ascii="宋体" w:hAnsi="宋体" w:cs="宋体"/>
          <w:color w:val="auto"/>
          <w:szCs w:val="21"/>
          <w:highlight w:val="none"/>
        </w:rPr>
        <w:t xml:space="preserve">在宁高校集中租用社会房源改善学生住宿条件试点项目管理</w:t>
      </w:r>
      <w:r>
        <w:rPr>
          <w:rFonts w:hint="eastAsia" w:ascii="宋体" w:hAnsi="宋体" w:cs="宋体"/>
          <w:color w:val="auto"/>
          <w:szCs w:val="21"/>
          <w:highlight w:val="none"/>
        </w:rPr>
        <w:t xml:space="preserve">、经纪机构年报外网申报、门户网站与企业端、宁慧租（小程序）及我的南京（APP）。日常运维服务工作内容包括系统参数调整、人员权限、流程设置、数据修改、功能调整、故障排除等维护，确保以下功能模块正常运行及日常、紧急问题处理。</w:t>
      </w:r>
      <w:r>
        <w:rPr>
          <w:color w:val="auto"/>
          <w:highlight w:val="none"/>
        </w:rPr>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二、运维服务内容</w:t>
      </w:r>
      <w:r>
        <w:rPr>
          <w:color w:val="auto"/>
          <w:highlight w:val="none"/>
        </w:rPr>
      </w:r>
      <w:r/>
    </w:p>
    <w:p>
      <w:pPr>
        <w:ind w:firstLine="482"/>
        <w:spacing w:line="360" w:lineRule="auto"/>
        <w:tabs>
          <w:tab w:val="left" w:pos="3072"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1.房源信息采集</w:t>
      </w:r>
      <w:r>
        <w:rPr>
          <w:rFonts w:hint="eastAsia" w:ascii="宋体" w:hAnsi="宋体" w:cs="宋体"/>
          <w:b/>
          <w:color w:val="auto"/>
          <w:szCs w:val="21"/>
          <w:highlight w:val="none"/>
        </w:rPr>
        <w:tab/>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1.1房源采集系统功能描述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系统面向房产部门及测绘企业，提供租赁房屋时空信</w:t>
      </w:r>
      <w:r>
        <w:rPr>
          <w:rFonts w:hint="eastAsia" w:cs="宋体"/>
          <w:color w:val="auto"/>
          <w:highlight w:val="none"/>
          <w:lang w:eastAsia="zh-CN"/>
        </w:rPr>
        <w:t xml:space="preserve">息从数据归集、作业管理到成果应用的全流程管理能力。通过对房屋规划蓝图、测绘成果等多源数据的统一归集与规范管理，为租赁房屋三维信息采集提供可靠的工作底图支撑；对测绘作业实行任务化、流程化管理，保障作业发起、分发、成果质检与工作量统计等环节规范可控；对采集图纸进行标准化处理，并基于标准化成果自动构建建筑三维模型，提升建模效率与成果质量；基于房屋测绘成果生成分户分间图等应用成果，并通过对外数据服务接口提供查询与调用能力，支撑房源管理、楼盘表展示等后续业务应用，形成“采集 — 处理 — 建模 — 应用”的业务闭环。</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（1）保障系统稳定运行，各业务环节功能完整可用，采集业务流程畅通。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（2）保障对外数据服务接口稳定可靠，查询与交互功能正常。</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2.房源发布</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2.1功能描述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个人及机构出租方、承租方，提供房源从挂牌发布、审核查验到看房租住的全流程支撑能力。通过房源核验、权属查验、委托授权验证等环节保障房源真实合规，未经查验的房源无法通过发布审核；支持多类型、多场景房源的挂牌、展示与上下架管理，房源状态与业务办理实时联动，防止重复出租；提供按间选房与可视化看房体验，满足看房、找房、租房等租住场景；同步开展从业人员信用、交易评价、红黑名单及租金托管等信息公示，增强市场透明度；支持与第三方平台的对接发布，扩大房源触达渠道，形成“发布 — 审核 — 展示 — 租住”的业务闭环。</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2.2运维保障要求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（1）保障房源从挂牌、审核、展示到租住各环节功能稳定可用，多场景挂牌、下架操作及房源状态更新及时准确。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（2）保障房源查验与授权验证结果准确，与存量房网签系统、房产交易与不动产登记一体化平台等外部系统的对接核验可靠。</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（3）保障房源状态联动规则正确执行，审核、网签、出租等环节状态联动及时，防止一房多租。</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（4）保障与第三方平台的房源发布对接接口稳定，集成调用正常。</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3.合同管理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3.1功能描述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为租赁双方及从业机构提供从身份确认、签约达成到登记备案的全流程网签支撑能力：依托生物识别等技术完成身份认证，通过数字证书、电子签章、真迹签名保障签署合规与法律效力；覆盖居间、代理、转租等委托场景，签约前完成委托与转租授权校验；支持按间选房及合同的新建、变更、注销、查询与示范文本应用；合同签订后联动登记备案，并支持企业对接网签、跳转签约与结果回传。</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3.2运维保障要求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（1）保障在线网签全流程稳定可用，身份认证、电子签章、委托与转租授权、按间选房、合同生成、在线支付、登记备案各环节衔接正常，合同与备案的变更、注销联动准确。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（2）保障合同示范文本模板体系维护及时，动态内容域配置生效。</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（3）保障企业与平台网签对接正常，注册、认证、单点登录、数据交互及结果回传等环节可用。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（4）保障备案管理流程畅通，与公安、人社、市数据局等共享推送数据准确。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（5）保障转租管控规则正确执行，转租授权限次等逻辑有效。</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（6）保障合同与租金托管系统的联动正常。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（7）保障云签章相关安全服务正常，数字证书认证、云章签署、真迹签名、政府端签章、证书生命周期管理及用户中心等功能可用。</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4.满意度调查</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4.1功能描述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支持三类租赁评价：个人与个人（个人直租）、机构与个人（机构转租、委托代理）、机构与机构（机构直租给机构）之间的评价管理。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4.2运维保障要求</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（1）保障三类评价场景在 PC 端和手机端评价功能稳定可用。</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（2）保障评价数据存储与查询功能正常。</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5.主体管理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5.1功能描述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开发企业、租赁企业、经纪机构、代办机构及在宁高校等各类从业主体，提供主体信息报备与开业报告的统一管理能力，涵盖主体基本信息登记维护、业务信息申报及查询统计，为从业主体进入平台开展业务提供准入与档案支撑；同时支持相关从业人员的统一管理，覆盖人员基本信息与人员变动管理，支撑多级、多角色权限体系运行，为房源发布、合同网签等业务提供权威、完整的主体数据基础。</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5.2运维保障要求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（1）保障机构开业报告审核流程畅通，企业注册、信息填报、属地审核、权限设置等环节正常。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（2）保障人员权限体系有效运行，市、区、街道多级管理员及业务员权限管理正常，机构管理员对分支机构与从业人员的管理可用。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（3）保障主体信息变更、注销与相关业务联动正确。</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6.信用管理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6.1功能描述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管理部门、从业机构与从业人员、租赁当事人、窗口服务人员四类角色，提供覆盖信用信息展示查询、信用评价管理与信用结果应用的全流程信用管理能力。通过信用分配置规则实现信用分的统一计算与展示，支持信用加减分记录、红黑名单录入与政府审核后公示，并提供申诉渠道保障信用主体权益；租赁当事人可在交易全周期开展签约、履约及租后评价，信用结果联动房源发布、合同网签等业务，支撑守信激励、失信约束的市场治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6.2运维保障要求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（1）保障信用分配置管理功能正常，因子配置、公式配置、对象设置生效。</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（2）保障红黑名单审核公示流程畅通。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（3）保障信用分计算与展示准确，信用分对房源发布、合同网签等业务的联动规则有效执行。</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7.中央财政奖补管理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7.1功能描述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中央财政支持住房租赁市场发展的奖补业务，提供奖补项目全周期管理能力。覆盖筹集房源新建、改建项目及租赁企业培育项目的补助信息查询，以及资金拨付、实施进度等信息的公开公示；对财政资金奖励申报项目实施全流程监管，跟踪项目管理、施工、进度与资金使用情况；提供申报项目、新增备案、补贴资金监管等多维度统计分析及自定义分析，支撑奖补资金规范、透明、高效使用与绩效评价。</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7.2运维保障要求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（1）保障已入库项目资金申请流程完整、状态可追溯，初审、复核、公示、审定、拨款各环节材料与审核意见可查看。</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（2）保障奖补金额计算准确，拨付逻辑与申请周期配置正确，申报材料上传及完整性校验正常。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（3）保障培育企业及机制体制建设类项目的资金申请、审核与材料管理正常，申报流程闭环，历史记录可查。</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（4）保障绩效指标展示准确，试点任务、资金安排、金额、占比等数据及时更新，支撑绩效审计与评价。</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8.租金托管</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8.1功能描述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租金托管监管场景，构建与银行端的信息联通与风险防控能力。通过接收开户银行报送的租金托管专户信息与风险防控金信息，实现托管资金信息的集中归集与监管；支持风险防控金扣除记录查询与历史追溯，可配置风险预警触发条件，将存在风险的租赁企业列入风险警示名单并对外发布，形成 "信息报送 — 归集监管 — 风险预警" 的闭环管理，保障租赁当事人租金安全。</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8.2运维保障要求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（1）保障网签备案合同信息与租金银行托管系统对接稳定，托管银行调用合同信息、平台接收专户信息和风险防控金预警的双向数据交换正常。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（2）保障门户网站租金托管展示功能正常，合同网签后签订各方可查询租金托管情况。</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（3）保障企业端租金托管相关功能可用。</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9.违规出租监管</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9.1功能描述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违规出租房（群租房）整治监管业务，提供从线索归集、案件处置到整改闭环的全流程管理能力。支持通过批量导入、个案录入、扫码录入等多种方式归集违规出租信息，建立监管数据库；提供多条件灵活查询与案件状态跟踪，支撑业务派件、整改材料上传、整改时限提醒等处置流程管理；支持按月、季、年度输出整治情况报表，联动多部门协同监管与信息公示，推动违规出租问题及时发现、闭环整治。</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9.2运维保障要求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（1）保障整治监管平台稳定运行，数据采录、案件状态查询、派件整改跟踪、统计报表、人员权限管理等功能正常。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（2）保障手机端扫码采集标准地址功能可用。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（3）保障与公安、市场监管、社区街道等多部门联动对接稳定。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（4）保障风险企业联合约谈、限期整改、公开曝光、风险提示等信息发布公示及时。</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10.企业经营情况调查</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10.1功能描述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租赁企业经营情况调查业务，通过与市大数据局对接获取企业信息，建立租赁企业数据库；对辖区实际从事房屋租赁经营的企业进行核查确认并形成从业清单，未实际经营的企业不予开放房源发布资格；同步核验企业开业信息报告完成情况，支撑租赁企业底数清、资格准的规范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10.2运维保障要求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（1）保障企业数据库清单批量导入导出及区级企业清单筛选功能正常。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（2）保障从业企业信息管理与开业报告对接正常。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（3）保障风险企业信息管理与整改管理功能可用。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（4）保障报表查询下载打印功能正常。</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11.监测分析</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11.1功能描述</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面向住房租赁市场运行监测与决策支持场景，提供多维度、多层次的动态监测分析能力。围绕市场供给、成交与存量开展动态监测，覆盖土地、项目、房源、当事人、资金、成交周期等要素，并从房源供需结构、市场主体结构、市场价格、成交及支付周期等维度开展主题监测分析，为市场运行研判、政策制定与领导决策提供数据支撑。</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11.2运维保障要求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（1）保障租金监测分析功能正常，租金价格水平、租金支付压力（租收比）、资金风险监测数据准确，支持多维度统计。</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（2）保障监测指标体系维护功能正常，房源、合同、主体、资金四大类指标计算准确。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（3）保障数据报表服务正常，日报、周报、月报按时生成导出，可视化展示可用。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（4）保障房地产市场分析功能正常，商品房、二手房、住房保障、购房需求等专题分析数据准确。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（5）保障统计局、70城/百城价格指数、人社等外部数据源对接稳定。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（6）保障大屏展示（领导决策驾驶舱）功能正常。</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12.</w:t>
      </w:r>
      <w:r>
        <w:rPr>
          <w:rFonts w:hint="eastAsia"/>
          <w:color w:val="auto"/>
          <w:highlight w:val="none"/>
        </w:rPr>
        <w:t xml:space="preserve"> </w:t>
      </w:r>
      <w:r>
        <w:rPr>
          <w:rFonts w:ascii="宋体" w:hAnsi="宋体" w:cs="宋体"/>
          <w:b/>
          <w:color w:val="auto"/>
          <w:szCs w:val="21"/>
          <w:highlight w:val="none"/>
        </w:rPr>
        <w:t xml:space="preserve">面向在宁高校集中租用社会房源改善学生住宿条件试点项目管理</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12.1功能描述</w:t>
      </w:r>
      <w:r>
        <w:rPr>
          <w:color w:val="auto"/>
          <w:highlight w:val="none"/>
        </w:rPr>
      </w:r>
      <w:r/>
    </w:p>
    <w:p>
      <w:pPr>
        <w:ind w:firstLine="482"/>
        <w:spacing w:line="360" w:lineRule="auto"/>
        <w:rPr>
          <w:rFonts w:cs="宋体"/>
          <w:color w:val="auto"/>
          <w:highlight w:val="none"/>
        </w:rPr>
        <w:outlineLvl w:val="2"/>
      </w:pPr>
      <w:r>
        <w:rPr>
          <w:rFonts w:cs="宋体"/>
          <w:color w:val="auto"/>
          <w:highlight w:val="none"/>
        </w:rPr>
        <w:t xml:space="preserve">面向在宁高校集中租用社会房源改善学生住宿条件试点项目管理场景，提供高校端和租赁企业端账号申请，试点项目入网、挂牌、租赁合同网签备案的全流程支持能力。支持高校机构和租赁企业的注册与信息维护；在宁高校试点集中租用社会房源改善学生住宿条件试点项目入网和挂牌；在线查看已入网项目；线上选房；项目租赁合同网签备案等功能</w:t>
      </w:r>
      <w:bookmarkStart w:id="66" w:name="_GoBack"/>
      <w:r>
        <w:rPr>
          <w:color w:val="auto"/>
          <w:highlight w:val="none"/>
        </w:rPr>
      </w:r>
      <w:bookmarkEnd w:id="66"/>
      <w:r>
        <w:rPr>
          <w:rFonts w:cs="宋体"/>
          <w:color w:val="auto"/>
          <w:highlight w:val="none"/>
        </w:rPr>
        <w:t xml:space="preserve">。</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12.2运维保障要求</w:t>
      </w:r>
      <w:r>
        <w:rPr>
          <w:color w:val="auto"/>
          <w:highlight w:val="none"/>
        </w:rPr>
      </w:r>
      <w:r/>
    </w:p>
    <w:p>
      <w:pPr>
        <w:pStyle w:val="914"/>
        <w:ind w:firstLine="480"/>
        <w:spacing w:beforeAutospacing="0" w:afterAutospacing="0" w:line="360" w:lineRule="auto"/>
        <w:rPr>
          <w:rFonts w:hint="eastAsia"/>
          <w:color w:val="auto"/>
          <w:sz w:val="18"/>
          <w:szCs w:val="18"/>
          <w:highlight w:val="none"/>
        </w:rPr>
      </w:pPr>
      <w:r>
        <w:rPr>
          <w:rFonts w:hint="eastAsia"/>
          <w:color w:val="auto"/>
          <w:sz w:val="18"/>
          <w:szCs w:val="18"/>
          <w:highlight w:val="none"/>
        </w:rPr>
        <w:t xml:space="preserve">（1）保障在宁高校集中租用社会房源改善学生住宿条件试点项目管理模块各项功能正常，机构及人员信息管理、项目申报、房源入网、房源查看、网签备案全流程可用。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（2）保障相关合同模板维护及时。</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13.经纪机构年报外网申报</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13.1功能描述</w:t>
      </w:r>
      <w:r>
        <w:rPr>
          <w:color w:val="auto"/>
          <w:highlight w:val="none"/>
        </w:rPr>
      </w:r>
      <w:r/>
    </w:p>
    <w:p>
      <w:pPr>
        <w:pStyle w:val="885"/>
        <w:ind w:firstLine="480"/>
        <w:spacing w:line="360" w:lineRule="auto"/>
        <w:rPr>
          <w:rFonts w:hint="eastAsia" w:cs="宋体"/>
          <w:color w:val="auto"/>
          <w:highlight w:val="none"/>
        </w:rPr>
      </w:pPr>
      <w:r>
        <w:rPr>
          <w:rFonts w:cs="宋体"/>
          <w:color w:val="auto"/>
          <w:highlight w:val="none"/>
          <w:lang w:eastAsia="zh-CN"/>
        </w:rPr>
        <w:t xml:space="preserve">面向经纪机构年审（年报）业务，提供线上申报与自动续期管理能力。经纪机构可通过企业端申报入口发起年审，机构管理员对从业人员相关信息进行维护并提交，由属地房产部门审核；审核通过后，机构备案证明有效期自动续期一年；备案证明到期前30日自动发送短信提醒，保障经纪机构资质管理规范、到期衔接顺畅。</w:t>
      </w:r>
      <w:r>
        <w:rPr>
          <w:color w:val="auto"/>
          <w:highlight w:val="none"/>
        </w:rPr>
      </w:r>
      <w:r/>
    </w:p>
    <w:p>
      <w:pPr>
        <w:ind w:firstLine="48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13.2运维保障要求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color w:val="auto"/>
          <w:sz w:val="21"/>
          <w:szCs w:val="21"/>
          <w:highlight w:val="none"/>
        </w:rPr>
        <w:t xml:space="preserve">（1）保障企业端年审申报入口可用，申报流程畅通。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color w:val="auto"/>
          <w:sz w:val="21"/>
          <w:szCs w:val="21"/>
          <w:highlight w:val="none"/>
        </w:rPr>
        <w:t xml:space="preserve">（2）保障从业人员信息修改、属地房产部门审核流程正常。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color w:val="auto"/>
          <w:sz w:val="21"/>
          <w:szCs w:val="21"/>
          <w:highlight w:val="none"/>
        </w:rPr>
        <w:t xml:space="preserve">（3）保障备案证明有效期自动续期逻辑正确，短信提醒服务及时可靠。</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14.门户网站与企业端</w:t>
      </w:r>
      <w:r>
        <w:rPr>
          <w:color w:val="auto"/>
          <w:highlight w:val="none"/>
        </w:rPr>
      </w:r>
      <w:r/>
    </w:p>
    <w:p>
      <w:pPr>
        <w:pStyle w:val="885"/>
        <w:ind w:firstLine="480"/>
        <w:spacing w:line="360" w:lineRule="auto"/>
        <w:rPr>
          <w:rFonts w:hint="eastAsia" w:cs="宋体"/>
          <w:color w:val="auto"/>
          <w:highlight w:val="none"/>
        </w:rPr>
      </w:pPr>
      <w:r>
        <w:rPr>
          <w:rFonts w:cs="宋体"/>
          <w:color w:val="auto"/>
          <w:highlight w:val="none"/>
          <w:lang w:eastAsia="zh-CN"/>
        </w:rPr>
        <w:t xml:space="preserve">保障门户网站7×24小时稳定访问，平台各端服务正常：企业端开业报告申请、机构与从业人员管理、房源上下架、合同网签备案、租金托管、中央财政奖补申请等专属业务功能稳定可用，个人端登录、房源发布、合同管理等功能正常；同时维护红黑名单、租金托管、奖补项目、风险警示名单等公众信息公示渠道，确保公示信息及时准确。</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15.宁慧租（小程序）</w:t>
      </w:r>
      <w:r>
        <w:rPr>
          <w:color w:val="auto"/>
          <w:highlight w:val="none"/>
        </w:rPr>
      </w:r>
      <w:r/>
    </w:p>
    <w:p>
      <w:pPr>
        <w:pStyle w:val="885"/>
        <w:ind w:firstLine="480"/>
        <w:spacing w:line="360" w:lineRule="auto"/>
        <w:rPr>
          <w:rFonts w:hint="eastAsia" w:cs="宋体"/>
          <w:color w:val="auto"/>
          <w:highlight w:val="none"/>
        </w:rPr>
      </w:pPr>
      <w:r>
        <w:rPr>
          <w:rFonts w:cs="宋体"/>
          <w:color w:val="auto"/>
          <w:highlight w:val="none"/>
          <w:lang w:eastAsia="zh-CN"/>
        </w:rPr>
        <w:t xml:space="preserve">保障宁慧租微信小程序7×24小时稳定运行，个人中心、房源搜索与详情、看房预约、在线签约等核心功能流畅可用，个人及机构房源发布、合同网签、备案申请、满意度评价、信用分查询等移动端业务功能正常；维护与市统一身份认证平台的对接及网络身份链入口，保障实名认证与刷脸、交易密码等登录方式可用；保障房源核验码、公安门牌二维码等扫码功能准确带出信息，模板消息推送（审核结果、合同到期、风险预警、投诉进度）及时触达用户；同时保障运营位配置、渠道分发与效果统计等运营支撑功能正常。</w:t>
      </w:r>
      <w:r>
        <w:rPr>
          <w:color w:val="auto"/>
          <w:highlight w:val="none"/>
        </w:rPr>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16.我的南京（APP）</w:t>
      </w:r>
      <w:r>
        <w:rPr>
          <w:color w:val="auto"/>
          <w:highlight w:val="none"/>
        </w:rPr>
      </w:r>
      <w:r/>
    </w:p>
    <w:p>
      <w:pPr>
        <w:pStyle w:val="885"/>
        <w:ind w:firstLine="480"/>
        <w:spacing w:line="360" w:lineRule="auto"/>
        <w:rPr>
          <w:rFonts w:hint="eastAsia" w:cs="宋体"/>
          <w:color w:val="auto"/>
          <w:highlight w:val="none"/>
        </w:rPr>
      </w:pPr>
      <w:r>
        <w:rPr>
          <w:rFonts w:cs="宋体"/>
          <w:color w:val="auto"/>
          <w:highlight w:val="none"/>
          <w:lang w:eastAsia="zh-CN"/>
        </w:rPr>
        <w:t xml:space="preserve">保障租赁平台与</w:t>
      </w:r>
      <w:r>
        <w:rPr>
          <w:rFonts w:hint="eastAsia" w:cs="宋体"/>
          <w:color w:val="auto"/>
          <w:highlight w:val="none"/>
          <w:lang w:eastAsia="zh-CN"/>
        </w:rPr>
        <w:t xml:space="preserve">“</w:t>
      </w:r>
      <w:r>
        <w:rPr>
          <w:rFonts w:cs="宋体"/>
          <w:color w:val="auto"/>
          <w:highlight w:val="none"/>
          <w:lang w:eastAsia="zh-CN"/>
        </w:rPr>
        <w:t xml:space="preserve">我的南京</w:t>
      </w:r>
      <w:r>
        <w:rPr>
          <w:rFonts w:hint="eastAsia" w:cs="宋体"/>
          <w:color w:val="auto"/>
          <w:highlight w:val="none"/>
          <w:lang w:eastAsia="zh-CN"/>
        </w:rPr>
        <w:t xml:space="preserve">”</w:t>
      </w:r>
      <w:r>
        <w:rPr>
          <w:rFonts w:cs="宋体"/>
          <w:color w:val="auto"/>
          <w:highlight w:val="none"/>
          <w:lang w:eastAsia="zh-CN"/>
        </w:rPr>
        <w:t xml:space="preserve">APP 对接稳定，用户实名认证后单点登录流程畅通，支持个人身份与机构身份双模式登录，PC端扫码登录及委托授权场景下产权人验证码接收功能正常；个人及机构房源发布、合同网签、备案申请、满意度评价、信用分查询等移动端业务功能正常，扫描房源核验码、公安门牌二维码等信息带出准确；通过 APP 推送的房源审核结果、合同到期提醒、风险预警、奖补公示等消息服务稳定；同时维护企业用户法人统一身份认证，保障企业账号统一管理与数据本地留存。</w:t>
      </w:r>
      <w:r>
        <w:rPr>
          <w:color w:val="auto"/>
          <w:highlight w:val="none"/>
        </w:rPr>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三、运维服务要求</w:t>
      </w:r>
      <w:r>
        <w:rPr>
          <w:color w:val="auto"/>
          <w:highlight w:val="none"/>
        </w:rPr>
      </w:r>
      <w:r/>
    </w:p>
    <w:p>
      <w:pPr>
        <w:ind w:firstLine="482"/>
        <w:spacing w:line="360" w:lineRule="auto"/>
        <w:tabs>
          <w:tab w:val="left" w:pos="3072"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1.容器运维要求</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平台采用 Docker 容器技术进行应用发布管理，基于 Linux 内核 cgroup、namespace 及 Union FS 等技术实现进程封装隔离，提升应用打包部署效率和弹性扩缩容能力，为数十个微服务应用、数百个容器实例提供统一运行环境。容器平台提供资源管理与编排、集群管理、镜像仓库、应用管理、持续集成、网关及基础账号体系等能力，支持统一图形化管理界面、多集群管理与联邦集群、应用商店、用户体系（LDAP/OIDC）、租户管理及资源配额、审计信息等功能。</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（1）集群管理：监控集群节点状态、资源使用率（CPU、内存、存储），及时处理节点异常，支持节点扩缩容。</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（2）应用管理：保障容器应用生命周期管理（部署、更新、回滚、扩缩容）功能正常，健康检查、实例启停操作可用。</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（3）镜像仓库管理：保障镜像仓库运行正常，镜像上传、下载、版本管理可用。</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（4）编排配置管理：对 Dockerfile、编排配置（YAML）、环境变量、参数配置、健康检查配置等进行版本管理，变更可追溯、可回滚。</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（5）存储卷管理：保障容器持久化存储卷（文件上传目录、临时文件、日志文件）数据完整，定期备份并开展恢复演练。</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（6）监控告警：将容器平台运行状态、资源使用、进程服务、系统日志核查纳入日巡检、周排查、月复盘，异常及时告警处置。</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（7）安全要求：开展容器镜像安全扫描，访问权限最小化管控，操作审计留痕。</w:t>
      </w:r>
      <w:r>
        <w:rPr>
          <w:color w:val="auto"/>
          <w:highlight w:val="none"/>
        </w:rPr>
      </w:r>
      <w:r/>
    </w:p>
    <w:p>
      <w:pPr>
        <w:ind w:firstLine="482"/>
        <w:spacing w:line="360" w:lineRule="auto"/>
        <w:tabs>
          <w:tab w:val="left" w:pos="3072"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2.网关运维要求</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网关管理端设置两类角色：网关管理员（网关配置与管理权限）、系统管理员（平台权限），运维账号分级授权、最小权限。</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（1）应用管理：维护后端应用及实例信息（主机、端口、权重），实例启停操作可用。</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（2）路由管理：维护对外路径与后端服务映射关系配置正确，路由发布后生效。</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（3）渠道管理：维护外部接入渠道身份与密钥，渠道授权到指定路由，密钥安全分发。</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（4）限流管理：按 IP、用户或接口配置限流规则（令牌桶容量与速率），规则发布后生效。</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（5）熔断管理：按异常比例或慢调用配置熔断规则，保护后端服务。</w:t>
      </w:r>
      <w:r>
        <w:rPr>
          <w:color w:val="auto"/>
          <w:highlight w:val="none"/>
        </w:rPr>
      </w:r>
      <w:r/>
    </w:p>
    <w:p>
      <w:pPr>
        <w:pStyle w:val="885"/>
        <w:ind w:firstLine="480"/>
        <w:spacing w:line="360" w:lineRule="auto"/>
        <w:rPr>
          <w:rFonts w:hint="eastAsia" w:cs="宋体"/>
          <w:color w:val="auto"/>
          <w:highlight w:val="none"/>
        </w:rPr>
      </w:pPr>
      <w:r>
        <w:rPr>
          <w:rFonts w:hint="eastAsia" w:cs="宋体"/>
          <w:color w:val="auto"/>
          <w:highlight w:val="none"/>
          <w:lang w:eastAsia="zh-CN"/>
        </w:rPr>
        <w:t xml:space="preserve">（6）访问日志：保障所有经过网关的请求异步入库记录（渠道、用户、请求/响应时间、状态、耗时、参数、响应结果），支持查询、明细查看、批量删除。</w:t>
      </w:r>
      <w:r>
        <w:rPr>
          <w:color w:val="auto"/>
          <w:highlight w:val="none"/>
        </w:rPr>
      </w:r>
      <w:r/>
    </w:p>
    <w:p>
      <w:pPr>
        <w:ind w:firstLine="482"/>
        <w:spacing w:line="360" w:lineRule="auto"/>
        <w:tabs>
          <w:tab w:val="left" w:pos="3072"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3.运维工作要求</w:t>
      </w:r>
      <w:r>
        <w:rPr>
          <w:color w:val="auto"/>
          <w:highlight w:val="none"/>
        </w:rPr>
      </w:r>
      <w:r/>
    </w:p>
    <w:p>
      <w:pPr>
        <w:ind w:left="15" w:right="-34" w:firstLine="619"/>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（1）建立日巡检、周排查、月复盘三级巡检机制，覆盖操作系统、运行环境、数据库、业务模块、网关、数据接口等，提前排查风险隐患。</w:t>
      </w:r>
      <w:r>
        <w:rPr>
          <w:rFonts w:hint="eastAsia" w:ascii="宋体" w:hAnsi="宋体" w:cs="宋体"/>
          <w:color w:val="auto"/>
          <w:szCs w:val="21"/>
          <w:highlight w:val="none"/>
        </w:rPr>
        <w:t xml:space="preserve">1)每日巡检：核查主机运行状态、监测主机资源使用情况、梳理进程服务以及核查系统日志；核查各模块功能运行、数据更新、资源占用、进程服务、日志及系统配置、接口联动情况；排查系统报错、异常访问等情况；检查数据库存储空间使用率</w:t>
      </w:r>
      <w:r>
        <w:rPr>
          <w:rFonts w:hint="eastAsia" w:ascii="宋体" w:hAnsi="宋体" w:cs="宋体"/>
          <w:color w:val="auto"/>
          <w:szCs w:val="21"/>
          <w:highlight w:val="none"/>
        </w:rPr>
        <w:t xml:space="preserve">、监测数据库运行指标、检查数据同步状态、定时任务执行情况及确认备份任务执行情况。2)每周排查：完成系统补丁与更新、梳理修改账号权限、磁盘整理、进行端口管理、核查系统计划任务以及做好病毒入侵预防工作；清理无效文件、对各类组件进行优化及参数调整；核查业务数据准确性、完整性；汇总本周运行问题，完成轻微问题整改优化。3)每月复盘：检查程序及数据库备份策略、备份恢复测试、数据优化和无效数据清理；开展全系统全面巡检、性能测评；复盘月度故障问题、用户投诉、优化需求。根据巡检情况形成例行检查记录。如发现问题，应及时处理形成</w:t>
      </w:r>
      <w:r>
        <w:rPr>
          <w:rFonts w:hint="eastAsia" w:ascii="宋体" w:hAnsi="宋体" w:cs="宋体"/>
          <w:color w:val="auto"/>
          <w:szCs w:val="21"/>
          <w:highlight w:val="none"/>
        </w:rPr>
        <w:t xml:space="preserve">运维事件处置记录。</w:t>
      </w:r>
      <w:r>
        <w:rPr>
          <w:color w:val="auto"/>
          <w:highlight w:val="none"/>
        </w:rPr>
      </w:r>
      <w:r/>
    </w:p>
    <w:p>
      <w:pPr>
        <w:ind w:left="15" w:right="-34" w:firstLine="619"/>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建立快速响应、分级处置、闭环整改的故障处置机制，明确故障分级标准和处置时限。</w:t>
      </w:r>
      <w:r>
        <w:rPr>
          <w:rFonts w:hint="eastAsia" w:ascii="宋体" w:hAnsi="宋体" w:cs="宋体"/>
          <w:color w:val="auto"/>
          <w:szCs w:val="21"/>
          <w:highlight w:val="none"/>
        </w:rPr>
        <w:t xml:space="preserve">1)故障分级：一级故障（重大故障）：平台整体宕机、核心模块瘫痪、批量数据异常泄露，立即启动应急预案，30 分钟内开始处置。二级故障（一般故障）：单个模块功能异常、局部页面卡顿、少量数据错误，1 小时内响应，2 小时内修复。三级故障（轻微故障）：页面展示瑕疵、个别操作卡顿、非核心数据偏差，4 </w:t>
      </w:r>
      <w:r>
        <w:rPr>
          <w:rFonts w:hint="eastAsia" w:ascii="宋体" w:hAnsi="宋体" w:cs="宋体"/>
          <w:color w:val="auto"/>
          <w:szCs w:val="21"/>
          <w:highlight w:val="none"/>
        </w:rPr>
        <w:t xml:space="preserve">小时内响应，当日完成修复。2)处置流程：故障发现→故障定级→响应处置→排查修复→测试验证→复盘总结，杜绝问题遗漏、重复发生。故障修复后形成运维事件处置记录和响应支持记录。</w:t>
      </w:r>
      <w:r>
        <w:rPr>
          <w:color w:val="auto"/>
          <w:highlight w:val="none"/>
        </w:rPr>
      </w:r>
      <w:r/>
    </w:p>
    <w:p>
      <w:pPr>
        <w:ind w:left="15" w:right="-34" w:firstLine="619"/>
        <w:spacing w:line="360" w:lineRule="auto"/>
        <w:rPr>
          <w:rFonts w:hint="eastAsia" w:ascii="宋体" w:hAnsi="宋体"/>
          <w:color w:val="auto"/>
          <w:szCs w:val="21"/>
          <w:highlight w:val="none"/>
        </w:rPr>
      </w:pPr>
      <w:r>
        <w:rPr>
          <w:rFonts w:hint="eastAsia" w:ascii="宋体" w:hAnsi="宋体"/>
          <w:color w:val="auto"/>
          <w:szCs w:val="21"/>
          <w:highlight w:val="none"/>
        </w:rPr>
        <w:t xml:space="preserve">（2）针对相关业务部门提出的业务调整和需求变更，中标供应商应具备开发能力，提供开发支持并及时完成开发。运维过程中，针对相关业务部门反馈的问题及系统运行出现的各类异常，中标供应商须及时响应、高效处置。开发及问题处置完成后</w:t>
      </w:r>
      <w:r>
        <w:rPr>
          <w:rFonts w:hint="eastAsia" w:ascii="宋体" w:hAnsi="宋体" w:cs="宋体"/>
          <w:color w:val="auto"/>
          <w:szCs w:val="21"/>
          <w:highlight w:val="none"/>
        </w:rPr>
        <w:t xml:space="preserve">形成运维事件处置记录和响应支持记录。</w:t>
      </w:r>
      <w:r>
        <w:rPr>
          <w:color w:val="auto"/>
          <w:highlight w:val="none"/>
        </w:rPr>
      </w:r>
      <w:r/>
    </w:p>
    <w:p>
      <w:pPr>
        <w:ind w:left="15" w:right="-34" w:firstLine="61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需保证运维中使用的软件产品均为正版，保证采购人在使用时不涉及任何专利权、商标权、著作权或其他知识产权的法律责任。如果任何第三方提出侵权指控或赔偿要求，供应商需积极与第三方交涉，并承担发生的一切损失、费用和法律责任。</w:t>
      </w:r>
      <w:r>
        <w:rPr>
          <w:color w:val="auto"/>
          <w:highlight w:val="none"/>
        </w:rPr>
      </w:r>
      <w:r/>
    </w:p>
    <w:p>
      <w:pPr>
        <w:ind w:left="15" w:right="-34" w:firstLine="61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（4）要求提供项目中产生的所有软件源代码（不含非项目中产生的平台性源代码），项目中产出的系统知识产权归采购人所有。</w:t>
      </w:r>
      <w:r>
        <w:rPr>
          <w:color w:val="auto"/>
          <w:highlight w:val="none"/>
        </w:rPr>
      </w:r>
      <w:r/>
    </w:p>
    <w:p>
      <w:pPr>
        <w:pStyle w:val="888"/>
        <w:ind w:left="15" w:right="-34" w:firstLine="619"/>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（5）严格遵守南京市房地产市场交易中心相关保密规定，并签订保密协议。</w:t>
      </w:r>
      <w:r>
        <w:rPr>
          <w:color w:val="auto"/>
          <w:highlight w:val="none"/>
        </w:rPr>
      </w:r>
      <w:r/>
    </w:p>
    <w:p>
      <w:pPr>
        <w:ind w:firstLine="482"/>
        <w:spacing w:line="360" w:lineRule="auto"/>
        <w:tabs>
          <w:tab w:val="left" w:pos="3072"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4.运维安全要求</w:t>
      </w:r>
      <w:r>
        <w:rPr>
          <w:color w:val="auto"/>
          <w:highlight w:val="none"/>
        </w:rPr>
      </w:r>
      <w:r/>
    </w:p>
    <w:p>
      <w:pPr>
        <w:ind w:left="15" w:right="-34" w:firstLine="619"/>
        <w:spacing w:line="360" w:lineRule="auto"/>
        <w:rPr>
          <w:rFonts w:hint="eastAsia" w:ascii="宋体" w:hAnsi="宋体"/>
          <w:color w:val="auto"/>
          <w:szCs w:val="21"/>
          <w:highlight w:val="none"/>
        </w:rPr>
      </w:pPr>
      <w:r>
        <w:rPr>
          <w:rFonts w:hint="eastAsia" w:ascii="宋体" w:hAnsi="宋体"/>
          <w:color w:val="auto"/>
          <w:szCs w:val="21"/>
          <w:highlight w:val="none"/>
        </w:rPr>
        <w:t xml:space="preserve">落实政务系统安全等级保护要求，构建全方位安全防护体系，保障平台安全稳定运行。1)日常安全防护：配合市、局网络安全防护部门展渗透测试，及时完成未授权访问、敏感信息泄露等安全漏洞修复；严控访问权限，杜绝非法访问、恶意入侵。2）权限管控：实行最小权限原则，分级分配管理员、操作员权限。完成相关工作后形成运维事件记录和响应支持记录。</w:t>
      </w:r>
      <w:r>
        <w:rPr>
          <w:color w:val="auto"/>
          <w:highlight w:val="none"/>
        </w:rPr>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四、人员及实施要求</w:t>
      </w:r>
      <w:r>
        <w:rPr>
          <w:color w:val="auto"/>
          <w:highlight w:val="none"/>
        </w:rPr>
      </w:r>
      <w:r/>
    </w:p>
    <w:p>
      <w:pPr>
        <w:ind w:right="-34"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1、实施要求</w:t>
      </w:r>
      <w:r>
        <w:rPr>
          <w:color w:val="auto"/>
          <w:highlight w:val="none"/>
        </w:rPr>
      </w:r>
      <w:r/>
    </w:p>
    <w:p>
      <w:pPr>
        <w:ind w:right="-34"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（1）提供一年运维服务，在维护期内，非人为损坏的情况下，免费提供维护服务，保障项目安全稳定运行；</w:t>
      </w:r>
      <w:r>
        <w:rPr>
          <w:color w:val="auto"/>
          <w:highlight w:val="none"/>
        </w:rPr>
      </w:r>
      <w:r/>
    </w:p>
    <w:p>
      <w:pPr>
        <w:ind w:right="-34"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（2）在服务期内，</w:t>
      </w:r>
      <w:r>
        <w:rPr>
          <w:rFonts w:ascii="宋体" w:hAnsi="宋体" w:cs="宋体"/>
          <w:color w:val="auto"/>
          <w:szCs w:val="21"/>
          <w:highlight w:val="none"/>
        </w:rPr>
        <w:t xml:space="preserve">提供免费的7*24小时电话</w:t>
      </w:r>
      <w:r>
        <w:rPr>
          <w:rFonts w:hint="eastAsia" w:ascii="宋体" w:hAnsi="宋体" w:cs="宋体"/>
          <w:color w:val="auto"/>
          <w:szCs w:val="21"/>
          <w:highlight w:val="none"/>
        </w:rPr>
        <w:t xml:space="preserve">、邮件及网络支持。故障出现应及时有效地提供解决方案，必要时供应商应到达现场支持服务，</w:t>
      </w:r>
      <w:r>
        <w:rPr>
          <w:rFonts w:hint="eastAsia" w:ascii="宋体" w:hAnsi="宋体"/>
          <w:color w:val="auto"/>
          <w:szCs w:val="21"/>
          <w:highlight w:val="none"/>
        </w:rPr>
        <w:t xml:space="preserve">费用均由供应商承担</w:t>
      </w:r>
      <w:r>
        <w:rPr>
          <w:rFonts w:hint="eastAsia" w:ascii="宋体" w:hAnsi="宋体" w:cs="宋体"/>
          <w:color w:val="auto"/>
          <w:szCs w:val="21"/>
          <w:highlight w:val="none"/>
        </w:rPr>
        <w:t xml:space="preserve">；</w:t>
      </w:r>
      <w:r>
        <w:rPr>
          <w:color w:val="auto"/>
          <w:highlight w:val="none"/>
        </w:rPr>
      </w:r>
      <w:r/>
    </w:p>
    <w:p>
      <w:pPr>
        <w:ind w:right="-34"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（3）在服务期内，应及时响应采购人提出的各种技术咨询；</w:t>
      </w:r>
      <w:r>
        <w:rPr>
          <w:color w:val="auto"/>
          <w:highlight w:val="none"/>
        </w:rPr>
      </w:r>
      <w:r/>
    </w:p>
    <w:p>
      <w:pPr>
        <w:ind w:right="-34"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维护期内</w:t>
      </w:r>
      <w:r>
        <w:rPr>
          <w:rFonts w:hint="eastAsia" w:ascii="宋体" w:hAnsi="宋体" w:cs="宋体"/>
          <w:color w:val="auto"/>
          <w:szCs w:val="21"/>
          <w:highlight w:val="none"/>
        </w:rPr>
        <w:t xml:space="preserve">中标方</w:t>
      </w:r>
      <w:r>
        <w:rPr>
          <w:rFonts w:ascii="宋体" w:hAnsi="宋体" w:cs="宋体"/>
          <w:color w:val="auto"/>
          <w:szCs w:val="21"/>
          <w:highlight w:val="none"/>
        </w:rPr>
        <w:t xml:space="preserve">免费为</w:t>
      </w:r>
      <w:r>
        <w:rPr>
          <w:rFonts w:hint="eastAsia" w:ascii="宋体" w:hAnsi="宋体" w:cs="宋体"/>
          <w:color w:val="auto"/>
          <w:szCs w:val="21"/>
          <w:highlight w:val="none"/>
        </w:rPr>
        <w:t xml:space="preserve">采购人</w:t>
      </w:r>
      <w:r>
        <w:rPr>
          <w:rFonts w:ascii="宋体" w:hAnsi="宋体" w:cs="宋体"/>
          <w:color w:val="auto"/>
          <w:szCs w:val="21"/>
          <w:highlight w:val="none"/>
        </w:rPr>
        <w:t xml:space="preserve">的</w:t>
      </w:r>
      <w:r>
        <w:rPr>
          <w:rFonts w:hint="eastAsia" w:ascii="宋体" w:hAnsi="宋体" w:cs="宋体"/>
          <w:color w:val="auto"/>
          <w:szCs w:val="21"/>
          <w:highlight w:val="none"/>
        </w:rPr>
        <w:t xml:space="preserve">相关</w:t>
      </w:r>
      <w:r>
        <w:rPr>
          <w:rFonts w:ascii="宋体" w:hAnsi="宋体" w:cs="宋体"/>
          <w:color w:val="auto"/>
          <w:szCs w:val="21"/>
          <w:highlight w:val="none"/>
        </w:rPr>
        <w:t xml:space="preserve">人员进行相关操作培训</w:t>
      </w:r>
      <w:r>
        <w:rPr>
          <w:rFonts w:hint="eastAsia" w:ascii="宋体" w:hAnsi="宋体" w:cs="宋体"/>
          <w:color w:val="auto"/>
          <w:szCs w:val="21"/>
          <w:highlight w:val="none"/>
        </w:rPr>
        <w:t xml:space="preserve">； </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（5）每月根据实际运维情况应向采购人提交例行检查记录，服务协议结束时，应向采购人提交运维事件处置记录、响应支持记录和运维总结报告。</w:t>
      </w:r>
      <w:r>
        <w:rPr>
          <w:color w:val="auto"/>
          <w:highlight w:val="none"/>
        </w:rPr>
      </w:r>
      <w:r/>
    </w:p>
    <w:p>
      <w:pPr>
        <w:ind w:right="-34"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w:t>
      </w:r>
      <w:r>
        <w:rPr>
          <w:rFonts w:ascii="宋体" w:hAnsi="宋体"/>
          <w:b/>
          <w:bCs/>
          <w:color w:val="auto"/>
          <w:szCs w:val="21"/>
          <w:highlight w:val="none"/>
        </w:rPr>
        <w:t xml:space="preserve">总体要求</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（1）合同签订之后供应商在1</w:t>
      </w:r>
      <w:r>
        <w:rPr>
          <w:rFonts w:ascii="宋体" w:hAnsi="宋体"/>
          <w:color w:val="auto"/>
          <w:szCs w:val="21"/>
          <w:highlight w:val="none"/>
        </w:rPr>
        <w:t xml:space="preserve">个工作日内完成服务团队的建设并开展日常运维工作，且服务团队人员不得少于3人。</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（2）在项目实施阶段按照标准开发规范建立规范、完整的维护服务文档。运维服务过程中发生需求变更、设计调整等情况时，要有规范的、可回溯的记录文档。产品和所有技术文档要具有严格的一致性。</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因供应商安全措施不力造成的事故责任、或者其他工作失误，产生的一切责任由供应商承担。</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因供应商投入人员过少，造成无法在承诺工期内完成服务，产生的一切责任由供应商承担。</w:t>
      </w:r>
      <w:r>
        <w:rPr>
          <w:color w:val="auto"/>
          <w:highlight w:val="none"/>
        </w:rPr>
      </w:r>
      <w:r/>
    </w:p>
    <w:p>
      <w:pPr>
        <w:ind w:right="-34"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知识产权及保密要求</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（1）供应商对本项目所有信息负有保密义务，不得侵害、外泄或以任何直接或间接的方法使任何第三人知悉或使用。</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（2）供应商保证信息介质的使用安全，做好介质的管理工作，不能随意摆放。</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（3）供应商保证参与采购人工作过程中，严格遵守关于信息、网络安全的相关规定。</w:t>
      </w:r>
      <w:r>
        <w:rPr>
          <w:color w:val="auto"/>
          <w:highlight w:val="none"/>
        </w:rPr>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五、商务要求</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1、运维期：自合同签订次日起1年。</w:t>
      </w:r>
      <w:r>
        <w:rPr>
          <w:color w:val="auto"/>
          <w:highlight w:val="none"/>
        </w:rPr>
      </w:r>
      <w:r/>
    </w:p>
    <w:p>
      <w:pPr>
        <w:ind w:right="-34" w:firstLine="48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、质量控制要求</w:t>
      </w:r>
      <w:r>
        <w:rPr>
          <w:color w:val="auto"/>
          <w:highlight w:val="none"/>
        </w:rPr>
      </w:r>
      <w:r/>
    </w:p>
    <w:p>
      <w:pPr>
        <w:ind w:firstLine="420"/>
        <w:jc w:val="left"/>
        <w:spacing w:line="360" w:lineRule="auto"/>
        <w:rPr>
          <w:rFonts w:hint="eastAsia" w:ascii="宋体" w:hAnsi="宋体"/>
          <w:b/>
          <w:bCs/>
          <w:color w:val="auto"/>
          <w:szCs w:val="21"/>
          <w:highlight w:val="none"/>
        </w:rPr>
      </w:pPr>
      <w:r>
        <w:rPr>
          <w:rFonts w:ascii="宋体" w:hAnsi="宋体"/>
          <w:color w:val="auto"/>
          <w:szCs w:val="21"/>
          <w:highlight w:val="none"/>
        </w:rPr>
        <w:t xml:space="preserve">供应商提供的服务质量应当符合采购文件的约定，具备完善的售后服务保障体系，应指定专人定期开展采购人回访工作，及时响应并妥善处理采购人提出的意见与需求。</w:t>
      </w:r>
      <w:r>
        <w:rPr>
          <w:rFonts w:hint="eastAsia" w:ascii="宋体" w:hAnsi="宋体"/>
          <w:b/>
          <w:bCs/>
          <w:color w:val="auto"/>
          <w:szCs w:val="21"/>
          <w:highlight w:val="none"/>
        </w:rPr>
        <w:t xml:space="preserve">六、其他要求</w:t>
      </w:r>
      <w:r>
        <w:rPr>
          <w:color w:val="auto"/>
          <w:highlight w:val="none"/>
        </w:rPr>
      </w:r>
      <w:r/>
    </w:p>
    <w:p>
      <w:pPr>
        <w:ind w:firstLine="482"/>
        <w:spacing w:line="360" w:lineRule="auto"/>
        <w:rPr>
          <w:rFonts w:hint="eastAsia" w:ascii="宋体" w:hAnsi="宋体" w:cs="宋体"/>
          <w:color w:val="auto"/>
          <w:highlight w:val="none"/>
        </w:rPr>
      </w:pPr>
      <w:r>
        <w:rPr>
          <w:rFonts w:hint="eastAsia" w:ascii="宋体" w:hAnsi="宋体" w:cs="宋体"/>
          <w:color w:val="auto"/>
          <w:highlight w:val="none"/>
        </w:rPr>
        <w:t xml:space="preserve">投标人应对招标、实施、操作等过程中采取保密和安全措施，因投标人造成的不良影响和损失，投标人应承担相应责任。</w:t>
      </w:r>
      <w:r>
        <w:rPr>
          <w:color w:val="auto"/>
          <w:highlight w:val="none"/>
        </w:rPr>
      </w:r>
      <w:r/>
    </w:p>
    <w:p>
      <w:pPr>
        <w:ind w:firstLine="480"/>
        <w:spacing w:line="360" w:lineRule="auto"/>
        <w:rPr>
          <w:rFonts w:hint="eastAsia" w:ascii="宋体" w:hAnsi="宋体" w:cs="宋体"/>
          <w:b/>
          <w:color w:val="auto"/>
          <w:highlight w:val="none"/>
        </w:rPr>
      </w:pPr>
      <w:r>
        <w:rPr>
          <w:rFonts w:hint="eastAsia" w:ascii="宋体" w:hAnsi="宋体" w:cs="宋体"/>
          <w:color w:val="auto"/>
          <w:highlight w:val="none"/>
        </w:rPr>
        <w:t xml:space="preserve">采购人认为投标人提供的产品和服务不能满足需求，可否决、终止本次采购。</w:t>
      </w:r>
      <w:r>
        <w:rPr>
          <w:color w:val="auto"/>
          <w:highlight w:val="none"/>
        </w:rPr>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七、付款方式</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（1）履约保证金：不涉及</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lang w:val="ja-JP" w:eastAsia="ja-JP"/>
        </w:rPr>
        <w:t xml:space="preserve">（2）付款方式</w:t>
      </w:r>
      <w:r>
        <w:rPr>
          <w:rFonts w:hint="eastAsia" w:ascii="宋体" w:hAnsi="宋体"/>
          <w:color w:val="auto"/>
          <w:szCs w:val="21"/>
          <w:highlight w:val="none"/>
        </w:rPr>
        <w:t xml:space="preserve">：收到乙方合格增值税发票后，本合同签订后 15个工作日内，支付至73万元整（若合同金额不足73万，支付至80%）。待服务期满并通过验收后15个工作日内，支付尾款。</w:t>
      </w:r>
      <w:r>
        <w:rPr>
          <w:rFonts w:ascii="宋体" w:hAnsi="宋体"/>
          <w:color w:val="auto"/>
          <w:szCs w:val="21"/>
          <w:highlight w:val="none"/>
        </w:rPr>
        <w:t xml:space="preserve">具体</w:t>
      </w:r>
      <w:r>
        <w:rPr>
          <w:rFonts w:hint="eastAsia" w:ascii="宋体" w:hAnsi="宋体"/>
          <w:color w:val="auto"/>
          <w:szCs w:val="21"/>
          <w:highlight w:val="none"/>
        </w:rPr>
        <w:t xml:space="preserve">付款时间以财政资金到账时间为准。</w:t>
      </w:r>
      <w:r>
        <w:rPr>
          <w:color w:val="auto"/>
          <w:highlight w:val="none"/>
        </w:rPr>
      </w:r>
      <w:r/>
    </w:p>
    <w:p>
      <w:pPr>
        <w:ind w:right="-34" w:firstLine="48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八、报价说明</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（2）供应商的任何错漏、优惠、竞争性报价不得作为减轻责任、减少服务、增加收费、降低服务质量的理由。</w:t>
      </w:r>
      <w:r>
        <w:rPr>
          <w:color w:val="auto"/>
          <w:highlight w:val="none"/>
        </w:rPr>
      </w:r>
      <w:r/>
    </w:p>
    <w:p>
      <w:pPr>
        <w:ind w:right="-34"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（3）供应商报价除包含采购文件中列明的项目外还应包括保障服务正常运行应当具有的物资和服务，对服务正常运行应当具有的物资和服务理解不一致的以采购人理解为准。 </w:t>
      </w:r>
      <w:r>
        <w:rPr>
          <w:color w:val="auto"/>
          <w:highlight w:val="none"/>
        </w:rPr>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注明：凡招标文件没做具体要求的，按照国家现行的有关法规、政策以及各项规范执行。本章内容需完全响应，不允许负偏离，如有疑问请与采购人联系。</w:t>
      </w:r>
      <w:r>
        <w:rPr>
          <w:color w:val="auto"/>
          <w:highlight w:val="none"/>
        </w:rPr>
      </w:r>
      <w:r/>
    </w:p>
    <w:p>
      <w:pPr>
        <w:rPr>
          <w:rFonts w:hint="eastAsia" w:ascii="宋体" w:hAnsi="宋体"/>
          <w:color w:val="auto"/>
          <w:szCs w:val="21"/>
          <w:highlight w:val="none"/>
        </w:rPr>
      </w:pPr>
      <w:r>
        <w:rPr>
          <w:rFonts w:hint="eastAsia" w:ascii="宋体" w:hAnsi="宋体"/>
          <w:color w:val="auto"/>
          <w:szCs w:val="21"/>
          <w:highlight w:val="none"/>
          <w:lang w:val="zh-CN"/>
        </w:rPr>
        <w:br w:type="page" w:clear="all"/>
      </w:r>
      <w:r>
        <w:rPr>
          <w:color w:val="auto"/>
          <w:highlight w:val="none"/>
        </w:rPr>
      </w:r>
      <w:r/>
    </w:p>
    <w:p>
      <w:pPr>
        <w:spacing w:line="360" w:lineRule="exact"/>
        <w:rPr>
          <w:rFonts w:hint="eastAsia" w:ascii="宋体" w:hAnsi="宋体" w:eastAsia="宋体" w:cs="宋体"/>
          <w:b/>
          <w:bCs/>
          <w:color w:val="auto"/>
          <w:highlight w:val="none"/>
        </w:rPr>
        <w:sectPr>
          <w:footerReference w:type="default" r:id="rId11"/>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b/>
          <w:bCs/>
          <w:color w:val="auto"/>
          <w:highlight w:val="none"/>
        </w:rPr>
      </w:r>
      <w:r>
        <w:rPr>
          <w:color w:val="auto"/>
          <w:highlight w:val="none"/>
        </w:rPr>
      </w:r>
      <w:r/>
    </w:p>
    <w:p>
      <w:pPr>
        <w:pStyle w:val="932"/>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32"/>
        <w:ind w:firstLine="0"/>
        <w:jc w:val="center"/>
        <w:spacing w:line="720" w:lineRule="auto"/>
        <w:rPr>
          <w:rFonts w:hint="eastAsia" w:ascii="宋体" w:hAnsi="宋体" w:eastAsia="宋体" w:cs="宋体"/>
          <w:b/>
          <w:color w:val="auto"/>
          <w:sz w:val="32"/>
          <w:szCs w:val="32"/>
          <w:highlight w:val="none"/>
        </w:rPr>
        <w:outlineLvl w:val="0"/>
      </w:pPr>
      <w:r>
        <w:rPr>
          <w:color w:val="auto"/>
          <w:highlight w:val="none"/>
        </w:rPr>
      </w:r>
      <w:bookmarkStart w:id="35" w:name="_Toc5670"/>
      <w:r>
        <w:rPr>
          <w:rFonts w:hint="eastAsia" w:ascii="宋体" w:hAnsi="宋体" w:eastAsia="宋体" w:cs="宋体"/>
          <w:b/>
          <w:color w:val="auto"/>
          <w:sz w:val="32"/>
          <w:szCs w:val="32"/>
          <w:highlight w:val="none"/>
        </w:rPr>
        <w:t xml:space="preserve">第五章 合同条款</w:t>
      </w:r>
      <w:bookmarkEnd w:id="35"/>
      <w:r>
        <w:rPr>
          <w:rFonts w:hint="eastAsia" w:ascii="宋体" w:hAnsi="宋体" w:eastAsia="宋体" w:cs="宋体"/>
          <w:b/>
          <w:color w:val="auto"/>
          <w:sz w:val="32"/>
          <w:szCs w:val="32"/>
          <w:highlight w:val="none"/>
        </w:rPr>
        <w:t xml:space="preserve"> </w:t>
      </w:r>
      <w:r>
        <w:rPr>
          <w:color w:val="auto"/>
          <w:highlight w:val="none"/>
        </w:rPr>
      </w:r>
      <w:r/>
    </w:p>
    <w:p>
      <w:pPr>
        <w:pStyle w:val="932"/>
        <w:ind w:firstLine="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932"/>
        <w:ind w:firstLine="0"/>
        <w:jc w:val="center"/>
        <w:rPr>
          <w:rFonts w:hint="eastAsia" w:ascii="宋体" w:hAnsi="宋体"/>
          <w:bCs/>
          <w:color w:val="auto"/>
          <w:sz w:val="48"/>
          <w:szCs w:val="48"/>
          <w:highlight w:val="none"/>
        </w:rPr>
      </w:pPr>
      <w:r>
        <w:rPr>
          <w:rFonts w:ascii="宋体" w:hAnsi="宋体"/>
          <w:bCs/>
          <w:color w:val="auto"/>
          <w:sz w:val="48"/>
          <w:szCs w:val="48"/>
          <w:highlight w:val="none"/>
        </w:rPr>
        <w:t xml:space="preserve">采购合同</w:t>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1611"/>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1611"/>
        <w:rPr>
          <w:rFonts w:hint="eastAsia" w:ascii="宋体" w:hAnsi="宋体"/>
          <w:b/>
          <w:color w:val="auto"/>
          <w:highlight w:val="none"/>
          <w:u w:val="single"/>
        </w:rPr>
      </w:pPr>
      <w:r>
        <w:rPr>
          <w:rFonts w:ascii="宋体" w:hAnsi="宋体"/>
          <w:b/>
          <w:color w:val="auto"/>
          <w:highlight w:val="none"/>
        </w:rPr>
        <w:t xml:space="preserve">项目名称 ：</w:t>
      </w:r>
      <w:r>
        <w:rPr>
          <w:rFonts w:hint="eastAsia" w:ascii="宋体" w:hAnsi="宋体"/>
          <w:b/>
          <w:color w:val="auto"/>
          <w:highlight w:val="none"/>
          <w:u w:val="single"/>
        </w:rPr>
        <w:t xml:space="preserve">南京市房屋租赁服务监管平台运维服务项目</w:t>
      </w:r>
      <w:r>
        <w:rPr>
          <w:color w:val="auto"/>
          <w:highlight w:val="none"/>
        </w:rPr>
      </w:r>
      <w:r/>
    </w:p>
    <w:p>
      <w:pPr>
        <w:pStyle w:val="932"/>
        <w:ind w:firstLine="1611"/>
        <w:rPr>
          <w:rFonts w:hint="eastAsia" w:ascii="宋体" w:hAnsi="宋体"/>
          <w:b/>
          <w:color w:val="auto"/>
          <w:highlight w:val="none"/>
          <w:u w:val="single"/>
        </w:rPr>
      </w:pPr>
      <w:r>
        <w:rPr>
          <w:rFonts w:hint="eastAsia" w:ascii="宋体" w:hAnsi="宋体"/>
          <w:b/>
          <w:color w:val="auto"/>
          <w:highlight w:val="none"/>
          <w:u w:val="single"/>
        </w:rPr>
      </w:r>
      <w:r>
        <w:rPr>
          <w:color w:val="auto"/>
          <w:highlight w:val="none"/>
        </w:rPr>
      </w:r>
      <w:r/>
    </w:p>
    <w:p>
      <w:pPr>
        <w:pStyle w:val="932"/>
        <w:ind w:firstLine="1611"/>
        <w:rPr>
          <w:rFonts w:hint="eastAsia" w:ascii="宋体" w:hAnsi="宋体"/>
          <w:b/>
          <w:color w:val="auto"/>
          <w:highlight w:val="none"/>
        </w:rPr>
      </w:pPr>
      <w:r>
        <w:rPr>
          <w:rFonts w:hint="eastAsia" w:ascii="宋体" w:hAnsi="宋体"/>
          <w:b/>
          <w:color w:val="auto"/>
          <w:highlight w:val="none"/>
        </w:rPr>
        <w:t xml:space="preserve">采 购 人</w:t>
      </w:r>
      <w:r>
        <w:rPr>
          <w:rFonts w:ascii="宋体" w:hAnsi="宋体"/>
          <w:b/>
          <w:color w:val="auto"/>
          <w:highlight w:val="none"/>
        </w:rPr>
        <w:t xml:space="preserve"> ：</w:t>
      </w:r>
      <w:r>
        <w:rPr>
          <w:rFonts w:ascii="宋体" w:hAnsi="宋体"/>
          <w:b/>
          <w:color w:val="auto"/>
          <w:highlight w:val="none"/>
          <w:u w:val="single"/>
        </w:rPr>
        <w:t xml:space="preserve"> </w:t>
      </w:r>
      <w:r>
        <w:rPr>
          <w:rFonts w:hint="eastAsia" w:ascii="宋体" w:hAnsi="宋体"/>
          <w:b/>
          <w:color w:val="auto"/>
          <w:highlight w:val="none"/>
          <w:u w:val="single"/>
        </w:rPr>
        <w:t xml:space="preserve">南京市房地产市场交易中心</w:t>
      </w:r>
      <w:r>
        <w:rPr>
          <w:rFonts w:ascii="宋体" w:hAnsi="宋体"/>
          <w:b/>
          <w:color w:val="auto"/>
          <w:highlight w:val="none"/>
          <w:u w:val="single"/>
        </w:rPr>
        <w:t xml:space="preserve">     </w:t>
      </w:r>
      <w:r>
        <w:rPr>
          <w:color w:val="auto"/>
          <w:highlight w:val="none"/>
        </w:rPr>
      </w:r>
      <w:r/>
    </w:p>
    <w:p>
      <w:pPr>
        <w:pStyle w:val="932"/>
        <w:ind w:firstLine="1611"/>
        <w:rPr>
          <w:rFonts w:hint="eastAsia" w:ascii="宋体" w:hAnsi="宋体"/>
          <w:b/>
          <w:color w:val="auto"/>
          <w:highlight w:val="none"/>
          <w:u w:val="single"/>
        </w:rPr>
      </w:pPr>
      <w:r>
        <w:rPr>
          <w:rFonts w:hint="eastAsia" w:ascii="宋体" w:hAnsi="宋体"/>
          <w:b/>
          <w:color w:val="auto"/>
          <w:highlight w:val="none"/>
          <w:u w:val="single"/>
        </w:rPr>
      </w:r>
      <w:r>
        <w:rPr>
          <w:color w:val="auto"/>
          <w:highlight w:val="none"/>
        </w:rPr>
      </w:r>
      <w:r/>
    </w:p>
    <w:p>
      <w:pPr>
        <w:pStyle w:val="932"/>
        <w:ind w:firstLine="1611"/>
        <w:rPr>
          <w:rFonts w:hint="eastAsia" w:ascii="宋体" w:hAnsi="宋体"/>
          <w:b/>
          <w:color w:val="auto"/>
          <w:highlight w:val="none"/>
        </w:rPr>
      </w:pPr>
      <w:r>
        <w:rPr>
          <w:rFonts w:hint="eastAsia" w:ascii="宋体" w:hAnsi="宋体"/>
          <w:b/>
          <w:color w:val="auto"/>
          <w:highlight w:val="none"/>
        </w:rPr>
        <w:t xml:space="preserve">供 应 商</w:t>
      </w:r>
      <w:r>
        <w:rPr>
          <w:rFonts w:ascii="宋体" w:hAnsi="宋体"/>
          <w:b/>
          <w:color w:val="auto"/>
          <w:highlight w:val="none"/>
        </w:rPr>
        <w:t xml:space="preserve"> ： </w:t>
      </w:r>
      <w:r>
        <w:rPr>
          <w:rFonts w:ascii="宋体" w:hAnsi="宋体"/>
          <w:b/>
          <w:color w:val="auto"/>
          <w:highlight w:val="none"/>
          <w:u w:val="single"/>
        </w:rPr>
        <w:t xml:space="preserve">                     </w:t>
      </w:r>
      <w:r>
        <w:rPr>
          <w:rFonts w:ascii="宋体" w:hAnsi="宋体"/>
          <w:b/>
          <w:color w:val="auto"/>
          <w:highlight w:val="none"/>
        </w:rPr>
        <w:t xml:space="preserve"> </w:t>
      </w:r>
      <w:r>
        <w:rPr>
          <w:color w:val="auto"/>
          <w:highlight w:val="none"/>
        </w:rPr>
      </w:r>
      <w:r/>
    </w:p>
    <w:p>
      <w:pPr>
        <w:ind w:firstLine="482"/>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1611"/>
        <w:rPr>
          <w:rFonts w:hint="eastAsia" w:ascii="宋体" w:hAnsi="宋体"/>
          <w:b/>
          <w:color w:val="auto"/>
          <w:highlight w:val="none"/>
          <w:u w:val="single"/>
        </w:rPr>
      </w:pPr>
      <w:r>
        <w:rPr>
          <w:rFonts w:ascii="宋体" w:hAnsi="宋体"/>
          <w:b/>
          <w:color w:val="auto"/>
          <w:highlight w:val="none"/>
        </w:rPr>
        <w:t xml:space="preserve">签订日期 ： </w:t>
      </w:r>
      <w:r>
        <w:rPr>
          <w:rFonts w:ascii="宋体" w:hAnsi="宋体"/>
          <w:b/>
          <w:color w:val="auto"/>
          <w:highlight w:val="none"/>
          <w:u w:val="single"/>
        </w:rPr>
        <w:t xml:space="preserve">                     </w:t>
      </w:r>
      <w:r>
        <w:rPr>
          <w:rFonts w:hint="eastAsia" w:ascii="宋体" w:hAnsi="宋体"/>
          <w:b/>
          <w:color w:val="auto"/>
          <w:highlight w:val="none"/>
          <w:u w:val="single"/>
        </w:rPr>
        <w:t xml:space="preserve"> </w:t>
      </w:r>
      <w:r>
        <w:rPr>
          <w:color w:val="auto"/>
          <w:highlight w:val="none"/>
        </w:rPr>
      </w:r>
      <w:r/>
    </w:p>
    <w:p>
      <w:pPr>
        <w:pStyle w:val="932"/>
        <w:ind w:firstLine="1611"/>
        <w:rPr>
          <w:rFonts w:hint="eastAsia" w:ascii="宋体" w:hAnsi="宋体"/>
          <w:b/>
          <w:color w:val="auto"/>
          <w:highlight w:val="none"/>
        </w:rPr>
      </w:pPr>
      <w:r>
        <w:rPr>
          <w:rFonts w:ascii="宋体" w:hAnsi="宋体"/>
          <w:b/>
          <w:color w:val="auto"/>
          <w:highlight w:val="none"/>
        </w:rPr>
        <w:t xml:space="preserve"> </w:t>
      </w:r>
      <w:r>
        <w:rPr>
          <w:color w:val="auto"/>
          <w:highlight w:val="none"/>
        </w:rPr>
      </w:r>
      <w:r/>
    </w:p>
    <w:p>
      <w:pPr>
        <w:pStyle w:val="932"/>
        <w:ind w:firstLine="0"/>
        <w:rPr>
          <w:rFonts w:hint="eastAsia" w:ascii="宋体" w:hAnsi="宋体"/>
          <w:color w:val="auto"/>
          <w:highlight w:val="none"/>
        </w:rPr>
      </w:pPr>
      <w:r>
        <w:rPr>
          <w:rFonts w:hint="eastAsia" w:ascii="宋体" w:hAnsi="宋体"/>
          <w:color w:val="auto"/>
          <w:highlight w:val="none"/>
        </w:rPr>
      </w:r>
      <w:r>
        <w:rPr>
          <w:color w:val="auto"/>
          <w:highlight w:val="none"/>
        </w:rPr>
      </w:r>
      <w:r/>
    </w:p>
    <w:p>
      <w:pPr>
        <w:pStyle w:val="932"/>
        <w:ind w:firstLine="0"/>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jc w:val="center"/>
        <w:rPr>
          <w:rFonts w:hint="eastAsia" w:ascii="宋体" w:hAnsi="宋体"/>
          <w:b/>
          <w:color w:val="auto"/>
          <w:highlight w:val="none"/>
        </w:rPr>
      </w:pPr>
      <w:r>
        <w:rPr>
          <w:rFonts w:ascii="宋体" w:hAnsi="宋体"/>
          <w:b/>
          <w:color w:val="auto"/>
          <w:highlight w:val="none"/>
        </w:rPr>
        <w:t xml:space="preserve">南京市工商行政管理局</w:t>
      </w:r>
      <w:r>
        <w:rPr>
          <w:color w:val="auto"/>
          <w:highlight w:val="none"/>
        </w:rPr>
      </w:r>
      <w:r/>
    </w:p>
    <w:p>
      <w:pPr>
        <w:pStyle w:val="932"/>
        <w:ind w:firstLine="0"/>
        <w:jc w:val="center"/>
        <w:rPr>
          <w:rFonts w:hint="eastAsia" w:ascii="宋体" w:hAnsi="宋体"/>
          <w:b/>
          <w:color w:val="auto"/>
          <w:highlight w:val="none"/>
        </w:rPr>
      </w:pPr>
      <w:r>
        <w:rPr>
          <w:rFonts w:hint="eastAsia" w:ascii="宋体" w:hAnsi="宋体"/>
          <w:b/>
          <w:color w:val="auto"/>
          <w:highlight w:val="none"/>
        </w:rPr>
        <w:t xml:space="preserve"> </w:t>
      </w:r>
      <w:r>
        <w:rPr>
          <w:rFonts w:ascii="宋体" w:hAnsi="宋体"/>
          <w:b/>
          <w:color w:val="auto"/>
          <w:highlight w:val="none"/>
        </w:rPr>
        <w:t xml:space="preserve">                       监制</w:t>
      </w:r>
      <w:r>
        <w:rPr>
          <w:color w:val="auto"/>
          <w:highlight w:val="none"/>
        </w:rPr>
      </w:r>
      <w:r/>
    </w:p>
    <w:p>
      <w:pPr>
        <w:pStyle w:val="932"/>
        <w:ind w:firstLine="0"/>
        <w:jc w:val="center"/>
        <w:rPr>
          <w:rFonts w:hint="eastAsia" w:ascii="宋体" w:hAnsi="宋体"/>
          <w:b/>
          <w:color w:val="auto"/>
          <w:highlight w:val="none"/>
        </w:rPr>
      </w:pPr>
      <w:r>
        <w:rPr>
          <w:rFonts w:ascii="宋体" w:hAnsi="宋体"/>
          <w:b/>
          <w:color w:val="auto"/>
          <w:highlight w:val="none"/>
        </w:rPr>
        <w:t xml:space="preserve">南 京 市 财 政 局</w:t>
      </w:r>
      <w:r>
        <w:rPr>
          <w:color w:val="auto"/>
          <w:highlight w:val="none"/>
        </w:rPr>
      </w:r>
      <w:r/>
    </w:p>
    <w:p>
      <w:pPr>
        <w:pStyle w:val="932"/>
        <w:ind w:firstLine="0"/>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jc w:val="center"/>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jc w:val="center"/>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jc w:val="center"/>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jc w:val="center"/>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jc w:val="center"/>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rPr>
          <w:rFonts w:hint="eastAsia" w:ascii="宋体" w:hAnsi="宋体"/>
          <w:b/>
          <w:color w:val="auto"/>
          <w:highlight w:val="none"/>
        </w:rPr>
      </w:pPr>
      <w:r>
        <w:rPr>
          <w:rFonts w:hint="eastAsia" w:ascii="宋体" w:hAnsi="宋体"/>
          <w:b/>
          <w:color w:val="auto"/>
          <w:highlight w:val="none"/>
        </w:rPr>
      </w:r>
      <w:r>
        <w:rPr>
          <w:color w:val="auto"/>
          <w:highlight w:val="none"/>
        </w:rPr>
      </w:r>
      <w:r/>
    </w:p>
    <w:p>
      <w:pPr>
        <w:pStyle w:val="932"/>
        <w:ind w:firstLine="0"/>
        <w:rPr>
          <w:rFonts w:hint="eastAsia" w:ascii="宋体" w:hAnsi="宋体"/>
          <w:b/>
          <w:color w:val="auto"/>
          <w:highlight w:val="none"/>
        </w:rPr>
      </w:pPr>
      <w:r>
        <w:rPr>
          <w:rFonts w:hint="eastAsia" w:ascii="宋体" w:hAnsi="宋体"/>
          <w:b/>
          <w:color w:val="auto"/>
          <w:highlight w:val="none"/>
        </w:rPr>
      </w:r>
      <w:r>
        <w:rPr>
          <w:color w:val="auto"/>
          <w:highlight w:val="none"/>
        </w:rPr>
      </w:r>
      <w:r/>
    </w:p>
    <w:p>
      <w:pPr>
        <w:ind w:firstLine="480"/>
        <w:rPr>
          <w:rFonts w:hint="eastAsia" w:ascii="宋体" w:hAnsi="宋体" w:cs="宋体"/>
          <w:color w:val="auto"/>
          <w:szCs w:val="21"/>
          <w:highlight w:val="none"/>
        </w:rPr>
      </w:pPr>
      <w:r>
        <w:rPr>
          <w:color w:val="auto"/>
          <w:highlight w:val="none"/>
        </w:rPr>
      </w:r>
      <w:bookmarkStart w:id="36" w:name="OLE_LINK2"/>
      <w:r>
        <w:rPr>
          <w:rFonts w:hint="eastAsia" w:ascii="宋体" w:hAnsi="宋体" w:cs="宋体"/>
          <w:color w:val="auto"/>
          <w:szCs w:val="21"/>
          <w:highlight w:val="none"/>
          <w:lang w:val="zh-CN" w:bidi="zh-CN"/>
        </w:rPr>
        <w:br w:type="page" w:clear="all"/>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合同编号：</w:t>
      </w:r>
      <w:r>
        <w:rPr>
          <w:color w:val="auto"/>
          <w:highlight w:val="none"/>
        </w:rPr>
      </w:r>
      <w:r/>
    </w:p>
    <w:p>
      <w:pPr>
        <w:ind w:firstLine="480"/>
        <w:spacing w:before="160" w:line="360" w:lineRule="auto"/>
        <w:tabs>
          <w:tab w:val="left" w:pos="563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采购人（甲方）：南京市房地产市场交易中心      供应商（乙方）: </w:t>
      </w:r>
      <w:r>
        <w:rPr>
          <w:color w:val="auto"/>
          <w:highlight w:val="none"/>
        </w:rPr>
      </w:r>
      <w:r/>
    </w:p>
    <w:p>
      <w:pPr>
        <w:ind w:left="5670" w:hanging="5670"/>
        <w:spacing w:before="160" w:line="360" w:lineRule="auto"/>
        <w:tabs>
          <w:tab w:val="left" w:pos="491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住所地：南京市鼓楼区华侨路35号              住所地： </w:t>
      </w:r>
      <w:r>
        <w:rPr>
          <w:color w:val="auto"/>
          <w:highlight w:val="none"/>
        </w:rPr>
      </w:r>
      <w:r/>
    </w:p>
    <w:p>
      <w:pPr>
        <w:ind w:firstLine="452"/>
        <w:jc w:val="left"/>
        <w:spacing w:line="360" w:lineRule="auto"/>
        <w:rPr>
          <w:rFonts w:hint="eastAsia" w:ascii="宋体" w:hAnsi="宋体" w:cs="宋体"/>
          <w:color w:val="auto"/>
          <w:szCs w:val="21"/>
          <w:highlight w:val="none"/>
        </w:rPr>
      </w:pPr>
      <w:r>
        <w:rPr>
          <w:rFonts w:hint="eastAsia" w:ascii="宋体" w:hAnsi="宋体" w:cs="宋体"/>
          <w:color w:val="auto"/>
          <w:spacing w:val="-7"/>
          <w:szCs w:val="21"/>
          <w:highlight w:val="none"/>
          <w:lang w:val="zh-CN" w:bidi="zh-CN"/>
        </w:rPr>
        <w:t xml:space="preserve">根据《中华人民共和国民法典》等法律法规的规</w:t>
      </w:r>
      <w:r>
        <w:rPr>
          <w:rFonts w:hint="eastAsia" w:ascii="宋体" w:hAnsi="宋体" w:cs="宋体"/>
          <w:color w:val="auto"/>
          <w:szCs w:val="21"/>
          <w:highlight w:val="none"/>
          <w:lang w:val="zh-CN" w:bidi="zh-CN"/>
        </w:rPr>
        <w:t xml:space="preserve">定，甲乙双方按照采购代理机构的招标结果签订本合同。</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第一条 合同标的</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1、乙方根据甲方需求提供下列服务：</w:t>
      </w:r>
      <w:r>
        <w:rPr>
          <w:rFonts w:hint="eastAsia" w:ascii="宋体" w:hAnsi="宋体" w:cs="宋体"/>
          <w:color w:val="auto"/>
          <w:szCs w:val="21"/>
          <w:highlight w:val="none"/>
          <w:u w:val="single"/>
          <w:lang w:val="zh-CN" w:bidi="zh-CN"/>
        </w:rPr>
        <w:t xml:space="preserve"> </w:t>
      </w:r>
      <w:r>
        <w:rPr>
          <w:rFonts w:hint="eastAsia" w:ascii="宋体" w:hAnsi="宋体"/>
          <w:b/>
          <w:color w:val="auto"/>
          <w:highlight w:val="none"/>
          <w:u w:val="single"/>
        </w:rPr>
        <w:t xml:space="preserve">南京市房屋租赁服务监管平台运维服务项目</w:t>
      </w:r>
      <w:r>
        <w:rPr>
          <w:rFonts w:hint="eastAsia" w:ascii="宋体" w:hAnsi="宋体" w:cs="宋体"/>
          <w:color w:val="auto"/>
          <w:szCs w:val="21"/>
          <w:highlight w:val="none"/>
          <w:u w:val="single"/>
          <w:lang w:val="zh-CN" w:bidi="zh-CN"/>
        </w:rPr>
        <w:tab/>
      </w:r>
      <w:r>
        <w:rPr>
          <w:rFonts w:hint="eastAsia" w:ascii="宋体" w:hAnsi="宋体" w:cs="宋体"/>
          <w:color w:val="auto"/>
          <w:szCs w:val="21"/>
          <w:highlight w:val="none"/>
          <w:lang w:val="zh-CN" w:bidi="zh-CN"/>
        </w:rPr>
        <w:t xml:space="preserve">。</w:t>
      </w:r>
      <w:r>
        <w:rPr>
          <w:color w:val="auto"/>
          <w:highlight w:val="none"/>
        </w:rPr>
      </w:r>
      <w:r/>
    </w:p>
    <w:p>
      <w:pPr>
        <w:ind w:firstLine="482"/>
        <w:spacing w:line="360" w:lineRule="auto"/>
        <w:rPr>
          <w:rFonts w:hint="eastAsia" w:ascii="宋体" w:hAnsi="宋体" w:cs="宋体"/>
          <w:color w:val="auto"/>
          <w:szCs w:val="21"/>
          <w:highlight w:val="none"/>
        </w:rPr>
      </w:pPr>
      <w:r>
        <w:rPr>
          <w:rFonts w:hint="eastAsia" w:ascii="宋体" w:hAnsi="宋体" w:cs="宋体"/>
          <w:b/>
          <w:iCs/>
          <w:color w:val="auto"/>
          <w:szCs w:val="21"/>
          <w:highlight w:val="none"/>
        </w:rPr>
        <w:t xml:space="preserve">项目清单</w:t>
      </w:r>
      <w:r>
        <w:rPr>
          <w:color w:val="auto"/>
          <w:highlight w:val="none"/>
        </w:rPr>
      </w:r>
      <w:r/>
    </w:p>
    <w:tbl>
      <w:tblPr>
        <w:tblStyle w:val="872"/>
        <w:tblW w:w="8897" w:type="dxa"/>
        <w:jc w:val="center"/>
        <w:tblLayout w:type="fixed"/>
        <w:tblCellMar>
          <w:left w:w="108" w:type="dxa"/>
          <w:top w:w="0" w:type="dxa"/>
          <w:right w:w="108" w:type="dxa"/>
          <w:bottom w:w="0" w:type="dxa"/>
        </w:tblCellMar>
        <w:tblLook w:val="04A0" w:firstRow="1" w:lastRow="0" w:firstColumn="1" w:lastColumn="0" w:noHBand="0" w:noVBand="1"/>
      </w:tblPr>
      <w:tblGrid>
        <w:gridCol w:w="1145"/>
        <w:gridCol w:w="4066"/>
        <w:gridCol w:w="851"/>
        <w:gridCol w:w="840"/>
        <w:gridCol w:w="1995"/>
      </w:tblGrid>
      <w:tr>
        <w:trPr>
          <w:jc w:val="center"/>
        </w:trPr>
        <w:tc>
          <w:tcPr>
            <w:shd w:val="clear" w:color="auto" w:fill="4f81bd" w:themeFill="accent1"/>
            <w:tcBorders>
              <w:top w:val="single" w:color="4F81BD" w:themeColor="accent1" w:sz="6" w:space="0"/>
              <w:left w:val="single" w:color="4F81BD" w:themeColor="accent1" w:sz="6" w:space="0"/>
              <w:bottom w:val="single" w:color="4F81BD" w:themeColor="accent1" w:sz="6" w:space="0"/>
              <w:right w:val="single" w:color="B8CCE4" w:themeColor="accent1" w:themeTint="66" w:sz="6" w:space="0"/>
            </w:tcBorders>
            <w:tcW w:w="1145" w:type="dxa"/>
            <w:vAlign w:val="center"/>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序号</w:t>
            </w:r>
            <w:r>
              <w:rPr>
                <w:color w:val="auto"/>
                <w:highlight w:val="none"/>
              </w:rPr>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4066" w:type="dxa"/>
            <w:vAlign w:val="center"/>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标的名称</w:t>
            </w:r>
            <w:r>
              <w:rPr>
                <w:color w:val="auto"/>
                <w:highlight w:val="none"/>
              </w:rPr>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851" w:type="dxa"/>
            <w:vAlign w:val="center"/>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数量</w:t>
            </w:r>
            <w:r>
              <w:rPr>
                <w:color w:val="auto"/>
                <w:highlight w:val="none"/>
              </w:rPr>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840" w:type="dxa"/>
            <w:vAlign w:val="center"/>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单位</w:t>
            </w:r>
            <w:r>
              <w:rPr>
                <w:color w:val="auto"/>
                <w:highlight w:val="none"/>
              </w:rPr>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1995" w:type="dxa"/>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起始时间</w:t>
            </w:r>
            <w:r>
              <w:rPr>
                <w:color w:val="auto"/>
                <w:highlight w:val="none"/>
              </w:rPr>
            </w:r>
            <w:r/>
          </w:p>
        </w:tc>
      </w:tr>
      <w:tr>
        <w:trPr>
          <w:jc w:val="center"/>
        </w:trPr>
        <w:tc>
          <w:tcPr>
            <w:shd w:val="clear" w:color="auto" w:fill="ffffff"/>
            <w:tcBorders>
              <w:top w:val="single" w:color="4F81BD" w:themeColor="accent1" w:sz="6" w:space="0"/>
              <w:left w:val="single" w:color="4F81BD" w:themeColor="accent1" w:sz="6" w:space="0"/>
              <w:bottom w:val="single" w:color="4F81BD" w:themeColor="accent1" w:sz="6" w:space="0"/>
              <w:right w:val="single" w:color="B8CCE4" w:themeColor="accent1" w:themeTint="66" w:sz="6" w:space="0"/>
            </w:tcBorders>
            <w:tcW w:w="114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color w:val="auto"/>
                <w:highlight w:val="none"/>
              </w:rPr>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40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highlight w:val="none"/>
              </w:rPr>
              <w:t xml:space="preserve">南京市房屋租赁服务监管平台运维服务项目</w:t>
            </w:r>
            <w:r>
              <w:rPr>
                <w:color w:val="auto"/>
                <w:highlight w:val="none"/>
              </w:rPr>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8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color w:val="auto"/>
                <w:highlight w:val="none"/>
              </w:rPr>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84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w:t>
            </w:r>
            <w:r>
              <w:rPr>
                <w:color w:val="auto"/>
                <w:highlight w:val="none"/>
              </w:rPr>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1995"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自合同签订次日起一年</w:t>
            </w:r>
            <w:r>
              <w:rPr>
                <w:color w:val="auto"/>
                <w:highlight w:val="none"/>
              </w:rPr>
            </w:r>
            <w:r/>
          </w:p>
        </w:tc>
      </w:tr>
    </w:tbl>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2、具体服务执行要求详见乙方响应文件。</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第二条 合同总价款</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pacing w:val="-10"/>
          <w:szCs w:val="21"/>
          <w:highlight w:val="none"/>
          <w:lang w:val="zh-CN" w:bidi="zh-CN"/>
        </w:rPr>
        <w:t xml:space="preserve">、</w:t>
      </w:r>
      <w:r>
        <w:rPr>
          <w:rFonts w:hint="eastAsia" w:ascii="宋体" w:hAnsi="宋体" w:cs="宋体"/>
          <w:color w:val="auto"/>
          <w:szCs w:val="21"/>
          <w:highlight w:val="none"/>
          <w:lang w:val="zh-CN" w:bidi="zh-CN"/>
        </w:rPr>
        <w:t xml:space="preserve">本合同项下服务总价款为</w:t>
      </w:r>
      <w:r>
        <w:rPr>
          <w:rFonts w:hint="eastAsia" w:ascii="宋体" w:hAnsi="宋体" w:cs="宋体"/>
          <w:color w:val="auto"/>
          <w:szCs w:val="21"/>
          <w:highlight w:val="none"/>
          <w:u w:val="single"/>
          <w:lang w:val="zh-CN" w:bidi="zh-CN"/>
        </w:rPr>
        <w:t xml:space="preserve"> </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（大写</w:t>
      </w:r>
      <w:r>
        <w:rPr>
          <w:rFonts w:hint="eastAsia" w:ascii="宋体" w:hAnsi="宋体" w:cs="宋体"/>
          <w:color w:val="auto"/>
          <w:szCs w:val="21"/>
          <w:highlight w:val="none"/>
          <w:u w:val="single"/>
          <w:lang w:val="zh-CN" w:bidi="zh-CN"/>
        </w:rPr>
        <w:t xml:space="preserve"> </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人民币</w:t>
      </w:r>
      <w:r>
        <w:rPr>
          <w:rFonts w:hint="eastAsia" w:ascii="宋体" w:hAnsi="宋体" w:cs="宋体"/>
          <w:color w:val="auto"/>
          <w:spacing w:val="-10"/>
          <w:szCs w:val="21"/>
          <w:highlight w:val="none"/>
          <w:lang w:val="zh-CN" w:bidi="zh-CN"/>
        </w:rPr>
        <w:t xml:space="preserve">，</w:t>
      </w:r>
      <w:r>
        <w:rPr>
          <w:rFonts w:hint="eastAsia" w:ascii="宋体" w:hAnsi="宋体" w:cs="宋体"/>
          <w:color w:val="auto"/>
          <w:szCs w:val="21"/>
          <w:highlight w:val="none"/>
          <w:lang w:val="zh-CN" w:bidi="zh-CN"/>
        </w:rPr>
        <w:t xml:space="preserve">分项价款在乙</w:t>
      </w:r>
      <w:r>
        <w:rPr>
          <w:rFonts w:hint="eastAsia" w:ascii="宋体" w:hAnsi="宋体" w:cs="宋体"/>
          <w:color w:val="auto"/>
          <w:spacing w:val="-10"/>
          <w:szCs w:val="21"/>
          <w:highlight w:val="none"/>
          <w:lang w:val="zh-CN" w:bidi="zh-CN"/>
        </w:rPr>
        <w:t xml:space="preserve">方</w:t>
      </w:r>
      <w:r>
        <w:rPr>
          <w:rFonts w:hint="eastAsia" w:ascii="宋体" w:hAnsi="宋体" w:cs="宋体"/>
          <w:color w:val="auto"/>
          <w:szCs w:val="21"/>
          <w:highlight w:val="none"/>
          <w:lang w:val="zh-CN" w:bidi="zh-CN"/>
        </w:rPr>
        <w:t xml:space="preserve">“投</w:t>
      </w:r>
      <w:r>
        <w:rPr>
          <w:rFonts w:hint="eastAsia" w:ascii="宋体" w:hAnsi="宋体" w:cs="宋体"/>
          <w:color w:val="auto"/>
          <w:spacing w:val="-17"/>
          <w:szCs w:val="21"/>
          <w:highlight w:val="none"/>
          <w:lang w:val="zh-CN" w:bidi="zh-CN"/>
        </w:rPr>
        <w:t xml:space="preserve">标</w:t>
      </w:r>
      <w:r>
        <w:rPr>
          <w:rFonts w:hint="eastAsia" w:ascii="宋体" w:hAnsi="宋体" w:cs="宋体"/>
          <w:color w:val="auto"/>
          <w:szCs w:val="21"/>
          <w:highlight w:val="none"/>
          <w:lang w:val="zh-CN" w:bidi="zh-CN"/>
        </w:rPr>
        <w:t xml:space="preserve">文件价格部分”中有明确规定。</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2、本合同总价款是完成本项目所发生的所有含税费用、支付给员工的工资和国家强制缴纳的各种社会保障资金，以及乙方认为需要的其他费用等。</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3、本合同总价款还包含乙方应当提供的伴随服务/售后服务费用。</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4、本合同执行期间合同总价款不变。</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第三条 组成本合同的有关文件</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下列关于招投标文件或与本次采购活动方式相适应的文件</w:t>
      </w:r>
      <w:r>
        <w:rPr>
          <w:rFonts w:hint="eastAsia" w:ascii="宋体" w:hAnsi="宋体" w:cs="宋体"/>
          <w:color w:val="auto"/>
          <w:spacing w:val="-4"/>
          <w:szCs w:val="21"/>
          <w:highlight w:val="none"/>
          <w:lang w:val="zh-CN" w:bidi="zh-CN"/>
        </w:rPr>
        <w:t xml:space="preserve">及有关附件是本合同不可分割的组成部分，与本合同具有同等法律效力，这些文件包括</w:t>
      </w:r>
      <w:r>
        <w:rPr>
          <w:rFonts w:hint="eastAsia" w:ascii="宋体" w:hAnsi="宋体" w:cs="宋体"/>
          <w:color w:val="auto"/>
          <w:szCs w:val="21"/>
          <w:highlight w:val="none"/>
          <w:lang w:val="zh-CN" w:bidi="zh-CN"/>
        </w:rPr>
        <w:t xml:space="preserve">但不限于：</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1、乙方提供的投标文件和投标文件价格部分；</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2、技术条款偏离表；</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3、投标承诺/服务承诺；</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4、中标通知书；</w:t>
      </w:r>
      <w:r>
        <w:rPr>
          <w:color w:val="auto"/>
          <w:highlight w:val="none"/>
        </w:rPr>
      </w:r>
      <w:r/>
    </w:p>
    <w:p>
      <w:pPr>
        <w:ind w:firstLine="480"/>
        <w:spacing w:line="360" w:lineRule="auto"/>
        <w:rPr>
          <w:rFonts w:hint="eastAsia" w:ascii="宋体" w:hAnsi="宋体" w:cs="宋体"/>
          <w:color w:val="auto"/>
          <w:spacing w:val="-2"/>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2"/>
          <w:szCs w:val="21"/>
          <w:highlight w:val="none"/>
        </w:rPr>
        <w:t xml:space="preserve">、甲乙双方商定的其他文件等。</w:t>
      </w:r>
      <w:r>
        <w:rPr>
          <w:color w:val="auto"/>
          <w:highlight w:val="none"/>
        </w:rPr>
      </w:r>
      <w:r/>
    </w:p>
    <w:p>
      <w:pPr>
        <w:ind w:firstLine="478"/>
        <w:spacing w:line="360" w:lineRule="auto"/>
        <w:rPr>
          <w:rFonts w:hint="eastAsia" w:ascii="宋体" w:hAnsi="宋体" w:cs="宋体"/>
          <w:color w:val="auto"/>
          <w:szCs w:val="21"/>
          <w:highlight w:val="none"/>
        </w:rPr>
        <w:outlineLvl w:val="3"/>
      </w:pPr>
      <w:r>
        <w:rPr>
          <w:rFonts w:hint="eastAsia" w:ascii="宋体" w:hAnsi="宋体" w:cs="宋体"/>
          <w:b/>
          <w:color w:val="auto"/>
          <w:spacing w:val="-1"/>
          <w:szCs w:val="21"/>
          <w:highlight w:val="none"/>
        </w:rPr>
        <w:t xml:space="preserve">第四条 权利保证</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乙方应保证甲方在使用该服务或其任何一部分时不受第三方提出侵犯其专利权、版权、商标权或其他权利的起诉。一旦出现侵权，乙方应承担全部责任。</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lang w:val="zh-CN" w:bidi="zh-CN"/>
        </w:rPr>
        <w:t xml:space="preserve">、安全保密要求：</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（1）乙方对本项目所有信息负有保密义务，不得侵害、外泄或以任何直接或间接的方法使任何第三人知悉或使用。</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（2）乙方保证信息介质的使用安全，做好介质的管理工作，不能随意摆放。</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（3）乙方保证参与采购人工作过程中严格遵守关于网络安全的相关规定。</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第五条 服务要求</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一、技术要求</w:t>
      </w:r>
      <w:r>
        <w:rPr>
          <w:color w:val="auto"/>
          <w:highlight w:val="none"/>
        </w:rPr>
      </w:r>
      <w:r/>
    </w:p>
    <w:p>
      <w:pPr>
        <w:ind w:firstLine="482"/>
        <w:spacing w:before="40" w:line="224" w:lineRule="auto"/>
        <w:rPr>
          <w:rFonts w:hint="eastAsia" w:ascii="宋体" w:hAnsi="宋体" w:cs="宋体"/>
          <w:b/>
          <w:iCs/>
          <w:color w:val="auto"/>
          <w:szCs w:val="21"/>
          <w:highlight w:val="none"/>
        </w:rPr>
        <w:outlineLvl w:val="1"/>
      </w:pPr>
      <w:r>
        <w:rPr>
          <w:rFonts w:hint="eastAsia" w:ascii="宋体" w:hAnsi="宋体" w:cs="宋体"/>
          <w:b/>
          <w:iCs/>
          <w:color w:val="auto"/>
          <w:szCs w:val="21"/>
          <w:highlight w:val="none"/>
        </w:rPr>
        <w:t xml:space="preserve">（一）运维服务内容</w:t>
      </w:r>
      <w:r>
        <w:rPr>
          <w:color w:val="auto"/>
          <w:highlight w:val="none"/>
        </w:rPr>
      </w:r>
      <w:r/>
    </w:p>
    <w:p>
      <w:pPr>
        <w:ind w:firstLine="482"/>
        <w:spacing w:line="360" w:lineRule="auto"/>
        <w:tabs>
          <w:tab w:val="left" w:pos="3072" w:leader="none"/>
        </w:tabs>
        <w:rPr>
          <w:rFonts w:hint="eastAsia" w:ascii="宋体" w:hAnsi="宋体" w:cs="宋体"/>
          <w:b/>
          <w:color w:val="auto"/>
          <w:highlight w:val="none"/>
        </w:rPr>
        <w:outlineLvl w:val="1"/>
      </w:pPr>
      <w:r>
        <w:rPr>
          <w:rFonts w:hint="eastAsia" w:ascii="宋体" w:hAnsi="宋体" w:cs="宋体"/>
          <w:b/>
          <w:color w:val="auto"/>
          <w:highlight w:val="none"/>
        </w:rPr>
        <w:t xml:space="preserve">1.房源信息采集</w:t>
      </w:r>
      <w:r>
        <w:rPr>
          <w:rFonts w:hint="eastAsia" w:ascii="宋体" w:hAnsi="宋体" w:cs="宋体"/>
          <w:b/>
          <w:color w:val="auto"/>
          <w:highlight w:val="none"/>
        </w:rPr>
        <w:tab/>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1.1房源采集系统功能描述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系统面向房产部门及测绘企业，提供租赁房屋时空信</w:t>
      </w:r>
      <w:r>
        <w:rPr>
          <w:rFonts w:hint="eastAsia" w:cs="宋体"/>
          <w:color w:val="auto"/>
          <w:highlight w:val="none"/>
          <w:lang w:eastAsia="zh-CN"/>
        </w:rPr>
        <w:t xml:space="preserve">息从数据归集、作业管理到成果应用的全流程管理能力。通过对房屋规划蓝图、测绘成果等多源数据的统一归集与规范管理，为租赁房屋三维信息采集提供可靠的工作底图支撑；对测绘作业实行任务化、流程化管理，保障作业发起、分发、成果质检与工作量统计等环节规范可控；对采集图纸进行标准化处理，并基于标准化成果自动构建建筑三维模型，提升建模效率与成果质量；基于房屋测绘成果生成分户分间图等应用成果，并通过对外数据服务接口提供查询与调用能力，支撑房源管理、楼盘表展示等后续业务应用，形成“采集 — 处理 — 建模 — 应用”的业务闭环。</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1.2运维保障要求</w:t>
      </w:r>
      <w:r>
        <w:rPr>
          <w:color w:val="auto"/>
          <w:highlight w:val="none"/>
        </w:rPr>
      </w:r>
      <w:r/>
    </w:p>
    <w:p>
      <w:pPr>
        <w:pStyle w:val="914"/>
        <w:ind w:firstLine="480"/>
        <w:spacing w:beforeAutospacing="0" w:afterAutospacing="0" w:line="360" w:lineRule="auto"/>
        <w:rPr>
          <w:rFonts w:hint="eastAsia"/>
          <w:color w:val="auto"/>
          <w:highlight w:val="none"/>
        </w:rPr>
      </w:pPr>
      <w:r>
        <w:rPr>
          <w:rFonts w:hint="eastAsia"/>
          <w:color w:val="auto"/>
          <w:highlight w:val="none"/>
        </w:rPr>
        <w:t xml:space="preserve">（1）保障系统稳定运行，各业务环节功能完整可用，采集业务流程畅通。</w:t>
      </w:r>
      <w:r>
        <w:rPr>
          <w:color w:val="auto"/>
          <w:highlight w:val="none"/>
        </w:rPr>
      </w:r>
      <w:r/>
    </w:p>
    <w:p>
      <w:pPr>
        <w:pStyle w:val="914"/>
        <w:ind w:firstLine="480"/>
        <w:spacing w:beforeAutospacing="0" w:afterAutospacing="0" w:line="360" w:lineRule="auto"/>
        <w:rPr>
          <w:rFonts w:hint="eastAsia"/>
          <w:color w:val="auto"/>
          <w:highlight w:val="none"/>
        </w:rPr>
      </w:pPr>
      <w:r>
        <w:rPr>
          <w:rFonts w:hint="eastAsia"/>
          <w:color w:val="auto"/>
          <w:highlight w:val="none"/>
        </w:rPr>
        <w:t xml:space="preserve">（2）保障对外数据服务接口稳定可靠，查询与交互功能正常。</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2.房源发布</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2.1功能描述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面向个人及机构出租方、承租方，提供房源从挂牌发布、审核查验到看房租住的全流程支撑能力。通过房源核验、权属查验、委托授权验证等环节保障房源真实合规，未经查验的房源无法通过发布审核；支持多类型、多场景房源的挂牌、展示与上下架管理，房源状态与业务办理实时联动，防止重复出租；提供按间选房与可视化看房体验，满足看房、找房、租房等租住场景；同步开展从业人员信用、交易评价、红黑名单及租金托管等信息公示，增强市场透明度；支持与第三方平台的对接发布，扩大房源触达渠道，形成“发布 — 审核 — 展示 — 租住”的业务闭环。</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2.2运维保障要求</w:t>
      </w:r>
      <w:r>
        <w:rPr>
          <w:color w:val="auto"/>
          <w:highlight w:val="none"/>
        </w:rPr>
      </w:r>
      <w:r/>
    </w:p>
    <w:p>
      <w:pPr>
        <w:pStyle w:val="914"/>
        <w:ind w:firstLine="480"/>
        <w:spacing w:beforeAutospacing="0" w:afterAutospacing="0" w:line="360" w:lineRule="auto"/>
        <w:rPr>
          <w:rFonts w:hint="eastAsia"/>
          <w:color w:val="auto"/>
          <w:highlight w:val="none"/>
        </w:rPr>
      </w:pPr>
      <w:r>
        <w:rPr>
          <w:rFonts w:hint="eastAsia"/>
          <w:color w:val="auto"/>
          <w:highlight w:val="none"/>
        </w:rPr>
        <w:t xml:space="preserve">（1）保障房源从挂牌、审核、展示到租住各环节功能稳定可用，多场景挂牌、下架操作及房源状态更新及时准确。</w:t>
      </w:r>
      <w:r>
        <w:rPr>
          <w:color w:val="auto"/>
          <w:highlight w:val="none"/>
        </w:rPr>
      </w:r>
      <w:r/>
    </w:p>
    <w:p>
      <w:pPr>
        <w:pStyle w:val="914"/>
        <w:ind w:firstLine="480"/>
        <w:spacing w:beforeAutospacing="0" w:afterAutospacing="0" w:line="360" w:lineRule="auto"/>
        <w:rPr>
          <w:rFonts w:hint="eastAsia"/>
          <w:color w:val="auto"/>
          <w:highlight w:val="none"/>
        </w:rPr>
      </w:pPr>
      <w:r>
        <w:rPr>
          <w:rFonts w:hint="eastAsia"/>
          <w:color w:val="auto"/>
          <w:highlight w:val="none"/>
        </w:rPr>
        <w:t xml:space="preserve">（2）保障房源查验与授权验证结果准确，与存量房网签系统、房产交易与不动产登记一体化平台等外部系统的对接核验可靠。</w:t>
      </w:r>
      <w:r>
        <w:rPr>
          <w:color w:val="auto"/>
          <w:highlight w:val="none"/>
        </w:rPr>
      </w:r>
      <w:r/>
    </w:p>
    <w:p>
      <w:pPr>
        <w:pStyle w:val="914"/>
        <w:ind w:firstLine="480"/>
        <w:spacing w:beforeAutospacing="0" w:afterAutospacing="0" w:line="360" w:lineRule="auto"/>
        <w:rPr>
          <w:rFonts w:hint="eastAsia"/>
          <w:color w:val="auto"/>
          <w:highlight w:val="none"/>
        </w:rPr>
      </w:pPr>
      <w:r>
        <w:rPr>
          <w:rFonts w:hint="eastAsia"/>
          <w:color w:val="auto"/>
          <w:highlight w:val="none"/>
        </w:rPr>
        <w:t xml:space="preserve">（3）保障房源状态联动规则正确执行，审核、网签、出租等环节状态联动及时，防止一房多租。</w:t>
      </w:r>
      <w:r>
        <w:rPr>
          <w:color w:val="auto"/>
          <w:highlight w:val="none"/>
        </w:rPr>
      </w:r>
      <w:r/>
    </w:p>
    <w:p>
      <w:pPr>
        <w:pStyle w:val="914"/>
        <w:ind w:firstLine="480"/>
        <w:spacing w:beforeAutospacing="0" w:afterAutospacing="0" w:line="360" w:lineRule="auto"/>
        <w:rPr>
          <w:rFonts w:hint="eastAsia"/>
          <w:color w:val="auto"/>
          <w:highlight w:val="none"/>
        </w:rPr>
      </w:pPr>
      <w:r>
        <w:rPr>
          <w:rFonts w:hint="eastAsia"/>
          <w:color w:val="auto"/>
          <w:highlight w:val="none"/>
        </w:rPr>
        <w:t xml:space="preserve">（4）保障与第三方平台的房源发布对接接口稳定，集成调用正常。</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3.合同管理</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3.1功能描述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为租赁双方及从业机构提供从身份确认、签约达成到登记备案的全流程网签支撑能力：依托生物识别等技术完成身份认证，通过数字证书、电子签章、真迹签名保障签署合规与法律效力；覆盖居间、代理、转租等委托场景，签约前完成委托与转租授权校验；支持按间选房及合同的新建、变更、注销、查询与示范文本应用；合同签订后联动登记备案，并支持企业对接网签、跳转签约与结果回传。</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3.2运维保障要求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（1）保障在线网签全流程稳定可用，身份认证、电子签章、委托与转租授权、按间选房、合同生成、在线支付、登记备案各环节衔接正常，合同与备案的变更、注销联动准确。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（2）保障合同示范文本模板体系维护及时，动态内容域配置生效。</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（3）保障企业与平台网签对接正常，注册、认证、单点登录、数据交互及结果回传等环节可用。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（4）保障备案管理流程畅通，与公安、人社、市数据局等共享推送数据准确。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（5）保障转租管控规则正确执行，转租授权限次等逻辑有效。</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（6）保障合同与租金托管系统的联动正常。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（7）保障云签章相关安全服务正常，数字证书认证、云章签署、真迹签名、政府端签章、证书生命周期管理及用户中心等功能可用。</w:t>
      </w:r>
      <w:r>
        <w:rPr>
          <w:color w:val="auto"/>
          <w:highlight w:val="none"/>
        </w:rPr>
      </w:r>
      <w:r/>
    </w:p>
    <w:p>
      <w:pPr>
        <w:ind w:firstLine="482"/>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4.满意度调查</w:t>
      </w:r>
      <w:r>
        <w:rPr>
          <w:color w:val="auto"/>
          <w:highlight w:val="none"/>
        </w:rPr>
      </w:r>
      <w:r/>
    </w:p>
    <w:p>
      <w:pPr>
        <w:ind w:firstLine="482"/>
        <w:spacing w:line="360" w:lineRule="auto"/>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4.1功能描述</w:t>
      </w:r>
      <w:r>
        <w:rPr>
          <w:color w:val="auto"/>
          <w:highlight w:val="none"/>
        </w:rPr>
      </w:r>
      <w:r/>
    </w:p>
    <w:p>
      <w:pPr>
        <w:pStyle w:val="885"/>
        <w:ind w:firstLine="420"/>
        <w:spacing w:line="360" w:lineRule="auto"/>
        <w:rPr>
          <w:rFonts w:hint="eastAsia" w:cs="宋体"/>
          <w:color w:val="auto"/>
          <w:sz w:val="21"/>
          <w:szCs w:val="21"/>
          <w:highlight w:val="none"/>
        </w:rPr>
      </w:pPr>
      <w:r>
        <w:rPr>
          <w:rFonts w:hint="eastAsia" w:cs="宋体"/>
          <w:color w:val="auto"/>
          <w:sz w:val="21"/>
          <w:szCs w:val="21"/>
          <w:highlight w:val="none"/>
          <w:lang w:eastAsia="zh-CN"/>
        </w:rPr>
        <w:t xml:space="preserve">支持三类租赁评价：个人与个人（个人直租）、机构与个人（机构转租、委托代理）、机构与机构（机构直租给机构）之间的评价管理。</w:t>
      </w:r>
      <w:r>
        <w:rPr>
          <w:color w:val="auto"/>
          <w:highlight w:val="none"/>
        </w:rPr>
      </w:r>
      <w:r/>
    </w:p>
    <w:p>
      <w:pPr>
        <w:ind w:firstLine="482"/>
        <w:spacing w:line="360" w:lineRule="auto"/>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4.2运维保障要求</w:t>
      </w:r>
      <w:r>
        <w:rPr>
          <w:color w:val="auto"/>
          <w:highlight w:val="none"/>
        </w:rPr>
      </w:r>
      <w:r/>
    </w:p>
    <w:p>
      <w:pPr>
        <w:pStyle w:val="885"/>
        <w:ind w:firstLine="420"/>
        <w:spacing w:line="360" w:lineRule="auto"/>
        <w:rPr>
          <w:rFonts w:hint="eastAsia" w:cs="宋体"/>
          <w:color w:val="auto"/>
          <w:sz w:val="21"/>
          <w:szCs w:val="21"/>
          <w:highlight w:val="none"/>
        </w:rPr>
      </w:pPr>
      <w:r>
        <w:rPr>
          <w:rFonts w:hint="eastAsia" w:cs="宋体"/>
          <w:color w:val="auto"/>
          <w:sz w:val="21"/>
          <w:szCs w:val="21"/>
          <w:highlight w:val="none"/>
          <w:lang w:eastAsia="zh-CN"/>
        </w:rPr>
        <w:t xml:space="preserve">（1）保障三类评价场景在 PC 端和手机端评价功能稳定可用。</w:t>
      </w:r>
      <w:r>
        <w:rPr>
          <w:color w:val="auto"/>
          <w:highlight w:val="none"/>
        </w:rPr>
      </w:r>
      <w:r/>
    </w:p>
    <w:p>
      <w:pPr>
        <w:pStyle w:val="885"/>
        <w:ind w:firstLine="420"/>
        <w:spacing w:line="360" w:lineRule="auto"/>
        <w:rPr>
          <w:rFonts w:hint="eastAsia" w:cs="宋体"/>
          <w:color w:val="auto"/>
          <w:sz w:val="21"/>
          <w:szCs w:val="21"/>
          <w:highlight w:val="none"/>
        </w:rPr>
      </w:pPr>
      <w:r>
        <w:rPr>
          <w:rFonts w:hint="eastAsia" w:cs="宋体"/>
          <w:color w:val="auto"/>
          <w:sz w:val="21"/>
          <w:szCs w:val="21"/>
          <w:highlight w:val="none"/>
          <w:lang w:eastAsia="zh-CN"/>
        </w:rPr>
        <w:t xml:space="preserve">（2）保障评价数据存储与查询功能正常。</w:t>
      </w:r>
      <w:r>
        <w:rPr>
          <w:color w:val="auto"/>
          <w:highlight w:val="none"/>
        </w:rPr>
      </w:r>
      <w:r/>
    </w:p>
    <w:p>
      <w:pPr>
        <w:ind w:firstLine="482"/>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5.主体管理</w:t>
      </w:r>
      <w:r>
        <w:rPr>
          <w:color w:val="auto"/>
          <w:highlight w:val="none"/>
        </w:rPr>
      </w:r>
      <w:r/>
    </w:p>
    <w:p>
      <w:pPr>
        <w:ind w:firstLine="482"/>
        <w:spacing w:line="360" w:lineRule="auto"/>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5.1功能描述</w:t>
      </w:r>
      <w:r>
        <w:rPr>
          <w:color w:val="auto"/>
          <w:highlight w:val="none"/>
        </w:rPr>
      </w:r>
      <w:r/>
    </w:p>
    <w:p>
      <w:pPr>
        <w:pStyle w:val="885"/>
        <w:ind w:firstLine="420"/>
        <w:spacing w:line="360" w:lineRule="auto"/>
        <w:rPr>
          <w:rFonts w:hint="eastAsia" w:cs="宋体"/>
          <w:color w:val="auto"/>
          <w:sz w:val="21"/>
          <w:szCs w:val="21"/>
          <w:highlight w:val="none"/>
        </w:rPr>
      </w:pPr>
      <w:r>
        <w:rPr>
          <w:rFonts w:hint="eastAsia" w:cs="宋体"/>
          <w:color w:val="auto"/>
          <w:sz w:val="21"/>
          <w:szCs w:val="21"/>
          <w:highlight w:val="none"/>
          <w:lang w:eastAsia="zh-CN"/>
        </w:rPr>
        <w:t xml:space="preserve">面向开发企业、租赁企业、经纪机构、代办机构及在宁高校等各类从业主体，提供主体信息报备与开业报告的统一管理能力，涵盖主体基本信息登记维护、业务信息申报及查询统计，为从业主体进入平台开展业务提供准入与档案支撑；同时支持相关从业人员的统一管理，覆盖人员基本信息与人员变动管理，支撑多级、多角色权限体系运行，为房源发布、合同网签等业务提供权威、完整的主体数据基础。</w:t>
      </w:r>
      <w:r>
        <w:rPr>
          <w:color w:val="auto"/>
          <w:highlight w:val="none"/>
        </w:rPr>
      </w:r>
      <w:r/>
    </w:p>
    <w:p>
      <w:pPr>
        <w:ind w:firstLine="482"/>
        <w:spacing w:line="360" w:lineRule="auto"/>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5.2运维保障要求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（1）保障机构开业报告审核流程畅通，企业注册、信息填报、属地审核、权限设置等环节正常。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（2）保障人员权限体系有效运行，市、区、街道多级管理员及业务员权限管理正常，机构管理员对分支机构与从业人员的管理可用。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（3）保障主体信息变更、注销与相关业务联动正确。</w:t>
      </w:r>
      <w:r>
        <w:rPr>
          <w:color w:val="auto"/>
          <w:highlight w:val="none"/>
        </w:rPr>
      </w:r>
      <w:r/>
    </w:p>
    <w:p>
      <w:pPr>
        <w:ind w:firstLine="482"/>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6.信用管理</w:t>
      </w:r>
      <w:r>
        <w:rPr>
          <w:color w:val="auto"/>
          <w:highlight w:val="none"/>
        </w:rPr>
      </w:r>
      <w:r/>
    </w:p>
    <w:p>
      <w:pPr>
        <w:ind w:firstLine="482"/>
        <w:spacing w:line="360" w:lineRule="auto"/>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6.1功能描述</w:t>
      </w:r>
      <w:r>
        <w:rPr>
          <w:color w:val="auto"/>
          <w:highlight w:val="none"/>
        </w:rPr>
      </w:r>
      <w:r/>
    </w:p>
    <w:p>
      <w:pPr>
        <w:pStyle w:val="885"/>
        <w:ind w:firstLine="420"/>
        <w:spacing w:line="360" w:lineRule="auto"/>
        <w:rPr>
          <w:rFonts w:hint="eastAsia" w:cs="宋体"/>
          <w:color w:val="auto"/>
          <w:sz w:val="21"/>
          <w:szCs w:val="21"/>
          <w:highlight w:val="none"/>
        </w:rPr>
      </w:pPr>
      <w:r>
        <w:rPr>
          <w:rFonts w:hint="eastAsia" w:cs="宋体"/>
          <w:color w:val="auto"/>
          <w:sz w:val="21"/>
          <w:szCs w:val="21"/>
          <w:highlight w:val="none"/>
          <w:lang w:eastAsia="zh-CN"/>
        </w:rPr>
        <w:t xml:space="preserve">面向管理部门、从业机构与从业人员、租赁当事人、窗口服务人员四类角色，提供覆盖信用信息展示查询、信用评价管理与信用结果应用的全流程信用管理能力。通过信用分配置规则实现信用分的统一计算与展示，支持信用加减分记录、红黑名单录入与政府审核后公示，并提供申诉渠道保障信用主体权益；租赁当事人可在交易全周期开展签约、履约及租后评价，信用结果联动房源发布、合同网签等业务，支撑守信激励、失信约束的市场治理。</w:t>
      </w:r>
      <w:r>
        <w:rPr>
          <w:color w:val="auto"/>
          <w:highlight w:val="none"/>
        </w:rPr>
      </w:r>
      <w:r/>
    </w:p>
    <w:p>
      <w:pPr>
        <w:ind w:firstLine="482"/>
        <w:spacing w:line="360" w:lineRule="auto"/>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6.2运维保障要求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（1）保障信用分配置管理功能正常，因子配置、公式配置、对象设置生效。</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（2）保障红黑名单审核公示流程畅通。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（3）保障信用分计算与展示准确，信用分对房源发布、合同网签等业务的联动规则有效执行。</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7.中央财政奖补管理</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7.1功能描述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面向中央财政支持住房租赁市场发展的奖补业务，提供奖补项目全周期管理能力。覆盖筹集房源新建、改建项目及租赁企业培育项目的补助信息查询，以及资金拨付、实施进度等信息的公开公示；对财政资金奖励申报项目实施全流程监管，跟踪项目管理、施工、进度与资金使用情况；提供申报项目、新增备案、补贴资金监管等多维度统计分析及自定义分析，支撑奖补资金规范、透明、高效使用与绩效评价。</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7.2运维保障要求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（1）保障已入库项目资金申请流程完整、状态可追溯，初审、复核、公示、审定、拨款各环节材料与审核意见可查看。</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（2）保障奖补金额计算准确，拨付逻辑与申请周期配置正确，申报材料上传及完整性校验正常。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（3）保障培育企业及机制体制建设类项目的资金申请、审核与材料管理正常，申报流程闭环，历史记录可查。</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（4）保障绩效指标展示准确，试点任务、资金安排、金额、占比等数据及时更新，支撑绩效审计与评价。</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8.租金托管</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8.1功能描述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面向租金托管监管场景，构建与银行端的信息联通与风险防控能力。通过接收开户银行报送的租金托管专户信息与风险防控金信息，实现托管资金信息的集中归集与监管；支持风险防控金扣除记录查询与历史追溯，可配置风险预警触发条件，将存在风险的租赁企业列入风险警示名单并对外发布，形成 "信息报送 — 归集监管 — 风险预警" 的闭环管理，保障租赁当事人租金安全。</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8.2运维保障要求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（1）保障网签备案合同信息与租金银行托管系统对接稳定，托管银行调用合同信息、平台接收专户信息和风险防控金预警的双向数据交换正常。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（2）保障门户网站租金托管展示功能正常，合同网签后签订各方可查询租金托管情况。</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（3）保障企业端租金托管相关功能可用。</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9.违规出租监管</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9.1功能描述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面向违规出租房（群租房）整治监管业务，提供从线索归集、案件处置到整改闭环的全流程管理能力。支持通过批量导入、个案录入、扫码录入等多种方式归集违规出租信息，建立监管数据库；提供多条件灵活查询与案件状态跟踪，支撑业务派件、整改材料上传、整改时限提醒等处置流程管理；支持按月、季、年度输出整治情况报表，联动多部门协同监管与信息公示，推动违规出租问题及时发现、闭环整治。</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9.2运维保障要求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（1）保障整治监管平台稳定运行，数据采录、案件状态查询、派件整改跟踪、统计报表、人员权限管理等功能正常。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（2）保障手机端扫码采集标准地址功能可用。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（3）保障与公安、市场监管、社区街道等多部门联动对接稳定。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（4）保障风险企业联合约谈、限期整改、公开曝光、风险提示等信息发布公示及时。</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10.企业经营情况调查</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10.1功能描述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面向租赁企业经营情况调查业务，通过与市大数据局对接获取企业信息，建立租赁企业数据库；对辖区实际从事房屋租赁经营的企业进行核查确认并形成从业清单，未实际经营的企业不予开放房源发布资格；同步核验企业开业信息报告完成情况，支撑租赁企业底数清、资格准的规范管理。</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10.2运维保障要求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（1）保障企业数据库清单批量导入导出及区级企业清单筛选功能正常。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（2）保障从业企业信息管理与开业报告对接正常。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（3）保障风险企业信息管理与整改管理功能可用。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（4）保障报表查询下载打印功能正常。</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11.监测分析</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11.1功能描述</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面向住房租赁市场运行监测与决策支持场景，提供多维度、多层次的动态监测分析能力。围绕市场供给、成交与存量开展动态监测，覆盖土地、项目、房源、当事人、资金、成交周期等要素，并从房源供需结构、市场主体结构、市场价格、成交及支付周期等维度开展主题监测分析，为市场运行研判、政策制定与领导决策提供数据支撑。</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11.2运维保障要求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（1）保障租金监测分析功能正常，租金价格水平、租金支付压力（租收比）、资金风险监测数据准确，支持多维度统计。</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（2）保障监测指标体系维护功能正常，房源、合同、主体、资金四大类指标计算准确。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（3）保障数据报表服务正常，日报、周报、月报按时生成导出，可视化展示可用。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（4）保障房地产市场分析功能正常，商品房、二手房、住房保障、购房需求等专题分析数据准确。</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（5）保障统计局、70城/百城价格指数、人社等外部数据源对接稳定。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（6）保障大屏展示（领导决策驾驶舱）功能正常。</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12.</w:t>
      </w:r>
      <w:r>
        <w:rPr>
          <w:rFonts w:hint="eastAsia"/>
          <w:color w:val="auto"/>
          <w:highlight w:val="none"/>
        </w:rPr>
        <w:t xml:space="preserve"> </w:t>
      </w:r>
      <w:r>
        <w:rPr>
          <w:rFonts w:ascii="宋体" w:hAnsi="宋体" w:cs="宋体"/>
          <w:b/>
          <w:color w:val="auto"/>
          <w:highlight w:val="none"/>
        </w:rPr>
        <w:t xml:space="preserve">面向在宁高校集中租用社会房源改善学生住宿条件试点项目管理</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12.1功能描述</w:t>
      </w:r>
      <w:r>
        <w:rPr>
          <w:color w:val="auto"/>
          <w:highlight w:val="none"/>
        </w:rPr>
      </w:r>
      <w:r/>
    </w:p>
    <w:p>
      <w:pPr>
        <w:pStyle w:val="885"/>
        <w:ind w:firstLine="420"/>
        <w:spacing w:line="360" w:lineRule="auto"/>
        <w:rPr>
          <w:rFonts w:hint="eastAsia" w:cs="宋体"/>
          <w:color w:val="auto"/>
          <w:highlight w:val="none"/>
        </w:rPr>
      </w:pPr>
      <w:r>
        <w:rPr>
          <w:rFonts w:cs="宋体"/>
          <w:color w:val="auto"/>
          <w:highlight w:val="none"/>
          <w:lang w:eastAsia="zh-CN"/>
        </w:rPr>
        <w:t xml:space="preserve">面向在宁高校集中租用社会房源改善学生住宿条件试点项目管理场景，提供高校端和租赁企业端账号申请，试点项目入网、挂牌、租赁合同网签备案的全流程支持能力。支持高校机构和租赁企业的注册与信息维护；在宁高校试点集中租用社会房源改善学生住宿条件试点项目入网和挂牌；在线查看已入网项目；线上选房；项目租赁合同网签备案等功能。</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12.2运维保障要求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（1）保障在宁高校集中租用社会房源改善学生住宿条件试点项目管理模块各项功能正常，机构及人员信息管理、项目申报、房源入网、房源查看、网签备案全流程可用。</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rFonts w:hint="eastAsia"/>
          <w:color w:val="auto"/>
          <w:sz w:val="21"/>
          <w:szCs w:val="21"/>
          <w:highlight w:val="none"/>
        </w:rPr>
        <w:t xml:space="preserve">（2）保障相关合同模板维护及时。</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13.经纪机构年报外网申报</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13.1功能描述</w:t>
      </w:r>
      <w:r>
        <w:rPr>
          <w:color w:val="auto"/>
          <w:highlight w:val="none"/>
        </w:rPr>
      </w:r>
      <w:r/>
    </w:p>
    <w:p>
      <w:pPr>
        <w:pStyle w:val="885"/>
        <w:ind w:firstLine="420"/>
        <w:spacing w:line="360" w:lineRule="auto"/>
        <w:rPr>
          <w:rFonts w:hint="eastAsia" w:cs="宋体"/>
          <w:color w:val="auto"/>
          <w:highlight w:val="none"/>
        </w:rPr>
      </w:pPr>
      <w:r>
        <w:rPr>
          <w:rFonts w:cs="宋体"/>
          <w:color w:val="auto"/>
          <w:highlight w:val="none"/>
          <w:lang w:eastAsia="zh-CN"/>
        </w:rPr>
        <w:t xml:space="preserve">面向经纪机构年审（年报）业务，提供线上申报与自动续期管理能力。经纪机构可通过企业端申报入口发起年审，机构管理员对从业人员相关信息进行维护并提交，由属地房产部门审核；审核通过后，机构备案证明有效期自动续期一年；备案证明到期前30日自动发送短信提醒，保障经纪机构资质管理规范、到期衔接顺畅。</w:t>
      </w:r>
      <w:r>
        <w:rPr>
          <w:color w:val="auto"/>
          <w:highlight w:val="none"/>
        </w:rPr>
      </w:r>
      <w:r/>
    </w:p>
    <w:p>
      <w:pPr>
        <w:ind w:firstLine="482"/>
        <w:spacing w:line="360" w:lineRule="auto"/>
        <w:rPr>
          <w:rFonts w:hint="eastAsia" w:ascii="宋体" w:hAnsi="宋体" w:cs="宋体"/>
          <w:b/>
          <w:bCs/>
          <w:color w:val="auto"/>
          <w:highlight w:val="none"/>
        </w:rPr>
        <w:outlineLvl w:val="2"/>
      </w:pPr>
      <w:r>
        <w:rPr>
          <w:rFonts w:hint="eastAsia" w:ascii="宋体" w:hAnsi="宋体" w:cs="宋体"/>
          <w:b/>
          <w:bCs/>
          <w:color w:val="auto"/>
          <w:highlight w:val="none"/>
        </w:rPr>
        <w:t xml:space="preserve">13.2运维保障要求</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color w:val="auto"/>
          <w:sz w:val="21"/>
          <w:szCs w:val="21"/>
          <w:highlight w:val="none"/>
        </w:rPr>
        <w:t xml:space="preserve">（1）保障企业端年审申报入口可用，申报流程畅通。</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color w:val="auto"/>
          <w:sz w:val="21"/>
          <w:szCs w:val="21"/>
          <w:highlight w:val="none"/>
        </w:rPr>
        <w:t xml:space="preserve">（2）保障从业人员信息修改、属地房产部门审核流程正常。</w:t>
      </w:r>
      <w:r>
        <w:rPr>
          <w:color w:val="auto"/>
          <w:highlight w:val="none"/>
        </w:rPr>
      </w:r>
      <w:r/>
    </w:p>
    <w:p>
      <w:pPr>
        <w:pStyle w:val="914"/>
        <w:ind w:firstLine="480"/>
        <w:spacing w:beforeAutospacing="0" w:afterAutospacing="0" w:line="360" w:lineRule="auto"/>
        <w:rPr>
          <w:rFonts w:hint="eastAsia"/>
          <w:color w:val="auto"/>
          <w:sz w:val="21"/>
          <w:szCs w:val="21"/>
          <w:highlight w:val="none"/>
        </w:rPr>
      </w:pPr>
      <w:r>
        <w:rPr>
          <w:color w:val="auto"/>
          <w:sz w:val="21"/>
          <w:szCs w:val="21"/>
          <w:highlight w:val="none"/>
        </w:rPr>
        <w:t xml:space="preserve">（3）保障备案证明有效期自动续期逻辑正确，短信提醒服务及时可靠。</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14.门户网站与企业端</w:t>
      </w:r>
      <w:r>
        <w:rPr>
          <w:color w:val="auto"/>
          <w:highlight w:val="none"/>
        </w:rPr>
      </w:r>
      <w:r/>
    </w:p>
    <w:p>
      <w:pPr>
        <w:pStyle w:val="885"/>
        <w:ind w:firstLine="420"/>
        <w:spacing w:line="360" w:lineRule="auto"/>
        <w:rPr>
          <w:rFonts w:hint="eastAsia" w:cs="宋体"/>
          <w:color w:val="auto"/>
          <w:highlight w:val="none"/>
        </w:rPr>
      </w:pPr>
      <w:r>
        <w:rPr>
          <w:rFonts w:cs="宋体"/>
          <w:color w:val="auto"/>
          <w:highlight w:val="none"/>
          <w:lang w:eastAsia="zh-CN"/>
        </w:rPr>
        <w:t xml:space="preserve">保障门户网站7×24小时稳定访问，平台各端服务正常：企业端开业报告申请、机构与从业人员管理、房源上下架、合同网签备案、租金托管、中央财政奖补申请等专属业务功能稳定可用，个人端登录、房源发布、合同管理等功能正常；同时维护红黑名单、租金托管、奖补项目、风险警示名单等公众信息公示渠道，确保公示信息及时准确。</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15.宁慧租（小程序）</w:t>
      </w:r>
      <w:r>
        <w:rPr>
          <w:color w:val="auto"/>
          <w:highlight w:val="none"/>
        </w:rPr>
      </w:r>
      <w:r/>
    </w:p>
    <w:p>
      <w:pPr>
        <w:pStyle w:val="885"/>
        <w:ind w:firstLine="420"/>
        <w:spacing w:line="360" w:lineRule="auto"/>
        <w:rPr>
          <w:rFonts w:hint="eastAsia" w:cs="宋体"/>
          <w:color w:val="auto"/>
          <w:highlight w:val="none"/>
        </w:rPr>
      </w:pPr>
      <w:r>
        <w:rPr>
          <w:rFonts w:cs="宋体"/>
          <w:color w:val="auto"/>
          <w:highlight w:val="none"/>
          <w:lang w:eastAsia="zh-CN"/>
        </w:rPr>
        <w:t xml:space="preserve">保障宁慧租微信小程序7×24小时稳定运行，个人中心、房源搜索与详情、看房预约、在线签约等核心功能流畅可用，个人及机构房源发布、合同网签、备案申请、满意度评价、信用分查询等移动端业务功能正常；维护与市统一身份认证平台的对接及网络身份链入口，保障实名认证与刷脸、交易密码等登录方式可用；保障房源核验码、公安门牌二维码等扫码功能准确带出信息，模板消息推送（审核结果、合同到期、风险预警、投诉进度）及时触达用户；同时保障运营位配置、渠道分发与效果统计等运营支撑功能正常。</w:t>
      </w:r>
      <w:r>
        <w:rPr>
          <w:color w:val="auto"/>
          <w:highlight w:val="none"/>
        </w:rPr>
      </w:r>
      <w:r/>
    </w:p>
    <w:p>
      <w:pPr>
        <w:ind w:firstLine="482"/>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16.我的南京（APP）</w:t>
      </w:r>
      <w:r>
        <w:rPr>
          <w:color w:val="auto"/>
          <w:highlight w:val="none"/>
        </w:rPr>
      </w:r>
      <w:r/>
    </w:p>
    <w:p>
      <w:pPr>
        <w:pStyle w:val="885"/>
        <w:ind w:firstLine="420"/>
        <w:spacing w:line="360" w:lineRule="auto"/>
        <w:rPr>
          <w:rFonts w:hint="eastAsia" w:cs="宋体"/>
          <w:color w:val="auto"/>
          <w:highlight w:val="none"/>
        </w:rPr>
      </w:pPr>
      <w:r>
        <w:rPr>
          <w:rFonts w:cs="宋体"/>
          <w:color w:val="auto"/>
          <w:highlight w:val="none"/>
          <w:lang w:eastAsia="zh-CN"/>
        </w:rPr>
        <w:t xml:space="preserve">保障租赁平台与</w:t>
      </w:r>
      <w:r>
        <w:rPr>
          <w:rFonts w:hint="eastAsia" w:cs="宋体"/>
          <w:color w:val="auto"/>
          <w:highlight w:val="none"/>
          <w:lang w:eastAsia="zh-CN"/>
        </w:rPr>
        <w:t xml:space="preserve">“</w:t>
      </w:r>
      <w:r>
        <w:rPr>
          <w:rFonts w:cs="宋体"/>
          <w:color w:val="auto"/>
          <w:highlight w:val="none"/>
          <w:lang w:eastAsia="zh-CN"/>
        </w:rPr>
        <w:t xml:space="preserve">我的南京</w:t>
      </w:r>
      <w:r>
        <w:rPr>
          <w:rFonts w:hint="eastAsia" w:cs="宋体"/>
          <w:color w:val="auto"/>
          <w:highlight w:val="none"/>
          <w:lang w:eastAsia="zh-CN"/>
        </w:rPr>
        <w:t xml:space="preserve">”</w:t>
      </w:r>
      <w:r>
        <w:rPr>
          <w:rFonts w:cs="宋体"/>
          <w:color w:val="auto"/>
          <w:highlight w:val="none"/>
          <w:lang w:eastAsia="zh-CN"/>
        </w:rPr>
        <w:t xml:space="preserve">APP 对接稳定，用户实名认证后单点登录流程畅通，支持个人身份与机构身份双模式登录，PC端扫码登录及委托授权场景下产权人验证码接收功能正常；个人及机构房源发布、合同网签、备案申请、满意度评价、信用分查询等移动端业务功能正常，扫描房源核验码、公安门牌二维码等信息带出准确；通过 APP 推送的房源审核结果、合同到期提醒、风险预警、奖补公示等消息服务稳定；同时维护企业用户法人统一身份认证，保障企业账号统一管理与数据本地留存。</w:t>
      </w:r>
      <w:r>
        <w:rPr>
          <w:color w:val="auto"/>
          <w:highlight w:val="none"/>
        </w:rPr>
      </w:r>
      <w:r/>
    </w:p>
    <w:p>
      <w:pPr>
        <w:ind w:firstLine="482"/>
        <w:spacing w:before="40" w:line="224" w:lineRule="auto"/>
        <w:rPr>
          <w:rFonts w:hint="eastAsia" w:ascii="宋体" w:hAnsi="宋体" w:cs="宋体"/>
          <w:b/>
          <w:iCs/>
          <w:color w:val="auto"/>
          <w:szCs w:val="21"/>
          <w:highlight w:val="none"/>
        </w:rPr>
        <w:outlineLvl w:val="1"/>
      </w:pPr>
      <w:r>
        <w:rPr>
          <w:rFonts w:hint="eastAsia" w:ascii="宋体" w:hAnsi="宋体" w:cs="宋体"/>
          <w:b/>
          <w:iCs/>
          <w:color w:val="auto"/>
          <w:szCs w:val="21"/>
          <w:highlight w:val="none"/>
        </w:rPr>
        <w:t xml:space="preserve">（二）运维服务要求</w:t>
      </w:r>
      <w:r>
        <w:rPr>
          <w:color w:val="auto"/>
          <w:highlight w:val="none"/>
        </w:rPr>
      </w:r>
      <w:r/>
    </w:p>
    <w:p>
      <w:pPr>
        <w:ind w:firstLine="482"/>
        <w:spacing w:line="360" w:lineRule="auto"/>
        <w:tabs>
          <w:tab w:val="left" w:pos="3072" w:leader="none"/>
        </w:tabs>
        <w:rPr>
          <w:rFonts w:hint="eastAsia" w:ascii="宋体" w:hAnsi="宋体" w:cs="宋体"/>
          <w:b/>
          <w:color w:val="auto"/>
          <w:highlight w:val="none"/>
        </w:rPr>
        <w:outlineLvl w:val="1"/>
      </w:pPr>
      <w:r>
        <w:rPr>
          <w:rFonts w:hint="eastAsia" w:ascii="宋体" w:hAnsi="宋体" w:cs="宋体"/>
          <w:b/>
          <w:color w:val="auto"/>
          <w:highlight w:val="none"/>
        </w:rPr>
        <w:t xml:space="preserve">1.容器运维要求</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平台采用 Docker 容器技术进行应用发布管理，基于 Linux 内核 cgroup、namespace 及 Union FS 等技术实现进程封装隔离，提升应用打包部署效率和弹性扩缩容能力，为数十个微服务应用、数百个容器实例提供统一运行环境。容器平台提供资源管理与编排、集群管理、镜像仓库、应用管理、持续集成、网关及基础账号体系等能力，支持统一图形化管理界面、多集群管理与联邦集群、应用商店、用户体系（LDAP/OIDC）、租户管理及资源配额、审计信息等功能。</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（1）集群管理：监控集群节点状态、资源使用率（CPU、内存、存储），及时处理节点异常，支持节点扩缩容。</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（2）应用管理：保障容器应用生命周期管理（部署、更新、回滚、扩缩容）功能正常，健康检查、实例启停操作可用。</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（3）镜像仓库管理：保障镜像仓库运行正常，镜像上传、下载、版本管理可用。</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（4）编排配置管理：对 Dockerfile、编排配置（YAML）、环境变量、参数配置、健康检查配置等进行版本管理，变更可追溯、可回滚。</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（5）存储卷管理：保障容器持久化存储卷（文件上传目录、临时文件、日志文件）数据完整，定期备份并开展恢复演练。</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（6）监控告警：将容器平台运行状态、资源使用、进程服务、系统日志核查纳入日巡检、周排查、月复盘，异常及时告警处置。</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（7）安全要求：开展容器镜像安全扫描，访问权限最小化管控，操作审计留痕。</w:t>
      </w:r>
      <w:r>
        <w:rPr>
          <w:color w:val="auto"/>
          <w:highlight w:val="none"/>
        </w:rPr>
      </w:r>
      <w:r/>
    </w:p>
    <w:p>
      <w:pPr>
        <w:ind w:firstLine="482"/>
        <w:spacing w:line="360" w:lineRule="auto"/>
        <w:tabs>
          <w:tab w:val="left" w:pos="3072" w:leader="none"/>
        </w:tabs>
        <w:rPr>
          <w:rFonts w:hint="eastAsia" w:ascii="宋体" w:hAnsi="宋体" w:cs="宋体"/>
          <w:b/>
          <w:color w:val="auto"/>
          <w:highlight w:val="none"/>
        </w:rPr>
        <w:outlineLvl w:val="1"/>
      </w:pPr>
      <w:r>
        <w:rPr>
          <w:rFonts w:hint="eastAsia" w:ascii="宋体" w:hAnsi="宋体" w:cs="宋体"/>
          <w:b/>
          <w:color w:val="auto"/>
          <w:highlight w:val="none"/>
        </w:rPr>
        <w:t xml:space="preserve">2.网关运维要求</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网关管理端设置两类角色：网关管理员（网关配置与管理权限）、系统管理员（平台权限），运维账号分级授权、最小权限。</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（1）应用管理：维护后端应用及实例信息（主机、端口、权重），实例启停操作可用。</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（2）路由管理：维护对外路径与后端服务映射关系配置正确，路由发布后生效。</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（3）渠道管理：维护外部接入渠道身份与密钥，渠道授权到指定路由，密钥安全分发。</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（4）限流管理：按 IP、用户或接口配置限流规则（令牌桶容量与速率），规则发布后生效。</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（5）熔断管理：按异常比例或慢调用配置熔断规则，保护后端服务。</w:t>
      </w:r>
      <w:r>
        <w:rPr>
          <w:color w:val="auto"/>
          <w:highlight w:val="none"/>
        </w:rPr>
      </w:r>
      <w:r/>
    </w:p>
    <w:p>
      <w:pPr>
        <w:pStyle w:val="885"/>
        <w:ind w:firstLine="420"/>
        <w:spacing w:line="360" w:lineRule="auto"/>
        <w:rPr>
          <w:rFonts w:hint="eastAsia" w:cs="宋体"/>
          <w:color w:val="auto"/>
          <w:highlight w:val="none"/>
        </w:rPr>
      </w:pPr>
      <w:r>
        <w:rPr>
          <w:rFonts w:hint="eastAsia" w:cs="宋体"/>
          <w:color w:val="auto"/>
          <w:highlight w:val="none"/>
          <w:lang w:eastAsia="zh-CN"/>
        </w:rPr>
        <w:t xml:space="preserve">（6）访问日志：保障所有经过网关的请求异步入库记录（渠道、用户、请求/响应时间、状态、耗时、参数、响应结果），支持查询、明细查看、批量删除。</w:t>
      </w:r>
      <w:r>
        <w:rPr>
          <w:color w:val="auto"/>
          <w:highlight w:val="none"/>
        </w:rPr>
      </w:r>
      <w:r/>
    </w:p>
    <w:p>
      <w:pPr>
        <w:ind w:firstLine="482"/>
        <w:spacing w:line="360" w:lineRule="auto"/>
        <w:tabs>
          <w:tab w:val="left" w:pos="3072" w:leader="none"/>
        </w:tabs>
        <w:rPr>
          <w:rFonts w:hint="eastAsia" w:ascii="宋体" w:hAnsi="宋体" w:cs="宋体"/>
          <w:b/>
          <w:color w:val="auto"/>
          <w:highlight w:val="none"/>
        </w:rPr>
        <w:outlineLvl w:val="1"/>
      </w:pPr>
      <w:r>
        <w:rPr>
          <w:rFonts w:hint="eastAsia" w:ascii="宋体" w:hAnsi="宋体" w:cs="宋体"/>
          <w:b/>
          <w:color w:val="auto"/>
          <w:highlight w:val="none"/>
        </w:rPr>
        <w:t xml:space="preserve">3.运维工作要求</w:t>
      </w:r>
      <w:r>
        <w:rPr>
          <w:color w:val="auto"/>
          <w:highlight w:val="none"/>
        </w:rPr>
      </w:r>
      <w:r/>
    </w:p>
    <w:p>
      <w:pPr>
        <w:ind w:left="15" w:right="-34" w:firstLine="619"/>
        <w:spacing w:line="360" w:lineRule="auto"/>
        <w:rPr>
          <w:rFonts w:hint="eastAsia" w:ascii="宋体" w:hAnsi="宋体" w:cs="宋体"/>
          <w:color w:val="auto"/>
          <w:highlight w:val="none"/>
        </w:rPr>
      </w:pPr>
      <w:r>
        <w:rPr>
          <w:rFonts w:hint="eastAsia" w:ascii="宋体" w:hAnsi="宋体"/>
          <w:color w:val="auto"/>
          <w:highlight w:val="none"/>
        </w:rPr>
        <w:t xml:space="preserve">（1）建立日巡检、周排查、月复盘三级巡检机制，覆盖操作系统、运行环境、数据库、业务模块、网关、数据接口等，提前排查风险隐患。</w:t>
      </w:r>
      <w:r>
        <w:rPr>
          <w:rFonts w:hint="eastAsia" w:ascii="宋体" w:hAnsi="宋体" w:cs="宋体"/>
          <w:color w:val="auto"/>
          <w:highlight w:val="none"/>
        </w:rPr>
        <w:t xml:space="preserve">1)每日巡检：核查主机运行状态、监测主机资源使用情况、梳理进程服务以及核查系统日志；核查各模块功能运行、数据更新、资源占用、进程服务、日志及系统配置、接口联动情况；排查系统报错、异常访问等情况；检查数据库存储空间使用</w:t>
      </w:r>
      <w:r>
        <w:rPr>
          <w:rFonts w:hint="eastAsia" w:ascii="宋体" w:hAnsi="宋体" w:cs="宋体"/>
          <w:color w:val="auto"/>
          <w:highlight w:val="none"/>
        </w:rPr>
        <w:t xml:space="preserve">率、监测数据库运行指标、检查数据同步状态、定时任务执行情况及确认备份任务执行情况。2)每周排查：完成系统补丁与更新、梳理修改账号权限、磁盘整理、进行端口管理、核查系统计划任务以及做好病毒入侵预防工作；清理无效文件、对各类组件进行优化及参数调整；核查业务数据准确性、完整性；汇总本周运行问题，完成轻微问题整改优化。3)每月复盘：检查程序及数据库备份策略、备份恢复测试、数据优化和无效数据清理；开展全系统全面巡检、性能测评；复盘月度故障问题、用户投诉、优化需求。根据巡检情况形成例行检查记录。如发现问题，应及时处理形</w:t>
      </w:r>
      <w:r>
        <w:rPr>
          <w:rFonts w:hint="eastAsia" w:ascii="宋体" w:hAnsi="宋体" w:cs="宋体"/>
          <w:color w:val="auto"/>
          <w:highlight w:val="none"/>
        </w:rPr>
        <w:t xml:space="preserve">成运维事件处置记录。</w:t>
      </w:r>
      <w:r>
        <w:rPr>
          <w:color w:val="auto"/>
          <w:highlight w:val="none"/>
        </w:rPr>
      </w:r>
      <w:r/>
    </w:p>
    <w:p>
      <w:pPr>
        <w:ind w:left="15" w:right="-34" w:firstLine="619"/>
        <w:spacing w:line="360" w:lineRule="auto"/>
        <w:rPr>
          <w:rFonts w:hint="eastAsia" w:ascii="宋体" w:hAnsi="宋体" w:cs="宋体"/>
          <w:color w:val="auto"/>
          <w:highlight w:val="none"/>
        </w:rPr>
      </w:pPr>
      <w:r>
        <w:rPr>
          <w:rFonts w:hint="eastAsia" w:ascii="宋体" w:hAnsi="宋体"/>
          <w:color w:val="auto"/>
          <w:highlight w:val="none"/>
        </w:rPr>
        <w:t xml:space="preserve">建立快速响应、分级处置、闭环整改的故障处置机制，明确故障分级标准和处置时限。</w:t>
      </w:r>
      <w:r>
        <w:rPr>
          <w:rFonts w:hint="eastAsia" w:ascii="宋体" w:hAnsi="宋体" w:cs="宋体"/>
          <w:color w:val="auto"/>
          <w:highlight w:val="none"/>
        </w:rPr>
        <w:t xml:space="preserve">1)故障分级：一级故障（重大故障）：平台整体宕机、核心模块瘫痪、批量数据异常泄露，立即启动应急预案，30 分钟内开始处置。二级故障（一般故障）：单个模块功能异常、局部页面卡顿、少量数据错误，1 小时内响应，2 小时内修复。三级故障（轻微故障）：页面展示瑕疵、个别操作卡顿、非核心数据偏差，4 小时内响应，当日完成修复。2)处置流程：故障发现→故障定级→响应处置→排查修复→测试验证→复盘总结，杜绝问题遗漏、重复发生。故障修复后形成运维事件处置记录和响应支持记录。</w:t>
      </w:r>
      <w:r>
        <w:rPr>
          <w:color w:val="auto"/>
          <w:highlight w:val="none"/>
        </w:rPr>
      </w:r>
      <w:r/>
    </w:p>
    <w:p>
      <w:pPr>
        <w:ind w:left="15" w:right="-34" w:firstLine="619"/>
        <w:spacing w:line="360" w:lineRule="auto"/>
        <w:rPr>
          <w:rFonts w:hint="eastAsia" w:ascii="宋体" w:hAnsi="宋体"/>
          <w:color w:val="auto"/>
          <w:highlight w:val="none"/>
        </w:rPr>
      </w:pPr>
      <w:r>
        <w:rPr>
          <w:rFonts w:hint="eastAsia" w:ascii="宋体" w:hAnsi="宋体"/>
          <w:color w:val="auto"/>
          <w:highlight w:val="none"/>
        </w:rPr>
        <w:t xml:space="preserve">（2）针对相关业务部门提出的业务调整和需求变更，中标供应商应具备开发能力，提供开发支持并及时完成开发。运维过程中，针对相关业务部门反馈的问题及系统运行出现的各类异常，中标供应商须及时响应、高效处置。开发及问题处置完成后</w:t>
      </w:r>
      <w:r>
        <w:rPr>
          <w:rFonts w:hint="eastAsia" w:ascii="宋体" w:hAnsi="宋体" w:cs="宋体"/>
          <w:color w:val="auto"/>
          <w:highlight w:val="none"/>
        </w:rPr>
        <w:t xml:space="preserve">形成运维事件处置记录和响应支持记录。</w:t>
      </w:r>
      <w:r>
        <w:rPr>
          <w:color w:val="auto"/>
          <w:highlight w:val="none"/>
        </w:rPr>
      </w:r>
      <w:r/>
    </w:p>
    <w:p>
      <w:pPr>
        <w:ind w:left="15" w:right="-34" w:firstLine="619"/>
        <w:spacing w:line="360" w:lineRule="auto"/>
        <w:rPr>
          <w:rFonts w:hint="eastAsia" w:ascii="宋体" w:hAnsi="宋体" w:cs="宋体"/>
          <w:color w:val="auto"/>
          <w:highlight w:val="none"/>
        </w:rPr>
      </w:pPr>
      <w:r>
        <w:rPr>
          <w:rFonts w:hint="eastAsia" w:ascii="宋体" w:hAnsi="宋体" w:cs="宋体"/>
          <w:color w:val="auto"/>
          <w:highlight w:val="none"/>
        </w:rPr>
        <w:t xml:space="preserve">（3）供应商需保证运维中使用的软件产品均为正版，保证采购人在使用时不涉及任何专利权、商标权、著作权或其他知识产权的法律责任。如果任何第三方提出侵权指控或赔偿要求，供应商需积极与第三方交涉，并承担发生的一切损失、费用和法律责任。</w:t>
      </w:r>
      <w:r>
        <w:rPr>
          <w:color w:val="auto"/>
          <w:highlight w:val="none"/>
        </w:rPr>
      </w:r>
      <w:r/>
    </w:p>
    <w:p>
      <w:pPr>
        <w:ind w:left="15" w:right="-34" w:firstLine="619"/>
        <w:spacing w:line="360" w:lineRule="auto"/>
        <w:rPr>
          <w:rFonts w:hint="eastAsia" w:ascii="宋体" w:hAnsi="宋体" w:cs="宋体"/>
          <w:color w:val="auto"/>
          <w:highlight w:val="none"/>
        </w:rPr>
      </w:pPr>
      <w:r>
        <w:rPr>
          <w:rFonts w:hint="eastAsia" w:ascii="宋体" w:hAnsi="宋体" w:cs="宋体"/>
          <w:color w:val="auto"/>
          <w:highlight w:val="none"/>
        </w:rPr>
        <w:t xml:space="preserve">（4）要求提供项目中产生的所有软件源代码（不含非项目中产生的平台性源代码），项目中产出的系统知识产权归采购人所有。</w:t>
      </w:r>
      <w:r>
        <w:rPr>
          <w:color w:val="auto"/>
          <w:highlight w:val="none"/>
        </w:rPr>
      </w:r>
      <w:r/>
    </w:p>
    <w:p>
      <w:pPr>
        <w:pStyle w:val="888"/>
        <w:ind w:left="15" w:right="-34" w:firstLine="619"/>
        <w:spacing w:line="360" w:lineRule="auto"/>
        <w:rPr>
          <w:color w:val="auto"/>
          <w:highlight w:val="none"/>
        </w:rPr>
      </w:pPr>
      <w:r>
        <w:rPr>
          <w:rFonts w:hint="eastAsia" w:ascii="宋体" w:hAnsi="宋体" w:cs="宋体"/>
          <w:color w:val="auto"/>
          <w:szCs w:val="21"/>
          <w:highlight w:val="none"/>
        </w:rPr>
        <w:t xml:space="preserve">（5）严格遵守南京市房地产市场交易中心相关保密规定，并签订保密协议。</w:t>
      </w:r>
      <w:r>
        <w:rPr>
          <w:color w:val="auto"/>
          <w:highlight w:val="none"/>
        </w:rPr>
      </w:r>
      <w:r/>
    </w:p>
    <w:p>
      <w:pPr>
        <w:ind w:firstLine="482"/>
        <w:spacing w:line="360" w:lineRule="auto"/>
        <w:tabs>
          <w:tab w:val="left" w:pos="3072" w:leader="none"/>
        </w:tabs>
        <w:rPr>
          <w:rFonts w:hint="eastAsia" w:ascii="宋体" w:hAnsi="宋体" w:cs="宋体"/>
          <w:b/>
          <w:color w:val="auto"/>
          <w:highlight w:val="none"/>
        </w:rPr>
        <w:outlineLvl w:val="1"/>
      </w:pPr>
      <w:r>
        <w:rPr>
          <w:rFonts w:hint="eastAsia" w:ascii="宋体" w:hAnsi="宋体" w:cs="宋体"/>
          <w:b/>
          <w:color w:val="auto"/>
          <w:highlight w:val="none"/>
        </w:rPr>
        <w:t xml:space="preserve">4.运维安全要求</w:t>
      </w:r>
      <w:r>
        <w:rPr>
          <w:color w:val="auto"/>
          <w:highlight w:val="none"/>
        </w:rPr>
      </w:r>
      <w:r/>
    </w:p>
    <w:p>
      <w:pPr>
        <w:ind w:left="15" w:right="-34" w:firstLine="619"/>
        <w:spacing w:line="360" w:lineRule="auto"/>
        <w:rPr>
          <w:rFonts w:hint="eastAsia" w:ascii="宋体" w:hAnsi="宋体"/>
          <w:color w:val="auto"/>
          <w:highlight w:val="none"/>
        </w:rPr>
      </w:pPr>
      <w:r>
        <w:rPr>
          <w:rFonts w:hint="eastAsia" w:ascii="宋体" w:hAnsi="宋体"/>
          <w:color w:val="auto"/>
          <w:highlight w:val="none"/>
        </w:rPr>
        <w:t xml:space="preserve">落实政务系统安全等级保护要求，构建全方位安全防护体系，保障平台安全稳定运行。1)日常安全防护：配合市、局网络安全防护部门展渗透测试，及时完成未授权访问、敏感信息泄露等安全漏洞修复；严控访问权限，杜绝非法访问、恶意入侵。2）权限管控：实行最小权限原则，分级分配管理员、操作员权限。完成相关工作后形成运维事件记录和响应支持记录。</w:t>
      </w:r>
      <w:r>
        <w:rPr>
          <w:color w:val="auto"/>
          <w:highlight w:val="none"/>
        </w:rPr>
      </w:r>
      <w:r/>
    </w:p>
    <w:p>
      <w:pPr>
        <w:ind w:firstLine="482"/>
        <w:spacing w:before="40" w:line="224" w:lineRule="auto"/>
        <w:rPr>
          <w:rFonts w:hint="eastAsia" w:ascii="宋体" w:hAnsi="宋体" w:cs="宋体"/>
          <w:b/>
          <w:iCs/>
          <w:color w:val="auto"/>
          <w:szCs w:val="21"/>
          <w:highlight w:val="none"/>
        </w:rPr>
        <w:outlineLvl w:val="1"/>
      </w:pPr>
      <w:r>
        <w:rPr>
          <w:rFonts w:hint="eastAsia" w:ascii="宋体" w:hAnsi="宋体" w:cs="宋体"/>
          <w:b/>
          <w:iCs/>
          <w:color w:val="auto"/>
          <w:szCs w:val="21"/>
          <w:highlight w:val="none"/>
        </w:rPr>
        <w:t xml:space="preserve">二、商务要求</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（1）对所列清单中的项目提供一年运维服务，在维护期内，非人为损坏的情况下，免费提供维护服务，保障项目安全稳定运行（运维服务期见项目清单）；</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（2）在服务期内，</w:t>
      </w:r>
      <w:r>
        <w:rPr>
          <w:rFonts w:ascii="宋体" w:hAnsi="宋体" w:cs="宋体"/>
          <w:color w:val="auto"/>
          <w:highlight w:val="none"/>
        </w:rPr>
        <w:t xml:space="preserve">提供免费的7*24小时电话</w:t>
      </w:r>
      <w:r>
        <w:rPr>
          <w:rFonts w:hint="eastAsia" w:ascii="宋体" w:hAnsi="宋体" w:cs="宋体"/>
          <w:color w:val="auto"/>
          <w:szCs w:val="21"/>
          <w:highlight w:val="none"/>
        </w:rPr>
        <w:t xml:space="preserve">、邮件及网络支持。紧急故障2小时内恢复，非紧急故障4小时内恢复，严重故障24小时内恢复，并及时有效地提供解决方案，必要时供应商应到达现场支持服务，</w:t>
      </w:r>
      <w:r>
        <w:rPr>
          <w:rFonts w:hint="eastAsia" w:ascii="宋体" w:hAnsi="宋体"/>
          <w:color w:val="auto"/>
          <w:sz w:val="22"/>
          <w:highlight w:val="none"/>
        </w:rPr>
        <w:t xml:space="preserve">费用均由供应商承担</w:t>
      </w:r>
      <w:r>
        <w:rPr>
          <w:rFonts w:hint="eastAsia" w:ascii="宋体" w:hAnsi="宋体" w:cs="宋体"/>
          <w:color w:val="auto"/>
          <w:szCs w:val="21"/>
          <w:highlight w:val="none"/>
        </w:rPr>
        <w:t xml:space="preserve">；</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（3）在服务期内，应及时响应</w:t>
      </w:r>
      <w:r>
        <w:rPr>
          <w:rFonts w:hint="eastAsia" w:ascii="宋体" w:hAnsi="宋体" w:cs="宋体"/>
          <w:color w:val="auto"/>
          <w:szCs w:val="21"/>
          <w:highlight w:val="none"/>
        </w:rPr>
        <w:t xml:space="preserve">采购人</w:t>
      </w:r>
      <w:r>
        <w:rPr>
          <w:rFonts w:hint="eastAsia" w:ascii="宋体" w:hAnsi="宋体" w:cs="宋体"/>
          <w:color w:val="auto"/>
          <w:szCs w:val="21"/>
          <w:highlight w:val="none"/>
        </w:rPr>
        <w:t xml:space="preserve">提出的各种技术咨询；</w:t>
      </w:r>
      <w:r>
        <w:rPr>
          <w:color w:val="auto"/>
          <w:highlight w:val="none"/>
        </w:rPr>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维护期内</w:t>
      </w:r>
      <w:r>
        <w:rPr>
          <w:rFonts w:hint="eastAsia" w:ascii="宋体" w:hAnsi="宋体" w:cs="宋体"/>
          <w:color w:val="auto"/>
          <w:highlight w:val="none"/>
        </w:rPr>
        <w:t xml:space="preserve">中标方</w:t>
      </w:r>
      <w:r>
        <w:rPr>
          <w:rFonts w:ascii="宋体" w:hAnsi="宋体" w:cs="宋体"/>
          <w:color w:val="auto"/>
          <w:highlight w:val="none"/>
        </w:rPr>
        <w:t xml:space="preserve">免费为</w:t>
      </w:r>
      <w:r>
        <w:rPr>
          <w:rFonts w:hint="eastAsia" w:ascii="宋体" w:hAnsi="宋体" w:cs="宋体"/>
          <w:color w:val="auto"/>
          <w:szCs w:val="21"/>
          <w:highlight w:val="none"/>
        </w:rPr>
        <w:t xml:space="preserve">采购人</w:t>
      </w:r>
      <w:r>
        <w:rPr>
          <w:rFonts w:ascii="宋体" w:hAnsi="宋体" w:cs="宋体"/>
          <w:color w:val="auto"/>
          <w:highlight w:val="none"/>
        </w:rPr>
        <w:t xml:space="preserve">的</w:t>
      </w:r>
      <w:r>
        <w:rPr>
          <w:rFonts w:hint="eastAsia" w:ascii="宋体" w:hAnsi="宋体" w:cs="宋体"/>
          <w:color w:val="auto"/>
          <w:highlight w:val="none"/>
        </w:rPr>
        <w:t xml:space="preserve">相关</w:t>
      </w:r>
      <w:r>
        <w:rPr>
          <w:rFonts w:ascii="宋体" w:hAnsi="宋体" w:cs="宋体"/>
          <w:color w:val="auto"/>
          <w:highlight w:val="none"/>
        </w:rPr>
        <w:t xml:space="preserve">人员进行相关操作培训</w:t>
      </w:r>
      <w:r>
        <w:rPr>
          <w:rFonts w:hint="eastAsia" w:ascii="宋体" w:hAnsi="宋体" w:cs="宋体"/>
          <w:color w:val="auto"/>
          <w:highlight w:val="none"/>
        </w:rPr>
        <w:t xml:space="preserve">； </w:t>
      </w:r>
      <w:r>
        <w:rPr>
          <w:color w:val="auto"/>
          <w:highlight w:val="none"/>
        </w:rPr>
      </w:r>
      <w:r/>
    </w:p>
    <w:p>
      <w:pPr>
        <w:ind w:right="-34" w:firstLine="480"/>
        <w:spacing w:line="360" w:lineRule="auto"/>
        <w:rPr>
          <w:color w:val="auto"/>
          <w:highlight w:val="none"/>
        </w:rPr>
      </w:pPr>
      <w:r>
        <w:rPr>
          <w:rFonts w:hint="eastAsia" w:ascii="宋体" w:hAnsi="宋体" w:cs="宋体"/>
          <w:color w:val="auto"/>
          <w:szCs w:val="21"/>
          <w:highlight w:val="none"/>
        </w:rPr>
        <w:t xml:space="preserve">（5）每月根据实际运维情况应向采购人提交</w:t>
      </w:r>
      <w:r>
        <w:rPr>
          <w:rFonts w:hint="eastAsia" w:ascii="宋体" w:hAnsi="宋体" w:cs="宋体"/>
          <w:color w:val="auto"/>
          <w:highlight w:val="none"/>
        </w:rPr>
        <w:t xml:space="preserve">例行检查记录，</w:t>
      </w:r>
      <w:r>
        <w:rPr>
          <w:rFonts w:hint="eastAsia" w:ascii="宋体" w:hAnsi="宋体" w:cs="宋体"/>
          <w:color w:val="auto"/>
          <w:szCs w:val="21"/>
          <w:highlight w:val="none"/>
        </w:rPr>
        <w:t xml:space="preserve">服务协议结束时，应向采购人提交</w:t>
      </w:r>
      <w:r>
        <w:rPr>
          <w:rFonts w:hint="eastAsia" w:ascii="宋体" w:hAnsi="宋体" w:cs="宋体"/>
          <w:color w:val="auto"/>
          <w:highlight w:val="none"/>
        </w:rPr>
        <w:t xml:space="preserve">运维事件处置记录、响应支持记录和运维总结报告。</w:t>
      </w:r>
      <w:r>
        <w:rPr>
          <w:color w:val="auto"/>
          <w:highlight w:val="none"/>
        </w:rPr>
      </w:r>
      <w:r/>
    </w:p>
    <w:p>
      <w:pPr>
        <w:ind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w:t>
      </w:r>
      <w:r>
        <w:rPr>
          <w:rFonts w:ascii="宋体" w:hAnsi="宋体"/>
          <w:b/>
          <w:bCs/>
          <w:color w:val="auto"/>
          <w:szCs w:val="21"/>
          <w:highlight w:val="none"/>
        </w:rPr>
        <w:t xml:space="preserve">总体要求</w:t>
      </w:r>
      <w:r>
        <w:rPr>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（1）合同签订之后供应商在1</w:t>
      </w:r>
      <w:r>
        <w:rPr>
          <w:rFonts w:ascii="宋体" w:hAnsi="宋体"/>
          <w:color w:val="auto"/>
          <w:szCs w:val="21"/>
          <w:highlight w:val="none"/>
        </w:rPr>
        <w:t xml:space="preserve">个工作日内完成服务团队的建设并开展日常运维工作，且服务团队人员不得少于3人。</w:t>
      </w:r>
      <w:r>
        <w:rPr>
          <w:rFonts w:hint="eastAsia" w:ascii="宋体" w:hAnsi="宋体"/>
          <w:color w:val="auto"/>
          <w:szCs w:val="21"/>
          <w:highlight w:val="none"/>
        </w:rPr>
        <w:t xml:space="preserve">乙方更换服务团队人员的，应当经过甲方书面确认同意，否则乙方不得擅自变更服务团队成员。</w:t>
      </w:r>
      <w:r>
        <w:rPr>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（2）在项目实施阶段按照标准开发规范建立规范、完整的维护服务文档。运维服务过程中发生需求变更、设计调整等情况时，要有规范的、可回溯的记录文档。产品和所有技术文档要具有严格的一致性。</w:t>
      </w:r>
      <w:r>
        <w:rPr>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因供应商安全措施不力造成的事故责任、或者其他工作失误，产生的一切责任由供应商承担。</w:t>
      </w:r>
      <w:r>
        <w:rPr>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因供应商投入人员过少，造成无法在承诺工期内完成服务，产生的一切责任由供应商承担。</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第六条 服务时间</w:t>
      </w:r>
      <w:r>
        <w:rPr>
          <w:color w:val="auto"/>
          <w:highlight w:val="none"/>
        </w:rPr>
      </w:r>
      <w:r/>
    </w:p>
    <w:p>
      <w:pPr>
        <w:ind w:firstLine="480"/>
        <w:spacing w:line="360" w:lineRule="auto"/>
        <w:rPr>
          <w:rFonts w:hint="eastAsia" w:ascii="宋体" w:hAnsi="宋体" w:cs="宋体"/>
          <w:bCs/>
          <w:color w:val="auto"/>
          <w:szCs w:val="21"/>
          <w:highlight w:val="none"/>
        </w:rPr>
        <w:outlineLvl w:val="3"/>
      </w:pPr>
      <w:r>
        <w:rPr>
          <w:rFonts w:hint="eastAsia" w:ascii="宋体" w:hAnsi="宋体" w:cs="宋体"/>
          <w:bCs/>
          <w:color w:val="auto"/>
          <w:szCs w:val="21"/>
          <w:highlight w:val="none"/>
        </w:rPr>
        <w:t xml:space="preserve">服务期限：</w:t>
      </w:r>
      <w:r>
        <w:rPr>
          <w:rFonts w:hint="eastAsia" w:ascii="宋体" w:hAnsi="宋体" w:cs="宋体"/>
          <w:b/>
          <w:color w:val="auto"/>
          <w:szCs w:val="21"/>
          <w:highlight w:val="none"/>
        </w:rPr>
        <w:t xml:space="preserve">一年，具体服务期见项目清单。</w:t>
      </w:r>
      <w:r>
        <w:rPr>
          <w:rFonts w:hint="eastAsia" w:ascii="宋体" w:hAnsi="宋体" w:cs="宋体"/>
          <w:bCs/>
          <w:color w:val="auto"/>
          <w:szCs w:val="21"/>
          <w:highlight w:val="none"/>
        </w:rPr>
        <w:t xml:space="preserve">合同履行过程中，采购人有权终止续签。</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当出现以下因素时，甲方有权随时终止合同，乙方不得以任何理由提出索赔要求：1、因乙方原因发生安全事故；2、乙方不服从采购人正常任务安排，造成工作延误；3、乙方未按照中标承诺要求配备相应设备和人员；4、乙方未经甲方同意不得分包，如发现中标单位擅自分包或转包，甲方有权单方解除合同。</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第七条 交货和验收</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、乙方提供的服务应当完全符合本合同或者招投标文件所规定的服务和</w:t>
      </w:r>
      <w:r>
        <w:rPr>
          <w:rFonts w:hint="eastAsia" w:ascii="宋体" w:hAnsi="宋体" w:cs="宋体"/>
          <w:color w:val="auto"/>
          <w:spacing w:val="-7"/>
          <w:szCs w:val="21"/>
          <w:highlight w:val="none"/>
          <w:lang w:val="zh-CN" w:bidi="zh-CN"/>
        </w:rPr>
        <w:t xml:space="preserve">要求。乙方提供的服务不符合招投标文件和合同规定的，甲方有权拒绝验收，由此引</w:t>
      </w:r>
      <w:r>
        <w:rPr>
          <w:rFonts w:hint="eastAsia" w:ascii="宋体" w:hAnsi="宋体" w:cs="宋体"/>
          <w:color w:val="auto"/>
          <w:szCs w:val="21"/>
          <w:highlight w:val="none"/>
          <w:lang w:val="zh-CN" w:bidi="zh-CN"/>
        </w:rPr>
        <w:t xml:space="preserve">起的风险，由乙方承担。</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lang w:val="zh-CN" w:bidi="zh-CN"/>
        </w:rPr>
        <w:t xml:space="preserve">、服务验收标准：按行业通行标准和乙方投标文件的承诺（不低于国家相关标准）。</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第八条 伴随服务／售后服务</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pacing w:val="-14"/>
          <w:szCs w:val="21"/>
          <w:highlight w:val="none"/>
          <w:lang w:val="zh-CN" w:bidi="zh-CN"/>
        </w:rPr>
        <w:t xml:space="preserve">、乙方应按照国家有关法律法规规章和“三包”规定以及招投标文件所规定的“服</w:t>
      </w:r>
      <w:r>
        <w:rPr>
          <w:rFonts w:hint="eastAsia" w:ascii="宋体" w:hAnsi="宋体" w:cs="宋体"/>
          <w:color w:val="auto"/>
          <w:szCs w:val="21"/>
          <w:highlight w:val="none"/>
          <w:lang w:val="zh-CN" w:bidi="zh-CN"/>
        </w:rPr>
        <w:t xml:space="preserve">务承诺”提供服务。2、除前款规定外，乙方还应提供下列服务：</w:t>
      </w:r>
      <w:r>
        <w:rPr>
          <w:color w:val="auto"/>
          <w:highlight w:val="none"/>
        </w:rPr>
      </w:r>
      <w:r/>
    </w:p>
    <w:p>
      <w:pPr>
        <w:numPr>
          <w:ilvl w:val="0"/>
          <w:numId w:val="9"/>
        </w:numPr>
        <w:ind w:left="0" w:firstLine="2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服务的启动监督；</w:t>
      </w:r>
      <w:r>
        <w:rPr>
          <w:color w:val="auto"/>
          <w:highlight w:val="none"/>
        </w:rPr>
      </w:r>
      <w:r/>
    </w:p>
    <w:p>
      <w:pPr>
        <w:numPr>
          <w:ilvl w:val="0"/>
          <w:numId w:val="9"/>
        </w:numPr>
        <w:ind w:left="0" w:firstLine="2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对甲方人员必要的免费培训。</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第九条 合同款支付</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1、本合同项下所有款项均以人民币支付。</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2、本合同项下的采购资金由甲方自行支付，乙方向甲方开具发票。</w:t>
      </w:r>
      <w:r>
        <w:rPr>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3、付款条</w:t>
      </w:r>
      <w:r>
        <w:rPr>
          <w:rFonts w:hint="eastAsia" w:ascii="宋体" w:hAnsi="宋体" w:cs="宋体"/>
          <w:color w:val="auto"/>
          <w:szCs w:val="21"/>
          <w:highlight w:val="none"/>
          <w:lang w:val="zh-CN" w:bidi="zh-CN"/>
        </w:rPr>
        <w:t xml:space="preserve">件</w:t>
      </w:r>
      <w:r>
        <w:rPr>
          <w:rFonts w:hint="eastAsia" w:ascii="宋体" w:hAnsi="宋体"/>
          <w:color w:val="auto"/>
          <w:szCs w:val="21"/>
          <w:highlight w:val="none"/>
          <w:lang w:val="ja-JP"/>
        </w:rPr>
        <w:t xml:space="preserve">：</w:t>
      </w:r>
      <w:r>
        <w:rPr>
          <w:rFonts w:ascii="宋体" w:hAnsi="宋体"/>
          <w:color w:val="auto"/>
          <w:szCs w:val="21"/>
          <w:highlight w:val="none"/>
          <w:lang w:val="ja-JP"/>
        </w:rPr>
        <w:t xml:space="preserve">收到乙方合格增值税发票后，本合同签订后 15个工作日内，支付至7</w:t>
      </w:r>
      <w:r>
        <w:rPr>
          <w:rFonts w:hint="eastAsia" w:ascii="宋体" w:hAnsi="宋体"/>
          <w:color w:val="auto"/>
          <w:szCs w:val="21"/>
          <w:highlight w:val="none"/>
          <w:lang w:val="ja-JP"/>
        </w:rPr>
        <w:t xml:space="preserve">3</w:t>
      </w:r>
      <w:r>
        <w:rPr>
          <w:rFonts w:ascii="宋体" w:hAnsi="宋体"/>
          <w:color w:val="auto"/>
          <w:szCs w:val="21"/>
          <w:highlight w:val="none"/>
          <w:lang w:val="ja-JP"/>
        </w:rPr>
        <w:t xml:space="preserve">万元整（若合同金额不足7</w:t>
      </w:r>
      <w:r>
        <w:rPr>
          <w:rFonts w:hint="eastAsia" w:ascii="宋体" w:hAnsi="宋体"/>
          <w:color w:val="auto"/>
          <w:szCs w:val="21"/>
          <w:highlight w:val="none"/>
          <w:lang w:val="ja-JP"/>
        </w:rPr>
        <w:t xml:space="preserve">3</w:t>
      </w:r>
      <w:r>
        <w:rPr>
          <w:rFonts w:ascii="宋体" w:hAnsi="宋体"/>
          <w:color w:val="auto"/>
          <w:szCs w:val="21"/>
          <w:highlight w:val="none"/>
          <w:lang w:val="ja-JP"/>
        </w:rPr>
        <w:t xml:space="preserve">万，支付至</w:t>
      </w:r>
      <w:r>
        <w:rPr>
          <w:rFonts w:hint="eastAsia" w:ascii="宋体" w:hAnsi="宋体"/>
          <w:color w:val="auto"/>
          <w:szCs w:val="21"/>
          <w:highlight w:val="none"/>
          <w:lang w:val="ja-JP"/>
        </w:rPr>
        <w:t xml:space="preserve">80</w:t>
      </w:r>
      <w:r>
        <w:rPr>
          <w:rFonts w:ascii="宋体" w:hAnsi="宋体"/>
          <w:color w:val="auto"/>
          <w:szCs w:val="21"/>
          <w:highlight w:val="none"/>
          <w:lang w:val="ja-JP"/>
        </w:rPr>
        <w:t xml:space="preserve">%）。待服务期满并通过验收后</w:t>
      </w:r>
      <w:r>
        <w:rPr>
          <w:rFonts w:hint="eastAsia" w:ascii="宋体" w:hAnsi="宋体"/>
          <w:color w:val="auto"/>
          <w:szCs w:val="21"/>
          <w:highlight w:val="none"/>
          <w:lang w:val="ja-JP"/>
        </w:rPr>
        <w:t xml:space="preserve">15个工作日内</w:t>
      </w:r>
      <w:r>
        <w:rPr>
          <w:rFonts w:ascii="宋体" w:hAnsi="宋体"/>
          <w:color w:val="auto"/>
          <w:szCs w:val="21"/>
          <w:highlight w:val="none"/>
          <w:lang w:val="ja-JP"/>
        </w:rPr>
        <w:t xml:space="preserve">，支付尾款。</w:t>
      </w:r>
      <w:r>
        <w:rPr>
          <w:rFonts w:hint="eastAsia" w:ascii="宋体" w:hAnsi="宋体"/>
          <w:color w:val="auto"/>
          <w:szCs w:val="21"/>
          <w:highlight w:val="none"/>
          <w:lang w:val="ja-JP"/>
        </w:rPr>
        <w:t xml:space="preserve">具体付款时间以财政资金到账时间为准。</w:t>
      </w:r>
      <w:r>
        <w:rPr>
          <w:color w:val="auto"/>
          <w:highlight w:val="none"/>
        </w:rPr>
      </w:r>
      <w:r/>
    </w:p>
    <w:p>
      <w:pPr>
        <w:ind w:firstLine="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第十条 违约责任</w:t>
      </w:r>
      <w:r>
        <w:rPr>
          <w:rFonts w:hint="eastAsia" w:ascii="宋体" w:hAnsi="宋体" w:cs="宋体"/>
          <w:b/>
          <w:color w:val="auto"/>
          <w:szCs w:val="21"/>
          <w:highlight w:val="none"/>
        </w:rPr>
        <w:tab/>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1、甲方无正当理由拒收服务验收、拒付服务款的，由甲方向乙方偿付合同总价的5%违约金。</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w:t>
      </w:r>
      <w:r>
        <w:rPr>
          <w:rFonts w:hint="eastAsia" w:ascii="宋体" w:hAnsi="宋体" w:cs="宋体"/>
          <w:color w:val="auto"/>
          <w:spacing w:val="-3"/>
          <w:szCs w:val="21"/>
          <w:highlight w:val="none"/>
          <w:lang w:val="zh-CN" w:bidi="zh-CN"/>
        </w:rPr>
        <w:t xml:space="preserve">、甲方未按合同规定的期限向乙方支付服务费的，每逾期</w:t>
      </w:r>
      <w:r>
        <w:rPr>
          <w:rFonts w:hint="eastAsia" w:ascii="宋体" w:hAnsi="宋体" w:cs="宋体"/>
          <w:color w:val="auto"/>
          <w:szCs w:val="21"/>
          <w:highlight w:val="none"/>
          <w:lang w:val="zh-CN" w:bidi="zh-CN"/>
        </w:rPr>
        <w:t xml:space="preserve">1</w:t>
      </w:r>
      <w:r>
        <w:rPr>
          <w:rFonts w:hint="eastAsia" w:ascii="宋体" w:hAnsi="宋体" w:cs="宋体"/>
          <w:color w:val="auto"/>
          <w:spacing w:val="-9"/>
          <w:szCs w:val="21"/>
          <w:highlight w:val="none"/>
          <w:lang w:val="zh-CN" w:bidi="zh-CN"/>
        </w:rPr>
        <w:t xml:space="preserve">天甲方向乙方偿付欠款</w:t>
      </w:r>
      <w:r>
        <w:rPr>
          <w:rFonts w:hint="eastAsia" w:ascii="宋体" w:hAnsi="宋体" w:cs="宋体"/>
          <w:color w:val="auto"/>
          <w:spacing w:val="-15"/>
          <w:szCs w:val="21"/>
          <w:highlight w:val="none"/>
          <w:lang w:val="zh-CN" w:bidi="zh-CN"/>
        </w:rPr>
        <w:t xml:space="preserve">总额的 </w:t>
      </w:r>
      <w:r>
        <w:rPr>
          <w:rFonts w:hint="eastAsia" w:ascii="宋体" w:hAnsi="宋体" w:cs="宋体"/>
          <w:color w:val="auto"/>
          <w:szCs w:val="21"/>
          <w:highlight w:val="none"/>
          <w:lang w:val="zh-CN" w:bidi="zh-CN"/>
        </w:rPr>
        <w:t xml:space="preserve">5‰</w:t>
      </w:r>
      <w:r>
        <w:rPr>
          <w:rFonts w:hint="eastAsia" w:ascii="宋体" w:hAnsi="宋体" w:cs="宋体"/>
          <w:color w:val="auto"/>
          <w:spacing w:val="-3"/>
          <w:szCs w:val="21"/>
          <w:highlight w:val="none"/>
          <w:lang w:val="zh-CN" w:bidi="zh-CN"/>
        </w:rPr>
        <w:t xml:space="preserve">滞纳金，但累计滞纳金总额不超过欠款总额的</w:t>
      </w:r>
      <w:r>
        <w:rPr>
          <w:rFonts w:hint="eastAsia" w:ascii="宋体" w:hAnsi="宋体" w:cs="宋体"/>
          <w:color w:val="auto"/>
          <w:szCs w:val="21"/>
          <w:highlight w:val="none"/>
          <w:lang w:val="zh-CN" w:bidi="zh-CN"/>
        </w:rPr>
        <w:t xml:space="preserve">5%。</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3、如乙方不能交付服务的或者提供的服务不符合磋商文件、乙方的响应文件以及法律法规规定的，乙方应向甲方支付合同总价5%的违约金。</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4</w:t>
      </w:r>
      <w:r>
        <w:rPr>
          <w:rFonts w:hint="eastAsia" w:ascii="宋体" w:hAnsi="宋体" w:cs="宋体"/>
          <w:color w:val="auto"/>
          <w:spacing w:val="-13"/>
          <w:szCs w:val="21"/>
          <w:highlight w:val="none"/>
          <w:lang w:val="zh-CN" w:bidi="zh-CN"/>
        </w:rPr>
        <w:t xml:space="preserve">、乙方逾期交付的，每逾期</w:t>
      </w:r>
      <w:r>
        <w:rPr>
          <w:rFonts w:hint="eastAsia" w:ascii="宋体" w:hAnsi="宋体" w:cs="宋体"/>
          <w:color w:val="auto"/>
          <w:szCs w:val="21"/>
          <w:highlight w:val="none"/>
          <w:lang w:val="zh-CN" w:bidi="zh-CN"/>
        </w:rPr>
        <w:t xml:space="preserve">1</w:t>
      </w:r>
      <w:r>
        <w:rPr>
          <w:rFonts w:hint="eastAsia" w:ascii="宋体" w:hAnsi="宋体" w:cs="宋体"/>
          <w:color w:val="auto"/>
          <w:spacing w:val="-14"/>
          <w:szCs w:val="21"/>
          <w:highlight w:val="none"/>
          <w:lang w:val="zh-CN" w:bidi="zh-CN"/>
        </w:rPr>
        <w:t xml:space="preserve">天，乙方向甲方偿付合同总额的 </w:t>
      </w:r>
      <w:r>
        <w:rPr>
          <w:rFonts w:hint="eastAsia" w:ascii="宋体" w:hAnsi="宋体" w:cs="宋体"/>
          <w:color w:val="auto"/>
          <w:szCs w:val="21"/>
          <w:highlight w:val="none"/>
          <w:lang w:val="zh-CN" w:bidi="zh-CN"/>
        </w:rPr>
        <w:t xml:space="preserve">5‰</w:t>
      </w:r>
      <w:r>
        <w:rPr>
          <w:rFonts w:hint="eastAsia" w:ascii="宋体" w:hAnsi="宋体" w:cs="宋体"/>
          <w:color w:val="auto"/>
          <w:spacing w:val="-7"/>
          <w:szCs w:val="21"/>
          <w:highlight w:val="none"/>
          <w:lang w:val="zh-CN" w:bidi="zh-CN"/>
        </w:rPr>
        <w:t xml:space="preserve">的滞纳金。如乙</w:t>
      </w:r>
      <w:r>
        <w:rPr>
          <w:rFonts w:hint="eastAsia" w:ascii="宋体" w:hAnsi="宋体" w:cs="宋体"/>
          <w:color w:val="auto"/>
          <w:spacing w:val="-9"/>
          <w:szCs w:val="21"/>
          <w:highlight w:val="none"/>
          <w:lang w:val="zh-CN" w:bidi="zh-CN"/>
        </w:rPr>
        <w:t xml:space="preserve">方逾期交付达</w:t>
      </w:r>
      <w:r>
        <w:rPr>
          <w:rFonts w:hint="eastAsia" w:ascii="宋体" w:hAnsi="宋体" w:cs="宋体"/>
          <w:color w:val="auto"/>
          <w:szCs w:val="21"/>
          <w:highlight w:val="none"/>
          <w:lang w:val="zh-CN" w:bidi="zh-CN"/>
        </w:rPr>
        <w:t xml:space="preserve">10</w:t>
      </w:r>
      <w:r>
        <w:rPr>
          <w:rFonts w:hint="eastAsia" w:ascii="宋体" w:hAnsi="宋体" w:cs="宋体"/>
          <w:color w:val="auto"/>
          <w:spacing w:val="-8"/>
          <w:szCs w:val="21"/>
          <w:highlight w:val="none"/>
          <w:lang w:val="zh-CN" w:bidi="zh-CN"/>
        </w:rPr>
        <w:t xml:space="preserve">天，甲方有权解除合同，解除合同的通知自到达乙方时生效。</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5、乙方所交付的服务不符合合同规定的，甲方有权拒收。甲方</w:t>
      </w:r>
      <w:r>
        <w:rPr>
          <w:rFonts w:hint="eastAsia" w:ascii="宋体" w:hAnsi="宋体" w:cs="宋体"/>
          <w:color w:val="auto"/>
          <w:spacing w:val="-10"/>
          <w:szCs w:val="21"/>
          <w:highlight w:val="none"/>
          <w:lang w:val="zh-CN" w:bidi="zh-CN"/>
        </w:rPr>
        <w:t xml:space="preserve">拒收的，乙方应向甲方支付货款总额 </w:t>
      </w:r>
      <w:r>
        <w:rPr>
          <w:rFonts w:hint="eastAsia" w:ascii="宋体" w:hAnsi="宋体" w:cs="宋体"/>
          <w:color w:val="auto"/>
          <w:szCs w:val="21"/>
          <w:highlight w:val="none"/>
          <w:lang w:val="zh-CN" w:bidi="zh-CN"/>
        </w:rPr>
        <w:t xml:space="preserve">5%</w:t>
      </w:r>
      <w:r>
        <w:rPr>
          <w:rFonts w:hint="eastAsia" w:ascii="宋体" w:hAnsi="宋体" w:cs="宋体"/>
          <w:color w:val="auto"/>
          <w:spacing w:val="-10"/>
          <w:szCs w:val="21"/>
          <w:highlight w:val="none"/>
          <w:lang w:val="zh-CN" w:bidi="zh-CN"/>
        </w:rPr>
        <w:t xml:space="preserve">的违约金。甲方未拒收的，采购代理机构发现后</w:t>
      </w:r>
      <w:r>
        <w:rPr>
          <w:rFonts w:hint="eastAsia" w:ascii="宋体" w:hAnsi="宋体" w:cs="宋体"/>
          <w:color w:val="auto"/>
          <w:szCs w:val="21"/>
          <w:highlight w:val="none"/>
          <w:lang w:val="zh-CN" w:bidi="zh-CN"/>
        </w:rPr>
        <w:t xml:space="preserve">将向有关部门反映，并责成乙方按照采购结果提供服务。</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乙方提供的服务不符合磋商文件、乙方的响应文件以及法律法规规定的，甲方有权要求乙方整改，乙方未能整改完毕的，甲方有权单方解除合同，并要求乙方偿付合同总价的5%违约金。</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8、乙方在承担上述 3-5 款一项或多项违约责任后，仍应继续履行合同规定的义务（甲方解除合同的除外）。甲方未能及时追究乙方的任何一项违约责任并不表明甲方放弃追究乙方该项或其他违约责任。</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9、乙方投标属虚假承诺，或经权威部门监测提供的服务不能满足采购文件要求，</w:t>
      </w:r>
      <w:r>
        <w:rPr>
          <w:rFonts w:hint="eastAsia" w:ascii="宋体" w:hAnsi="宋体" w:cs="宋体"/>
          <w:color w:val="auto"/>
          <w:spacing w:val="-2"/>
          <w:szCs w:val="21"/>
          <w:highlight w:val="none"/>
          <w:lang w:val="zh-CN" w:bidi="zh-CN"/>
        </w:rPr>
        <w:t xml:space="preserve">或是由于乙方的过错造成合同无法继续履行的，乙方应向甲方支付不少于合同总价</w:t>
      </w:r>
      <w:r>
        <w:rPr>
          <w:rFonts w:hint="eastAsia" w:ascii="宋体" w:hAnsi="宋体" w:cs="宋体"/>
          <w:color w:val="auto"/>
          <w:spacing w:val="-6"/>
          <w:szCs w:val="21"/>
          <w:highlight w:val="none"/>
          <w:lang w:val="zh-CN" w:bidi="zh-CN"/>
        </w:rPr>
        <w:t xml:space="preserve">30%</w:t>
      </w:r>
      <w:r>
        <w:rPr>
          <w:rFonts w:hint="eastAsia" w:ascii="宋体" w:hAnsi="宋体" w:cs="宋体"/>
          <w:color w:val="auto"/>
          <w:szCs w:val="21"/>
          <w:highlight w:val="none"/>
          <w:lang w:val="zh-CN" w:bidi="zh-CN"/>
        </w:rPr>
        <w:t xml:space="preserve">赔偿金。</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第十一条 项目履约验收</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1、甲方有权对乙方项目实施执行过程及完成结果进行履约验收；</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2、甲方可以邀请参加本项目的其他供应商或者第三方机构参与验收，乙方应积极配合并响应；</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3、参与验收的供应商或者第三方机构的意见作为验收书的参考资料一并存档。</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第十二条 乙方网络安全责任和义务</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1、乙方管理技术团队要相对独立、团队人员为正式员工、有专门网络安全负责人。</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lang w:val="zh-CN" w:bidi="zh-CN"/>
        </w:rPr>
        <w:t xml:space="preserve">、乙方不得转包、分包合同任务;确需分包的，应报甲方同意并明确相应的网络安全责任和义务，同时不得将合同任务主体和关键部分分包。</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3</w:t>
      </w:r>
      <w:r>
        <w:rPr>
          <w:rFonts w:hint="eastAsia" w:ascii="宋体" w:hAnsi="宋体" w:cs="宋体"/>
          <w:color w:val="auto"/>
          <w:szCs w:val="21"/>
          <w:highlight w:val="none"/>
          <w:lang w:val="zh-CN" w:bidi="zh-CN"/>
        </w:rPr>
        <w:t xml:space="preserve">、项目中产生的政务数据、系统运行数据及收集的个人信息等数据资产归甲方所有。</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4</w:t>
      </w:r>
      <w:r>
        <w:rPr>
          <w:rFonts w:hint="eastAsia" w:ascii="宋体" w:hAnsi="宋体" w:cs="宋体"/>
          <w:color w:val="auto"/>
          <w:szCs w:val="21"/>
          <w:highlight w:val="none"/>
          <w:lang w:val="zh-CN" w:bidi="zh-CN"/>
        </w:rPr>
        <w:t xml:space="preserve">、乙方遵守收集、使用、存储、处理数据的相关要求。</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5</w:t>
      </w:r>
      <w:r>
        <w:rPr>
          <w:rFonts w:hint="eastAsia" w:ascii="宋体" w:hAnsi="宋体" w:cs="宋体"/>
          <w:color w:val="auto"/>
          <w:szCs w:val="21"/>
          <w:highlight w:val="none"/>
          <w:lang w:val="zh-CN" w:bidi="zh-CN"/>
        </w:rPr>
        <w:t xml:space="preserve">、乙方采取技术措施保证甲方对数据的访问、利用、支配。</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6</w:t>
      </w:r>
      <w:r>
        <w:rPr>
          <w:rFonts w:hint="eastAsia" w:ascii="宋体" w:hAnsi="宋体" w:cs="宋体"/>
          <w:color w:val="auto"/>
          <w:szCs w:val="21"/>
          <w:highlight w:val="none"/>
          <w:lang w:val="zh-CN" w:bidi="zh-CN"/>
        </w:rPr>
        <w:t xml:space="preserve">、乙方将政务数据与其他数据分开存储、处理。</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7</w:t>
      </w:r>
      <w:r>
        <w:rPr>
          <w:rFonts w:hint="eastAsia" w:ascii="宋体" w:hAnsi="宋体" w:cs="宋体"/>
          <w:color w:val="auto"/>
          <w:szCs w:val="21"/>
          <w:highlight w:val="none"/>
          <w:lang w:val="zh-CN" w:bidi="zh-CN"/>
        </w:rPr>
        <w:t xml:space="preserve">、乙方未经甲方同意不得变更数据用途、用法，不得访问、修改、公开、披露、利用、转让、销毁、私自留存或向第三方提供。</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8</w:t>
      </w:r>
      <w:r>
        <w:rPr>
          <w:rFonts w:hint="eastAsia" w:ascii="宋体" w:hAnsi="宋体" w:cs="宋体"/>
          <w:color w:val="auto"/>
          <w:szCs w:val="21"/>
          <w:highlight w:val="none"/>
          <w:lang w:val="zh-CN" w:bidi="zh-CN"/>
        </w:rPr>
        <w:t xml:space="preserve">、合同终止时乙方要按照甲方的要求及时处理数据。</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t xml:space="preserve">9</w:t>
      </w:r>
      <w:r>
        <w:rPr>
          <w:rFonts w:hint="eastAsia" w:ascii="宋体" w:hAnsi="宋体" w:cs="宋体"/>
          <w:color w:val="auto"/>
          <w:szCs w:val="21"/>
          <w:highlight w:val="none"/>
          <w:lang w:val="zh-CN" w:bidi="zh-CN"/>
        </w:rPr>
        <w:t xml:space="preserve">、乙方应当按照《数据安全法》《个人信息保护法》等法律法规及相关政策规定的要求，加强个人信息保护。</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lang w:bidi="zh-CN"/>
        </w:rPr>
        <w:t xml:space="preserve">0</w:t>
      </w:r>
      <w:r>
        <w:rPr>
          <w:rFonts w:hint="eastAsia" w:ascii="宋体" w:hAnsi="宋体" w:cs="宋体"/>
          <w:color w:val="auto"/>
          <w:szCs w:val="21"/>
          <w:highlight w:val="none"/>
          <w:lang w:val="zh-CN" w:bidi="zh-CN"/>
        </w:rPr>
        <w:t xml:space="preserve">、乙方严格按照规定采购相关产品和服务。</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、乙方建立健全网络和数据安全保护机制，发现重大问题按规定及时向甲方和相关部门报告。</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lang w:val="zh-CN" w:bidi="zh-CN"/>
        </w:rPr>
        <w:t xml:space="preserve">、乙方发生业务转型、合并重组、投资并购等重大事项或者管理技术团队人员发生重大变化 应提前向甲方报告。</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lang w:bidi="zh-CN"/>
        </w:rPr>
        <w:t xml:space="preserve">3</w:t>
      </w:r>
      <w:r>
        <w:rPr>
          <w:rFonts w:hint="eastAsia" w:ascii="宋体" w:hAnsi="宋体" w:cs="宋体"/>
          <w:color w:val="auto"/>
          <w:szCs w:val="21"/>
          <w:highlight w:val="none"/>
          <w:lang w:val="zh-CN" w:bidi="zh-CN"/>
        </w:rPr>
        <w:t xml:space="preserve">、乙方积极配合相关部门开展网络安全检查、测评、审计等监督管理工作，如若拒绝或不配合监管，承担相关追责。</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lang w:bidi="zh-CN"/>
        </w:rPr>
        <w:t xml:space="preserve">4</w:t>
      </w:r>
      <w:r>
        <w:rPr>
          <w:rFonts w:hint="eastAsia" w:ascii="宋体" w:hAnsi="宋体" w:cs="宋体"/>
          <w:color w:val="auto"/>
          <w:szCs w:val="21"/>
          <w:highlight w:val="none"/>
          <w:lang w:val="zh-CN" w:bidi="zh-CN"/>
        </w:rPr>
        <w:t xml:space="preserve">、乙方应如实完整提供外包网络安全管理情况，如若隐匿、瞒报，承担相关追责。</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lang w:bidi="zh-CN"/>
        </w:rPr>
        <w:t xml:space="preserve">5</w:t>
      </w:r>
      <w:r>
        <w:rPr>
          <w:rFonts w:hint="eastAsia" w:ascii="宋体" w:hAnsi="宋体" w:cs="宋体"/>
          <w:color w:val="auto"/>
          <w:szCs w:val="21"/>
          <w:highlight w:val="none"/>
          <w:lang w:val="zh-CN" w:bidi="zh-CN"/>
        </w:rPr>
        <w:t xml:space="preserve">、乙方如若违反网络安全相关条款，承担相关罚责。</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第十三条 合同的变更和终止</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w:t>
      </w:r>
      <w:r>
        <w:rPr>
          <w:rFonts w:hint="eastAsia" w:ascii="宋体" w:hAnsi="宋体" w:cs="宋体"/>
          <w:color w:val="auto"/>
          <w:spacing w:val="-11"/>
          <w:szCs w:val="21"/>
          <w:highlight w:val="none"/>
          <w:lang w:val="zh-CN" w:bidi="zh-CN"/>
        </w:rPr>
        <w:t xml:space="preserve">、本合同一经签订，甲乙双方不</w:t>
      </w:r>
      <w:r>
        <w:rPr>
          <w:rFonts w:hint="eastAsia" w:ascii="宋体" w:hAnsi="宋体" w:cs="宋体"/>
          <w:color w:val="auto"/>
          <w:szCs w:val="21"/>
          <w:highlight w:val="none"/>
          <w:lang w:val="zh-CN" w:bidi="zh-CN"/>
        </w:rPr>
        <w:t xml:space="preserve">得擅自变更、中止或终止合同。</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2、除发生法律规定的不能预见、不能避免并不能克服的客观情况外，甲乙双方不得放弃或拒绝履行合同。</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第十四条 合同的转让</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乙方不得擅自部分或全部转让其应履行的合同义务。</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第十五条 争议的解决</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1、因服务的质量问题发生争议的，应当邀请国家认可的质量检测机构对服务质量进行鉴定。符合标准的，鉴定费由甲方承担；不符合质量标准的，鉴定费由乙方承担。</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2、因履行本合同引起的或与本合同有关的争议，甲、乙双方应首先通过友好协商解决，如果协商不能解决争议，则采取以下第（1）种方式解决争议：</w:t>
      </w:r>
      <w:r>
        <w:rPr>
          <w:color w:val="auto"/>
          <w:highlight w:val="none"/>
        </w:rPr>
      </w:r>
      <w:r/>
    </w:p>
    <w:p>
      <w:pPr>
        <w:numPr>
          <w:ilvl w:val="0"/>
          <w:numId w:val="10"/>
        </w:numPr>
        <w:ind w:left="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向甲方所在地有管辖权的人民法院提起诉讼；</w:t>
      </w:r>
      <w:r>
        <w:rPr>
          <w:color w:val="auto"/>
          <w:highlight w:val="none"/>
        </w:rPr>
      </w:r>
      <w:r/>
    </w:p>
    <w:p>
      <w:pPr>
        <w:numPr>
          <w:ilvl w:val="0"/>
          <w:numId w:val="10"/>
        </w:numPr>
        <w:ind w:left="0" w:firstLine="416"/>
        <w:jc w:val="left"/>
        <w:spacing w:line="360" w:lineRule="auto"/>
        <w:rPr>
          <w:rFonts w:hint="eastAsia" w:ascii="宋体" w:hAnsi="宋体" w:cs="宋体"/>
          <w:color w:val="auto"/>
          <w:szCs w:val="21"/>
          <w:highlight w:val="none"/>
        </w:rPr>
      </w:pPr>
      <w:r>
        <w:rPr>
          <w:rFonts w:hint="eastAsia" w:ascii="宋体" w:hAnsi="宋体" w:cs="宋体"/>
          <w:color w:val="auto"/>
          <w:spacing w:val="-1"/>
          <w:szCs w:val="21"/>
          <w:highlight w:val="none"/>
          <w:lang w:val="zh-CN" w:bidi="zh-CN"/>
        </w:rPr>
        <w:t xml:space="preserve">向南京仲裁委员会按其仲裁规则申请仲裁。</w:t>
      </w:r>
      <w:r>
        <w:rPr>
          <w:rFonts w:hint="eastAsia" w:ascii="宋体" w:hAnsi="宋体" w:cs="宋体"/>
          <w:color w:val="auto"/>
          <w:spacing w:val="-5"/>
          <w:szCs w:val="21"/>
          <w:highlight w:val="none"/>
          <w:lang w:val="zh-CN" w:bidi="zh-CN"/>
        </w:rPr>
        <w:t xml:space="preserve">如没有约定，默认采取第 </w:t>
      </w:r>
      <w:r>
        <w:rPr>
          <w:rFonts w:hint="eastAsia" w:ascii="宋体" w:hAnsi="宋体" w:cs="宋体"/>
          <w:color w:val="auto"/>
          <w:szCs w:val="21"/>
          <w:highlight w:val="none"/>
          <w:lang w:val="zh-CN" w:bidi="zh-CN"/>
        </w:rPr>
        <w:t xml:space="preserve">2</w:t>
      </w:r>
      <w:r>
        <w:rPr>
          <w:rFonts w:hint="eastAsia" w:ascii="宋体" w:hAnsi="宋体" w:cs="宋体"/>
          <w:color w:val="auto"/>
          <w:spacing w:val="-8"/>
          <w:szCs w:val="21"/>
          <w:highlight w:val="none"/>
          <w:lang w:val="zh-CN" w:bidi="zh-CN"/>
        </w:rPr>
        <w:t xml:space="preserve"> 种方式解决争议。</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第十六条 诚实信用</w:t>
      </w:r>
      <w:r>
        <w:rPr>
          <w:color w:val="auto"/>
          <w:highlight w:val="none"/>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乙方应诚实信用，严格按照采购文件要求和投标承诺履行合同，不向甲方进行商业贿赂或者提供不正当利益。</w:t>
      </w:r>
      <w:r>
        <w:rPr>
          <w:color w:val="auto"/>
          <w:highlight w:val="none"/>
        </w:rPr>
      </w:r>
      <w:r/>
    </w:p>
    <w:p>
      <w:pPr>
        <w:ind w:firstLine="482"/>
        <w:spacing w:line="360" w:lineRule="auto"/>
        <w:rPr>
          <w:rFonts w:hint="eastAsia" w:ascii="宋体" w:hAnsi="宋体" w:cs="宋体"/>
          <w:b/>
          <w:color w:val="auto"/>
          <w:szCs w:val="21"/>
          <w:highlight w:val="none"/>
        </w:rPr>
        <w:outlineLvl w:val="3"/>
      </w:pPr>
      <w:r>
        <w:rPr>
          <w:rFonts w:hint="eastAsia" w:ascii="宋体" w:hAnsi="宋体" w:cs="宋体"/>
          <w:b/>
          <w:color w:val="auto"/>
          <w:szCs w:val="21"/>
          <w:highlight w:val="none"/>
        </w:rPr>
        <w:t xml:space="preserve">第十七条 合同生效及其他</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1、本合同自签订之日起生效。</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2、本合同一式肆份，甲乙双方各执贰份。</w:t>
      </w:r>
      <w:r>
        <w:rPr>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3、本合同应按照中华人民共和国的现行法律进行解释。</w:t>
      </w:r>
      <w:bookmarkEnd w:id="36"/>
      <w:r>
        <w:rPr>
          <w:color w:val="auto"/>
          <w:highlight w:val="none"/>
        </w:rPr>
      </w:r>
      <w:r/>
    </w:p>
    <w:p>
      <w:pPr>
        <w:ind w:firstLine="480"/>
        <w:rPr>
          <w:color w:val="auto"/>
          <w:highlight w:val="none"/>
        </w:rPr>
      </w:pPr>
      <w:r>
        <w:rPr>
          <w:color w:val="auto"/>
          <w:highlight w:val="none"/>
          <w:lang w:val="zh-CN"/>
        </w:rPr>
      </w:r>
      <w:r>
        <w:rPr>
          <w:color w:val="auto"/>
          <w:highlight w:val="none"/>
        </w:rPr>
      </w:r>
      <w:r/>
    </w:p>
    <w:p>
      <w:pPr>
        <w:pStyle w:val="918"/>
        <w:ind w:firstLine="0"/>
        <w:rPr>
          <w:color w:val="auto"/>
          <w:highlight w:val="none"/>
        </w:rPr>
      </w:pPr>
      <w:r>
        <w:rPr>
          <w:color w:val="auto"/>
          <w:highlight w:val="none"/>
          <w:lang w:val="zh-CN" w:eastAsia="zh-CN"/>
        </w:rPr>
      </w:r>
      <w:r>
        <w:rPr>
          <w:color w:val="auto"/>
          <w:highlight w:val="none"/>
        </w:rPr>
      </w:r>
      <w:r/>
    </w:p>
    <w:tbl>
      <w:tblPr>
        <w:tblStyle w:val="872"/>
        <w:tblW w:w="8633" w:type="dxa"/>
        <w:tblInd w:w="-108" w:type="dxa"/>
        <w:tblLayout w:type="fixed"/>
        <w:tblCellMar>
          <w:left w:w="0" w:type="dxa"/>
          <w:top w:w="0" w:type="dxa"/>
          <w:right w:w="0" w:type="dxa"/>
          <w:bottom w:w="0" w:type="dxa"/>
        </w:tblCellMar>
        <w:tblLook w:val="04A0" w:firstRow="1" w:lastRow="0" w:firstColumn="1" w:lastColumn="0" w:noHBand="0" w:noVBand="1"/>
      </w:tblPr>
      <w:tblGrid>
        <w:gridCol w:w="4560"/>
        <w:gridCol w:w="4073"/>
      </w:tblGrid>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left="535" w:firstLine="480"/>
              <w:spacing w:line="360" w:lineRule="auto"/>
              <w:rPr>
                <w:rFonts w:hint="eastAsia" w:ascii="宋体" w:hAnsi="宋体" w:cs="宋体"/>
                <w:color w:val="auto"/>
                <w:szCs w:val="21"/>
                <w:highlight w:val="none"/>
              </w:rPr>
            </w:pPr>
            <w:r>
              <w:rPr>
                <w:rFonts w:hint="eastAsia" w:ascii="宋体" w:hAnsi="宋体"/>
                <w:color w:val="auto"/>
                <w:szCs w:val="21"/>
                <w:highlight w:val="none"/>
                <w:lang w:val="zh-CN"/>
              </w:rPr>
              <w:t xml:space="preserve">甲方（采购人）</w:t>
            </w:r>
            <w:r>
              <w:rPr>
                <w:rFonts w:hint="eastAsia" w:ascii="宋体" w:hAnsi="宋体" w:cs="宋体"/>
                <w:color w:val="auto"/>
                <w:szCs w:val="21"/>
                <w:highlight w:val="none"/>
                <w:lang w:val="zh-CN"/>
              </w:rPr>
              <w:t xml:space="preserve">：（盖章）</w:t>
            </w:r>
            <w:r>
              <w:rPr>
                <w:color w:val="auto"/>
                <w:highlight w:val="none"/>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乙方（供应商）：（盖章）</w:t>
            </w:r>
            <w:r>
              <w:rPr>
                <w:color w:val="auto"/>
                <w:highlight w:val="none"/>
              </w:rPr>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w:t>
            </w:r>
            <w:r>
              <w:rPr>
                <w:color w:val="auto"/>
                <w:highlight w:val="none"/>
              </w:rPr>
            </w:r>
            <w:r/>
          </w:p>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w:t>
            </w:r>
            <w:r>
              <w:rPr>
                <w:color w:val="auto"/>
                <w:highlight w:val="none"/>
              </w:rPr>
            </w:r>
            <w:r/>
          </w:p>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电话：</w:t>
            </w:r>
            <w:r>
              <w:rPr>
                <w:color w:val="auto"/>
                <w:highlight w:val="none"/>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电话：</w:t>
            </w:r>
            <w:r>
              <w:rPr>
                <w:color w:val="auto"/>
                <w:highlight w:val="none"/>
              </w:rPr>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开户银行：</w:t>
            </w:r>
            <w:r>
              <w:rPr>
                <w:color w:val="auto"/>
                <w:highlight w:val="none"/>
              </w:rPr>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单位地址：</w:t>
            </w:r>
            <w:r>
              <w:rPr>
                <w:color w:val="auto"/>
                <w:highlight w:val="none"/>
              </w:rPr>
            </w:r>
            <w:r/>
          </w:p>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color w:val="auto"/>
                <w:highlight w:val="none"/>
              </w:rPr>
            </w:r>
            <w:r/>
          </w:p>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pStyle w:val="918"/>
              <w:ind w:firstLine="210"/>
              <w:rPr>
                <w:color w:val="auto"/>
                <w:highlight w:val="none"/>
              </w:rPr>
            </w:pPr>
            <w:r>
              <w:rPr>
                <w:color w:val="auto"/>
                <w:highlight w:val="none"/>
                <w:lang w:val="zh-CN"/>
              </w:rPr>
            </w:r>
            <w:r>
              <w:rPr>
                <w:color w:val="auto"/>
                <w:highlight w:val="none"/>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账号：</w:t>
            </w:r>
            <w:r>
              <w:rPr>
                <w:color w:val="auto"/>
                <w:highlight w:val="none"/>
              </w:rPr>
            </w:r>
            <w:r/>
          </w:p>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单位地址：</w:t>
            </w:r>
            <w:r>
              <w:rPr>
                <w:color w:val="auto"/>
                <w:highlight w:val="none"/>
              </w:rPr>
            </w:r>
            <w:r/>
          </w:p>
          <w:p>
            <w:pPr>
              <w:ind w:firstLine="53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color w:val="auto"/>
                <w:highlight w:val="none"/>
              </w:rPr>
            </w:r>
            <w:r/>
          </w:p>
          <w:p>
            <w:pPr>
              <w:pStyle w:val="918"/>
              <w:ind w:left="422" w:firstLine="109"/>
              <w:rPr>
                <w:color w:val="auto"/>
                <w:highlight w:val="none"/>
              </w:rPr>
            </w:pPr>
            <w:r>
              <w:rPr>
                <w:color w:val="auto"/>
                <w:highlight w:val="none"/>
                <w:lang w:val="zh-CN" w:eastAsia="zh-CN"/>
              </w:rPr>
            </w:r>
            <w:r>
              <w:rPr>
                <w:color w:val="auto"/>
                <w:highlight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r/>
    </w:p>
    <w:p>
      <w:pPr>
        <w:pStyle w:val="1319"/>
        <w:ind w:firstLine="0"/>
        <w:spacing w:line="312" w:lineRule="auto"/>
        <w:rPr>
          <w:rFonts w:hint="eastAsia" w:ascii="宋体" w:hAnsi="宋体" w:eastAsia="宋体" w:cs="宋体"/>
          <w:b/>
          <w:color w:val="auto"/>
          <w:szCs w:val="21"/>
          <w:highlight w:val="none"/>
        </w:rPr>
        <w:sectPr>
          <w:headerReference w:type="default" r:id="rId10"/>
          <w:footerReference w:type="default" r:id="rId12"/>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b/>
          <w:color w:val="auto"/>
          <w:szCs w:val="21"/>
          <w:highlight w:val="none"/>
        </w:rPr>
      </w:r>
      <w:r>
        <w:rPr>
          <w:color w:val="auto"/>
          <w:highlight w:val="none"/>
        </w:rPr>
      </w:r>
      <w:r/>
    </w:p>
    <w:p>
      <w:pPr>
        <w:pStyle w:val="932"/>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932"/>
        <w:ind w:left="735" w:firstLine="0"/>
        <w:jc w:val="center"/>
        <w:spacing w:line="720" w:lineRule="auto"/>
        <w:rPr>
          <w:rFonts w:hint="eastAsia" w:ascii="宋体" w:hAnsi="宋体" w:eastAsia="宋体" w:cs="宋体"/>
          <w:b/>
          <w:color w:val="auto"/>
          <w:sz w:val="32"/>
          <w:szCs w:val="32"/>
          <w:highlight w:val="none"/>
        </w:rPr>
        <w:outlineLvl w:val="0"/>
      </w:pPr>
      <w:r>
        <w:rPr>
          <w:color w:val="auto"/>
          <w:highlight w:val="none"/>
        </w:rPr>
      </w:r>
      <w:bookmarkStart w:id="37" w:name="_Toc4754"/>
      <w:r>
        <w:rPr>
          <w:color w:val="auto"/>
          <w:highlight w:val="none"/>
        </w:rPr>
      </w:r>
      <w:bookmarkStart w:id="38" w:name="_Toc18794"/>
      <w:r>
        <w:rPr>
          <w:rFonts w:hint="eastAsia" w:ascii="宋体" w:hAnsi="宋体" w:eastAsia="宋体" w:cs="宋体"/>
          <w:b/>
          <w:color w:val="auto"/>
          <w:sz w:val="32"/>
          <w:szCs w:val="32"/>
          <w:highlight w:val="none"/>
        </w:rPr>
        <w:t xml:space="preserve">第六章 </w:t>
      </w:r>
      <w:bookmarkEnd w:id="37"/>
      <w:r>
        <w:rPr>
          <w:rFonts w:hint="eastAsia" w:ascii="宋体" w:hAnsi="宋体" w:eastAsia="宋体" w:cs="宋体"/>
          <w:b/>
          <w:color w:val="auto"/>
          <w:sz w:val="32"/>
          <w:szCs w:val="32"/>
          <w:highlight w:val="none"/>
        </w:rPr>
        <w:t xml:space="preserve">竞争性磋商响应文件格式及附件</w:t>
      </w:r>
      <w:bookmarkEnd w:id="38"/>
      <w:r>
        <w:rPr>
          <w:color w:val="auto"/>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rPr>
          <w:color w:val="auto"/>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竞争性磋商响应文件</w:t>
      </w:r>
      <w:r>
        <w:rPr>
          <w:color w:val="auto"/>
          <w:highlight w:val="none"/>
        </w:rPr>
      </w:r>
      <w:r/>
    </w:p>
    <w:p>
      <w:pPr>
        <w:ind w:firstLine="370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rPr>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编号： </w:t>
      </w:r>
      <w:r>
        <w:rPr>
          <w:rFonts w:hint="eastAsia" w:ascii="宋体" w:hAnsi="宋体" w:eastAsia="宋体" w:cs="宋体"/>
          <w:b/>
          <w:color w:val="auto"/>
          <w:sz w:val="36"/>
          <w:highlight w:val="none"/>
          <w:u w:val="single"/>
        </w:rPr>
        <w:t xml:space="preserve">               </w:t>
      </w:r>
      <w:r>
        <w:rPr>
          <w:color w:val="auto"/>
          <w:highlight w:val="none"/>
        </w:rPr>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名称： </w:t>
      </w:r>
      <w:r>
        <w:rPr>
          <w:rFonts w:hint="eastAsia" w:ascii="宋体" w:hAnsi="宋体" w:eastAsia="宋体" w:cs="宋体"/>
          <w:b/>
          <w:color w:val="auto"/>
          <w:sz w:val="36"/>
          <w:highlight w:val="none"/>
          <w:u w:val="single"/>
        </w:rPr>
        <w:t xml:space="preserve">               </w:t>
      </w:r>
      <w:r>
        <w:rPr>
          <w:color w:val="auto"/>
          <w:highlight w:val="none"/>
        </w:rPr>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 ：</w:t>
      </w:r>
      <w:r>
        <w:rPr>
          <w:rFonts w:hint="eastAsia" w:ascii="宋体" w:hAnsi="宋体" w:eastAsia="宋体" w:cs="宋体"/>
          <w:b/>
          <w:color w:val="auto"/>
          <w:sz w:val="36"/>
          <w:highlight w:val="none"/>
          <w:u w:val="single"/>
        </w:rPr>
        <w:t xml:space="preserve">               </w:t>
      </w:r>
      <w:r>
        <w:rPr>
          <w:color w:val="auto"/>
          <w:highlight w:val="none"/>
        </w:rPr>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rPr>
          <w:color w:val="auto"/>
          <w:highlight w:val="none"/>
        </w:rPr>
      </w:r>
      <w:r/>
    </w:p>
    <w:p>
      <w:pPr>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rPr>
          <w:color w:val="auto"/>
          <w:highlight w:val="none"/>
        </w:rPr>
      </w:r>
      <w:r/>
    </w:p>
    <w:p>
      <w:pPr>
        <w:pStyle w:val="932"/>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rPr>
          <w:color w:val="auto"/>
          <w:highlight w:val="none"/>
        </w:rPr>
      </w:r>
      <w:r/>
    </w:p>
    <w:p>
      <w:pPr>
        <w:pStyle w:val="932"/>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rPr>
          <w:color w:val="auto"/>
          <w:highlight w:val="none"/>
        </w:rPr>
      </w:r>
      <w:r/>
    </w:p>
    <w:p>
      <w:pPr>
        <w:pStyle w:val="932"/>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rPr>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rPr>
          <w:color w:val="auto"/>
          <w:highlight w:val="none"/>
        </w:rPr>
      </w:r>
      <w:r/>
    </w:p>
    <w:p>
      <w:pPr>
        <w:ind w:left="6" w:right="21"/>
        <w:jc w:val="center"/>
        <w:spacing w:before="70"/>
        <w:rPr>
          <w:rFonts w:hint="eastAsia" w:ascii="宋体" w:hAnsi="宋体" w:eastAsia="宋体" w:cs="宋体"/>
          <w:b/>
          <w:color w:val="auto"/>
          <w:sz w:val="40"/>
          <w:szCs w:val="44"/>
          <w:highlight w:val="none"/>
        </w:rPr>
      </w:pPr>
      <w:r>
        <w:rPr>
          <w:color w:val="auto"/>
          <w:highlight w:val="none"/>
        </w:rPr>
      </w:r>
      <w:bookmarkStart w:id="39" w:name="评分索引表"/>
      <w:r>
        <w:rPr>
          <w:color w:val="auto"/>
          <w:highlight w:val="none"/>
        </w:rPr>
      </w:r>
      <w:bookmarkEnd w:id="39"/>
      <w:r>
        <w:rPr>
          <w:color w:val="auto"/>
          <w:highlight w:val="none"/>
        </w:rPr>
      </w:r>
      <w:bookmarkStart w:id="40" w:name="_bookmark6"/>
      <w:r>
        <w:rPr>
          <w:color w:val="auto"/>
          <w:highlight w:val="none"/>
        </w:rPr>
      </w:r>
      <w:bookmarkEnd w:id="40"/>
      <w:r>
        <w:rPr>
          <w:rFonts w:hint="eastAsia" w:ascii="宋体" w:hAnsi="宋体" w:eastAsia="宋体" w:cs="宋体"/>
          <w:b/>
          <w:color w:val="auto"/>
          <w:sz w:val="40"/>
          <w:szCs w:val="44"/>
          <w:highlight w:val="none"/>
        </w:rPr>
        <w:t xml:space="preserve">评分索引表</w:t>
      </w:r>
      <w:r>
        <w:rPr>
          <w:color w:val="auto"/>
          <w:highlight w:val="none"/>
        </w:rPr>
      </w:r>
      <w:r/>
    </w:p>
    <w:p>
      <w:pPr>
        <w:pStyle w:val="885"/>
        <w:ind w:firstLine="201"/>
        <w:spacing w:before="12"/>
        <w:rPr>
          <w:rFonts w:hint="eastAsia" w:eastAsia="宋体" w:cs="宋体"/>
          <w:b/>
          <w:color w:val="auto"/>
          <w:sz w:val="10"/>
          <w:highlight w:val="none"/>
        </w:rPr>
      </w:pPr>
      <w:r>
        <w:rPr>
          <w:rFonts w:hint="eastAsia" w:eastAsia="宋体" w:cs="宋体"/>
          <w:b/>
          <w:color w:val="auto"/>
          <w:sz w:val="10"/>
          <w:highlight w:val="none"/>
          <w:lang w:eastAsia="zh-CN"/>
        </w:rPr>
      </w:r>
      <w:r>
        <w:rPr>
          <w:color w:val="auto"/>
          <w:highlight w:val="none"/>
        </w:rPr>
      </w:r>
      <w:r/>
    </w:p>
    <w:tbl>
      <w:tblPr>
        <w:tblStyle w:val="872"/>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946"/>
              <w:jc w:val="center"/>
              <w:rPr>
                <w:rFonts w:hint="eastAsia"/>
                <w:b/>
                <w:color w:val="auto"/>
                <w:sz w:val="24"/>
                <w:szCs w:val="24"/>
                <w:highlight w:val="none"/>
              </w:rPr>
            </w:pPr>
            <w:r>
              <w:rPr>
                <w:rFonts w:hint="eastAsia"/>
                <w:b/>
                <w:color w:val="auto"/>
                <w:sz w:val="24"/>
                <w:szCs w:val="24"/>
                <w:highlight w:val="none"/>
              </w:rPr>
              <w:t xml:space="preserve">评分项目</w:t>
            </w:r>
            <w:r>
              <w:rPr>
                <w:color w:val="auto"/>
                <w:highlight w:val="none"/>
              </w:rPr>
            </w:r>
            <w:r/>
          </w:p>
        </w:tc>
        <w:tc>
          <w:tcPr>
            <w:tcW w:w="3570" w:type="dxa"/>
            <w:vAlign w:val="center"/>
            <w:textDirection w:val="lrTb"/>
            <w:noWrap w:val="false"/>
          </w:tcPr>
          <w:p>
            <w:pPr>
              <w:pStyle w:val="946"/>
              <w:jc w:val="center"/>
              <w:rPr>
                <w:rFonts w:hint="eastAsia"/>
                <w:b/>
                <w:color w:val="auto"/>
                <w:sz w:val="24"/>
                <w:szCs w:val="24"/>
                <w:highlight w:val="none"/>
              </w:rPr>
            </w:pPr>
            <w:r>
              <w:rPr>
                <w:rFonts w:hint="eastAsia"/>
                <w:b/>
                <w:color w:val="auto"/>
                <w:sz w:val="24"/>
                <w:szCs w:val="24"/>
                <w:highlight w:val="none"/>
              </w:rPr>
              <w:t xml:space="preserve">在投标文件中的页码位置</w:t>
            </w:r>
            <w:r>
              <w:rPr>
                <w:color w:val="auto"/>
                <w:highlight w:val="none"/>
              </w:rPr>
            </w:r>
            <w:r/>
          </w:p>
        </w:tc>
      </w:tr>
      <w:tr>
        <w:trPr>
          <w:jc w:val="center"/>
          <w:trHeight w:val="446"/>
        </w:trPr>
        <w:tc>
          <w:tcPr>
            <w:tcW w:w="56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c>
          <w:tcPr>
            <w:tcW w:w="35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r>
      <w:tr>
        <w:trPr>
          <w:jc w:val="center"/>
          <w:trHeight w:val="408"/>
        </w:trPr>
        <w:tc>
          <w:tcPr>
            <w:tcW w:w="56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c>
          <w:tcPr>
            <w:tcW w:w="35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r>
      <w:tr>
        <w:trPr>
          <w:jc w:val="center"/>
          <w:trHeight w:val="408"/>
        </w:trPr>
        <w:tc>
          <w:tcPr>
            <w:tcW w:w="56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c>
          <w:tcPr>
            <w:tcW w:w="35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r>
      <w:tr>
        <w:trPr>
          <w:jc w:val="center"/>
          <w:trHeight w:val="460"/>
        </w:trPr>
        <w:tc>
          <w:tcPr>
            <w:tcW w:w="5670" w:type="dxa"/>
            <w:vAlign w:val="center"/>
            <w:textDirection w:val="lrTb"/>
            <w:noWrap w:val="false"/>
          </w:tcPr>
          <w:p>
            <w:pPr>
              <w:pStyle w:val="946"/>
              <w:ind w:left="1968"/>
              <w:jc w:val="center"/>
              <w:rPr>
                <w:rFonts w:hint="eastAsia"/>
                <w:color w:val="auto"/>
                <w:sz w:val="24"/>
                <w:szCs w:val="24"/>
                <w:highlight w:val="none"/>
              </w:rPr>
            </w:pPr>
            <w:r>
              <w:rPr>
                <w:rFonts w:hint="eastAsia"/>
                <w:color w:val="auto"/>
                <w:sz w:val="24"/>
                <w:szCs w:val="24"/>
                <w:highlight w:val="none"/>
              </w:rPr>
              <w:t xml:space="preserve">行数不够，自行添加</w:t>
            </w:r>
            <w:r>
              <w:rPr>
                <w:color w:val="auto"/>
                <w:highlight w:val="none"/>
              </w:rPr>
            </w:r>
            <w:r/>
          </w:p>
        </w:tc>
        <w:tc>
          <w:tcPr>
            <w:tcW w:w="3570" w:type="dxa"/>
            <w:vAlign w:val="center"/>
            <w:textDirection w:val="lrTb"/>
            <w:noWrap w:val="false"/>
          </w:tcPr>
          <w:p>
            <w:pPr>
              <w:pStyle w:val="946"/>
              <w:jc w:val="center"/>
              <w:rPr>
                <w:rFonts w:hint="eastAsia"/>
                <w:color w:val="auto"/>
                <w:sz w:val="24"/>
                <w:szCs w:val="24"/>
                <w:highlight w:val="none"/>
              </w:rPr>
            </w:pPr>
            <w:r>
              <w:rPr>
                <w:rFonts w:hint="eastAsia"/>
                <w:color w:val="auto"/>
                <w:sz w:val="24"/>
                <w:szCs w:val="24"/>
                <w:highlight w:val="none"/>
              </w:rPr>
            </w:r>
            <w:r>
              <w:rPr>
                <w:color w:val="auto"/>
                <w:highlight w:val="none"/>
              </w:rPr>
            </w:r>
            <w:r/>
          </w:p>
        </w:tc>
      </w:tr>
    </w:tbl>
    <w:p>
      <w:pPr>
        <w:pStyle w:val="885"/>
        <w:ind w:left="0"/>
        <w:rPr>
          <w:rFonts w:hint="eastAsia" w:eastAsia="宋体" w:cs="宋体"/>
          <w:color w:val="auto"/>
          <w:sz w:val="24"/>
          <w:szCs w:val="24"/>
          <w:highlight w:val="none"/>
        </w:rPr>
      </w:pPr>
      <w:r>
        <w:rPr>
          <w:rFonts w:hint="eastAsia" w:eastAsia="宋体" w:cs="宋体"/>
          <w:color w:val="auto"/>
          <w:sz w:val="24"/>
          <w:szCs w:val="24"/>
          <w:highlight w:val="none"/>
          <w:lang w:eastAsia="zh-CN"/>
        </w:rPr>
        <w:t xml:space="preserve">注：建议投标供应商为《投标书》制作详细目录，并将该《评分索引表》放在投标书目录之前。</w:t>
      </w:r>
      <w:r>
        <w:rPr>
          <w:color w:val="auto"/>
          <w:highlight w:val="none"/>
        </w:rPr>
      </w:r>
      <w:r/>
    </w:p>
    <w:p>
      <w:pPr>
        <w:pStyle w:val="932"/>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rPr>
          <w:color w:val="auto"/>
          <w:highlight w:val="none"/>
        </w:rPr>
      </w:r>
      <w:r/>
    </w:p>
    <w:p>
      <w:pPr>
        <w:pStyle w:val="932"/>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rPr>
          <w:color w:val="auto"/>
          <w:highlight w:val="none"/>
        </w:rPr>
      </w:r>
      <w:r/>
    </w:p>
    <w:p>
      <w:pPr>
        <w:pStyle w:val="932"/>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6"/>
          <w:highlight w:val="none"/>
        </w:rPr>
        <w:br w:type="page" w:clear="all"/>
      </w:r>
      <w:r>
        <w:rPr>
          <w:color w:val="auto"/>
          <w:highlight w:val="none"/>
        </w:rPr>
      </w:r>
      <w:r/>
    </w:p>
    <w:p>
      <w:pPr>
        <w:ind w:firstLine="422"/>
        <w:spacing w:line="440" w:lineRule="exact"/>
        <w:rPr>
          <w:rFonts w:hint="eastAsia" w:ascii="宋体" w:hAnsi="宋体" w:eastAsia="宋体" w:cs="宋体"/>
          <w:b/>
          <w:color w:val="auto"/>
          <w:szCs w:val="21"/>
          <w:highlight w:val="none"/>
        </w:rPr>
      </w:pPr>
      <w:r>
        <w:rPr>
          <w:color w:val="auto"/>
          <w:highlight w:val="none"/>
        </w:rPr>
      </w:r>
      <w:bookmarkStart w:id="41" w:name="_Hlk35523136"/>
      <w:r>
        <w:rPr>
          <w:rFonts w:hint="eastAsia" w:ascii="宋体" w:hAnsi="宋体" w:eastAsia="宋体" w:cs="宋体"/>
          <w:b/>
          <w:color w:val="auto"/>
          <w:szCs w:val="21"/>
          <w:highlight w:val="none"/>
          <w:lang w:val="zh-CN"/>
        </w:rPr>
        <w:t xml:space="preserve">附件一、磋商申请及声明格式</w:t>
      </w:r>
      <w:r>
        <w:rPr>
          <w:color w:val="auto"/>
          <w:highlight w:val="none"/>
        </w:rPr>
      </w:r>
      <w:r/>
    </w:p>
    <w:p>
      <w:pPr>
        <w:ind w:firstLine="643"/>
        <w:jc w:val="center"/>
        <w:widowControl/>
        <w:rPr>
          <w:rFonts w:hint="eastAsia" w:ascii="宋体" w:hAnsi="宋体" w:eastAsia="宋体" w:cs="宋体"/>
          <w:b/>
          <w:bCs/>
          <w:color w:val="auto"/>
          <w:sz w:val="32"/>
          <w:szCs w:val="32"/>
          <w:highlight w:val="none"/>
        </w:rPr>
      </w:pPr>
      <w:r>
        <w:rPr>
          <w:color w:val="auto"/>
          <w:highlight w:val="none"/>
        </w:rPr>
      </w:r>
      <w:bookmarkStart w:id="42" w:name="_Toc518485136"/>
      <w:r>
        <w:rPr>
          <w:color w:val="auto"/>
          <w:highlight w:val="none"/>
        </w:rPr>
      </w:r>
      <w:bookmarkStart w:id="43" w:name="_Toc503948079"/>
      <w:r>
        <w:rPr>
          <w:color w:val="auto"/>
          <w:highlight w:val="none"/>
        </w:rPr>
      </w:r>
      <w:bookmarkStart w:id="44" w:name="_Toc503948586"/>
      <w:r>
        <w:rPr>
          <w:rFonts w:hint="eastAsia" w:ascii="宋体" w:hAnsi="宋体" w:eastAsia="宋体" w:cs="宋体"/>
          <w:b/>
          <w:bCs/>
          <w:color w:val="auto"/>
          <w:sz w:val="32"/>
          <w:szCs w:val="32"/>
          <w:highlight w:val="none"/>
          <w:lang w:val="zh-CN"/>
        </w:rPr>
        <w:t xml:space="preserve">磋商申请及声明</w:t>
      </w:r>
      <w:bookmarkEnd w:id="42"/>
      <w:r>
        <w:rPr>
          <w:color w:val="auto"/>
          <w:highlight w:val="none"/>
        </w:rPr>
      </w:r>
      <w:bookmarkEnd w:id="43"/>
      <w:r>
        <w:rPr>
          <w:color w:val="auto"/>
          <w:highlight w:val="none"/>
        </w:rPr>
      </w:r>
      <w:bookmarkEnd w:id="44"/>
      <w:r>
        <w:rPr>
          <w:color w:val="auto"/>
          <w:highlight w:val="none"/>
        </w:rPr>
      </w:r>
      <w:r/>
    </w:p>
    <w:p>
      <w:pPr>
        <w:spacing w:line="420" w:lineRule="exact"/>
        <w:rPr>
          <w:rFonts w:hint="eastAsia" w:ascii="宋体" w:hAnsi="宋体" w:eastAsia="宋体" w:cs="宋体"/>
          <w:color w:val="auto"/>
          <w:szCs w:val="21"/>
          <w:highlight w:val="none"/>
        </w:rPr>
        <w:outlineLvl w:val="0"/>
      </w:pPr>
      <w:r>
        <w:rPr>
          <w:color w:val="auto"/>
          <w:highlight w:val="none"/>
        </w:rPr>
      </w:r>
      <w:bookmarkStart w:id="45" w:name="_Toc518485137"/>
      <w:r>
        <w:rPr>
          <w:color w:val="auto"/>
          <w:highlight w:val="none"/>
        </w:rPr>
      </w:r>
      <w:bookmarkStart w:id="46" w:name="_Toc503948080"/>
      <w:r>
        <w:rPr>
          <w:color w:val="auto"/>
          <w:highlight w:val="none"/>
        </w:rPr>
      </w:r>
      <w:bookmarkStart w:id="47" w:name="_Toc503948587"/>
      <w:r>
        <w:rPr>
          <w:color w:val="auto"/>
          <w:highlight w:val="none"/>
        </w:rPr>
      </w:r>
      <w:bookmarkStart w:id="48" w:name="_Toc3111"/>
      <w:r>
        <w:rPr>
          <w:rFonts w:hint="eastAsia" w:ascii="宋体" w:hAnsi="宋体" w:eastAsia="宋体" w:cs="宋体"/>
          <w:color w:val="auto"/>
          <w:szCs w:val="21"/>
          <w:highlight w:val="none"/>
          <w:lang w:val="zh-CN"/>
        </w:rPr>
        <w:t xml:space="preserve">致：</w:t>
      </w:r>
      <w:bookmarkEnd w:id="45"/>
      <w:r>
        <w:rPr>
          <w:color w:val="auto"/>
          <w:highlight w:val="none"/>
        </w:rPr>
      </w:r>
      <w:bookmarkEnd w:id="46"/>
      <w:r>
        <w:rPr>
          <w:color w:val="auto"/>
          <w:highlight w:val="none"/>
        </w:rPr>
      </w:r>
      <w:bookmarkEnd w:id="47"/>
      <w:r>
        <w:rPr>
          <w:rFonts w:hint="eastAsia" w:ascii="宋体" w:hAnsi="宋体" w:eastAsia="宋体" w:cs="宋体"/>
          <w:color w:val="auto"/>
          <w:szCs w:val="21"/>
          <w:highlight w:val="none"/>
          <w:lang w:val="zh-CN"/>
        </w:rPr>
        <w:t xml:space="preserve"> 南京市房地产市场交易中心</w:t>
      </w:r>
      <w:bookmarkEnd w:id="48"/>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（项目名称） （项目编号）</w:t>
      </w:r>
      <w:r>
        <w:rPr>
          <w:rFonts w:hint="eastAsia" w:ascii="宋体" w:hAnsi="宋体" w:eastAsia="宋体" w:cs="宋体"/>
          <w:color w:val="auto"/>
          <w:szCs w:val="21"/>
          <w:highlight w:val="none"/>
          <w:lang w:val="zh-CN"/>
        </w:rPr>
        <w:t xml:space="preserve">磋商邀请，正式授权下述签字人</w:t>
      </w:r>
      <w:r>
        <w:rPr>
          <w:rFonts w:hint="eastAsia" w:ascii="宋体" w:hAnsi="宋体" w:eastAsia="宋体" w:cs="宋体"/>
          <w:color w:val="auto"/>
          <w:szCs w:val="21"/>
          <w:highlight w:val="none"/>
          <w:u w:val="single"/>
          <w:lang w:val="zh-CN"/>
        </w:rPr>
        <w:t xml:space="preserve">  (姓名和职务)</w:t>
      </w:r>
      <w:r>
        <w:rPr>
          <w:rFonts w:hint="eastAsia" w:ascii="宋体" w:hAnsi="宋体" w:eastAsia="宋体" w:cs="宋体"/>
          <w:color w:val="auto"/>
          <w:szCs w:val="21"/>
          <w:highlight w:val="none"/>
          <w:lang w:val="zh-CN"/>
        </w:rPr>
        <w:t xml:space="preserve">代表磋商供应商</w:t>
      </w:r>
      <w:r>
        <w:rPr>
          <w:rFonts w:hint="eastAsia" w:ascii="宋体" w:hAnsi="宋体" w:eastAsia="宋体" w:cs="宋体"/>
          <w:color w:val="auto"/>
          <w:szCs w:val="21"/>
          <w:highlight w:val="none"/>
          <w:u w:val="single"/>
          <w:lang w:val="zh-CN"/>
        </w:rPr>
        <w:t xml:space="preserve">   （磋商供应商名称）</w:t>
      </w:r>
      <w:r>
        <w:rPr>
          <w:rFonts w:hint="eastAsia" w:ascii="宋体" w:hAnsi="宋体" w:eastAsia="宋体" w:cs="宋体"/>
          <w:color w:val="auto"/>
          <w:szCs w:val="21"/>
          <w:highlight w:val="none"/>
          <w:lang w:val="zh-CN"/>
        </w:rPr>
        <w:t xml:space="preserve">，提交磋商响应文件。</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据此函，签字人兹宣布声明和承诺如下：</w:t>
      </w:r>
      <w:r>
        <w:rPr>
          <w:color w:val="auto"/>
          <w:highlight w:val="none"/>
        </w:rPr>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szCs w:val="21"/>
          <w:highlight w:val="none"/>
          <w:lang w:val="zh-CN"/>
        </w:rPr>
        <w:t xml:space="preserve">我们的资格条件完全符合政府采购法和本次磋商要求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同意并向贵方提供了与磋商有关的所有证据和资料。</w:t>
      </w:r>
      <w:r>
        <w:rPr>
          <w:color w:val="auto"/>
          <w:highlight w:val="none"/>
        </w:rPr>
      </w:r>
      <w:r/>
    </w:p>
    <w:p>
      <w:pPr>
        <w:ind w:left="420" w:hanging="21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2、按磋商要求，我们的磋商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（项目名称）报价：总价（大写）_____元人民币（小写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color w:val="auto"/>
          <w:highlight w:val="none"/>
        </w:rPr>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3、如果我方中标，将派出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作为本项目的负责人。</w:t>
      </w:r>
      <w:r>
        <w:rPr>
          <w:color w:val="auto"/>
          <w:highlight w:val="none"/>
        </w:rPr>
      </w:r>
      <w:r/>
    </w:p>
    <w:p>
      <w:pPr>
        <w:ind w:firstLine="420"/>
        <w:spacing w:line="4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4、一旦我方中标，我方保证合同履行期限为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、我们已详细审核全部磋商文件及其有效补充文件，我们放弃对磋商文件任何误解的权利，提交磋商文件后，</w:t>
      </w:r>
      <w:r>
        <w:rPr>
          <w:rFonts w:hint="eastAsia" w:ascii="宋体" w:hAnsi="宋体" w:eastAsia="宋体" w:cs="宋体"/>
          <w:b/>
          <w:color w:val="auto"/>
          <w:szCs w:val="21"/>
          <w:highlight w:val="none"/>
          <w:lang w:val="zh-CN"/>
        </w:rPr>
        <w:t xml:space="preserve">不对磋商文件本身提出质疑</w:t>
      </w:r>
      <w:r>
        <w:rPr>
          <w:rFonts w:hint="eastAsia" w:ascii="宋体" w:hAnsi="宋体" w:eastAsia="宋体" w:cs="宋体"/>
          <w:color w:val="auto"/>
          <w:szCs w:val="21"/>
          <w:highlight w:val="none"/>
          <w:lang w:val="zh-CN"/>
        </w:rPr>
        <w:t xml:space="preserve">。</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、我们同意从规定的磋商日期起遵循本磋商文件，并在规定的磋商有效期期满之前均具有约束力。</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、一旦我方中标，我方将根据磋商文件的规定严格履行合同，并保证于承诺的时间完成本项目规定的内容。</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、与本磋商有关的正式联系方式为：</w:t>
      </w:r>
      <w:r>
        <w:rPr>
          <w:color w:val="auto"/>
          <w:highlight w:val="none"/>
        </w:rPr>
      </w:r>
      <w:r/>
    </w:p>
    <w:p>
      <w:pPr>
        <w:ind w:firstLine="42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地址：                                          电话：</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传真：                                          开户银行：</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银行账号：</w:t>
      </w:r>
      <w:r>
        <w:rPr>
          <w:color w:val="auto"/>
          <w:highlight w:val="none"/>
        </w:rPr>
      </w:r>
      <w:r/>
    </w:p>
    <w:p>
      <w:pPr>
        <w:ind w:firstLine="42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磋商供应商名称（盖章）</w:t>
      </w:r>
      <w:r>
        <w:rPr>
          <w:rFonts w:hint="eastAsia" w:ascii="宋体" w:hAnsi="宋体" w:eastAsia="宋体" w:cs="宋体"/>
          <w:color w:val="auto"/>
          <w:szCs w:val="21"/>
          <w:highlight w:val="none"/>
          <w:lang w:val="zh-CN"/>
        </w:rPr>
        <w:t xml:space="preserve">:</w:t>
      </w:r>
      <w:r>
        <w:rPr>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年   月   日</w:t>
      </w:r>
      <w:r>
        <w:rPr>
          <w:color w:val="auto"/>
          <w:highlight w:val="none"/>
        </w:rPr>
      </w:r>
      <w:r/>
    </w:p>
    <w:p>
      <w:pPr>
        <w:pStyle w:val="918"/>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r>
      <w:r>
        <w:rPr>
          <w:color w:val="auto"/>
          <w:highlight w:val="none"/>
        </w:rPr>
      </w:r>
      <w:r/>
    </w:p>
    <w:p>
      <w:pPr>
        <w:pStyle w:val="918"/>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r>
      <w:r>
        <w:rPr>
          <w:color w:val="auto"/>
          <w:highlight w:val="none"/>
        </w:rPr>
      </w:r>
      <w:r/>
    </w:p>
    <w:p>
      <w:pPr>
        <w:pStyle w:val="918"/>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r>
      <w:bookmarkEnd w:id="41"/>
      <w:r>
        <w:rPr>
          <w:color w:val="auto"/>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附件二、法定代表人授权委托书格式</w:t>
      </w:r>
      <w:r>
        <w:rPr>
          <w:color w:val="auto"/>
          <w:highlight w:val="none"/>
        </w:rPr>
      </w:r>
      <w:r/>
    </w:p>
    <w:p>
      <w:pPr>
        <w:pStyle w:val="87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643"/>
        <w:jc w:val="center"/>
        <w:widowControl/>
        <w:rPr>
          <w:rFonts w:hint="eastAsia" w:ascii="宋体" w:hAnsi="宋体" w:eastAsia="宋体" w:cs="宋体"/>
          <w:b/>
          <w:bCs/>
          <w:color w:val="auto"/>
          <w:sz w:val="32"/>
          <w:szCs w:val="32"/>
          <w:highlight w:val="none"/>
        </w:rPr>
      </w:pPr>
      <w:r>
        <w:rPr>
          <w:color w:val="auto"/>
          <w:highlight w:val="none"/>
        </w:rPr>
      </w:r>
      <w:bookmarkStart w:id="49" w:name="_Toc518485138"/>
      <w:r>
        <w:rPr>
          <w:color w:val="auto"/>
          <w:highlight w:val="none"/>
        </w:rPr>
      </w:r>
      <w:bookmarkStart w:id="50" w:name="_Toc503948588"/>
      <w:r>
        <w:rPr>
          <w:color w:val="auto"/>
          <w:highlight w:val="none"/>
        </w:rPr>
      </w:r>
      <w:bookmarkStart w:id="51" w:name="_Toc503948081"/>
      <w:r>
        <w:rPr>
          <w:rFonts w:hint="eastAsia" w:ascii="宋体" w:hAnsi="宋体" w:eastAsia="宋体" w:cs="宋体"/>
          <w:b/>
          <w:bCs/>
          <w:color w:val="auto"/>
          <w:sz w:val="32"/>
          <w:szCs w:val="32"/>
          <w:highlight w:val="none"/>
          <w:lang w:val="zh-CN"/>
        </w:rPr>
        <w:t xml:space="preserve">法定代表人授权委托书</w:t>
      </w:r>
      <w:bookmarkEnd w:id="49"/>
      <w:r>
        <w:rPr>
          <w:color w:val="auto"/>
          <w:highlight w:val="none"/>
        </w:rPr>
      </w:r>
      <w:bookmarkEnd w:id="50"/>
      <w:r>
        <w:rPr>
          <w:color w:val="auto"/>
          <w:highlight w:val="none"/>
        </w:rPr>
      </w:r>
      <w:bookmarkEnd w:id="51"/>
      <w:r>
        <w:rPr>
          <w:color w:val="auto"/>
          <w:highlight w:val="none"/>
        </w:rPr>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南京市房地产市场交易中心</w:t>
      </w:r>
      <w:r>
        <w:rPr>
          <w:rFonts w:hint="eastAsia" w:ascii="宋体" w:hAnsi="宋体" w:eastAsia="宋体" w:cs="宋体"/>
          <w:color w:val="auto"/>
          <w:szCs w:val="21"/>
          <w:highlight w:val="none"/>
          <w:lang w:val="zh-CN"/>
        </w:rPr>
        <w:t xml:space="preserve">：</w:t>
      </w:r>
      <w:r>
        <w:rPr>
          <w:color w:val="auto"/>
          <w:highlight w:val="none"/>
        </w:rPr>
      </w:r>
      <w:r/>
    </w:p>
    <w:p>
      <w:pPr>
        <w:ind w:firstLine="420"/>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（磋商供应商代表姓名、职务）为本公司的合法代理人，就贵方组织的</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（项目名称）(项目编号:</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）磋商，以本公司名义处理一切与之有关的事务。</w:t>
      </w:r>
      <w:r>
        <w:rPr>
          <w:color w:val="auto"/>
          <w:highlight w:val="none"/>
        </w:rPr>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本授权书于    年  月  日签字生效，特此声明。</w:t>
      </w:r>
      <w:r>
        <w:rPr>
          <w:color w:val="auto"/>
          <w:highlight w:val="none"/>
        </w:rPr>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磋商供应商名称（盖章）</w:t>
      </w:r>
      <w:r>
        <w:rPr>
          <w:rFonts w:hint="eastAsia" w:ascii="宋体" w:hAnsi="宋体" w:eastAsia="宋体" w:cs="宋体"/>
          <w:color w:val="auto"/>
          <w:szCs w:val="21"/>
          <w:highlight w:val="none"/>
          <w:lang w:val="zh-CN"/>
        </w:rPr>
        <w:t xml:space="preserve">:</w:t>
      </w:r>
      <w:r>
        <w:rPr>
          <w:color w:val="auto"/>
          <w:highlight w:val="none"/>
        </w:rPr>
      </w:r>
      <w:r/>
    </w:p>
    <w:p>
      <w:pPr>
        <w:ind w:firstLine="420"/>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法定代表人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w:t>
      </w:r>
      <w:r>
        <w:rPr>
          <w:color w:val="auto"/>
          <w:highlight w:val="none"/>
        </w:rPr>
      </w:r>
      <w:r/>
    </w:p>
    <w:p>
      <w:pPr>
        <w:ind w:firstLine="420"/>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授权委托人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                    </w:t>
      </w:r>
      <w:r>
        <w:rPr>
          <w:color w:val="auto"/>
          <w:highlight w:val="none"/>
        </w:rPr>
      </w:r>
      <w:r/>
    </w:p>
    <w:p>
      <w:pPr>
        <w:ind w:firstLine="420"/>
        <w:jc w:val="left"/>
        <w:spacing w:line="48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w:t>
      </w:r>
      <w:r>
        <w:rPr>
          <w:color w:val="auto"/>
          <w:highlight w:val="none"/>
        </w:rPr>
      </w:r>
      <w:r/>
    </w:p>
    <w:p>
      <w:pPr>
        <w:ind w:firstLine="420"/>
        <w:jc w:val="left"/>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委托代理人的身份证明文件的复印件：</w:t>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color w:val="auto"/>
          <w:highlight w:val="none"/>
        </w:rPr>
      </w:r>
      <w:r/>
    </w:p>
    <w:p>
      <w:pPr>
        <w:ind w:firstLine="422"/>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附件三、磋商报价表</w:t>
      </w:r>
      <w:r>
        <w:rPr>
          <w:color w:val="auto"/>
          <w:highlight w:val="none"/>
        </w:rPr>
      </w:r>
      <w:r/>
    </w:p>
    <w:p>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r>
      <w:r>
        <w:rPr>
          <w:color w:val="auto"/>
          <w:highlight w:val="none"/>
        </w:rPr>
      </w:r>
      <w:r/>
    </w:p>
    <w:p>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t xml:space="preserve">磋商报价表</w:t>
      </w:r>
      <w:r>
        <w:rPr>
          <w:color w:val="auto"/>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                         </w:t>
      </w:r>
      <w:r>
        <w:rPr>
          <w:color w:val="auto"/>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                                                  </w:t>
      </w:r>
      <w:r>
        <w:rPr>
          <w:color w:val="auto"/>
          <w:highlight w:val="none"/>
        </w:rPr>
      </w:r>
      <w:r/>
    </w:p>
    <w:tbl>
      <w:tblPr>
        <w:tblStyle w:val="872"/>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6379"/>
      </w:tblGrid>
      <w:tr>
        <w:trPr>
          <w:cantSplit/>
          <w:trHeight w:val="758"/>
        </w:trPr>
        <w:tc>
          <w:tcPr>
            <w:tcW w:w="3119" w:type="dxa"/>
            <w:vAlign w:val="center"/>
            <w:vMerge w:val="restart"/>
            <w:textDirection w:val="lrTb"/>
            <w:noWrap w:val="false"/>
          </w:tcPr>
          <w:p>
            <w:pPr>
              <w:pStyle w:val="885"/>
              <w:jc w:val="center"/>
              <w:spacing w:after="156"/>
              <w:rPr>
                <w:rFonts w:hint="eastAsia" w:eastAsia="宋体" w:cs="宋体"/>
                <w:bCs/>
                <w:color w:val="auto"/>
                <w:highlight w:val="none"/>
              </w:rPr>
            </w:pPr>
            <w:r>
              <w:rPr>
                <w:rFonts w:hint="eastAsia" w:eastAsia="宋体" w:cs="宋体"/>
                <w:bCs/>
                <w:color w:val="auto"/>
                <w:highlight w:val="none"/>
              </w:rPr>
              <w:t xml:space="preserve">磋商报价</w:t>
            </w:r>
            <w:r>
              <w:rPr>
                <w:color w:val="auto"/>
                <w:highlight w:val="none"/>
              </w:rPr>
            </w:r>
            <w:r/>
          </w:p>
        </w:tc>
        <w:tc>
          <w:tcPr>
            <w:tcW w:w="6379" w:type="dxa"/>
            <w:vAlign w:val="center"/>
            <w:textDirection w:val="lrTb"/>
            <w:noWrap w:val="false"/>
          </w:tcPr>
          <w:p>
            <w:pPr>
              <w:pStyle w:val="885"/>
              <w:spacing w:after="156"/>
              <w:rPr>
                <w:rFonts w:hint="eastAsia" w:eastAsia="宋体" w:cs="宋体"/>
                <w:bCs/>
                <w:color w:val="auto"/>
                <w:highlight w:val="none"/>
              </w:rPr>
            </w:pPr>
            <w:r>
              <w:rPr>
                <w:rFonts w:hint="eastAsia" w:eastAsia="宋体" w:cs="宋体"/>
                <w:bCs/>
                <w:color w:val="auto"/>
                <w:highlight w:val="none"/>
              </w:rPr>
              <w:t xml:space="preserve">大写：                       </w:t>
            </w:r>
            <w:r>
              <w:rPr>
                <w:color w:val="auto"/>
                <w:highlight w:val="none"/>
              </w:rPr>
            </w:r>
            <w:r/>
          </w:p>
        </w:tc>
      </w:tr>
      <w:tr>
        <w:trPr>
          <w:cantSplit/>
          <w:trHeight w:val="548"/>
        </w:trPr>
        <w:tc>
          <w:tcPr>
            <w:tcW w:w="3119" w:type="dxa"/>
            <w:vAlign w:val="center"/>
            <w:vMerge w:val="continue"/>
            <w:textDirection w:val="lrTb"/>
            <w:noWrap w:val="false"/>
          </w:tcPr>
          <w:p>
            <w:pPr>
              <w:pStyle w:val="885"/>
              <w:jc w:val="center"/>
              <w:spacing w:after="156"/>
              <w:rPr>
                <w:rFonts w:hint="eastAsia" w:eastAsia="宋体" w:cs="宋体"/>
                <w:bCs/>
              </w:rPr>
            </w:pPr>
            <w:r>
              <w:rPr>
                <w:rFonts w:hint="eastAsia" w:eastAsia="宋体" w:cs="宋体"/>
                <w:bCs/>
              </w:rPr>
            </w:r>
            <w:r/>
          </w:p>
        </w:tc>
        <w:tc>
          <w:tcPr>
            <w:tcW w:w="6379" w:type="dxa"/>
            <w:vAlign w:val="center"/>
            <w:textDirection w:val="lrTb"/>
            <w:noWrap w:val="false"/>
          </w:tcPr>
          <w:p>
            <w:pPr>
              <w:pStyle w:val="885"/>
              <w:spacing w:after="156"/>
              <w:rPr>
                <w:rFonts w:hint="eastAsia" w:eastAsia="宋体" w:cs="宋体"/>
                <w:bCs/>
                <w:color w:val="auto"/>
                <w:highlight w:val="none"/>
              </w:rPr>
            </w:pPr>
            <w:r>
              <w:rPr>
                <w:rFonts w:hint="eastAsia" w:eastAsia="宋体" w:cs="宋体"/>
                <w:bCs/>
                <w:color w:val="auto"/>
                <w:highlight w:val="none"/>
              </w:rPr>
              <w:t xml:space="preserve">小写：                                            </w:t>
            </w:r>
            <w:r>
              <w:rPr>
                <w:color w:val="auto"/>
                <w:highlight w:val="none"/>
              </w:rPr>
            </w:r>
            <w:r/>
          </w:p>
        </w:tc>
      </w:tr>
      <w:tr>
        <w:trPr>
          <w:trHeight w:val="700"/>
        </w:trPr>
        <w:tc>
          <w:tcPr>
            <w:tcW w:w="3119" w:type="dxa"/>
            <w:vAlign w:val="center"/>
            <w:textDirection w:val="lrTb"/>
            <w:noWrap w:val="false"/>
          </w:tcPr>
          <w:p>
            <w:pPr>
              <w:pStyle w:val="885"/>
              <w:jc w:val="center"/>
              <w:spacing w:after="156"/>
              <w:rPr>
                <w:rFonts w:hint="eastAsia" w:eastAsia="宋体" w:cs="宋体"/>
                <w:bCs/>
                <w:color w:val="auto"/>
                <w:highlight w:val="none"/>
              </w:rPr>
            </w:pPr>
            <w:r>
              <w:rPr>
                <w:rFonts w:hint="eastAsia" w:eastAsia="宋体" w:cs="宋体"/>
                <w:bCs/>
                <w:color w:val="auto"/>
                <w:highlight w:val="none"/>
              </w:rPr>
              <w:t xml:space="preserve">响应文件份数</w:t>
            </w:r>
            <w:r>
              <w:rPr>
                <w:color w:val="auto"/>
                <w:highlight w:val="none"/>
              </w:rPr>
            </w:r>
            <w:r/>
          </w:p>
        </w:tc>
        <w:tc>
          <w:tcPr>
            <w:tcW w:w="6379" w:type="dxa"/>
            <w:vAlign w:val="center"/>
            <w:textDirection w:val="lrTb"/>
            <w:noWrap w:val="false"/>
          </w:tcPr>
          <w:p>
            <w:pPr>
              <w:pStyle w:val="885"/>
              <w:spacing w:after="156"/>
              <w:rPr>
                <w:rFonts w:hint="eastAsia" w:eastAsia="宋体" w:cs="宋体"/>
                <w:bCs/>
                <w:color w:val="auto"/>
                <w:highlight w:val="none"/>
              </w:rPr>
            </w:pPr>
            <w:r>
              <w:rPr>
                <w:rFonts w:hint="eastAsia" w:eastAsia="宋体" w:cs="宋体"/>
                <w:bCs/>
                <w:color w:val="auto"/>
                <w:highlight w:val="none"/>
              </w:rPr>
              <w:t xml:space="preserve">正本：</w:t>
            </w:r>
            <w:r>
              <w:rPr>
                <w:rFonts w:hint="eastAsia" w:eastAsia="宋体" w:cs="宋体"/>
                <w:bCs/>
                <w:color w:val="auto"/>
                <w:highlight w:val="none"/>
                <w:u w:val="single"/>
              </w:rPr>
              <w:t xml:space="preserve">       </w:t>
            </w:r>
            <w:r>
              <w:rPr>
                <w:rFonts w:hint="eastAsia" w:eastAsia="宋体" w:cs="宋体"/>
                <w:bCs/>
                <w:color w:val="auto"/>
                <w:highlight w:val="none"/>
              </w:rPr>
              <w:t xml:space="preserve">份        副本：</w:t>
            </w:r>
            <w:r>
              <w:rPr>
                <w:rFonts w:hint="eastAsia" w:eastAsia="宋体" w:cs="宋体"/>
                <w:bCs/>
                <w:color w:val="auto"/>
                <w:highlight w:val="none"/>
                <w:u w:val="single"/>
              </w:rPr>
              <w:t xml:space="preserve">      </w:t>
            </w:r>
            <w:r>
              <w:rPr>
                <w:rFonts w:hint="eastAsia" w:eastAsia="宋体" w:cs="宋体"/>
                <w:bCs/>
                <w:color w:val="auto"/>
                <w:highlight w:val="none"/>
              </w:rPr>
              <w:t xml:space="preserve">份</w:t>
            </w:r>
            <w:r>
              <w:rPr>
                <w:color w:val="auto"/>
                <w:highlight w:val="none"/>
              </w:rPr>
            </w:r>
            <w:r/>
          </w:p>
        </w:tc>
      </w:tr>
      <w:tr>
        <w:trPr>
          <w:trHeight w:val="700"/>
        </w:trPr>
        <w:tc>
          <w:tcPr>
            <w:tcW w:w="3119" w:type="dxa"/>
            <w:vAlign w:val="center"/>
            <w:textDirection w:val="lrTb"/>
            <w:noWrap w:val="false"/>
          </w:tcPr>
          <w:p>
            <w:pPr>
              <w:pStyle w:val="885"/>
              <w:jc w:val="center"/>
              <w:spacing w:after="156"/>
              <w:rPr>
                <w:rFonts w:hint="eastAsia" w:eastAsia="宋体" w:cs="宋体"/>
                <w:bCs/>
                <w:color w:val="auto"/>
                <w:highlight w:val="none"/>
              </w:rPr>
            </w:pPr>
            <w:r>
              <w:rPr>
                <w:rFonts w:hint="eastAsia" w:eastAsia="宋体" w:cs="宋体"/>
                <w:bCs/>
                <w:color w:val="auto"/>
                <w:highlight w:val="none"/>
                <w:lang w:eastAsia="zh-CN"/>
              </w:rPr>
              <w:t xml:space="preserve">供应商是否属于小微型企业</w:t>
            </w:r>
            <w:r>
              <w:rPr>
                <w:color w:val="auto"/>
                <w:highlight w:val="none"/>
              </w:rPr>
            </w:r>
            <w:r/>
          </w:p>
        </w:tc>
        <w:tc>
          <w:tcPr>
            <w:tcW w:w="6379" w:type="dxa"/>
            <w:vAlign w:val="center"/>
            <w:textDirection w:val="lrTb"/>
            <w:noWrap w:val="false"/>
          </w:tcPr>
          <w:p>
            <w:pPr>
              <w:pStyle w:val="885"/>
              <w:spacing w:after="156"/>
              <w:rPr>
                <w:rFonts w:hint="eastAsia" w:eastAsia="宋体" w:cs="宋体"/>
                <w:bCs/>
                <w:color w:val="auto"/>
                <w:highlight w:val="none"/>
              </w:rPr>
            </w:pPr>
            <w:r>
              <w:rPr>
                <w:rFonts w:hint="eastAsia" w:eastAsia="宋体" w:cs="宋体"/>
                <w:color w:val="auto"/>
                <w:highlight w:val="none"/>
                <w:lang w:eastAsia="zh-CN"/>
              </w:rPr>
              <w:t xml:space="preserve"> </w:t>
            </w:r>
            <w:r>
              <w:rPr>
                <w:rFonts w:hint="eastAsia" w:eastAsia="宋体" w:cs="宋体"/>
                <w:color w:val="auto"/>
                <w:highlight w:val="none"/>
                <w:u w:val="single"/>
                <w:lang w:eastAsia="zh-CN"/>
              </w:rPr>
              <w:t xml:space="preserve">                  </w:t>
            </w:r>
            <w:r>
              <w:rPr>
                <w:rFonts w:hint="eastAsia" w:eastAsia="宋体" w:cs="宋体"/>
                <w:color w:val="auto"/>
                <w:highlight w:val="none"/>
                <w:lang w:eastAsia="zh-CN"/>
              </w:rPr>
              <w:t xml:space="preserve">（填写“是”或“否）</w:t>
            </w:r>
            <w:r>
              <w:rPr>
                <w:color w:val="auto"/>
                <w:highlight w:val="none"/>
              </w:rPr>
            </w:r>
            <w:r/>
          </w:p>
        </w:tc>
      </w:tr>
      <w:tr>
        <w:trPr>
          <w:trHeight w:val="707"/>
        </w:trPr>
        <w:tc>
          <w:tcPr>
            <w:tcW w:w="3119" w:type="dxa"/>
            <w:vAlign w:val="center"/>
            <w:textDirection w:val="lrTb"/>
            <w:noWrap w:val="false"/>
          </w:tcPr>
          <w:p>
            <w:pPr>
              <w:pStyle w:val="885"/>
              <w:jc w:val="center"/>
              <w:spacing w:after="156"/>
              <w:rPr>
                <w:rFonts w:hint="eastAsia" w:eastAsia="宋体" w:cs="宋体"/>
                <w:color w:val="auto"/>
                <w:highlight w:val="none"/>
              </w:rPr>
            </w:pPr>
            <w:r>
              <w:rPr>
                <w:rFonts w:hint="eastAsia" w:eastAsia="宋体" w:cs="宋体"/>
                <w:color w:val="auto"/>
                <w:highlight w:val="none"/>
              </w:rPr>
              <w:t xml:space="preserve">合同履行期限</w:t>
            </w:r>
            <w:r>
              <w:rPr>
                <w:color w:val="auto"/>
                <w:highlight w:val="none"/>
              </w:rPr>
            </w:r>
            <w:r/>
          </w:p>
        </w:tc>
        <w:tc>
          <w:tcPr>
            <w:tcW w:w="6379" w:type="dxa"/>
            <w:vAlign w:val="center"/>
            <w:textDirection w:val="lrTb"/>
            <w:noWrap w:val="false"/>
          </w:tcPr>
          <w:p>
            <w:pPr>
              <w:pStyle w:val="885"/>
              <w:spacing w:after="156"/>
              <w:rPr>
                <w:rFonts w:hint="eastAsia" w:eastAsia="宋体" w:cs="宋体"/>
                <w:color w:val="auto"/>
                <w:highlight w:val="none"/>
              </w:rPr>
            </w:pPr>
            <w:r>
              <w:rPr>
                <w:rFonts w:hint="eastAsia" w:eastAsia="宋体" w:cs="宋体"/>
                <w:color w:val="auto"/>
                <w:highlight w:val="none"/>
              </w:rPr>
            </w:r>
            <w:r>
              <w:rPr>
                <w:color w:val="auto"/>
                <w:highlight w:val="none"/>
              </w:rPr>
            </w:r>
            <w:r/>
          </w:p>
        </w:tc>
      </w:tr>
      <w:tr>
        <w:trPr>
          <w:trHeight w:val="844"/>
        </w:trPr>
        <w:tc>
          <w:tcPr>
            <w:tcW w:w="3119" w:type="dxa"/>
            <w:vAlign w:val="center"/>
            <w:textDirection w:val="lrTb"/>
            <w:noWrap w:val="false"/>
          </w:tcPr>
          <w:p>
            <w:pPr>
              <w:pStyle w:val="885"/>
              <w:jc w:val="center"/>
              <w:spacing w:after="156"/>
              <w:rPr>
                <w:rFonts w:hint="eastAsia" w:eastAsia="宋体" w:cs="宋体"/>
                <w:bCs/>
                <w:color w:val="auto"/>
                <w:highlight w:val="none"/>
              </w:rPr>
            </w:pPr>
            <w:r>
              <w:rPr>
                <w:rFonts w:hint="eastAsia" w:eastAsia="宋体" w:cs="宋体"/>
                <w:bCs/>
                <w:color w:val="auto"/>
                <w:highlight w:val="none"/>
              </w:rPr>
              <w:t xml:space="preserve">其它</w:t>
            </w:r>
            <w:r>
              <w:rPr>
                <w:color w:val="auto"/>
                <w:highlight w:val="none"/>
              </w:rPr>
            </w:r>
            <w:r/>
          </w:p>
        </w:tc>
        <w:tc>
          <w:tcPr>
            <w:tcW w:w="6379" w:type="dxa"/>
            <w:vAlign w:val="center"/>
            <w:textDirection w:val="lrTb"/>
            <w:noWrap w:val="false"/>
          </w:tcPr>
          <w:p>
            <w:pPr>
              <w:pStyle w:val="885"/>
              <w:spacing w:after="156"/>
              <w:rPr>
                <w:rFonts w:hint="eastAsia" w:eastAsia="宋体" w:cs="宋体"/>
                <w:bCs/>
                <w:color w:val="auto"/>
                <w:highlight w:val="none"/>
              </w:rPr>
            </w:pPr>
            <w:r>
              <w:rPr>
                <w:rFonts w:hint="eastAsia" w:eastAsia="宋体" w:cs="宋体"/>
                <w:color w:val="auto"/>
                <w:highlight w:val="none"/>
                <w:lang w:val="zh-CN" w:eastAsia="zh-CN"/>
              </w:rPr>
              <w:t xml:space="preserve">（如有优惠条件须在此注明）</w:t>
            </w:r>
            <w:r>
              <w:rPr>
                <w:color w:val="auto"/>
                <w:highlight w:val="none"/>
              </w:rPr>
            </w:r>
            <w:r/>
          </w:p>
        </w:tc>
      </w:tr>
    </w:tbl>
    <w:p>
      <w:pPr>
        <w:ind w:right="21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rPr>
          <w:color w:val="auto"/>
          <w:highlight w:val="none"/>
        </w:rPr>
      </w:r>
      <w:r/>
    </w:p>
    <w:p>
      <w:pPr>
        <w:ind w:right="21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             </w:t>
      </w:r>
      <w:r>
        <w:rPr>
          <w:color w:val="auto"/>
          <w:highlight w:val="none"/>
        </w:rPr>
      </w:r>
      <w:r/>
    </w:p>
    <w:p>
      <w:pPr>
        <w:ind w:right="21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rPr>
          <w:color w:val="auto"/>
          <w:highlight w:val="none"/>
        </w:rPr>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说明：</w:t>
      </w:r>
      <w:r>
        <w:rPr>
          <w:color w:val="auto"/>
          <w:highlight w:val="none"/>
        </w:rPr>
      </w:r>
      <w:r/>
    </w:p>
    <w:p>
      <w:pPr>
        <w:ind w:firstLine="42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1、本项目仅接受一个价格，不得填报有选择性报价方案。若有优惠条款须注明，但不得影响报价，影响产品整体功能。</w:t>
      </w:r>
      <w:r>
        <w:rPr>
          <w:color w:val="auto"/>
          <w:highlight w:val="none"/>
        </w:rPr>
      </w:r>
      <w:r/>
    </w:p>
    <w:p>
      <w:pPr>
        <w:ind w:firstLine="42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2、“投标人是否属于小微型企业”栏内填写“是”或“否”。如填写“是”， 投标人需提供《中小企业声明函》、《残疾人福利性单位声明函》、《属于监狱企业的证明文件》。</w:t>
      </w:r>
      <w:r>
        <w:rPr>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color w:val="auto"/>
          <w:highlight w:val="none"/>
        </w:rPr>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r>
      <w:r>
        <w:rPr>
          <w:color w:val="auto"/>
          <w:highlight w:val="none"/>
        </w:rPr>
      </w:r>
      <w:r/>
    </w:p>
    <w:p>
      <w:pPr>
        <w:ind w:firstLine="422"/>
        <w:jc w:val="lef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zh-CN"/>
        </w:rPr>
        <w:t xml:space="preserve">附件四、第一章磋商邀请中</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zh-CN"/>
        </w:rPr>
        <w:t xml:space="preserve">.1《中华人民共和国政府采购法》规定的资格条件证明文件</w:t>
      </w:r>
      <w:r>
        <w:rPr>
          <w:color w:val="auto"/>
          <w:highlight w:val="none"/>
        </w:rPr>
      </w:r>
      <w:r/>
    </w:p>
    <w:p>
      <w:pPr>
        <w:pStyle w:val="873"/>
        <w:spacing w:line="360" w:lineRule="auto"/>
        <w:rPr>
          <w:rFonts w:hint="eastAsia" w:ascii="宋体" w:hAnsi="宋体" w:eastAsia="宋体" w:cs="宋体"/>
          <w:color w:val="auto"/>
          <w:szCs w:val="21"/>
          <w:highlight w:val="none"/>
        </w:rPr>
      </w:pPr>
      <w:r>
        <w:rPr>
          <w:color w:val="auto"/>
          <w:highlight w:val="none"/>
        </w:rPr>
      </w:r>
      <w:bookmarkStart w:id="52" w:name="_Hlk133391510"/>
      <w:r>
        <w:rPr>
          <w:rFonts w:hint="eastAsia" w:ascii="宋体" w:hAnsi="宋体" w:eastAsia="宋体" w:cs="宋体"/>
          <w:color w:val="auto"/>
          <w:szCs w:val="21"/>
          <w:highlight w:val="none"/>
        </w:rPr>
        <w:t xml:space="preserve">（1）具有独立承担民事责任的能力（提供法人或者其他组织的营业执照，自然人的身份证明）；</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（2）具有良好的商业信誉和健全的财务会计制度（提供参加本次政府采购活动前一年内（至少一个月）的会计报表，成立不满一个月的无需提供）；</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（3）具有履行合同所必需的设备和专业技术能力（提供履行合同所必需的设备和专业技术能力的证明材料）； </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（4）具有依法缴纳税收和社会保障资金的良好记录（提供参加本次政府采购活动前半年内（至少一个月）依法缴纳税收和社会保障资金的相关资料，根据国家相关政策免缴或迟缴的需要提供相关证明材料）；</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w:t>
      </w:r>
      <w:r>
        <w:rPr>
          <w:color w:val="auto"/>
          <w:highlight w:val="none"/>
        </w:rPr>
      </w:r>
      <w:r/>
    </w:p>
    <w:p>
      <w:pPr>
        <w:pStyle w:val="87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（6）法律、行政法规规定的其他条件：无</w:t>
      </w:r>
      <w:bookmarkEnd w:id="52"/>
      <w:r>
        <w:rPr>
          <w:color w:val="auto"/>
          <w:highlight w:val="none"/>
        </w:rPr>
      </w:r>
      <w:r/>
    </w:p>
    <w:p>
      <w:pPr>
        <w:pStyle w:val="885"/>
        <w:ind w:left="119" w:firstLine="482"/>
        <w:jc w:val="right"/>
        <w:spacing w:line="260" w:lineRule="exact"/>
        <w:rPr>
          <w:rFonts w:hint="eastAsia" w:eastAsia="宋体" w:cs="宋体"/>
          <w:color w:val="auto"/>
          <w:highlight w:val="none"/>
        </w:rPr>
      </w:pPr>
      <w:r>
        <w:rPr>
          <w:rFonts w:hint="eastAsia" w:eastAsia="宋体" w:cs="宋体"/>
          <w:color w:val="auto"/>
          <w:highlight w:val="none"/>
          <w:lang w:val="zh-CN" w:eastAsia="zh-CN"/>
        </w:rPr>
      </w:r>
      <w:r>
        <w:rPr>
          <w:color w:val="auto"/>
          <w:highlight w:val="none"/>
        </w:rPr>
      </w:r>
      <w:r/>
    </w:p>
    <w:p>
      <w:pPr>
        <w:pStyle w:val="885"/>
        <w:ind w:left="119" w:firstLine="482"/>
        <w:jc w:val="right"/>
        <w:spacing w:line="260" w:lineRule="exact"/>
        <w:rPr>
          <w:rFonts w:hint="eastAsia" w:eastAsia="宋体" w:cs="宋体"/>
          <w:color w:val="auto"/>
          <w:highlight w:val="none"/>
        </w:rPr>
      </w:pPr>
      <w:r>
        <w:rPr>
          <w:rFonts w:hint="eastAsia" w:eastAsia="宋体" w:cs="宋体"/>
          <w:color w:val="auto"/>
          <w:highlight w:val="none"/>
          <w:lang w:val="zh-CN"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zh-CN"/>
        </w:rPr>
        <w:br w:type="page" w:clear="all"/>
      </w:r>
      <w:r>
        <w:rPr>
          <w:color w:val="auto"/>
          <w:highlight w:val="none"/>
        </w:rPr>
      </w:r>
      <w:r/>
    </w:p>
    <w:p>
      <w:pPr>
        <w:ind w:left="-2" w:hanging="2"/>
        <w:jc w:val="left"/>
        <w:widowControl/>
        <w:rPr>
          <w:rFonts w:hint="eastAsia" w:ascii="宋体" w:hAnsi="宋体" w:eastAsia="宋体" w:cs="宋体"/>
          <w:b/>
          <w:bCs/>
          <w:color w:val="auto"/>
          <w:szCs w:val="21"/>
          <w:highlight w:val="none"/>
        </w:rPr>
      </w:pPr>
      <w:r>
        <w:rPr>
          <w:color w:val="auto"/>
          <w:highlight w:val="none"/>
        </w:rPr>
      </w:r>
      <w:bookmarkStart w:id="53" w:name="_Toc27709"/>
      <w:r>
        <w:rPr>
          <w:rFonts w:hint="eastAsia" w:ascii="宋体" w:hAnsi="宋体" w:eastAsia="宋体" w:cs="宋体"/>
          <w:b/>
          <w:color w:val="auto"/>
          <w:szCs w:val="21"/>
          <w:highlight w:val="none"/>
          <w:lang w:val="zh-CN"/>
        </w:rPr>
        <w:t xml:space="preserve">附件五、</w:t>
      </w:r>
      <w:r>
        <w:rPr>
          <w:rFonts w:hint="eastAsia" w:ascii="宋体" w:hAnsi="宋体" w:eastAsia="宋体" w:cs="宋体"/>
          <w:b/>
          <w:color w:val="auto"/>
          <w:szCs w:val="21"/>
          <w:highlight w:val="none"/>
        </w:rPr>
        <w:t xml:space="preserve">分项报价表</w:t>
      </w:r>
      <w:r>
        <w:rPr>
          <w:color w:val="auto"/>
          <w:highlight w:val="none"/>
        </w:rPr>
      </w:r>
      <w:r/>
    </w:p>
    <w:p>
      <w:pPr>
        <w:ind w:firstLine="640"/>
        <w:jc w:val="center"/>
        <w:spacing w:line="240"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rPr>
        <w:t xml:space="preserve">分项报价表</w:t>
      </w:r>
      <w:r>
        <w:rPr>
          <w:color w:val="auto"/>
          <w:highlight w:val="none"/>
        </w:rPr>
      </w:r>
      <w:r/>
    </w:p>
    <w:p>
      <w:pPr>
        <w:pStyle w:val="885"/>
        <w:ind w:right="1050" w:firstLine="420"/>
        <w:jc w:val="center"/>
        <w:rPr>
          <w:rFonts w:hint="eastAsia" w:eastAsia="宋体" w:cs="宋体"/>
          <w:color w:val="auto"/>
          <w:highlight w:val="none"/>
        </w:rPr>
      </w:pPr>
      <w:r>
        <w:rPr>
          <w:rFonts w:hint="eastAsia" w:eastAsia="宋体" w:cs="宋体"/>
          <w:color w:val="auto"/>
          <w:highlight w:val="none"/>
          <w:lang w:eastAsia="zh-CN"/>
        </w:rPr>
        <w:t xml:space="preserve">如有（格式自拟）</w:t>
      </w:r>
      <w:r>
        <w:rPr>
          <w:color w:val="auto"/>
          <w:highlight w:val="none"/>
        </w:rPr>
      </w:r>
      <w:r/>
    </w:p>
    <w:p>
      <w:pPr>
        <w:pStyle w:val="885"/>
        <w:ind w:right="1050" w:firstLine="420"/>
        <w:jc w:val="right"/>
        <w:rPr>
          <w:rFonts w:hint="eastAsia" w:eastAsia="宋体" w:cs="宋体"/>
          <w:color w:val="auto"/>
          <w:highlight w:val="none"/>
        </w:rPr>
      </w:pPr>
      <w:r>
        <w:rPr>
          <w:rFonts w:hint="eastAsia" w:eastAsia="宋体" w:cs="宋体"/>
          <w:color w:val="auto"/>
          <w:highlight w:val="none"/>
          <w:lang w:eastAsia="zh-CN"/>
        </w:rPr>
      </w:r>
      <w:r>
        <w:rPr>
          <w:color w:val="auto"/>
          <w:highlight w:val="none"/>
        </w:rPr>
      </w:r>
      <w:r/>
    </w:p>
    <w:p>
      <w:pPr>
        <w:pStyle w:val="885"/>
        <w:ind w:right="1050" w:firstLine="420"/>
        <w:jc w:val="right"/>
        <w:rPr>
          <w:rFonts w:hint="eastAsia" w:eastAsia="宋体" w:cs="宋体"/>
          <w:color w:val="auto"/>
          <w:highlight w:val="none"/>
        </w:rPr>
      </w:pPr>
      <w:r>
        <w:rPr>
          <w:rFonts w:hint="eastAsia" w:eastAsia="宋体" w:cs="宋体"/>
          <w:color w:val="auto"/>
          <w:highlight w:val="none"/>
          <w:lang w:eastAsia="zh-CN"/>
        </w:rPr>
      </w:r>
      <w:r>
        <w:rPr>
          <w:color w:val="auto"/>
          <w:highlight w:val="none"/>
        </w:rPr>
      </w:r>
      <w:r/>
    </w:p>
    <w:p>
      <w:pPr>
        <w:pStyle w:val="885"/>
        <w:ind w:right="1050" w:firstLine="420"/>
        <w:jc w:val="right"/>
        <w:rPr>
          <w:rFonts w:hint="eastAsia" w:eastAsia="宋体" w:cs="宋体"/>
          <w:color w:val="auto"/>
          <w:highlight w:val="none"/>
        </w:rPr>
      </w:pPr>
      <w:r>
        <w:rPr>
          <w:rFonts w:hint="eastAsia" w:eastAsia="宋体" w:cs="宋体"/>
          <w:color w:val="auto"/>
          <w:highlight w:val="none"/>
          <w:lang w:eastAsia="zh-CN"/>
        </w:rPr>
        <w:t xml:space="preserve">供应商（盖章）：</w:t>
      </w:r>
      <w:r>
        <w:rPr>
          <w:color w:val="auto"/>
          <w:highlight w:val="none"/>
        </w:rPr>
      </w:r>
      <w:r/>
    </w:p>
    <w:p>
      <w:pPr>
        <w:pStyle w:val="885"/>
        <w:ind w:right="840" w:firstLine="420"/>
        <w:jc w:val="right"/>
        <w:rPr>
          <w:rFonts w:hint="eastAsia" w:eastAsia="宋体" w:cs="宋体"/>
          <w:color w:val="auto"/>
          <w:highlight w:val="none"/>
        </w:rPr>
      </w:pPr>
      <w:r>
        <w:rPr>
          <w:rFonts w:hint="eastAsia" w:eastAsia="宋体" w:cs="宋体"/>
          <w:color w:val="auto"/>
          <w:highlight w:val="none"/>
          <w:lang w:eastAsia="zh-CN"/>
        </w:rPr>
        <w:t xml:space="preserve">法定代表人或授权代表（签字或盖章）</w:t>
      </w:r>
      <w:r>
        <w:rPr>
          <w:rFonts w:hint="eastAsia" w:eastAsia="宋体" w:cs="宋体"/>
          <w:color w:val="auto"/>
          <w:highlight w:val="none"/>
          <w:lang w:eastAsia="zh-CN"/>
        </w:rPr>
        <w:t xml:space="preserve">：</w:t>
      </w:r>
      <w:r>
        <w:rPr>
          <w:color w:val="auto"/>
          <w:highlight w:val="none"/>
        </w:rPr>
      </w:r>
      <w:r/>
    </w:p>
    <w:p>
      <w:pPr>
        <w:pStyle w:val="885"/>
        <w:ind w:firstLine="210"/>
        <w:jc w:val="right"/>
        <w:rPr>
          <w:rFonts w:hint="eastAsia" w:eastAsia="宋体" w:cs="宋体"/>
          <w:color w:val="auto"/>
          <w:highlight w:val="none"/>
        </w:rPr>
      </w:pPr>
      <w:r>
        <w:rPr>
          <w:rFonts w:hint="eastAsia" w:eastAsia="宋体" w:cs="宋体"/>
          <w:color w:val="auto"/>
          <w:highlight w:val="none"/>
          <w:lang w:eastAsia="zh-CN"/>
        </w:rPr>
        <w:t xml:space="preserve">日    期：   年    月   日</w:t>
      </w:r>
      <w:bookmarkEnd w:id="53"/>
      <w:r>
        <w:rPr>
          <w:color w:val="auto"/>
          <w:highlight w:val="none"/>
        </w:rPr>
      </w:r>
      <w:r/>
    </w:p>
    <w:p>
      <w:pPr>
        <w:pStyle w:val="863"/>
        <w:spacing w:before="0" w:after="0" w:line="360" w:lineRule="auto"/>
        <w:rPr>
          <w:rFonts w:hint="eastAsia"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cs="宋体"/>
          <w:color w:val="auto"/>
          <w:highlight w:val="none"/>
        </w:rPr>
      </w:r>
      <w:r>
        <w:rPr>
          <w:color w:val="auto"/>
          <w:highlight w:val="none"/>
        </w:rPr>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附件六、南京市政府采购供应商信用承诺书</w:t>
      </w:r>
      <w:r>
        <w:rPr>
          <w:color w:val="auto"/>
          <w:highlight w:val="none"/>
        </w:rPr>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r>
      <w:r>
        <w:rPr>
          <w:color w:val="auto"/>
          <w:highlight w:val="none"/>
        </w:rPr>
      </w:r>
      <w:r/>
    </w:p>
    <w:p>
      <w:pPr>
        <w:jc w:val="center"/>
        <w:rPr>
          <w:rFonts w:hint="eastAsia" w:ascii="方正小标宋简体" w:hAnsi="方正小标宋简体" w:eastAsia="方正小标宋简体" w:cs="方正小标宋简体"/>
          <w:color w:val="auto"/>
          <w:sz w:val="44"/>
          <w:szCs w:val="52"/>
          <w:highlight w:val="none"/>
        </w:rPr>
      </w:pPr>
      <w:r>
        <w:rPr>
          <w:rFonts w:hint="eastAsia" w:ascii="方正小标宋简体" w:hAnsi="方正小标宋简体" w:eastAsia="方正小标宋简体" w:cs="方正小标宋简体"/>
          <w:color w:val="auto"/>
          <w:sz w:val="44"/>
          <w:szCs w:val="52"/>
          <w:highlight w:val="none"/>
        </w:rPr>
        <w:t xml:space="preserve">南京市政府采购供应商信用承诺书</w:t>
      </w:r>
      <w:r>
        <w:rPr>
          <w:color w:val="auto"/>
          <w:highlight w:val="none"/>
        </w:rPr>
      </w:r>
      <w:r/>
    </w:p>
    <w:p>
      <w:pPr>
        <w:jc w:val="right"/>
        <w:rPr>
          <w:rFonts w:hint="eastAsia" w:ascii="方正小标宋简体" w:hAnsi="方正小标宋简体" w:eastAsia="方正小标宋简体" w:cs="方正小标宋简体"/>
          <w:color w:val="auto"/>
          <w:sz w:val="22"/>
          <w:szCs w:val="28"/>
          <w:highlight w:val="none"/>
        </w:rPr>
      </w:pPr>
      <w:r>
        <w:rPr>
          <w:rFonts w:hint="eastAsia" w:ascii="方正小标宋简体" w:hAnsi="方正小标宋简体" w:eastAsia="方正小标宋简体" w:cs="方正小标宋简体"/>
          <w:color w:val="auto"/>
          <w:sz w:val="22"/>
          <w:szCs w:val="28"/>
          <w:highlight w:val="none"/>
        </w:rPr>
        <w:t xml:space="preserve">XXXX年XX月XX日</w:t>
      </w:r>
      <w:r>
        <w:rPr>
          <w:color w:val="auto"/>
          <w:highlight w:val="none"/>
        </w:rPr>
      </w:r>
      <w:r/>
    </w:p>
    <w:p>
      <w:pPr>
        <w:jc w:val="center"/>
        <w:rPr>
          <w:color w:val="auto"/>
          <w:highlight w:val="none"/>
        </w:rPr>
      </w:pPr>
      <w:r>
        <w:rPr>
          <w:color w:val="auto"/>
          <w:highlight w:val="none"/>
        </w:rPr>
      </w:r>
      <w:r>
        <w:rPr>
          <w:color w:val="auto"/>
          <w:highlight w:val="none"/>
        </w:rPr>
      </w:r>
      <w:r/>
    </w:p>
    <w:tbl>
      <w:tblPr>
        <w:tblStyle w:val="920"/>
        <w:tblpPr w:horzAnchor="text" w:tblpXSpec="center" w:vertAnchor="text" w:tblpY="1" w:leftFromText="180" w:topFromText="0" w:rightFromText="180" w:bottomFromText="0"/>
        <w:tblW w:w="959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auto"/>
                <w:sz w:val="24"/>
                <w:szCs w:val="32"/>
                <w:highlight w:val="none"/>
              </w:rPr>
            </w:pPr>
            <w:r>
              <w:rPr>
                <w:rFonts w:hint="eastAsia"/>
                <w:color w:val="auto"/>
                <w:sz w:val="24"/>
                <w:szCs w:val="32"/>
                <w:highlight w:val="none"/>
              </w:rPr>
              <w:t xml:space="preserve">   单位名称</w:t>
            </w:r>
            <w:r>
              <w:rPr>
                <w:color w:val="auto"/>
                <w:highlight w:val="none"/>
              </w:rPr>
            </w:r>
            <w:r/>
          </w:p>
        </w:tc>
        <w:tc>
          <w:tcPr>
            <w:tcW w:w="2284" w:type="dxa"/>
            <w:vAlign w:val="center"/>
            <w:textDirection w:val="lrTb"/>
            <w:noWrap w:val="false"/>
          </w:tcPr>
          <w:p>
            <w:pPr>
              <w:jc w:val="center"/>
              <w:rPr>
                <w:color w:val="auto"/>
                <w:sz w:val="24"/>
                <w:szCs w:val="32"/>
                <w:highlight w:val="none"/>
              </w:rPr>
            </w:pPr>
            <w:r>
              <w:rPr>
                <w:color w:val="auto"/>
                <w:sz w:val="24"/>
                <w:szCs w:val="32"/>
                <w:highlight w:val="none"/>
              </w:rPr>
            </w:r>
            <w:r>
              <w:rPr>
                <w:color w:val="auto"/>
                <w:highlight w:val="none"/>
              </w:rPr>
            </w:r>
            <w:r/>
          </w:p>
        </w:tc>
        <w:tc>
          <w:tcPr>
            <w:tcW w:w="1833" w:type="dxa"/>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统一社会信用代码</w:t>
            </w:r>
            <w:r>
              <w:rPr>
                <w:color w:val="auto"/>
                <w:highlight w:val="none"/>
              </w:rPr>
            </w:r>
            <w:r/>
          </w:p>
        </w:tc>
        <w:tc>
          <w:tcPr>
            <w:tcW w:w="3331" w:type="dxa"/>
            <w:vAlign w:val="center"/>
            <w:textDirection w:val="lrTb"/>
            <w:noWrap w:val="false"/>
          </w:tcPr>
          <w:p>
            <w:pPr>
              <w:ind w:right="-678"/>
              <w:jc w:val="center"/>
              <w:tabs>
                <w:tab w:val="left" w:pos="2320" w:leader="none"/>
              </w:tabs>
              <w:rPr>
                <w:color w:val="auto"/>
                <w:highlight w:val="none"/>
              </w:rPr>
            </w:pPr>
            <w:r>
              <w:rPr>
                <w:color w:val="auto"/>
                <w:highlight w:val="none"/>
              </w:rPr>
            </w:r>
            <w:r>
              <w:rPr>
                <w:color w:val="auto"/>
                <w:highlight w:val="none"/>
              </w:rPr>
            </w:r>
            <w:r/>
          </w:p>
        </w:tc>
      </w:tr>
      <w:tr>
        <w:trPr>
          <w:trHeight w:val="567"/>
        </w:trPr>
        <w:tc>
          <w:tcPr>
            <w:tcW w:w="2148" w:type="dxa"/>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法定代表人</w:t>
            </w:r>
            <w:r>
              <w:rPr>
                <w:color w:val="auto"/>
                <w:highlight w:val="none"/>
              </w:rPr>
            </w:r>
            <w:r/>
          </w:p>
        </w:tc>
        <w:tc>
          <w:tcPr>
            <w:tcW w:w="2284" w:type="dxa"/>
            <w:vAlign w:val="center"/>
            <w:textDirection w:val="lrTb"/>
            <w:noWrap w:val="false"/>
          </w:tcPr>
          <w:p>
            <w:pPr>
              <w:jc w:val="center"/>
              <w:rPr>
                <w:color w:val="auto"/>
                <w:sz w:val="24"/>
                <w:szCs w:val="32"/>
                <w:highlight w:val="none"/>
              </w:rPr>
            </w:pPr>
            <w:r>
              <w:rPr>
                <w:color w:val="auto"/>
                <w:sz w:val="24"/>
                <w:szCs w:val="32"/>
                <w:highlight w:val="none"/>
              </w:rPr>
            </w:r>
            <w:r>
              <w:rPr>
                <w:color w:val="auto"/>
                <w:highlight w:val="none"/>
              </w:rPr>
            </w:r>
            <w:r/>
          </w:p>
        </w:tc>
        <w:tc>
          <w:tcPr>
            <w:tcW w:w="1833" w:type="dxa"/>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联系人</w:t>
            </w:r>
            <w:r>
              <w:rPr>
                <w:color w:val="auto"/>
                <w:highlight w:val="none"/>
              </w:rPr>
            </w:r>
            <w:r/>
          </w:p>
        </w:tc>
        <w:tc>
          <w:tcPr>
            <w:tcW w:w="3331" w:type="dxa"/>
            <w:vAlign w:val="center"/>
            <w:textDirection w:val="lrTb"/>
            <w:noWrap w:val="false"/>
          </w:tcPr>
          <w:p>
            <w:pPr>
              <w:jc w:val="center"/>
              <w:rPr>
                <w:color w:val="auto"/>
                <w:highlight w:val="none"/>
              </w:rPr>
            </w:pPr>
            <w:r>
              <w:rPr>
                <w:color w:val="auto"/>
                <w:highlight w:val="none"/>
              </w:rPr>
            </w:r>
            <w:r>
              <w:rPr>
                <w:color w:val="auto"/>
                <w:highlight w:val="none"/>
              </w:rPr>
            </w:r>
            <w:r/>
          </w:p>
        </w:tc>
      </w:tr>
      <w:tr>
        <w:trPr>
          <w:trHeight w:val="567"/>
        </w:trPr>
        <w:tc>
          <w:tcPr>
            <w:tcW w:w="2148" w:type="dxa"/>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联系地址</w:t>
            </w:r>
            <w:r>
              <w:rPr>
                <w:color w:val="auto"/>
                <w:highlight w:val="none"/>
              </w:rPr>
            </w:r>
            <w:r/>
          </w:p>
        </w:tc>
        <w:tc>
          <w:tcPr>
            <w:tcW w:w="2284" w:type="dxa"/>
            <w:vAlign w:val="center"/>
            <w:textDirection w:val="lrTb"/>
            <w:noWrap w:val="false"/>
          </w:tcPr>
          <w:p>
            <w:pPr>
              <w:jc w:val="center"/>
              <w:rPr>
                <w:color w:val="auto"/>
                <w:sz w:val="24"/>
                <w:szCs w:val="32"/>
                <w:highlight w:val="none"/>
              </w:rPr>
            </w:pPr>
            <w:r>
              <w:rPr>
                <w:color w:val="auto"/>
                <w:sz w:val="24"/>
                <w:szCs w:val="32"/>
                <w:highlight w:val="none"/>
              </w:rPr>
            </w:r>
            <w:r>
              <w:rPr>
                <w:color w:val="auto"/>
                <w:highlight w:val="none"/>
              </w:rPr>
            </w:r>
            <w:r/>
          </w:p>
        </w:tc>
        <w:tc>
          <w:tcPr>
            <w:tcW w:w="1833" w:type="dxa"/>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联系电话</w:t>
            </w:r>
            <w:r>
              <w:rPr>
                <w:color w:val="auto"/>
                <w:highlight w:val="none"/>
              </w:rPr>
            </w:r>
            <w:r/>
          </w:p>
        </w:tc>
        <w:tc>
          <w:tcPr>
            <w:tcW w:w="3331" w:type="dxa"/>
            <w:vAlign w:val="center"/>
            <w:textDirection w:val="lrTb"/>
            <w:noWrap w:val="false"/>
          </w:tcPr>
          <w:p>
            <w:pPr>
              <w:jc w:val="center"/>
              <w:rPr>
                <w:color w:val="auto"/>
                <w:highlight w:val="none"/>
              </w:rPr>
            </w:pPr>
            <w:r>
              <w:rPr>
                <w:color w:val="auto"/>
                <w:highlight w:val="none"/>
              </w:rPr>
            </w:r>
            <w:r>
              <w:rPr>
                <w:color w:val="auto"/>
                <w:highlight w:val="none"/>
              </w:rPr>
            </w:r>
            <w:r/>
          </w:p>
        </w:tc>
      </w:tr>
      <w:tr>
        <w:trPr>
          <w:trHeight w:val="5560"/>
        </w:trPr>
        <w:tc>
          <w:tcPr>
            <w:tcW w:w="2148" w:type="dxa"/>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信用承诺</w:t>
            </w:r>
            <w:r>
              <w:rPr>
                <w:color w:val="auto"/>
                <w:highlight w:val="none"/>
              </w:rPr>
            </w:r>
            <w:r/>
          </w:p>
        </w:tc>
        <w:tc>
          <w:tcPr>
            <w:gridSpan w:val="3"/>
            <w:tcW w:w="7448" w:type="dxa"/>
            <w:vAlign w:val="center"/>
            <w:textDirection w:val="lrTb"/>
            <w:noWrap w:val="false"/>
          </w:tcPr>
          <w:p>
            <w:pPr>
              <w:ind w:firstLine="420"/>
              <w:rPr>
                <w:color w:val="auto"/>
                <w:highlight w:val="none"/>
              </w:rPr>
            </w:pPr>
            <w:r>
              <w:rPr>
                <w:rFonts w:hint="eastAsia"/>
                <w:color w:val="auto"/>
                <w:highlight w:val="none"/>
              </w:rPr>
              <w:t xml:space="preserve">我公司自愿参加贵中心（公司）组织的本次采购活动，严格遵守《中华人民共和国政府采购法》及相关</w:t>
            </w:r>
            <w:r>
              <w:rPr>
                <w:rFonts w:hint="eastAsia"/>
                <w:color w:val="auto"/>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auto"/>
                <w:highlight w:val="none"/>
              </w:rPr>
            </w:r>
            <w:r/>
          </w:p>
          <w:p>
            <w:pPr>
              <w:ind w:firstLine="420"/>
              <w:rPr>
                <w:color w:val="auto"/>
                <w:highlight w:val="none"/>
              </w:rPr>
            </w:pPr>
            <w:r>
              <w:rPr>
                <w:color w:val="auto"/>
                <w:highlight w:val="none"/>
              </w:rPr>
            </w:r>
            <w:r>
              <w:rPr>
                <w:color w:val="auto"/>
                <w:highlight w:val="none"/>
              </w:rPr>
            </w:r>
            <w:r/>
          </w:p>
          <w:p>
            <w:pPr>
              <w:ind w:firstLine="420"/>
              <w:jc w:val="center"/>
              <w:rPr>
                <w:color w:val="auto"/>
                <w:highlight w:val="none"/>
              </w:rPr>
            </w:pPr>
            <w:r>
              <w:rPr>
                <w:rFonts w:hint="eastAsia"/>
                <w:color w:val="auto"/>
                <w:highlight w:val="none"/>
              </w:rPr>
              <w:t xml:space="preserve">供应商名称（盖章）：</w:t>
            </w:r>
            <w:r>
              <w:rPr>
                <w:color w:val="auto"/>
                <w:highlight w:val="none"/>
              </w:rPr>
            </w:r>
            <w:r/>
          </w:p>
          <w:p>
            <w:pPr>
              <w:ind w:firstLine="420"/>
              <w:jc w:val="center"/>
              <w:rPr>
                <w:color w:val="auto"/>
                <w:highlight w:val="none"/>
              </w:rPr>
            </w:pPr>
            <w:r>
              <w:rPr>
                <w:color w:val="auto"/>
                <w:highlight w:val="none"/>
              </w:rPr>
            </w:r>
            <w:r>
              <w:rPr>
                <w:color w:val="auto"/>
                <w:highlight w:val="none"/>
              </w:rPr>
            </w:r>
            <w:r/>
          </w:p>
          <w:p>
            <w:pPr>
              <w:ind w:firstLine="420"/>
              <w:jc w:val="center"/>
              <w:rPr>
                <w:color w:val="auto"/>
                <w:highlight w:val="none"/>
              </w:rPr>
            </w:pPr>
            <w:r>
              <w:rPr>
                <w:rFonts w:hint="eastAsia"/>
                <w:color w:val="auto"/>
                <w:highlight w:val="none"/>
              </w:rPr>
              <w:t xml:space="preserve">法定代表人（签字）：</w:t>
            </w:r>
            <w:r>
              <w:rPr>
                <w:color w:val="auto"/>
                <w:highlight w:val="none"/>
              </w:rPr>
            </w:r>
            <w:r/>
          </w:p>
          <w:p>
            <w:pPr>
              <w:ind w:firstLine="420"/>
              <w:jc w:val="center"/>
              <w:rPr>
                <w:color w:val="auto"/>
                <w:highlight w:val="none"/>
              </w:rPr>
            </w:pPr>
            <w:r>
              <w:rPr>
                <w:color w:val="auto"/>
                <w:highlight w:val="none"/>
              </w:rPr>
            </w:r>
            <w:r>
              <w:rPr>
                <w:color w:val="auto"/>
                <w:highlight w:val="none"/>
              </w:rPr>
            </w:r>
            <w:r/>
          </w:p>
          <w:p>
            <w:pPr>
              <w:ind w:firstLine="420"/>
              <w:jc w:val="center"/>
              <w:rPr>
                <w:color w:val="auto"/>
                <w:highlight w:val="none"/>
              </w:rPr>
            </w:pPr>
            <w:r>
              <w:rPr>
                <w:rFonts w:hint="eastAsia"/>
                <w:color w:val="auto"/>
                <w:highlight w:val="none"/>
              </w:rPr>
              <w:t xml:space="preserve">XXXX年XX月XX日</w:t>
            </w:r>
            <w:r>
              <w:rPr>
                <w:color w:val="auto"/>
                <w:highlight w:val="none"/>
              </w:rPr>
            </w:r>
            <w:r/>
          </w:p>
        </w:tc>
      </w:tr>
    </w:tbl>
    <w:p>
      <w:pPr>
        <w:rPr>
          <w:color w:val="auto"/>
          <w:highlight w:val="none"/>
        </w:rPr>
      </w:pPr>
      <w:r>
        <w:rPr>
          <w:color w:val="auto"/>
          <w:highlight w:val="none"/>
        </w:rPr>
      </w:r>
      <w:r>
        <w:rPr>
          <w:color w:val="auto"/>
          <w:highlight w:val="none"/>
        </w:rPr>
      </w:r>
      <w:r/>
    </w:p>
    <w:p>
      <w:pPr>
        <w:spacing w:before="220" w:line="250"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说明：</w:t>
      </w:r>
      <w:r>
        <w:rPr>
          <w:color w:val="auto"/>
          <w:highlight w:val="none"/>
        </w:rPr>
      </w:r>
      <w:r/>
    </w:p>
    <w:p>
      <w:pPr>
        <w:spacing w:before="220" w:line="250"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1.本表由供应商自行填写，时间须在发布采购公告之日（含）至开标当天（含）内打印。</w:t>
      </w:r>
      <w:r>
        <w:rPr>
          <w:color w:val="auto"/>
          <w:highlight w:val="none"/>
        </w:rPr>
      </w:r>
      <w:r/>
    </w:p>
    <w:p>
      <w:pPr>
        <w:spacing w:before="220" w:line="250" w:lineRule="atLeast"/>
        <w:rPr>
          <w:rFonts w:ascii="宋体" w:cs="仿宋"/>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2.本表由法定代表人签字并盖单位公章后生效，“法定代表人（签字）”须为手写签字，印章视为无效。</w:t>
      </w:r>
      <w:r>
        <w:rPr>
          <w:color w:val="auto"/>
          <w:highlight w:val="none"/>
        </w:rPr>
      </w:r>
      <w:r/>
    </w:p>
    <w:p>
      <w:pPr>
        <w:pStyle w:val="873"/>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rPr>
          <w:color w:val="auto"/>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附件七、商务条款偏离表</w:t>
      </w:r>
      <w:r>
        <w:rPr>
          <w:color w:val="auto"/>
          <w:highlight w:val="none"/>
        </w:rPr>
      </w:r>
      <w:r/>
    </w:p>
    <w:p>
      <w:pPr>
        <w:ind w:left="420" w:firstLine="422"/>
        <w:jc w:val="center"/>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商务条款偏离表</w:t>
      </w:r>
      <w:r>
        <w:rPr>
          <w:color w:val="auto"/>
          <w:highlight w:val="none"/>
        </w:rPr>
      </w:r>
      <w:r/>
    </w:p>
    <w:p>
      <w:pPr>
        <w:ind w:firstLine="620"/>
        <w:shd w:val="clear" w:color="auto" w:fill="ffffff"/>
        <w:widowControl/>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rPr>
        <w:t xml:space="preserve">项目名称：</w:t>
      </w:r>
      <w:r>
        <w:rPr>
          <w:color w:val="auto"/>
          <w:highlight w:val="none"/>
        </w:rPr>
      </w:r>
      <w:r/>
    </w:p>
    <w:p>
      <w:pPr>
        <w:ind w:firstLine="620"/>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项目编号：                      </w:t>
      </w:r>
      <w:r>
        <w:rPr>
          <w:color w:val="auto"/>
          <w:highlight w:val="none"/>
        </w:rPr>
      </w:r>
      <w:r/>
    </w:p>
    <w:tbl>
      <w:tblPr>
        <w:tblStyle w:val="872"/>
        <w:tblW w:w="0" w:type="auto"/>
        <w:jc w:val="center"/>
        <w:tblLayout w:type="fixed"/>
        <w:tblCellMar>
          <w:left w:w="10" w:type="dxa"/>
          <w:top w:w="0" w:type="dxa"/>
          <w:right w:w="10" w:type="dxa"/>
          <w:bottom w:w="0" w:type="dxa"/>
        </w:tblCellMar>
        <w:tblLook w:val="04A0" w:firstRow="1" w:lastRow="0" w:firstColumn="1" w:lastColumn="0" w:noHBand="0" w:noVBand="1"/>
      </w:tblPr>
      <w:tblGrid>
        <w:gridCol w:w="1013"/>
        <w:gridCol w:w="4920"/>
        <w:gridCol w:w="2290"/>
        <w:gridCol w:w="987"/>
      </w:tblGrid>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序号</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ind w:firstLine="42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磋商文件的商务条款</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响应/偏离</w:t>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说 明</w:t>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磋商申请及声明；</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法定代表人授权委托书及委托代理人的身份证复印件和采购公告前近三个月内任意一个月投标申请人为其缴纳的由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第一章竞争性磋商公告中</w:t>
            </w:r>
            <w:r>
              <w:rPr>
                <w:rFonts w:hint="eastAsia" w:ascii="宋体" w:hAnsi="宋体" w:eastAsia="宋体" w:cs="宋体"/>
                <w:color w:val="auto"/>
                <w:szCs w:val="21"/>
                <w:highlight w:val="none"/>
                <w:lang w:val="zh-CN"/>
              </w:rPr>
              <w:t xml:space="preserve">《中华人民共和国政府采购法》规定的资格条件证明文件</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第一章竞争性磋商公告中采购人根据采购项目的特殊要求规定的特定条件证明文件</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rPr>
                <w:rFonts w:hint="eastAsia" w:ascii="宋体" w:hAnsi="宋体" w:eastAsia="宋体" w:cs="宋体"/>
                <w:color w:val="auto"/>
                <w:highlight w:val="none"/>
                <w14:ligatures w14:val="none"/>
              </w:rPr>
            </w:pPr>
            <w:r>
              <w:rPr>
                <w:rFonts w:hint="eastAsia" w:ascii="宋体" w:hAnsi="宋体" w:eastAsia="宋体" w:cs="宋体"/>
                <w:color w:val="auto"/>
                <w:highlight w:val="none"/>
              </w:rPr>
              <w:t xml:space="preserve">    5</w:t>
            </w: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highlight w:val="none"/>
                <w14:ligatures w14:val="none"/>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南京市政府采购供应商信用承诺书</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14:ligatures w14: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合同草案条款</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供应商认为需要</w:t>
            </w:r>
            <w:r>
              <w:rPr>
                <w:rFonts w:hint="eastAsia" w:ascii="宋体" w:hAnsi="宋体" w:eastAsia="宋体" w:cs="宋体"/>
                <w:color w:val="auto"/>
                <w:szCs w:val="21"/>
                <w:highlight w:val="none"/>
                <w:lang w:val="zh-CN"/>
              </w:rPr>
              <w:t xml:space="preserve">提供的其他资格证明文件和商务资料</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345"/>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（行数不够，自行添加）</w:t>
            </w:r>
            <w:r>
              <w:rPr>
                <w:color w:val="auto"/>
                <w:highlight w:val="none"/>
              </w:rPr>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tc>
      </w:tr>
    </w:tbl>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磋商供应商名称（盖章）:</w:t>
      </w:r>
      <w:r>
        <w:rPr>
          <w:color w:val="auto"/>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color w:val="auto"/>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rPr>
          <w:color w:val="auto"/>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附件八、技术条款偏离表</w:t>
      </w:r>
      <w:r>
        <w:rPr>
          <w:color w:val="auto"/>
          <w:highlight w:val="none"/>
        </w:rPr>
      </w:r>
      <w:r/>
    </w:p>
    <w:p>
      <w:pPr>
        <w:ind w:left="420" w:firstLine="422"/>
        <w:jc w:val="center"/>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技术条款偏离表</w:t>
      </w:r>
      <w:r>
        <w:rPr>
          <w:color w:val="auto"/>
          <w:highlight w:val="none"/>
        </w:rPr>
      </w:r>
      <w:r/>
    </w:p>
    <w:p>
      <w:pPr>
        <w:ind w:firstLine="620"/>
        <w:shd w:val="clear" w:color="auto" w:fill="ffffff"/>
        <w:widowControl/>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rPr>
        <w:t xml:space="preserve">项目名称：</w:t>
      </w:r>
      <w:r>
        <w:rPr>
          <w:color w:val="auto"/>
          <w:highlight w:val="none"/>
        </w:rPr>
      </w:r>
      <w:r/>
    </w:p>
    <w:p>
      <w:pPr>
        <w:ind w:firstLine="620"/>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项目编号：                       </w:t>
      </w:r>
      <w:r>
        <w:rPr>
          <w:color w:val="auto"/>
          <w:highlight w:val="none"/>
        </w:rPr>
      </w:r>
      <w:r/>
    </w:p>
    <w:tbl>
      <w:tblPr>
        <w:tblStyle w:val="872"/>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4228"/>
        <w:gridCol w:w="2492"/>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序号</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磋商文件的</w:t>
            </w:r>
            <w:r>
              <w:rPr>
                <w:rFonts w:hint="eastAsia" w:ascii="宋体" w:hAnsi="宋体" w:eastAsia="宋体" w:cs="宋体"/>
                <w:b/>
                <w:color w:val="auto"/>
                <w:szCs w:val="21"/>
                <w:highlight w:val="none"/>
              </w:rPr>
              <w:t xml:space="preserve">技术</w:t>
            </w:r>
            <w:r>
              <w:rPr>
                <w:rFonts w:hint="eastAsia" w:ascii="宋体" w:hAnsi="宋体" w:eastAsia="宋体" w:cs="宋体"/>
                <w:b/>
                <w:color w:val="auto"/>
                <w:szCs w:val="21"/>
                <w:highlight w:val="none"/>
                <w:lang w:val="zh-CN"/>
              </w:rPr>
              <w:t xml:space="preserve">条款</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响应/偏离</w:t>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说明</w:t>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项目的技术说明或实施方案</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分项报价表</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服务承诺；</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供应商拟投入本项目的人员情况一览表</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供应商认为需要提供的其他技术资料</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（行数不够，自行添加）</w:t>
            </w:r>
            <w:r>
              <w:rPr>
                <w:color w:val="auto"/>
                <w:highlight w:val="none"/>
              </w:rPr>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tc>
      </w:tr>
    </w:tbl>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磋商供应商名称（盖章）:</w:t>
      </w:r>
      <w:r>
        <w:rPr>
          <w:color w:val="auto"/>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color w:val="auto"/>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rPr>
          <w:color w:val="auto"/>
          <w:highlight w:val="none"/>
        </w:rPr>
      </w:r>
      <w:r/>
    </w:p>
    <w:p>
      <w:pPr>
        <w:pStyle w:val="873"/>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附件九、中小企业声明函格式</w:t>
      </w:r>
      <w:r>
        <w:rPr>
          <w:color w:val="auto"/>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中小企业声明函(服务)</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bCs/>
          <w:i/>
          <w:iCs/>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b/>
          <w:bCs/>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 </w:t>
      </w:r>
      <w:r>
        <w:rPr>
          <w:color w:val="auto"/>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b/>
          <w:bCs/>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b/>
          <w:bCs/>
          <w:i/>
          <w:iCs/>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 法承担相应责任。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color w:val="auto"/>
          <w:highlight w:val="none"/>
        </w:rPr>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pStyle w:val="873"/>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附件十、残疾人福利性单位声明函</w:t>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残疾人福利性单位声明函</w:t>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color w:val="auto"/>
          <w:highlight w:val="none"/>
        </w:rPr>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本单位对上述声明的真实性负责。如有虚假，将依法承担相应责任。 </w:t>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324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单位名称（盖章）： </w:t>
      </w:r>
      <w:r>
        <w:rPr>
          <w:color w:val="auto"/>
          <w:highlight w:val="none"/>
        </w:rPr>
      </w:r>
      <w:r/>
    </w:p>
    <w:p>
      <w:pPr>
        <w:ind w:firstLine="324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日 期：</w:t>
      </w:r>
      <w:r>
        <w:rPr>
          <w:color w:val="auto"/>
          <w:highlight w:val="none"/>
        </w:rPr>
      </w:r>
      <w:r/>
    </w:p>
    <w:p>
      <w:pPr>
        <w:pStyle w:val="873"/>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附件十一、属于监狱企业的证明文件</w:t>
      </w:r>
      <w:r>
        <w:rPr>
          <w:color w:val="auto"/>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属于监狱企业的证明文件</w:t>
      </w:r>
      <w:r>
        <w:rPr>
          <w:color w:val="auto"/>
          <w:highlight w:val="none"/>
        </w:rPr>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（提供由省级以上监狱管理局、戒毒管理局(含新疆生产建设兵团)出具的属于监狱企业的证 明文件）（如有）</w:t>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附件十二、节能产品认证文件</w:t>
      </w:r>
      <w:r>
        <w:rPr>
          <w:color w:val="auto"/>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节能产品认证文件</w:t>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（提供产品在《节能产品政府采购清单》中相应的页面）</w:t>
      </w:r>
      <w:r>
        <w:rPr>
          <w:color w:val="auto"/>
          <w:highlight w:val="none"/>
        </w:rPr>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附件十三、环境标志产品认证文件</w:t>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环境标志产品认证文件</w:t>
      </w:r>
      <w:r>
        <w:rPr>
          <w:color w:val="auto"/>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（提供产品在《环境标志产品政府采购清单》中相应的页面）</w:t>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附件十四、进口产品转让技术、消化吸收再创新方案</w:t>
      </w:r>
      <w:r>
        <w:rPr>
          <w:color w:val="auto"/>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进口产品转让技术、消化吸收再创新方案</w:t>
      </w:r>
      <w:r>
        <w:rPr>
          <w:color w:val="auto"/>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（对于允许进口产品参加的项目）</w:t>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pStyle w:val="87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873"/>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rPr>
          <w:rFonts w:hint="eastAsia" w:ascii="宋体" w:hAnsi="宋体" w:eastAsia="宋体" w:cs="宋体"/>
          <w:b/>
          <w:color w:val="auto"/>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15"/>
          <w:szCs w:val="21"/>
          <w:highlight w:val="none"/>
        </w:rPr>
        <w:t xml:space="preserve">附件十五、关于符合本国产品标准的声明函</w:t>
      </w:r>
      <w:r>
        <w:rPr>
          <w:color w:val="auto"/>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rPr>
          <w:color w:val="auto"/>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关于符合本国产品标准的声明函</w:t>
      </w:r>
      <w:r>
        <w:rPr>
          <w:color w:val="auto"/>
          <w:highlight w:val="none"/>
        </w:rPr>
      </w:r>
      <w:r/>
    </w:p>
    <w:p>
      <w:pPr>
        <w:jc w:val="cente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Arial"/>
          <w:b/>
          <w:color w:val="auto"/>
          <w:sz w:val="24"/>
          <w:szCs w:val="24"/>
          <w:highlight w:val="none"/>
        </w:rPr>
        <w:t xml:space="preserve">（</w:t>
      </w:r>
      <w:r>
        <w:rPr>
          <w:rFonts w:hint="eastAsia" w:ascii="Arial" w:hAnsi="Arial" w:eastAsia="宋体" w:cs="Arial"/>
          <w:b/>
          <w:color w:val="auto"/>
          <w:sz w:val="24"/>
          <w:szCs w:val="24"/>
          <w:highlight w:val="none"/>
          <w:lang w:val="zh-CN"/>
        </w:rPr>
        <w:t xml:space="preserve">本国产品标准适用于货物，</w:t>
      </w:r>
      <w:r>
        <w:rPr>
          <w:rFonts w:hint="eastAsia" w:ascii="Arial" w:hAnsi="Arial" w:eastAsia="宋体" w:cs="Arial"/>
          <w:b/>
          <w:color w:val="auto"/>
          <w:sz w:val="24"/>
          <w:szCs w:val="24"/>
          <w:highlight w:val="none"/>
        </w:rPr>
        <w:t xml:space="preserve">本项目为服务无需提供）</w:t>
      </w:r>
      <w:r>
        <w:rPr>
          <w:rFonts w:ascii="Arial" w:hAnsi="Arial" w:eastAsia="Arial" w:cs="Arial"/>
          <w:b/>
          <w:color w:val="auto"/>
          <w:sz w:val="24"/>
          <w:szCs w:val="24"/>
          <w:highlight w:val="none"/>
        </w:rPr>
        <w:t xml:space="preserve"> </w:t>
      </w:r>
      <w:r>
        <w:rPr>
          <w:color w:val="auto"/>
          <w:highlight w:val="none"/>
        </w:rPr>
      </w:r>
      <w:r/>
    </w:p>
    <w:p>
      <w:pPr>
        <w:ind w:firstLine="420"/>
        <w:spacing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ind w:firstLine="420"/>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ascii="宋体" w:hAnsi="宋体" w:eastAsia="宋体" w:cs="宋体"/>
          <w:color w:val="auto"/>
          <w:sz w:val="22"/>
          <w:highlight w:val="none"/>
          <w:u w:val="single"/>
        </w:rPr>
        <w:t xml:space="preserve">（产品名称1）</w:t>
      </w:r>
      <w:r>
        <w:rPr>
          <w:rFonts w:ascii="宋体" w:hAnsi="宋体" w:eastAsia="宋体" w:cs="宋体"/>
          <w:color w:val="auto"/>
          <w:sz w:val="22"/>
          <w:highlight w:val="none"/>
          <w:vertAlign w:val="superscript"/>
        </w:rPr>
        <w:t xml:space="preserve">1</w:t>
      </w:r>
      <w:r>
        <w:rPr>
          <w:rFonts w:ascii="宋体" w:hAnsi="宋体" w:eastAsia="宋体" w:cs="宋体"/>
          <w:color w:val="auto"/>
          <w:sz w:val="22"/>
          <w:highlight w:val="none"/>
        </w:rPr>
        <w:t xml:space="preserve">，生产厂为</w:t>
      </w:r>
      <w:r>
        <w:rPr>
          <w:rFonts w:ascii="宋体" w:hAnsi="宋体" w:eastAsia="宋体" w:cs="宋体"/>
          <w:color w:val="auto"/>
          <w:sz w:val="22"/>
          <w:highlight w:val="none"/>
          <w:u w:val="single"/>
        </w:rPr>
        <w:t xml:space="preserve">（厂名）</w:t>
      </w:r>
      <w:r>
        <w:rPr>
          <w:rFonts w:ascii="宋体" w:hAnsi="宋体" w:eastAsia="宋体" w:cs="宋体"/>
          <w:color w:val="auto"/>
          <w:sz w:val="22"/>
          <w:highlight w:val="none"/>
          <w:vertAlign w:val="superscript"/>
        </w:rPr>
        <w:t xml:space="preserve">2</w:t>
      </w:r>
      <w:r>
        <w:rPr>
          <w:rFonts w:ascii="宋体" w:hAnsi="宋体" w:eastAsia="宋体" w:cs="宋体"/>
          <w:color w:val="auto"/>
          <w:sz w:val="22"/>
          <w:highlight w:val="none"/>
        </w:rPr>
        <w:t xml:space="preserve">，厂址为</w:t>
      </w:r>
      <w:r>
        <w:rPr>
          <w:rFonts w:ascii="宋体" w:hAnsi="宋体" w:eastAsia="宋体" w:cs="宋体"/>
          <w:color w:val="auto"/>
          <w:sz w:val="22"/>
          <w:highlight w:val="none"/>
          <w:u w:val="single"/>
        </w:rPr>
        <w:t xml:space="preserve">（生产厂址）</w:t>
      </w:r>
      <w:r>
        <w:rPr>
          <w:rFonts w:ascii="宋体" w:hAnsi="宋体" w:eastAsia="宋体" w:cs="宋体"/>
          <w:color w:val="auto"/>
          <w:sz w:val="22"/>
          <w:highlight w:val="none"/>
        </w:rPr>
        <w:t xml:space="preserve">。</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的中国境内生产的组件成本占比≥</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vertAlign w:val="superscript"/>
        </w:rPr>
        <w:t xml:space="preserve">3</w:t>
      </w:r>
      <w:r>
        <w:rPr>
          <w:rFonts w:ascii="宋体" w:hAnsi="宋体" w:eastAsia="宋体" w:cs="宋体"/>
          <w:color w:val="auto"/>
          <w:sz w:val="22"/>
          <w:highlight w:val="none"/>
        </w:rPr>
        <w:t xml:space="preserve">。</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的</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vertAlign w:val="superscript"/>
        </w:rPr>
        <w:t xml:space="preserve">4</w:t>
      </w:r>
      <w:r>
        <w:rPr>
          <w:rFonts w:ascii="宋体" w:hAnsi="宋体" w:eastAsia="宋体" w:cs="宋体"/>
          <w:color w:val="auto"/>
          <w:sz w:val="22"/>
          <w:highlight w:val="none"/>
        </w:rPr>
        <w:t xml:space="preserve">在中国境内生产。</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的</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vertAlign w:val="superscript"/>
        </w:rPr>
        <w:t xml:space="preserve">5</w:t>
      </w:r>
      <w:r>
        <w:rPr>
          <w:rFonts w:ascii="宋体" w:hAnsi="宋体" w:eastAsia="宋体" w:cs="宋体"/>
          <w:color w:val="auto"/>
          <w:sz w:val="22"/>
          <w:highlight w:val="none"/>
        </w:rPr>
        <w:t xml:space="preserve">在中国境内完成。</w:t>
      </w:r>
      <w:r>
        <w:rPr>
          <w:color w:val="auto"/>
          <w:highlight w:val="none"/>
        </w:rPr>
      </w:r>
      <w:r/>
    </w:p>
    <w:p>
      <w:pPr>
        <w:ind w:firstLine="420"/>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rPr>
          <w:rFonts w:ascii="宋体" w:hAnsi="宋体" w:eastAsia="宋体" w:cs="宋体"/>
          <w:color w:val="auto"/>
          <w:sz w:val="22"/>
          <w:highlight w:val="none"/>
          <w:u w:val="single"/>
        </w:rPr>
        <w:t xml:space="preserve">（产品名称2）</w:t>
      </w:r>
      <w:r>
        <w:rPr>
          <w:rFonts w:ascii="宋体" w:hAnsi="宋体" w:eastAsia="宋体" w:cs="宋体"/>
          <w:color w:val="auto"/>
          <w:sz w:val="22"/>
          <w:highlight w:val="none"/>
        </w:rPr>
        <w:t xml:space="preserve">，生产厂为</w:t>
      </w:r>
      <w:r>
        <w:rPr>
          <w:rFonts w:ascii="宋体" w:hAnsi="宋体" w:eastAsia="宋体" w:cs="宋体"/>
          <w:color w:val="auto"/>
          <w:sz w:val="22"/>
          <w:highlight w:val="none"/>
          <w:u w:val="single"/>
        </w:rPr>
        <w:t xml:space="preserve">（厂名）</w:t>
      </w:r>
      <w:r>
        <w:rPr>
          <w:rFonts w:ascii="宋体" w:hAnsi="宋体" w:eastAsia="宋体" w:cs="宋体"/>
          <w:color w:val="auto"/>
          <w:sz w:val="22"/>
          <w:highlight w:val="none"/>
        </w:rPr>
        <w:t xml:space="preserve">，厂址为</w:t>
      </w:r>
      <w:r>
        <w:rPr>
          <w:rFonts w:ascii="宋体" w:hAnsi="宋体" w:eastAsia="宋体" w:cs="宋体"/>
          <w:color w:val="auto"/>
          <w:sz w:val="22"/>
          <w:highlight w:val="none"/>
          <w:u w:val="single"/>
        </w:rPr>
        <w:t xml:space="preserve">（生产厂址）</w:t>
      </w:r>
      <w:r>
        <w:rPr>
          <w:rFonts w:ascii="宋体" w:hAnsi="宋体" w:eastAsia="宋体" w:cs="宋体"/>
          <w:color w:val="auto"/>
          <w:sz w:val="22"/>
          <w:highlight w:val="none"/>
        </w:rPr>
        <w:t xml:space="preserve">。</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的中国境内生产的组件成本占比≥</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的</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在中国境内生产。</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的</w:t>
      </w:r>
      <w:r>
        <w:rPr>
          <w:rFonts w:ascii="宋体" w:hAnsi="宋体" w:eastAsia="宋体" w:cs="宋体"/>
          <w:color w:val="auto"/>
          <w:sz w:val="22"/>
          <w:highlight w:val="none"/>
          <w:u w:val="single"/>
        </w:rPr>
        <w:t xml:space="preserve">  /  </w:t>
      </w:r>
      <w:r>
        <w:rPr>
          <w:rFonts w:ascii="宋体" w:hAnsi="宋体" w:eastAsia="宋体" w:cs="宋体"/>
          <w:color w:val="auto"/>
          <w:sz w:val="22"/>
          <w:highlight w:val="none"/>
        </w:rPr>
        <w:t xml:space="preserve">在中国境内完成。</w:t>
      </w:r>
      <w:r>
        <w:rPr>
          <w:color w:val="auto"/>
          <w:highlight w:val="none"/>
        </w:rPr>
      </w:r>
      <w:r/>
    </w:p>
    <w:p>
      <w:pPr>
        <w:ind w:firstLine="420"/>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w:t>
      </w:r>
      <w:r>
        <w:rPr>
          <w:color w:val="auto"/>
          <w:highlight w:val="none"/>
        </w:rPr>
      </w:r>
      <w:r/>
    </w:p>
    <w:p>
      <w:pPr>
        <w:ind w:firstLine="420"/>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本公司（单位）对上述声明内容的真实性负责。如有虚假，愿承担相应法律责任。</w:t>
      </w:r>
      <w:r>
        <w:rPr>
          <w:color w:val="auto"/>
          <w:highlight w:val="none"/>
        </w:rPr>
      </w:r>
      <w:r/>
    </w:p>
    <w:p>
      <w:pPr>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color w:val="auto"/>
          <w:highlight w:val="none"/>
        </w:rPr>
      </w:r>
      <w:r/>
    </w:p>
    <w:p>
      <w:pPr>
        <w:jc w:val="right"/>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公司（单位）名称</w:t>
      </w:r>
      <w:r>
        <w:rPr>
          <w:rFonts w:hint="eastAsia" w:ascii="宋体" w:hAnsi="宋体" w:eastAsia="宋体" w:cs="宋体"/>
          <w:color w:val="auto"/>
          <w:sz w:val="22"/>
          <w:highlight w:val="none"/>
        </w:rPr>
        <w:t xml:space="preserve">（加盖公章扫描上传或电子签章）</w:t>
      </w:r>
      <w:r>
        <w:rPr>
          <w:rFonts w:ascii="宋体" w:hAnsi="宋体" w:eastAsia="宋体" w:cs="宋体"/>
          <w:color w:val="auto"/>
          <w:sz w:val="22"/>
          <w:highlight w:val="none"/>
        </w:rPr>
        <w:t xml:space="preserve">：　        </w:t>
      </w:r>
      <w:r>
        <w:rPr>
          <w:color w:val="auto"/>
          <w:highlight w:val="none"/>
        </w:rPr>
      </w:r>
      <w:r/>
    </w:p>
    <w:p>
      <w:pPr>
        <w:jc w:val="center"/>
        <w:spacing w:before="30" w:after="30" w:line="360" w:lineRule="auto"/>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日期：</w:t>
      </w:r>
      <w:r>
        <w:rPr>
          <w:rFonts w:ascii="宋体" w:hAnsi="宋体" w:eastAsia="宋体" w:cs="宋体"/>
          <w:color w:val="auto"/>
          <w:sz w:val="22"/>
          <w:highlight w:val="none"/>
        </w:rPr>
        <w:t xml:space="preserve">___年____月____日</w:t>
      </w:r>
      <w:r>
        <w:rPr>
          <w:color w:val="auto"/>
          <w:highlight w:val="none"/>
        </w:rPr>
      </w:r>
      <w:r/>
    </w:p>
    <w:p>
      <w:pPr>
        <w:spacing w:before="30" w:after="30"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1.产品如有型号，请在“产品名称”栏一并填写。</w:t>
      </w:r>
      <w:r>
        <w:rPr>
          <w:color w:val="auto"/>
          <w:highlight w:val="none"/>
        </w:rPr>
      </w:r>
      <w:r/>
    </w:p>
    <w:p>
      <w:pPr>
        <w:spacing w:before="30" w:after="30"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2.生产厂名与厂址应与生产厂营业执照载明的相关信息保持一致。</w:t>
      </w:r>
      <w:r>
        <w:rPr>
          <w:color w:val="auto"/>
          <w:highlight w:val="none"/>
        </w:rPr>
      </w:r>
      <w:r/>
    </w:p>
    <w:p>
      <w:pPr>
        <w:spacing w:before="30" w:after="30"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3.该产品的中国境内生产的组件成本占比相关要求实施前，“规定比例”栏可不填，下同。</w:t>
      </w:r>
      <w:r>
        <w:rPr>
          <w:color w:val="auto"/>
          <w:highlight w:val="none"/>
        </w:rPr>
      </w:r>
      <w:r/>
    </w:p>
    <w:p>
      <w:pPr>
        <w:spacing w:before="30" w:after="30"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4.该产品的关键组件要求实施前，“关键组件”栏可不填，下同。</w:t>
      </w:r>
      <w:r>
        <w:rPr>
          <w:color w:val="auto"/>
          <w:highlight w:val="none"/>
        </w:rPr>
      </w:r>
      <w:r/>
    </w:p>
    <w:p>
      <w:pPr>
        <w:spacing w:before="30" w:after="30"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5.该产品的关键工序要求实施前，“关键工序”栏可不填，下同。</w:t>
      </w:r>
      <w:r>
        <w:rPr>
          <w:color w:val="auto"/>
          <w:highlight w:val="none"/>
        </w:rPr>
      </w:r>
      <w:r/>
    </w:p>
    <w:p>
      <w:pPr>
        <w:spacing w:before="30" w:after="30"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6.《声明函》中标注“</w:t>
      </w:r>
      <w:r>
        <w:rPr>
          <w:rFonts w:ascii="宋体" w:hAnsi="宋体" w:eastAsia="宋体" w:cs="宋体"/>
          <w:color w:val="auto"/>
          <w:szCs w:val="21"/>
          <w:highlight w:val="none"/>
          <w:u w:val="single"/>
        </w:rPr>
        <w:t xml:space="preserve">  /  </w:t>
      </w:r>
      <w:r>
        <w:rPr>
          <w:rFonts w:ascii="宋体" w:hAnsi="宋体" w:eastAsia="宋体" w:cs="宋体"/>
          <w:color w:val="auto"/>
          <w:szCs w:val="21"/>
          <w:highlight w:val="none"/>
        </w:rPr>
        <w:t xml:space="preserve">”的地方无需填写。</w:t>
      </w:r>
      <w:r>
        <w:rPr>
          <w:color w:val="auto"/>
          <w:highlight w:val="none"/>
        </w:rPr>
      </w:r>
      <w:r/>
    </w:p>
    <w:p>
      <w:pPr>
        <w:pStyle w:val="873"/>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rPr>
          <w:color w:val="auto"/>
          <w:highlight w:val="none"/>
        </w:rPr>
      </w:r>
      <w:r/>
    </w:p>
    <w:p>
      <w:pPr>
        <w:ind w:firstLine="422"/>
        <w:spacing w:line="240" w:lineRule="atLeast"/>
        <w:widowControl/>
        <w:rPr>
          <w:rFonts w:hint="eastAsia" w:ascii="宋体" w:hAnsi="宋体" w:eastAsia="宋体" w:cs="宋体"/>
          <w:b/>
          <w:color w:val="auto"/>
          <w:highlight w:val="none"/>
        </w:rPr>
        <w:outlineLvl w:val="1"/>
      </w:pPr>
      <w:r>
        <w:rPr>
          <w:color w:val="auto"/>
          <w:highlight w:val="none"/>
        </w:rPr>
      </w:r>
      <w:bookmarkStart w:id="54" w:name="_Toc9407"/>
      <w:r>
        <w:rPr>
          <w:color w:val="auto"/>
          <w:highlight w:val="none"/>
        </w:rPr>
      </w:r>
      <w:bookmarkStart w:id="55" w:name="_Toc58330708"/>
      <w:r>
        <w:rPr>
          <w:color w:val="auto"/>
          <w:highlight w:val="none"/>
        </w:rPr>
      </w:r>
      <w:bookmarkStart w:id="56" w:name="_Toc14286"/>
      <w:r>
        <w:rPr>
          <w:color w:val="auto"/>
          <w:highlight w:val="none"/>
        </w:rPr>
      </w:r>
      <w:bookmarkStart w:id="57" w:name="_Toc11058"/>
      <w:r>
        <w:rPr>
          <w:color w:val="auto"/>
          <w:highlight w:val="none"/>
        </w:rPr>
      </w:r>
      <w:bookmarkStart w:id="58" w:name="_Toc459109600"/>
      <w:r>
        <w:rPr>
          <w:rFonts w:hint="eastAsia" w:ascii="宋体" w:hAnsi="宋体" w:eastAsia="宋体" w:cs="宋体"/>
          <w:b/>
          <w:bCs/>
          <w:color w:val="auto"/>
          <w:szCs w:val="21"/>
          <w:highlight w:val="none"/>
        </w:rPr>
        <w:t xml:space="preserve">附件</w:t>
      </w:r>
      <w:r>
        <w:rPr>
          <w:rFonts w:hint="eastAsia" w:ascii="宋体" w:hAnsi="宋体" w:eastAsia="宋体" w:cs="宋体"/>
          <w:b/>
          <w:color w:val="auto"/>
          <w:highlight w:val="none"/>
        </w:rPr>
        <w:t xml:space="preserve">十六、无重大违法记录声明格式</w:t>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r/>
    </w:p>
    <w:p>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rPr>
          <w:color w:val="auto"/>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南京市房地产市场交易中心：</w:t>
      </w:r>
      <w:r>
        <w:rPr>
          <w:color w:val="auto"/>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（供应商名称）郑重声明：</w:t>
      </w:r>
      <w:r>
        <w:rPr>
          <w:color w:val="auto"/>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参加采购活动前3年内在经营活动中</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（在下划线上如实填写：有或没有）重大违法记录。</w:t>
      </w:r>
      <w:r>
        <w:rPr>
          <w:color w:val="auto"/>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w:t>
      </w:r>
      <w:r>
        <w:rPr>
          <w:color w:val="auto"/>
          <w:highlight w:val="none"/>
        </w:rPr>
      </w:r>
      <w:r/>
    </w:p>
    <w:p>
      <w:pPr>
        <w:ind w:right="444" w:firstLine="444"/>
        <w:jc w:val="center"/>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rPr>
          <w:color w:val="auto"/>
          <w:highlight w:val="none"/>
        </w:rPr>
      </w:r>
      <w:r/>
    </w:p>
    <w:p>
      <w:pPr>
        <w:ind w:firstLine="126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法定代表人或授权代表（签字或盖章）</w:t>
      </w:r>
      <w:r>
        <w:rPr>
          <w:rFonts w:hint="eastAsia" w:ascii="宋体" w:hAnsi="宋体" w:eastAsia="宋体" w:cs="宋体"/>
          <w:color w:val="auto"/>
          <w:szCs w:val="21"/>
          <w:highlight w:val="none"/>
          <w:lang w:val="zh-CN"/>
        </w:rPr>
        <w:t xml:space="preserve">： </w:t>
      </w:r>
      <w:r>
        <w:rPr>
          <w:color w:val="auto"/>
          <w:highlight w:val="none"/>
        </w:rPr>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rPr>
          <w:color w:val="auto"/>
          <w:highlight w:val="none"/>
        </w:rPr>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r/>
    </w:p>
    <w:p>
      <w:pPr>
        <w:ind w:firstLine="422"/>
        <w:jc w:val="righ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ind w:firstLine="422"/>
        <w:spacing w:line="460" w:lineRule="exact"/>
        <w:rPr>
          <w:rFonts w:hint="eastAsia" w:ascii="宋体" w:hAnsi="宋体" w:eastAsia="宋体" w:cs="宋体"/>
          <w:b/>
          <w:bCs/>
          <w:color w:val="auto"/>
          <w:szCs w:val="21"/>
          <w:highlight w:val="none"/>
        </w:rPr>
        <w:outlineLvl w:val="1"/>
      </w:pPr>
      <w:r>
        <w:rPr>
          <w:color w:val="auto"/>
          <w:highlight w:val="none"/>
        </w:rPr>
      </w:r>
      <w:bookmarkStart w:id="59" w:name="_Toc504126844"/>
      <w:r>
        <w:rPr>
          <w:color w:val="auto"/>
          <w:highlight w:val="none"/>
        </w:rPr>
      </w:r>
      <w:bookmarkStart w:id="60" w:name="_Toc27923"/>
      <w:r>
        <w:rPr>
          <w:color w:val="auto"/>
          <w:highlight w:val="none"/>
        </w:rPr>
      </w:r>
      <w:bookmarkStart w:id="61" w:name="_Toc58330709"/>
      <w:r>
        <w:rPr>
          <w:color w:val="auto"/>
          <w:highlight w:val="none"/>
        </w:rPr>
      </w:r>
      <w:bookmarkStart w:id="62" w:name="_Toc506199234"/>
      <w:r>
        <w:rPr>
          <w:color w:val="auto"/>
          <w:highlight w:val="none"/>
        </w:rPr>
      </w:r>
      <w:bookmarkStart w:id="63" w:name="_Toc11616"/>
      <w:r>
        <w:rPr>
          <w:color w:val="auto"/>
          <w:highlight w:val="none"/>
        </w:rPr>
      </w:r>
      <w:r/>
    </w:p>
    <w:p>
      <w:pPr>
        <w:ind w:firstLine="422"/>
        <w:spacing w:line="460" w:lineRule="exact"/>
        <w:rPr>
          <w:rFonts w:hint="eastAsia" w:ascii="宋体" w:hAnsi="宋体" w:eastAsia="宋体" w:cs="宋体"/>
          <w:b/>
          <w:bCs/>
          <w:color w:val="auto"/>
          <w:szCs w:val="21"/>
          <w:highlight w:val="none"/>
        </w:rPr>
        <w:outlineLvl w:val="1"/>
      </w:pPr>
      <w:r>
        <w:rPr>
          <w:color w:val="auto"/>
          <w:highlight w:val="none"/>
        </w:rPr>
      </w:r>
      <w:bookmarkStart w:id="64" w:name="_Toc5434"/>
      <w:r>
        <w:rPr>
          <w:rFonts w:hint="eastAsia" w:ascii="宋体" w:hAnsi="宋体" w:eastAsia="宋体" w:cs="宋体"/>
          <w:b/>
          <w:bCs/>
          <w:color w:val="auto"/>
          <w:szCs w:val="21"/>
          <w:highlight w:val="none"/>
        </w:rPr>
        <w:t xml:space="preserve">附件</w:t>
      </w:r>
      <w:r>
        <w:rPr>
          <w:rFonts w:hint="eastAsia" w:ascii="宋体" w:hAnsi="宋体" w:eastAsia="宋体" w:cs="宋体"/>
          <w:b/>
          <w:color w:val="auto"/>
          <w:highlight w:val="none"/>
        </w:rPr>
        <w:t xml:space="preserve">十七</w:t>
      </w:r>
      <w:r>
        <w:rPr>
          <w:rFonts w:hint="eastAsia" w:ascii="宋体" w:hAnsi="宋体" w:eastAsia="宋体" w:cs="宋体"/>
          <w:b/>
          <w:bCs/>
          <w:color w:val="auto"/>
          <w:szCs w:val="21"/>
          <w:highlight w:val="none"/>
          <w:lang w:val="zh-CN"/>
        </w:rPr>
        <w:t xml:space="preserve">、具备履行合同所必需的设备和专业技术能力的书面声明</w:t>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rPr>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我单位郑重声明：我单位具备履行本项采购合同所必需的设备和专业技术能力，为履行本项采购合同我公司具备如下主要设备和主要专业技术能力：</w:t>
      </w:r>
      <w:r>
        <w:rPr>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主要设备有：</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rPr>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主要专业技术能力有：</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rPr>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color w:val="auto"/>
          <w:highlight w:val="none"/>
        </w:rPr>
      </w:r>
      <w:r/>
    </w:p>
    <w:p>
      <w:pPr>
        <w:ind w:right="84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r>
        <w:rPr>
          <w:color w:val="auto"/>
          <w:highlight w:val="none"/>
        </w:rPr>
      </w:r>
      <w:r/>
    </w:p>
    <w:p>
      <w:pPr>
        <w:ind w:right="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            </w:t>
      </w:r>
      <w:r>
        <w:rPr>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日    期：    年    月   日</w:t>
      </w:r>
      <w:r>
        <w:rPr>
          <w:color w:val="auto"/>
          <w:highlight w:val="none"/>
        </w:rPr>
      </w:r>
      <w:r/>
    </w:p>
    <w:p>
      <w:pPr>
        <w:pStyle w:val="873"/>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rPr>
          <w:color w:val="auto"/>
          <w:highlight w:val="none"/>
        </w:rPr>
      </w:r>
      <w:r/>
    </w:p>
    <w:p>
      <w:pPr>
        <w:ind w:firstLine="422"/>
        <w:spacing w:line="240" w:lineRule="atLeast"/>
        <w:widowControl/>
        <w:rPr>
          <w:rFonts w:hint="eastAsia" w:ascii="宋体" w:hAnsi="宋体" w:eastAsia="宋体" w:cs="宋体"/>
          <w:b/>
          <w:bCs/>
          <w:color w:val="auto"/>
          <w:szCs w:val="21"/>
          <w:highlight w:val="none"/>
        </w:rPr>
        <w:outlineLvl w:val="1"/>
      </w:pPr>
      <w:r>
        <w:rPr>
          <w:color w:val="auto"/>
          <w:highlight w:val="none"/>
        </w:rPr>
      </w:r>
      <w:bookmarkStart w:id="65" w:name="_Toc16117"/>
      <w:r>
        <w:rPr>
          <w:rFonts w:hint="eastAsia" w:ascii="宋体" w:hAnsi="宋体" w:eastAsia="宋体" w:cs="宋体"/>
          <w:b/>
          <w:bCs/>
          <w:color w:val="auto"/>
          <w:szCs w:val="21"/>
          <w:highlight w:val="none"/>
        </w:rPr>
        <w:t xml:space="preserve">目录十八、投标人拟投入本项目服务人员一览表</w:t>
      </w:r>
      <w:bookmarkEnd w:id="65"/>
      <w:r>
        <w:rPr>
          <w:color w:val="auto"/>
          <w:highlight w:val="none"/>
        </w:rPr>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color w:val="auto"/>
          <w:highlight w:val="none"/>
        </w:rPr>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拟投入本项目人员一览表</w:t>
      </w:r>
      <w:r>
        <w:rPr>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rPr>
          <w:color w:val="auto"/>
          <w:highlight w:val="none"/>
        </w:rPr>
      </w:r>
      <w:r/>
    </w:p>
    <w:tbl>
      <w:tblPr>
        <w:tblStyle w:val="872"/>
        <w:tblpPr w:horzAnchor="page" w:tblpX="1534" w:vertAnchor="text" w:tblpY="277" w:leftFromText="180" w:topFromText="0" w:rightFromText="180" w:bottomFromText="0"/>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2"/>
        </w:trPr>
        <w:tc>
          <w:tcPr>
            <w:tcW w:w="752" w:type="dxa"/>
            <w:textDirection w:val="lrTb"/>
            <w:noWrap w:val="false"/>
          </w:tcPr>
          <w:p>
            <w:pPr>
              <w:pStyle w:val="946"/>
              <w:ind w:left="164"/>
              <w:spacing w:before="22"/>
              <w:rPr>
                <w:rFonts w:hint="eastAsia"/>
                <w:b/>
                <w:color w:val="auto"/>
                <w:sz w:val="21"/>
                <w:highlight w:val="none"/>
              </w:rPr>
            </w:pPr>
            <w:r>
              <w:rPr>
                <w:rFonts w:hint="eastAsia"/>
                <w:b/>
                <w:color w:val="auto"/>
                <w:sz w:val="21"/>
                <w:highlight w:val="none"/>
              </w:rPr>
              <w:t xml:space="preserve">序号</w:t>
            </w:r>
            <w:r>
              <w:rPr>
                <w:color w:val="auto"/>
                <w:highlight w:val="none"/>
              </w:rPr>
            </w:r>
            <w:r/>
          </w:p>
        </w:tc>
        <w:tc>
          <w:tcPr>
            <w:tcW w:w="761" w:type="dxa"/>
            <w:textDirection w:val="lrTb"/>
            <w:noWrap w:val="false"/>
          </w:tcPr>
          <w:p>
            <w:pPr>
              <w:pStyle w:val="946"/>
              <w:ind w:left="168"/>
              <w:spacing w:before="22"/>
              <w:rPr>
                <w:rFonts w:hint="eastAsia"/>
                <w:b/>
                <w:color w:val="auto"/>
                <w:sz w:val="21"/>
                <w:highlight w:val="none"/>
              </w:rPr>
            </w:pPr>
            <w:r>
              <w:rPr>
                <w:rFonts w:hint="eastAsia"/>
                <w:b/>
                <w:color w:val="auto"/>
                <w:sz w:val="21"/>
                <w:highlight w:val="none"/>
              </w:rPr>
              <w:t xml:space="preserve">姓名</w:t>
            </w:r>
            <w:r>
              <w:rPr>
                <w:color w:val="auto"/>
                <w:highlight w:val="none"/>
              </w:rPr>
            </w:r>
            <w:r/>
          </w:p>
        </w:tc>
        <w:tc>
          <w:tcPr>
            <w:tcW w:w="705" w:type="dxa"/>
            <w:textDirection w:val="lrTb"/>
            <w:noWrap w:val="false"/>
          </w:tcPr>
          <w:p>
            <w:pPr>
              <w:pStyle w:val="946"/>
              <w:ind w:left="141"/>
              <w:spacing w:before="22"/>
              <w:rPr>
                <w:rFonts w:hint="eastAsia"/>
                <w:b/>
                <w:color w:val="auto"/>
                <w:sz w:val="21"/>
                <w:highlight w:val="none"/>
              </w:rPr>
            </w:pPr>
            <w:r>
              <w:rPr>
                <w:rFonts w:hint="eastAsia"/>
                <w:b/>
                <w:color w:val="auto"/>
                <w:sz w:val="21"/>
                <w:highlight w:val="none"/>
              </w:rPr>
              <w:t xml:space="preserve">性别</w:t>
            </w:r>
            <w:r>
              <w:rPr>
                <w:color w:val="auto"/>
                <w:highlight w:val="none"/>
              </w:rPr>
            </w:r>
            <w:r/>
          </w:p>
        </w:tc>
        <w:tc>
          <w:tcPr>
            <w:tcW w:w="1105" w:type="dxa"/>
            <w:textDirection w:val="lrTb"/>
            <w:noWrap w:val="false"/>
          </w:tcPr>
          <w:p>
            <w:pPr>
              <w:pStyle w:val="946"/>
              <w:ind w:left="130"/>
              <w:spacing w:before="22"/>
              <w:rPr>
                <w:rFonts w:hint="eastAsia"/>
                <w:b/>
                <w:color w:val="auto"/>
                <w:sz w:val="21"/>
                <w:highlight w:val="none"/>
              </w:rPr>
            </w:pPr>
            <w:r>
              <w:rPr>
                <w:rFonts w:hint="eastAsia"/>
                <w:b/>
                <w:color w:val="auto"/>
                <w:sz w:val="21"/>
                <w:highlight w:val="none"/>
              </w:rPr>
              <w:t xml:space="preserve">执业资格</w:t>
            </w:r>
            <w:r>
              <w:rPr>
                <w:color w:val="auto"/>
                <w:highlight w:val="none"/>
              </w:rPr>
            </w:r>
            <w:r/>
          </w:p>
        </w:tc>
        <w:tc>
          <w:tcPr>
            <w:tcW w:w="1105" w:type="dxa"/>
            <w:textDirection w:val="lrTb"/>
            <w:noWrap w:val="false"/>
          </w:tcPr>
          <w:p>
            <w:pPr>
              <w:pStyle w:val="946"/>
              <w:ind w:left="340"/>
              <w:spacing w:before="22"/>
              <w:rPr>
                <w:rFonts w:hint="eastAsia"/>
                <w:b/>
                <w:color w:val="auto"/>
                <w:sz w:val="21"/>
                <w:highlight w:val="none"/>
              </w:rPr>
            </w:pPr>
            <w:r>
              <w:rPr>
                <w:rFonts w:hint="eastAsia"/>
                <w:b/>
                <w:color w:val="auto"/>
                <w:sz w:val="21"/>
                <w:highlight w:val="none"/>
              </w:rPr>
              <w:t xml:space="preserve">专业</w:t>
            </w:r>
            <w:r>
              <w:rPr>
                <w:color w:val="auto"/>
                <w:highlight w:val="none"/>
              </w:rPr>
            </w:r>
            <w:r/>
          </w:p>
        </w:tc>
        <w:tc>
          <w:tcPr>
            <w:tcW w:w="1080" w:type="dxa"/>
            <w:textDirection w:val="lrTb"/>
            <w:noWrap w:val="false"/>
          </w:tcPr>
          <w:p>
            <w:pPr>
              <w:pStyle w:val="946"/>
              <w:ind w:left="118"/>
              <w:spacing w:before="22"/>
              <w:rPr>
                <w:rFonts w:hint="eastAsia"/>
                <w:b/>
                <w:color w:val="auto"/>
                <w:sz w:val="21"/>
                <w:highlight w:val="none"/>
              </w:rPr>
            </w:pPr>
            <w:r>
              <w:rPr>
                <w:rFonts w:hint="eastAsia"/>
                <w:b/>
                <w:color w:val="auto"/>
                <w:sz w:val="21"/>
                <w:highlight w:val="none"/>
              </w:rPr>
              <w:t xml:space="preserve">技术职称</w:t>
            </w:r>
            <w:r>
              <w:rPr>
                <w:color w:val="auto"/>
                <w:highlight w:val="none"/>
              </w:rPr>
            </w:r>
            <w:r/>
          </w:p>
        </w:tc>
        <w:tc>
          <w:tcPr>
            <w:tcW w:w="2294" w:type="dxa"/>
            <w:textDirection w:val="lrTb"/>
            <w:noWrap w:val="false"/>
          </w:tcPr>
          <w:p>
            <w:pPr>
              <w:pStyle w:val="946"/>
              <w:ind w:left="200"/>
              <w:spacing w:before="22"/>
              <w:rPr>
                <w:rFonts w:hint="eastAsia"/>
                <w:b/>
                <w:color w:val="auto"/>
                <w:sz w:val="21"/>
                <w:highlight w:val="none"/>
              </w:rPr>
            </w:pPr>
            <w:r>
              <w:rPr>
                <w:rFonts w:hint="eastAsia"/>
                <w:b/>
                <w:color w:val="auto"/>
                <w:sz w:val="21"/>
                <w:highlight w:val="none"/>
              </w:rPr>
              <w:t xml:space="preserve">在本项目从事的岗位</w:t>
            </w:r>
            <w:r>
              <w:rPr>
                <w:color w:val="auto"/>
                <w:highlight w:val="none"/>
              </w:rPr>
            </w:r>
            <w:r/>
          </w:p>
        </w:tc>
        <w:tc>
          <w:tcPr>
            <w:tcW w:w="1484" w:type="dxa"/>
            <w:textDirection w:val="lrTb"/>
            <w:noWrap w:val="false"/>
          </w:tcPr>
          <w:p>
            <w:pPr>
              <w:pStyle w:val="946"/>
              <w:ind w:left="320"/>
              <w:spacing w:before="22"/>
              <w:tabs>
                <w:tab w:val="left" w:pos="954" w:leader="none"/>
              </w:tabs>
              <w:rPr>
                <w:rFonts w:hint="eastAsia"/>
                <w:b/>
                <w:color w:val="auto"/>
                <w:sz w:val="21"/>
                <w:highlight w:val="none"/>
              </w:rPr>
            </w:pPr>
            <w:r>
              <w:rPr>
                <w:rFonts w:hint="eastAsia"/>
                <w:b/>
                <w:color w:val="auto"/>
                <w:sz w:val="21"/>
                <w:highlight w:val="none"/>
              </w:rPr>
              <w:t xml:space="preserve">备</w:t>
            </w:r>
            <w:r>
              <w:rPr>
                <w:rFonts w:hint="eastAsia"/>
                <w:b/>
                <w:color w:val="auto"/>
                <w:sz w:val="21"/>
                <w:highlight w:val="none"/>
              </w:rPr>
              <w:tab/>
            </w:r>
            <w:r>
              <w:rPr>
                <w:rFonts w:hint="eastAsia"/>
                <w:b/>
                <w:color w:val="auto"/>
                <w:sz w:val="21"/>
                <w:highlight w:val="none"/>
              </w:rPr>
              <w:t xml:space="preserve">注</w:t>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1"/>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2"/>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r>
        <w:trPr>
          <w:trHeight w:val="311"/>
        </w:trPr>
        <w:tc>
          <w:tcPr>
            <w:tcW w:w="752"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61"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7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105"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080"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229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c>
          <w:tcPr>
            <w:tcW w:w="1484" w:type="dxa"/>
            <w:textDirection w:val="lrTb"/>
            <w:noWrap w:val="false"/>
          </w:tcPr>
          <w:p>
            <w:pPr>
              <w:pStyle w:val="946"/>
              <w:rPr>
                <w:rFonts w:hint="eastAsia"/>
                <w:color w:val="auto"/>
                <w:sz w:val="20"/>
                <w:highlight w:val="none"/>
              </w:rPr>
            </w:pPr>
            <w:r>
              <w:rPr>
                <w:rFonts w:hint="eastAsia"/>
                <w:color w:val="auto"/>
                <w:sz w:val="20"/>
                <w:highlight w:val="none"/>
              </w:rPr>
            </w:r>
            <w:r>
              <w:rPr>
                <w:color w:val="auto"/>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rPr>
          <w:color w:val="auto"/>
          <w:highlight w:val="none"/>
        </w:rPr>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rPr>
          <w:color w:val="auto"/>
          <w:highlight w:val="none"/>
        </w:rPr>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pStyle w:val="918"/>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r/>
    </w:p>
    <w:p>
      <w:pPr>
        <w:pStyle w:val="918"/>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r/>
    </w:p>
    <w:p>
      <w:pPr>
        <w:ind w:firstLine="42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目录十九、投标人拟投入本</w:t>
      </w:r>
      <w:r>
        <w:rPr>
          <w:rFonts w:hint="eastAsia" w:ascii="宋体" w:hAnsi="宋体" w:eastAsia="宋体" w:cs="宋体"/>
          <w:b/>
          <w:bCs/>
          <w:color w:val="auto"/>
          <w:szCs w:val="21"/>
          <w:highlight w:val="none"/>
        </w:rPr>
        <w:t xml:space="preserve">项目的设备名称及型号</w:t>
      </w:r>
      <w:r>
        <w:rPr>
          <w:color w:val="auto"/>
          <w:highlight w:val="none"/>
        </w:rPr>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拟投入本项目的设备名称及型号一览表</w:t>
      </w:r>
      <w:r>
        <w:rPr>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rPr>
          <w:color w:val="auto"/>
          <w:highlight w:val="none"/>
        </w:rPr>
      </w:r>
      <w:r/>
    </w:p>
    <w:tbl>
      <w:tblPr>
        <w:tblStyle w:val="872"/>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560"/>
        <w:gridCol w:w="1276"/>
        <w:gridCol w:w="1276"/>
        <w:gridCol w:w="1276"/>
        <w:gridCol w:w="1133"/>
        <w:gridCol w:w="1134"/>
        <w:gridCol w:w="851"/>
      </w:tblGrid>
      <w:tr>
        <w:trPr>
          <w:jc w:val="center"/>
          <w:trHeight w:val="339"/>
        </w:trPr>
        <w:tc>
          <w:tcPr>
            <w:tcW w:w="112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rPr>
                <w:color w:val="auto"/>
                <w:highlight w:val="none"/>
              </w:rPr>
            </w:r>
            <w:r/>
          </w:p>
        </w:tc>
        <w:tc>
          <w:tcPr>
            <w:tcW w:w="156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设备名称</w:t>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rPr>
                <w:color w:val="auto"/>
                <w:highlight w:val="none"/>
              </w:rPr>
            </w:r>
            <w:r/>
          </w:p>
        </w:tc>
        <w:tc>
          <w:tcPr>
            <w:tcW w:w="12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rPr>
                <w:color w:val="auto"/>
                <w:highlight w:val="none"/>
              </w:rPr>
            </w:r>
            <w:r/>
          </w:p>
        </w:tc>
        <w:tc>
          <w:tcPr>
            <w:tcW w:w="11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功率</w:t>
            </w:r>
            <w:r>
              <w:rPr>
                <w:color w:val="auto"/>
                <w:highlight w:val="none"/>
              </w:rPr>
            </w:r>
            <w:r/>
          </w:p>
        </w:tc>
        <w:tc>
          <w:tcPr>
            <w:tcW w:w="113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生产年限</w:t>
            </w:r>
            <w:r>
              <w:rPr>
                <w:color w:val="auto"/>
                <w:highlight w:val="none"/>
              </w:rPr>
            </w:r>
            <w:r/>
          </w:p>
        </w:tc>
        <w:tc>
          <w:tcPr>
            <w:tcW w:w="85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rPr>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rPr>
        <w:t xml:space="preserve"> </w:t>
      </w:r>
      <w:r>
        <w:rPr>
          <w:rFonts w:hint="eastAsia" w:ascii="宋体" w:hAnsi="宋体" w:eastAsia="宋体" w:cs="宋体"/>
          <w:color w:val="auto"/>
          <w:szCs w:val="21"/>
          <w:highlight w:val="none"/>
        </w:rPr>
        <w:t xml:space="preserve">说明：如果行数不够，请自行增加。</w:t>
      </w:r>
      <w:r>
        <w:rPr>
          <w:color w:val="auto"/>
          <w:highlight w:val="none"/>
        </w:rPr>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rPr>
          <w:color w:val="auto"/>
          <w:highlight w:val="none"/>
        </w:rPr>
      </w:r>
      <w:r/>
    </w:p>
    <w:p>
      <w:pPr>
        <w:pStyle w:val="918"/>
        <w:ind w:firstLine="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pStyle w:val="918"/>
        <w:ind w:firstLine="210"/>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r/>
    </w:p>
    <w:p>
      <w:pPr>
        <w:ind w:firstLine="482"/>
        <w:jc w:val="left"/>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rPr>
          <w:color w:val="auto"/>
          <w:highlight w:val="none"/>
        </w:rPr>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附件二十</w:t>
      </w:r>
      <w:r>
        <w:rPr>
          <w:rFonts w:hint="eastAsia" w:ascii="宋体" w:hAnsi="宋体" w:eastAsia="宋体" w:cs="宋体"/>
          <w:b/>
          <w:bCs/>
          <w:color w:val="auto"/>
          <w:szCs w:val="21"/>
          <w:highlight w:val="none"/>
          <w:lang w:val="zh-CN"/>
        </w:rPr>
        <w:t xml:space="preserve">、</w:t>
      </w:r>
      <w:r>
        <w:rPr>
          <w:rFonts w:hint="eastAsia" w:ascii="宋体" w:hAnsi="宋体" w:eastAsia="宋体" w:cs="宋体"/>
          <w:b/>
          <w:color w:val="auto"/>
          <w:spacing w:val="15"/>
          <w:szCs w:val="21"/>
          <w:highlight w:val="none"/>
        </w:rPr>
        <w:t xml:space="preserve">磋商供应商认为需提供的其他资料</w:t>
      </w:r>
      <w:r>
        <w:rPr>
          <w:rFonts w:hint="eastAsia" w:ascii="宋体" w:hAnsi="宋体" w:eastAsia="宋体" w:cs="宋体"/>
          <w:b/>
          <w:bCs/>
          <w:color w:val="auto"/>
          <w:szCs w:val="21"/>
          <w:highlight w:val="none"/>
        </w:rPr>
        <w:t xml:space="preserve">（若有）</w:t>
      </w:r>
      <w:r>
        <w:rPr>
          <w:color w:val="auto"/>
          <w:highlight w:val="none"/>
        </w:rPr>
      </w:r>
      <w:r/>
    </w:p>
    <w:p>
      <w:pPr>
        <w:pStyle w:val="87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文鼎CS中宋">
    <w:panose1 w:val="020B0503020202020204"/>
  </w:font>
  <w:font w:name="Tahoma">
    <w:panose1 w:val="020B0604030504040204"/>
  </w:font>
  <w:font w:name="Cambria">
    <w:panose1 w:val="0204050305040603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FZFSJW--GB1-0">
    <w:panose1 w:val="020B0503020202020204"/>
  </w:font>
  <w:font w:name="微软雅黑">
    <w:panose1 w:val="020B0503020204020204"/>
  </w:font>
  <w:font w:name="Calibri">
    <w:panose1 w:val="020F0502020204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fldSimple w:instr="PAGE \* MERGEFORMAT">
      <w:r>
        <w:t xml:space="preserve">1</w:t>
      </w:r>
    </w:fldSimple>
    <w:r/>
    <w:r/>
  </w:p>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fldSimple w:instr="PAGE \* MERGEFORMAT">
      <w:r>
        <w:t xml:space="preserve">1</w:t>
      </w:r>
    </w:fldSimple>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pPr>
    <w:r>
      <w:rPr>
        <w:rFonts w:hint="eastAsia"/>
      </w:rPr>
      <w:t xml:space="preserve"> 南京市房屋租赁监管平台运维服务项目</w:t>
    </w:r>
    <w:r/>
  </w:p>
  <w:p>
    <w:pPr>
      <w:pStyle w:val="898"/>
      <w:jc w:val="left"/>
      <w:pBdr>
        <w:bottom w:val="none" w:color="auto"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rFonts w:hint="eastAsia"/>
      </w:rPr>
      <w:t xml:space="preserve"> </w:t>
    </w:r>
    <w:r>
      <w:t xml:space="preserve">                                                       </w:t>
    </w:r>
    <w:r>
      <w:rPr>
        <w:rFonts w:hint="eastAsia"/>
      </w:rPr>
      <w:t xml:space="preserve">南京市房屋租赁服务监管平台运维服务项目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egacy w:legacy="1" w:legacyIndent="0" w:legacySpace="454"/>
      <w:lvlJc w:val="center"/>
      <w:pPr/>
    </w:lvl>
    <w:lvl w:ilvl="1">
      <w:start w:val="1"/>
      <w:numFmt w:val="chineseCountingThousand"/>
      <w:pStyle w:val="1320"/>
      <w:isLgl w:val="false"/>
      <w:suff w:val="tab"/>
      <w:lvlText w:val="第%2节"/>
      <w:legacy w:legacy="1" w:legacyIndent="0" w:legacySpace="340"/>
      <w:lvlJc w:val="center"/>
      <w:pPr/>
    </w:lvl>
    <w:lvl w:ilvl="2">
      <w:start w:val="1"/>
      <w:numFmt w:val="chineseCountingThousand"/>
      <w:isLgl w:val="false"/>
      <w:suff w:val="tab"/>
      <w:lvlText w:val="%3"/>
      <w:legacy w:legacy="1" w:legacyIndent="0" w:legacySpace="227"/>
      <w:lvlJc w:val="left"/>
      <w:pPr/>
    </w:lvl>
    <w:lvl w:ilvl="3">
      <w:start w:val="1"/>
      <w:numFmt w:val="chineseCountingThousand"/>
      <w:isLgl w:val="false"/>
      <w:suff w:val="tab"/>
      <w:lvlText w:val="(%4)"/>
      <w:legacy w:legacy="1" w:legacyIndent="0" w:legacySpace="113"/>
      <w:lvlJc w:val="left"/>
      <w:pPr/>
    </w:lvl>
    <w:lvl w:ilvl="4">
      <w:start w:val="1"/>
      <w:numFmt w:val="decimal"/>
      <w:isLgl w:val="false"/>
      <w:suff w:val="tab"/>
      <w:lvlText w:val="%5."/>
      <w:legacy w:legacy="1" w:legacyIndent="0" w:legacySpace="113"/>
      <w:lvlJc w:val="left"/>
      <w:pPr>
        <w:ind w:left="0" w:firstLine="0"/>
      </w:pPr>
    </w:lvl>
    <w:lvl w:ilvl="5">
      <w:start w:val="1"/>
      <w:numFmt w:val="decimal"/>
      <w:isLgl w:val="false"/>
      <w:suff w:val="tab"/>
      <w:lvlText w:val="(%6)"/>
      <w:legacy w:legacy="1" w:legacyIndent="0" w:legacySpace="113"/>
      <w:lvlJc w:val="left"/>
      <w:pPr/>
    </w:lvl>
    <w:lvl w:ilvl="6">
      <w:start w:val="1"/>
      <w:numFmt w:val="lowerRoman"/>
      <w:isLgl w:val="false"/>
      <w:suff w:val="tab"/>
      <w:lvlText w:val="%7"/>
      <w:legacy w:legacy="1" w:legacyIndent="0" w:legacySpace="113"/>
      <w:lvlJc w:val="left"/>
      <w:pPr>
        <w:ind w:left="0" w:firstLine="0"/>
      </w:pPr>
    </w:lvl>
    <w:lvl w:ilvl="7">
      <w:start w:val="1"/>
      <w:numFmt w:val="lowerRoman"/>
      <w:isLgl w:val="false"/>
      <w:suff w:val="tab"/>
      <w:lvlText w:val="(%8)"/>
      <w:legacy w:legacy="1" w:legacyIndent="0" w:legacySpace="113"/>
      <w:lvlJc w:val="left"/>
      <w:pPr>
        <w:ind w:left="0" w:firstLine="0"/>
      </w:pPr>
    </w:lvl>
    <w:lvl w:ilvl="8">
      <w:start w:val="1"/>
      <w:numFmt w:val="lowerLetter"/>
      <w:isLgl w:val="false"/>
      <w:suff w:val="tab"/>
      <w:lvlText w:val="%9)"/>
      <w:legacy w:legacy="1" w:legacyIndent="0" w:legacySpace="113"/>
      <w:lvlJc w:val="left"/>
      <w:pPr>
        <w:ind w:left="0" w:firstLine="0"/>
      </w:pPr>
    </w:lvl>
  </w:abstractNum>
  <w:abstractNum w:abstractNumId="3">
    <w:multiLevelType w:val="hybridMultilevel"/>
    <w:lvl w:ilvl="0">
      <w:start w:val="1"/>
      <w:numFmt w:val="chineseCounting"/>
      <w:pStyle w:val="1121"/>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japaneseCounting"/>
      <w:pStyle w:val="1182"/>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699" w:hanging="601"/>
      </w:pPr>
      <w:rPr>
        <w:rFonts w:hint="default" w:ascii="宋体" w:hAnsi="宋体" w:eastAsia="宋体" w:cs="宋体"/>
        <w:sz w:val="22"/>
        <w:szCs w:val="22"/>
        <w:lang w:val="zh-CN" w:eastAsia="zh-CN" w:bidi="zh-CN"/>
      </w:rPr>
    </w:lvl>
    <w:lvl w:ilvl="1">
      <w:start w:val="0"/>
      <w:numFmt w:val="bullet"/>
      <w:isLgl w:val="false"/>
      <w:suff w:val="tab"/>
      <w:lvlText w:val="•"/>
      <w:lvlJc w:val="left"/>
      <w:pPr>
        <w:ind w:left="2560" w:hanging="601"/>
      </w:pPr>
      <w:rPr>
        <w:rFonts w:hint="default"/>
        <w:lang w:val="zh-CN" w:eastAsia="zh-CN" w:bidi="zh-CN"/>
      </w:rPr>
    </w:lvl>
    <w:lvl w:ilvl="2">
      <w:start w:val="0"/>
      <w:numFmt w:val="bullet"/>
      <w:isLgl w:val="false"/>
      <w:suff w:val="tab"/>
      <w:lvlText w:val="•"/>
      <w:lvlJc w:val="left"/>
      <w:pPr>
        <w:ind w:left="3421" w:hanging="601"/>
      </w:pPr>
      <w:rPr>
        <w:rFonts w:hint="default"/>
        <w:lang w:val="zh-CN" w:eastAsia="zh-CN" w:bidi="zh-CN"/>
      </w:rPr>
    </w:lvl>
    <w:lvl w:ilvl="3">
      <w:start w:val="0"/>
      <w:numFmt w:val="bullet"/>
      <w:isLgl w:val="false"/>
      <w:suff w:val="tab"/>
      <w:lvlText w:val="•"/>
      <w:lvlJc w:val="left"/>
      <w:pPr>
        <w:ind w:left="4281" w:hanging="601"/>
      </w:pPr>
      <w:rPr>
        <w:rFonts w:hint="default"/>
        <w:lang w:val="zh-CN" w:eastAsia="zh-CN" w:bidi="zh-CN"/>
      </w:rPr>
    </w:lvl>
    <w:lvl w:ilvl="4">
      <w:start w:val="0"/>
      <w:numFmt w:val="bullet"/>
      <w:isLgl w:val="false"/>
      <w:suff w:val="tab"/>
      <w:lvlText w:val="•"/>
      <w:lvlJc w:val="left"/>
      <w:pPr>
        <w:ind w:left="5142" w:hanging="601"/>
      </w:pPr>
      <w:rPr>
        <w:rFonts w:hint="default"/>
        <w:lang w:val="zh-CN" w:eastAsia="zh-CN" w:bidi="zh-CN"/>
      </w:rPr>
    </w:lvl>
    <w:lvl w:ilvl="5">
      <w:start w:val="0"/>
      <w:numFmt w:val="bullet"/>
      <w:isLgl w:val="false"/>
      <w:suff w:val="tab"/>
      <w:lvlText w:val="•"/>
      <w:lvlJc w:val="left"/>
      <w:pPr>
        <w:ind w:left="6003" w:hanging="601"/>
      </w:pPr>
      <w:rPr>
        <w:rFonts w:hint="default"/>
        <w:lang w:val="zh-CN" w:eastAsia="zh-CN" w:bidi="zh-CN"/>
      </w:rPr>
    </w:lvl>
    <w:lvl w:ilvl="6">
      <w:start w:val="0"/>
      <w:numFmt w:val="bullet"/>
      <w:isLgl w:val="false"/>
      <w:suff w:val="tab"/>
      <w:lvlText w:val="•"/>
      <w:lvlJc w:val="left"/>
      <w:pPr>
        <w:ind w:left="6863" w:hanging="601"/>
      </w:pPr>
      <w:rPr>
        <w:rFonts w:hint="default"/>
        <w:lang w:val="zh-CN" w:eastAsia="zh-CN" w:bidi="zh-CN"/>
      </w:rPr>
    </w:lvl>
    <w:lvl w:ilvl="7">
      <w:start w:val="0"/>
      <w:numFmt w:val="bullet"/>
      <w:isLgl w:val="false"/>
      <w:suff w:val="tab"/>
      <w:lvlText w:val="•"/>
      <w:lvlJc w:val="left"/>
      <w:pPr>
        <w:ind w:left="7724" w:hanging="601"/>
      </w:pPr>
      <w:rPr>
        <w:rFonts w:hint="default"/>
        <w:lang w:val="zh-CN" w:eastAsia="zh-CN" w:bidi="zh-CN"/>
      </w:rPr>
    </w:lvl>
    <w:lvl w:ilvl="8">
      <w:start w:val="0"/>
      <w:numFmt w:val="bullet"/>
      <w:isLgl w:val="false"/>
      <w:suff w:val="tab"/>
      <w:lvlText w:val="•"/>
      <w:lvlJc w:val="left"/>
      <w:pPr>
        <w:ind w:left="8584" w:hanging="601"/>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699" w:hanging="601"/>
      </w:pPr>
      <w:rPr>
        <w:rFonts w:hint="default" w:ascii="宋体" w:hAnsi="宋体" w:eastAsia="宋体" w:cs="宋体"/>
        <w:sz w:val="22"/>
        <w:szCs w:val="22"/>
        <w:lang w:val="zh-CN" w:eastAsia="zh-CN" w:bidi="zh-CN"/>
      </w:rPr>
    </w:lvl>
    <w:lvl w:ilvl="1">
      <w:start w:val="0"/>
      <w:numFmt w:val="bullet"/>
      <w:isLgl w:val="false"/>
      <w:suff w:val="tab"/>
      <w:lvlText w:val="•"/>
      <w:lvlJc w:val="left"/>
      <w:pPr>
        <w:ind w:left="2560" w:hanging="601"/>
      </w:pPr>
      <w:rPr>
        <w:rFonts w:hint="default"/>
        <w:lang w:val="zh-CN" w:eastAsia="zh-CN" w:bidi="zh-CN"/>
      </w:rPr>
    </w:lvl>
    <w:lvl w:ilvl="2">
      <w:start w:val="0"/>
      <w:numFmt w:val="bullet"/>
      <w:isLgl w:val="false"/>
      <w:suff w:val="tab"/>
      <w:lvlText w:val="•"/>
      <w:lvlJc w:val="left"/>
      <w:pPr>
        <w:ind w:left="3421" w:hanging="601"/>
      </w:pPr>
      <w:rPr>
        <w:rFonts w:hint="default"/>
        <w:lang w:val="zh-CN" w:eastAsia="zh-CN" w:bidi="zh-CN"/>
      </w:rPr>
    </w:lvl>
    <w:lvl w:ilvl="3">
      <w:start w:val="0"/>
      <w:numFmt w:val="bullet"/>
      <w:isLgl w:val="false"/>
      <w:suff w:val="tab"/>
      <w:lvlText w:val="•"/>
      <w:lvlJc w:val="left"/>
      <w:pPr>
        <w:ind w:left="4281" w:hanging="601"/>
      </w:pPr>
      <w:rPr>
        <w:rFonts w:hint="default"/>
        <w:lang w:val="zh-CN" w:eastAsia="zh-CN" w:bidi="zh-CN"/>
      </w:rPr>
    </w:lvl>
    <w:lvl w:ilvl="4">
      <w:start w:val="0"/>
      <w:numFmt w:val="bullet"/>
      <w:isLgl w:val="false"/>
      <w:suff w:val="tab"/>
      <w:lvlText w:val="•"/>
      <w:lvlJc w:val="left"/>
      <w:pPr>
        <w:ind w:left="5142" w:hanging="601"/>
      </w:pPr>
      <w:rPr>
        <w:rFonts w:hint="default"/>
        <w:lang w:val="zh-CN" w:eastAsia="zh-CN" w:bidi="zh-CN"/>
      </w:rPr>
    </w:lvl>
    <w:lvl w:ilvl="5">
      <w:start w:val="0"/>
      <w:numFmt w:val="bullet"/>
      <w:isLgl w:val="false"/>
      <w:suff w:val="tab"/>
      <w:lvlText w:val="•"/>
      <w:lvlJc w:val="left"/>
      <w:pPr>
        <w:ind w:left="6003" w:hanging="601"/>
      </w:pPr>
      <w:rPr>
        <w:rFonts w:hint="default"/>
        <w:lang w:val="zh-CN" w:eastAsia="zh-CN" w:bidi="zh-CN"/>
      </w:rPr>
    </w:lvl>
    <w:lvl w:ilvl="6">
      <w:start w:val="0"/>
      <w:numFmt w:val="bullet"/>
      <w:isLgl w:val="false"/>
      <w:suff w:val="tab"/>
      <w:lvlText w:val="•"/>
      <w:lvlJc w:val="left"/>
      <w:pPr>
        <w:ind w:left="6863" w:hanging="601"/>
      </w:pPr>
      <w:rPr>
        <w:rFonts w:hint="default"/>
        <w:lang w:val="zh-CN" w:eastAsia="zh-CN" w:bidi="zh-CN"/>
      </w:rPr>
    </w:lvl>
    <w:lvl w:ilvl="7">
      <w:start w:val="0"/>
      <w:numFmt w:val="bullet"/>
      <w:isLgl w:val="false"/>
      <w:suff w:val="tab"/>
      <w:lvlText w:val="•"/>
      <w:lvlJc w:val="left"/>
      <w:pPr>
        <w:ind w:left="7724" w:hanging="601"/>
      </w:pPr>
      <w:rPr>
        <w:rFonts w:hint="default"/>
        <w:lang w:val="zh-CN" w:eastAsia="zh-CN" w:bidi="zh-CN"/>
      </w:rPr>
    </w:lvl>
    <w:lvl w:ilvl="8">
      <w:start w:val="0"/>
      <w:numFmt w:val="bullet"/>
      <w:isLgl w:val="false"/>
      <w:suff w:val="tab"/>
      <w:lvlText w:val="•"/>
      <w:lvlJc w:val="left"/>
      <w:pPr>
        <w:ind w:left="8584" w:hanging="601"/>
      </w:pPr>
      <w:rPr>
        <w:rFonts w:hint="default"/>
        <w:lang w:val="zh-CN" w:eastAsia="zh-CN" w:bidi="zh-CN"/>
      </w:rPr>
    </w:lvl>
  </w:abstractNum>
  <w:abstractNum w:abstractNumId="8">
    <w:multiLevelType w:val="hybridMultilevel"/>
    <w:lvl w:ilvl="0">
      <w:start w:val="1"/>
      <w:numFmt w:val="japaneseCounting"/>
      <w:pStyle w:val="1112"/>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864"/>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84"/>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209"/>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3"/>
  </w:num>
  <w:num w:numId="3">
    <w:abstractNumId w:val="4"/>
  </w:num>
  <w:num w:numId="4">
    <w:abstractNumId w:val="9"/>
  </w:num>
  <w:num w:numId="5">
    <w:abstractNumId w:val="2"/>
  </w:num>
  <w:num w:numId="6">
    <w:abstractNumId w:val="0"/>
  </w:num>
  <w:num w:numId="7">
    <w:abstractNumId w:val="5"/>
  </w:num>
  <w:num w:numId="8">
    <w:abstractNumId w:val="1"/>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Caption"/>
    <w:basedOn w:val="861"/>
    <w:next w:val="861"/>
    <w:uiPriority w:val="35"/>
    <w:semiHidden/>
    <w:unhideWhenUsed/>
    <w:qFormat/>
    <w:pPr>
      <w:spacing w:line="276" w:lineRule="auto"/>
    </w:pPr>
    <w:rPr>
      <w:b/>
      <w:bCs/>
      <w:color w:val="4f81bd" w:themeColor="accent1"/>
      <w:sz w:val="18"/>
      <w:szCs w:val="18"/>
    </w:rPr>
  </w:style>
  <w:style w:type="paragraph" w:styleId="713">
    <w:name w:val="footnote text"/>
    <w:basedOn w:val="861"/>
    <w:link w:val="858"/>
    <w:uiPriority w:val="99"/>
    <w:semiHidden/>
    <w:unhideWhenUsed/>
    <w:pPr>
      <w:spacing w:after="40" w:line="240" w:lineRule="auto"/>
    </w:pPr>
    <w:rPr>
      <w:sz w:val="18"/>
    </w:rPr>
  </w:style>
  <w:style w:type="character" w:styleId="714">
    <w:name w:val="footnote reference"/>
    <w:basedOn w:val="871"/>
    <w:uiPriority w:val="99"/>
    <w:unhideWhenUsed/>
    <w:rPr>
      <w:vertAlign w:val="superscript"/>
    </w:rPr>
  </w:style>
  <w:style w:type="paragraph" w:styleId="715">
    <w:name w:val="endnote text"/>
    <w:basedOn w:val="861"/>
    <w:link w:val="859"/>
    <w:uiPriority w:val="99"/>
    <w:semiHidden/>
    <w:unhideWhenUsed/>
    <w:pPr>
      <w:spacing w:after="0" w:line="240" w:lineRule="auto"/>
    </w:pPr>
    <w:rPr>
      <w:sz w:val="20"/>
    </w:rPr>
  </w:style>
  <w:style w:type="character" w:styleId="716">
    <w:name w:val="endnote reference"/>
    <w:basedOn w:val="871"/>
    <w:uiPriority w:val="99"/>
    <w:semiHidden/>
    <w:unhideWhenUsed/>
    <w:rPr>
      <w:vertAlign w:val="superscript"/>
    </w:rPr>
  </w:style>
  <w:style w:type="character" w:styleId="717">
    <w:name w:val="Heading 1 Char"/>
    <w:basedOn w:val="871"/>
    <w:link w:val="862"/>
    <w:uiPriority w:val="9"/>
    <w:rPr>
      <w:rFonts w:ascii="Arial" w:hAnsi="Arial" w:eastAsia="Arial" w:cs="Arial"/>
      <w:sz w:val="40"/>
      <w:szCs w:val="40"/>
    </w:rPr>
  </w:style>
  <w:style w:type="character" w:styleId="718">
    <w:name w:val="Heading 2 Char"/>
    <w:basedOn w:val="871"/>
    <w:link w:val="863"/>
    <w:uiPriority w:val="9"/>
    <w:rPr>
      <w:rFonts w:ascii="Arial" w:hAnsi="Arial" w:eastAsia="Arial" w:cs="Arial"/>
      <w:sz w:val="34"/>
    </w:rPr>
  </w:style>
  <w:style w:type="character" w:styleId="719">
    <w:name w:val="Heading 3 Char"/>
    <w:basedOn w:val="871"/>
    <w:link w:val="864"/>
    <w:uiPriority w:val="9"/>
    <w:rPr>
      <w:rFonts w:ascii="Arial" w:hAnsi="Arial" w:eastAsia="Arial" w:cs="Arial"/>
      <w:sz w:val="30"/>
      <w:szCs w:val="30"/>
    </w:rPr>
  </w:style>
  <w:style w:type="character" w:styleId="720">
    <w:name w:val="Heading 4 Char"/>
    <w:basedOn w:val="871"/>
    <w:link w:val="865"/>
    <w:uiPriority w:val="9"/>
    <w:rPr>
      <w:rFonts w:ascii="Arial" w:hAnsi="Arial" w:eastAsia="Arial" w:cs="Arial"/>
      <w:b/>
      <w:bCs/>
      <w:sz w:val="26"/>
      <w:szCs w:val="26"/>
    </w:rPr>
  </w:style>
  <w:style w:type="character" w:styleId="721">
    <w:name w:val="Heading 5 Char"/>
    <w:basedOn w:val="871"/>
    <w:link w:val="866"/>
    <w:uiPriority w:val="9"/>
    <w:rPr>
      <w:rFonts w:ascii="Arial" w:hAnsi="Arial" w:eastAsia="Arial" w:cs="Arial"/>
      <w:b/>
      <w:bCs/>
      <w:sz w:val="24"/>
      <w:szCs w:val="24"/>
    </w:rPr>
  </w:style>
  <w:style w:type="character" w:styleId="722">
    <w:name w:val="Heading 6 Char"/>
    <w:basedOn w:val="871"/>
    <w:link w:val="867"/>
    <w:uiPriority w:val="9"/>
    <w:rPr>
      <w:rFonts w:ascii="Arial" w:hAnsi="Arial" w:eastAsia="Arial" w:cs="Arial"/>
      <w:b/>
      <w:bCs/>
      <w:sz w:val="22"/>
      <w:szCs w:val="22"/>
    </w:rPr>
  </w:style>
  <w:style w:type="character" w:styleId="723">
    <w:name w:val="Heading 7 Char"/>
    <w:basedOn w:val="871"/>
    <w:link w:val="868"/>
    <w:uiPriority w:val="9"/>
    <w:rPr>
      <w:rFonts w:ascii="Arial" w:hAnsi="Arial" w:eastAsia="Arial" w:cs="Arial"/>
      <w:b/>
      <w:bCs/>
      <w:i/>
      <w:iCs/>
      <w:sz w:val="22"/>
      <w:szCs w:val="22"/>
    </w:rPr>
  </w:style>
  <w:style w:type="character" w:styleId="724">
    <w:name w:val="Heading 8 Char"/>
    <w:basedOn w:val="871"/>
    <w:link w:val="869"/>
    <w:uiPriority w:val="9"/>
    <w:rPr>
      <w:rFonts w:ascii="Arial" w:hAnsi="Arial" w:eastAsia="Arial" w:cs="Arial"/>
      <w:i/>
      <w:iCs/>
      <w:sz w:val="22"/>
      <w:szCs w:val="22"/>
    </w:rPr>
  </w:style>
  <w:style w:type="character" w:styleId="725">
    <w:name w:val="Heading 9 Char"/>
    <w:basedOn w:val="871"/>
    <w:link w:val="870"/>
    <w:uiPriority w:val="9"/>
    <w:rPr>
      <w:rFonts w:ascii="Arial" w:hAnsi="Arial" w:eastAsia="Arial" w:cs="Arial"/>
      <w:i/>
      <w:iCs/>
      <w:sz w:val="21"/>
      <w:szCs w:val="21"/>
    </w:rPr>
  </w:style>
  <w:style w:type="character" w:styleId="726">
    <w:name w:val="Title Char"/>
    <w:basedOn w:val="871"/>
    <w:link w:val="916"/>
    <w:uiPriority w:val="10"/>
    <w:rPr>
      <w:sz w:val="48"/>
      <w:szCs w:val="48"/>
    </w:rPr>
  </w:style>
  <w:style w:type="character" w:styleId="727">
    <w:name w:val="Subtitle Char"/>
    <w:basedOn w:val="871"/>
    <w:link w:val="904"/>
    <w:uiPriority w:val="11"/>
    <w:rPr>
      <w:sz w:val="24"/>
      <w:szCs w:val="24"/>
    </w:rPr>
  </w:style>
  <w:style w:type="character" w:styleId="728">
    <w:name w:val="Quote Char"/>
    <w:link w:val="1007"/>
    <w:uiPriority w:val="29"/>
    <w:rPr>
      <w:i/>
    </w:rPr>
  </w:style>
  <w:style w:type="character" w:styleId="729">
    <w:name w:val="Intense Quote Char"/>
    <w:link w:val="1015"/>
    <w:uiPriority w:val="30"/>
    <w:rPr>
      <w:i/>
    </w:rPr>
  </w:style>
  <w:style w:type="character" w:styleId="730">
    <w:name w:val="Header Char"/>
    <w:basedOn w:val="871"/>
    <w:link w:val="898"/>
    <w:uiPriority w:val="99"/>
  </w:style>
  <w:style w:type="character" w:styleId="731">
    <w:name w:val="Footer Char"/>
    <w:basedOn w:val="871"/>
    <w:link w:val="897"/>
    <w:uiPriority w:val="99"/>
  </w:style>
  <w:style w:type="character" w:styleId="732">
    <w:name w:val="Caption Char"/>
    <w:link w:val="897"/>
    <w:uiPriority w:val="99"/>
  </w:style>
  <w:style w:type="table" w:styleId="733">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uiPriority w:val="99"/>
    <w:rPr>
      <w:sz w:val="18"/>
    </w:rPr>
  </w:style>
  <w:style w:type="character" w:styleId="859">
    <w:name w:val="Endnote Text Char"/>
    <w:uiPriority w:val="99"/>
    <w:rPr>
      <w:sz w:val="20"/>
    </w:rPr>
  </w:style>
  <w:style w:type="paragraph" w:styleId="860">
    <w:name w:val="TOC Heading"/>
    <w:uiPriority w:val="39"/>
    <w:unhideWhenUsed/>
  </w:style>
  <w:style w:type="paragraph" w:styleId="861" w:default="1">
    <w:name w:val="Normal"/>
    <w:qFormat/>
  </w:style>
  <w:style w:type="paragraph" w:styleId="862">
    <w:name w:val="Heading 1"/>
    <w:basedOn w:val="861"/>
    <w:next w:val="861"/>
    <w:uiPriority w:val="9"/>
    <w:qFormat/>
    <w:pPr>
      <w:keepLines/>
      <w:keepNext/>
      <w:spacing w:before="480" w:after="200"/>
      <w:outlineLvl w:val="0"/>
    </w:pPr>
    <w:rPr>
      <w:rFonts w:ascii="Arial" w:hAnsi="Arial" w:eastAsia="Arial" w:cs="Arial"/>
      <w:sz w:val="40"/>
      <w:szCs w:val="40"/>
    </w:rPr>
  </w:style>
  <w:style w:type="paragraph" w:styleId="863">
    <w:name w:val="Heading 2"/>
    <w:basedOn w:val="861"/>
    <w:next w:val="861"/>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uiPriority w:val="9"/>
    <w:unhideWhenUsed/>
    <w:qFormat/>
    <w:pPr>
      <w:keepLines/>
      <w:keepNext/>
      <w:spacing w:before="320" w:after="200"/>
      <w:outlineLvl w:val="8"/>
    </w:pPr>
    <w:rPr>
      <w:rFonts w:ascii="Arial" w:hAnsi="Arial" w:eastAsia="Arial" w:cs="Arial"/>
      <w:i/>
      <w:iCs/>
      <w:sz w:val="21"/>
      <w:szCs w:val="21"/>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paragraph" w:styleId="873">
    <w:name w:val="Normal Indent"/>
    <w:basedOn w:val="861"/>
    <w:link w:val="952"/>
    <w:uiPriority w:val="0"/>
    <w:unhideWhenUsed/>
    <w:qFormat/>
    <w:pPr>
      <w:ind w:firstLine="420"/>
    </w:pPr>
  </w:style>
  <w:style w:type="paragraph" w:styleId="874">
    <w:name w:val="List 3"/>
    <w:basedOn w:val="861"/>
    <w:uiPriority w:val="0"/>
    <w:qFormat/>
    <w:pPr>
      <w:ind w:left="1260" w:hanging="420"/>
    </w:pPr>
    <w:rPr>
      <w:rFonts w:ascii="Times New Roman" w:hAnsi="Times New Roman" w:eastAsia="Calibri" w:cs="宋体"/>
      <w:sz w:val="20"/>
      <w:szCs w:val="20"/>
      <w:lang w:val="zh-CN"/>
    </w:rPr>
  </w:style>
  <w:style w:type="paragraph" w:styleId="875">
    <w:name w:val="toc 7"/>
    <w:basedOn w:val="861"/>
    <w:next w:val="861"/>
    <w:uiPriority w:val="0"/>
    <w:qFormat/>
    <w:pPr>
      <w:ind w:left="1260"/>
      <w:jc w:val="left"/>
    </w:pPr>
    <w:rPr>
      <w:rFonts w:ascii="Times New Roman" w:hAnsi="Times New Roman" w:eastAsia="Calibri" w:cs="宋体"/>
      <w:sz w:val="18"/>
      <w:szCs w:val="20"/>
      <w:lang w:val="zh-CN"/>
    </w:rPr>
  </w:style>
  <w:style w:type="paragraph" w:styleId="876">
    <w:name w:val="List Number 2"/>
    <w:basedOn w:val="861"/>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877">
    <w:name w:val="index 8"/>
    <w:basedOn w:val="861"/>
    <w:next w:val="861"/>
    <w:uiPriority w:val="0"/>
    <w:qFormat/>
    <w:pPr>
      <w:ind w:left="2940"/>
    </w:pPr>
    <w:rPr>
      <w:rFonts w:ascii="Times New Roman" w:hAnsi="Times New Roman" w:eastAsia="Calibri" w:cs="宋体"/>
      <w:sz w:val="20"/>
      <w:szCs w:val="20"/>
      <w:lang w:val="zh-CN"/>
    </w:rPr>
  </w:style>
  <w:style w:type="paragraph" w:styleId="878">
    <w:name w:val="List Number"/>
    <w:basedOn w:val="861"/>
    <w:uiPriority w:val="0"/>
    <w:qFormat/>
    <w:pPr>
      <w:ind w:left="2952" w:hanging="432"/>
      <w:tabs>
        <w:tab w:val="left" w:pos="2952" w:leader="none"/>
      </w:tabs>
    </w:pPr>
    <w:rPr>
      <w:rFonts w:ascii="Times New Roman" w:hAnsi="Times New Roman" w:eastAsia="Calibri" w:cs="宋体"/>
      <w:sz w:val="20"/>
      <w:szCs w:val="20"/>
      <w:lang w:val="zh-CN"/>
    </w:rPr>
  </w:style>
  <w:style w:type="paragraph" w:styleId="879">
    <w:name w:val="index 5"/>
    <w:basedOn w:val="861"/>
    <w:next w:val="861"/>
    <w:uiPriority w:val="0"/>
    <w:qFormat/>
    <w:pPr>
      <w:ind w:left="1680"/>
    </w:pPr>
    <w:rPr>
      <w:rFonts w:ascii="Times New Roman" w:hAnsi="Times New Roman" w:eastAsia="Calibri" w:cs="宋体"/>
      <w:sz w:val="20"/>
      <w:szCs w:val="20"/>
      <w:lang w:val="zh-CN"/>
    </w:rPr>
  </w:style>
  <w:style w:type="paragraph" w:styleId="880">
    <w:name w:val="Document Map"/>
    <w:basedOn w:val="861"/>
    <w:link w:val="970"/>
    <w:uiPriority w:val="0"/>
    <w:qFormat/>
    <w:pPr>
      <w:shd w:val="clear" w:color="auto" w:fill="000080"/>
    </w:pPr>
    <w:rPr>
      <w:rFonts w:ascii="Times New Roman" w:hAnsi="Times New Roman" w:eastAsia="Calibri" w:cs="宋体"/>
      <w:sz w:val="20"/>
      <w:szCs w:val="20"/>
      <w:lang w:val="zh-CN"/>
    </w:rPr>
  </w:style>
  <w:style w:type="paragraph" w:styleId="881">
    <w:name w:val="annotation text"/>
    <w:basedOn w:val="861"/>
    <w:link w:val="959"/>
    <w:uiPriority w:val="0"/>
    <w:unhideWhenUsed/>
    <w:qFormat/>
    <w:pPr>
      <w:jc w:val="left"/>
    </w:pPr>
  </w:style>
  <w:style w:type="paragraph" w:styleId="882">
    <w:name w:val="index 6"/>
    <w:basedOn w:val="861"/>
    <w:next w:val="861"/>
    <w:uiPriority w:val="0"/>
    <w:qFormat/>
    <w:pPr>
      <w:ind w:left="2100"/>
    </w:pPr>
    <w:rPr>
      <w:rFonts w:ascii="Times New Roman" w:hAnsi="Times New Roman" w:eastAsia="Calibri" w:cs="宋体"/>
      <w:sz w:val="20"/>
      <w:szCs w:val="20"/>
      <w:lang w:val="zh-CN"/>
    </w:rPr>
  </w:style>
  <w:style w:type="paragraph" w:styleId="883">
    <w:name w:val="Salutation"/>
    <w:basedOn w:val="861"/>
    <w:next w:val="861"/>
    <w:link w:val="971"/>
    <w:uiPriority w:val="0"/>
    <w:qFormat/>
    <w:rPr>
      <w:rFonts w:ascii="仿宋_GB2312" w:hAnsi="Times New Roman" w:eastAsia="仿宋_GB2312" w:cs="宋体"/>
      <w:sz w:val="28"/>
      <w:szCs w:val="20"/>
      <w:lang w:val="zh-CN"/>
    </w:rPr>
  </w:style>
  <w:style w:type="paragraph" w:styleId="884">
    <w:name w:val="Body Text 3"/>
    <w:basedOn w:val="861"/>
    <w:link w:val="972"/>
    <w:uiPriority w:val="0"/>
    <w:qFormat/>
    <w:rPr>
      <w:rFonts w:ascii="仿宋_GB2312" w:hAnsi="Times New Roman" w:eastAsia="仿宋_GB2312" w:cs="宋体"/>
      <w:sz w:val="32"/>
      <w:szCs w:val="20"/>
      <w:lang w:val="zh-CN"/>
    </w:rPr>
  </w:style>
  <w:style w:type="paragraph" w:styleId="885">
    <w:name w:val="Body Text"/>
    <w:basedOn w:val="861"/>
    <w:next w:val="861"/>
    <w:link w:val="940"/>
    <w:uiPriority w:val="0"/>
    <w:qFormat/>
    <w:pPr>
      <w:ind w:left="118"/>
      <w:jc w:val="left"/>
      <w:spacing w:before="133"/>
    </w:pPr>
    <w:rPr>
      <w:rFonts w:ascii="宋体" w:hAnsi="宋体" w:cs="Times New Roman"/>
      <w:szCs w:val="21"/>
      <w:lang w:eastAsia="en-US"/>
    </w:rPr>
  </w:style>
  <w:style w:type="paragraph" w:styleId="886">
    <w:name w:val="Body Text Indent"/>
    <w:basedOn w:val="861"/>
    <w:next w:val="887"/>
    <w:link w:val="973"/>
    <w:uiPriority w:val="0"/>
    <w:qFormat/>
    <w:pPr>
      <w:ind w:left="200"/>
      <w:spacing w:after="120"/>
    </w:pPr>
    <w:rPr>
      <w:rFonts w:ascii="Times New Roman" w:hAnsi="Times New Roman" w:eastAsia="Calibri" w:cs="宋体"/>
      <w:sz w:val="20"/>
      <w:szCs w:val="20"/>
      <w:lang w:val="zh-CN"/>
    </w:rPr>
  </w:style>
  <w:style w:type="paragraph" w:styleId="887">
    <w:name w:val="envelope return"/>
    <w:basedOn w:val="861"/>
    <w:uiPriority w:val="99"/>
    <w:unhideWhenUsed/>
    <w:qFormat/>
    <w:rPr>
      <w:rFonts w:ascii="Arial" w:hAnsi="Arial" w:cs="Arial"/>
    </w:rPr>
  </w:style>
  <w:style w:type="paragraph" w:styleId="888">
    <w:name w:val="index 4"/>
    <w:basedOn w:val="861"/>
    <w:next w:val="861"/>
    <w:uiPriority w:val="0"/>
    <w:qFormat/>
    <w:pPr>
      <w:ind w:left="600"/>
    </w:pPr>
    <w:rPr>
      <w:rFonts w:ascii="Times New Roman" w:hAnsi="Times New Roman" w:eastAsia="宋体" w:cs="Times New Roman"/>
      <w:szCs w:val="24"/>
    </w:rPr>
  </w:style>
  <w:style w:type="paragraph" w:styleId="889">
    <w:name w:val="toc 5"/>
    <w:basedOn w:val="861"/>
    <w:next w:val="861"/>
    <w:uiPriority w:val="0"/>
    <w:qFormat/>
    <w:pPr>
      <w:ind w:left="800"/>
    </w:pPr>
    <w:rPr>
      <w:rFonts w:ascii="Times New Roman" w:hAnsi="Times New Roman" w:eastAsia="Calibri" w:cs="宋体"/>
      <w:sz w:val="20"/>
      <w:szCs w:val="20"/>
      <w:lang w:val="zh-CN"/>
    </w:rPr>
  </w:style>
  <w:style w:type="paragraph" w:styleId="890">
    <w:name w:val="toc 3"/>
    <w:basedOn w:val="861"/>
    <w:next w:val="861"/>
    <w:uiPriority w:val="0"/>
    <w:qFormat/>
    <w:pPr>
      <w:ind w:left="400"/>
    </w:pPr>
    <w:rPr>
      <w:rFonts w:ascii="Times New Roman" w:hAnsi="Times New Roman" w:eastAsia="Calibri" w:cs="宋体"/>
      <w:sz w:val="20"/>
      <w:szCs w:val="20"/>
      <w:lang w:val="zh-CN"/>
    </w:rPr>
  </w:style>
  <w:style w:type="paragraph" w:styleId="891">
    <w:name w:val="Plain Text"/>
    <w:basedOn w:val="861"/>
    <w:link w:val="943"/>
    <w:uiPriority w:val="0"/>
    <w:qFormat/>
    <w:rPr>
      <w:rFonts w:ascii="宋体" w:hAnsi="Courier New" w:eastAsia="宋体" w:cs="Times New Roman"/>
      <w:szCs w:val="21"/>
    </w:rPr>
  </w:style>
  <w:style w:type="paragraph" w:styleId="892">
    <w:name w:val="toc 8"/>
    <w:basedOn w:val="861"/>
    <w:next w:val="861"/>
    <w:uiPriority w:val="0"/>
    <w:qFormat/>
    <w:pPr>
      <w:ind w:left="1470"/>
      <w:jc w:val="left"/>
    </w:pPr>
    <w:rPr>
      <w:rFonts w:ascii="Times New Roman" w:hAnsi="Times New Roman" w:eastAsia="Calibri" w:cs="宋体"/>
      <w:sz w:val="18"/>
      <w:szCs w:val="20"/>
      <w:lang w:val="zh-CN"/>
    </w:rPr>
  </w:style>
  <w:style w:type="paragraph" w:styleId="893">
    <w:name w:val="index 3"/>
    <w:basedOn w:val="861"/>
    <w:next w:val="861"/>
    <w:uiPriority w:val="0"/>
    <w:qFormat/>
    <w:pPr>
      <w:ind w:left="840"/>
    </w:pPr>
    <w:rPr>
      <w:rFonts w:ascii="Times New Roman" w:hAnsi="Times New Roman" w:eastAsia="Calibri" w:cs="宋体"/>
      <w:sz w:val="20"/>
      <w:szCs w:val="20"/>
      <w:lang w:val="zh-CN"/>
    </w:rPr>
  </w:style>
  <w:style w:type="paragraph" w:styleId="894">
    <w:name w:val="Date"/>
    <w:basedOn w:val="861"/>
    <w:next w:val="861"/>
    <w:link w:val="931"/>
    <w:uiPriority w:val="0"/>
    <w:unhideWhenUsed/>
    <w:qFormat/>
    <w:pPr>
      <w:ind w:left="100"/>
    </w:pPr>
  </w:style>
  <w:style w:type="paragraph" w:styleId="895">
    <w:name w:val="Body Text Indent 2"/>
    <w:basedOn w:val="861"/>
    <w:link w:val="974"/>
    <w:uiPriority w:val="0"/>
    <w:qFormat/>
    <w:pPr>
      <w:ind w:left="630" w:firstLine="645"/>
    </w:pPr>
    <w:rPr>
      <w:rFonts w:ascii="Arial" w:hAnsi="Arial" w:eastAsia="仿宋_GB2312" w:cs="宋体"/>
      <w:sz w:val="32"/>
      <w:szCs w:val="20"/>
      <w:lang w:val="zh-CN"/>
    </w:rPr>
  </w:style>
  <w:style w:type="paragraph" w:styleId="896">
    <w:name w:val="Balloon Text"/>
    <w:basedOn w:val="861"/>
    <w:link w:val="961"/>
    <w:uiPriority w:val="0"/>
    <w:qFormat/>
    <w:rPr>
      <w:rFonts w:ascii="Calibri" w:hAnsi="Calibri" w:eastAsia="宋体" w:cs="Times New Roman"/>
      <w:sz w:val="16"/>
      <w:szCs w:val="16"/>
    </w:rPr>
  </w:style>
  <w:style w:type="paragraph" w:styleId="897">
    <w:name w:val="Footer"/>
    <w:basedOn w:val="861"/>
    <w:uiPriority w:val="99"/>
    <w:unhideWhenUsed/>
    <w:pPr>
      <w:spacing w:after="0" w:line="240" w:lineRule="auto"/>
      <w:tabs>
        <w:tab w:val="center" w:pos="7143" w:leader="none"/>
        <w:tab w:val="right" w:pos="14287" w:leader="none"/>
      </w:tabs>
    </w:pPr>
  </w:style>
  <w:style w:type="paragraph" w:styleId="898">
    <w:name w:val="Header"/>
    <w:basedOn w:val="861"/>
    <w:uiPriority w:val="99"/>
    <w:unhideWhenUsed/>
    <w:pPr>
      <w:spacing w:after="0" w:line="240" w:lineRule="auto"/>
      <w:tabs>
        <w:tab w:val="center" w:pos="7143" w:leader="none"/>
        <w:tab w:val="right" w:pos="14287" w:leader="none"/>
      </w:tabs>
    </w:pPr>
  </w:style>
  <w:style w:type="paragraph" w:styleId="899">
    <w:name w:val="Signature"/>
    <w:basedOn w:val="861"/>
    <w:link w:val="976"/>
    <w:uiPriority w:val="0"/>
    <w:qFormat/>
    <w:pPr>
      <w:jc w:val="center"/>
      <w:spacing w:after="600" w:line="312" w:lineRule="atLeast"/>
    </w:pPr>
    <w:rPr>
      <w:rFonts w:ascii="Times New Roman" w:hAnsi="Times New Roman" w:eastAsia="仿宋_GB2312" w:cs="宋体"/>
      <w:sz w:val="24"/>
      <w:szCs w:val="20"/>
      <w:lang w:val="zh-CN"/>
    </w:rPr>
  </w:style>
  <w:style w:type="paragraph" w:styleId="900">
    <w:name w:val="toc 1"/>
    <w:basedOn w:val="861"/>
    <w:next w:val="861"/>
    <w:uiPriority w:val="0"/>
    <w:qFormat/>
    <w:pPr>
      <w:jc w:val="left"/>
    </w:pPr>
    <w:rPr>
      <w:rFonts w:ascii="Times New Roman" w:hAnsi="Times New Roman" w:eastAsia="楷体_GB2312" w:cs="Times New Roman"/>
      <w:sz w:val="24"/>
      <w:szCs w:val="20"/>
    </w:rPr>
  </w:style>
  <w:style w:type="paragraph" w:styleId="901">
    <w:name w:val="toc 4"/>
    <w:basedOn w:val="861"/>
    <w:next w:val="861"/>
    <w:uiPriority w:val="0"/>
    <w:qFormat/>
    <w:pPr>
      <w:ind w:left="600"/>
    </w:pPr>
    <w:rPr>
      <w:rFonts w:ascii="Times New Roman" w:hAnsi="Times New Roman" w:eastAsia="Calibri" w:cs="宋体"/>
      <w:sz w:val="20"/>
      <w:szCs w:val="20"/>
      <w:lang w:val="zh-CN"/>
    </w:rPr>
  </w:style>
  <w:style w:type="paragraph" w:styleId="902">
    <w:name w:val="index heading"/>
    <w:basedOn w:val="861"/>
    <w:next w:val="903"/>
    <w:uiPriority w:val="0"/>
    <w:qFormat/>
    <w:rPr>
      <w:rFonts w:ascii="Times New Roman" w:hAnsi="Times New Roman" w:eastAsia="Calibri" w:cs="宋体"/>
      <w:sz w:val="20"/>
      <w:szCs w:val="20"/>
      <w:lang w:val="zh-CN"/>
    </w:rPr>
  </w:style>
  <w:style w:type="paragraph" w:styleId="903">
    <w:name w:val="index 1"/>
    <w:basedOn w:val="861"/>
    <w:next w:val="861"/>
    <w:uiPriority w:val="0"/>
    <w:unhideWhenUsed/>
    <w:qFormat/>
  </w:style>
  <w:style w:type="paragraph" w:styleId="904">
    <w:name w:val="Subtitle"/>
    <w:basedOn w:val="861"/>
    <w:next w:val="861"/>
    <w:uiPriority w:val="11"/>
    <w:qFormat/>
    <w:pPr>
      <w:spacing w:before="200" w:after="200"/>
    </w:pPr>
    <w:rPr>
      <w:sz w:val="24"/>
      <w:szCs w:val="24"/>
    </w:rPr>
  </w:style>
  <w:style w:type="paragraph" w:styleId="905">
    <w:name w:val="toc 6"/>
    <w:basedOn w:val="861"/>
    <w:next w:val="861"/>
    <w:uiPriority w:val="0"/>
    <w:qFormat/>
    <w:pPr>
      <w:ind w:left="1050"/>
      <w:jc w:val="left"/>
    </w:pPr>
    <w:rPr>
      <w:rFonts w:ascii="Times New Roman" w:hAnsi="Times New Roman" w:eastAsia="Calibri" w:cs="宋体"/>
      <w:sz w:val="18"/>
      <w:szCs w:val="20"/>
      <w:lang w:val="zh-CN"/>
    </w:rPr>
  </w:style>
  <w:style w:type="paragraph" w:styleId="906">
    <w:name w:val="Body Text Indent 3"/>
    <w:basedOn w:val="861"/>
    <w:link w:val="979"/>
    <w:uiPriority w:val="0"/>
    <w:qFormat/>
    <w:pPr>
      <w:ind w:left="645" w:firstLine="645"/>
    </w:pPr>
    <w:rPr>
      <w:rFonts w:ascii="Arial" w:hAnsi="Arial" w:eastAsia="仿宋_GB2312" w:cs="宋体"/>
      <w:color w:val="ffff00"/>
      <w:sz w:val="32"/>
      <w:szCs w:val="20"/>
      <w:lang w:val="zh-CN"/>
    </w:rPr>
  </w:style>
  <w:style w:type="paragraph" w:styleId="907">
    <w:name w:val="index 7"/>
    <w:basedOn w:val="861"/>
    <w:next w:val="861"/>
    <w:uiPriority w:val="0"/>
    <w:qFormat/>
    <w:pPr>
      <w:ind w:left="2520"/>
    </w:pPr>
    <w:rPr>
      <w:rFonts w:ascii="Times New Roman" w:hAnsi="Times New Roman" w:eastAsia="Calibri" w:cs="宋体"/>
      <w:sz w:val="20"/>
      <w:szCs w:val="20"/>
      <w:lang w:val="zh-CN"/>
    </w:rPr>
  </w:style>
  <w:style w:type="paragraph" w:styleId="908">
    <w:name w:val="index 9"/>
    <w:basedOn w:val="861"/>
    <w:next w:val="861"/>
    <w:uiPriority w:val="0"/>
    <w:qFormat/>
    <w:pPr>
      <w:ind w:left="3360"/>
    </w:pPr>
    <w:rPr>
      <w:rFonts w:ascii="Times New Roman" w:hAnsi="Times New Roman" w:eastAsia="Calibri" w:cs="宋体"/>
      <w:sz w:val="20"/>
      <w:szCs w:val="20"/>
      <w:lang w:val="zh-CN"/>
    </w:rPr>
  </w:style>
  <w:style w:type="paragraph" w:styleId="909">
    <w:name w:val="table of figures"/>
    <w:basedOn w:val="861"/>
    <w:next w:val="861"/>
    <w:uiPriority w:val="0"/>
    <w:qFormat/>
    <w:pPr>
      <w:ind w:left="840" w:hanging="420"/>
    </w:pPr>
    <w:rPr>
      <w:rFonts w:ascii="Times New Roman" w:hAnsi="Times New Roman" w:eastAsia="Calibri" w:cs="宋体"/>
      <w:sz w:val="20"/>
      <w:szCs w:val="20"/>
      <w:lang w:val="zh-CN"/>
    </w:rPr>
  </w:style>
  <w:style w:type="paragraph" w:styleId="910">
    <w:name w:val="toc 2"/>
    <w:basedOn w:val="861"/>
    <w:next w:val="861"/>
    <w:uiPriority w:val="0"/>
    <w:qFormat/>
    <w:pPr>
      <w:ind w:left="200"/>
    </w:pPr>
    <w:rPr>
      <w:rFonts w:ascii="Times New Roman" w:hAnsi="Times New Roman" w:eastAsia="Calibri" w:cs="宋体"/>
      <w:sz w:val="20"/>
      <w:szCs w:val="20"/>
      <w:lang w:val="zh-CN"/>
    </w:rPr>
  </w:style>
  <w:style w:type="paragraph" w:styleId="911">
    <w:name w:val="toc 9"/>
    <w:basedOn w:val="861"/>
    <w:next w:val="861"/>
    <w:uiPriority w:val="0"/>
    <w:qFormat/>
    <w:pPr>
      <w:ind w:left="1680"/>
      <w:jc w:val="left"/>
    </w:pPr>
    <w:rPr>
      <w:rFonts w:ascii="Times New Roman" w:hAnsi="Times New Roman" w:eastAsia="Calibri" w:cs="宋体"/>
      <w:sz w:val="18"/>
      <w:szCs w:val="20"/>
      <w:lang w:val="zh-CN"/>
    </w:rPr>
  </w:style>
  <w:style w:type="paragraph" w:styleId="912">
    <w:name w:val="Body Text 2"/>
    <w:basedOn w:val="861"/>
    <w:link w:val="980"/>
    <w:uiPriority w:val="0"/>
    <w:qFormat/>
    <w:pPr>
      <w:jc w:val="center"/>
      <w:widowControl/>
    </w:pPr>
    <w:rPr>
      <w:rFonts w:ascii="楷体_GB2312" w:hAnsi="Times New Roman" w:eastAsia="楷体_GB2312" w:cs="宋体"/>
      <w:sz w:val="28"/>
      <w:szCs w:val="20"/>
      <w:lang w:val="zh-CN"/>
    </w:rPr>
  </w:style>
  <w:style w:type="paragraph" w:styleId="913">
    <w:name w:val="HTML Preformatted"/>
    <w:basedOn w:val="861"/>
    <w:link w:val="9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914">
    <w:name w:val="Normal (Web)"/>
    <w:basedOn w:val="861"/>
    <w:uiPriority w:val="0"/>
    <w:qFormat/>
    <w:pPr>
      <w:jc w:val="left"/>
      <w:spacing w:before="100" w:beforeAutospacing="1" w:after="100" w:afterAutospacing="1"/>
      <w:widowControl/>
    </w:pPr>
    <w:rPr>
      <w:rFonts w:ascii="宋体" w:hAnsi="宋体" w:eastAsia="宋体" w:cs="宋体"/>
      <w:sz w:val="24"/>
      <w:szCs w:val="24"/>
    </w:rPr>
  </w:style>
  <w:style w:type="paragraph" w:styleId="915">
    <w:name w:val="index 2"/>
    <w:basedOn w:val="861"/>
    <w:next w:val="861"/>
    <w:uiPriority w:val="0"/>
    <w:qFormat/>
    <w:pPr>
      <w:ind w:left="420"/>
    </w:pPr>
    <w:rPr>
      <w:rFonts w:ascii="Times New Roman" w:hAnsi="Times New Roman" w:eastAsia="Calibri" w:cs="宋体"/>
      <w:sz w:val="20"/>
      <w:szCs w:val="20"/>
      <w:lang w:val="zh-CN"/>
    </w:rPr>
  </w:style>
  <w:style w:type="paragraph" w:styleId="916">
    <w:name w:val="Title"/>
    <w:basedOn w:val="861"/>
    <w:next w:val="861"/>
    <w:uiPriority w:val="10"/>
    <w:qFormat/>
    <w:pPr>
      <w:contextualSpacing/>
      <w:spacing w:before="300" w:after="200"/>
    </w:pPr>
    <w:rPr>
      <w:sz w:val="48"/>
      <w:szCs w:val="48"/>
    </w:rPr>
  </w:style>
  <w:style w:type="paragraph" w:styleId="917">
    <w:name w:val="annotation subject"/>
    <w:basedOn w:val="881"/>
    <w:next w:val="881"/>
    <w:link w:val="960"/>
    <w:uiPriority w:val="0"/>
    <w:unhideWhenUsed/>
    <w:qFormat/>
    <w:rPr>
      <w:b/>
      <w:bCs/>
    </w:rPr>
  </w:style>
  <w:style w:type="paragraph" w:styleId="918">
    <w:name w:val="Body Text First Indent"/>
    <w:basedOn w:val="885"/>
    <w:uiPriority w:val="0"/>
    <w:qFormat/>
    <w:pPr>
      <w:ind w:firstLine="420"/>
      <w:spacing w:after="120"/>
    </w:pPr>
    <w:rPr>
      <w:rFonts w:ascii="Times New Roman" w:hAnsi="Times New Roman"/>
      <w:szCs w:val="24"/>
    </w:rPr>
  </w:style>
  <w:style w:type="paragraph" w:styleId="919">
    <w:name w:val="Body Text First Indent 2"/>
    <w:basedOn w:val="886"/>
    <w:next w:val="861"/>
    <w:uiPriority w:val="99"/>
    <w:qFormat/>
    <w:pPr>
      <w:ind w:firstLine="420"/>
    </w:pPr>
  </w:style>
  <w:style w:type="table" w:styleId="920">
    <w:name w:val="Table Grid"/>
    <w:basedOn w:val="8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Strong"/>
    <w:uiPriority w:val="0"/>
    <w:qFormat/>
    <w:rPr>
      <w:b/>
      <w:bCs/>
    </w:rPr>
  </w:style>
  <w:style w:type="character" w:styleId="922">
    <w:name w:val="page number"/>
    <w:basedOn w:val="871"/>
    <w:uiPriority w:val="0"/>
    <w:qFormat/>
  </w:style>
  <w:style w:type="character" w:styleId="923">
    <w:name w:val="FollowedHyperlink"/>
    <w:uiPriority w:val="0"/>
    <w:qFormat/>
    <w:rPr>
      <w:color w:val="800080"/>
      <w:u w:val="single"/>
    </w:rPr>
  </w:style>
  <w:style w:type="character" w:styleId="924">
    <w:name w:val="Emphasis"/>
    <w:uiPriority w:val="0"/>
    <w:qFormat/>
    <w:rPr>
      <w:i/>
      <w:iCs/>
    </w:rPr>
  </w:style>
  <w:style w:type="character" w:styleId="925">
    <w:name w:val="line number"/>
    <w:uiPriority w:val="0"/>
    <w:qFormat/>
  </w:style>
  <w:style w:type="character" w:styleId="926">
    <w:name w:val="HTML Definition"/>
    <w:uiPriority w:val="99"/>
    <w:unhideWhenUsed/>
    <w:qFormat/>
    <w:rPr>
      <w:i/>
      <w:shd w:val="clear" w:color="auto" w:fill="f4f4f4"/>
    </w:rPr>
  </w:style>
  <w:style w:type="character" w:styleId="927">
    <w:name w:val="HTML Typewriter"/>
    <w:uiPriority w:val="0"/>
    <w:qFormat/>
    <w:rPr>
      <w:rFonts w:ascii="宋体" w:eastAsia="宋体" w:cs="宋体"/>
      <w:sz w:val="24"/>
      <w:szCs w:val="24"/>
      <w:lang w:bidi="ar-SA"/>
    </w:rPr>
  </w:style>
  <w:style w:type="character" w:styleId="928">
    <w:name w:val="Hyperlink"/>
    <w:uiPriority w:val="99"/>
    <w:unhideWhenUsed/>
    <w:rPr>
      <w:color w:val="0000ff" w:themeColor="hyperlink"/>
      <w:u w:val="single"/>
    </w:rPr>
  </w:style>
  <w:style w:type="character" w:styleId="929">
    <w:name w:val="annotation reference"/>
    <w:basedOn w:val="871"/>
    <w:uiPriority w:val="0"/>
    <w:unhideWhenUsed/>
    <w:qFormat/>
    <w:rPr>
      <w:sz w:val="21"/>
      <w:szCs w:val="21"/>
    </w:rPr>
  </w:style>
  <w:style w:type="character" w:styleId="930">
    <w:name w:val="HTML Sample"/>
    <w:uiPriority w:val="0"/>
    <w:qFormat/>
    <w:rPr>
      <w:rFonts w:ascii="Courier New" w:hAnsi="Courier New" w:eastAsia="宋体" w:cs="Courier New"/>
      <w:lang w:bidi="ar-SA"/>
    </w:rPr>
  </w:style>
  <w:style w:type="character" w:styleId="931" w:customStyle="1">
    <w:name w:val="日期 字符"/>
    <w:basedOn w:val="871"/>
    <w:link w:val="894"/>
    <w:uiPriority w:val="99"/>
    <w:semiHidden/>
    <w:qFormat/>
  </w:style>
  <w:style w:type="paragraph" w:styleId="932">
    <w:name w:val="List Paragraph"/>
    <w:basedOn w:val="861"/>
    <w:uiPriority w:val="34"/>
    <w:qFormat/>
    <w:pPr>
      <w:contextualSpacing/>
      <w:ind w:left="720"/>
    </w:pPr>
  </w:style>
  <w:style w:type="character" w:styleId="933" w:customStyle="1">
    <w:name w:val="页眉 字符"/>
    <w:basedOn w:val="871"/>
    <w:link w:val="898"/>
    <w:uiPriority w:val="99"/>
    <w:qFormat/>
    <w:rPr>
      <w:sz w:val="18"/>
      <w:szCs w:val="18"/>
    </w:rPr>
  </w:style>
  <w:style w:type="character" w:styleId="934" w:customStyle="1">
    <w:name w:val="页脚 字符"/>
    <w:basedOn w:val="871"/>
    <w:link w:val="897"/>
    <w:uiPriority w:val="99"/>
    <w:qFormat/>
    <w:rPr>
      <w:sz w:val="18"/>
      <w:szCs w:val="18"/>
    </w:rPr>
  </w:style>
  <w:style w:type="paragraph" w:styleId="935" w:customStyle="1">
    <w:name w:val="_Style 14"/>
    <w:basedOn w:val="861"/>
    <w:next w:val="861"/>
    <w:uiPriority w:val="39"/>
    <w:qFormat/>
    <w:pPr>
      <w:spacing w:line="360" w:lineRule="auto"/>
      <w:tabs>
        <w:tab w:val="right" w:pos="8720" w:leader="dot"/>
      </w:tabs>
    </w:pPr>
    <w:rPr>
      <w:rFonts w:ascii="Times New Roman" w:hAnsi="Times New Roman" w:eastAsia="宋体" w:cs="Times New Roman"/>
      <w:szCs w:val="24"/>
    </w:rPr>
  </w:style>
  <w:style w:type="paragraph" w:styleId="936" w:customStyle="1">
    <w:name w:val="格式4"/>
    <w:basedOn w:val="861"/>
    <w:uiPriority w:val="0"/>
    <w:qFormat/>
    <w:pPr>
      <w:ind w:left="990" w:hanging="360"/>
      <w:spacing w:line="420" w:lineRule="exact"/>
    </w:pPr>
    <w:rPr>
      <w:rFonts w:ascii="宋体" w:hAnsi="宋体" w:eastAsia="宋体" w:cs="Times New Roman"/>
      <w:color w:val="000000"/>
      <w:sz w:val="24"/>
      <w:szCs w:val="20"/>
    </w:rPr>
  </w:style>
  <w:style w:type="character" w:styleId="937" w:customStyle="1">
    <w:name w:val="列表段落 字符"/>
    <w:link w:val="932"/>
    <w:uiPriority w:val="34"/>
    <w:qFormat/>
  </w:style>
  <w:style w:type="character" w:styleId="938" w:customStyle="1">
    <w:name w:val="标题 2 字符"/>
    <w:basedOn w:val="871"/>
    <w:link w:val="863"/>
    <w:uiPriority w:val="0"/>
    <w:qFormat/>
    <w:rPr>
      <w:rFonts w:ascii="宋体" w:hAnsi="宋体" w:eastAsia="宋体" w:cs="Times New Roman"/>
      <w:b/>
      <w:szCs w:val="24"/>
    </w:rPr>
  </w:style>
  <w:style w:type="character" w:styleId="939" w:customStyle="1">
    <w:name w:val="标题 1 字符"/>
    <w:basedOn w:val="871"/>
    <w:link w:val="862"/>
    <w:uiPriority w:val="9"/>
    <w:qFormat/>
    <w:rPr>
      <w:b/>
      <w:bCs/>
      <w:sz w:val="44"/>
      <w:szCs w:val="44"/>
    </w:rPr>
  </w:style>
  <w:style w:type="character" w:styleId="940" w:customStyle="1">
    <w:name w:val="正文文本 字符"/>
    <w:link w:val="885"/>
    <w:uiPriority w:val="0"/>
    <w:qFormat/>
    <w:rPr>
      <w:rFonts w:ascii="宋体" w:hAnsi="宋体" w:cs="Times New Roman"/>
      <w:szCs w:val="21"/>
      <w:lang w:eastAsia="en-US"/>
    </w:rPr>
  </w:style>
  <w:style w:type="character" w:styleId="941" w:customStyle="1">
    <w:name w:val="正文文本 字符1"/>
    <w:basedOn w:val="871"/>
    <w:uiPriority w:val="99"/>
    <w:semiHidden/>
    <w:qFormat/>
  </w:style>
  <w:style w:type="paragraph" w:styleId="942" w:customStyle="1">
    <w:name w:val="首行缩进"/>
    <w:basedOn w:val="861"/>
    <w:uiPriority w:val="0"/>
    <w:qFormat/>
    <w:pPr>
      <w:ind w:firstLine="720"/>
      <w:jc w:val="left"/>
    </w:pPr>
    <w:rPr>
      <w:rFonts w:ascii="宋体" w:hAnsi="宋体" w:eastAsia="宋体" w:cs="Times New Roman"/>
      <w:sz w:val="24"/>
      <w:szCs w:val="20"/>
    </w:rPr>
  </w:style>
  <w:style w:type="character" w:styleId="943" w:customStyle="1">
    <w:name w:val="纯文本 字符"/>
    <w:basedOn w:val="871"/>
    <w:link w:val="891"/>
    <w:uiPriority w:val="0"/>
    <w:qFormat/>
    <w:rPr>
      <w:rFonts w:ascii="宋体" w:hAnsi="Courier New" w:eastAsia="宋体" w:cs="Times New Roman"/>
      <w:sz w:val="21"/>
      <w:szCs w:val="21"/>
    </w:rPr>
  </w:style>
  <w:style w:type="paragraph" w:styleId="94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45" w:customStyle="1">
    <w:name w:val="列出段落11"/>
    <w:basedOn w:val="861"/>
    <w:uiPriority w:val="0"/>
    <w:qFormat/>
    <w:pPr>
      <w:ind w:firstLine="420"/>
      <w:jc w:val="left"/>
    </w:pPr>
    <w:rPr>
      <w:rFonts w:ascii="Calibri" w:hAnsi="Calibri" w:eastAsia="宋体" w:cs="宋体"/>
      <w:sz w:val="22"/>
      <w:lang w:val="zh-CN" w:bidi="zh-CN"/>
    </w:rPr>
  </w:style>
  <w:style w:type="paragraph" w:styleId="946" w:customStyle="1">
    <w:name w:val="Table Paragraph"/>
    <w:basedOn w:val="861"/>
    <w:uiPriority w:val="0"/>
    <w:qFormat/>
    <w:pPr>
      <w:jc w:val="left"/>
    </w:pPr>
    <w:rPr>
      <w:rFonts w:ascii="宋体" w:hAnsi="宋体" w:eastAsia="宋体" w:cs="宋体"/>
      <w:sz w:val="22"/>
      <w:lang w:val="zh-CN" w:bidi="zh-CN"/>
    </w:rPr>
  </w:style>
  <w:style w:type="character" w:styleId="947" w:customStyle="1">
    <w:name w:val="fontstyle01"/>
    <w:basedOn w:val="871"/>
    <w:uiPriority w:val="0"/>
    <w:qFormat/>
    <w:rPr>
      <w:rFonts w:hint="default" w:ascii="FZFSJW--GB1-0" w:hAnsi="FZFSJW--GB1-0"/>
      <w:color w:val="000000"/>
      <w:sz w:val="32"/>
      <w:szCs w:val="32"/>
    </w:rPr>
  </w:style>
  <w:style w:type="character" w:styleId="948" w:customStyle="1">
    <w:name w:val="fontstyle21"/>
    <w:basedOn w:val="871"/>
    <w:uiPriority w:val="0"/>
    <w:qFormat/>
    <w:rPr>
      <w:rFonts w:hint="default" w:ascii="FZHTJW--GB1-0" w:hAnsi="FZHTJW--GB1-0"/>
      <w:color w:val="000000"/>
      <w:sz w:val="32"/>
      <w:szCs w:val="32"/>
    </w:rPr>
  </w:style>
  <w:style w:type="character" w:styleId="949" w:customStyle="1">
    <w:name w:val="fontstyle31"/>
    <w:basedOn w:val="871"/>
    <w:uiPriority w:val="0"/>
    <w:qFormat/>
    <w:rPr>
      <w:rFonts w:hint="default" w:ascii="Calibri" w:hAnsi="Calibri" w:cs="Calibri"/>
      <w:color w:val="000000"/>
      <w:sz w:val="32"/>
      <w:szCs w:val="32"/>
    </w:rPr>
  </w:style>
  <w:style w:type="character" w:styleId="950" w:customStyle="1">
    <w:name w:val="fontstyle41"/>
    <w:basedOn w:val="871"/>
    <w:uiPriority w:val="0"/>
    <w:qFormat/>
    <w:rPr>
      <w:rFonts w:hint="default" w:ascii="TimesNewRomanPSMT" w:hAnsi="TimesNewRomanPSMT"/>
      <w:color w:val="000000"/>
      <w:sz w:val="32"/>
      <w:szCs w:val="32"/>
    </w:rPr>
  </w:style>
  <w:style w:type="paragraph" w:styleId="951">
    <w:name w:val="No Spacing"/>
    <w:basedOn w:val="861"/>
    <w:uiPriority w:val="1"/>
    <w:qFormat/>
    <w:pPr>
      <w:spacing w:before="0" w:after="0" w:line="240" w:lineRule="auto"/>
    </w:pPr>
  </w:style>
  <w:style w:type="character" w:styleId="952" w:customStyle="1">
    <w:name w:val="正文缩进 字符"/>
    <w:link w:val="873"/>
    <w:uiPriority w:val="0"/>
    <w:qFormat/>
    <w:rPr>
      <w:sz w:val="21"/>
      <w:szCs w:val="22"/>
    </w:rPr>
  </w:style>
  <w:style w:type="paragraph" w:styleId="953" w:customStyle="1">
    <w:name w:val="_Style 39"/>
    <w:basedOn w:val="861"/>
    <w:next w:val="861"/>
    <w:uiPriority w:val="0"/>
    <w:qFormat/>
    <w:pPr>
      <w:jc w:val="left"/>
    </w:pPr>
    <w:rPr>
      <w:rFonts w:ascii="Times New Roman" w:hAnsi="Times New Roman" w:eastAsia="楷体_GB2312" w:cs="Times New Roman"/>
      <w:sz w:val="24"/>
      <w:szCs w:val="20"/>
    </w:rPr>
  </w:style>
  <w:style w:type="paragraph" w:styleId="954" w:customStyle="1">
    <w:name w:val="列出段落2"/>
    <w:basedOn w:val="861"/>
    <w:uiPriority w:val="0"/>
    <w:qFormat/>
    <w:pPr>
      <w:contextualSpacing/>
      <w:ind w:left="720"/>
      <w:jc w:val="left"/>
      <w:widowControl/>
    </w:pPr>
    <w:rPr>
      <w:rFonts w:ascii="Arial" w:hAnsi="Arial" w:eastAsia="黑体" w:cs="Times New Roman"/>
      <w:sz w:val="24"/>
      <w:szCs w:val="24"/>
      <w:lang w:eastAsia="en-US"/>
    </w:rPr>
  </w:style>
  <w:style w:type="paragraph" w:styleId="955" w:customStyle="1">
    <w:name w:val="_Style 391"/>
    <w:basedOn w:val="861"/>
    <w:next w:val="861"/>
    <w:uiPriority w:val="0"/>
    <w:qFormat/>
    <w:pPr>
      <w:jc w:val="left"/>
    </w:pPr>
    <w:rPr>
      <w:rFonts w:ascii="Times New Roman" w:hAnsi="Times New Roman" w:eastAsia="楷体_GB2312" w:cs="Times New Roman"/>
      <w:sz w:val="24"/>
      <w:szCs w:val="20"/>
    </w:rPr>
  </w:style>
  <w:style w:type="paragraph" w:styleId="956" w:customStyle="1">
    <w:name w:val="列出段落1"/>
    <w:basedOn w:val="861"/>
    <w:uiPriority w:val="34"/>
    <w:qFormat/>
    <w:pPr>
      <w:ind w:firstLine="420"/>
    </w:pPr>
    <w:rPr>
      <w:rFonts w:ascii="Times New Roman" w:hAnsi="Times New Roman" w:eastAsia="宋体" w:cs="Times New Roman"/>
      <w:szCs w:val="20"/>
    </w:rPr>
  </w:style>
  <w:style w:type="paragraph" w:styleId="957"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58" w:customStyle="1">
    <w:name w:val="修订1"/>
    <w:hidden/>
    <w:uiPriority w:val="0"/>
    <w:qFormat/>
    <w:rPr>
      <w:rFonts w:asciiTheme="minorHAnsi" w:hAnsiTheme="minorHAnsi" w:eastAsiaTheme="minorEastAsia" w:cstheme="minorBidi"/>
      <w:sz w:val="21"/>
      <w:szCs w:val="22"/>
      <w:lang w:val="en-US" w:eastAsia="zh-CN" w:bidi="ar-SA"/>
    </w:rPr>
  </w:style>
  <w:style w:type="character" w:styleId="959" w:customStyle="1">
    <w:name w:val="批注文字 字符"/>
    <w:basedOn w:val="871"/>
    <w:link w:val="881"/>
    <w:uiPriority w:val="99"/>
    <w:semiHidden/>
    <w:qFormat/>
    <w:rPr>
      <w:sz w:val="21"/>
      <w:szCs w:val="22"/>
    </w:rPr>
  </w:style>
  <w:style w:type="character" w:styleId="960" w:customStyle="1">
    <w:name w:val="批注主题 字符"/>
    <w:basedOn w:val="959"/>
    <w:link w:val="917"/>
    <w:uiPriority w:val="99"/>
    <w:semiHidden/>
    <w:qFormat/>
    <w:rPr>
      <w:b/>
      <w:bCs/>
      <w:sz w:val="21"/>
      <w:szCs w:val="22"/>
    </w:rPr>
  </w:style>
  <w:style w:type="character" w:styleId="961" w:customStyle="1">
    <w:name w:val="批注框文本 字符"/>
    <w:basedOn w:val="871"/>
    <w:link w:val="896"/>
    <w:uiPriority w:val="0"/>
    <w:qFormat/>
    <w:rPr>
      <w:rFonts w:ascii="Calibri" w:hAnsi="Calibri" w:eastAsia="宋体" w:cs="Times New Roman"/>
      <w:sz w:val="16"/>
      <w:szCs w:val="16"/>
    </w:rPr>
  </w:style>
  <w:style w:type="paragraph" w:styleId="962" w:customStyle="1">
    <w:name w:val="表格内"/>
    <w:basedOn w:val="861"/>
    <w:uiPriority w:val="0"/>
    <w:qFormat/>
    <w:pPr>
      <w:jc w:val="center"/>
      <w:spacing w:line="360" w:lineRule="exact"/>
    </w:pPr>
    <w:rPr>
      <w:rFonts w:ascii="宋体" w:hAnsi="宋体" w:eastAsia="宋体" w:cs="宋体"/>
      <w:szCs w:val="24"/>
      <w:lang w:val="zh-TW" w:eastAsia="zh-TW" w:bidi="zh-TW"/>
    </w:rPr>
  </w:style>
  <w:style w:type="character" w:styleId="963" w:customStyle="1">
    <w:name w:val="标题 3 字符"/>
    <w:basedOn w:val="871"/>
    <w:link w:val="864"/>
    <w:uiPriority w:val="0"/>
    <w:qFormat/>
    <w:rPr>
      <w:rFonts w:ascii="宋体" w:hAnsi="Times New Roman" w:eastAsia="Calibri" w:cs="宋体"/>
      <w:b/>
      <w:color w:val="000000"/>
      <w:sz w:val="32"/>
      <w:lang w:val="zh-CN"/>
    </w:rPr>
  </w:style>
  <w:style w:type="character" w:styleId="964" w:customStyle="1">
    <w:name w:val="标题 4 字符"/>
    <w:basedOn w:val="871"/>
    <w:link w:val="865"/>
    <w:uiPriority w:val="0"/>
    <w:qFormat/>
    <w:rPr>
      <w:rFonts w:ascii="Arial" w:hAnsi="Arial" w:eastAsia="黑体" w:cs="宋体"/>
      <w:b/>
      <w:bCs/>
      <w:sz w:val="28"/>
      <w:szCs w:val="28"/>
      <w:lang w:val="zh-CN"/>
    </w:rPr>
  </w:style>
  <w:style w:type="character" w:styleId="965" w:customStyle="1">
    <w:name w:val="标题 5 字符"/>
    <w:basedOn w:val="871"/>
    <w:link w:val="866"/>
    <w:uiPriority w:val="0"/>
    <w:qFormat/>
    <w:rPr>
      <w:rFonts w:ascii="Times New Roman" w:hAnsi="Times New Roman" w:eastAsia="Calibri" w:cs="宋体"/>
      <w:b/>
      <w:bCs/>
      <w:sz w:val="28"/>
      <w:szCs w:val="28"/>
      <w:lang w:val="zh-CN"/>
    </w:rPr>
  </w:style>
  <w:style w:type="character" w:styleId="966" w:customStyle="1">
    <w:name w:val="标题 6 字符"/>
    <w:basedOn w:val="871"/>
    <w:link w:val="867"/>
    <w:uiPriority w:val="0"/>
    <w:qFormat/>
    <w:rPr>
      <w:rFonts w:ascii="Cambria" w:hAnsi="Cambria" w:eastAsia="Calibri" w:cs="宋体"/>
      <w:b/>
      <w:bCs/>
      <w:sz w:val="24"/>
      <w:lang w:val="zh-CN"/>
    </w:rPr>
  </w:style>
  <w:style w:type="character" w:styleId="967" w:customStyle="1">
    <w:name w:val="标题 7 字符"/>
    <w:basedOn w:val="871"/>
    <w:link w:val="868"/>
    <w:uiPriority w:val="0"/>
    <w:qFormat/>
    <w:rPr>
      <w:rFonts w:ascii="Times New Roman" w:hAnsi="Times New Roman" w:eastAsia="Calibri" w:cs="宋体"/>
      <w:b/>
      <w:bCs/>
      <w:sz w:val="24"/>
      <w:lang w:val="zh-CN"/>
    </w:rPr>
  </w:style>
  <w:style w:type="character" w:styleId="968" w:customStyle="1">
    <w:name w:val="标题 8 字符"/>
    <w:basedOn w:val="871"/>
    <w:link w:val="869"/>
    <w:uiPriority w:val="0"/>
    <w:qFormat/>
    <w:rPr>
      <w:rFonts w:ascii="Cambria" w:hAnsi="Cambria" w:eastAsia="Calibri" w:cs="宋体"/>
      <w:sz w:val="24"/>
      <w:lang w:val="zh-CN"/>
    </w:rPr>
  </w:style>
  <w:style w:type="character" w:styleId="969" w:customStyle="1">
    <w:name w:val="标题 9 字符"/>
    <w:basedOn w:val="871"/>
    <w:link w:val="870"/>
    <w:uiPriority w:val="0"/>
    <w:qFormat/>
    <w:rPr>
      <w:rFonts w:ascii="Cambria" w:hAnsi="Cambria" w:eastAsia="Calibri" w:cs="宋体"/>
      <w:szCs w:val="21"/>
      <w:lang w:val="zh-CN"/>
    </w:rPr>
  </w:style>
  <w:style w:type="character" w:styleId="970" w:customStyle="1">
    <w:name w:val="文档结构图 字符"/>
    <w:basedOn w:val="871"/>
    <w:link w:val="880"/>
    <w:uiPriority w:val="0"/>
    <w:qFormat/>
    <w:rPr>
      <w:rFonts w:ascii="Times New Roman" w:hAnsi="Times New Roman" w:eastAsia="Calibri" w:cs="宋体"/>
      <w:shd w:val="clear" w:color="auto" w:fill="000080"/>
      <w:lang w:val="zh-CN"/>
    </w:rPr>
  </w:style>
  <w:style w:type="character" w:styleId="971" w:customStyle="1">
    <w:name w:val="称呼 字符"/>
    <w:basedOn w:val="871"/>
    <w:link w:val="883"/>
    <w:uiPriority w:val="0"/>
    <w:qFormat/>
    <w:rPr>
      <w:rFonts w:ascii="仿宋_GB2312" w:hAnsi="Times New Roman" w:eastAsia="仿宋_GB2312" w:cs="宋体"/>
      <w:sz w:val="28"/>
      <w:lang w:val="zh-CN"/>
    </w:rPr>
  </w:style>
  <w:style w:type="character" w:styleId="972" w:customStyle="1">
    <w:name w:val="正文文本 3 字符"/>
    <w:basedOn w:val="871"/>
    <w:link w:val="884"/>
    <w:uiPriority w:val="0"/>
    <w:qFormat/>
    <w:rPr>
      <w:rFonts w:ascii="仿宋_GB2312" w:hAnsi="Times New Roman" w:eastAsia="仿宋_GB2312" w:cs="宋体"/>
      <w:sz w:val="32"/>
      <w:lang w:val="zh-CN"/>
    </w:rPr>
  </w:style>
  <w:style w:type="character" w:styleId="973" w:customStyle="1">
    <w:name w:val="正文文本缩进 字符"/>
    <w:basedOn w:val="871"/>
    <w:link w:val="886"/>
    <w:uiPriority w:val="0"/>
    <w:qFormat/>
    <w:rPr>
      <w:rFonts w:ascii="Times New Roman" w:hAnsi="Times New Roman" w:eastAsia="Calibri" w:cs="宋体"/>
      <w:lang w:val="zh-CN"/>
    </w:rPr>
  </w:style>
  <w:style w:type="character" w:styleId="974" w:customStyle="1">
    <w:name w:val="正文文本缩进 2 字符"/>
    <w:basedOn w:val="871"/>
    <w:link w:val="895"/>
    <w:uiPriority w:val="0"/>
    <w:qFormat/>
    <w:rPr>
      <w:rFonts w:ascii="Arial" w:hAnsi="Arial" w:eastAsia="仿宋_GB2312" w:cs="宋体"/>
      <w:sz w:val="32"/>
      <w:lang w:val="zh-CN"/>
    </w:rPr>
  </w:style>
  <w:style w:type="character" w:styleId="975" w:customStyle="1">
    <w:name w:val="尾注文本 字符"/>
    <w:basedOn w:val="871"/>
    <w:uiPriority w:val="0"/>
    <w:qFormat/>
    <w:rPr>
      <w:rFonts w:ascii="Times New Roman" w:hAnsi="Times New Roman" w:eastAsia="Calibri" w:cs="宋体"/>
      <w:lang w:val="zh-CN"/>
    </w:rPr>
  </w:style>
  <w:style w:type="character" w:styleId="976" w:customStyle="1">
    <w:name w:val="签名 字符"/>
    <w:basedOn w:val="871"/>
    <w:link w:val="899"/>
    <w:uiPriority w:val="0"/>
    <w:qFormat/>
    <w:rPr>
      <w:rFonts w:ascii="Times New Roman" w:hAnsi="Times New Roman" w:eastAsia="仿宋_GB2312" w:cs="宋体"/>
      <w:sz w:val="24"/>
      <w:lang w:val="zh-CN"/>
    </w:rPr>
  </w:style>
  <w:style w:type="character" w:styleId="977" w:customStyle="1">
    <w:name w:val="副标题 字符"/>
    <w:basedOn w:val="871"/>
    <w:link w:val="904"/>
    <w:uiPriority w:val="0"/>
    <w:qFormat/>
    <w:rPr>
      <w:rFonts w:ascii="Cambria" w:hAnsi="Cambria" w:eastAsia="Calibri" w:cs="宋体"/>
      <w:b/>
      <w:bCs/>
      <w:sz w:val="32"/>
      <w:szCs w:val="32"/>
      <w:lang w:val="zh-CN"/>
    </w:rPr>
  </w:style>
  <w:style w:type="character" w:styleId="978" w:customStyle="1">
    <w:name w:val="脚注文本 字符"/>
    <w:basedOn w:val="871"/>
    <w:uiPriority w:val="0"/>
    <w:qFormat/>
    <w:rPr>
      <w:rFonts w:ascii="Times New Roman" w:hAnsi="Times New Roman" w:eastAsia="Calibri" w:cs="宋体"/>
      <w:sz w:val="18"/>
      <w:szCs w:val="18"/>
      <w:lang w:val="zh-CN"/>
    </w:rPr>
  </w:style>
  <w:style w:type="character" w:styleId="979" w:customStyle="1">
    <w:name w:val="正文文本缩进 3 字符"/>
    <w:basedOn w:val="871"/>
    <w:link w:val="906"/>
    <w:uiPriority w:val="0"/>
    <w:qFormat/>
    <w:rPr>
      <w:rFonts w:ascii="Arial" w:hAnsi="Arial" w:eastAsia="仿宋_GB2312" w:cs="宋体"/>
      <w:color w:val="ffff00"/>
      <w:sz w:val="32"/>
      <w:lang w:val="zh-CN"/>
    </w:rPr>
  </w:style>
  <w:style w:type="character" w:styleId="980" w:customStyle="1">
    <w:name w:val="正文文本 2 字符"/>
    <w:basedOn w:val="871"/>
    <w:link w:val="912"/>
    <w:uiPriority w:val="0"/>
    <w:qFormat/>
    <w:rPr>
      <w:rFonts w:ascii="楷体_GB2312" w:hAnsi="Times New Roman" w:eastAsia="楷体_GB2312" w:cs="宋体"/>
      <w:sz w:val="28"/>
      <w:lang w:val="zh-CN"/>
    </w:rPr>
  </w:style>
  <w:style w:type="character" w:styleId="981" w:customStyle="1">
    <w:name w:val="HTML 预设格式 字符"/>
    <w:basedOn w:val="871"/>
    <w:link w:val="913"/>
    <w:uiPriority w:val="0"/>
    <w:qFormat/>
    <w:rPr>
      <w:rFonts w:ascii="黑体" w:hAnsi="Times New Roman" w:eastAsia="黑体" w:cs="Courier New"/>
      <w:lang w:val="zh-CN"/>
    </w:rPr>
  </w:style>
  <w:style w:type="character" w:styleId="982" w:customStyle="1">
    <w:name w:val="标题 字符"/>
    <w:basedOn w:val="871"/>
    <w:link w:val="916"/>
    <w:uiPriority w:val="0"/>
    <w:qFormat/>
    <w:rPr>
      <w:rFonts w:ascii="Cambria" w:hAnsi="Cambria" w:eastAsia="Calibri" w:cs="宋体"/>
      <w:b/>
      <w:bCs/>
      <w:sz w:val="32"/>
      <w:szCs w:val="32"/>
      <w:lang w:val="zh-CN"/>
    </w:rPr>
  </w:style>
  <w:style w:type="character" w:styleId="983" w:customStyle="1">
    <w:name w:val="不明显强调1"/>
    <w:uiPriority w:val="0"/>
    <w:qFormat/>
    <w:rPr>
      <w:i/>
      <w:iCs/>
      <w:color w:val="808080"/>
    </w:rPr>
  </w:style>
  <w:style w:type="character" w:styleId="984" w:customStyle="1">
    <w:name w:val="正文文本 Char1"/>
    <w:uiPriority w:val="0"/>
    <w:qFormat/>
    <w:rPr>
      <w:sz w:val="21"/>
      <w:szCs w:val="22"/>
    </w:rPr>
  </w:style>
  <w:style w:type="character" w:styleId="985" w:customStyle="1">
    <w:name w:val="明显参考1"/>
    <w:uiPriority w:val="0"/>
    <w:qFormat/>
    <w:rPr>
      <w:b/>
      <w:bCs/>
      <w:smallCaps/>
      <w:color w:val="c0504d"/>
      <w:spacing w:val="5"/>
      <w:u w:val="single"/>
    </w:rPr>
  </w:style>
  <w:style w:type="character" w:styleId="986" w:customStyle="1">
    <w:name w:val="批注主题 Char1"/>
    <w:uiPriority w:val="0"/>
    <w:qFormat/>
    <w:rPr>
      <w:b/>
      <w:bCs/>
      <w:sz w:val="21"/>
      <w:szCs w:val="22"/>
    </w:rPr>
  </w:style>
  <w:style w:type="character" w:styleId="987" w:customStyle="1">
    <w:name w:val="文档结构图 Char1"/>
    <w:uiPriority w:val="0"/>
    <w:qFormat/>
    <w:rPr>
      <w:rFonts w:ascii="宋体"/>
      <w:sz w:val="18"/>
      <w:szCs w:val="18"/>
    </w:rPr>
  </w:style>
  <w:style w:type="character" w:styleId="988" w:customStyle="1">
    <w:name w:val="不明显参考1"/>
    <w:uiPriority w:val="0"/>
    <w:qFormat/>
    <w:rPr>
      <w:smallCaps/>
      <w:color w:val="c0504d"/>
      <w:u w:val="single"/>
    </w:rPr>
  </w:style>
  <w:style w:type="character" w:styleId="989" w:customStyle="1">
    <w:name w:val="textcontents"/>
    <w:uiPriority w:val="0"/>
    <w:qFormat/>
    <w:rPr>
      <w:rFonts w:cs="Times New Roman"/>
      <w:lang w:bidi="ar-SA"/>
    </w:rPr>
  </w:style>
  <w:style w:type="character" w:styleId="990" w:customStyle="1">
    <w:name w:val="引用 Char1"/>
    <w:uiPriority w:val="0"/>
    <w:qFormat/>
    <w:rPr>
      <w:i/>
      <w:iCs/>
      <w:color w:val="000000"/>
      <w:sz w:val="21"/>
      <w:szCs w:val="24"/>
    </w:rPr>
  </w:style>
  <w:style w:type="character" w:styleId="991" w:customStyle="1">
    <w:name w:val="标题 4 Char1"/>
    <w:uiPriority w:val="0"/>
    <w:qFormat/>
    <w:rPr>
      <w:rFonts w:ascii="Cambria" w:hAnsi="Cambria" w:eastAsia="宋体" w:cs="Times New Roman"/>
      <w:b/>
      <w:bCs/>
      <w:sz w:val="28"/>
      <w:szCs w:val="28"/>
      <w:lang w:bidi="ar-SA"/>
    </w:rPr>
  </w:style>
  <w:style w:type="character" w:styleId="992" w:customStyle="1">
    <w:name w:val="标题 3 Char1"/>
    <w:uiPriority w:val="0"/>
    <w:qFormat/>
    <w:rPr>
      <w:b/>
      <w:bCs/>
      <w:sz w:val="32"/>
      <w:szCs w:val="32"/>
    </w:rPr>
  </w:style>
  <w:style w:type="character" w:styleId="993" w:customStyle="1">
    <w:name w:val="标题 1 Char1"/>
    <w:uiPriority w:val="0"/>
    <w:qFormat/>
    <w:rPr>
      <w:b/>
      <w:bCs/>
      <w:sz w:val="44"/>
      <w:szCs w:val="44"/>
    </w:rPr>
  </w:style>
  <w:style w:type="character" w:styleId="994" w:customStyle="1">
    <w:name w:val="纯文本 Char"/>
    <w:uiPriority w:val="0"/>
    <w:qFormat/>
    <w:rPr>
      <w:rFonts w:ascii="宋体" w:cs="Courier New"/>
      <w:sz w:val="21"/>
      <w:szCs w:val="21"/>
      <w:lang w:bidi="ar-SA"/>
    </w:rPr>
  </w:style>
  <w:style w:type="character" w:styleId="995" w:customStyle="1">
    <w:name w:val="书籍标题1"/>
    <w:uiPriority w:val="0"/>
    <w:qFormat/>
    <w:rPr>
      <w:b/>
      <w:bCs/>
      <w:smallCaps/>
      <w:spacing w:val="5"/>
    </w:rPr>
  </w:style>
  <w:style w:type="character" w:styleId="996" w:customStyle="1">
    <w:name w:val="明显强调1"/>
    <w:uiPriority w:val="0"/>
    <w:qFormat/>
    <w:rPr>
      <w:b/>
      <w:bCs/>
      <w:i/>
      <w:iCs/>
      <w:color w:val="4f81bd"/>
    </w:rPr>
  </w:style>
  <w:style w:type="character" w:styleId="997" w:customStyle="1">
    <w:name w:val="日期 Char1"/>
    <w:uiPriority w:val="0"/>
    <w:qFormat/>
    <w:rPr>
      <w:sz w:val="21"/>
      <w:szCs w:val="22"/>
    </w:rPr>
  </w:style>
  <w:style w:type="character" w:styleId="998" w:customStyle="1">
    <w:name w:val="批注文字 Char Char"/>
    <w:uiPriority w:val="0"/>
    <w:qFormat/>
    <w:rPr>
      <w:rFonts w:ascii="宋体" w:eastAsia="宋体" w:cs="Times New Roman"/>
      <w:sz w:val="28"/>
      <w:szCs w:val="20"/>
      <w:lang w:bidi="ar-SA"/>
    </w:rPr>
  </w:style>
  <w:style w:type="character" w:styleId="999" w:customStyle="1">
    <w:name w:val="批注框文本 Char1"/>
    <w:uiPriority w:val="0"/>
    <w:qFormat/>
    <w:rPr>
      <w:sz w:val="18"/>
      <w:szCs w:val="18"/>
    </w:rPr>
  </w:style>
  <w:style w:type="character" w:styleId="1000" w:customStyle="1">
    <w:name w:val="副标题 Char1"/>
    <w:uiPriority w:val="0"/>
    <w:qFormat/>
    <w:rPr>
      <w:rFonts w:ascii="Cambria" w:hAnsi="Cambria" w:cs="Times New Roman"/>
      <w:b/>
      <w:bCs/>
      <w:sz w:val="32"/>
      <w:szCs w:val="32"/>
      <w:lang w:bidi="ar-SA"/>
    </w:rPr>
  </w:style>
  <w:style w:type="character" w:styleId="1001" w:customStyle="1">
    <w:name w:val="批注主题 Char2"/>
    <w:uiPriority w:val="0"/>
    <w:qFormat/>
    <w:rPr>
      <w:b/>
      <w:bCs/>
      <w:sz w:val="21"/>
      <w:szCs w:val="24"/>
    </w:rPr>
  </w:style>
  <w:style w:type="character" w:styleId="1002" w:customStyle="1">
    <w:name w:val="明显引用 Char1"/>
    <w:uiPriority w:val="0"/>
    <w:qFormat/>
    <w:rPr>
      <w:b/>
      <w:bCs/>
      <w:i/>
      <w:iCs/>
      <w:color w:val="4f81bd"/>
      <w:sz w:val="21"/>
      <w:szCs w:val="24"/>
    </w:rPr>
  </w:style>
  <w:style w:type="paragraph" w:styleId="1003" w:customStyle="1">
    <w:name w:val="Char Char Char Char Char Char Char1 Char"/>
    <w:basedOn w:val="861"/>
    <w:uiPriority w:val="0"/>
    <w:qFormat/>
    <w:rPr>
      <w:rFonts w:ascii="Tahoma" w:hAnsi="Tahoma" w:eastAsia="Calibri" w:cs="Tahoma"/>
      <w:sz w:val="24"/>
      <w:szCs w:val="24"/>
      <w:lang w:val="zh-CN"/>
    </w:rPr>
  </w:style>
  <w:style w:type="paragraph" w:styleId="1004" w:customStyle="1">
    <w:name w:val="Char7"/>
    <w:basedOn w:val="880"/>
    <w:uiPriority w:val="0"/>
    <w:qFormat/>
    <w:pPr>
      <w:spacing w:line="360" w:lineRule="auto"/>
    </w:pPr>
    <w:rPr>
      <w:rFonts w:ascii="Tahoma" w:hAnsi="Tahoma"/>
      <w:sz w:val="24"/>
    </w:rPr>
  </w:style>
  <w:style w:type="paragraph" w:styleId="1005" w:customStyle="1">
    <w:name w:val="纯文本1"/>
    <w:basedOn w:val="861"/>
    <w:uiPriority w:val="0"/>
    <w:qFormat/>
    <w:rPr>
      <w:rFonts w:ascii="宋体" w:hAnsi="宋体" w:eastAsia="楷体_GB2312" w:cs="Times New Roman"/>
      <w:sz w:val="26"/>
      <w:szCs w:val="20"/>
      <w:lang w:val="zh-CN"/>
    </w:rPr>
  </w:style>
  <w:style w:type="paragraph" w:styleId="1006" w:customStyle="1">
    <w:name w:val="样式 小四 段前: 5 磅 段后: 5 磅 首行缩进:  2 字符"/>
    <w:basedOn w:val="861"/>
    <w:uiPriority w:val="0"/>
    <w:qFormat/>
    <w:pPr>
      <w:spacing w:line="360" w:lineRule="auto"/>
    </w:pPr>
    <w:rPr>
      <w:rFonts w:ascii="宋体" w:hAnsi="Times New Roman" w:eastAsia="Calibri" w:cs="宋体"/>
      <w:sz w:val="20"/>
      <w:szCs w:val="21"/>
      <w:lang w:val="zh-CN"/>
    </w:rPr>
  </w:style>
  <w:style w:type="paragraph" w:styleId="1007">
    <w:name w:val="Quote"/>
    <w:basedOn w:val="861"/>
    <w:next w:val="861"/>
    <w:uiPriority w:val="29"/>
    <w:qFormat/>
    <w:pPr>
      <w:ind w:left="720" w:right="720"/>
    </w:pPr>
    <w:rPr>
      <w:i/>
    </w:rPr>
  </w:style>
  <w:style w:type="character" w:styleId="1008" w:customStyle="1">
    <w:name w:val="引用 字符"/>
    <w:basedOn w:val="871"/>
    <w:link w:val="1007"/>
    <w:uiPriority w:val="0"/>
    <w:qFormat/>
    <w:rPr>
      <w:rFonts w:ascii="Times New Roman" w:hAnsi="Times New Roman" w:eastAsia="Calibri" w:cs="宋体"/>
      <w:i/>
      <w:iCs/>
      <w:color w:val="000000"/>
      <w:szCs w:val="22"/>
      <w:lang w:val="zh-CN"/>
    </w:rPr>
  </w:style>
  <w:style w:type="paragraph" w:styleId="1009" w:customStyle="1">
    <w:name w:val="Char71"/>
    <w:basedOn w:val="880"/>
    <w:uiPriority w:val="0"/>
    <w:qFormat/>
    <w:pPr>
      <w:spacing w:line="360" w:lineRule="auto"/>
    </w:pPr>
    <w:rPr>
      <w:rFonts w:ascii="Tahoma" w:hAnsi="Tahoma"/>
      <w:sz w:val="24"/>
    </w:rPr>
  </w:style>
  <w:style w:type="paragraph" w:styleId="1010" w:customStyle="1">
    <w:name w:val="Char"/>
    <w:basedOn w:val="861"/>
    <w:uiPriority w:val="0"/>
    <w:qFormat/>
    <w:pPr>
      <w:jc w:val="left"/>
      <w:spacing w:after="160" w:line="240" w:lineRule="exact"/>
      <w:widowControl/>
    </w:pPr>
    <w:rPr>
      <w:rFonts w:ascii="Verdana" w:hAnsi="Verdana" w:eastAsia="仿宋_GB2312" w:cs="宋体"/>
      <w:sz w:val="24"/>
      <w:szCs w:val="20"/>
      <w:lang w:val="zh-CN"/>
    </w:rPr>
  </w:style>
  <w:style w:type="paragraph" w:styleId="1011" w:customStyle="1">
    <w:name w:val="列出段落12"/>
    <w:basedOn w:val="861"/>
    <w:uiPriority w:val="0"/>
    <w:qFormat/>
    <w:pPr>
      <w:ind w:firstLine="200"/>
    </w:pPr>
    <w:rPr>
      <w:rFonts w:ascii="Calibri" w:hAnsi="Calibri" w:eastAsia="Calibri" w:cs="宋体"/>
      <w:sz w:val="20"/>
      <w:lang w:val="zh-CN"/>
    </w:rPr>
  </w:style>
  <w:style w:type="paragraph" w:styleId="1012" w:customStyle="1">
    <w:name w:val="Char Char Char Char Char Char Char Char Char Char Char Char Char Char Char Char"/>
    <w:basedOn w:val="861"/>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013" w:customStyle="1">
    <w:name w:val="标题5"/>
    <w:basedOn w:val="864"/>
    <w:uiPriority w:val="0"/>
    <w:qFormat/>
    <w:pPr>
      <w:numPr>
        <w:ilvl w:val="0"/>
        <w:numId w:val="0"/>
      </w:numPr>
      <w:spacing w:line="412" w:lineRule="auto"/>
      <w:tabs>
        <w:tab w:val="clear" w:pos="720" w:leader="none"/>
        <w:tab w:val="clear" w:pos="2563" w:leader="none"/>
      </w:tabs>
    </w:pPr>
    <w:rPr>
      <w:rFonts w:ascii="Arial" w:hAnsi="Arial"/>
      <w:bCs/>
      <w:color w:val="auto"/>
      <w:sz w:val="24"/>
      <w:szCs w:val="32"/>
    </w:rPr>
  </w:style>
  <w:style w:type="paragraph" w:styleId="1014" w:customStyle="1">
    <w:name w:val="TOC 标题1"/>
    <w:basedOn w:val="862"/>
    <w:next w:val="861"/>
    <w:uiPriority w:val="0"/>
    <w:qFormat/>
    <w:pPr>
      <w:tabs>
        <w:tab w:val="left" w:pos="432" w:leader="none"/>
      </w:tabs>
      <w:outlineLvl w:val="9"/>
    </w:pPr>
    <w:rPr>
      <w:rFonts w:ascii="Calibri" w:hAnsi="Calibri" w:eastAsia="Calibri" w:cs="宋体"/>
      <w:lang w:val="zh-CN"/>
    </w:rPr>
  </w:style>
  <w:style w:type="paragraph" w:styleId="1015">
    <w:name w:val="Intense Quote"/>
    <w:basedOn w:val="861"/>
    <w:next w:val="861"/>
    <w:uiPriority w:val="30"/>
    <w:qFormat/>
    <w:pPr>
      <w:contextualSpacing w:val="0"/>
      <w:ind w:left="720" w:right="720"/>
      <w:shd w:val="clear" w:color="auto" w:fill="f2f2f2"/>
      <w:pBdr>
        <w:top w:val="single" w:color="FFFFFF" w:sz="4" w:space="3"/>
        <w:left w:val="single" w:color="FFFFFF" w:sz="4" w:space="9"/>
        <w:bottom w:val="single" w:color="FFFFFF" w:sz="4" w:space="3"/>
        <w:right w:val="single" w:color="FFFFFF" w:sz="4" w:space="9"/>
      </w:pBdr>
    </w:pPr>
    <w:rPr>
      <w:i/>
    </w:rPr>
  </w:style>
  <w:style w:type="character" w:styleId="1016" w:customStyle="1">
    <w:name w:val="明显引用 字符"/>
    <w:basedOn w:val="871"/>
    <w:link w:val="1015"/>
    <w:uiPriority w:val="0"/>
    <w:qFormat/>
    <w:rPr>
      <w:rFonts w:ascii="Times New Roman" w:hAnsi="Times New Roman" w:eastAsia="Calibri" w:cs="宋体"/>
      <w:b/>
      <w:bCs/>
      <w:i/>
      <w:iCs/>
      <w:color w:val="4f81bd"/>
      <w:szCs w:val="22"/>
      <w:lang w:val="zh-CN"/>
    </w:rPr>
  </w:style>
  <w:style w:type="paragraph" w:styleId="1017" w:customStyle="1">
    <w:name w:val="Char11"/>
    <w:basedOn w:val="861"/>
    <w:uiPriority w:val="0"/>
    <w:qFormat/>
    <w:pPr>
      <w:jc w:val="left"/>
      <w:spacing w:after="160" w:line="240" w:lineRule="exact"/>
      <w:widowControl/>
    </w:pPr>
    <w:rPr>
      <w:rFonts w:ascii="Verdana" w:hAnsi="Verdana" w:eastAsia="仿宋_GB2312" w:cs="宋体"/>
      <w:sz w:val="24"/>
      <w:szCs w:val="20"/>
      <w:lang w:val="zh-CN"/>
    </w:rPr>
  </w:style>
  <w:style w:type="paragraph" w:styleId="1018" w:customStyle="1">
    <w:name w:val="标题4"/>
    <w:basedOn w:val="863"/>
    <w:next w:val="888"/>
    <w:uiPriority w:val="0"/>
    <w:qFormat/>
    <w:pPr>
      <w:jc w:val="both"/>
      <w:spacing w:before="260" w:after="260" w:line="412" w:lineRule="auto"/>
    </w:pPr>
    <w:rPr>
      <w:rFonts w:ascii="Arial" w:hAnsi="Arial" w:cs="宋体"/>
      <w:bCs/>
      <w:sz w:val="24"/>
      <w:szCs w:val="32"/>
      <w:lang w:val="zh-CN"/>
    </w:rPr>
  </w:style>
  <w:style w:type="paragraph" w:styleId="1019" w:customStyle="1">
    <w:name w:val="pa-2"/>
    <w:basedOn w:val="861"/>
    <w:uiPriority w:val="0"/>
    <w:qFormat/>
    <w:pPr>
      <w:ind w:firstLine="700"/>
      <w:spacing w:line="320" w:lineRule="atLeast"/>
      <w:widowControl/>
    </w:pPr>
    <w:rPr>
      <w:rFonts w:ascii="宋体" w:hAnsi="Times New Roman" w:eastAsia="Calibri" w:cs="宋体"/>
      <w:sz w:val="24"/>
      <w:szCs w:val="20"/>
      <w:lang w:val="zh-CN"/>
    </w:rPr>
  </w:style>
  <w:style w:type="paragraph" w:styleId="1020" w:customStyle="1">
    <w:name w:val="列表段落1"/>
    <w:basedOn w:val="861"/>
    <w:uiPriority w:val="0"/>
    <w:qFormat/>
    <w:pPr>
      <w:ind w:firstLine="200"/>
    </w:pPr>
    <w:rPr>
      <w:rFonts w:ascii="Times New Roman" w:hAnsi="Times New Roman" w:eastAsia="Calibri" w:cs="宋体"/>
      <w:sz w:val="20"/>
      <w:szCs w:val="20"/>
      <w:lang w:val="zh-CN"/>
    </w:rPr>
  </w:style>
  <w:style w:type="paragraph" w:styleId="1021" w:customStyle="1">
    <w:name w:val="普通 (Web)"/>
    <w:basedOn w:val="861"/>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022" w:customStyle="1">
    <w:name w:val="默认段落字体 Para Char Char Char Char Char Char Char"/>
    <w:basedOn w:val="861"/>
    <w:uiPriority w:val="0"/>
    <w:qFormat/>
    <w:rPr>
      <w:rFonts w:ascii="Tahoma" w:hAnsi="Tahoma" w:eastAsia="Calibri" w:cs="宋体"/>
      <w:sz w:val="24"/>
      <w:szCs w:val="20"/>
      <w:lang w:val="zh-CN"/>
    </w:rPr>
  </w:style>
  <w:style w:type="paragraph" w:styleId="1023" w:customStyle="1">
    <w:name w:val="TOC 标题11"/>
    <w:basedOn w:val="862"/>
    <w:next w:val="861"/>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024" w:customStyle="1">
    <w:name w:val="Char Char18"/>
    <w:uiPriority w:val="0"/>
    <w:qFormat/>
    <w:rPr>
      <w:rFonts w:eastAsia="宋体"/>
      <w:b/>
      <w:sz w:val="24"/>
      <w:lang w:val="en-US" w:eastAsia="zh-CN"/>
    </w:rPr>
  </w:style>
  <w:style w:type="character" w:styleId="1025" w:customStyle="1">
    <w:name w:val="Char Char21"/>
    <w:uiPriority w:val="0"/>
    <w:qFormat/>
    <w:rPr>
      <w:rFonts w:ascii="Arial" w:hAnsi="Arial" w:eastAsia="黑体"/>
      <w:sz w:val="24"/>
      <w:szCs w:val="24"/>
    </w:rPr>
  </w:style>
  <w:style w:type="character" w:styleId="1026" w:customStyle="1">
    <w:name w:val="style13"/>
    <w:uiPriority w:val="0"/>
    <w:qFormat/>
    <w:rPr>
      <w:sz w:val="18"/>
      <w:szCs w:val="18"/>
    </w:rPr>
  </w:style>
  <w:style w:type="character" w:styleId="1027" w:customStyle="1">
    <w:name w:val="style131"/>
    <w:uiPriority w:val="0"/>
    <w:qFormat/>
    <w:rPr>
      <w:rFonts w:cs="Times New Roman"/>
      <w:sz w:val="18"/>
      <w:szCs w:val="18"/>
      <w:lang w:bidi="ar-SA"/>
    </w:rPr>
  </w:style>
  <w:style w:type="character" w:styleId="1028" w:customStyle="1">
    <w:name w:val="t1"/>
    <w:uiPriority w:val="0"/>
    <w:qFormat/>
  </w:style>
  <w:style w:type="character" w:styleId="1029" w:customStyle="1">
    <w:name w:val="纯文本 Char Char Char"/>
    <w:uiPriority w:val="0"/>
    <w:qFormat/>
    <w:rPr>
      <w:rFonts w:ascii="宋体" w:eastAsia="宋体"/>
      <w:sz w:val="21"/>
      <w:szCs w:val="21"/>
      <w:lang w:val="en-US" w:eastAsia="zh-CN" w:bidi="ar-SA"/>
    </w:rPr>
  </w:style>
  <w:style w:type="character" w:styleId="1030" w:customStyle="1">
    <w:name w:val="2nd level Char"/>
    <w:uiPriority w:val="0"/>
    <w:qFormat/>
    <w:rPr>
      <w:rFonts w:ascii="Arial" w:hAnsi="Arial" w:eastAsia="黑体"/>
      <w:b/>
      <w:bCs/>
      <w:sz w:val="32"/>
      <w:szCs w:val="32"/>
      <w:lang w:val="en-US" w:eastAsia="zh-CN" w:bidi="ar-SA"/>
    </w:rPr>
  </w:style>
  <w:style w:type="character" w:styleId="1031" w:customStyle="1">
    <w:name w:val="标题 3 Char Char"/>
    <w:uiPriority w:val="0"/>
    <w:qFormat/>
    <w:rPr>
      <w:rFonts w:eastAsia="仿宋_GB2312"/>
      <w:b/>
      <w:bCs/>
      <w:sz w:val="28"/>
      <w:szCs w:val="32"/>
      <w:lang w:val="en-US" w:eastAsia="zh-CN" w:bidi="ar-SA"/>
    </w:rPr>
  </w:style>
  <w:style w:type="character" w:styleId="1032" w:customStyle="1">
    <w:name w:val="华宇段落1 Char Char"/>
    <w:uiPriority w:val="0"/>
    <w:qFormat/>
    <w:rPr>
      <w:rFonts w:eastAsia="宋体"/>
      <w:bCs/>
      <w:sz w:val="24"/>
      <w:szCs w:val="24"/>
      <w:lang w:val="en-US" w:eastAsia="zh-CN" w:bidi="ar-SA"/>
    </w:rPr>
  </w:style>
  <w:style w:type="character" w:styleId="1033" w:customStyle="1">
    <w:name w:val="标准文本 Char"/>
    <w:uiPriority w:val="0"/>
    <w:qFormat/>
    <w:rPr>
      <w:rFonts w:eastAsia="宋体" w:cs="宋体"/>
      <w:sz w:val="24"/>
      <w:szCs w:val="24"/>
      <w:lang w:val="en-US" w:eastAsia="zh-CN" w:bidi="ar-SA"/>
    </w:rPr>
  </w:style>
  <w:style w:type="character" w:styleId="1034" w:customStyle="1">
    <w:name w:val="Char Char23"/>
    <w:uiPriority w:val="0"/>
    <w:qFormat/>
    <w:rPr>
      <w:rFonts w:ascii="Arial" w:hAnsi="Arial" w:eastAsia="黑体"/>
      <w:b/>
      <w:bCs/>
      <w:sz w:val="24"/>
      <w:szCs w:val="24"/>
    </w:rPr>
  </w:style>
  <w:style w:type="character" w:styleId="1035" w:customStyle="1">
    <w:name w:val="listbenefit"/>
    <w:uiPriority w:val="0"/>
    <w:qFormat/>
  </w:style>
  <w:style w:type="character" w:styleId="1036" w:customStyle="1">
    <w:name w:val="content"/>
    <w:uiPriority w:val="0"/>
    <w:qFormat/>
  </w:style>
  <w:style w:type="character" w:styleId="1037" w:customStyle="1">
    <w:name w:val="para_small"/>
    <w:uiPriority w:val="0"/>
    <w:qFormat/>
  </w:style>
  <w:style w:type="character" w:styleId="103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9" w:customStyle="1">
    <w:name w:val="h Char Char"/>
    <w:uiPriority w:val="0"/>
    <w:qFormat/>
    <w:rPr>
      <w:rFonts w:eastAsia="宋体"/>
      <w:sz w:val="18"/>
      <w:szCs w:val="18"/>
      <w:lang w:val="en-US" w:eastAsia="zh-CN" w:bidi="ar-SA"/>
    </w:rPr>
  </w:style>
  <w:style w:type="character" w:styleId="1040" w:customStyle="1">
    <w:name w:val="正文 + 宋体 Char"/>
    <w:uiPriority w:val="0"/>
    <w:qFormat/>
    <w:rPr>
      <w:rFonts w:eastAsia="宋体"/>
      <w:sz w:val="21"/>
      <w:szCs w:val="24"/>
      <w:lang w:val="en-US" w:eastAsia="zh-CN" w:bidi="ar-SA"/>
    </w:rPr>
  </w:style>
  <w:style w:type="character" w:styleId="1041" w:customStyle="1">
    <w:name w:val="Char Char25"/>
    <w:uiPriority w:val="0"/>
    <w:qFormat/>
    <w:rPr>
      <w:rFonts w:ascii="Arial" w:hAnsi="Arial" w:eastAsia="黑体"/>
      <w:b/>
      <w:sz w:val="28"/>
    </w:rPr>
  </w:style>
  <w:style w:type="character" w:styleId="1042" w:customStyle="1">
    <w:name w:val="param-value"/>
    <w:uiPriority w:val="0"/>
    <w:qFormat/>
  </w:style>
  <w:style w:type="character" w:styleId="1043" w:customStyle="1">
    <w:name w:val="样式 宋体 小四"/>
    <w:uiPriority w:val="0"/>
    <w:qFormat/>
    <w:rPr>
      <w:rFonts w:ascii="宋体"/>
      <w:sz w:val="24"/>
    </w:rPr>
  </w:style>
  <w:style w:type="character" w:styleId="1044" w:customStyle="1">
    <w:name w:val="小四 段落 宋体 Char Char Char1"/>
    <w:uiPriority w:val="0"/>
    <w:qFormat/>
    <w:rPr>
      <w:rFonts w:ascii="宋体" w:eastAsia="宋体"/>
      <w:sz w:val="24"/>
      <w:szCs w:val="24"/>
      <w:lang w:val="en-US" w:eastAsia="zh-CN" w:bidi="ar-SA"/>
    </w:rPr>
  </w:style>
  <w:style w:type="character" w:styleId="1045" w:customStyle="1">
    <w:name w:val="小四 段落 宋体 Char1"/>
    <w:uiPriority w:val="0"/>
    <w:qFormat/>
    <w:rPr>
      <w:rFonts w:eastAsia="宋体"/>
      <w:sz w:val="24"/>
      <w:szCs w:val="24"/>
      <w:lang w:val="en-US" w:eastAsia="zh-CN" w:bidi="ar-SA"/>
    </w:rPr>
  </w:style>
  <w:style w:type="character" w:styleId="1046" w:customStyle="1">
    <w:name w:val="普通文字1 Char"/>
    <w:uiPriority w:val="0"/>
    <w:qFormat/>
    <w:rPr>
      <w:rFonts w:ascii="宋体" w:eastAsia="宋体"/>
      <w:sz w:val="21"/>
      <w:szCs w:val="21"/>
      <w:lang w:val="en-US" w:eastAsia="zh-CN" w:bidi="ar-SA"/>
    </w:rPr>
  </w:style>
  <w:style w:type="character" w:styleId="1047" w:customStyle="1">
    <w:name w:val="subtitle1"/>
    <w:uiPriority w:val="0"/>
    <w:qFormat/>
    <w:rPr>
      <w:rFonts w:ascii="Georgia" w:hAnsi="Georgia"/>
      <w:b/>
      <w:bCs/>
      <w:color w:val="666666"/>
      <w:sz w:val="18"/>
      <w:szCs w:val="18"/>
    </w:rPr>
  </w:style>
  <w:style w:type="character" w:styleId="1048" w:customStyle="1">
    <w:name w:val="Char Char24"/>
    <w:uiPriority w:val="0"/>
    <w:qFormat/>
    <w:rPr>
      <w:b/>
      <w:bCs/>
      <w:sz w:val="28"/>
      <w:szCs w:val="28"/>
    </w:rPr>
  </w:style>
  <w:style w:type="character" w:styleId="1049" w:customStyle="1">
    <w:name w:val="point_normal1"/>
    <w:uiPriority w:val="0"/>
    <w:qFormat/>
    <w:rPr>
      <w:rFonts w:ascii="Arial" w:hAnsi="Arial" w:cs="Arial"/>
      <w:sz w:val="18"/>
      <w:szCs w:val="18"/>
      <w:lang w:bidi="ar-SA"/>
    </w:rPr>
  </w:style>
  <w:style w:type="character" w:styleId="1050" w:customStyle="1">
    <w:name w:val="title_emph1"/>
    <w:uiPriority w:val="0"/>
    <w:qFormat/>
    <w:rPr>
      <w:rFonts w:ascii="Arial" w:hAnsi="Arial" w:cs="Arial"/>
      <w:b/>
      <w:bCs/>
      <w:sz w:val="18"/>
      <w:szCs w:val="18"/>
      <w:lang w:bidi="ar-SA"/>
    </w:rPr>
  </w:style>
  <w:style w:type="character" w:styleId="1051" w:customStyle="1">
    <w:name w:val="纯文本 Char Char"/>
    <w:uiPriority w:val="0"/>
    <w:qFormat/>
    <w:rPr>
      <w:rFonts w:ascii="宋体" w:eastAsia="宋体"/>
      <w:sz w:val="21"/>
      <w:szCs w:val="21"/>
      <w:lang w:val="en-US" w:eastAsia="zh-CN" w:bidi="ar-SA"/>
    </w:rPr>
  </w:style>
  <w:style w:type="character" w:styleId="1052" w:customStyle="1">
    <w:name w:val="标准小四 Char Char"/>
    <w:uiPriority w:val="0"/>
    <w:qFormat/>
    <w:rPr>
      <w:rFonts w:ascii="Arial" w:hAnsi="Arial" w:eastAsia="宋体"/>
      <w:sz w:val="24"/>
      <w:szCs w:val="21"/>
      <w:lang w:val="en-US" w:eastAsia="zh-CN" w:bidi="ar-SA"/>
    </w:rPr>
  </w:style>
  <w:style w:type="character" w:styleId="1053" w:customStyle="1">
    <w:name w:val="标准小四 Char"/>
    <w:uiPriority w:val="0"/>
    <w:qFormat/>
    <w:rPr>
      <w:rFonts w:ascii="Arial" w:hAnsi="Arial" w:eastAsia="宋体"/>
      <w:sz w:val="24"/>
      <w:szCs w:val="21"/>
      <w:lang w:val="en-US" w:eastAsia="zh-CN" w:bidi="ar-SA"/>
    </w:rPr>
  </w:style>
  <w:style w:type="character" w:styleId="1054" w:customStyle="1">
    <w:name w:val="标题 3 Char2"/>
    <w:uiPriority w:val="0"/>
    <w:qFormat/>
    <w:rPr>
      <w:rFonts w:ascii="宋体" w:eastAsia="宋体"/>
      <w:b/>
      <w:sz w:val="21"/>
      <w:szCs w:val="21"/>
      <w:shd w:val="clear" w:color="auto" w:fill="ffffff"/>
    </w:rPr>
  </w:style>
  <w:style w:type="character" w:styleId="1055" w:customStyle="1">
    <w:name w:val="小四 段落 宋体 Char Char Char Char Char Char"/>
    <w:uiPriority w:val="0"/>
    <w:qFormat/>
    <w:rPr>
      <w:rFonts w:eastAsia="宋体"/>
      <w:sz w:val="24"/>
      <w:szCs w:val="24"/>
      <w:lang w:val="en-US" w:eastAsia="zh-CN" w:bidi="ar-SA"/>
    </w:rPr>
  </w:style>
  <w:style w:type="character" w:styleId="1056" w:customStyle="1">
    <w:name w:val="样式 首行缩进:  2 字符 Char"/>
    <w:uiPriority w:val="0"/>
    <w:qFormat/>
    <w:rPr>
      <w:rFonts w:eastAsia="宋体" w:cs="宋体"/>
      <w:sz w:val="24"/>
      <w:lang w:val="en-US" w:eastAsia="zh-CN" w:bidi="ar-SA"/>
    </w:rPr>
  </w:style>
  <w:style w:type="character" w:styleId="1057" w:customStyle="1">
    <w:name w:val="Char Char29"/>
    <w:uiPriority w:val="0"/>
    <w:qFormat/>
    <w:rPr>
      <w:rFonts w:ascii="Times New Roman" w:hAnsi="Times New Roman" w:eastAsia="宋体" w:cs="Times New Roman"/>
      <w:b/>
      <w:bCs/>
      <w:sz w:val="44"/>
      <w:szCs w:val="44"/>
      <w:lang w:bidi="ar-SA"/>
    </w:rPr>
  </w:style>
  <w:style w:type="character" w:styleId="1058" w:customStyle="1">
    <w:name w:val="Char Char2"/>
    <w:uiPriority w:val="0"/>
    <w:qFormat/>
    <w:rPr>
      <w:rFonts w:ascii="宋体" w:eastAsia="宋体"/>
      <w:sz w:val="21"/>
      <w:szCs w:val="21"/>
      <w:lang w:val="en-US" w:eastAsia="zh-CN" w:bidi="ar-SA"/>
    </w:rPr>
  </w:style>
  <w:style w:type="character" w:styleId="1059" w:customStyle="1">
    <w:name w:val="Char Char28"/>
    <w:uiPriority w:val="0"/>
    <w:qFormat/>
    <w:rPr>
      <w:rFonts w:ascii="Arial" w:hAnsi="Arial" w:eastAsia="黑体" w:cs="Arial"/>
      <w:b/>
      <w:bCs/>
      <w:sz w:val="32"/>
      <w:szCs w:val="32"/>
      <w:lang w:bidi="ar-SA"/>
    </w:rPr>
  </w:style>
  <w:style w:type="character" w:styleId="1060" w:customStyle="1">
    <w:name w:val="样式 非加粗"/>
    <w:uiPriority w:val="0"/>
    <w:qFormat/>
    <w:rPr>
      <w:rFonts w:eastAsia="宋体"/>
      <w:sz w:val="28"/>
    </w:rPr>
  </w:style>
  <w:style w:type="character" w:styleId="1061" w:customStyle="1">
    <w:name w:val="小四 段落 宋体 Char Char Char Char1"/>
    <w:uiPriority w:val="0"/>
    <w:qFormat/>
    <w:rPr>
      <w:rFonts w:eastAsia="宋体"/>
      <w:sz w:val="24"/>
      <w:szCs w:val="24"/>
      <w:lang w:val="en-US" w:eastAsia="zh-CN" w:bidi="ar-SA"/>
    </w:rPr>
  </w:style>
  <w:style w:type="character" w:styleId="1062" w:customStyle="1">
    <w:name w:val="华宇段落1 Char Char Char"/>
    <w:uiPriority w:val="0"/>
    <w:qFormat/>
    <w:rPr>
      <w:rFonts w:eastAsia="宋体"/>
      <w:bCs/>
      <w:sz w:val="24"/>
      <w:szCs w:val="24"/>
      <w:lang w:val="en-US" w:eastAsia="zh-CN" w:bidi="ar-SA"/>
    </w:rPr>
  </w:style>
  <w:style w:type="character" w:styleId="1063" w:customStyle="1">
    <w:name w:val="纯文本 Char Char Char1"/>
    <w:uiPriority w:val="0"/>
    <w:qFormat/>
    <w:rPr>
      <w:rFonts w:ascii="宋体" w:eastAsia="宋体"/>
      <w:sz w:val="21"/>
      <w:szCs w:val="21"/>
      <w:lang w:val="en-US" w:eastAsia="zh-CN" w:bidi="ar-SA"/>
    </w:rPr>
  </w:style>
  <w:style w:type="character" w:styleId="1064" w:customStyle="1">
    <w:name w:val="ih151"/>
    <w:uiPriority w:val="0"/>
    <w:qFormat/>
    <w:rPr>
      <w:color w:val="666666"/>
      <w:sz w:val="18"/>
      <w:szCs w:val="18"/>
      <w:u w:val="none"/>
    </w:rPr>
  </w:style>
  <w:style w:type="character" w:styleId="1065" w:customStyle="1">
    <w:name w:val="case31"/>
    <w:uiPriority w:val="0"/>
    <w:qFormat/>
    <w:rPr>
      <w:sz w:val="21"/>
      <w:szCs w:val="21"/>
    </w:rPr>
  </w:style>
  <w:style w:type="character" w:styleId="1066" w:customStyle="1">
    <w:name w:val="Char Char20"/>
    <w:uiPriority w:val="0"/>
    <w:qFormat/>
    <w:rPr>
      <w:rFonts w:ascii="Arial" w:hAnsi="Arial" w:eastAsia="黑体"/>
      <w:sz w:val="21"/>
      <w:szCs w:val="21"/>
    </w:rPr>
  </w:style>
  <w:style w:type="character" w:styleId="1067" w:customStyle="1">
    <w:name w:val="特点 Char1"/>
    <w:uiPriority w:val="0"/>
    <w:qFormat/>
    <w:rPr>
      <w:rFonts w:eastAsia="宋体"/>
      <w:sz w:val="21"/>
      <w:lang w:val="en-US" w:eastAsia="zh-CN" w:bidi="ar-SA"/>
    </w:rPr>
  </w:style>
  <w:style w:type="character" w:styleId="1068" w:customStyle="1">
    <w:name w:val="Char Char26"/>
    <w:uiPriority w:val="0"/>
    <w:qFormat/>
    <w:rPr>
      <w:b/>
      <w:bCs/>
      <w:sz w:val="32"/>
      <w:szCs w:val="32"/>
    </w:rPr>
  </w:style>
  <w:style w:type="character" w:styleId="1069" w:customStyle="1">
    <w:name w:val="小四 段落 宋体 Char Char Char Char Char"/>
    <w:uiPriority w:val="0"/>
    <w:qFormat/>
    <w:rPr>
      <w:rFonts w:eastAsia="宋体"/>
      <w:sz w:val="24"/>
      <w:szCs w:val="24"/>
      <w:lang w:val="en-US" w:eastAsia="zh-CN" w:bidi="ar-SA"/>
    </w:rPr>
  </w:style>
  <w:style w:type="character" w:styleId="1070" w:customStyle="1">
    <w:name w:val="A2"/>
    <w:uiPriority w:val="0"/>
    <w:qFormat/>
    <w:rPr>
      <w:rFonts w:cs="Helvetica"/>
      <w:color w:val="000000"/>
      <w:sz w:val="18"/>
      <w:szCs w:val="18"/>
      <w:lang w:bidi="ar-SA"/>
    </w:rPr>
  </w:style>
  <w:style w:type="character" w:styleId="1071" w:customStyle="1">
    <w:name w:val="Char Char27"/>
    <w:uiPriority w:val="0"/>
    <w:qFormat/>
    <w:rPr>
      <w:b/>
      <w:bCs/>
      <w:sz w:val="44"/>
      <w:szCs w:val="44"/>
    </w:rPr>
  </w:style>
  <w:style w:type="character" w:styleId="1072" w:customStyle="1">
    <w:name w:val="小四 段落 宋体 Char Char Char Char Char Char Char Char"/>
    <w:uiPriority w:val="0"/>
    <w:qFormat/>
    <w:rPr>
      <w:rFonts w:eastAsia="宋体"/>
      <w:sz w:val="24"/>
      <w:szCs w:val="24"/>
      <w:lang w:val="en-US" w:eastAsia="zh-CN" w:bidi="ar-SA"/>
    </w:rPr>
  </w:style>
  <w:style w:type="character" w:styleId="1073" w:customStyle="1">
    <w:name w:val="apple-converted-space"/>
    <w:uiPriority w:val="0"/>
    <w:qFormat/>
  </w:style>
  <w:style w:type="character" w:styleId="1074" w:customStyle="1">
    <w:name w:val="content_lineheight1"/>
    <w:uiPriority w:val="0"/>
    <w:qFormat/>
  </w:style>
  <w:style w:type="character" w:styleId="1075" w:customStyle="1">
    <w:name w:val="concon"/>
    <w:uiPriority w:val="0"/>
    <w:qFormat/>
  </w:style>
  <w:style w:type="character" w:styleId="1076" w:customStyle="1">
    <w:name w:val="Char Char22"/>
    <w:uiPriority w:val="0"/>
    <w:qFormat/>
    <w:rPr>
      <w:b/>
      <w:bCs/>
      <w:sz w:val="24"/>
      <w:szCs w:val="24"/>
    </w:rPr>
  </w:style>
  <w:style w:type="character" w:styleId="1077" w:customStyle="1">
    <w:name w:val="已访问的超链接1"/>
    <w:uiPriority w:val="0"/>
    <w:qFormat/>
    <w:rPr>
      <w:color w:val="auto"/>
      <w:u w:val="none"/>
    </w:rPr>
  </w:style>
  <w:style w:type="character" w:styleId="1078" w:customStyle="1">
    <w:name w:val="标准文本 Char Char"/>
    <w:uiPriority w:val="0"/>
    <w:qFormat/>
    <w:rPr>
      <w:rFonts w:eastAsia="宋体" w:cs="宋体"/>
      <w:sz w:val="24"/>
      <w:szCs w:val="24"/>
      <w:lang w:val="en-US" w:eastAsia="zh-CN" w:bidi="ar-SA"/>
    </w:rPr>
  </w:style>
  <w:style w:type="character" w:styleId="1079" w:customStyle="1">
    <w:name w:val="Char Char17"/>
    <w:uiPriority w:val="0"/>
    <w:qFormat/>
    <w:rPr>
      <w:rFonts w:ascii="宋体"/>
      <w:sz w:val="21"/>
      <w:szCs w:val="21"/>
    </w:rPr>
  </w:style>
  <w:style w:type="character" w:styleId="1080" w:customStyle="1">
    <w:name w:val="3zw"/>
    <w:uiPriority w:val="0"/>
    <w:qFormat/>
  </w:style>
  <w:style w:type="character" w:styleId="1081" w:customStyle="1">
    <w:name w:val="normalfont1"/>
    <w:uiPriority w:val="0"/>
    <w:qFormat/>
    <w:rPr>
      <w:rFonts w:ascii="ˎ̥" w:hAnsi="ˎ̥"/>
      <w:sz w:val="18"/>
      <w:szCs w:val="18"/>
      <w:u w:val="none"/>
    </w:rPr>
  </w:style>
  <w:style w:type="character" w:styleId="1082" w:customStyle="1">
    <w:name w:val="标题 Char1"/>
    <w:uiPriority w:val="0"/>
    <w:qFormat/>
    <w:rPr>
      <w:rFonts w:ascii="Cambria" w:hAnsi="Cambria" w:eastAsia="宋体" w:cs="Times New Roman"/>
      <w:b/>
      <w:bCs/>
      <w:sz w:val="32"/>
      <w:szCs w:val="32"/>
      <w:lang w:bidi="ar-SA"/>
    </w:rPr>
  </w:style>
  <w:style w:type="paragraph" w:styleId="1083" w:customStyle="1">
    <w:name w:val="font13"/>
    <w:basedOn w:val="861"/>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084" w:customStyle="1">
    <w:name w:val="表格抬头"/>
    <w:basedOn w:val="861"/>
    <w:uiPriority w:val="0"/>
    <w:qFormat/>
    <w:pPr>
      <w:jc w:val="center"/>
    </w:pPr>
    <w:rPr>
      <w:rFonts w:ascii="黑体" w:hAnsi="Times New Roman" w:eastAsia="黑体" w:cs="宋体"/>
      <w:b/>
      <w:sz w:val="20"/>
      <w:szCs w:val="20"/>
      <w:lang w:val="zh-CN"/>
    </w:rPr>
  </w:style>
  <w:style w:type="paragraph" w:styleId="1085" w:customStyle="1">
    <w:name w:val="xl30"/>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086" w:customStyle="1">
    <w:name w:val="正文文本缩进 3 Char1"/>
    <w:uiPriority w:val="0"/>
    <w:qFormat/>
    <w:rPr>
      <w:sz w:val="16"/>
      <w:szCs w:val="16"/>
    </w:rPr>
  </w:style>
  <w:style w:type="character" w:styleId="1087" w:customStyle="1">
    <w:name w:val="HTML 预设格式 Char1"/>
    <w:uiPriority w:val="0"/>
    <w:qFormat/>
    <w:rPr>
      <w:rFonts w:ascii="Courier New" w:hAnsi="Courier New" w:cs="Courier New"/>
      <w:lang w:bidi="ar-SA"/>
    </w:rPr>
  </w:style>
  <w:style w:type="paragraph" w:styleId="1088" w:customStyle="1">
    <w:name w:val="Char Char Char Char Char Char Char Char"/>
    <w:basedOn w:val="861"/>
    <w:uiPriority w:val="0"/>
    <w:qFormat/>
    <w:rPr>
      <w:rFonts w:ascii="Tahoma" w:hAnsi="Tahoma" w:eastAsia="Calibri" w:cs="Tahoma"/>
      <w:sz w:val="24"/>
      <w:szCs w:val="20"/>
      <w:lang w:val="zh-CN"/>
    </w:rPr>
  </w:style>
  <w:style w:type="paragraph" w:styleId="1089" w:customStyle="1">
    <w:name w:val="Char Char"/>
    <w:basedOn w:val="861"/>
    <w:uiPriority w:val="0"/>
    <w:qFormat/>
    <w:rPr>
      <w:rFonts w:ascii="Tahoma" w:hAnsi="Tahoma" w:eastAsia="Calibri" w:cs="Tahoma"/>
      <w:sz w:val="24"/>
      <w:szCs w:val="20"/>
      <w:lang w:val="zh-CN"/>
    </w:rPr>
  </w:style>
  <w:style w:type="paragraph" w:styleId="1090" w:customStyle="1">
    <w:name w:val="Char Char Char Char Char Char Char Char Char Char Char Char Char Char Char Char Char Char Char Char Char"/>
    <w:basedOn w:val="861"/>
    <w:uiPriority w:val="0"/>
    <w:qFormat/>
    <w:rPr>
      <w:rFonts w:ascii="Tahoma" w:hAnsi="Tahoma" w:eastAsia="Calibri" w:cs="Tahoma"/>
      <w:sz w:val="24"/>
      <w:szCs w:val="20"/>
      <w:lang w:val="zh-CN"/>
    </w:rPr>
  </w:style>
  <w:style w:type="paragraph" w:styleId="1091" w:customStyle="1">
    <w:name w:val="马刚标题3"/>
    <w:basedOn w:val="861"/>
    <w:next w:val="861"/>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092" w:customStyle="1">
    <w:name w:val="标准小四"/>
    <w:basedOn w:val="861"/>
    <w:uiPriority w:val="0"/>
    <w:qFormat/>
    <w:pPr>
      <w:ind w:firstLine="200"/>
      <w:spacing w:line="360" w:lineRule="auto"/>
    </w:pPr>
    <w:rPr>
      <w:rFonts w:ascii="Arial" w:hAnsi="Arial" w:eastAsia="Calibri" w:cs="宋体"/>
      <w:sz w:val="24"/>
      <w:szCs w:val="21"/>
      <w:lang w:val="zh-CN"/>
    </w:rPr>
  </w:style>
  <w:style w:type="paragraph" w:styleId="1093" w:customStyle="1">
    <w:name w:val="马刚标题4"/>
    <w:basedOn w:val="1091"/>
    <w:next w:val="861"/>
    <w:uiPriority w:val="0"/>
    <w:qFormat/>
    <w:pPr>
      <w:spacing w:before="100" w:after="40"/>
      <w:tabs>
        <w:tab w:val="clear" w:pos="567" w:leader="none"/>
        <w:tab w:val="clear" w:pos="735" w:leader="none"/>
        <w:tab w:val="left" w:pos="1050" w:leader="none"/>
      </w:tabs>
      <w:outlineLvl w:val="3"/>
    </w:pPr>
    <w:rPr>
      <w:b w:val="0"/>
    </w:rPr>
  </w:style>
  <w:style w:type="paragraph" w:styleId="1094" w:customStyle="1">
    <w:name w:val="Char Char Char Char Char Char"/>
    <w:basedOn w:val="861"/>
    <w:uiPriority w:val="0"/>
    <w:qFormat/>
    <w:rPr>
      <w:rFonts w:ascii="Tahoma" w:hAnsi="Tahoma" w:eastAsia="Calibri" w:cs="Tahoma"/>
      <w:sz w:val="24"/>
      <w:szCs w:val="20"/>
      <w:lang w:val="zh-CN"/>
    </w:rPr>
  </w:style>
  <w:style w:type="paragraph" w:styleId="1095" w:customStyle="1">
    <w:name w:val="content_lineheight"/>
    <w:basedOn w:val="861"/>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096" w:customStyle="1">
    <w:name w:val="xl32"/>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097" w:customStyle="1">
    <w:name w:val="flNote"/>
    <w:basedOn w:val="861"/>
    <w:uiPriority w:val="0"/>
    <w:qFormat/>
    <w:pPr>
      <w:jc w:val="center"/>
      <w:spacing w:before="567" w:line="360" w:lineRule="atLeast"/>
    </w:pPr>
    <w:rPr>
      <w:rFonts w:ascii="Times New Roman" w:hAnsi="Times New Roman" w:eastAsia="黑体" w:cs="宋体"/>
      <w:b/>
      <w:sz w:val="24"/>
      <w:szCs w:val="20"/>
      <w:lang w:val="zh-CN"/>
    </w:rPr>
  </w:style>
  <w:style w:type="paragraph" w:styleId="1098" w:customStyle="1">
    <w:name w:val="样式 段后: 0.25 行"/>
    <w:basedOn w:val="861"/>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099" w:customStyle="1">
    <w:name w:val="xl31"/>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100" w:customStyle="1">
    <w:name w:val="丁华标题1"/>
    <w:basedOn w:val="862"/>
    <w:next w:val="1101"/>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101" w:customStyle="1">
    <w:name w:val="丁华正文"/>
    <w:basedOn w:val="906"/>
    <w:uiPriority w:val="0"/>
    <w:qFormat/>
    <w:pPr>
      <w:ind w:left="0" w:firstLine="510"/>
      <w:spacing w:line="360" w:lineRule="auto"/>
    </w:pPr>
    <w:rPr>
      <w:rFonts w:ascii="Times New Roman" w:hAnsi="Times New Roman" w:eastAsia="宋体"/>
      <w:color w:val="auto"/>
      <w:sz w:val="24"/>
      <w:szCs w:val="16"/>
    </w:rPr>
  </w:style>
  <w:style w:type="paragraph" w:styleId="1102" w:customStyle="1">
    <w:name w:val="Char Char1 Char Char Char Char"/>
    <w:basedOn w:val="880"/>
    <w:uiPriority w:val="0"/>
    <w:qFormat/>
    <w:pPr>
      <w:ind w:left="357"/>
      <w:jc w:val="left"/>
      <w:spacing w:line="436" w:lineRule="exact"/>
      <w:outlineLvl w:val="3"/>
    </w:pPr>
    <w:rPr>
      <w:rFonts w:ascii="Tahoma" w:hAnsi="Tahoma" w:cs="Tahoma"/>
      <w:b/>
      <w:sz w:val="24"/>
      <w:lang w:val="en-US"/>
    </w:rPr>
  </w:style>
  <w:style w:type="paragraph" w:styleId="1103" w:customStyle="1">
    <w:name w:val="部分1"/>
    <w:basedOn w:val="861"/>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104" w:customStyle="1">
    <w:name w:val="丁华标题2"/>
    <w:basedOn w:val="863"/>
    <w:next w:val="1101"/>
    <w:uiPriority w:val="0"/>
    <w:qFormat/>
    <w:pPr>
      <w:spacing w:line="415" w:lineRule="auto"/>
      <w:tabs>
        <w:tab w:val="left" w:pos="576" w:leader="none"/>
        <w:tab w:val="left" w:pos="1004" w:leader="none"/>
      </w:tabs>
    </w:pPr>
    <w:rPr>
      <w:rFonts w:ascii="Arial" w:hAnsi="Arial" w:eastAsia="黑体" w:cs="宋体"/>
      <w:sz w:val="28"/>
      <w:szCs w:val="20"/>
      <w:lang w:val="zh-CN"/>
    </w:rPr>
  </w:style>
  <w:style w:type="paragraph" w:styleId="1105" w:customStyle="1">
    <w:name w:val="Test2"/>
    <w:basedOn w:val="863"/>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106" w:customStyle="1">
    <w:name w:val="样式 样式 首行缩进:  2 字符 + 行距: 1.5 倍行距"/>
    <w:basedOn w:val="861"/>
    <w:uiPriority w:val="0"/>
    <w:qFormat/>
    <w:pPr>
      <w:ind w:firstLine="196"/>
      <w:spacing w:line="360" w:lineRule="auto"/>
    </w:pPr>
    <w:rPr>
      <w:rFonts w:ascii="Times New Roman" w:hAnsi="Times New Roman" w:eastAsia="Calibri" w:cs="宋体"/>
      <w:sz w:val="24"/>
      <w:szCs w:val="20"/>
      <w:lang w:val="zh-CN"/>
    </w:rPr>
  </w:style>
  <w:style w:type="paragraph" w:styleId="1107" w:customStyle="1">
    <w:name w:val="标题 4宋体"/>
    <w:basedOn w:val="865"/>
    <w:uiPriority w:val="0"/>
    <w:qFormat/>
    <w:pPr>
      <w:jc w:val="left"/>
      <w:keepLines w:val="0"/>
      <w:spacing w:before="0" w:after="0" w:line="360" w:lineRule="auto"/>
      <w:tabs>
        <w:tab w:val="clear" w:pos="4409" w:leader="none"/>
      </w:tabs>
    </w:pPr>
    <w:rPr>
      <w:rFonts w:ascii="宋体" w:eastAsia="宋体"/>
      <w:color w:val="000000"/>
      <w:sz w:val="24"/>
      <w:szCs w:val="20"/>
    </w:rPr>
  </w:style>
  <w:style w:type="paragraph" w:styleId="1108" w:customStyle="1">
    <w:name w:val="_Style 42"/>
    <w:basedOn w:val="861"/>
    <w:next w:val="885"/>
    <w:uiPriority w:val="0"/>
    <w:qFormat/>
    <w:rPr>
      <w:rFonts w:ascii="楷体_GB2312" w:hAnsi="Times New Roman" w:eastAsia="楷体_GB2312" w:cs="宋体"/>
      <w:sz w:val="28"/>
      <w:szCs w:val="20"/>
      <w:lang w:val="zh-CN"/>
    </w:rPr>
  </w:style>
  <w:style w:type="paragraph" w:styleId="1109" w:customStyle="1">
    <w:name w:val="正文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110" w:customStyle="1">
    <w:name w:val="标题1，章节第一层"/>
    <w:basedOn w:val="1111"/>
    <w:next w:val="1111"/>
    <w:uiPriority w:val="0"/>
    <w:qFormat/>
    <w:pPr>
      <w:ind w:left="0"/>
      <w:spacing w:before="0"/>
      <w:tabs>
        <w:tab w:val="left" w:pos="693" w:leader="none"/>
      </w:tabs>
      <w:outlineLvl w:val="0"/>
    </w:pPr>
    <w:rPr>
      <w:color w:val="000000"/>
      <w:sz w:val="24"/>
      <w:szCs w:val="24"/>
    </w:rPr>
  </w:style>
  <w:style w:type="paragraph" w:styleId="1111" w:customStyle="1">
    <w:name w:val="正文格式"/>
    <w:basedOn w:val="861"/>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112" w:customStyle="1">
    <w:name w:val="二级目录"/>
    <w:next w:val="861"/>
    <w:uiPriority w:val="0"/>
    <w:qFormat/>
    <w:pPr>
      <w:numPr>
        <w:ilvl w:val="0"/>
        <w:numId w:val="1"/>
      </w:numPr>
      <w:ind w:left="0" w:firstLine="0"/>
      <w:tabs>
        <w:tab w:val="left" w:pos="360" w:leader="none"/>
        <w:tab w:val="left" w:pos="720" w:leader="none"/>
        <w:tab w:val="left" w:pos="2275" w:leader="none"/>
      </w:tabs>
      <w:outlineLvl w:val="1"/>
    </w:pPr>
    <w:rPr>
      <w:rFonts w:ascii="Calibri" w:hAnsi="Calibri" w:eastAsia="宋体" w:cs="Times New Roman"/>
      <w:b/>
      <w:sz w:val="30"/>
      <w:szCs w:val="28"/>
      <w:lang w:val="en-US" w:eastAsia="zh-CN" w:bidi="ar-SA"/>
    </w:rPr>
  </w:style>
  <w:style w:type="paragraph" w:styleId="1113" w:customStyle="1">
    <w:name w:val="Char Char Char Char Char Char Char"/>
    <w:basedOn w:val="861"/>
    <w:uiPriority w:val="0"/>
    <w:qFormat/>
    <w:pPr>
      <w:jc w:val="left"/>
    </w:pPr>
    <w:rPr>
      <w:rFonts w:ascii="Tahoma" w:hAnsi="Tahoma" w:eastAsia="Calibri" w:cs="宋体"/>
      <w:sz w:val="24"/>
      <w:szCs w:val="20"/>
      <w:lang w:val="zh-CN"/>
    </w:rPr>
  </w:style>
  <w:style w:type="paragraph" w:styleId="1114" w:customStyle="1">
    <w:name w:val="样式 段后: 0.5 行 左  0.75 字符"/>
    <w:basedOn w:val="861"/>
    <w:uiPriority w:val="0"/>
    <w:qFormat/>
    <w:pPr>
      <w:ind w:firstLine="200"/>
      <w:spacing w:line="360" w:lineRule="auto"/>
      <w:widowControl/>
    </w:pPr>
    <w:rPr>
      <w:rFonts w:ascii="Times New Roman" w:hAnsi="Times New Roman" w:eastAsia="Calibri" w:cs="Arial"/>
      <w:sz w:val="20"/>
      <w:szCs w:val="21"/>
      <w:lang w:val="zh-CN"/>
    </w:rPr>
  </w:style>
  <w:style w:type="paragraph" w:styleId="1115" w:customStyle="1">
    <w:name w:val="Char Char1 Char"/>
    <w:basedOn w:val="861"/>
    <w:uiPriority w:val="0"/>
    <w:qFormat/>
    <w:pPr>
      <w:jc w:val="left"/>
      <w:spacing w:after="160" w:line="240" w:lineRule="exact"/>
      <w:widowControl/>
    </w:pPr>
    <w:rPr>
      <w:rFonts w:ascii="Verdana" w:hAnsi="Verdana" w:eastAsia="Calibri" w:cs="宋体"/>
      <w:sz w:val="20"/>
      <w:szCs w:val="20"/>
      <w:lang w:val="zh-CN"/>
    </w:rPr>
  </w:style>
  <w:style w:type="paragraph" w:styleId="1116" w:customStyle="1">
    <w:name w:val="正文文本 21"/>
    <w:basedOn w:val="861"/>
    <w:uiPriority w:val="0"/>
    <w:qFormat/>
    <w:pPr>
      <w:ind w:left="720" w:hanging="720"/>
      <w:widowControl/>
    </w:pPr>
    <w:rPr>
      <w:rFonts w:ascii="Times New Roman" w:hAnsi="Times New Roman" w:eastAsia="Calibri" w:cs="宋体"/>
      <w:sz w:val="24"/>
      <w:szCs w:val="20"/>
      <w:lang w:val="en-GB" w:eastAsia="en-GB"/>
    </w:rPr>
  </w:style>
  <w:style w:type="paragraph" w:styleId="1117"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18" w:customStyle="1">
    <w:name w:val="默认段落字体 Para Char"/>
    <w:basedOn w:val="861"/>
    <w:uiPriority w:val="0"/>
    <w:qFormat/>
    <w:rPr>
      <w:rFonts w:ascii="Times New Roman" w:hAnsi="Times New Roman" w:eastAsia="Calibri" w:cs="宋体"/>
      <w:sz w:val="24"/>
      <w:szCs w:val="20"/>
      <w:lang w:val="zh-CN"/>
    </w:rPr>
  </w:style>
  <w:style w:type="paragraph" w:styleId="1119" w:customStyle="1">
    <w:name w:val="正文1"/>
    <w:basedOn w:val="861"/>
    <w:uiPriority w:val="0"/>
    <w:qFormat/>
    <w:rPr>
      <w:rFonts w:ascii="Times New Roman" w:hAnsi="Times New Roman" w:eastAsia="Calibri" w:cs="宋体"/>
      <w:sz w:val="20"/>
      <w:szCs w:val="20"/>
      <w:lang w:val="zh-CN"/>
    </w:rPr>
  </w:style>
  <w:style w:type="paragraph" w:styleId="1120" w:customStyle="1">
    <w:name w:val="xl48"/>
    <w:basedOn w:val="8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121" w:customStyle="1">
    <w:name w:val="标题6"/>
    <w:basedOn w:val="866"/>
    <w:uiPriority w:val="0"/>
    <w:qFormat/>
    <w:pPr>
      <w:numPr>
        <w:ilvl w:val="0"/>
        <w:numId w:val="2"/>
      </w:numPr>
      <w:spacing w:before="50" w:after="50" w:line="240" w:lineRule="auto"/>
      <w:tabs>
        <w:tab w:val="left" w:pos="0" w:leader="none"/>
        <w:tab w:val="left" w:pos="420" w:leader="none"/>
      </w:tabs>
    </w:pPr>
    <w:rPr>
      <w:rFonts w:eastAsia="黑体"/>
      <w:b w:val="0"/>
      <w:sz w:val="24"/>
      <w:lang w:val="en-US"/>
    </w:rPr>
  </w:style>
  <w:style w:type="paragraph" w:styleId="1122" w:customStyle="1">
    <w:name w:val="font8"/>
    <w:basedOn w:val="861"/>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123" w:customStyle="1">
    <w:name w:val="font6"/>
    <w:basedOn w:val="861"/>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124" w:customStyle="1">
    <w:name w:val="表头_5"/>
    <w:basedOn w:val="861"/>
    <w:uiPriority w:val="0"/>
    <w:qFormat/>
    <w:pPr>
      <w:spacing w:line="360" w:lineRule="auto"/>
    </w:pPr>
    <w:rPr>
      <w:rFonts w:ascii="Times New Roman" w:hAnsi="Times New Roman" w:eastAsia="Calibri" w:cs="宋体"/>
      <w:b/>
      <w:bCs/>
      <w:sz w:val="28"/>
      <w:szCs w:val="21"/>
      <w:lang w:val="zh-CN"/>
    </w:rPr>
  </w:style>
  <w:style w:type="paragraph" w:styleId="1125" w:customStyle="1">
    <w:name w:val="xl42"/>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26" w:customStyle="1">
    <w:name w:val="符号与编号"/>
    <w:basedOn w:val="861"/>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127" w:customStyle="1">
    <w:name w:val="Char Char Char Char Char Char Char Char Char Char Char Char Char Char"/>
    <w:basedOn w:val="861"/>
    <w:uiPriority w:val="0"/>
    <w:qFormat/>
    <w:rPr>
      <w:rFonts w:ascii="Tahoma" w:hAnsi="Tahoma" w:eastAsia="Calibri" w:cs="Tahoma"/>
      <w:sz w:val="24"/>
      <w:szCs w:val="20"/>
      <w:lang w:val="zh-CN"/>
    </w:rPr>
  </w:style>
  <w:style w:type="paragraph" w:styleId="1128" w:customStyle="1">
    <w:name w:val="样式2"/>
    <w:basedOn w:val="861"/>
    <w:uiPriority w:val="0"/>
    <w:qFormat/>
    <w:pPr>
      <w:ind w:left="200"/>
      <w:spacing w:line="360" w:lineRule="auto"/>
    </w:pPr>
    <w:rPr>
      <w:rFonts w:ascii="宋体" w:hAnsi="Times New Roman" w:eastAsia="Calibri" w:cs="宋体"/>
      <w:b/>
      <w:sz w:val="24"/>
      <w:szCs w:val="20"/>
      <w:lang w:val="zh-CN"/>
    </w:rPr>
  </w:style>
  <w:style w:type="paragraph" w:styleId="1129" w:customStyle="1">
    <w:name w:val="Char Char Char Char Char"/>
    <w:basedOn w:val="861"/>
    <w:uiPriority w:val="0"/>
    <w:qFormat/>
    <w:rPr>
      <w:rFonts w:ascii="Tahoma" w:hAnsi="Tahoma" w:eastAsia="Calibri" w:cs="宋体"/>
      <w:sz w:val="24"/>
      <w:szCs w:val="20"/>
      <w:lang w:val="zh-CN"/>
    </w:rPr>
  </w:style>
  <w:style w:type="paragraph" w:styleId="113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31" w:customStyle="1">
    <w:name w:val="正文lzq"/>
    <w:basedOn w:val="861"/>
    <w:uiPriority w:val="0"/>
    <w:qFormat/>
    <w:pPr>
      <w:ind w:firstLine="480"/>
      <w:spacing w:line="360" w:lineRule="auto"/>
    </w:pPr>
    <w:rPr>
      <w:rFonts w:ascii="Times New Roman" w:hAnsi="Times New Roman" w:eastAsia="Calibri" w:cs="宋体"/>
      <w:sz w:val="24"/>
      <w:szCs w:val="20"/>
      <w:lang w:val="zh-CN"/>
    </w:rPr>
  </w:style>
  <w:style w:type="paragraph" w:styleId="1132" w:customStyle="1">
    <w:name w:val="Char Char Char Char Char Char Char Char Char Char Char Char Char Char Char Char Char Char Char Char Char Char Char"/>
    <w:basedOn w:val="861"/>
    <w:uiPriority w:val="0"/>
    <w:qFormat/>
    <w:rPr>
      <w:rFonts w:ascii="Tahoma" w:hAnsi="Tahoma" w:eastAsia="Calibri" w:cs="Tahoma"/>
      <w:sz w:val="24"/>
      <w:szCs w:val="20"/>
      <w:lang w:val="zh-CN"/>
    </w:rPr>
  </w:style>
  <w:style w:type="paragraph" w:styleId="1133" w:customStyle="1">
    <w:name w:val="表格内容"/>
    <w:basedOn w:val="861"/>
    <w:uiPriority w:val="0"/>
    <w:qFormat/>
    <w:pPr>
      <w:jc w:val="center"/>
      <w:spacing w:before="60" w:line="300" w:lineRule="auto"/>
      <w:widowControl/>
    </w:pPr>
    <w:rPr>
      <w:rFonts w:ascii="Times New Roman" w:hAnsi="Times New Roman" w:eastAsia="Calibri" w:cs="宋体"/>
      <w:sz w:val="20"/>
      <w:szCs w:val="20"/>
      <w:lang w:val="zh-CN"/>
    </w:rPr>
  </w:style>
  <w:style w:type="paragraph" w:styleId="1134" w:customStyle="1">
    <w:name w:val="Char Char Char Char Char Char Char Char Char Char Char Char Char"/>
    <w:basedOn w:val="861"/>
    <w:uiPriority w:val="0"/>
    <w:qFormat/>
    <w:pPr>
      <w:jc w:val="left"/>
      <w:spacing w:after="160" w:line="240" w:lineRule="exact"/>
      <w:widowControl/>
    </w:pPr>
    <w:rPr>
      <w:rFonts w:ascii="Times New Roman" w:hAnsi="Times New Roman" w:eastAsia="Calibri" w:cs="宋体"/>
      <w:sz w:val="20"/>
      <w:szCs w:val="20"/>
      <w:lang w:val="zh-CN"/>
    </w:rPr>
  </w:style>
  <w:style w:type="paragraph" w:styleId="1135" w:customStyle="1">
    <w:name w:val="Char1 Char Char Char"/>
    <w:basedOn w:val="861"/>
    <w:uiPriority w:val="0"/>
    <w:qFormat/>
    <w:rPr>
      <w:rFonts w:ascii="Tahoma" w:hAnsi="Tahoma" w:eastAsia="Calibri" w:cs="宋体"/>
      <w:sz w:val="24"/>
      <w:szCs w:val="20"/>
      <w:lang w:val="zh-CN"/>
    </w:rPr>
  </w:style>
  <w:style w:type="paragraph" w:styleId="1136" w:customStyle="1">
    <w:name w:val="列表内容"/>
    <w:basedOn w:val="861"/>
    <w:next w:val="861"/>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137" w:customStyle="1">
    <w:name w:val="Pa6"/>
    <w:basedOn w:val="861"/>
    <w:next w:val="861"/>
    <w:uiPriority w:val="0"/>
    <w:qFormat/>
    <w:pPr>
      <w:jc w:val="left"/>
      <w:spacing w:line="241" w:lineRule="atLeast"/>
    </w:pPr>
    <w:rPr>
      <w:rFonts w:ascii="汉仪大黑简" w:hAnsi="汉仪大黑简" w:eastAsia="汉仪大黑简" w:cs="宋体"/>
      <w:sz w:val="24"/>
      <w:szCs w:val="20"/>
      <w:lang w:val="zh-CN"/>
    </w:rPr>
  </w:style>
  <w:style w:type="paragraph" w:styleId="1138" w:customStyle="1">
    <w:name w:val="xl62"/>
    <w:basedOn w:val="86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39" w:customStyle="1">
    <w:name w:val="xl26"/>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40" w:customStyle="1">
    <w:name w:val="马刚标题1"/>
    <w:basedOn w:val="862"/>
    <w:next w:val="861"/>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141" w:customStyle="1">
    <w:name w:val="Char Char Char Char"/>
    <w:basedOn w:val="880"/>
    <w:uiPriority w:val="0"/>
    <w:qFormat/>
    <w:pPr>
      <w:spacing w:line="360" w:lineRule="auto"/>
    </w:pPr>
    <w:rPr>
      <w:rFonts w:ascii="Tahoma" w:hAnsi="Tahoma"/>
      <w:sz w:val="24"/>
      <w:lang w:val="en-US"/>
    </w:rPr>
  </w:style>
  <w:style w:type="paragraph" w:styleId="1142" w:customStyle="1">
    <w:name w:val="xl52"/>
    <w:basedOn w:val="86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143" w:customStyle="1">
    <w:name w:val="样式 样式 首行缩进:  0.74 厘米 行距: 1.5 倍行距 + 段后: 0.5 行"/>
    <w:basedOn w:val="861"/>
    <w:uiPriority w:val="0"/>
    <w:qFormat/>
    <w:pPr>
      <w:ind w:firstLine="420"/>
      <w:spacing w:line="360" w:lineRule="auto"/>
    </w:pPr>
    <w:rPr>
      <w:rFonts w:ascii="楷体_GB2312" w:hAnsi="Times New Roman" w:eastAsia="楷体_GB2312" w:cs="宋体"/>
      <w:bCs/>
      <w:sz w:val="24"/>
      <w:szCs w:val="20"/>
      <w:lang w:val="zh-CN"/>
    </w:rPr>
  </w:style>
  <w:style w:type="paragraph" w:styleId="1144" w:customStyle="1">
    <w:name w:val="Char Char Char Char Char Char Char Char Char Char Char Char Char Char1"/>
    <w:basedOn w:val="861"/>
    <w:uiPriority w:val="0"/>
    <w:qFormat/>
    <w:rPr>
      <w:rFonts w:ascii="Tahoma" w:hAnsi="Tahoma" w:eastAsia="Calibri" w:cs="宋体"/>
      <w:sz w:val="24"/>
      <w:szCs w:val="20"/>
      <w:lang w:val="zh-CN"/>
    </w:rPr>
  </w:style>
  <w:style w:type="paragraph" w:styleId="1145" w:customStyle="1">
    <w:name w:val="表蕊"/>
    <w:basedOn w:val="861"/>
    <w:uiPriority w:val="0"/>
    <w:qFormat/>
    <w:pPr>
      <w:jc w:val="left"/>
      <w:spacing w:line="320" w:lineRule="atLeast"/>
    </w:pPr>
    <w:rPr>
      <w:rFonts w:ascii="Times New Roman" w:hAnsi="Times New Roman" w:eastAsia="楷体_GB2312" w:cs="宋体"/>
      <w:spacing w:val="-10"/>
      <w:sz w:val="20"/>
      <w:szCs w:val="20"/>
      <w:lang w:val="zh-CN"/>
    </w:rPr>
  </w:style>
  <w:style w:type="paragraph" w:styleId="1146" w:customStyle="1">
    <w:name w:val="默认段落字体 Para Char Char Char Char Char Char Char Char Char1 Char Char Char Char Char Char Char"/>
    <w:basedOn w:val="880"/>
    <w:uiPriority w:val="0"/>
    <w:qFormat/>
    <w:rPr>
      <w:lang w:val="en-US"/>
    </w:rPr>
  </w:style>
  <w:style w:type="paragraph" w:styleId="1147" w:customStyle="1">
    <w:name w:val="样式1"/>
    <w:basedOn w:val="861"/>
    <w:uiPriority w:val="0"/>
    <w:qFormat/>
    <w:pPr>
      <w:ind w:firstLine="200"/>
      <w:spacing w:line="300" w:lineRule="auto"/>
    </w:pPr>
    <w:rPr>
      <w:rFonts w:ascii="Times New Roman" w:hAnsi="Times New Roman" w:eastAsia="Calibri" w:cs="宋体"/>
      <w:sz w:val="24"/>
      <w:szCs w:val="20"/>
      <w:lang w:val="zh-CN"/>
    </w:rPr>
  </w:style>
  <w:style w:type="paragraph" w:styleId="1148" w:customStyle="1">
    <w:name w:val="Normal1"/>
    <w:basedOn w:val="861"/>
    <w:uiPriority w:val="0"/>
    <w:qFormat/>
    <w:rPr>
      <w:rFonts w:ascii="Times New Roman" w:hAnsi="Times New Roman" w:eastAsia="Calibri" w:cs="宋体"/>
      <w:sz w:val="20"/>
      <w:szCs w:val="20"/>
      <w:lang w:val="zh-CN"/>
    </w:rPr>
  </w:style>
  <w:style w:type="paragraph" w:styleId="1149" w:customStyle="1">
    <w:name w:val="普通文字"/>
    <w:basedOn w:val="861"/>
    <w:next w:val="861"/>
    <w:uiPriority w:val="0"/>
    <w:qFormat/>
    <w:rPr>
      <w:rFonts w:ascii="宋体" w:hAnsi="Times New Roman" w:eastAsia="Calibri" w:cs="宋体"/>
      <w:sz w:val="24"/>
      <w:szCs w:val="20"/>
      <w:lang w:val="zh-CN"/>
    </w:rPr>
  </w:style>
  <w:style w:type="paragraph" w:styleId="1150" w:customStyle="1">
    <w:name w:val="xl28"/>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51" w:customStyle="1">
    <w:name w:val="retrait3"/>
    <w:basedOn w:val="861"/>
    <w:uiPriority w:val="0"/>
    <w:qFormat/>
    <w:pPr>
      <w:ind w:left="851"/>
      <w:jc w:val="left"/>
      <w:spacing w:before="20" w:after="20"/>
      <w:widowControl/>
    </w:pPr>
    <w:rPr>
      <w:rFonts w:ascii="Arial" w:hAnsi="Arial" w:eastAsia="Calibri" w:cs="宋体"/>
      <w:sz w:val="24"/>
      <w:szCs w:val="20"/>
      <w:lang w:val="en-GB" w:eastAsia="en-GB"/>
    </w:rPr>
  </w:style>
  <w:style w:type="paragraph" w:styleId="1152" w:customStyle="1">
    <w:name w:val="Pa5"/>
    <w:basedOn w:val="861"/>
    <w:next w:val="861"/>
    <w:uiPriority w:val="0"/>
    <w:qFormat/>
    <w:pPr>
      <w:jc w:val="left"/>
      <w:spacing w:line="241" w:lineRule="atLeast"/>
    </w:pPr>
    <w:rPr>
      <w:rFonts w:ascii="汉仪大黑简" w:hAnsi="汉仪大黑简" w:eastAsia="汉仪大黑简" w:cs="宋体"/>
      <w:sz w:val="24"/>
      <w:szCs w:val="20"/>
      <w:lang w:val="zh-CN"/>
    </w:rPr>
  </w:style>
  <w:style w:type="paragraph" w:styleId="1153" w:customStyle="1">
    <w:name w:val="Char Char Char Char Char Char Char Char Char"/>
    <w:basedOn w:val="861"/>
    <w:uiPriority w:val="0"/>
    <w:qFormat/>
    <w:pPr>
      <w:ind w:left="200" w:hanging="200"/>
      <w:tabs>
        <w:tab w:val="left" w:pos="360" w:leader="none"/>
      </w:tabs>
    </w:pPr>
    <w:rPr>
      <w:rFonts w:ascii="Times New Roman" w:hAnsi="Times New Roman" w:eastAsia="Calibri" w:cs="宋体"/>
      <w:sz w:val="24"/>
      <w:szCs w:val="20"/>
      <w:lang w:val="zh-CN"/>
    </w:rPr>
  </w:style>
  <w:style w:type="paragraph" w:styleId="1154" w:customStyle="1">
    <w:name w:val="Char Char Char Char Char Char Char Char Char Char Char Char Char1"/>
    <w:basedOn w:val="880"/>
    <w:uiPriority w:val="0"/>
    <w:qFormat/>
    <w:rPr>
      <w:rFonts w:ascii="Tahoma" w:hAnsi="Tahoma"/>
      <w:sz w:val="24"/>
      <w:lang w:val="en-US"/>
    </w:rPr>
  </w:style>
  <w:style w:type="paragraph" w:styleId="115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56" w:customStyle="1">
    <w:name w:val="xl36"/>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57" w:customStyle="1">
    <w:name w:val="a"/>
    <w:basedOn w:val="861"/>
    <w:uiPriority w:val="0"/>
    <w:qFormat/>
    <w:pPr>
      <w:spacing w:before="100" w:beforeAutospacing="1" w:after="100" w:afterAutospacing="1"/>
      <w:widowControl/>
    </w:pPr>
    <w:rPr>
      <w:rFonts w:ascii="宋体" w:hAnsi="Times New Roman" w:eastAsia="Calibri" w:cs="宋体"/>
      <w:sz w:val="24"/>
      <w:szCs w:val="20"/>
      <w:lang w:val="zh-CN"/>
    </w:rPr>
  </w:style>
  <w:style w:type="paragraph" w:styleId="1158" w:customStyle="1">
    <w:name w:val="xl50"/>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59" w:customStyle="1">
    <w:name w:val="样式 加点正文 + 段前: 0.5 行 段后: 0.5 行1"/>
    <w:basedOn w:val="861"/>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160" w:customStyle="1">
    <w:name w:val="正文 + Arial Char"/>
    <w:basedOn w:val="861"/>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161" w:customStyle="1">
    <w:name w:val="xl29"/>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62" w:customStyle="1">
    <w:name w:val="文档正文"/>
    <w:basedOn w:val="861"/>
    <w:uiPriority w:val="0"/>
    <w:qFormat/>
    <w:pPr>
      <w:spacing w:line="360" w:lineRule="auto"/>
    </w:pPr>
    <w:rPr>
      <w:rFonts w:ascii="宋体" w:hAnsi="Times New Roman" w:eastAsia="Calibri" w:cs="宋体"/>
      <w:b/>
      <w:bCs/>
      <w:sz w:val="20"/>
      <w:szCs w:val="20"/>
      <w:lang w:val="zh-CN"/>
    </w:rPr>
  </w:style>
  <w:style w:type="paragraph" w:styleId="1163" w:customStyle="1">
    <w:name w:val="丁华标题3"/>
    <w:basedOn w:val="1104"/>
    <w:next w:val="1101"/>
    <w:uiPriority w:val="0"/>
    <w:qFormat/>
    <w:pPr>
      <w:ind w:left="1980" w:hanging="420"/>
      <w:spacing w:after="0"/>
      <w:tabs>
        <w:tab w:val="left" w:pos="720" w:leader="none"/>
        <w:tab w:val="left" w:pos="1470" w:leader="none"/>
        <w:tab w:val="left" w:pos="1980" w:leader="none"/>
      </w:tabs>
      <w:outlineLvl w:val="2"/>
    </w:pPr>
    <w:rPr>
      <w:sz w:val="24"/>
    </w:rPr>
  </w:style>
  <w:style w:type="paragraph" w:styleId="1164" w:customStyle="1">
    <w:name w:val="Char Char1 Char Char Char Char Char Char Char"/>
    <w:basedOn w:val="861"/>
    <w:uiPriority w:val="0"/>
    <w:qFormat/>
    <w:rPr>
      <w:rFonts w:ascii="Tahoma" w:hAnsi="Tahoma" w:eastAsia="Calibri" w:cs="Tahoma"/>
      <w:sz w:val="24"/>
      <w:szCs w:val="20"/>
      <w:lang w:val="zh-CN"/>
    </w:rPr>
  </w:style>
  <w:style w:type="paragraph" w:styleId="1165" w:customStyle="1">
    <w:name w:val="华宇段落1 Char"/>
    <w:basedOn w:val="861"/>
    <w:uiPriority w:val="0"/>
    <w:qFormat/>
    <w:pPr>
      <w:ind w:firstLine="200"/>
      <w:spacing w:line="360" w:lineRule="auto"/>
    </w:pPr>
    <w:rPr>
      <w:rFonts w:ascii="Times New Roman" w:hAnsi="Times New Roman" w:eastAsia="Calibri" w:cs="宋体"/>
      <w:bCs/>
      <w:sz w:val="24"/>
      <w:szCs w:val="20"/>
      <w:lang w:val="zh-CN"/>
    </w:rPr>
  </w:style>
  <w:style w:type="paragraph" w:styleId="1166" w:customStyle="1">
    <w:name w:val="xl41"/>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67" w:customStyle="1">
    <w:name w:val="1"/>
    <w:basedOn w:val="861"/>
    <w:next w:val="912"/>
    <w:uiPriority w:val="0"/>
    <w:qFormat/>
    <w:pPr>
      <w:spacing w:line="360" w:lineRule="auto"/>
    </w:pPr>
    <w:rPr>
      <w:rFonts w:ascii="Times New Roman" w:hAnsi="Times New Roman" w:eastAsia="仿宋_GB2312" w:cs="宋体"/>
      <w:sz w:val="24"/>
      <w:szCs w:val="20"/>
      <w:lang w:val="zh-CN"/>
    </w:rPr>
  </w:style>
  <w:style w:type="paragraph" w:styleId="1168" w:customStyle="1">
    <w:name w:val="p0"/>
    <w:basedOn w:val="861"/>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169" w:customStyle="1">
    <w:name w:val="正文 居中"/>
    <w:basedOn w:val="861"/>
    <w:uiPriority w:val="0"/>
    <w:qFormat/>
    <w:pPr>
      <w:jc w:val="center"/>
      <w:spacing w:line="360" w:lineRule="auto"/>
    </w:pPr>
    <w:rPr>
      <w:rFonts w:ascii="Times New Roman" w:hAnsi="Times New Roman" w:eastAsia="Calibri" w:cs="宋体"/>
      <w:sz w:val="24"/>
      <w:szCs w:val="20"/>
      <w:lang w:val="zh-CN"/>
    </w:rPr>
  </w:style>
  <w:style w:type="paragraph" w:styleId="1170" w:customStyle="1">
    <w:name w:val="Table Text Char"/>
    <w:uiPriority w:val="0"/>
    <w:qFormat/>
    <w:pPr>
      <w:spacing w:before="80" w:after="80"/>
    </w:pPr>
    <w:rPr>
      <w:rFonts w:ascii="Arial" w:hAnsi="Arial" w:eastAsia="宋体" w:cs="Arial"/>
      <w:sz w:val="18"/>
      <w:szCs w:val="28"/>
      <w:lang w:val="en-US" w:eastAsia="zh-CN" w:bidi="ar-SA"/>
    </w:rPr>
  </w:style>
  <w:style w:type="paragraph" w:styleId="1171" w:customStyle="1">
    <w:name w:val="xl27"/>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72" w:customStyle="1">
    <w:name w:val="标题3"/>
    <w:basedOn w:val="864"/>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bCs/>
      <w:color w:val="auto"/>
      <w:sz w:val="30"/>
      <w:szCs w:val="32"/>
    </w:rPr>
  </w:style>
  <w:style w:type="paragraph" w:styleId="1173" w:customStyle="1">
    <w:name w:val="段落"/>
    <w:basedOn w:val="861"/>
    <w:uiPriority w:val="0"/>
    <w:qFormat/>
    <w:pPr>
      <w:ind w:firstLine="480"/>
      <w:spacing w:line="460" w:lineRule="exact"/>
    </w:pPr>
    <w:rPr>
      <w:rFonts w:ascii="Times New Roman" w:hAnsi="Times New Roman" w:eastAsia="Calibri" w:cs="宋体"/>
      <w:sz w:val="24"/>
      <w:szCs w:val="20"/>
      <w:lang w:val="zh-CN"/>
    </w:rPr>
  </w:style>
  <w:style w:type="paragraph" w:styleId="1174" w:customStyle="1">
    <w:name w:val="xl53"/>
    <w:basedOn w:val="86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75" w:customStyle="1">
    <w:name w:val="符号与编号 Char"/>
    <w:basedOn w:val="861"/>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176" w:customStyle="1">
    <w:name w:val="正文表标题"/>
    <w:next w:val="117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77" w:customStyle="1">
    <w:name w:val="段"/>
    <w:next w:val="861"/>
    <w:uiPriority w:val="0"/>
    <w:qFormat/>
    <w:pPr>
      <w:ind w:firstLine="200"/>
      <w:jc w:val="both"/>
    </w:pPr>
    <w:rPr>
      <w:rFonts w:ascii="宋体" w:hAnsi="Times New Roman" w:eastAsia="宋体" w:cs="Times New Roman"/>
      <w:sz w:val="21"/>
      <w:lang w:val="en-US" w:eastAsia="zh-CN" w:bidi="ar-SA"/>
    </w:rPr>
  </w:style>
  <w:style w:type="paragraph" w:styleId="1178" w:customStyle="1">
    <w:name w:val="a0"/>
    <w:basedOn w:val="861"/>
    <w:uiPriority w:val="0"/>
    <w:qFormat/>
    <w:pPr>
      <w:spacing w:before="100" w:beforeAutospacing="1" w:after="100" w:afterAutospacing="1"/>
      <w:widowControl/>
    </w:pPr>
    <w:rPr>
      <w:rFonts w:ascii="宋体" w:hAnsi="Times New Roman" w:eastAsia="Calibri" w:cs="宋体"/>
      <w:sz w:val="24"/>
      <w:szCs w:val="20"/>
      <w:lang w:val="zh-CN"/>
    </w:rPr>
  </w:style>
  <w:style w:type="paragraph" w:styleId="1179" w:customStyle="1">
    <w:name w:val="新图表正文"/>
    <w:uiPriority w:val="0"/>
    <w:qFormat/>
    <w:pPr>
      <w:jc w:val="both"/>
    </w:pPr>
    <w:rPr>
      <w:rFonts w:ascii="宋体" w:hAnsi="Times New Roman" w:eastAsia="宋体" w:cs="Times New Roman"/>
      <w:sz w:val="18"/>
      <w:szCs w:val="21"/>
      <w:lang w:val="en-US" w:eastAsia="zh-CN" w:bidi="ar-SA"/>
    </w:rPr>
  </w:style>
  <w:style w:type="paragraph" w:styleId="1180" w:customStyle="1">
    <w:name w:val="font11"/>
    <w:basedOn w:val="861"/>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181" w:customStyle="1">
    <w:name w:val="符号与编号 Char Char"/>
    <w:basedOn w:val="861"/>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182" w:customStyle="1">
    <w:name w:val="Bullets L1"/>
    <w:basedOn w:val="861"/>
    <w:uiPriority w:val="0"/>
    <w:qFormat/>
    <w:pPr>
      <w:numPr>
        <w:ilvl w:val="0"/>
        <w:numId w:val="3"/>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183" w:customStyle="1">
    <w:name w:val="font12"/>
    <w:basedOn w:val="861"/>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184" w:customStyle="1">
    <w:name w:val="Item Step in Table"/>
    <w:uiPriority w:val="0"/>
    <w:qFormat/>
    <w:pPr>
      <w:numPr>
        <w:ilvl w:val="0"/>
        <w:numId w:val="4"/>
      </w:numPr>
      <w:jc w:val="both"/>
      <w:spacing w:before="40" w:after="40"/>
      <w:tabs>
        <w:tab w:val="left" w:pos="0" w:leader="none"/>
        <w:tab w:val="left" w:pos="397" w:leader="none"/>
      </w:tabs>
    </w:pPr>
    <w:rPr>
      <w:rFonts w:ascii="Arial" w:hAnsi="Arial" w:eastAsia="宋体" w:cs="Arial"/>
      <w:sz w:val="18"/>
      <w:szCs w:val="18"/>
      <w:lang w:val="en-US" w:eastAsia="zh-CN" w:bidi="ar-SA"/>
    </w:rPr>
  </w:style>
  <w:style w:type="paragraph" w:styleId="1185" w:customStyle="1">
    <w:name w:val="Char1 Char Char Char1"/>
    <w:basedOn w:val="861"/>
    <w:uiPriority w:val="0"/>
    <w:qFormat/>
    <w:rPr>
      <w:rFonts w:ascii="Tahoma" w:hAnsi="Tahoma" w:eastAsia="Calibri" w:cs="Tahoma"/>
      <w:sz w:val="24"/>
      <w:szCs w:val="20"/>
      <w:lang w:val="zh-CN"/>
    </w:rPr>
  </w:style>
  <w:style w:type="paragraph" w:styleId="1186" w:customStyle="1">
    <w:name w:val="Char1"/>
    <w:basedOn w:val="861"/>
    <w:uiPriority w:val="0"/>
    <w:qFormat/>
    <w:rPr>
      <w:rFonts w:ascii="仿宋_GB2312" w:hAnsi="Times New Roman" w:eastAsia="仿宋_GB2312" w:cs="宋体"/>
      <w:b/>
      <w:sz w:val="32"/>
      <w:szCs w:val="32"/>
      <w:lang w:val="zh-CN"/>
    </w:rPr>
  </w:style>
  <w:style w:type="paragraph" w:styleId="1187" w:customStyle="1">
    <w:name w:val="xl49"/>
    <w:basedOn w:val="861"/>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188" w:customStyle="1">
    <w:name w:val="Char Char1 Char Char Char Char1 Char Char Char Char Char Char"/>
    <w:basedOn w:val="861"/>
    <w:uiPriority w:val="0"/>
    <w:qFormat/>
    <w:rPr>
      <w:rFonts w:ascii="Tahoma" w:hAnsi="Tahoma" w:eastAsia="Calibri" w:cs="宋体"/>
      <w:sz w:val="24"/>
      <w:szCs w:val="20"/>
      <w:lang w:val="zh-CN"/>
    </w:rPr>
  </w:style>
  <w:style w:type="paragraph" w:styleId="1189" w:customStyle="1">
    <w:name w:val="Char Char1"/>
    <w:basedOn w:val="861"/>
    <w:uiPriority w:val="0"/>
    <w:qFormat/>
    <w:rPr>
      <w:rFonts w:ascii="Tahoma" w:hAnsi="Tahoma" w:eastAsia="Calibri" w:cs="Tahoma"/>
      <w:sz w:val="24"/>
      <w:szCs w:val="20"/>
      <w:lang w:val="zh-CN"/>
    </w:rPr>
  </w:style>
  <w:style w:type="paragraph" w:styleId="1190" w:customStyle="1">
    <w:name w:val="二级条标题"/>
    <w:basedOn w:val="861"/>
    <w:next w:val="1177"/>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191" w:customStyle="1">
    <w:name w:val="标题3，章节第三层"/>
    <w:basedOn w:val="861"/>
    <w:next w:val="1111"/>
    <w:uiPriority w:val="0"/>
    <w:qFormat/>
    <w:pPr>
      <w:spacing w:before="78" w:line="300" w:lineRule="auto"/>
      <w:outlineLvl w:val="2"/>
    </w:pPr>
    <w:rPr>
      <w:rFonts w:ascii="Arial" w:hAnsi="Arial" w:eastAsia="华文细黑" w:cs="宋体"/>
      <w:sz w:val="30"/>
      <w:szCs w:val="20"/>
      <w:lang w:val="zh-CN"/>
    </w:rPr>
  </w:style>
  <w:style w:type="paragraph" w:styleId="1192" w:customStyle="1">
    <w:name w:val="公文正文"/>
    <w:basedOn w:val="886"/>
    <w:uiPriority w:val="0"/>
    <w:qFormat/>
    <w:pPr>
      <w:ind w:left="0" w:firstLine="200"/>
      <w:spacing w:after="0"/>
    </w:pPr>
    <w:rPr>
      <w:rFonts w:ascii="仿宋_GB2312" w:eastAsia="仿宋_GB2312"/>
      <w:sz w:val="28"/>
    </w:rPr>
  </w:style>
  <w:style w:type="paragraph" w:styleId="1193" w:customStyle="1">
    <w:name w:val="Char Char11"/>
    <w:basedOn w:val="861"/>
    <w:uiPriority w:val="0"/>
    <w:qFormat/>
    <w:rPr>
      <w:rFonts w:ascii="Tahoma" w:hAnsi="Tahoma" w:eastAsia="Calibri" w:cs="宋体"/>
      <w:sz w:val="24"/>
      <w:szCs w:val="20"/>
      <w:lang w:val="zh-CN"/>
    </w:rPr>
  </w:style>
  <w:style w:type="paragraph" w:styleId="1194" w:customStyle="1">
    <w:name w:val="小四 段落 宋体 Char Char Char"/>
    <w:basedOn w:val="878"/>
    <w:uiPriority w:val="0"/>
    <w:qFormat/>
    <w:pPr>
      <w:ind w:left="0" w:right="-33" w:firstLine="227"/>
      <w:jc w:val="left"/>
      <w:spacing w:line="360" w:lineRule="auto"/>
      <w:tabs>
        <w:tab w:val="clear" w:pos="2952" w:leader="none"/>
      </w:tabs>
    </w:pPr>
    <w:rPr>
      <w:sz w:val="24"/>
    </w:rPr>
  </w:style>
  <w:style w:type="paragraph" w:styleId="1195" w:customStyle="1">
    <w:name w:val="Char12"/>
    <w:basedOn w:val="861"/>
    <w:uiPriority w:val="0"/>
    <w:qFormat/>
    <w:pPr>
      <w:jc w:val="left"/>
      <w:spacing w:after="160" w:line="240" w:lineRule="exact"/>
      <w:widowControl/>
    </w:pPr>
    <w:rPr>
      <w:rFonts w:ascii="Verdana" w:hAnsi="Verdana" w:eastAsia="仿宋_GB2312" w:cs="宋体"/>
      <w:sz w:val="24"/>
      <w:szCs w:val="20"/>
      <w:lang w:val="zh-CN"/>
    </w:rPr>
  </w:style>
  <w:style w:type="paragraph" w:styleId="1196" w:customStyle="1">
    <w:name w:val="标准文本"/>
    <w:basedOn w:val="861"/>
    <w:uiPriority w:val="0"/>
    <w:qFormat/>
    <w:pPr>
      <w:ind w:firstLine="200"/>
      <w:spacing w:line="360" w:lineRule="auto"/>
    </w:pPr>
    <w:rPr>
      <w:rFonts w:ascii="Times New Roman" w:hAnsi="Times New Roman" w:eastAsia="Calibri" w:cs="宋体"/>
      <w:sz w:val="24"/>
      <w:szCs w:val="20"/>
      <w:lang w:val="zh-CN"/>
    </w:rPr>
  </w:style>
  <w:style w:type="paragraph" w:styleId="1197" w:customStyle="1">
    <w:name w:val="xl24"/>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98" w:customStyle="1">
    <w:name w:val="我的正文"/>
    <w:basedOn w:val="861"/>
    <w:uiPriority w:val="0"/>
    <w:qFormat/>
    <w:pPr>
      <w:ind w:firstLine="420"/>
      <w:jc w:val="left"/>
      <w:spacing w:line="360" w:lineRule="auto"/>
      <w:widowControl/>
    </w:pPr>
    <w:rPr>
      <w:rFonts w:ascii="宋体" w:hAnsi="Times New Roman" w:eastAsia="Calibri" w:cs="宋体"/>
      <w:sz w:val="20"/>
      <w:szCs w:val="21"/>
      <w:lang w:val="zh-CN"/>
    </w:rPr>
  </w:style>
  <w:style w:type="paragraph" w:styleId="1199" w:customStyle="1">
    <w:name w:val="xl54"/>
    <w:basedOn w:val="86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200" w:customStyle="1">
    <w:name w:val="xl57"/>
    <w:basedOn w:val="8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201" w:customStyle="1">
    <w:name w:val="表格"/>
    <w:basedOn w:val="861"/>
    <w:uiPriority w:val="0"/>
    <w:qFormat/>
    <w:pPr>
      <w:ind w:firstLine="21"/>
    </w:pPr>
    <w:rPr>
      <w:rFonts w:ascii="宋体" w:hAnsi="Times New Roman" w:eastAsia="Calibri" w:cs="宋体"/>
      <w:sz w:val="20"/>
      <w:szCs w:val="20"/>
      <w:lang w:val="zh-CN"/>
    </w:rPr>
  </w:style>
  <w:style w:type="paragraph" w:styleId="1202" w:customStyle="1">
    <w:name w:val="样式 样式 标题 3H3sect1.2.3BOD 0Heading 3 - oldh3l3CTLevel 3 Head... +..."/>
    <w:basedOn w:val="861"/>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203" w:customStyle="1">
    <w:name w:val="Char Char Char Char Char Char Char Char Char Char Char Char Char Char Char Char Char Char Char Char Char1"/>
    <w:basedOn w:val="861"/>
    <w:uiPriority w:val="0"/>
    <w:qFormat/>
    <w:rPr>
      <w:rFonts w:ascii="Tahoma" w:hAnsi="Tahoma" w:eastAsia="Calibri" w:cs="宋体"/>
      <w:sz w:val="24"/>
      <w:szCs w:val="20"/>
      <w:lang w:val="zh-CN"/>
    </w:rPr>
  </w:style>
  <w:style w:type="paragraph" w:styleId="1204" w:customStyle="1">
    <w:name w:val="Char Char Char Char Char Char Char Char Char Char Char Char Char Char Char Char Char Char Char Char Char Char Char1"/>
    <w:basedOn w:val="861"/>
    <w:uiPriority w:val="0"/>
    <w:qFormat/>
    <w:rPr>
      <w:rFonts w:ascii="Tahoma" w:hAnsi="Tahoma" w:eastAsia="Calibri" w:cs="宋体"/>
      <w:sz w:val="24"/>
      <w:szCs w:val="20"/>
      <w:lang w:val="zh-CN"/>
    </w:rPr>
  </w:style>
  <w:style w:type="paragraph" w:styleId="1205" w:customStyle="1">
    <w:name w:val="样式 标题 3H3sect1.2.3BOD 0Heading 3 - oldh3l3CTLevel 3 Head..."/>
    <w:basedOn w:val="864"/>
    <w:uiPriority w:val="0"/>
    <w:qFormat/>
    <w:pPr>
      <w:numPr>
        <w:ilvl w:val="0"/>
        <w:numId w:val="0"/>
      </w:numPr>
      <w:jc w:val="left"/>
      <w:spacing w:before="50" w:after="50" w:line="390" w:lineRule="atLeast"/>
      <w:shd w:val="clear" w:color="auto" w:fill="ffffff"/>
      <w:tabs>
        <w:tab w:val="clear" w:pos="720" w:leader="none"/>
        <w:tab w:val="clear" w:pos="2563" w:leader="none"/>
      </w:tabs>
    </w:pPr>
    <w:rPr>
      <w:bCs/>
      <w:color w:val="auto"/>
      <w:sz w:val="30"/>
      <w:szCs w:val="21"/>
    </w:rPr>
  </w:style>
  <w:style w:type="paragraph" w:styleId="1206" w:customStyle="1">
    <w:name w:val="font10"/>
    <w:basedOn w:val="861"/>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207" w:customStyle="1">
    <w:name w:val="flType"/>
    <w:basedOn w:val="1208"/>
    <w:uiPriority w:val="0"/>
    <w:qFormat/>
    <w:pPr>
      <w:spacing w:after="284"/>
    </w:pPr>
    <w:rPr>
      <w:rFonts w:eastAsia="宋体"/>
      <w:b w:val="0"/>
    </w:rPr>
  </w:style>
  <w:style w:type="paragraph" w:styleId="1208" w:customStyle="1">
    <w:name w:val="flName"/>
    <w:basedOn w:val="1097"/>
    <w:uiPriority w:val="0"/>
    <w:qFormat/>
    <w:pPr>
      <w:spacing w:before="0" w:line="113" w:lineRule="atLeast"/>
    </w:pPr>
  </w:style>
  <w:style w:type="paragraph" w:styleId="1209" w:customStyle="1">
    <w:name w:val="标题2，章节第二层"/>
    <w:basedOn w:val="861"/>
    <w:next w:val="1111"/>
    <w:uiPriority w:val="0"/>
    <w:qFormat/>
    <w:pPr>
      <w:numPr>
        <w:ilvl w:val="4"/>
        <w:numId w:val="4"/>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210" w:customStyle="1">
    <w:name w:val="xl55"/>
    <w:basedOn w:val="86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211" w:customStyle="1">
    <w:name w:val="zw"/>
    <w:basedOn w:val="861"/>
    <w:uiPriority w:val="0"/>
    <w:qFormat/>
    <w:pPr>
      <w:ind w:firstLine="200"/>
      <w:jc w:val="left"/>
      <w:spacing w:line="360" w:lineRule="auto"/>
      <w:widowControl/>
    </w:pPr>
    <w:rPr>
      <w:rFonts w:ascii="宋体" w:hAnsi="Times New Roman" w:eastAsia="Calibri" w:cs="宋体"/>
      <w:bCs/>
      <w:sz w:val="24"/>
      <w:szCs w:val="20"/>
      <w:lang w:val="zh-CN"/>
    </w:rPr>
  </w:style>
  <w:style w:type="paragraph" w:styleId="1212" w:customStyle="1">
    <w:name w:val="公文标题 2"/>
    <w:basedOn w:val="861"/>
    <w:next w:val="1192"/>
    <w:uiPriority w:val="0"/>
    <w:qFormat/>
    <w:pPr>
      <w:outlineLvl w:val="1"/>
    </w:pPr>
    <w:rPr>
      <w:rFonts w:ascii="仿宋_GB2312" w:hAnsi="Times New Roman" w:eastAsia="仿宋_GB2312" w:cs="宋体"/>
      <w:sz w:val="28"/>
      <w:szCs w:val="20"/>
      <w:lang w:val="zh-CN"/>
    </w:rPr>
  </w:style>
  <w:style w:type="paragraph" w:styleId="1213" w:customStyle="1">
    <w:name w:val="Char Char1 Char1"/>
    <w:basedOn w:val="861"/>
    <w:uiPriority w:val="0"/>
    <w:qFormat/>
    <w:pPr>
      <w:jc w:val="left"/>
      <w:spacing w:after="160" w:line="240" w:lineRule="exact"/>
      <w:widowControl/>
    </w:pPr>
    <w:rPr>
      <w:rFonts w:ascii="Verdana" w:hAnsi="Verdana" w:eastAsia="Calibri" w:cs="宋体"/>
      <w:sz w:val="20"/>
      <w:szCs w:val="20"/>
      <w:lang w:val="zh-CN"/>
    </w:rPr>
  </w:style>
  <w:style w:type="paragraph" w:styleId="1214" w:customStyle="1">
    <w:name w:val="Char Char Char Char1"/>
    <w:basedOn w:val="861"/>
    <w:uiPriority w:val="0"/>
    <w:qFormat/>
    <w:pPr>
      <w:jc w:val="center"/>
      <w:spacing w:after="160" w:line="240" w:lineRule="exact"/>
      <w:widowControl/>
    </w:pPr>
    <w:rPr>
      <w:rFonts w:ascii="黑体" w:hAnsi="Times New Roman" w:eastAsia="黑体" w:cs="宋体"/>
      <w:sz w:val="32"/>
      <w:szCs w:val="32"/>
      <w:lang w:val="zh-CN"/>
    </w:rPr>
  </w:style>
  <w:style w:type="paragraph" w:styleId="1215" w:customStyle="1">
    <w:name w:val="Default Text"/>
    <w:basedOn w:val="861"/>
    <w:uiPriority w:val="0"/>
    <w:qFormat/>
    <w:pPr>
      <w:jc w:val="left"/>
      <w:widowControl/>
    </w:pPr>
    <w:rPr>
      <w:rFonts w:ascii="Times New Roman" w:hAnsi="Times New Roman" w:eastAsia="Calibri" w:cs="宋体"/>
      <w:sz w:val="24"/>
      <w:szCs w:val="20"/>
      <w:lang w:val="zh-CN"/>
    </w:rPr>
  </w:style>
  <w:style w:type="paragraph" w:styleId="1216" w:customStyle="1">
    <w:name w:val="表格内文字"/>
    <w:basedOn w:val="861"/>
    <w:uiPriority w:val="0"/>
    <w:qFormat/>
    <w:pPr>
      <w:spacing w:line="300" w:lineRule="atLeast"/>
    </w:pPr>
    <w:rPr>
      <w:rFonts w:ascii="Times New Roman" w:hAnsi="Times New Roman" w:eastAsia="Calibri" w:cs="宋体"/>
      <w:sz w:val="18"/>
      <w:szCs w:val="20"/>
      <w:lang w:val="zh-CN"/>
    </w:rPr>
  </w:style>
  <w:style w:type="paragraph" w:styleId="1217" w:customStyle="1">
    <w:name w:val="表头"/>
    <w:basedOn w:val="861"/>
    <w:uiPriority w:val="0"/>
    <w:qFormat/>
    <w:pPr>
      <w:jc w:val="center"/>
      <w:spacing w:line="320" w:lineRule="atLeast"/>
    </w:pPr>
    <w:rPr>
      <w:rFonts w:ascii="Times New Roman" w:hAnsi="Times New Roman" w:eastAsia="黑体" w:cs="宋体"/>
      <w:spacing w:val="-10"/>
      <w:sz w:val="20"/>
      <w:szCs w:val="20"/>
      <w:lang w:val="zh-CN"/>
    </w:rPr>
  </w:style>
  <w:style w:type="paragraph" w:styleId="1218" w:customStyle="1">
    <w:name w:val="小四 段落 宋体"/>
    <w:basedOn w:val="878"/>
    <w:uiPriority w:val="0"/>
    <w:qFormat/>
    <w:pPr>
      <w:ind w:left="113" w:right="113" w:firstLine="425"/>
      <w:jc w:val="left"/>
      <w:spacing w:line="360" w:lineRule="auto"/>
      <w:tabs>
        <w:tab w:val="clear" w:pos="2952" w:leader="none"/>
      </w:tabs>
    </w:pPr>
    <w:rPr>
      <w:sz w:val="24"/>
    </w:rPr>
  </w:style>
  <w:style w:type="paragraph" w:styleId="1219" w:customStyle="1">
    <w:name w:val="111111"/>
    <w:basedOn w:val="861"/>
    <w:uiPriority w:val="0"/>
    <w:qFormat/>
    <w:pPr>
      <w:jc w:val="center"/>
      <w:spacing w:before="120" w:after="120"/>
    </w:pPr>
    <w:rPr>
      <w:rFonts w:ascii="宋体" w:hAnsi="宋体" w:eastAsia="黑体" w:cs="宋体"/>
      <w:b/>
      <w:bCs/>
      <w:sz w:val="20"/>
      <w:szCs w:val="21"/>
      <w:lang w:val="zh-CN"/>
    </w:rPr>
  </w:style>
  <w:style w:type="paragraph" w:styleId="1220" w:customStyle="1">
    <w:name w:val="xl61"/>
    <w:basedOn w:val="86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221" w:customStyle="1">
    <w:name w:val="论文正文"/>
    <w:basedOn w:val="895"/>
    <w:uiPriority w:val="0"/>
    <w:qFormat/>
    <w:pPr>
      <w:ind w:left="0" w:firstLine="200"/>
      <w:jc w:val="left"/>
      <w:spacing w:line="360" w:lineRule="auto"/>
    </w:pPr>
    <w:rPr>
      <w:rFonts w:ascii="Times New Roman" w:hAnsi="Times New Roman"/>
      <w:sz w:val="28"/>
      <w:szCs w:val="24"/>
      <w:lang w:val="en-US"/>
    </w:rPr>
  </w:style>
  <w:style w:type="paragraph" w:styleId="1222" w:customStyle="1">
    <w:name w:val="样式"/>
    <w:basedOn w:val="861"/>
    <w:uiPriority w:val="0"/>
    <w:qFormat/>
    <w:pPr>
      <w:spacing w:before="120" w:after="120" w:line="360" w:lineRule="auto"/>
    </w:pPr>
    <w:rPr>
      <w:rFonts w:ascii="宋体" w:hAnsi="Times New Roman" w:eastAsia="Calibri" w:cs="宋体"/>
      <w:sz w:val="24"/>
      <w:szCs w:val="20"/>
      <w:lang w:val="zh-CN"/>
    </w:rPr>
  </w:style>
  <w:style w:type="paragraph" w:styleId="1223" w:customStyle="1">
    <w:name w:val="样式 首行缩进:  2 字符"/>
    <w:basedOn w:val="861"/>
    <w:uiPriority w:val="0"/>
    <w:qFormat/>
    <w:pPr>
      <w:ind w:firstLine="200"/>
      <w:spacing w:line="360" w:lineRule="auto"/>
    </w:pPr>
    <w:rPr>
      <w:rFonts w:ascii="Times New Roman" w:hAnsi="Times New Roman" w:eastAsia="Calibri" w:cs="宋体"/>
      <w:sz w:val="24"/>
      <w:szCs w:val="20"/>
      <w:lang w:val="zh-CN"/>
    </w:rPr>
  </w:style>
  <w:style w:type="paragraph" w:styleId="1224" w:customStyle="1">
    <w:name w:val="Char Char Char"/>
    <w:basedOn w:val="880"/>
    <w:uiPriority w:val="0"/>
    <w:qFormat/>
    <w:pPr>
      <w:spacing w:line="436" w:lineRule="exact"/>
    </w:pPr>
    <w:rPr>
      <w:lang w:val="en-US"/>
    </w:rPr>
  </w:style>
  <w:style w:type="paragraph" w:styleId="1225" w:customStyle="1">
    <w:name w:val="font5"/>
    <w:basedOn w:val="861"/>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226" w:customStyle="1">
    <w:name w:val="xl63"/>
    <w:basedOn w:val="86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227" w:customStyle="1">
    <w:name w:val="样式3"/>
    <w:basedOn w:val="861"/>
    <w:next w:val="861"/>
    <w:uiPriority w:val="0"/>
    <w:qFormat/>
    <w:pPr>
      <w:spacing w:line="360" w:lineRule="auto"/>
    </w:pPr>
    <w:rPr>
      <w:rFonts w:ascii="Times New Roman" w:hAnsi="Times New Roman" w:eastAsia="Calibri" w:cs="宋体"/>
      <w:sz w:val="20"/>
      <w:szCs w:val="20"/>
      <w:lang w:val="zh-CN"/>
    </w:rPr>
  </w:style>
  <w:style w:type="paragraph" w:styleId="1228" w:customStyle="1">
    <w:name w:val="xl33"/>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29" w:customStyle="1">
    <w:name w:val="Char2 Char Char Char Char Char Char1"/>
    <w:basedOn w:val="861"/>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230" w:customStyle="1">
    <w:name w:val="xl25"/>
    <w:basedOn w:val="861"/>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231" w:customStyle="1">
    <w:name w:val="Char Char Char Char Char Char Char1"/>
    <w:basedOn w:val="861"/>
    <w:uiPriority w:val="0"/>
    <w:qFormat/>
    <w:rPr>
      <w:rFonts w:ascii="Tahoma" w:hAnsi="Tahoma" w:eastAsia="Calibri" w:cs="宋体"/>
      <w:sz w:val="24"/>
      <w:szCs w:val="20"/>
      <w:lang w:val="zh-CN"/>
    </w:rPr>
  </w:style>
  <w:style w:type="paragraph" w:styleId="1232" w:customStyle="1">
    <w:name w:val="中等深浅网格 1 - 强调文字颜色 21"/>
    <w:basedOn w:val="861"/>
    <w:uiPriority w:val="0"/>
    <w:qFormat/>
    <w:pPr>
      <w:ind w:firstLine="200"/>
    </w:pPr>
    <w:rPr>
      <w:rFonts w:ascii="Times New Roman" w:hAnsi="Times New Roman" w:eastAsia="Calibri" w:cs="宋体"/>
      <w:sz w:val="20"/>
      <w:lang w:val="zh-CN"/>
    </w:rPr>
  </w:style>
  <w:style w:type="paragraph" w:styleId="1233" w:customStyle="1">
    <w:name w:val="大标题"/>
    <w:basedOn w:val="861"/>
    <w:next w:val="861"/>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234" w:customStyle="1">
    <w:name w:val="tableau"/>
    <w:basedOn w:val="861"/>
    <w:uiPriority w:val="0"/>
    <w:qFormat/>
    <w:pPr>
      <w:jc w:val="center"/>
      <w:spacing w:before="20" w:after="20"/>
      <w:widowControl/>
    </w:pPr>
    <w:rPr>
      <w:rFonts w:ascii="Arial" w:hAnsi="Arial" w:eastAsia="Calibri" w:cs="宋体"/>
      <w:sz w:val="16"/>
      <w:szCs w:val="20"/>
      <w:lang w:val="en-GB" w:eastAsia="en-GB"/>
    </w:rPr>
  </w:style>
  <w:style w:type="paragraph" w:styleId="1235" w:customStyle="1">
    <w:name w:val="表格标题"/>
    <w:basedOn w:val="861"/>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236" w:customStyle="1">
    <w:name w:val="小四 段落 宋体 Char"/>
    <w:basedOn w:val="878"/>
    <w:uiPriority w:val="0"/>
    <w:qFormat/>
    <w:pPr>
      <w:ind w:left="0" w:right="-33" w:firstLine="200"/>
      <w:jc w:val="left"/>
      <w:tabs>
        <w:tab w:val="clear" w:pos="2952" w:leader="none"/>
      </w:tabs>
    </w:pPr>
    <w:rPr>
      <w:rFonts w:ascii="仿宋_GB2312" w:eastAsia="仿宋_GB2312"/>
      <w:sz w:val="30"/>
      <w:szCs w:val="30"/>
    </w:rPr>
  </w:style>
  <w:style w:type="paragraph" w:styleId="1237" w:customStyle="1">
    <w:name w:val="Char Char Char Char Char Char Char Char Char Char Char"/>
    <w:basedOn w:val="861"/>
    <w:uiPriority w:val="0"/>
    <w:qFormat/>
    <w:rPr>
      <w:rFonts w:ascii="Tahoma" w:hAnsi="Tahoma" w:eastAsia="Calibri" w:cs="Tahoma"/>
      <w:sz w:val="24"/>
      <w:szCs w:val="20"/>
      <w:lang w:val="zh-CN"/>
    </w:rPr>
  </w:style>
  <w:style w:type="paragraph" w:styleId="1238" w:customStyle="1">
    <w:name w:val="项目符号：一级"/>
    <w:basedOn w:val="1111"/>
    <w:next w:val="1111"/>
    <w:uiPriority w:val="0"/>
    <w:qFormat/>
    <w:pPr>
      <w:ind w:right="-64"/>
    </w:pPr>
    <w:rPr>
      <w:bCs w:val="0"/>
      <w:lang w:val="en-US"/>
    </w:rPr>
  </w:style>
  <w:style w:type="paragraph" w:styleId="1239" w:customStyle="1">
    <w:name w:val="表格文字"/>
    <w:basedOn w:val="861"/>
    <w:uiPriority w:val="0"/>
    <w:qFormat/>
    <w:pPr>
      <w:ind w:firstLine="200"/>
      <w:jc w:val="left"/>
      <w:spacing w:line="360" w:lineRule="auto"/>
    </w:pPr>
    <w:rPr>
      <w:rFonts w:ascii="Arial" w:hAnsi="Arial" w:eastAsia="Calibri" w:cs="宋体"/>
      <w:sz w:val="24"/>
      <w:szCs w:val="20"/>
      <w:lang w:val="zh-CN"/>
    </w:rPr>
  </w:style>
  <w:style w:type="paragraph" w:styleId="1240" w:customStyle="1">
    <w:name w:val="Body Text 21"/>
    <w:basedOn w:val="861"/>
    <w:uiPriority w:val="0"/>
    <w:qFormat/>
    <w:pPr>
      <w:ind w:left="720" w:hanging="720"/>
      <w:widowControl/>
    </w:pPr>
    <w:rPr>
      <w:rFonts w:ascii="Times New Roman" w:hAnsi="Times New Roman" w:eastAsia="Calibri" w:cs="宋体"/>
      <w:sz w:val="24"/>
      <w:szCs w:val="20"/>
      <w:lang w:val="en-GB" w:eastAsia="en-GB"/>
    </w:rPr>
  </w:style>
  <w:style w:type="paragraph" w:styleId="1241" w:customStyle="1">
    <w:name w:val="xl60"/>
    <w:basedOn w:val="86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242" w:customStyle="1">
    <w:name w:val="xl43"/>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4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44" w:customStyle="1">
    <w:name w:val="样式 标题 2第一章 标题 2Heading 2 HiddenHeading 2 CCBSheading 2H2h2..."/>
    <w:basedOn w:val="863"/>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245" w:customStyle="1">
    <w:name w:val="font14"/>
    <w:basedOn w:val="861"/>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246" w:customStyle="1">
    <w:name w:val="xl59"/>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47" w:customStyle="1">
    <w:name w:val="正文 首行缩进:  2 字符 Char Char"/>
    <w:basedOn w:val="861"/>
    <w:uiPriority w:val="0"/>
    <w:qFormat/>
    <w:pPr>
      <w:ind w:firstLine="480"/>
      <w:spacing w:line="360" w:lineRule="auto"/>
    </w:pPr>
    <w:rPr>
      <w:rFonts w:ascii="楷体_GB2312" w:hAnsi="Times New Roman" w:eastAsia="楷体_GB2312" w:cs="宋体"/>
      <w:bCs/>
      <w:sz w:val="24"/>
      <w:szCs w:val="20"/>
      <w:lang w:val="zh-CN"/>
    </w:rPr>
  </w:style>
  <w:style w:type="paragraph" w:styleId="1248" w:customStyle="1">
    <w:name w:val="章标题"/>
    <w:next w:val="1177"/>
    <w:uiPriority w:val="0"/>
    <w:qFormat/>
    <w:pPr>
      <w:jc w:val="both"/>
      <w:spacing w:before="50" w:after="50"/>
      <w:outlineLvl w:val="1"/>
    </w:pPr>
    <w:rPr>
      <w:rFonts w:ascii="Calibri" w:hAnsi="Calibri" w:eastAsia="黑体" w:cs="Times New Roman"/>
      <w:sz w:val="21"/>
      <w:lang w:val="en-US" w:eastAsia="zh-CN" w:bidi="ar-SA"/>
    </w:rPr>
  </w:style>
  <w:style w:type="paragraph" w:styleId="1249" w:customStyle="1">
    <w:name w:val="项目符号，二级"/>
    <w:basedOn w:val="1111"/>
    <w:next w:val="1111"/>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250" w:customStyle="1">
    <w:name w:val="greytypebeni"/>
    <w:basedOn w:val="861"/>
    <w:uiPriority w:val="0"/>
    <w:qFormat/>
    <w:pPr>
      <w:jc w:val="left"/>
      <w:widowControl/>
    </w:pPr>
    <w:rPr>
      <w:rFonts w:ascii="宋体" w:hAnsi="Times New Roman" w:eastAsia="Calibri" w:cs="宋体"/>
      <w:sz w:val="24"/>
      <w:szCs w:val="20"/>
      <w:lang w:val="zh-CN"/>
    </w:rPr>
  </w:style>
  <w:style w:type="paragraph" w:styleId="1251" w:customStyle="1">
    <w:name w:val="Char Char Char1"/>
    <w:basedOn w:val="861"/>
    <w:uiPriority w:val="0"/>
    <w:qFormat/>
    <w:rPr>
      <w:rFonts w:ascii="Tahoma" w:hAnsi="Tahoma" w:eastAsia="Calibri" w:cs="宋体"/>
      <w:sz w:val="24"/>
      <w:szCs w:val="20"/>
      <w:lang w:val="zh-CN"/>
    </w:rPr>
  </w:style>
  <w:style w:type="paragraph" w:styleId="1252" w:customStyle="1">
    <w:name w:val="方案正文"/>
    <w:basedOn w:val="861"/>
    <w:uiPriority w:val="0"/>
    <w:qFormat/>
    <w:pPr>
      <w:ind w:firstLine="171"/>
      <w:jc w:val="left"/>
      <w:spacing w:before="156" w:line="360" w:lineRule="auto"/>
    </w:pPr>
    <w:rPr>
      <w:rFonts w:ascii="Arial" w:hAnsi="Arial" w:eastAsia="Calibri" w:cs="宋体"/>
      <w:sz w:val="24"/>
      <w:szCs w:val="21"/>
      <w:lang w:val="zh-CN"/>
    </w:rPr>
  </w:style>
  <w:style w:type="paragraph" w:styleId="1253" w:customStyle="1">
    <w:name w:val="xl40"/>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54" w:customStyle="1">
    <w:name w:val="xl46"/>
    <w:basedOn w:val="861"/>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255" w:customStyle="1">
    <w:name w:val="xl44"/>
    <w:basedOn w:val="8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256" w:customStyle="1">
    <w:name w:val="xl34"/>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57" w:customStyle="1">
    <w:name w:val="正文--表格内正文"/>
    <w:basedOn w:val="861"/>
    <w:uiPriority w:val="0"/>
    <w:qFormat/>
    <w:pPr>
      <w:jc w:val="center"/>
      <w:spacing w:before="50" w:line="0" w:lineRule="atLeast"/>
    </w:pPr>
    <w:rPr>
      <w:rFonts w:ascii="宋体" w:hAnsi="Times New Roman" w:eastAsia="Calibri" w:cs="宋体"/>
      <w:color w:val="000000"/>
      <w:sz w:val="24"/>
      <w:szCs w:val="20"/>
      <w:lang w:val="zh-CN"/>
    </w:rPr>
  </w:style>
  <w:style w:type="paragraph" w:styleId="1258" w:customStyle="1">
    <w:name w:val="样式4 Char"/>
    <w:basedOn w:val="861"/>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259" w:customStyle="1">
    <w:name w:val="正文文本 New New"/>
    <w:basedOn w:val="861"/>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260" w:customStyle="1">
    <w:name w:val="小四 段落 宋体 Char Char Char Char"/>
    <w:basedOn w:val="861"/>
    <w:uiPriority w:val="0"/>
    <w:qFormat/>
    <w:pPr>
      <w:ind w:right="-33" w:firstLine="200"/>
      <w:jc w:val="left"/>
      <w:spacing w:line="360" w:lineRule="auto"/>
    </w:pPr>
    <w:rPr>
      <w:rFonts w:ascii="Times New Roman" w:hAnsi="Times New Roman" w:eastAsia="Calibri" w:cs="宋体"/>
      <w:sz w:val="24"/>
      <w:szCs w:val="20"/>
      <w:lang w:val="zh-CN"/>
    </w:rPr>
  </w:style>
  <w:style w:type="paragraph" w:styleId="1261" w:customStyle="1">
    <w:name w:val="正文2"/>
    <w:basedOn w:val="861"/>
    <w:uiPriority w:val="0"/>
    <w:qFormat/>
    <w:pPr>
      <w:ind w:firstLine="200"/>
      <w:spacing w:before="156" w:line="360" w:lineRule="auto"/>
    </w:pPr>
    <w:rPr>
      <w:rFonts w:ascii="Times New Roman" w:hAnsi="Times New Roman" w:eastAsia="Calibri" w:cs="宋体"/>
      <w:sz w:val="24"/>
      <w:szCs w:val="20"/>
      <w:lang w:val="zh-CN"/>
    </w:rPr>
  </w:style>
  <w:style w:type="paragraph" w:styleId="1262" w:customStyle="1">
    <w:name w:val="正文文本缩进1"/>
    <w:basedOn w:val="861"/>
    <w:uiPriority w:val="0"/>
    <w:qFormat/>
    <w:pPr>
      <w:ind w:left="200"/>
      <w:spacing w:after="120"/>
    </w:pPr>
    <w:rPr>
      <w:rFonts w:ascii="Times New Roman" w:hAnsi="Times New Roman" w:eastAsia="Calibri" w:cs="宋体"/>
      <w:sz w:val="20"/>
      <w:szCs w:val="20"/>
      <w:lang w:val="zh-CN"/>
    </w:rPr>
  </w:style>
  <w:style w:type="paragraph" w:styleId="1263" w:customStyle="1">
    <w:name w:val="Char Char Char Char Char1"/>
    <w:basedOn w:val="861"/>
    <w:uiPriority w:val="0"/>
    <w:qFormat/>
    <w:rPr>
      <w:rFonts w:ascii="Tahoma" w:hAnsi="Tahoma" w:eastAsia="Calibri" w:cs="Tahoma"/>
      <w:sz w:val="24"/>
      <w:szCs w:val="20"/>
      <w:lang w:val="zh-CN"/>
    </w:rPr>
  </w:style>
  <w:style w:type="paragraph" w:styleId="1264" w:customStyle="1">
    <w:name w:val="小四 段落 宋体 Char Char"/>
    <w:basedOn w:val="861"/>
    <w:uiPriority w:val="0"/>
    <w:qFormat/>
    <w:pPr>
      <w:ind w:firstLine="200"/>
      <w:spacing w:line="360" w:lineRule="auto"/>
    </w:pPr>
    <w:rPr>
      <w:rFonts w:ascii="宋体" w:hAnsi="Times New Roman" w:eastAsia="Calibri" w:cs="宋体"/>
      <w:sz w:val="24"/>
      <w:szCs w:val="20"/>
      <w:lang w:val="zh-CN"/>
    </w:rPr>
  </w:style>
  <w:style w:type="paragraph" w:styleId="1265" w:customStyle="1">
    <w:name w:val="正文 首行缩进:  2 字符 Char"/>
    <w:basedOn w:val="861"/>
    <w:uiPriority w:val="0"/>
    <w:qFormat/>
    <w:pPr>
      <w:ind w:firstLine="480"/>
      <w:spacing w:line="360" w:lineRule="auto"/>
    </w:pPr>
    <w:rPr>
      <w:rFonts w:ascii="Times New Roman" w:hAnsi="Times New Roman" w:eastAsia="Calibri" w:cs="宋体"/>
      <w:sz w:val="24"/>
      <w:szCs w:val="20"/>
      <w:lang w:val="zh-CN"/>
    </w:rPr>
  </w:style>
  <w:style w:type="paragraph" w:styleId="1266" w:customStyle="1">
    <w:name w:val="xl37"/>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267" w:customStyle="1">
    <w:name w:val="xl58"/>
    <w:basedOn w:val="861"/>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268" w:customStyle="1">
    <w:name w:val="正文 + 宋体"/>
    <w:basedOn w:val="861"/>
    <w:uiPriority w:val="0"/>
    <w:qFormat/>
    <w:pPr>
      <w:ind w:firstLine="200"/>
      <w:spacing w:line="360" w:lineRule="auto"/>
    </w:pPr>
    <w:rPr>
      <w:rFonts w:ascii="Times New Roman" w:hAnsi="Times New Roman" w:eastAsia="Calibri" w:cs="宋体"/>
      <w:sz w:val="20"/>
      <w:szCs w:val="20"/>
      <w:lang w:val="zh-CN"/>
    </w:rPr>
  </w:style>
  <w:style w:type="paragraph" w:styleId="1269" w:customStyle="1">
    <w:name w:val="条1"/>
    <w:basedOn w:val="861"/>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270" w:customStyle="1">
    <w:name w:val="标题5，章节第五层"/>
    <w:basedOn w:val="861"/>
    <w:next w:val="861"/>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271" w:customStyle="1">
    <w:name w:val="表格1"/>
    <w:basedOn w:val="861"/>
    <w:uiPriority w:val="0"/>
    <w:qFormat/>
    <w:rPr>
      <w:rFonts w:ascii="宋体" w:hAnsi="Times New Roman" w:eastAsia="Calibri" w:cs="宋体"/>
      <w:sz w:val="20"/>
      <w:szCs w:val="21"/>
      <w:lang w:val="zh-CN"/>
    </w:rPr>
  </w:style>
  <w:style w:type="paragraph" w:styleId="1272" w:customStyle="1">
    <w:name w:val="项目符号，一级"/>
    <w:basedOn w:val="1111"/>
    <w:next w:val="1111"/>
    <w:uiPriority w:val="0"/>
    <w:qFormat/>
    <w:pPr>
      <w:ind w:left="179"/>
      <w:spacing w:line="240" w:lineRule="atLeast"/>
      <w:tabs>
        <w:tab w:val="left" w:pos="1320" w:leader="none"/>
      </w:tabs>
    </w:pPr>
    <w:rPr>
      <w:bCs w:val="0"/>
      <w:color w:val="000000"/>
      <w:szCs w:val="24"/>
    </w:rPr>
  </w:style>
  <w:style w:type="paragraph" w:styleId="1273" w:customStyle="1">
    <w:name w:val="xl38"/>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74" w:customStyle="1">
    <w:name w:val="Char Char Char Char Char Char Char Char Char1"/>
    <w:basedOn w:val="861"/>
    <w:uiPriority w:val="0"/>
    <w:qFormat/>
    <w:pPr>
      <w:ind w:left="200" w:hanging="200"/>
      <w:tabs>
        <w:tab w:val="left" w:pos="360" w:leader="none"/>
      </w:tabs>
    </w:pPr>
    <w:rPr>
      <w:rFonts w:ascii="Times New Roman" w:hAnsi="Times New Roman" w:eastAsia="Calibri" w:cs="宋体"/>
      <w:sz w:val="24"/>
      <w:szCs w:val="20"/>
      <w:lang w:val="zh-CN"/>
    </w:rPr>
  </w:style>
  <w:style w:type="paragraph" w:styleId="1275" w:customStyle="1">
    <w:name w:val="Char Char Char Char Char Char Char Char1"/>
    <w:basedOn w:val="861"/>
    <w:uiPriority w:val="0"/>
    <w:qFormat/>
    <w:rPr>
      <w:rFonts w:ascii="Tahoma" w:hAnsi="Tahoma" w:eastAsia="Calibri" w:cs="宋体"/>
      <w:sz w:val="24"/>
      <w:szCs w:val="20"/>
      <w:lang w:val="zh-CN"/>
    </w:rPr>
  </w:style>
  <w:style w:type="paragraph" w:styleId="1276"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277" w:customStyle="1">
    <w:name w:val="正文11"/>
    <w:basedOn w:val="861"/>
    <w:next w:val="861"/>
    <w:uiPriority w:val="0"/>
    <w:qFormat/>
    <w:pPr>
      <w:ind w:firstLine="200"/>
      <w:spacing w:before="156" w:line="360" w:lineRule="auto"/>
    </w:pPr>
    <w:rPr>
      <w:rFonts w:ascii="Times New Roman" w:hAnsi="Times New Roman" w:eastAsia="Calibri" w:cs="宋体"/>
      <w:sz w:val="24"/>
      <w:szCs w:val="20"/>
      <w:lang w:val="zh-CN"/>
    </w:rPr>
  </w:style>
  <w:style w:type="paragraph" w:styleId="1278" w:customStyle="1">
    <w:name w:val="正文文本 22"/>
    <w:basedOn w:val="861"/>
    <w:uiPriority w:val="0"/>
    <w:qFormat/>
    <w:pPr>
      <w:ind w:left="720" w:hanging="720"/>
      <w:widowControl/>
    </w:pPr>
    <w:rPr>
      <w:rFonts w:ascii="Times New Roman" w:hAnsi="Times New Roman" w:eastAsia="Calibri" w:cs="宋体"/>
      <w:sz w:val="24"/>
      <w:szCs w:val="20"/>
      <w:lang w:val="en-GB" w:eastAsia="en-GB"/>
    </w:rPr>
  </w:style>
  <w:style w:type="paragraph" w:styleId="1279" w:customStyle="1">
    <w:name w:val="font9"/>
    <w:basedOn w:val="861"/>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280" w:customStyle="1">
    <w:name w:val="xl45"/>
    <w:basedOn w:val="861"/>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281" w:customStyle="1">
    <w:name w:val="xl56"/>
    <w:basedOn w:val="86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82" w:customStyle="1">
    <w:name w:val="Char Char3"/>
    <w:basedOn w:val="861"/>
    <w:uiPriority w:val="0"/>
    <w:qFormat/>
    <w:rPr>
      <w:rFonts w:ascii="Tahoma" w:hAnsi="Tahoma" w:eastAsia="Calibri" w:cs="宋体"/>
      <w:sz w:val="24"/>
      <w:szCs w:val="20"/>
      <w:lang w:val="zh-CN"/>
    </w:rPr>
  </w:style>
  <w:style w:type="paragraph" w:styleId="1283" w:customStyle="1">
    <w:name w:val="插图"/>
    <w:basedOn w:val="861"/>
    <w:uiPriority w:val="0"/>
    <w:qFormat/>
    <w:pPr>
      <w:jc w:val="center"/>
      <w:tabs>
        <w:tab w:val="left" w:pos="1620" w:leader="none"/>
      </w:tabs>
    </w:pPr>
    <w:rPr>
      <w:rFonts w:ascii="Times New Roman" w:hAnsi="Times New Roman" w:eastAsia="Calibri" w:cs="宋体"/>
      <w:bCs/>
      <w:color w:val="000000"/>
      <w:sz w:val="20"/>
      <w:lang w:val="zh-CN"/>
    </w:rPr>
  </w:style>
  <w:style w:type="paragraph" w:styleId="1284" w:customStyle="1">
    <w:name w:val="正文缩进1"/>
    <w:basedOn w:val="861"/>
    <w:uiPriority w:val="0"/>
    <w:qFormat/>
    <w:pPr>
      <w:ind w:firstLine="420"/>
    </w:pPr>
    <w:rPr>
      <w:rFonts w:ascii="Times New Roman" w:hAnsi="Times New Roman" w:eastAsia="Calibri" w:cs="宋体"/>
      <w:sz w:val="20"/>
      <w:szCs w:val="20"/>
      <w:lang w:val="zh-CN"/>
    </w:rPr>
  </w:style>
  <w:style w:type="paragraph" w:styleId="1285" w:customStyle="1">
    <w:name w:val="7"/>
    <w:basedOn w:val="861"/>
    <w:next w:val="914"/>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86" w:customStyle="1">
    <w:name w:val="样式 标题 2 + Times New Roman 四号 非加粗 段前: 5 磅 段后: 0 磅 行距: 固定值 20..."/>
    <w:basedOn w:val="863"/>
    <w:uiPriority w:val="0"/>
    <w:qFormat/>
    <w:pPr>
      <w:jc w:val="both"/>
      <w:spacing w:before="100" w:after="0" w:line="400" w:lineRule="exact"/>
    </w:pPr>
    <w:rPr>
      <w:rFonts w:ascii="Times New Roman" w:hAnsi="Times New Roman" w:eastAsia="黑体" w:cs="宋体"/>
      <w:b w:val="0"/>
      <w:sz w:val="28"/>
      <w:szCs w:val="20"/>
      <w:lang w:val="zh-CN"/>
    </w:rPr>
  </w:style>
  <w:style w:type="paragraph" w:styleId="1287" w:customStyle="1">
    <w:name w:val="正文缩进2字符"/>
    <w:basedOn w:val="861"/>
    <w:uiPriority w:val="0"/>
    <w:qFormat/>
    <w:pPr>
      <w:ind w:firstLine="200"/>
      <w:spacing w:line="300" w:lineRule="auto"/>
    </w:pPr>
    <w:rPr>
      <w:rFonts w:ascii="仿宋_GB2312" w:hAnsi="Times New Roman" w:eastAsia="仿宋_GB2312" w:cs="宋体"/>
      <w:sz w:val="32"/>
      <w:szCs w:val="32"/>
      <w:lang w:val="zh-CN"/>
    </w:rPr>
  </w:style>
  <w:style w:type="paragraph" w:styleId="1288" w:customStyle="1">
    <w:name w:val="xl51"/>
    <w:basedOn w:val="86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289" w:customStyle="1">
    <w:name w:val="标题4，章节第四层"/>
    <w:basedOn w:val="861"/>
    <w:next w:val="861"/>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290" w:customStyle="1">
    <w:name w:val="一级标题"/>
    <w:basedOn w:val="861"/>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291" w:customStyle="1">
    <w:name w:val="xl35"/>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292" w:customStyle="1">
    <w:name w:val="xl39"/>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293" w:customStyle="1">
    <w:name w:val="Char Char Char Char Char Char Char Char Char Char Char1"/>
    <w:basedOn w:val="861"/>
    <w:uiPriority w:val="0"/>
    <w:qFormat/>
    <w:rPr>
      <w:rFonts w:ascii="Tahoma" w:hAnsi="Tahoma" w:eastAsia="Calibri" w:cs="宋体"/>
      <w:sz w:val="24"/>
      <w:szCs w:val="20"/>
      <w:lang w:val="zh-CN"/>
    </w:rPr>
  </w:style>
  <w:style w:type="paragraph" w:styleId="1294" w:customStyle="1">
    <w:name w:val="Char Char Char Char Char Char Char Char Char Char Char1 Char Char Char1"/>
    <w:basedOn w:val="861"/>
    <w:uiPriority w:val="0"/>
    <w:qFormat/>
    <w:pPr>
      <w:ind w:firstLine="200"/>
      <w:jc w:val="left"/>
    </w:pPr>
    <w:rPr>
      <w:rFonts w:ascii="Tahoma" w:hAnsi="Tahoma" w:eastAsia="Calibri" w:cs="宋体"/>
      <w:sz w:val="24"/>
      <w:szCs w:val="20"/>
      <w:lang w:val="zh-CN"/>
    </w:rPr>
  </w:style>
  <w:style w:type="paragraph" w:styleId="1295" w:customStyle="1">
    <w:name w:val="font7"/>
    <w:basedOn w:val="861"/>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296" w:customStyle="1">
    <w:name w:val="xl47"/>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297" w:customStyle="1">
    <w:name w:val="font161"/>
    <w:uiPriority w:val="0"/>
    <w:qFormat/>
    <w:rPr>
      <w:b/>
      <w:sz w:val="32"/>
    </w:rPr>
  </w:style>
  <w:style w:type="character" w:styleId="1298" w:customStyle="1">
    <w:name w:val="正文文本 3 Char1"/>
    <w:uiPriority w:val="0"/>
    <w:qFormat/>
    <w:rPr>
      <w:sz w:val="16"/>
      <w:szCs w:val="16"/>
    </w:rPr>
  </w:style>
  <w:style w:type="character" w:styleId="1299" w:customStyle="1">
    <w:name w:val="批注文字 Char1"/>
    <w:uiPriority w:val="0"/>
    <w:qFormat/>
    <w:rPr>
      <w:sz w:val="21"/>
    </w:rPr>
  </w:style>
  <w:style w:type="paragraph" w:styleId="1300" w:customStyle="1">
    <w:name w:val="6'"/>
    <w:basedOn w:val="861"/>
    <w:uiPriority w:val="0"/>
    <w:qFormat/>
    <w:pPr>
      <w:jc w:val="center"/>
      <w:spacing w:line="320" w:lineRule="exact"/>
    </w:pPr>
    <w:rPr>
      <w:rFonts w:ascii="Times New Roman" w:hAnsi="Times New Roman" w:eastAsia="Calibri" w:cs="宋体"/>
      <w:spacing w:val="20"/>
      <w:sz w:val="20"/>
      <w:szCs w:val="20"/>
      <w:lang w:val="zh-CN"/>
    </w:rPr>
  </w:style>
  <w:style w:type="paragraph" w:styleId="1301" w:customStyle="1">
    <w:name w:val="样式 标题 3 + (中文) 黑体 小四 非加粗 段前: 7.8 磅 段后: 0 磅 行距: 固定值 20 磅"/>
    <w:basedOn w:val="864"/>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302" w:customStyle="1">
    <w:name w:val="样式 标题 1 + 黑体 三号 非加粗 居中 段前: 6 磅 段后: 6 磅 行距: 固定值 20 磅"/>
    <w:basedOn w:val="862"/>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303" w:customStyle="1">
    <w:name w:val="Blockquote"/>
    <w:basedOn w:val="861"/>
    <w:uiPriority w:val="0"/>
    <w:qFormat/>
    <w:pPr>
      <w:ind w:left="360" w:right="360"/>
      <w:jc w:val="left"/>
      <w:spacing w:before="100" w:after="100"/>
    </w:pPr>
    <w:rPr>
      <w:rFonts w:ascii="Times New Roman" w:hAnsi="Times New Roman" w:eastAsia="Calibri" w:cs="宋体"/>
      <w:sz w:val="24"/>
      <w:szCs w:val="20"/>
      <w:lang w:val="zh-CN"/>
    </w:rPr>
  </w:style>
  <w:style w:type="character" w:styleId="1304" w:customStyle="1">
    <w:name w:val="rvts9"/>
    <w:uiPriority w:val="0"/>
    <w:qFormat/>
    <w:rPr>
      <w:rFonts w:ascii="KNLe" w:hAnsi="KNLe"/>
    </w:rPr>
  </w:style>
  <w:style w:type="paragraph" w:styleId="1305" w:customStyle="1">
    <w:name w:val="rvps1"/>
    <w:basedOn w:val="861"/>
    <w:uiPriority w:val="0"/>
    <w:qFormat/>
    <w:pPr>
      <w:jc w:val="center"/>
      <w:widowControl/>
    </w:pPr>
    <w:rPr>
      <w:rFonts w:ascii="Times New Roman" w:hAnsi="Times New Roman" w:eastAsia="Calibri" w:cs="宋体"/>
      <w:sz w:val="24"/>
      <w:szCs w:val="20"/>
      <w:lang w:val="zh-CN"/>
    </w:rPr>
  </w:style>
  <w:style w:type="character" w:styleId="1306" w:customStyle="1">
    <w:name w:val="rvts11"/>
    <w:uiPriority w:val="0"/>
    <w:qFormat/>
    <w:rPr>
      <w:rFonts w:ascii="KNLe" w:hAnsi="KNLe"/>
      <w:u w:val="single"/>
    </w:rPr>
  </w:style>
  <w:style w:type="character" w:styleId="1307" w:customStyle="1">
    <w:name w:val="rvts13"/>
    <w:uiPriority w:val="0"/>
    <w:qFormat/>
    <w:rPr>
      <w:rFonts w:ascii="KNLe" w:hAnsi="KNLe"/>
      <w:color w:val="000000"/>
    </w:rPr>
  </w:style>
  <w:style w:type="character" w:styleId="1308" w:customStyle="1">
    <w:name w:val="rvts79"/>
    <w:uiPriority w:val="0"/>
    <w:qFormat/>
    <w:rPr>
      <w:rFonts w:ascii="KNLe" w:hAnsi="KNLe"/>
      <w:color w:val="0000ff"/>
      <w:u w:val="single"/>
    </w:rPr>
  </w:style>
  <w:style w:type="character" w:styleId="1309" w:customStyle="1">
    <w:name w:val="rvts129"/>
    <w:uiPriority w:val="0"/>
    <w:qFormat/>
    <w:rPr>
      <w:rFonts w:ascii="Calibri" w:hAnsi="Calibri"/>
      <w:color w:val="0000ff"/>
      <w:u w:val="single"/>
    </w:rPr>
  </w:style>
  <w:style w:type="paragraph" w:styleId="1310" w:customStyle="1">
    <w:name w:val="index heading1"/>
    <w:basedOn w:val="861"/>
    <w:next w:val="1311"/>
    <w:uiPriority w:val="0"/>
    <w:qFormat/>
    <w:rPr>
      <w:rFonts w:ascii="Arial" w:hAnsi="Arial" w:cs="Arial"/>
      <w:b/>
      <w:bCs/>
    </w:rPr>
  </w:style>
  <w:style w:type="paragraph" w:styleId="1311" w:customStyle="1">
    <w:name w:val="index 11"/>
    <w:basedOn w:val="861"/>
    <w:next w:val="861"/>
    <w:uiPriority w:val="0"/>
    <w:qFormat/>
  </w:style>
  <w:style w:type="paragraph" w:styleId="1312" w:customStyle="1">
    <w:name w:val="Table Text"/>
    <w:basedOn w:val="861"/>
    <w:uiPriority w:val="0"/>
    <w:semiHidden/>
    <w:qFormat/>
    <w:pPr>
      <w:jc w:val="left"/>
      <w:widowControl/>
    </w:pPr>
    <w:rPr>
      <w:rFonts w:ascii="宋体" w:hAnsi="宋体" w:cs="宋体"/>
      <w:color w:val="000000"/>
      <w:szCs w:val="21"/>
      <w:lang w:eastAsia="en-US"/>
    </w:rPr>
  </w:style>
  <w:style w:type="table" w:styleId="1313"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314" w:customStyle="1">
    <w:name w:val="WPSOffice手动目录 1"/>
    <w:uiPriority w:val="0"/>
    <w:qFormat/>
    <w:rPr>
      <w:rFonts w:ascii="Times New Roman" w:hAnsi="Times New Roman" w:eastAsia="宋体" w:cs="Times New Roman"/>
      <w:lang w:val="en-US" w:eastAsia="zh-CN" w:bidi="ar-SA"/>
    </w:rPr>
  </w:style>
  <w:style w:type="paragraph" w:styleId="1315"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1316" w:customStyle="1">
    <w:name w:val="NormalCharacter"/>
    <w:uiPriority w:val="0"/>
    <w:semiHidden/>
    <w:qFormat/>
  </w:style>
  <w:style w:type="character" w:styleId="1317" w:customStyle="1">
    <w:name w:val="font61"/>
    <w:basedOn w:val="871"/>
    <w:uiPriority w:val="0"/>
    <w:qFormat/>
    <w:rPr>
      <w:rFonts w:hint="eastAsia" w:ascii="宋体" w:hAnsi="宋体" w:eastAsia="宋体" w:cs="宋体"/>
      <w:color w:val="000000"/>
      <w:sz w:val="21"/>
      <w:szCs w:val="21"/>
      <w:u w:val="none"/>
    </w:rPr>
  </w:style>
  <w:style w:type="paragraph" w:styleId="1318" w:customStyle="1">
    <w:name w:val="正文文本缩进11"/>
    <w:basedOn w:val="861"/>
    <w:next w:val="1319"/>
    <w:uiPriority w:val="0"/>
    <w:unhideWhenUsed/>
    <w:qFormat/>
    <w:pPr>
      <w:ind w:left="420"/>
      <w:spacing w:after="120"/>
    </w:pPr>
  </w:style>
  <w:style w:type="paragraph" w:styleId="1319" w:customStyle="1">
    <w:name w:val="正文首行缩进 211"/>
    <w:basedOn w:val="1318"/>
    <w:uiPriority w:val="0"/>
    <w:qFormat/>
    <w:pPr>
      <w:ind w:left="0" w:firstLine="420"/>
      <w:spacing w:after="0" w:line="360" w:lineRule="auto"/>
    </w:pPr>
    <w:rPr>
      <w:szCs w:val="20"/>
    </w:rPr>
  </w:style>
  <w:style w:type="paragraph" w:styleId="1320" w:customStyle="1">
    <w:name w:val="投标文件二级标题"/>
    <w:basedOn w:val="863"/>
    <w:uiPriority w:val="0"/>
    <w:qFormat/>
    <w:pPr>
      <w:numPr>
        <w:ilvl w:val="1"/>
        <w:numId w:val="5"/>
      </w:numPr>
      <w:spacing w:before="480" w:line="400" w:lineRule="exact"/>
    </w:pPr>
    <w:rPr>
      <w:szCs w:val="28"/>
    </w:rPr>
  </w:style>
  <w:style w:type="paragraph" w:styleId="1321"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1322"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夏雪</cp:lastModifiedBy>
  <cp:revision>9</cp:revision>
  <dcterms:created xsi:type="dcterms:W3CDTF">2026-10-10T06:22:00Z</dcterms:created>
  <dcterms:modified xsi:type="dcterms:W3CDTF">2026-10-13T02:50:40Z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CBDA32FF43BC459DB0C2CEF7F69F7479_13</vt:lpwstr>
  </property>
  <property fmtid="{D5CDD505-2E9C-101B-9397-08002B2CF9AE}" pid="4" name="KSOTemplateDocerSaveRecord">
    <vt:lpwstr>eyJoZGlkIjoiMzVlNjM2MTk0ZWE5OWE5MTI0MjgzNGM2Y2Q2MTNhMzQiLCJ1c2VySWQiOiI1Mzk0NTE0NzIifQ==</vt:lpwstr>
  </property>
</Properties>
</file>