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ind w:firstLine="0"/>
        <w:rPr>
          <w:rFonts w:hint="eastAsia" w:eastAsia="黑体"/>
          <w:b/>
          <w:bCs/>
          <w:sz w:val="84"/>
        </w:rPr>
      </w:pPr>
      <w:r>
        <w:rPr>
          <w:rFonts w:hint="eastAsia" w:eastAsia="黑体"/>
          <w:b/>
          <w:bCs/>
          <w:sz w:val="84"/>
        </w:rPr>
      </w:r>
      <w:r/>
    </w:p>
    <w:p>
      <w:pPr>
        <w:pStyle w:val="767"/>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28"/>
          <w:szCs w:val="28"/>
        </w:rPr>
        <w:t xml:space="preserve">招　标　文　件</w:t>
      </w:r>
      <w:r/>
    </w:p>
    <w:p>
      <w:pPr>
        <w:pStyle w:val="767"/>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项目名称：南京工程学院教育网带宽接入服务</w:t>
      </w:r>
      <w:r/>
    </w:p>
    <w:p>
      <w:pPr>
        <w:ind w:firstLine="560"/>
        <w:jc w:val="center"/>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hint="default" w:ascii="Times New Roman" w:hAnsi="Times New Roman" w:eastAsia="方正黑体_GBK" w:cs="Times New Roman"/>
          <w:b w:val="0"/>
          <w:bCs w:val="0"/>
          <w:color w:val="000000"/>
          <w:sz w:val="28"/>
          <w:szCs w:val="28"/>
        </w:rPr>
        <w:t xml:space="preserve">JSZC-320000-</w:t>
      </w:r>
      <w:r>
        <w:rPr>
          <w:rFonts w:hint="default" w:ascii="Times New Roman" w:hAnsi="Times New Roman" w:eastAsia="方正黑体_GBK" w:cs="Times New Roman"/>
          <w:b w:val="0"/>
          <w:bCs w:val="0"/>
          <w:color w:val="000000"/>
          <w:sz w:val="28"/>
          <w:szCs w:val="28"/>
          <w:lang w:val="en-US" w:eastAsia="zh-CN"/>
        </w:rPr>
        <w:t xml:space="preserve">SCZX-G20</w:t>
      </w:r>
      <w:r>
        <w:rPr>
          <w:rFonts w:hint="eastAsia" w:eastAsia="方正黑体_GBK" w:cs="Times New Roman"/>
          <w:b w:val="0"/>
          <w:bCs w:val="0"/>
          <w:color w:val="000000"/>
          <w:sz w:val="28"/>
          <w:szCs w:val="28"/>
          <w:lang w:val="en-US" w:eastAsia="zh-CN"/>
        </w:rPr>
        <w:t xml:space="preserve">26-0528</w:t>
      </w:r>
      <w:r/>
    </w:p>
    <w:p>
      <w:pPr>
        <w:pStyle w:val="767"/>
        <w:ind w:firstLine="0"/>
        <w:spacing w:before="0" w:after="0"/>
        <w:rPr>
          <w:rFonts w:hint="eastAsia" w:ascii="宋体" w:hAnsi="宋体"/>
          <w:sz w:val="28"/>
          <w:szCs w:val="28"/>
        </w:rPr>
      </w:pPr>
      <w:r>
        <w:rPr>
          <w:rFonts w:hint="eastAsia" w:ascii="宋体" w:hAnsi="宋体"/>
          <w:sz w:val="28"/>
          <w:szCs w:val="28"/>
        </w:rPr>
      </w:r>
      <w:r/>
    </w:p>
    <w:p>
      <w:pPr>
        <w:pStyle w:val="767"/>
        <w:ind w:firstLine="0"/>
        <w:spacing w:before="0" w:after="0"/>
        <w:rPr>
          <w:rFonts w:hint="eastAsia" w:ascii="宋体" w:hAnsi="宋体"/>
          <w:sz w:val="28"/>
          <w:szCs w:val="28"/>
        </w:rPr>
      </w:pPr>
      <w:r>
        <w:rPr>
          <w:rFonts w:hint="eastAsia" w:ascii="宋体" w:hAnsi="宋体"/>
          <w:sz w:val="28"/>
          <w:szCs w:val="28"/>
        </w:rPr>
      </w:r>
      <w:r/>
    </w:p>
    <w:p>
      <w:pPr>
        <w:pStyle w:val="767"/>
        <w:ind w:firstLine="0"/>
        <w:spacing w:before="0" w:after="0"/>
        <w:rPr>
          <w:rFonts w:hint="eastAsia" w:ascii="宋体" w:hAnsi="宋体"/>
          <w:sz w:val="28"/>
          <w:szCs w:val="28"/>
        </w:rPr>
      </w:pPr>
      <w:r>
        <w:rPr>
          <w:rFonts w:hint="eastAsia" w:ascii="宋体" w:hAnsi="宋体"/>
          <w:sz w:val="28"/>
          <w:szCs w:val="28"/>
        </w:rPr>
      </w:r>
      <w:r/>
    </w:p>
    <w:p>
      <w:pPr>
        <w:pStyle w:val="767"/>
        <w:ind w:firstLine="0"/>
        <w:spacing w:before="0" w:after="0"/>
        <w:rPr>
          <w:rFonts w:hint="eastAsia" w:ascii="宋体" w:hAnsi="宋体"/>
          <w:sz w:val="28"/>
          <w:szCs w:val="28"/>
        </w:rPr>
      </w:pPr>
      <w:r>
        <w:rPr>
          <w:rFonts w:hint="eastAsia" w:ascii="宋体" w:hAnsi="宋体"/>
          <w:sz w:val="28"/>
          <w:szCs w:val="28"/>
        </w:rPr>
      </w:r>
      <w:r/>
    </w:p>
    <w:p>
      <w:pPr>
        <w:pStyle w:val="767"/>
        <w:ind w:firstLine="0"/>
        <w:spacing w:before="0" w:after="0"/>
        <w:rPr>
          <w:rFonts w:hint="eastAsia" w:ascii="宋体" w:hAnsi="宋体"/>
          <w:sz w:val="28"/>
          <w:szCs w:val="28"/>
        </w:rPr>
      </w:pPr>
      <w:r>
        <w:rPr>
          <w:rFonts w:hint="eastAsia" w:ascii="宋体" w:hAnsi="宋体"/>
          <w:sz w:val="28"/>
          <w:szCs w:val="28"/>
        </w:rPr>
      </w:r>
      <w:r/>
    </w:p>
    <w:p>
      <w:pPr>
        <w:pStyle w:val="767"/>
        <w:ind w:firstLine="0"/>
        <w:spacing w:before="0" w:after="0"/>
        <w:rPr>
          <w:rFonts w:hint="eastAsia" w:ascii="宋体" w:hAnsi="宋体"/>
          <w:sz w:val="28"/>
          <w:szCs w:val="28"/>
        </w:rPr>
      </w:pPr>
      <w:r>
        <w:rPr>
          <w:rFonts w:hint="eastAsia" w:ascii="宋体" w:hAnsi="宋体"/>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p>
    <w:p>
      <w:pPr>
        <w:pStyle w:val="767"/>
        <w:ind w:firstLine="0"/>
        <w:rPr>
          <w:rFonts w:hint="eastAsia"/>
          <w:u w:val="single"/>
        </w:rPr>
      </w:pPr>
      <w:r>
        <w:rPr>
          <w:rFonts w:hint="eastAsia"/>
        </w:rPr>
        <w:t xml:space="preserve">                        </w:t>
      </w:r>
      <w:r/>
    </w:p>
    <w:p>
      <w:pPr>
        <w:pStyle w:val="767"/>
        <w:ind w:firstLine="0"/>
        <w:jc w:val="center"/>
        <w:rPr>
          <w:rFonts w:hint="eastAsia"/>
        </w:rPr>
      </w:pPr>
      <w:r>
        <w:rPr>
          <w:rFonts w:hint="eastAsia"/>
        </w:rPr>
      </w:r>
      <w:r/>
    </w:p>
    <w:p>
      <w:pPr>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p>
    <w:p>
      <w:pPr>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6</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15</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19</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25</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30</w:t>
      </w:r>
      <w:bookmarkStart w:id="170" w:name="_GoBack"/>
      <w:r/>
      <w:bookmarkEnd w:id="170"/>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受南京工程学院的委托，江苏省政府采购中心就南京工程学院教育网带宽接入服务(JSZC-320000-SCZX-G2026-0528)项目进行公开招标采购，欢迎符合条件的供应商投标。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rPr>
        <w:t xml:space="preserve">项目概况</w:t>
      </w:r>
      <w:r/>
    </w:p>
    <w:p>
      <w:pPr>
        <w:ind w:firstLine="560"/>
        <w:keepLines w:val="0"/>
        <w:keepNext w:val="0"/>
        <w:pageBreakBefore w:val="0"/>
        <w:spacing w:line="400" w:lineRule="exact"/>
        <w:widowControl w:val="off"/>
        <w:rPr>
          <w:rFonts w:ascii="宋体" w:hAnsi="宋体"/>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sz w:val="28"/>
          <w:szCs w:val="28"/>
          <w:u w:val="single"/>
        </w:rPr>
        <w:t xml:space="preserve"> (南京工程学院教育网带宽接入服务)</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w:t>
      </w:r>
      <w:r>
        <w:rPr>
          <w:rFonts w:hint="eastAsia" w:ascii="Times New Roman" w:hAnsi="Times New Roman" w:eastAsia="方正仿宋_GBK" w:cs="Times New Roman"/>
          <w:color w:val="000000"/>
          <w:sz w:val="28"/>
          <w:szCs w:val="28"/>
          <w:lang w:val="en-US" w:eastAsia="zh-CN"/>
        </w:rPr>
        <w:t xml:space="preserve">19</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621"/>
      <w:r/>
      <w:bookmarkStart w:id="7" w:name="_Toc38985263"/>
      <w:r/>
      <w:bookmarkStart w:id="8" w:name="_Toc35393790"/>
      <w:r/>
      <w:bookmarkStart w:id="9" w:name="_Toc28359002"/>
      <w:r/>
      <w:bookmarkStart w:id="10" w:name="_Toc28359079"/>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w:t>
      </w:r>
      <w:r>
        <w:rPr>
          <w:rFonts w:hint="eastAsia" w:eastAsia="方正仿宋_GBK" w:cs="Times New Roman"/>
          <w:color w:val="000000"/>
          <w:sz w:val="28"/>
          <w:szCs w:val="28"/>
          <w:lang w:val="en-US" w:eastAsia="zh-CN"/>
        </w:rPr>
        <w:t xml:space="preserve">26</w:t>
      </w:r>
      <w:r>
        <w:rPr>
          <w:rFonts w:hint="eastAsia" w:ascii="Times New Roman" w:hAnsi="Times New Roman" w:eastAsia="方正仿宋_GBK" w:cs="Times New Roman"/>
          <w:color w:val="000000"/>
          <w:sz w:val="28"/>
          <w:szCs w:val="28"/>
          <w:lang w:val="en-US" w:eastAsia="zh-CN"/>
        </w:rPr>
        <w:t xml:space="preserve">-</w:t>
      </w:r>
      <w:r>
        <w:rPr>
          <w:rFonts w:hint="eastAsia" w:eastAsia="方正仿宋_GBK" w:cs="Times New Roman"/>
          <w:color w:val="000000"/>
          <w:sz w:val="28"/>
          <w:szCs w:val="28"/>
          <w:lang w:val="en-US" w:eastAsia="zh-CN"/>
        </w:rPr>
        <w:t xml:space="preserve">0528</w:t>
      </w:r>
      <w:r>
        <w:rPr>
          <w:rFonts w:hint="eastAsia" w:ascii="Times New Roman" w:hAnsi="Times New Roman" w:eastAsia="方正仿宋_GBK" w:cs="Times New Roman"/>
          <w:color w:val="000000"/>
          <w:sz w:val="28"/>
          <w:szCs w:val="28"/>
          <w:lang w:val="en-US" w:eastAsia="zh-CN"/>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2.项目名称：南京工程学院教育网带宽接入服务</w:t>
      </w:r>
      <w:bookmarkEnd w:id="11"/>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p>
    <w:tbl>
      <w:tblPr>
        <w:tblStyle w:val="75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vAlign w:val="top"/>
            <w:textDirection w:val="lrTb"/>
            <w:noWrap w:val="false"/>
          </w:tcPr>
          <w:p>
            <w:pPr>
              <w:ind w:firstLine="1120"/>
              <w:jc w:val="both"/>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156（三年）</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p>
    <w:tbl>
      <w:tblPr>
        <w:tblStyle w:val="75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233" w:type="dxa"/>
            <w:vAlign w:val="top"/>
            <w:textDirection w:val="lrTb"/>
            <w:noWrap w:val="false"/>
          </w:tcPr>
          <w:p>
            <w:pPr>
              <w:jc w:val="center"/>
              <w:keepLines w:val="0"/>
              <w:pageBreakBefore w:val="0"/>
              <w:spacing w:line="400" w:lineRule="exact"/>
              <w:rPr>
                <w:rFonts w:hint="default" w:ascii="方正仿宋_GBK" w:hAnsi="方正仿宋_GBK" w:eastAsia="方正仿宋_GBK" w:cs="方正仿宋_GBK"/>
                <w:color w:val="auto"/>
                <w:sz w:val="28"/>
                <w:szCs w:val="28"/>
                <w:lang w:val="en-US" w:eastAsia="zh-CN"/>
              </w:rPr>
            </w:pPr>
            <w:r>
              <w:rPr>
                <w:rFonts w:hint="eastAsia" w:eastAsia="方正仿宋_GBK" w:cs="Times New Roman"/>
                <w:color w:val="000000"/>
                <w:sz w:val="28"/>
                <w:szCs w:val="28"/>
                <w:lang w:val="en-US" w:eastAsia="zh-CN"/>
              </w:rPr>
              <w:t xml:space="preserve">156（三年）</w:t>
            </w:r>
            <w:r/>
          </w:p>
        </w:tc>
      </w:tr>
    </w:tbl>
    <w:p>
      <w:pPr>
        <w:ind w:firstLine="560"/>
        <w:keepLines w:val="0"/>
        <w:keepNext w:val="0"/>
        <w:pageBreakBefore w:val="0"/>
        <w:spacing w:line="400" w:lineRule="exact"/>
        <w:widowControl w:val="off"/>
        <w:rPr>
          <w:rFonts w:hint="default" w:ascii="方正仿宋_GBK" w:hAnsi="方正仿宋_GBK" w:eastAsia="方正仿宋_GBK" w:cs="方正仿宋_GBK"/>
          <w:color w:val="auto"/>
          <w:sz w:val="28"/>
          <w:szCs w:val="28"/>
          <w:lang w:val="en-US" w:eastAsia="zh-CN"/>
        </w:rPr>
      </w:pPr>
      <w:r/>
      <w:bookmarkStart w:id="12" w:name="_Toc28359080"/>
      <w:r/>
      <w:bookmarkStart w:id="13" w:name="_Toc35393622"/>
      <w:r/>
      <w:bookmarkStart w:id="14" w:name="_Toc28359003"/>
      <w:r/>
      <w:bookmarkStart w:id="15" w:name="_Toc38985264"/>
      <w:r/>
      <w:bookmarkStart w:id="16" w:name="_Toc35393791"/>
      <w:r>
        <w:rPr>
          <w:rFonts w:hint="eastAsia" w:ascii="方正仿宋_GBK" w:hAnsi="方正仿宋_GBK" w:eastAsia="方正仿宋_GBK" w:cs="方正仿宋_GBK"/>
          <w:color w:val="auto"/>
          <w:sz w:val="28"/>
          <w:szCs w:val="28"/>
          <w:lang w:val="en-US" w:eastAsia="zh-CN"/>
        </w:rPr>
        <w:t xml:space="preserve">供应商按照三年最高限价报价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5.采购需求(简介)：</w:t>
      </w:r>
      <w:r>
        <w:rPr>
          <w:rFonts w:hint="eastAsia" w:ascii="方正仿宋_GBK" w:hAnsi="方正仿宋_GBK" w:eastAsia="方正仿宋_GBK" w:cs="方正仿宋_GBK"/>
          <w:color w:val="auto"/>
          <w:sz w:val="28"/>
          <w:szCs w:val="28"/>
        </w:rPr>
        <w:t xml:space="preserve">详细内容见本招标文件第四章</w:t>
      </w:r>
      <w:r/>
    </w:p>
    <w:p>
      <w:pPr>
        <w:ind w:firstLine="560"/>
        <w:keepLines w:val="0"/>
        <w:keepNext w:val="0"/>
        <w:pageBreakBefore w:val="0"/>
        <w:spacing w:line="400" w:lineRule="exact"/>
        <w:widowControl w:val="off"/>
        <w:rPr>
          <w:rFonts w:hint="default"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auto"/>
          <w:sz w:val="28"/>
          <w:szCs w:val="28"/>
          <w:lang w:val="en-US" w:eastAsia="zh-CN"/>
        </w:rPr>
        <w:t xml:space="preserve">合同签订后三年</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81"/>
      <w:r/>
      <w:bookmarkStart w:id="18" w:name="_Toc35393623"/>
      <w:r/>
      <w:bookmarkStart w:id="19" w:name="_Toc38985265"/>
      <w:r/>
      <w:bookmarkStart w:id="20" w:name="_Toc28359004"/>
      <w:r/>
      <w:bookmarkStart w:id="21" w:name="_Toc35393792"/>
      <w:r>
        <w:rPr>
          <w:rFonts w:hint="eastAsia" w:ascii="方正楷体_GBK" w:hAnsi="方正楷体_GBK" w:eastAsia="方正楷体_GBK" w:cs="方正楷体_GBK"/>
          <w:color w:val="000000"/>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Style w:val="75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p>
    <w:tbl>
      <w:tblPr>
        <w:tblStyle w:val="75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bookmarkEnd w:id="17"/>
      <w:bookmarkEnd w:id="18"/>
      <w:bookmarkEnd w:id="19"/>
      <w:bookmarkEnd w:id="20"/>
      <w:bookmarkEnd w:id="21"/>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22" w:name="_Toc28359005"/>
      <w:r/>
      <w:bookmarkStart w:id="23" w:name="_Toc28359082"/>
      <w:r/>
      <w:bookmarkStart w:id="24" w:name="_Toc35393793"/>
      <w:r/>
      <w:bookmarkStart w:id="25" w:name="_Toc38985266"/>
      <w:r/>
      <w:bookmarkStart w:id="26" w:name="_Toc35393624"/>
      <w:r/>
      <w:bookmarkStart w:id="27" w:name="_Toc38985267"/>
      <w:r/>
      <w:bookmarkStart w:id="28" w:name="_Toc35393625"/>
      <w:r/>
      <w:bookmarkStart w:id="29" w:name="_Toc28359084"/>
      <w:r/>
      <w:bookmarkStart w:id="30" w:name="_Toc28359007"/>
      <w:r/>
      <w:bookmarkStart w:id="31" w:name="_Toc35393794"/>
      <w:r>
        <w:rPr>
          <w:rFonts w:hint="eastAsia" w:ascii="方正黑体_GBK" w:hAnsi="方正黑体_GBK" w:eastAsia="方正黑体_GBK" w:cs="方正黑体_GBK"/>
          <w:color w:val="000000"/>
          <w:sz w:val="28"/>
          <w:szCs w:val="28"/>
        </w:rPr>
        <w:t xml:space="preserve">四、提交投标文件</w:t>
      </w:r>
      <w:bookmarkEnd w:id="22"/>
      <w:r/>
      <w:bookmarkEnd w:id="23"/>
      <w:r>
        <w:rPr>
          <w:rFonts w:hint="eastAsia" w:ascii="方正黑体_GBK" w:hAnsi="方正黑体_GBK" w:eastAsia="方正黑体_GBK" w:cs="方正黑体_GBK"/>
          <w:color w:val="000000"/>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月19</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color w:val="000000"/>
          <w:sz w:val="28"/>
          <w:szCs w:val="28"/>
          <w:u w:val="none"/>
        </w:rPr>
        <w:t xml:space="preserve">分（北京时间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bookmarkEnd w:id="27"/>
      <w:bookmarkEnd w:id="28"/>
      <w:bookmarkEnd w:id="29"/>
      <w:bookmarkEnd w:id="30"/>
      <w:bookmarkEnd w:id="31"/>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2" w:name="_Toc35393626"/>
      <w:r/>
      <w:bookmarkStart w:id="33" w:name="_Toc38985268"/>
      <w:r/>
      <w:bookmarkStart w:id="34" w:name="_Toc35393795"/>
      <w:r>
        <w:rPr>
          <w:rFonts w:hint="eastAsia" w:ascii="方正黑体_GBK" w:hAnsi="方正黑体_GBK" w:eastAsia="方正黑体_GBK" w:cs="方正黑体_GBK"/>
          <w:color w:val="000000"/>
          <w:sz w:val="28"/>
          <w:szCs w:val="28"/>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bookmarkEnd w:id="32"/>
      <w:bookmarkEnd w:id="33"/>
      <w:bookmarkEnd w:id="34"/>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35" w:name="_Toc35393627"/>
      <w:r/>
      <w:bookmarkStart w:id="36" w:name="_Toc38985269"/>
      <w:r/>
      <w:bookmarkStart w:id="37" w:name="_Toc35393796"/>
      <w:r/>
      <w:bookmarkStart w:id="38" w:name="_Toc28359008"/>
      <w:r/>
      <w:bookmarkStart w:id="39" w:name="_Toc28359085"/>
      <w:r>
        <w:rPr>
          <w:rFonts w:hint="eastAsia" w:ascii="方正黑体_GBK" w:hAnsi="方正黑体_GBK" w:eastAsia="方正黑体_GBK" w:cs="方正黑体_GBK"/>
          <w:color w:val="000000"/>
          <w:sz w:val="28"/>
          <w:szCs w:val="28"/>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bookmarkEnd w:id="35"/>
      <w:bookmarkEnd w:id="36"/>
      <w:bookmarkEnd w:id="37"/>
      <w:bookmarkEnd w:id="38"/>
      <w:bookmarkEnd w:id="39"/>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南京工程学院</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南京市江宁区弘景大道1号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曹永志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025-86118080　　</w:t>
      </w:r>
      <w:bookmarkStart w:id="40" w:name="_Toc28359009"/>
      <w:r/>
      <w:bookmarkStart w:id="41" w:name="_Toc28359086"/>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
    </w:p>
    <w:p>
      <w:pPr>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南京市建邺区汉中门大街145号</w:t>
      </w:r>
      <w:r>
        <w:rPr>
          <w:rFonts w:hint="eastAsia" w:ascii="方正仿宋_GBK" w:hAnsi="方正仿宋_GBK" w:eastAsia="方正仿宋_GBK" w:cs="方正仿宋_GBK"/>
          <w:color w:val="000000"/>
          <w:sz w:val="28"/>
          <w:szCs w:val="28"/>
          <w:u w:val="single"/>
        </w:rPr>
        <w:t xml:space="preserve">　　　</w:t>
      </w:r>
      <w:r/>
    </w:p>
    <w:p>
      <w:pPr>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时富荣、许滢</w:t>
      </w:r>
      <w:r>
        <w:rPr>
          <w:rFonts w:hint="eastAsia" w:ascii="方正仿宋_GBK" w:hAnsi="方正仿宋_GBK" w:eastAsia="方正仿宋_GBK" w:cs="方正仿宋_GBK"/>
          <w:color w:val="000000"/>
          <w:sz w:val="28"/>
          <w:szCs w:val="28"/>
          <w:u w:val="single"/>
        </w:rPr>
        <w:t xml:space="preserve">                       </w:t>
      </w:r>
      <w:r/>
    </w:p>
    <w:p>
      <w:pPr>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联系方式：</w:t>
      </w:r>
      <w:bookmarkStart w:id="42" w:name="_Toc28359010"/>
      <w:r/>
      <w:bookmarkStart w:id="43" w:name="_Toc28359087"/>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025-83668559</w:t>
      </w:r>
      <w:r>
        <w:rPr>
          <w:rFonts w:hint="eastAsia" w:ascii="方正仿宋_GBK" w:hAnsi="方正仿宋_GBK" w:eastAsia="方正仿宋_GBK" w:cs="方正仿宋_GBK"/>
          <w:color w:val="000000"/>
          <w:sz w:val="28"/>
          <w:szCs w:val="28"/>
          <w:u w:val="single"/>
        </w:rPr>
        <w:t xml:space="preserve">　　　　　　　　　　</w:t>
      </w:r>
      <w:bookmarkEnd w:id="42"/>
      <w:bookmarkEnd w:id="43"/>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color w:val="000000"/>
          <w:sz w:val="24"/>
          <w:szCs w:val="24"/>
        </w:rPr>
      </w:pPr>
      <w:r>
        <w:rPr>
          <w:rFonts w:hint="eastAsia" w:ascii="宋体" w:hAnsi="宋体"/>
          <w:color w:val="000000"/>
          <w:sz w:val="24"/>
          <w:szCs w:val="24"/>
        </w:rPr>
      </w:r>
      <w:r/>
    </w:p>
    <w:p>
      <w:pPr>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16938518"/>
      <w:r/>
      <w:bookmarkStart w:id="46" w:name="_Toc20823274"/>
      <w:r/>
      <w:bookmarkStart w:id="47" w:name="_Toc513029202"/>
      <w:r/>
      <w:bookmarkStart w:id="48" w:name="_Toc120614213"/>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p>
    <w:p>
      <w:pPr>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9" w:name="_Toc462564072"/>
      <w:r/>
      <w:bookmarkStart w:id="50" w:name="_Toc16938529"/>
      <w:r/>
      <w:bookmarkStart w:id="51" w:name="_Toc513029213"/>
      <w:r/>
      <w:bookmarkStart w:id="52" w:name="_Toc120614216"/>
      <w:r/>
      <w:bookmarkStart w:id="53" w:name="_Toc20823285"/>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
    </w:p>
    <w:p>
      <w:pPr>
        <w:pStyle w:val="756"/>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4" w:name="_Toc513029214"/>
      <w:r/>
      <w:bookmarkStart w:id="55" w:name="_Toc20823286"/>
      <w:r/>
      <w:bookmarkStart w:id="56" w:name="_Toc16938530"/>
      <w:r/>
      <w:bookmarkStart w:id="57" w:name="_Toc462564073"/>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4"/>
      <w:r/>
      <w:bookmarkEnd w:id="55"/>
      <w:r/>
      <w:bookmarkEnd w:id="56"/>
      <w:r/>
      <w:bookmarkEnd w:id="57"/>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p>
    <w:p>
      <w:pPr>
        <w:pStyle w:val="75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8" w:name="_Toc20823287"/>
      <w:r/>
      <w:bookmarkStart w:id="59" w:name="_Toc513029215"/>
      <w:r/>
      <w:bookmarkStart w:id="60" w:name="_Toc462564074"/>
      <w:r/>
      <w:bookmarkStart w:id="61" w:name="_Toc16938531"/>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8"/>
      <w:r/>
      <w:bookmarkEnd w:id="59"/>
      <w:r/>
      <w:bookmarkEnd w:id="60"/>
      <w:r/>
      <w:bookmarkEnd w:id="61"/>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p>
    <w:p>
      <w:pPr>
        <w:pStyle w:val="75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2" w:name="_Hlt26954838"/>
      <w:r/>
      <w:bookmarkEnd w:id="62"/>
      <w:r/>
      <w:bookmarkStart w:id="63" w:name="_Hlt26670360"/>
      <w:r/>
      <w:bookmarkEnd w:id="63"/>
      <w:r/>
      <w:bookmarkStart w:id="64" w:name="_Hlt26668975"/>
      <w:r/>
      <w:bookmarkEnd w:id="64"/>
      <w:r/>
      <w:bookmarkStart w:id="65" w:name="_Toc14577357"/>
      <w:r/>
      <w:bookmarkStart w:id="66" w:name="_Toc49090509"/>
      <w:r/>
      <w:bookmarkStart w:id="67" w:name="_Toc513029219"/>
      <w:r/>
      <w:bookmarkStart w:id="68" w:name="_Toc49090507"/>
      <w:r/>
      <w:bookmarkStart w:id="69" w:name="_Toc513029216"/>
      <w:r/>
      <w:bookmarkStart w:id="70"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5"/>
      <w:r/>
      <w:bookmarkEnd w:id="66"/>
      <w:r/>
      <w:bookmarkEnd w:id="67"/>
      <w:r/>
      <w:bookmarkEnd w:id="68"/>
      <w:bookmarkEnd w:id="69"/>
      <w:bookmarkEnd w:id="70"/>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p>
    <w:p>
      <w:pPr>
        <w:pStyle w:val="75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1"/>
      <w:r/>
      <w:bookmarkStart w:id="73" w:name="_Hlt26670373"/>
      <w:r/>
      <w:bookmarkEnd w:id="73"/>
      <w:r>
        <w:rPr>
          <w:rFonts w:hint="eastAsia" w:ascii="方正仿宋_GBK" w:hAnsi="方正仿宋_GBK" w:eastAsia="方正仿宋_GBK" w:cs="方正仿宋_GBK"/>
          <w:b w:val="0"/>
          <w:bCs w:val="0"/>
          <w:sz w:val="28"/>
          <w:szCs w:val="28"/>
        </w:rPr>
        <w:t xml:space="preserve">表</w:t>
      </w:r>
      <w:bookmarkEnd w:id="72"/>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p>
    <w:p>
      <w:pPr>
        <w:pStyle w:val="75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6" w:name="_Hlt26670425"/>
      <w:r/>
      <w:bookmarkEnd w:id="76"/>
      <w:r/>
      <w:bookmarkStart w:id="77" w:name="_Hlt26954844"/>
      <w:r/>
      <w:bookmarkEnd w:id="77"/>
      <w:r/>
      <w:bookmarkStart w:id="78" w:name="_Hlt26954846"/>
      <w:r/>
      <w:bookmarkEnd w:id="78"/>
      <w:r/>
      <w:bookmarkStart w:id="79" w:name="_Hlt26668983"/>
      <w:r/>
      <w:bookmarkEnd w:id="79"/>
      <w:r/>
      <w:bookmarkStart w:id="80" w:name="_Hlt26954731"/>
      <w:r/>
      <w:bookmarkEnd w:id="80"/>
      <w:r/>
      <w:bookmarkStart w:id="81" w:name="_Hlt26670482"/>
      <w:r/>
      <w:bookmarkEnd w:id="81"/>
      <w:r/>
      <w:bookmarkStart w:id="82" w:name="_Hlt26670403"/>
      <w:r/>
      <w:bookmarkEnd w:id="82"/>
      <w:r/>
      <w:bookmarkStart w:id="83" w:name="_Hlt26670486"/>
      <w:r/>
      <w:bookmarkEnd w:id="83"/>
      <w:r/>
      <w:bookmarkStart w:id="84" w:name="_Hlt26954848"/>
      <w:r/>
      <w:bookmarkEnd w:id="84"/>
      <w:r/>
      <w:bookmarkStart w:id="85" w:name="_Hlt26954842"/>
      <w:r/>
      <w:bookmarkEnd w:id="85"/>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p>
    <w:p>
      <w:pPr>
        <w:pStyle w:val="75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bookmarkEnd w:id="86"/>
      <w:bookmarkEnd w:id="87"/>
      <w:r/>
    </w:p>
    <w:p>
      <w:pPr>
        <w:pStyle w:val="75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88" w:name="_Hlt26954850"/>
      <w:r/>
      <w:bookmarkEnd w:id="88"/>
      <w:r/>
      <w:bookmarkStart w:id="89" w:name="_Hlt26954734"/>
      <w:r/>
      <w:bookmarkEnd w:id="89"/>
      <w:r/>
      <w:bookmarkStart w:id="90" w:name="_Hlt26670489"/>
      <w:r/>
      <w:bookmarkEnd w:id="90"/>
      <w:r/>
      <w:bookmarkStart w:id="91" w:name="_Toc49090511"/>
      <w:r/>
      <w:bookmarkStart w:id="92"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1"/>
      <w:r/>
      <w:bookmarkEnd w:id="92"/>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p>
    <w:p>
      <w:pPr>
        <w:pStyle w:val="75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3" w:name="_Hlt26954852"/>
      <w:r/>
      <w:bookmarkEnd w:id="93"/>
      <w:r/>
      <w:bookmarkStart w:id="94" w:name="_Hlt26954739"/>
      <w:r/>
      <w:bookmarkEnd w:id="94"/>
      <w:r/>
      <w:bookmarkStart w:id="95" w:name="_Toc20823296"/>
      <w:r/>
      <w:bookmarkStart w:id="96" w:name="_Toc513029224"/>
      <w:r/>
      <w:bookmarkStart w:id="97" w:name="_Toc120614217"/>
      <w:r/>
      <w:bookmarkStart w:id="98" w:name="_Toc16938540"/>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
    </w:p>
    <w:p>
      <w:pPr>
        <w:pStyle w:val="75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9" w:name="_Toc513029225"/>
      <w:r/>
      <w:bookmarkStart w:id="100" w:name="_Toc462564084"/>
      <w:r/>
      <w:bookmarkStart w:id="101" w:name="_Toc16938541"/>
      <w:r/>
      <w:bookmarkStart w:id="102" w:name="_Toc20823297"/>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9"/>
      <w:r/>
      <w:bookmarkEnd w:id="100"/>
      <w:r/>
      <w:bookmarkEnd w:id="101"/>
      <w:r/>
      <w:bookmarkEnd w:id="102"/>
      <w:r>
        <w:rPr>
          <w:rFonts w:hint="eastAsia" w:ascii="方正仿宋_GBK" w:hAnsi="方正仿宋_GBK" w:eastAsia="方正仿宋_GBK" w:cs="方正仿宋_GBK"/>
          <w:b w:val="0"/>
          <w:bCs w:val="0"/>
          <w:sz w:val="28"/>
          <w:szCs w:val="28"/>
        </w:rPr>
        <w:t xml:space="preserve">的递交</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p>
    <w:p>
      <w:pPr>
        <w:pStyle w:val="768"/>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20823298"/>
      <w:r/>
      <w:bookmarkStart w:id="104" w:name="_Toc16938542"/>
      <w:r/>
      <w:bookmarkStart w:id="105" w:name="_Toc513029226"/>
      <w:r/>
      <w:r/>
    </w:p>
    <w:p>
      <w:pPr>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3"/>
      <w:r/>
      <w:bookmarkEnd w:id="104"/>
      <w:r/>
      <w:bookmarkEnd w:id="105"/>
      <w:r>
        <w:rPr>
          <w:rFonts w:hint="eastAsia" w:ascii="方正仿宋_GBK" w:hAnsi="方正仿宋_GBK" w:eastAsia="方正仿宋_GBK" w:cs="方正仿宋_GBK"/>
          <w:bCs/>
          <w:sz w:val="28"/>
          <w:szCs w:val="28"/>
          <w:lang w:val="en-US" w:eastAsia="zh-CN" w:bidi="ar-SA"/>
        </w:rPr>
        <w:t xml:space="preserve">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5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6" w:name="_Toc16938543"/>
      <w:r/>
      <w:bookmarkStart w:id="107" w:name="_Toc20823299"/>
      <w:r/>
      <w:bookmarkStart w:id="108" w:name="_Toc513029227"/>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6"/>
      <w:r/>
      <w:bookmarkEnd w:id="107"/>
      <w:r/>
      <w:bookmarkEnd w:id="108"/>
      <w:r>
        <w:rPr>
          <w:rFonts w:hint="eastAsia" w:ascii="方正仿宋_GBK" w:hAnsi="方正仿宋_GBK" w:eastAsia="方正仿宋_GBK" w:cs="方正仿宋_GBK"/>
          <w:b w:val="0"/>
          <w:bCs w:val="0"/>
          <w:sz w:val="28"/>
          <w:szCs w:val="28"/>
        </w:rPr>
        <w:t xml:space="preserve">的拒收</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p>
    <w:p>
      <w:pPr>
        <w:pStyle w:val="756"/>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9" w:name="_Toc16938544"/>
      <w:r/>
      <w:bookmarkStart w:id="110" w:name="_Toc513029228"/>
      <w:r/>
      <w:bookmarkStart w:id="111"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9"/>
      <w:r/>
      <w:bookmarkEnd w:id="110"/>
      <w:r/>
      <w:bookmarkEnd w:id="111"/>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2" w:name="_Toc120614218"/>
      <w:r/>
      <w:bookmarkStart w:id="113" w:name="_Toc16938545"/>
      <w:r/>
      <w:bookmarkStart w:id="114" w:name="_Toc513029229"/>
      <w:r/>
      <w:bookmarkStart w:id="115" w:name="_Toc20823301"/>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6" w:name="_Toc16938546"/>
      <w:r/>
      <w:bookmarkStart w:id="117" w:name="_Toc513029230"/>
      <w:r/>
      <w:bookmarkStart w:id="118"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6"/>
      <w:r/>
      <w:bookmarkEnd w:id="117"/>
      <w:r/>
      <w:bookmarkEnd w:id="118"/>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19" w:name="_Toc20823303"/>
      <w:r/>
      <w:bookmarkStart w:id="120" w:name="_Toc513029231"/>
      <w:r/>
      <w:bookmarkStart w:id="121"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bookmarkEnd w:id="119"/>
      <w:bookmarkEnd w:id="120"/>
      <w:bookmarkEnd w:id="121"/>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rPr>
      </w:pPr>
      <w:r/>
      <w:bookmarkStart w:id="122" w:name="_Toc16938548"/>
      <w:r/>
      <w:bookmarkStart w:id="123" w:name="_Toc20823304"/>
      <w:r/>
      <w:bookmarkStart w:id="124" w:name="_Toc513029232"/>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2"/>
      <w:r/>
      <w:bookmarkEnd w:id="123"/>
      <w:r/>
      <w:bookmarkEnd w:id="124"/>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5" w:name="_Toc513029233"/>
      <w:r/>
      <w:bookmarkStart w:id="126" w:name="_Toc20823305"/>
      <w:r/>
      <w:bookmarkStart w:id="127" w:name="_Toc16938549"/>
      <w:r>
        <w:rPr>
          <w:rFonts w:hint="eastAsia" w:ascii="方正仿宋_GBK" w:hAnsi="方正仿宋_GBK" w:eastAsia="方正仿宋_GBK" w:cs="方正仿宋_GBK"/>
          <w:sz w:val="28"/>
          <w:szCs w:val="28"/>
          <w:lang w:val="en-US" w:eastAsia="zh-CN"/>
        </w:rPr>
        <w:t xml:space="preserve">24.对投标文件的初审</w:t>
      </w:r>
      <w:bookmarkEnd w:id="125"/>
      <w:r/>
      <w:bookmarkEnd w:id="126"/>
      <w:r/>
      <w:bookmarkEnd w:id="127"/>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8" w:name="_Toc16938550"/>
      <w:r/>
      <w:bookmarkStart w:id="129" w:name="_Toc513029234"/>
      <w:r/>
      <w:bookmarkStart w:id="130" w:name="_Toc20823306"/>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8"/>
      <w:r/>
      <w:bookmarkEnd w:id="129"/>
      <w:r/>
      <w:bookmarkEnd w:id="130"/>
      <w:r>
        <w:rPr>
          <w:rFonts w:hint="eastAsia" w:ascii="方正仿宋_GBK" w:hAnsi="方正仿宋_GBK" w:eastAsia="方正仿宋_GBK" w:cs="方正仿宋_GBK"/>
          <w:sz w:val="28"/>
          <w:szCs w:val="28"/>
          <w:lang w:val="en-US" w:eastAsia="zh-CN"/>
        </w:rPr>
        <w:t xml:space="preserve">.无效投标条款和废标条款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1" w:name="_Toc20823307"/>
      <w:r/>
      <w:bookmarkStart w:id="132" w:name="_Toc16938551"/>
      <w:r/>
      <w:bookmarkStart w:id="133" w:name="_Toc513029235"/>
      <w:r>
        <w:rPr>
          <w:rFonts w:hint="eastAsia" w:ascii="方正仿宋_GBK" w:hAnsi="方正仿宋_GBK" w:eastAsia="方正仿宋_GBK" w:cs="方正仿宋_GBK"/>
          <w:sz w:val="28"/>
          <w:szCs w:val="28"/>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p>
    <w:p>
      <w:pPr>
        <w:ind w:firstLine="56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5" w:name="_Toc513029238"/>
      <w:r/>
      <w:bookmarkStart w:id="136" w:name="_Toc20823310"/>
      <w:r/>
      <w:bookmarkStart w:id="137" w:name="_Toc16938554"/>
      <w:r>
        <w:rPr>
          <w:rFonts w:hint="eastAsia" w:ascii="方正仿宋_GBK" w:hAnsi="方正仿宋_GBK" w:eastAsia="方正仿宋_GBK" w:cs="方正仿宋_GBK"/>
          <w:sz w:val="28"/>
          <w:szCs w:val="28"/>
          <w:lang w:val="en-US" w:eastAsia="zh-CN"/>
        </w:rPr>
        <w:t xml:space="preserve">26</w:t>
      </w:r>
      <w:bookmarkEnd w:id="135"/>
      <w:r>
        <w:rPr>
          <w:rFonts w:hint="eastAsia" w:ascii="方正仿宋_GBK" w:hAnsi="方正仿宋_GBK" w:eastAsia="方正仿宋_GBK" w:cs="方正仿宋_GBK"/>
          <w:sz w:val="28"/>
          <w:szCs w:val="28"/>
          <w:lang w:val="en-US" w:eastAsia="zh-CN"/>
        </w:rPr>
        <w:t xml:space="preserve">.确定</w:t>
      </w:r>
      <w:bookmarkEnd w:id="136"/>
      <w:r/>
      <w:bookmarkEnd w:id="137"/>
      <w:r>
        <w:rPr>
          <w:rFonts w:hint="eastAsia" w:ascii="方正仿宋_GBK" w:hAnsi="方正仿宋_GBK" w:eastAsia="方正仿宋_GBK" w:cs="方正仿宋_GBK"/>
          <w:sz w:val="28"/>
          <w:szCs w:val="28"/>
          <w:lang w:val="en-US" w:eastAsia="zh-CN"/>
        </w:rPr>
        <w:t xml:space="preserve">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8"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8"/>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9" w:name="_Toc120614220"/>
      <w:r/>
      <w:bookmarkStart w:id="140" w:name="_Toc16938552"/>
      <w:r/>
      <w:bookmarkStart w:id="141" w:name="_Toc20823308"/>
      <w:r/>
      <w:bookmarkStart w:id="142" w:name="_Toc513029236"/>
      <w:r>
        <w:rPr>
          <w:rFonts w:hint="eastAsia" w:ascii="方正黑体_GBK" w:hAnsi="方正黑体_GBK" w:eastAsia="方正黑体_GBK" w:cs="方正黑体_GBK"/>
          <w:color w:val="000000"/>
          <w:sz w:val="28"/>
          <w:szCs w:val="28"/>
        </w:rPr>
        <w:t xml:space="preserve">七、授予合同</w:t>
      </w:r>
      <w:bookmarkEnd w:id="139"/>
      <w:r/>
      <w:bookmarkEnd w:id="140"/>
      <w:bookmarkEnd w:id="141"/>
      <w:bookmarkEnd w:id="142"/>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3" w:name="_Toc513029237"/>
      <w:r/>
      <w:bookmarkStart w:id="144" w:name="_Toc16938553"/>
      <w:r/>
      <w:bookmarkStart w:id="145" w:name="_Toc20823309"/>
      <w:r>
        <w:rPr>
          <w:rFonts w:hint="eastAsia" w:ascii="方正仿宋_GBK" w:hAnsi="方正仿宋_GBK" w:eastAsia="方正仿宋_GBK" w:cs="方正仿宋_GBK"/>
          <w:sz w:val="28"/>
          <w:szCs w:val="28"/>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43"/>
      <w:bookmarkEnd w:id="144"/>
      <w:bookmarkEnd w:id="145"/>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46" w:name="_Toc120614221"/>
      <w:r/>
      <w:bookmarkStart w:id="147" w:name="_Toc20823314"/>
      <w:r/>
      <w:bookmarkStart w:id="148" w:name="_Toc479757207"/>
      <w:r/>
      <w:bookmarkStart w:id="149" w:name="_Toc513029242"/>
      <w:r/>
      <w:bookmarkStart w:id="150" w:name="_Toc16938558"/>
      <w:r>
        <w:rPr>
          <w:rFonts w:hint="eastAsia" w:ascii="方正仿宋_GBK" w:hAnsi="方正仿宋_GBK" w:eastAsia="方正仿宋_GBK" w:cs="方正仿宋_GBK"/>
          <w:sz w:val="28"/>
          <w:szCs w:val="28"/>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pStyle w:val="759"/>
        <w:spacing w:line="400" w:lineRule="exact"/>
        <w:rPr>
          <w:rFonts w:hint="eastAsia" w:ascii="宋体" w:hAnsi="宋体"/>
          <w:bCs/>
          <w:sz w:val="24"/>
        </w:rPr>
      </w:pPr>
      <w:r>
        <w:rPr>
          <w:rFonts w:hint="eastAsia" w:ascii="宋体" w:hAnsi="宋体"/>
          <w:bCs/>
          <w:sz w:val="24"/>
        </w:rPr>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1" w:name="_Toc20823315"/>
      <w:r/>
      <w:bookmarkStart w:id="152" w:name="_Toc513029243"/>
      <w:r/>
      <w:bookmarkStart w:id="153" w:name="_Toc16938559"/>
      <w:r/>
      <w:r/>
    </w:p>
    <w:p>
      <w:pPr>
        <w:pStyle w:val="76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r>
      <w:r/>
    </w:p>
    <w:p>
      <w:pPr>
        <w:pStyle w:val="76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hint="default" w:ascii="Times New Roman" w:hAnsi="Times New Roman" w:eastAsia="方正仿宋_GBK" w:cs="Times New Roman"/>
          <w:color w:val="000000"/>
          <w:sz w:val="28"/>
          <w:szCs w:val="28"/>
          <w:lang w:eastAsia="zh-CN"/>
        </w:rPr>
        <w:t xml:space="preserve">XXXX</w:t>
      </w:r>
      <w:r>
        <w:rPr>
          <w:rFonts w:hint="default"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pStyle w:val="761"/>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p>
    <w:p>
      <w:pPr>
        <w:pStyle w:val="761"/>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p>
    <w:p>
      <w:pPr>
        <w:pStyle w:val="761"/>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p>
    <w:p>
      <w:pPr>
        <w:pStyle w:val="761"/>
        <w:ind w:firstLine="560"/>
        <w:keepLines w:val="0"/>
        <w:keepNext w:val="0"/>
        <w:pageBreakBefore w:val="0"/>
        <w:spacing w:before="120" w:after="120"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w:t>
      </w:r>
      <w:r>
        <w:rPr>
          <w:rFonts w:hint="eastAsia" w:ascii="Times New Roman" w:hAnsi="Times New Roman" w:eastAsia="方正仿宋_GBK" w:cs="Times New Roman"/>
          <w:color w:val="000000"/>
          <w:sz w:val="28"/>
          <w:szCs w:val="28"/>
          <w:lang w:val="en-US" w:eastAsia="zh-CN" w:bidi="ar-SA"/>
        </w:rPr>
        <w:t xml:space="preserve">XX</w:t>
      </w:r>
      <w:r>
        <w:rPr>
          <w:rFonts w:hint="eastAsia" w:ascii="方正仿宋_GBK" w:hAnsi="方正仿宋_GBK" w:eastAsia="方正仿宋_GBK" w:cs="方正仿宋_GBK"/>
          <w:sz w:val="28"/>
          <w:szCs w:val="28"/>
        </w:rPr>
        <w:t xml:space="preserve">工作日内，预付款支付比例：合同金额的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尾款支付时间：采购人收到发票后10个工作日内，尾款支付比例：合同金额的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p>
    <w:p>
      <w:pPr>
        <w:pStyle w:val="761"/>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p>
    <w:p>
      <w:pPr>
        <w:pStyle w:val="761"/>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p>
    <w:p>
      <w:pPr>
        <w:pStyle w:val="761"/>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p>
    <w:p>
      <w:pPr>
        <w:pStyle w:val="761"/>
        <w:jc w:val="center"/>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761"/>
        <w:jc w:val="right"/>
        <w:keepLines w:val="0"/>
        <w:keepNext w:val="0"/>
        <w:pageBreakBefore w:val="0"/>
        <w:spacing w:before="120" w:after="120" w:line="400" w:lineRule="exact"/>
        <w:widowControl w:val="off"/>
        <w:rPr>
          <w:sz w:val="28"/>
          <w:szCs w:val="28"/>
        </w:rPr>
      </w:pPr>
      <w:r>
        <w:rPr>
          <w:rFonts w:hint="eastAsia"/>
          <w:sz w:val="28"/>
          <w:szCs w:val="28"/>
        </w:rPr>
        <w:t xml:space="preserve"> </w:t>
      </w:r>
      <w:r/>
    </w:p>
    <w:p>
      <w:pPr>
        <w:pStyle w:val="761"/>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20823346"/>
      <w:r/>
      <w:bookmarkStart w:id="157" w:name="_Toc120614244"/>
      <w:r/>
      <w:bookmarkStart w:id="158" w:name="_Toc16938590"/>
      <w:r/>
      <w:bookmarkStart w:id="159" w:name="_Toc462564139"/>
      <w:r/>
      <w:bookmarkStart w:id="160"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5"/>
      <w:r>
        <w:rPr>
          <w:rFonts w:hint="eastAsia" w:ascii="方正黑体_GBK" w:hAnsi="方正黑体_GBK" w:eastAsia="方正黑体_GBK" w:cs="方正黑体_GBK"/>
          <w:color w:val="000000"/>
          <w:sz w:val="28"/>
          <w:szCs w:val="28"/>
          <w:lang w:val="en-US" w:eastAsia="zh-CN" w:bidi="ar-SA"/>
        </w:rPr>
        <w:t xml:space="preserve">四章 采购需求</w:t>
      </w:r>
      <w:bookmarkEnd w:id="156"/>
      <w:r/>
      <w:bookmarkEnd w:id="157"/>
      <w:r/>
      <w:bookmarkEnd w:id="158"/>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1" w:name="_Toc26554093"/>
      <w:r/>
      <w:bookmarkStart w:id="162" w:name="_Toc49090575"/>
      <w:r>
        <w:rPr>
          <w:rFonts w:hint="eastAsia" w:ascii="方正黑体_GBK" w:hAnsi="方正黑体_GBK" w:eastAsia="方正黑体_GBK" w:cs="方正黑体_GBK"/>
          <w:b w:val="0"/>
          <w:bCs/>
          <w:sz w:val="28"/>
          <w:szCs w:val="28"/>
        </w:rPr>
        <w:t xml:space="preserve">一、采购标的清单</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794"/>
        <w:gridCol w:w="1695"/>
        <w:gridCol w:w="2438"/>
      </w:tblGrid>
      <w:tr>
        <w:trPr>
          <w:cantSplit/>
          <w:jc w:val="center"/>
          <w:trHeight w:val="70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p>
        </w:tc>
        <w:tc>
          <w:tcPr>
            <w:tcW w:w="279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69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4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p>
        </w:tc>
        <w:tc>
          <w:tcPr>
            <w:tcW w:w="279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695"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hint="eastAsia" w:ascii="Times New Roman" w:hAnsi="Times New Roman" w:eastAsia="方正仿宋_GBK" w:cs="Times New Roman"/>
                <w:color w:val="000000"/>
                <w:sz w:val="28"/>
                <w:szCs w:val="28"/>
                <w:u w:val="none"/>
                <w:lang w:val="en-US" w:eastAsia="zh-CN" w:bidi="ar-SA"/>
              </w:rPr>
              <w:t xml:space="preserve">南京工程学院教育网带宽接入服务</w:t>
            </w:r>
            <w:r/>
          </w:p>
        </w:tc>
        <w:tc>
          <w:tcPr>
            <w:tcW w:w="2438"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u w:val="none"/>
                <w:lang w:val="en-US" w:eastAsia="zh-CN" w:bidi="ar-SA"/>
              </w:rPr>
              <w:t xml:space="preserve">信息传输业</w:t>
            </w:r>
            <w:r/>
          </w:p>
        </w:tc>
      </w:tr>
    </w:tbl>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1"/>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p>
    <w:p>
      <w:pPr>
        <w:ind w:firstLine="562"/>
        <w:jc w:val="left"/>
        <w:keepLines w:val="0"/>
        <w:keepNext w:val="0"/>
        <w:pageBreakBefore w:val="0"/>
        <w:spacing w:line="400" w:lineRule="exact"/>
        <w:widowControl w:val="off"/>
        <w:rPr>
          <w:rFonts w:hint="eastAsia"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主要服务内容</w:t>
      </w:r>
      <w:r/>
    </w:p>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r>
      <w:r/>
    </w:p>
    <w:tbl>
      <w:tblPr>
        <w:tblStyle w:val="769"/>
        <w:tblW w:w="10091" w:type="dxa"/>
        <w:tblInd w:w="5" w:type="dxa"/>
        <w:tblBorders>
          <w:top w:val="single" w:color="BBBBBB" w:sz="4" w:space="0"/>
          <w:left w:val="single" w:color="BBBBBB" w:sz="4" w:space="0"/>
          <w:bottom w:val="single" w:color="BBBBBB" w:sz="4" w:space="0"/>
          <w:right w:val="single" w:color="BBBBBB" w:sz="4" w:space="0"/>
          <w:insideH w:val="single" w:color="BBBBBB" w:sz="4" w:space="0"/>
          <w:insideV w:val="single" w:color="BBBBBB" w:sz="4" w:space="0"/>
        </w:tblBorders>
        <w:tblLayout w:type="fixed"/>
        <w:tblCellMar>
          <w:left w:w="0" w:type="dxa"/>
          <w:top w:w="0" w:type="dxa"/>
          <w:right w:w="0" w:type="dxa"/>
          <w:bottom w:w="0" w:type="dxa"/>
        </w:tblCellMar>
        <w:tblLook w:val="04A0" w:firstRow="1" w:lastRow="0" w:firstColumn="1" w:lastColumn="0" w:noHBand="0" w:noVBand="1"/>
      </w:tblPr>
      <w:tblGrid>
        <w:gridCol w:w="685"/>
        <w:gridCol w:w="4929"/>
        <w:gridCol w:w="1074"/>
        <w:gridCol w:w="1240"/>
        <w:gridCol w:w="2163"/>
      </w:tblGrid>
      <w:tr>
        <w:trPr>
          <w:trHeight w:val="433"/>
        </w:trPr>
        <w:tc>
          <w:tcPr>
            <w:shd w:val="clear" w:color="auto" w:fill="f5e6e6"/>
            <w:tcW w:w="68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序号</w:t>
            </w:r>
            <w:r/>
          </w:p>
        </w:tc>
        <w:tc>
          <w:tcPr>
            <w:shd w:val="clear" w:color="auto" w:fill="f5e6e6"/>
            <w:tcW w:w="492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组成部件名称</w:t>
            </w:r>
            <w:r/>
          </w:p>
        </w:tc>
        <w:tc>
          <w:tcPr>
            <w:shd w:val="clear" w:color="auto" w:fill="f5e6e6"/>
            <w:tcW w:w="1074"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数量</w:t>
            </w:r>
            <w:r/>
          </w:p>
        </w:tc>
        <w:tc>
          <w:tcPr>
            <w:shd w:val="clear" w:color="auto" w:fill="f5e6e6"/>
            <w:tcW w:w="1240"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单位</w:t>
            </w:r>
            <w:r/>
          </w:p>
        </w:tc>
        <w:tc>
          <w:tcPr>
            <w:shd w:val="clear" w:color="auto" w:fill="f5e6e6"/>
            <w:tcW w:w="2163"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备注</w:t>
            </w:r>
            <w:r/>
          </w:p>
        </w:tc>
      </w:tr>
      <w:tr>
        <w:trPr>
          <w:trHeight w:val="428"/>
        </w:trPr>
        <w:tc>
          <w:tcPr>
            <w:tcW w:w="68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1</w:t>
            </w:r>
            <w:r/>
          </w:p>
        </w:tc>
        <w:tc>
          <w:tcPr>
            <w:tcW w:w="492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CERNET国内出口IPv4带宽300Mbps</w:t>
            </w:r>
            <w:r/>
          </w:p>
        </w:tc>
        <w:tc>
          <w:tcPr>
            <w:tcW w:w="1074"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1</w:t>
            </w:r>
            <w:r/>
          </w:p>
        </w:tc>
        <w:tc>
          <w:tcPr>
            <w:tcW w:w="1240"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项</w:t>
            </w:r>
            <w:r/>
          </w:p>
        </w:tc>
        <w:tc>
          <w:tcPr>
            <w:tcW w:w="2163"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r>
            <w:r/>
          </w:p>
        </w:tc>
      </w:tr>
      <w:tr>
        <w:trPr>
          <w:trHeight w:val="429"/>
        </w:trPr>
        <w:tc>
          <w:tcPr>
            <w:tcW w:w="68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2</w:t>
            </w:r>
            <w:r/>
          </w:p>
        </w:tc>
        <w:tc>
          <w:tcPr>
            <w:tcW w:w="492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CERNET国际带宽配比不少于70M</w:t>
            </w:r>
            <w:r/>
          </w:p>
        </w:tc>
        <w:tc>
          <w:tcPr>
            <w:tcW w:w="1074"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1</w:t>
            </w:r>
            <w:r/>
          </w:p>
        </w:tc>
        <w:tc>
          <w:tcPr>
            <w:tcW w:w="1240"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项</w:t>
            </w:r>
            <w:r/>
          </w:p>
        </w:tc>
        <w:tc>
          <w:tcPr>
            <w:tcW w:w="2163"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r>
            <w:r/>
          </w:p>
        </w:tc>
      </w:tr>
      <w:tr>
        <w:trPr>
          <w:trHeight w:val="668"/>
        </w:trPr>
        <w:tc>
          <w:tcPr>
            <w:tcW w:w="68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3</w:t>
            </w:r>
            <w:r/>
          </w:p>
        </w:tc>
        <w:tc>
          <w:tcPr>
            <w:tcW w:w="492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CERNET</w:t>
            </w:r>
            <w:r/>
          </w:p>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IPv4地址18432个（即72个/24地址段）</w:t>
            </w:r>
            <w:r/>
          </w:p>
        </w:tc>
        <w:tc>
          <w:tcPr>
            <w:tcW w:w="1074"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1</w:t>
            </w:r>
            <w:r/>
          </w:p>
        </w:tc>
        <w:tc>
          <w:tcPr>
            <w:tcW w:w="1240"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项</w:t>
            </w:r>
            <w:r/>
          </w:p>
        </w:tc>
        <w:tc>
          <w:tcPr>
            <w:tcW w:w="2163"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IP地址不做二次转换，所有端口可用</w:t>
            </w:r>
            <w:r/>
          </w:p>
        </w:tc>
      </w:tr>
      <w:tr>
        <w:trPr>
          <w:trHeight w:val="668"/>
        </w:trPr>
        <w:tc>
          <w:tcPr>
            <w:tcW w:w="68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4</w:t>
            </w:r>
            <w:r/>
          </w:p>
        </w:tc>
        <w:tc>
          <w:tcPr>
            <w:tcW w:w="492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CERNET IPv6地址不少于1个/48前缀（即2^80个地址）（原表缺此关键项）</w:t>
            </w:r>
            <w:r/>
          </w:p>
        </w:tc>
        <w:tc>
          <w:tcPr>
            <w:tcW w:w="1074"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1</w:t>
            </w:r>
            <w:r/>
          </w:p>
        </w:tc>
        <w:tc>
          <w:tcPr>
            <w:tcW w:w="1240"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项</w:t>
            </w:r>
            <w:r/>
          </w:p>
        </w:tc>
        <w:tc>
          <w:tcPr>
            <w:tcW w:w="2163"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具体前缀由采购人提供，如200 1:da8::/48</w:t>
            </w:r>
            <w:r/>
          </w:p>
        </w:tc>
      </w:tr>
      <w:tr>
        <w:trPr>
          <w:trHeight w:val="673"/>
        </w:trPr>
        <w:tc>
          <w:tcPr>
            <w:tcW w:w="68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5</w:t>
            </w:r>
            <w:r/>
          </w:p>
        </w:tc>
        <w:tc>
          <w:tcPr>
            <w:tcW w:w="492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提供</w:t>
            </w:r>
            <w:r>
              <w:rPr>
                <w:rFonts w:hint="eastAsia" w:ascii="方正仿宋_GBK" w:hAnsi="方正仿宋_GBK" w:eastAsia="方正仿宋_GBK" w:cs="方正仿宋_GBK"/>
                <w:sz w:val="22"/>
                <w:szCs w:val="22"/>
                <w:lang w:val="en-US" w:eastAsia="zh-CN"/>
              </w:rPr>
              <w:fldChar w:fldCharType="begin"/>
            </w:r>
            <w:r>
              <w:rPr>
                <w:rFonts w:hint="eastAsia" w:ascii="方正仿宋_GBK" w:hAnsi="方正仿宋_GBK" w:eastAsia="方正仿宋_GBK" w:cs="方正仿宋_GBK"/>
                <w:sz w:val="22"/>
                <w:szCs w:val="22"/>
                <w:lang w:val="en-US" w:eastAsia="zh-CN"/>
              </w:rPr>
              <w:instrText xml:space="preserve">HYPERLINK "D:\\xwechat_files\\wxid_xabl7bkfrwfz21_4a3c\\msg\\file\\2026-10\\njit.edu.cn"</w:instrText>
            </w:r>
            <w:r>
              <w:rPr>
                <w:rFonts w:hint="eastAsia" w:ascii="方正仿宋_GBK" w:hAnsi="方正仿宋_GBK" w:eastAsia="方正仿宋_GBK" w:cs="方正仿宋_GBK"/>
                <w:sz w:val="22"/>
                <w:szCs w:val="22"/>
                <w:lang w:val="en-US" w:eastAsia="zh-CN"/>
              </w:rPr>
              <w:fldChar w:fldCharType="separate"/>
            </w:r>
            <w:r>
              <w:rPr>
                <w:rFonts w:hint="eastAsia" w:ascii="方正仿宋_GBK" w:hAnsi="方正仿宋_GBK" w:eastAsia="方正仿宋_GBK" w:cs="方正仿宋_GBK"/>
                <w:sz w:val="22"/>
                <w:szCs w:val="22"/>
                <w:lang w:val="en-US" w:eastAsia="zh-CN"/>
              </w:rPr>
              <w:t xml:space="preserve">njit.edu.cn</w:t>
            </w:r>
            <w:r>
              <w:rPr>
                <w:rFonts w:hint="eastAsia" w:ascii="方正仿宋_GBK" w:hAnsi="方正仿宋_GBK" w:eastAsia="方正仿宋_GBK" w:cs="方正仿宋_GBK"/>
                <w:sz w:val="22"/>
                <w:szCs w:val="22"/>
                <w:lang w:val="en-US" w:eastAsia="zh-CN"/>
              </w:rPr>
              <w:fldChar w:fldCharType="end"/>
            </w:r>
            <w:r>
              <w:rPr>
                <w:rFonts w:hint="eastAsia" w:ascii="方正仿宋_GBK" w:hAnsi="方正仿宋_GBK" w:eastAsia="方正仿宋_GBK" w:cs="方正仿宋_GBK"/>
                <w:sz w:val="22"/>
                <w:szCs w:val="22"/>
                <w:lang w:val="en-US" w:eastAsia="zh-CN"/>
              </w:rPr>
              <w:t xml:space="preserve">域名注册、解析、续费及日常维护服务</w:t>
            </w:r>
            <w:r/>
          </w:p>
        </w:tc>
        <w:tc>
          <w:tcPr>
            <w:tcW w:w="1074"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1</w:t>
            </w:r>
            <w:r/>
          </w:p>
        </w:tc>
        <w:tc>
          <w:tcPr>
            <w:tcW w:w="1240"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项</w:t>
            </w:r>
            <w:r/>
          </w:p>
        </w:tc>
        <w:tc>
          <w:tcPr>
            <w:tcW w:w="2163"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r>
            <w:r/>
          </w:p>
        </w:tc>
      </w:tr>
      <w:tr>
        <w:trPr>
          <w:trHeight w:val="673"/>
        </w:trPr>
        <w:tc>
          <w:tcPr>
            <w:tcW w:w="68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6</w:t>
            </w:r>
            <w:r/>
          </w:p>
        </w:tc>
        <w:tc>
          <w:tcPr>
            <w:tcW w:w="492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CERNET IPv4/IPv6全年保障服务</w:t>
            </w:r>
            <w:r/>
          </w:p>
        </w:tc>
        <w:tc>
          <w:tcPr>
            <w:tcW w:w="1074"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1</w:t>
            </w:r>
            <w:r/>
          </w:p>
        </w:tc>
        <w:tc>
          <w:tcPr>
            <w:tcW w:w="1240"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项</w:t>
            </w:r>
            <w:r/>
          </w:p>
        </w:tc>
        <w:tc>
          <w:tcPr>
            <w:tcW w:w="2163"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r>
            <w:r/>
          </w:p>
        </w:tc>
      </w:tr>
    </w:tbl>
    <w:p>
      <w:pPr>
        <w:spacing w:before="243" w:line="221" w:lineRule="auto"/>
        <w:rPr>
          <w:rFonts w:ascii="黑体" w:hAnsi="黑体" w:eastAsia="黑体" w:cs="黑体"/>
          <w:sz w:val="24"/>
          <w:szCs w:val="24"/>
          <w:lang w:eastAsia="zh-CN"/>
        </w:rPr>
        <w:outlineLvl w:val="1"/>
      </w:pPr>
      <w:r>
        <w:rPr>
          <w:rFonts w:ascii="黑体" w:hAnsi="黑体" w:eastAsia="黑体" w:cs="黑体"/>
          <w:color w:val="1a1a1a"/>
          <w:spacing w:val="-1"/>
          <w:sz w:val="24"/>
          <w:szCs w:val="24"/>
          <w:lang w:eastAsia="zh-CN"/>
        </w:rPr>
        <w:t xml:space="preserve">服务质量与SLA指标要求</w:t>
      </w:r>
      <w:r/>
    </w:p>
    <w:p>
      <w:pPr>
        <w:spacing w:line="114" w:lineRule="exact"/>
        <w:rPr>
          <w:lang w:eastAsia="zh-CN"/>
        </w:rPr>
      </w:pPr>
      <w:r>
        <w:rPr>
          <w:lang w:eastAsia="zh-CN"/>
        </w:rPr>
      </w:r>
      <w:r/>
    </w:p>
    <w:tbl>
      <w:tblPr>
        <w:tblStyle w:val="769"/>
        <w:tblW w:w="9608" w:type="dxa"/>
        <w:tblInd w:w="5" w:type="dxa"/>
        <w:tblBorders>
          <w:top w:val="single" w:color="BBBBBB" w:sz="4" w:space="0"/>
          <w:left w:val="single" w:color="BBBBBB" w:sz="4" w:space="0"/>
          <w:bottom w:val="single" w:color="BBBBBB" w:sz="4" w:space="0"/>
          <w:right w:val="single" w:color="BBBBBB" w:sz="4" w:space="0"/>
          <w:insideH w:val="single" w:color="BBBBBB" w:sz="4" w:space="0"/>
          <w:insideV w:val="single" w:color="BBBBBB" w:sz="4" w:space="0"/>
        </w:tblBorders>
        <w:tblLayout w:type="fixed"/>
        <w:tblCellMar>
          <w:left w:w="0" w:type="dxa"/>
          <w:top w:w="0" w:type="dxa"/>
          <w:right w:w="0" w:type="dxa"/>
          <w:bottom w:w="0" w:type="dxa"/>
        </w:tblCellMar>
        <w:tblLook w:val="04A0" w:firstRow="1" w:lastRow="0" w:firstColumn="1" w:lastColumn="0" w:noHBand="0" w:noVBand="1"/>
      </w:tblPr>
      <w:tblGrid>
        <w:gridCol w:w="798"/>
        <w:gridCol w:w="2379"/>
        <w:gridCol w:w="2605"/>
        <w:gridCol w:w="3826"/>
      </w:tblGrid>
      <w:tr>
        <w:trPr>
          <w:trHeight w:val="434"/>
        </w:trPr>
        <w:tc>
          <w:tcPr>
            <w:shd w:val="clear" w:color="auto" w:fill="f5e6e6"/>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序号</w:t>
            </w:r>
            <w:r/>
          </w:p>
        </w:tc>
        <w:tc>
          <w:tcPr>
            <w:shd w:val="clear" w:color="auto" w:fill="f5e6e6"/>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指标</w:t>
            </w:r>
            <w:r/>
          </w:p>
        </w:tc>
        <w:tc>
          <w:tcPr>
            <w:shd w:val="clear" w:color="auto" w:fill="f5e6e6"/>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要求</w:t>
            </w:r>
            <w:r/>
          </w:p>
        </w:tc>
        <w:tc>
          <w:tcPr>
            <w:shd w:val="clear" w:color="auto" w:fill="f5e6e6"/>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监测/统计口径</w:t>
            </w:r>
            <w:r/>
          </w:p>
        </w:tc>
      </w:tr>
      <w:tr>
        <w:trPr>
          <w:trHeight w:val="429"/>
        </w:trPr>
        <w:tc>
          <w:tcPr>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1</w:t>
            </w:r>
            <w:r/>
          </w:p>
        </w:tc>
        <w:tc>
          <w:tcPr>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网络可用性</w:t>
            </w:r>
            <w:r/>
          </w:p>
        </w:tc>
        <w:tc>
          <w:tcPr>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≥99.9%（月度）</w:t>
            </w:r>
            <w:r/>
          </w:p>
        </w:tc>
        <w:tc>
          <w:tcPr>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以乙方监测平台数据为准，甲方有权抽查复核</w:t>
            </w:r>
            <w:r/>
          </w:p>
        </w:tc>
      </w:tr>
      <w:tr>
        <w:trPr>
          <w:trHeight w:val="429"/>
        </w:trPr>
        <w:tc>
          <w:tcPr>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2</w:t>
            </w:r>
            <w:r/>
          </w:p>
        </w:tc>
        <w:tc>
          <w:tcPr>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平均丢包率</w:t>
            </w:r>
            <w:r/>
          </w:p>
        </w:tc>
        <w:tc>
          <w:tcPr>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≤0.1%</w:t>
            </w:r>
            <w:r/>
          </w:p>
        </w:tc>
        <w:tc>
          <w:tcPr>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对基准站点清单按季度抽样测试</w:t>
            </w:r>
            <w:r/>
          </w:p>
        </w:tc>
      </w:tr>
      <w:tr>
        <w:trPr>
          <w:trHeight w:val="429"/>
        </w:trPr>
        <w:tc>
          <w:tcPr>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3</w:t>
            </w:r>
            <w:r/>
          </w:p>
        </w:tc>
        <w:tc>
          <w:tcPr>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网络时延</w:t>
            </w:r>
            <w:r/>
          </w:p>
        </w:tc>
        <w:tc>
          <w:tcPr>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到达80%基准网站≤50ms</w:t>
            </w:r>
            <w:r/>
          </w:p>
        </w:tc>
        <w:tc>
          <w:tcPr>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按季度抽样测试</w:t>
            </w:r>
            <w:r/>
          </w:p>
        </w:tc>
      </w:tr>
      <w:tr>
        <w:trPr>
          <w:trHeight w:val="429"/>
        </w:trPr>
        <w:tc>
          <w:tcPr>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4</w:t>
            </w:r>
            <w:r/>
          </w:p>
        </w:tc>
        <w:tc>
          <w:tcPr>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链路互联时延</w:t>
            </w:r>
            <w:r/>
          </w:p>
        </w:tc>
        <w:tc>
          <w:tcPr>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平均≤10ms</w:t>
            </w:r>
            <w:r/>
          </w:p>
        </w:tc>
        <w:tc>
          <w:tcPr>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通道互联地址PING（100字节）</w:t>
            </w:r>
            <w:r/>
          </w:p>
        </w:tc>
      </w:tr>
      <w:tr>
        <w:trPr>
          <w:trHeight w:val="429"/>
        </w:trPr>
        <w:tc>
          <w:tcPr>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5</w:t>
            </w:r>
            <w:r/>
          </w:p>
        </w:tc>
        <w:tc>
          <w:tcPr>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故障响应时间</w:t>
            </w:r>
            <w:r/>
          </w:p>
        </w:tc>
        <w:tc>
          <w:tcPr>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≤30分钟</w:t>
            </w:r>
            <w:r/>
          </w:p>
        </w:tc>
        <w:tc>
          <w:tcPr>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自报障起算</w:t>
            </w:r>
            <w:r/>
          </w:p>
        </w:tc>
      </w:tr>
      <w:tr>
        <w:trPr>
          <w:trHeight w:val="429"/>
        </w:trPr>
        <w:tc>
          <w:tcPr>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6</w:t>
            </w:r>
            <w:r/>
          </w:p>
        </w:tc>
        <w:tc>
          <w:tcPr>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一般故障修复</w:t>
            </w:r>
            <w:r/>
          </w:p>
        </w:tc>
        <w:tc>
          <w:tcPr>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≤30分钟</w:t>
            </w:r>
            <w:r/>
          </w:p>
        </w:tc>
        <w:tc>
          <w:tcPr>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w:t>
            </w:r>
            <w:r/>
          </w:p>
        </w:tc>
      </w:tr>
      <w:tr>
        <w:trPr>
          <w:trHeight w:val="429"/>
        </w:trPr>
        <w:tc>
          <w:tcPr>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7</w:t>
            </w:r>
            <w:r/>
          </w:p>
        </w:tc>
        <w:tc>
          <w:tcPr>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严重/重大故障修复</w:t>
            </w:r>
            <w:r/>
          </w:p>
        </w:tc>
        <w:tc>
          <w:tcPr>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≤120分钟</w:t>
            </w:r>
            <w:r/>
          </w:p>
        </w:tc>
        <w:tc>
          <w:tcPr>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w:t>
            </w:r>
            <w:r/>
          </w:p>
        </w:tc>
      </w:tr>
      <w:tr>
        <w:trPr>
          <w:trHeight w:val="429"/>
        </w:trPr>
        <w:tc>
          <w:tcPr>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8</w:t>
            </w:r>
            <w:r/>
          </w:p>
        </w:tc>
        <w:tc>
          <w:tcPr>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重大故障到场</w:t>
            </w:r>
            <w:r/>
          </w:p>
        </w:tc>
        <w:tc>
          <w:tcPr>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≤60分钟</w:t>
            </w:r>
            <w:r/>
          </w:p>
        </w:tc>
        <w:tc>
          <w:tcPr>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w:t>
            </w:r>
            <w:r/>
          </w:p>
        </w:tc>
      </w:tr>
      <w:tr>
        <w:trPr>
          <w:trHeight w:val="430"/>
        </w:trPr>
        <w:tc>
          <w:tcPr>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9</w:t>
            </w:r>
            <w:r/>
          </w:p>
        </w:tc>
        <w:tc>
          <w:tcPr>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预知性中断通知</w:t>
            </w:r>
            <w:r/>
          </w:p>
        </w:tc>
        <w:tc>
          <w:tcPr>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≥24小时提前</w:t>
            </w:r>
            <w:r/>
          </w:p>
        </w:tc>
        <w:tc>
          <w:tcPr>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线路检修、割接、升级等</w:t>
            </w:r>
            <w:r/>
          </w:p>
        </w:tc>
      </w:tr>
      <w:tr>
        <w:trPr>
          <w:trHeight w:val="434"/>
        </w:trPr>
        <w:tc>
          <w:tcPr>
            <w:tcW w:w="798"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10</w:t>
            </w:r>
            <w:r/>
          </w:p>
        </w:tc>
        <w:tc>
          <w:tcPr>
            <w:tcW w:w="2379"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可预见中断通知</w:t>
            </w:r>
            <w:r/>
          </w:p>
        </w:tc>
        <w:tc>
          <w:tcPr>
            <w:tcW w:w="2605"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≥72小时提前</w:t>
            </w:r>
            <w:r/>
          </w:p>
        </w:tc>
        <w:tc>
          <w:tcPr>
            <w:tcW w:w="3826" w:type="dxa"/>
            <w:vAlign w:val="top"/>
            <w:textDirection w:val="lrTb"/>
            <w:noWrap w:val="false"/>
          </w:tcPr>
          <w:p>
            <w:pPr>
              <w:ind w:firstLine="440"/>
              <w:jc w:val="left"/>
              <w:keepLines w:val="0"/>
              <w:keepNext w:val="0"/>
              <w:pageBreakBefore w:val="0"/>
              <w:spacing w:line="400" w:lineRule="exact"/>
              <w:widowControl w:val="off"/>
              <w:rPr>
                <w:rFonts w:hint="eastAsia" w:ascii="方正仿宋_GBK" w:hAnsi="方正仿宋_GBK" w:eastAsia="方正仿宋_GBK" w:cs="方正仿宋_GBK"/>
                <w:sz w:val="22"/>
                <w:szCs w:val="22"/>
                <w:lang w:val="en-US" w:eastAsia="zh-CN"/>
              </w:rPr>
            </w:pPr>
            <w:r>
              <w:rPr>
                <w:rFonts w:hint="eastAsia" w:ascii="方正仿宋_GBK" w:hAnsi="方正仿宋_GBK" w:eastAsia="方正仿宋_GBK" w:cs="方正仿宋_GBK"/>
                <w:sz w:val="22"/>
                <w:szCs w:val="22"/>
                <w:lang w:val="en-US" w:eastAsia="zh-CN"/>
              </w:rPr>
              <w:t xml:space="preserve">同上</w:t>
            </w:r>
            <w:r/>
          </w:p>
        </w:tc>
      </w:tr>
    </w:tbl>
    <w:p>
      <w:pPr>
        <w:spacing w:before="243" w:line="221" w:lineRule="auto"/>
        <w:rPr>
          <w:rFonts w:hint="eastAsia" w:ascii="黑体" w:hAnsi="黑体" w:eastAsia="黑体" w:cs="黑体"/>
          <w:color w:val="1a1a1a"/>
          <w:spacing w:val="-1"/>
          <w:sz w:val="24"/>
          <w:szCs w:val="24"/>
          <w:lang w:val="en-US" w:eastAsia="zh-CN"/>
        </w:rPr>
        <w:outlineLvl w:val="1"/>
      </w:pPr>
      <w:r>
        <w:rPr>
          <w:rFonts w:hint="eastAsia" w:ascii="黑体" w:hAnsi="黑体" w:eastAsia="黑体" w:cs="黑体"/>
          <w:color w:val="1a1a1a"/>
          <w:spacing w:val="-1"/>
          <w:sz w:val="24"/>
          <w:szCs w:val="24"/>
          <w:lang w:val="en-US" w:eastAsia="zh-CN"/>
        </w:rPr>
        <w:t xml:space="preserve">服务标准</w:t>
      </w:r>
      <w:r/>
    </w:p>
    <w:p>
      <w:pPr>
        <w:pStyle w:val="770"/>
        <w:numPr>
          <w:ilvl w:val="0"/>
          <w:numId w:val="1"/>
        </w:numPr>
        <w:ind w:left="420" w:right="317" w:firstLine="420"/>
        <w:keepLines w:val="0"/>
        <w:keepNext w:val="0"/>
        <w:pageBreakBefore w:val="0"/>
        <w:spacing w:before="97"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合同期内乙方向甲方提供 “edu.cn”的顶级域名解析服务。包含向甲方提供互联网内容资源优化加速服务，用户侧至内容资源节点延时低于3ms，并可提供独立DNS服务用于互联网资源引入。</w:t>
      </w:r>
      <w:r/>
    </w:p>
    <w:p>
      <w:pPr>
        <w:pStyle w:val="770"/>
        <w:numPr>
          <w:ilvl w:val="0"/>
          <w:numId w:val="1"/>
        </w:numPr>
        <w:ind w:left="420" w:right="317" w:firstLine="420"/>
        <w:keepLines w:val="0"/>
        <w:keepNext w:val="0"/>
        <w:pageBreakBefore w:val="0"/>
        <w:spacing w:before="97"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合同期内乙方向甲方免费提供重要服务指标表中得2-3项，并提供原有IP地址的平滑迁移服务。</w:t>
      </w:r>
      <w:r/>
    </w:p>
    <w:p>
      <w:pPr>
        <w:pStyle w:val="770"/>
        <w:numPr>
          <w:ilvl w:val="0"/>
          <w:numId w:val="1"/>
        </w:numPr>
        <w:ind w:left="420" w:right="317" w:firstLine="420"/>
        <w:keepLines w:val="0"/>
        <w:keepNext w:val="0"/>
        <w:pageBreakBefore w:val="0"/>
        <w:spacing w:before="97"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合同期内乙方有义务协助甲方完成IPv6全校部署，一级域名指标不低于95%，二级域名指标不低于90%。</w:t>
      </w:r>
      <w:r/>
    </w:p>
    <w:p>
      <w:pPr>
        <w:pStyle w:val="770"/>
        <w:numPr>
          <w:ilvl w:val="0"/>
          <w:numId w:val="1"/>
        </w:numPr>
        <w:ind w:left="420" w:right="317" w:firstLine="420"/>
        <w:keepLines w:val="0"/>
        <w:keepNext w:val="0"/>
        <w:pageBreakBefore w:val="0"/>
        <w:spacing w:before="97"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合同期内乙方有义务协助并配合甲方进行出口调度，满足甲方日常使用需要，乙方需进行接入点现场勘探，提供线路路由、拓扑、网络路由及地址规划（需注明预申请设备端口编号）。</w:t>
      </w:r>
      <w:r/>
    </w:p>
    <w:p>
      <w:pPr>
        <w:pStyle w:val="770"/>
        <w:numPr>
          <w:ilvl w:val="0"/>
          <w:numId w:val="1"/>
        </w:numPr>
        <w:ind w:left="420" w:right="317" w:firstLine="420"/>
        <w:keepLines w:val="0"/>
        <w:keepNext w:val="0"/>
        <w:pageBreakBefore w:val="0"/>
        <w:spacing w:before="97"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合同期内乙方负责对提供的中国教育和科研计算机网CERNET接入线路进行必要的监测和日常维护。</w:t>
      </w:r>
      <w:r/>
    </w:p>
    <w:p>
      <w:pPr>
        <w:pStyle w:val="770"/>
        <w:numPr>
          <w:ilvl w:val="0"/>
          <w:numId w:val="1"/>
        </w:numPr>
        <w:ind w:left="420" w:right="317" w:firstLine="420"/>
        <w:keepLines w:val="0"/>
        <w:keepNext w:val="0"/>
        <w:pageBreakBefore w:val="0"/>
        <w:spacing w:before="97"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合同期内乙方向甲方提供中国教育和科研计算机网CERNET接入服务，提供【南京工程学院】上联至【CERNET华东北地区网络中心】的教育网线路服务。</w:t>
      </w:r>
      <w:r/>
    </w:p>
    <w:p>
      <w:pPr>
        <w:pStyle w:val="770"/>
        <w:numPr>
          <w:ilvl w:val="0"/>
          <w:numId w:val="1"/>
        </w:numPr>
        <w:ind w:left="420" w:right="317" w:firstLine="420"/>
        <w:keepLines w:val="0"/>
        <w:keepNext w:val="0"/>
        <w:pageBreakBefore w:val="0"/>
        <w:spacing w:before="97"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合同期内乙方应保障甲方能够正常使用中国教育和科研计算机网CERNET接入服务，需能满足甲方教育部视频会议内网路由规划配置并提供重要视频会议保障。</w:t>
      </w:r>
      <w:r/>
    </w:p>
    <w:p>
      <w:pPr>
        <w:pStyle w:val="770"/>
        <w:numPr>
          <w:ilvl w:val="0"/>
          <w:numId w:val="1"/>
        </w:numPr>
        <w:ind w:left="420" w:right="317" w:firstLine="420"/>
        <w:keepLines w:val="0"/>
        <w:keepNext w:val="0"/>
        <w:pageBreakBefore w:val="0"/>
        <w:spacing w:before="97"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由于线路检修、设备搬迁、工程割接、网络及软件升级等可预见的原因，影响或可能影响甲方使用教育网接入服务的，应提前72小时通知甲方(以服务质量与SLA指标要求为准)。</w:t>
      </w:r>
      <w:r/>
    </w:p>
    <w:p>
      <w:pPr>
        <w:pStyle w:val="770"/>
        <w:numPr>
          <w:ilvl w:val="0"/>
          <w:numId w:val="1"/>
        </w:numPr>
        <w:ind w:left="420" w:right="317" w:firstLine="420"/>
        <w:keepLines w:val="0"/>
        <w:keepNext w:val="0"/>
        <w:pageBreakBefore w:val="0"/>
        <w:spacing w:before="97"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需提供质量保证承诺及维修响应承诺，提供7*24小时免费专业技术保障，确保在服务出现故障时及时响应（通常为30分钟内），并在1小时内排除故障，须提供承诺书，加盖公章。</w:t>
      </w:r>
      <w:r/>
    </w:p>
    <w:p>
      <w:pPr>
        <w:spacing w:before="243" w:line="221" w:lineRule="auto"/>
        <w:rPr>
          <w:rFonts w:hint="eastAsia" w:ascii="黑体" w:hAnsi="黑体" w:eastAsia="黑体" w:cs="黑体"/>
          <w:color w:val="1a1a1a"/>
          <w:spacing w:val="-1"/>
          <w:sz w:val="24"/>
          <w:szCs w:val="24"/>
          <w:lang w:val="en-US" w:eastAsia="zh-CN"/>
        </w:rPr>
        <w:outlineLvl w:val="1"/>
      </w:pPr>
      <w:r>
        <w:rPr>
          <w:rFonts w:hint="eastAsia" w:ascii="黑体" w:hAnsi="黑体" w:eastAsia="黑体" w:cs="黑体"/>
          <w:color w:val="1a1a1a"/>
          <w:spacing w:val="-1"/>
          <w:sz w:val="24"/>
          <w:szCs w:val="24"/>
          <w:lang w:val="en-US" w:eastAsia="zh-CN"/>
        </w:rPr>
        <w:t xml:space="preserve">服务期内工作要求</w:t>
      </w:r>
      <w:r/>
    </w:p>
    <w:p>
      <w:pPr>
        <w:pStyle w:val="760"/>
        <w:ind w:left="420"/>
        <w:keepLines w:val="0"/>
        <w:keepNext w:val="0"/>
        <w:pageBreakBefore w:val="0"/>
        <w:spacing w:before="136"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（1）合同期内互联网带宽不得少于300Mbps。</w:t>
      </w:r>
      <w:r/>
    </w:p>
    <w:p>
      <w:pPr>
        <w:pStyle w:val="760"/>
        <w:ind w:left="420" w:right="307" w:firstLine="5"/>
        <w:keepLines w:val="0"/>
        <w:keepNext w:val="0"/>
        <w:pageBreakBefore w:val="0"/>
        <w:spacing w:before="167"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（2）提供中国教育和科研计算机网IPv6公网地址不少于2^80个（即1个/48前缀），所提供IP地址不得做二次转换，所有端口可用。</w:t>
      </w:r>
      <w:r/>
    </w:p>
    <w:p>
      <w:pPr>
        <w:pStyle w:val="760"/>
        <w:ind w:left="420"/>
        <w:keepLines w:val="0"/>
        <w:keepNext w:val="0"/>
        <w:pageBreakBefore w:val="0"/>
        <w:spacing w:before="76"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（3）“</w:t>
      </w:r>
      <w:r>
        <w:rPr>
          <w:rFonts w:hint="eastAsia" w:ascii="方正仿宋_GBK" w:hAnsi="方正仿宋_GBK" w:eastAsia="方正仿宋_GBK" w:cs="方正仿宋_GBK"/>
          <w:sz w:val="28"/>
          <w:szCs w:val="28"/>
          <w:lang w:val="en-US" w:eastAsia="zh-CN" w:bidi="ar-SA"/>
        </w:rPr>
        <w:fldChar w:fldCharType="begin"/>
      </w:r>
      <w:r>
        <w:rPr>
          <w:rFonts w:hint="eastAsia" w:ascii="方正仿宋_GBK" w:hAnsi="方正仿宋_GBK" w:eastAsia="方正仿宋_GBK" w:cs="方正仿宋_GBK"/>
          <w:sz w:val="28"/>
          <w:szCs w:val="28"/>
          <w:lang w:val="en-US" w:eastAsia="zh-CN" w:bidi="ar-SA"/>
        </w:rPr>
        <w:instrText xml:space="preserve"> HYPERLINK "file:///D:\\xwechat_files\\wxid_xabl7bkfrwfz21_4a3c\\msg\\file\\2026-10\\edu.cn" </w:instrText>
      </w:r>
      <w:r>
        <w:rPr>
          <w:rFonts w:hint="eastAsia" w:ascii="方正仿宋_GBK" w:hAnsi="方正仿宋_GBK" w:eastAsia="方正仿宋_GBK" w:cs="方正仿宋_GBK"/>
          <w:sz w:val="28"/>
          <w:szCs w:val="28"/>
          <w:lang w:val="en-US" w:eastAsia="zh-CN" w:bidi="ar-SA"/>
        </w:rPr>
        <w:fldChar w:fldCharType="separate"/>
      </w:r>
      <w:r>
        <w:rPr>
          <w:rFonts w:hint="eastAsia" w:ascii="方正仿宋_GBK" w:hAnsi="方正仿宋_GBK" w:eastAsia="方正仿宋_GBK" w:cs="方正仿宋_GBK"/>
          <w:sz w:val="28"/>
          <w:szCs w:val="28"/>
          <w:lang w:val="en-US" w:eastAsia="zh-CN" w:bidi="ar-SA"/>
        </w:rPr>
        <w:t xml:space="preserve">edu.cn</w:t>
      </w:r>
      <w:r>
        <w:rPr>
          <w:rFonts w:hint="eastAsia" w:ascii="方正仿宋_GBK" w:hAnsi="方正仿宋_GBK" w:eastAsia="方正仿宋_GBK" w:cs="方正仿宋_GBK"/>
          <w:sz w:val="28"/>
          <w:szCs w:val="28"/>
          <w:lang w:val="en-US" w:eastAsia="zh-CN" w:bidi="ar-SA"/>
        </w:rPr>
        <w:fldChar w:fldCharType="end"/>
      </w:r>
      <w:r>
        <w:rPr>
          <w:rFonts w:hint="eastAsia" w:ascii="方正仿宋_GBK" w:hAnsi="方正仿宋_GBK" w:eastAsia="方正仿宋_GBK" w:cs="方正仿宋_GBK"/>
          <w:sz w:val="28"/>
          <w:szCs w:val="28"/>
          <w:lang w:val="en-US" w:eastAsia="zh-CN" w:bidi="ar-SA"/>
        </w:rPr>
        <w:t xml:space="preserve"> ”的顶级域名解析服务不得中断。</w:t>
      </w:r>
      <w:r/>
    </w:p>
    <w:p>
      <w:pPr>
        <w:pStyle w:val="760"/>
        <w:ind w:left="420" w:right="307" w:firstLine="6"/>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（4）从链路入口到约定的基准站点清单的平均丢包率不高于0.1%，到达80%的基准网站时延不超过50ms（基准站点清单由甲乙双方合同签订时书面确认）。</w:t>
      </w:r>
      <w:r/>
    </w:p>
    <w:p>
      <w:pPr>
        <w:pStyle w:val="760"/>
        <w:ind w:left="420"/>
        <w:keepLines w:val="0"/>
        <w:keepNext w:val="0"/>
        <w:pageBreakBefore w:val="0"/>
        <w:spacing w:before="76"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（5）通道互联地址对PING（100字节），平均时延不高于10ms，丢包率不高于0.1%。</w:t>
      </w:r>
      <w:r/>
    </w:p>
    <w:p>
      <w:pPr>
        <w:pStyle w:val="760"/>
        <w:ind w:left="420"/>
        <w:keepLines w:val="0"/>
        <w:keepNext w:val="0"/>
        <w:pageBreakBefore w:val="0"/>
        <w:spacing w:before="160"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（6）</w:t>
      </w:r>
      <w:r/>
    </w:p>
    <w:p>
      <w:pPr>
        <w:pStyle w:val="760"/>
        <w:ind w:left="420"/>
        <w:keepLines w:val="0"/>
        <w:keepNext w:val="0"/>
        <w:pageBreakBefore w:val="0"/>
        <w:spacing w:before="81"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在正常网络运行状态下，从学校网络设备端口到骨干节点路由器网络平均时延≤10ms。</w:t>
      </w:r>
      <w:r/>
    </w:p>
    <w:p>
      <w:pPr>
        <w:pStyle w:val="760"/>
        <w:numPr>
          <w:ilvl w:val="0"/>
          <w:numId w:val="2"/>
        </w:numPr>
        <w:ind w:left="42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校园网链路出口的配置和调优。</w:t>
      </w:r>
      <w:r/>
    </w:p>
    <w:p>
      <w:pPr>
        <w:pStyle w:val="760"/>
        <w:numPr>
          <w:ilvl w:val="0"/>
          <w:numId w:val="2"/>
        </w:numPr>
        <w:ind w:left="42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无故障运行时间≥99.9%，年度中断总时间≤24小时、供链路可用性需达到99.999%，即每月不可用时间≤1分钟(以服务质量与SLA指标要求为准)。</w:t>
      </w:r>
      <w:r/>
    </w:p>
    <w:p>
      <w:pPr>
        <w:pStyle w:val="760"/>
        <w:ind w:left="42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（9）一般故障在30分钟内解决；严重故障和重大故障应在120分钟内解决，故障持续60分钟内必须到场处理。</w:t>
      </w:r>
      <w:r/>
    </w:p>
    <w:p>
      <w:pPr>
        <w:pStyle w:val="760"/>
        <w:numPr>
          <w:ilvl w:val="0"/>
          <w:numId w:val="3"/>
        </w:numPr>
        <w:ind w:left="42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对于事先预知的中断提前24小时通知(以服务质量与SLA指标要求为准)。</w:t>
      </w:r>
      <w:r/>
    </w:p>
    <w:p>
      <w:pPr>
        <w:pStyle w:val="760"/>
        <w:numPr>
          <w:ilvl w:val="0"/>
          <w:numId w:val="3"/>
        </w:numPr>
        <w:ind w:left="420"/>
        <w:keepLines w:val="0"/>
        <w:keepNext w:val="0"/>
        <w:pageBreakBefore w:val="0"/>
        <w:spacing w:before="162" w:line="400" w:lineRule="exact"/>
        <w:widowControl w:val="off"/>
        <w:rPr>
          <w:lang w:eastAsia="zh-CN"/>
        </w:rPr>
        <w:sectPr>
          <w:footerReference w:type="default" r:id="rId11"/>
          <w:footnotePr/>
          <w:endnotePr/>
          <w:type w:val="nextPage"/>
          <w:pgSz w:w="11906" w:h="16838" w:orient="portrait"/>
          <w:pgMar w:top="1125" w:right="902" w:bottom="0" w:left="902" w:header="0" w:footer="0" w:gutter="0"/>
          <w:cols w:num="1" w:sep="0" w:space="720" w:equalWidth="1"/>
          <w:docGrid w:linePitch="360"/>
        </w:sectPr>
        <w:outlineLvl w:val="9"/>
      </w:pPr>
      <w:r>
        <w:rPr>
          <w:rFonts w:hint="eastAsia" w:ascii="方正仿宋_GBK" w:hAnsi="方正仿宋_GBK" w:eastAsia="方正仿宋_GBK" w:cs="方正仿宋_GBK"/>
          <w:sz w:val="28"/>
          <w:szCs w:val="28"/>
          <w:lang w:val="en-US" w:eastAsia="zh-CN" w:bidi="ar-SA"/>
        </w:rPr>
        <w:t xml:space="preserve">协助甲方处理各类通过中国教育和科研计算机网访问的产生安全事件处理工作。每月提供中国教育和科研计算机网CERNET接入使用情况表及监测维护记录</w:t>
      </w:r>
      <w:r/>
    </w:p>
    <w:p>
      <w:pPr>
        <w:ind w:left="420"/>
        <w:keepLines w:val="0"/>
        <w:keepNext w:val="0"/>
        <w:pageBreakBefore w:val="0"/>
        <w:spacing w:before="188" w:line="400" w:lineRule="exact"/>
        <w:widowControl w:val="off"/>
        <w:rPr>
          <w:rFonts w:hint="default" w:ascii="黑体" w:hAnsi="黑体" w:eastAsia="黑体" w:cs="黑体"/>
          <w:sz w:val="24"/>
          <w:szCs w:val="24"/>
          <w:lang w:val="en-US" w:eastAsia="zh-CN"/>
        </w:rPr>
        <w:outlineLvl w:val="9"/>
      </w:pPr>
      <w:r>
        <w:rPr>
          <w:rFonts w:ascii="黑体" w:hAnsi="黑体" w:eastAsia="黑体" w:cs="黑体"/>
          <w:color w:val="1a1a1a"/>
          <w:spacing w:val="-2"/>
          <w:sz w:val="24"/>
          <w:szCs w:val="24"/>
          <w:lang w:eastAsia="zh-CN"/>
        </w:rPr>
        <w:t xml:space="preserve">故障分级</w:t>
      </w:r>
      <w:r>
        <w:rPr>
          <w:rFonts w:hint="eastAsia" w:ascii="黑体" w:hAnsi="黑体" w:eastAsia="黑体" w:cs="黑体"/>
          <w:color w:val="1a1a1a"/>
          <w:spacing w:val="-2"/>
          <w:sz w:val="24"/>
          <w:szCs w:val="24"/>
          <w:lang w:val="en-US" w:eastAsia="zh-CN"/>
        </w:rPr>
        <w:t xml:space="preserve">及响应时间</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一般故障（影响小、不影响主要业务）≤30分钟修复；严重故障（部分用户/业务受影响）≤120分钟修复；重大故障（全网/核心业务中断）≤120分钟修复、≤60分钟到场。</w:t>
      </w:r>
      <w:r/>
    </w:p>
    <w:p>
      <w:pPr>
        <w:ind w:left="420"/>
        <w:keepLines w:val="0"/>
        <w:keepNext w:val="0"/>
        <w:pageBreakBefore w:val="0"/>
        <w:spacing w:before="159" w:line="400" w:lineRule="exact"/>
        <w:widowControl w:val="off"/>
        <w:rPr>
          <w:rFonts w:ascii="黑体" w:hAnsi="黑体" w:eastAsia="黑体" w:cs="黑体"/>
          <w:sz w:val="24"/>
          <w:szCs w:val="24"/>
          <w:lang w:eastAsia="zh-CN"/>
        </w:rPr>
        <w:outlineLvl w:val="9"/>
      </w:pPr>
      <w:r>
        <w:rPr>
          <w:rFonts w:ascii="黑体" w:hAnsi="黑体" w:eastAsia="黑体" w:cs="黑体"/>
          <w:color w:val="1a1a1a"/>
          <w:spacing w:val="-1"/>
          <w:sz w:val="24"/>
          <w:szCs w:val="24"/>
          <w:lang w:eastAsia="zh-CN"/>
        </w:rPr>
        <w:t xml:space="preserve">服务考核与费用扣减机制</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按月对SLA指标进行考核；</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月度网络可用性每低于99.9%一个百分点（不足1%按1%计），扣减当期服务费的5%；</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发生重大故障，每次扣减当期服务费的2%；故障响应/修复超时，每次扣减当期服务费的1%；</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累计扣减不超过当期服务费的20%；连续2个月可用性低于98%的，甲方有权单方解除合同。</w:t>
      </w:r>
      <w:r/>
    </w:p>
    <w:p>
      <w:pPr>
        <w:ind w:left="420"/>
        <w:keepLines w:val="0"/>
        <w:keepNext w:val="0"/>
        <w:pageBreakBefore w:val="0"/>
        <w:spacing w:before="245" w:line="400" w:lineRule="exact"/>
        <w:widowControl w:val="off"/>
        <w:rPr>
          <w:rFonts w:ascii="黑体" w:hAnsi="黑体" w:eastAsia="黑体" w:cs="黑体"/>
          <w:sz w:val="24"/>
          <w:szCs w:val="24"/>
          <w:lang w:eastAsia="zh-CN"/>
        </w:rPr>
        <w:outlineLvl w:val="9"/>
      </w:pPr>
      <w:r>
        <w:rPr>
          <w:rFonts w:ascii="黑体" w:hAnsi="黑体" w:eastAsia="黑体" w:cs="黑体"/>
          <w:color w:val="1a1a1a"/>
          <w:spacing w:val="-2"/>
          <w:sz w:val="24"/>
          <w:szCs w:val="24"/>
          <w:lang w:eastAsia="zh-CN"/>
        </w:rPr>
        <w:t xml:space="preserve">服务报告制度</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月度运行报告（次月5个工作日内）、季度服务报告（季度结束后10个工作日内，含SLA达成自评）、年度总结报告。</w:t>
      </w:r>
      <w:r/>
    </w:p>
    <w:p>
      <w:pPr>
        <w:ind w:left="420"/>
        <w:keepLines w:val="0"/>
        <w:keepNext w:val="0"/>
        <w:pageBreakBefore w:val="0"/>
        <w:spacing w:before="245" w:line="400" w:lineRule="exact"/>
        <w:widowControl w:val="off"/>
        <w:rPr>
          <w:rFonts w:ascii="黑体" w:hAnsi="黑体" w:eastAsia="黑体" w:cs="黑体"/>
          <w:sz w:val="24"/>
          <w:szCs w:val="24"/>
          <w:lang w:eastAsia="zh-CN"/>
        </w:rPr>
        <w:outlineLvl w:val="9"/>
      </w:pPr>
      <w:r>
        <w:rPr>
          <w:rFonts w:ascii="黑体" w:hAnsi="黑体" w:eastAsia="黑体" w:cs="黑体"/>
          <w:color w:val="1a1a1a"/>
          <w:spacing w:val="-2"/>
          <w:sz w:val="24"/>
          <w:szCs w:val="24"/>
          <w:lang w:eastAsia="zh-CN"/>
        </w:rPr>
        <w:t xml:space="preserve">七、方案类投标要求</w:t>
      </w:r>
      <w:r/>
    </w:p>
    <w:p>
      <w:pPr>
        <w:pStyle w:val="770"/>
        <w:ind w:left="420"/>
        <w:keepLines w:val="0"/>
        <w:keepNext w:val="0"/>
        <w:pageBreakBefore w:val="0"/>
        <w:spacing w:before="97" w:line="400" w:lineRule="exact"/>
        <w:widowControl w:val="off"/>
        <w:rPr>
          <w:rFonts w:ascii="黑体" w:hAnsi="黑体" w:eastAsia="黑体" w:cs="黑体"/>
          <w:color w:val="1a1a1a"/>
          <w:spacing w:val="-1"/>
          <w:sz w:val="22"/>
          <w:szCs w:val="22"/>
        </w:rPr>
        <w:outlineLvl w:val="9"/>
      </w:pPr>
      <w:r>
        <w:rPr>
          <w:rFonts w:ascii="黑体" w:hAnsi="黑体" w:eastAsia="黑体" w:cs="黑体"/>
          <w:color w:val="1a1a1a"/>
          <w:spacing w:val="-1"/>
          <w:sz w:val="22"/>
          <w:szCs w:val="22"/>
        </w:rPr>
        <w:t xml:space="preserve">（一）网络架构与链路设计方案要求</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1.链路架构：供应商应提供上联至 CERNET 华东北地区网络中心的主、备链路架构设计，明确主链路及备用链路的接入点、带宽及路由走向。</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2.链路冗余：应具备链路冗余与自动切换机制，主链路故障时备用链路能够自动接管，保障业务不中断。</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3.扩展性：应满足学校未来带宽升级、IPv6 大规模部署及新增业务接入的扩展需求，预留扩展接口与容量。</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4.路由规划：应提供线路路由、拓扑、网络路由及地址规划（需注明预申请设备端口编号）。</w:t>
      </w:r>
      <w:r/>
    </w:p>
    <w:p>
      <w:pPr>
        <w:pStyle w:val="770"/>
        <w:ind w:left="420"/>
        <w:keepLines w:val="0"/>
        <w:keepNext w:val="0"/>
        <w:pageBreakBefore w:val="0"/>
        <w:spacing w:before="97" w:line="400" w:lineRule="exact"/>
        <w:widowControl w:val="off"/>
        <w:rPr>
          <w:rFonts w:ascii="黑体" w:hAnsi="黑体" w:eastAsia="黑体" w:cs="黑体"/>
          <w:color w:val="1a1a1a"/>
          <w:spacing w:val="-1"/>
          <w:sz w:val="22"/>
          <w:szCs w:val="22"/>
        </w:rPr>
        <w:outlineLvl w:val="9"/>
      </w:pPr>
      <w:r>
        <w:rPr>
          <w:rFonts w:ascii="黑体" w:hAnsi="黑体" w:eastAsia="黑体" w:cs="黑体"/>
          <w:color w:val="1a1a1a"/>
          <w:spacing w:val="-1"/>
          <w:sz w:val="22"/>
          <w:szCs w:val="22"/>
        </w:rPr>
        <w:t xml:space="preserve">（二）性能保障与安全保障方案要求</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1.性能保障：应提出带宽保障机制、QoS 策略及降低时延、丢包率的保障措施，确保满足服务期内工作要求中互联网带宽不少于 300Mbps、平均丢包率不高于 0.1%、到达 80% 基准网站时延不超过 50ms 等指标要求。</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2.安全保障：应提出访问控制、日志留存、DDoS 防护及配合等级保护测评等安全保障措施。</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3.监测管理：应提供网络监测手段与告警机制，按月提供 CERNET 接入使用情况表及监测维护记录。</w:t>
      </w:r>
      <w:r/>
    </w:p>
    <w:p>
      <w:pPr>
        <w:pStyle w:val="770"/>
        <w:ind w:left="420"/>
        <w:keepLines w:val="0"/>
        <w:keepNext w:val="0"/>
        <w:pageBreakBefore w:val="0"/>
        <w:spacing w:before="97" w:line="400" w:lineRule="exact"/>
        <w:widowControl w:val="off"/>
        <w:rPr>
          <w:rFonts w:ascii="黑体" w:hAnsi="黑体" w:eastAsia="黑体" w:cs="黑体"/>
          <w:color w:val="1a1a1a"/>
          <w:spacing w:val="-1"/>
          <w:sz w:val="22"/>
          <w:szCs w:val="22"/>
        </w:rPr>
        <w:outlineLvl w:val="9"/>
      </w:pPr>
      <w:r>
        <w:rPr>
          <w:rFonts w:ascii="黑体" w:hAnsi="黑体" w:eastAsia="黑体" w:cs="黑体"/>
          <w:color w:val="1a1a1a"/>
          <w:spacing w:val="-1"/>
          <w:sz w:val="22"/>
          <w:szCs w:val="22"/>
        </w:rPr>
        <w:t xml:space="preserve">（三）IPv6部署与域名/地址迁移方案要求</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1.IPv6 部署：应提出 IPv6 全校部署方案，确保一级域名指标不低于 95%、二级域名指标不低于 90%。</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2.地址迁移：应提供原有 IP 地址的平滑迁移方案，确保迁移期间业务不中断。</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3.域名迁移：应提供“edu.cn”顶级域名及 njit.edu.cn 域名的解析迁移与切换方案，确保域名解析服务不中断。</w:t>
      </w:r>
      <w:r/>
    </w:p>
    <w:p>
      <w:pPr>
        <w:pStyle w:val="770"/>
        <w:ind w:left="420"/>
        <w:keepLines w:val="0"/>
        <w:keepNext w:val="0"/>
        <w:pageBreakBefore w:val="0"/>
        <w:spacing w:before="97" w:line="400" w:lineRule="exact"/>
        <w:widowControl w:val="off"/>
        <w:rPr>
          <w:rFonts w:ascii="黑体" w:hAnsi="黑体" w:eastAsia="黑体" w:cs="黑体"/>
          <w:color w:val="1a1a1a"/>
          <w:spacing w:val="-1"/>
          <w:sz w:val="22"/>
          <w:szCs w:val="22"/>
        </w:rPr>
        <w:outlineLvl w:val="9"/>
      </w:pPr>
      <w:r>
        <w:rPr>
          <w:rFonts w:ascii="黑体" w:hAnsi="黑体" w:eastAsia="黑体" w:cs="黑体"/>
          <w:color w:val="1a1a1a"/>
          <w:spacing w:val="-1"/>
          <w:sz w:val="22"/>
          <w:szCs w:val="22"/>
        </w:rPr>
        <w:t xml:space="preserve">（四）实施方案要求</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1.项目组织：应明确项目负责人、技术负责人及其职责分工。</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2.进度管理：应明确项目实施进度计划、里程碑节点安排及进度保障措施。</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3.人员配备管理：应明确项目及驻场技术支持人员配备数量、岗位及资格要求。</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4.实施部署：应明确线路接入、地址迁移、域名解析切换的实施步骤、测试与验收方法。</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5.文档交付：应提供实施方案、技术文档、测试报告等实施交付文档。</w:t>
      </w:r>
      <w:r/>
    </w:p>
    <w:p>
      <w:pPr>
        <w:pStyle w:val="770"/>
        <w:ind w:left="420"/>
        <w:keepLines w:val="0"/>
        <w:keepNext w:val="0"/>
        <w:pageBreakBefore w:val="0"/>
        <w:spacing w:before="97" w:line="400" w:lineRule="exact"/>
        <w:widowControl w:val="off"/>
        <w:rPr>
          <w:rFonts w:ascii="黑体" w:hAnsi="黑体" w:eastAsia="黑体" w:cs="黑体"/>
          <w:color w:val="1a1a1a"/>
          <w:spacing w:val="-1"/>
          <w:sz w:val="22"/>
          <w:szCs w:val="22"/>
        </w:rPr>
        <w:outlineLvl w:val="9"/>
      </w:pPr>
      <w:r>
        <w:rPr>
          <w:rFonts w:ascii="黑体" w:hAnsi="黑体" w:eastAsia="黑体" w:cs="黑体"/>
          <w:color w:val="1a1a1a"/>
          <w:spacing w:val="-1"/>
          <w:sz w:val="22"/>
          <w:szCs w:val="22"/>
        </w:rPr>
        <w:t xml:space="preserve">（五）售后服务方案要求</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1.服务团队：应在国内设有技术人员团队，提供 7×24 小时免费专业技术保障。</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2.服务响应：故障响应时间不超过 30 分钟，1 小时内排除故障；一般故障 30 分钟内解决，严重故障和重大故障 120 分钟内解决。</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3.维修便利：应具备本地化服务能力，重大故障 60 分钟内到场处理。</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4.服务报告：应按月、季度、年度提供服务报告（含 SLA 达成情况）。</w:t>
      </w:r>
      <w:r/>
    </w:p>
    <w:p>
      <w:pPr>
        <w:pStyle w:val="770"/>
        <w:ind w:left="420"/>
        <w:keepLines w:val="0"/>
        <w:keepNext w:val="0"/>
        <w:pageBreakBefore w:val="0"/>
        <w:spacing w:before="97" w:line="400" w:lineRule="exact"/>
        <w:widowControl w:val="off"/>
        <w:rPr>
          <w:rFonts w:ascii="黑体" w:hAnsi="黑体" w:eastAsia="黑体" w:cs="黑体"/>
          <w:color w:val="1a1a1a"/>
          <w:spacing w:val="-1"/>
          <w:sz w:val="22"/>
          <w:szCs w:val="22"/>
        </w:rPr>
        <w:outlineLvl w:val="9"/>
      </w:pPr>
      <w:r>
        <w:rPr>
          <w:rFonts w:ascii="黑体" w:hAnsi="黑体" w:eastAsia="黑体" w:cs="黑体"/>
          <w:color w:val="1a1a1a"/>
          <w:spacing w:val="-1"/>
          <w:sz w:val="22"/>
          <w:szCs w:val="22"/>
        </w:rPr>
        <w:t xml:space="preserve">（六）应急预案要求</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1.预案编制：应针对线路中断、设备故障、网络攻击、割接升级等情形编制应急预案。</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2.处置流程：应明确故障分级响应及处置流程，一般故障 30 分钟内修复，严重/重大故障 120 分钟内修复，重大故障 60 分钟内到场。</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3.保障措施：应明确应急人员、备品备件及应急演练安排。</w:t>
      </w:r>
      <w:r/>
    </w:p>
    <w:p>
      <w:pPr>
        <w:ind w:left="420"/>
        <w:keepLines w:val="0"/>
        <w:keepNext w:val="0"/>
        <w:pageBreakBefore w:val="0"/>
        <w:spacing w:before="161" w:line="400" w:lineRule="exact"/>
        <w:widowControl w:val="off"/>
        <w:rPr>
          <w:rFonts w:ascii="黑体" w:hAnsi="黑体" w:eastAsia="黑体" w:cs="黑体"/>
          <w:sz w:val="24"/>
          <w:szCs w:val="24"/>
          <w:lang w:eastAsia="zh-CN"/>
        </w:rPr>
        <w:outlineLvl w:val="9"/>
      </w:pPr>
      <w:r>
        <w:rPr>
          <w:rFonts w:ascii="黑体" w:hAnsi="黑体" w:eastAsia="黑体" w:cs="黑体"/>
          <w:color w:val="1a1a1a"/>
          <w:spacing w:val="-2"/>
          <w:sz w:val="24"/>
          <w:szCs w:val="24"/>
          <w:lang w:eastAsia="zh-CN"/>
        </w:rPr>
        <w:t xml:space="preserve">八、商务条款</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lang w:val="en-US" w:eastAsia="zh-CN" w:bidi="ar-SA"/>
        </w:rPr>
        <w:outlineLvl w:val="9"/>
      </w:pPr>
      <w:r>
        <w:rPr>
          <w:rFonts w:hint="eastAsia" w:ascii="方正仿宋_GBK" w:hAnsi="方正仿宋_GBK" w:eastAsia="方正仿宋_GBK" w:cs="方正仿宋_GBK"/>
          <w:sz w:val="28"/>
          <w:szCs w:val="28"/>
          <w:lang w:val="en-US" w:eastAsia="zh-CN" w:bidi="ar-SA"/>
        </w:rPr>
        <w:t xml:space="preserve">1.履约保证金：服务期届满且最终验收合格、无质量问题后，乙方凭甲方使用部门签署的意见办理履约保证金退还（无息退还）。</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highlight w:val="none"/>
          <w:lang w:val="en-US" w:eastAsia="zh-CN" w:bidi="ar-SA"/>
        </w:rPr>
        <w:outlineLvl w:val="9"/>
      </w:pPr>
      <w:r>
        <w:rPr>
          <w:rFonts w:hint="eastAsia" w:ascii="方正仿宋_GBK" w:hAnsi="方正仿宋_GBK" w:eastAsia="方正仿宋_GBK" w:cs="方正仿宋_GBK"/>
          <w:sz w:val="28"/>
          <w:szCs w:val="28"/>
          <w:highlight w:val="none"/>
          <w:lang w:val="en-US" w:eastAsia="zh-CN" w:bidi="ar-SA"/>
        </w:rPr>
        <w:t xml:space="preserve">2.付款方式： 先服务、后付费、半年结算、考核联动：</w:t>
      </w:r>
      <w:r/>
    </w:p>
    <w:p>
      <w:pPr>
        <w:pStyle w:val="760"/>
        <w:ind w:left="420" w:firstLine="560"/>
        <w:keepLines w:val="0"/>
        <w:keepNext w:val="0"/>
        <w:pageBreakBefore w:val="0"/>
        <w:spacing w:before="162" w:line="400" w:lineRule="exact"/>
        <w:widowControl w:val="off"/>
        <w:rPr>
          <w:rFonts w:hint="default" w:ascii="方正仿宋_GBK" w:hAnsi="方正仿宋_GBK" w:eastAsia="方正仿宋_GBK" w:cs="方正仿宋_GBK"/>
          <w:sz w:val="28"/>
          <w:szCs w:val="28"/>
          <w:highlight w:val="none"/>
          <w:lang w:val="en-US" w:eastAsia="zh-CN" w:bidi="ar-SA"/>
        </w:rPr>
        <w:outlineLvl w:val="9"/>
      </w:pPr>
      <w:r>
        <w:rPr>
          <w:rFonts w:hint="eastAsia" w:ascii="方正仿宋_GBK" w:hAnsi="方正仿宋_GBK" w:eastAsia="方正仿宋_GBK" w:cs="方正仿宋_GBK"/>
          <w:sz w:val="28"/>
          <w:szCs w:val="28"/>
          <w:highlight w:val="none"/>
          <w:lang w:val="en-US" w:eastAsia="zh-CN" w:bidi="ar-SA"/>
        </w:rPr>
        <w:t xml:space="preserve">签订合同后，每半年考核一次（乙方提交服务报告及SLA达成证明）考核合格后甲方自收到乙方提供合法有效的增值税发票10个工作日内向乙方支付半年的中标款项（即中标总价的六分之一）</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highlight w:val="none"/>
          <w:lang w:val="en-US" w:eastAsia="zh-CN" w:bidi="ar-SA"/>
        </w:rPr>
        <w:outlineLvl w:val="9"/>
      </w:pPr>
      <w:r>
        <w:rPr>
          <w:rFonts w:hint="eastAsia" w:ascii="方正仿宋_GBK" w:hAnsi="方正仿宋_GBK" w:eastAsia="方正仿宋_GBK" w:cs="方正仿宋_GBK"/>
          <w:sz w:val="28"/>
          <w:szCs w:val="28"/>
          <w:highlight w:val="none"/>
          <w:lang w:val="en-US" w:eastAsia="zh-CN" w:bidi="ar-SA"/>
        </w:rPr>
        <w:t xml:space="preserve">考核不合格按《服务考核与费用扣减机制》扣减；甲方逾期付款按日万分之三支付违约金 。</w:t>
      </w:r>
      <w:r/>
    </w:p>
    <w:p>
      <w:pPr>
        <w:pStyle w:val="760"/>
        <w:ind w:left="420" w:firstLine="560"/>
        <w:keepLines w:val="0"/>
        <w:keepNext w:val="0"/>
        <w:pageBreakBefore w:val="0"/>
        <w:spacing w:before="162" w:line="400" w:lineRule="exact"/>
        <w:widowControl w:val="off"/>
        <w:rPr>
          <w:rFonts w:hint="eastAsia" w:ascii="方正仿宋_GBK" w:hAnsi="方正仿宋_GBK" w:eastAsia="方正仿宋_GBK" w:cs="方正仿宋_GBK"/>
          <w:sz w:val="28"/>
          <w:szCs w:val="28"/>
          <w:highlight w:val="none"/>
          <w:lang w:val="en-US" w:eastAsia="zh-CN" w:bidi="ar-SA"/>
        </w:rPr>
        <w:outlineLvl w:val="9"/>
      </w:pPr>
      <w:r>
        <w:rPr>
          <w:rFonts w:hint="eastAsia" w:ascii="方正仿宋_GBK" w:hAnsi="方正仿宋_GBK" w:eastAsia="方正仿宋_GBK" w:cs="方正仿宋_GBK"/>
          <w:sz w:val="28"/>
          <w:szCs w:val="28"/>
          <w:highlight w:val="none"/>
          <w:lang w:val="en-US" w:eastAsia="zh-CN" w:bidi="ar-SA"/>
        </w:rPr>
        <w:t xml:space="preserve">3.服务范围：教育网接入服务，教育网的域名。</w:t>
      </w:r>
      <w:r/>
    </w:p>
    <w:p>
      <w:pPr>
        <w:pStyle w:val="760"/>
        <w:ind w:left="420" w:firstLine="560"/>
        <w:keepLines w:val="0"/>
        <w:keepNext w:val="0"/>
        <w:pageBreakBefore w:val="0"/>
        <w:spacing w:before="162" w:line="400" w:lineRule="exact"/>
        <w:widowControl w:val="off"/>
        <w:rPr>
          <w:rFonts w:hint="default" w:ascii="方正仿宋_GBK" w:hAnsi="方正仿宋_GBK" w:eastAsia="方正仿宋_GBK" w:cs="方正仿宋_GBK"/>
          <w:sz w:val="28"/>
          <w:szCs w:val="28"/>
          <w:highlight w:val="none"/>
          <w:lang w:val="en-US" w:eastAsia="zh-CN" w:bidi="ar-SA"/>
        </w:rPr>
        <w:outlineLvl w:val="9"/>
      </w:pPr>
      <w:r>
        <w:rPr>
          <w:rFonts w:hint="eastAsia" w:ascii="方正仿宋_GBK" w:hAnsi="方正仿宋_GBK" w:eastAsia="方正仿宋_GBK" w:cs="方正仿宋_GBK"/>
          <w:sz w:val="28"/>
          <w:szCs w:val="28"/>
          <w:highlight w:val="none"/>
          <w:lang w:val="en-US" w:eastAsia="zh-CN" w:bidi="ar-SA"/>
        </w:rPr>
        <w:t xml:space="preserve">4.服务期限：合同签订后三年</w:t>
      </w:r>
      <w:r/>
    </w:p>
    <w:p>
      <w:pPr>
        <w:pStyle w:val="761"/>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outlineLvl w:val="9"/>
      </w:pPr>
      <w:r>
        <w:rPr>
          <w:rFonts w:hint="eastAsia" w:ascii="方正黑体_GBK" w:hAnsi="方正黑体_GBK" w:eastAsia="方正黑体_GBK" w:cs="方正黑体_GBK"/>
          <w:b w:val="0"/>
          <w:bCs/>
          <w:sz w:val="28"/>
          <w:szCs w:val="28"/>
        </w:rPr>
        <w:t xml:space="preserve">其他要求</w:t>
      </w:r>
      <w:r/>
    </w:p>
    <w:p>
      <w:pPr>
        <w:ind w:left="420"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outlineLvl w:val="9"/>
      </w:pPr>
      <w:r>
        <w:rPr>
          <w:rFonts w:hint="eastAsia" w:ascii="方正仿宋_GBK" w:hAnsi="方正仿宋_GBK" w:eastAsia="方正仿宋_GBK" w:cs="方正仿宋_GBK"/>
          <w:bCs/>
          <w:color w:val="000000"/>
          <w:sz w:val="28"/>
          <w:szCs w:val="28"/>
          <w:lang w:val="en-US" w:eastAsia="zh-CN"/>
        </w:rPr>
        <w:t xml:space="preserve">1.项目属性:服务类项目。</w:t>
      </w:r>
      <w:r/>
    </w:p>
    <w:p>
      <w:pPr>
        <w:rPr>
          <w:rFonts w:hint="eastAsia" w:ascii="黑体" w:eastAsia="黑体"/>
          <w:bCs/>
          <w:sz w:val="44"/>
        </w:rPr>
      </w:pPr>
      <w:r/>
      <w:bookmarkStart w:id="163" w:name="_Toc120614281"/>
      <w:r/>
      <w:r/>
    </w:p>
    <w:p>
      <w:pPr>
        <w:rPr>
          <w:rFonts w:hint="eastAsia" w:ascii="黑体" w:eastAsia="黑体"/>
          <w:bCs/>
          <w:sz w:val="44"/>
        </w:rPr>
      </w:pPr>
      <w:r>
        <w:rPr>
          <w:rFonts w:hint="eastAsia" w:ascii="黑体" w:eastAsia="黑体"/>
          <w:bCs/>
          <w:sz w:val="44"/>
        </w:rPr>
      </w:r>
      <w:r/>
    </w:p>
    <w:p>
      <w:pPr>
        <w:rPr>
          <w:rFonts w:hint="eastAsia" w:ascii="黑体" w:eastAsia="黑体"/>
          <w:bCs/>
          <w:sz w:val="44"/>
        </w:rPr>
      </w:pPr>
      <w:r>
        <w:rPr>
          <w:rFonts w:hint="eastAsia" w:ascii="黑体" w:eastAsia="黑体"/>
          <w:bCs/>
          <w:sz w:val="44"/>
        </w:rPr>
      </w:r>
      <w:r/>
    </w:p>
    <w:p>
      <w:pPr>
        <w:pStyle w:val="755"/>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p>
    <w:tbl>
      <w:tblPr>
        <w:tblStyle w:val="758"/>
        <w:tblW w:w="0" w:type="auto"/>
        <w:tblInd w:w="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1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134"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pStyle w:val="767"/>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p>
    <w:p>
      <w:pPr>
        <w:pStyle w:val="7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p>
    <w:p>
      <w:pPr>
        <w:pStyle w:val="767"/>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p>
    <w:p>
      <w:pPr>
        <w:pStyle w:val="7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7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p>
    <w:p>
      <w:pPr>
        <w:pStyle w:val="767"/>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p>
    <w:p>
      <w:pPr>
        <w:pStyle w:val="767"/>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p>
    <w:p>
      <w:pPr>
        <w:pStyle w:val="767"/>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p>
    <w:p>
      <w:pPr>
        <w:pStyle w:val="7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p>
    <w:p>
      <w:pPr>
        <w:pStyle w:val="7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p>
    <w:p>
      <w:pPr>
        <w:pStyle w:val="7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p>
    <w:p>
      <w:pPr>
        <w:pStyle w:val="767"/>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p>
    <w:p>
      <w:pPr>
        <w:pStyle w:val="767"/>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767"/>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7.采购本国产品的支持政策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成本之和的比例达到</w:t>
      </w:r>
      <w:r>
        <w:rPr>
          <w:rFonts w:hint="eastAsia" w:ascii="方正仿宋_GBK" w:hAnsi="方正仿宋_GBK" w:eastAsia="方正仿宋_GBK" w:cs="方正仿宋_GBK"/>
          <w:color w:val="auto"/>
          <w:sz w:val="28"/>
          <w:szCs w:val="28"/>
          <w:u w:val="single"/>
          <w:lang w:val="en-US" w:eastAsia="zh-CN"/>
        </w:rPr>
        <w:t xml:space="preserve">80%</w:t>
      </w:r>
      <w:r>
        <w:rPr>
          <w:rFonts w:hint="eastAsia" w:ascii="方正仿宋_GBK" w:hAnsi="方正仿宋_GBK" w:eastAsia="方正仿宋_GBK" w:cs="方正仿宋_GBK"/>
          <w:color w:val="auto"/>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给予价格评审优惠，即对该供应商</w:t>
      </w:r>
      <w:r>
        <w:rPr>
          <w:rFonts w:hint="eastAsia" w:ascii="方正仿宋_GBK" w:hAnsi="方正仿宋_GBK" w:eastAsia="方正仿宋_GBK" w:cs="方正仿宋_GBK"/>
          <w:strike w:val="0"/>
          <w:color w:val="auto"/>
          <w:sz w:val="28"/>
          <w:szCs w:val="28"/>
          <w:lang w:val="en-US" w:eastAsia="zh-CN"/>
        </w:rPr>
        <w:t xml:space="preserve">整个采购包</w:t>
      </w:r>
      <w:r>
        <w:rPr>
          <w:rFonts w:hint="eastAsia" w:ascii="方正仿宋_GBK" w:hAnsi="方正仿宋_GBK" w:eastAsia="方正仿宋_GBK" w:cs="方正仿宋_GBK"/>
          <w:color w:val="auto"/>
          <w:sz w:val="28"/>
          <w:szCs w:val="28"/>
          <w:lang w:val="en-US" w:eastAsia="zh-CN"/>
        </w:rPr>
        <w:t xml:space="preserve">的总报价给予</w:t>
      </w:r>
      <w:r>
        <w:rPr>
          <w:rFonts w:hint="eastAsia" w:ascii="方正仿宋_GBK" w:hAnsi="方正仿宋_GBK" w:eastAsia="方正仿宋_GBK" w:cs="方正仿宋_GBK"/>
          <w:color w:val="auto"/>
          <w:sz w:val="28"/>
          <w:szCs w:val="28"/>
          <w:u w:val="single"/>
          <w:lang w:val="en-US" w:eastAsia="zh-CN"/>
        </w:rPr>
        <w:t xml:space="preserve">20%</w:t>
      </w:r>
      <w:r>
        <w:rPr>
          <w:rFonts w:hint="eastAsia" w:ascii="方正仿宋_GBK" w:hAnsi="方正仿宋_GBK" w:eastAsia="方正仿宋_GBK" w:cs="方正仿宋_GBK"/>
          <w:color w:val="auto"/>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auto"/>
          <w:sz w:val="28"/>
          <w:szCs w:val="28"/>
          <w:u w:val="none"/>
          <w:lang w:val="en-US" w:eastAsia="zh-CN"/>
        </w:rPr>
        <w:t xml:space="preserve">不足</w:t>
      </w:r>
      <w:r>
        <w:rPr>
          <w:rFonts w:hint="eastAsia" w:ascii="方正仿宋_GBK" w:hAnsi="方正仿宋_GBK" w:eastAsia="方正仿宋_GBK" w:cs="方正仿宋_GBK"/>
          <w:color w:val="auto"/>
          <w:sz w:val="28"/>
          <w:szCs w:val="28"/>
          <w:u w:val="single"/>
          <w:lang w:val="en-US" w:eastAsia="zh-CN"/>
        </w:rPr>
        <w:t xml:space="preserve">80%</w:t>
      </w:r>
      <w:r>
        <w:rPr>
          <w:rFonts w:hint="eastAsia" w:ascii="方正仿宋_GBK" w:hAnsi="方正仿宋_GBK" w:eastAsia="方正仿宋_GBK" w:cs="方正仿宋_GBK"/>
          <w:color w:val="auto"/>
          <w:sz w:val="28"/>
          <w:szCs w:val="28"/>
          <w:lang w:val="en-US" w:eastAsia="zh-CN"/>
        </w:rPr>
        <w:t xml:space="preserve">的，将不享受本国产品价格评审优惠</w:t>
      </w:r>
      <w:r>
        <w:rPr>
          <w:rFonts w:hint="eastAsia" w:ascii="方正仿宋_GBK" w:hAnsi="方正仿宋_GBK" w:eastAsia="方正仿宋_GBK" w:cs="方正仿宋_GBK"/>
          <w:color w:val="auto"/>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7.2 </w:t>
      </w:r>
      <w:r>
        <w:rPr>
          <w:rFonts w:hint="eastAsia" w:ascii="方正仿宋_GBK" w:hAnsi="方正仿宋_GBK" w:eastAsia="方正仿宋_GBK" w:cs="方正仿宋_GBK"/>
          <w:color w:val="auto"/>
          <w:sz w:val="28"/>
          <w:szCs w:val="28"/>
        </w:rPr>
        <w:t xml:space="preserve">供应商需按照</w:t>
      </w:r>
      <w:r>
        <w:rPr>
          <w:rFonts w:hint="eastAsia" w:ascii="方正仿宋_GBK" w:hAnsi="方正仿宋_GBK" w:eastAsia="方正仿宋_GBK" w:cs="方正仿宋_GBK"/>
          <w:color w:val="auto"/>
          <w:sz w:val="28"/>
          <w:szCs w:val="28"/>
          <w:lang w:eastAsia="zh-CN"/>
        </w:rPr>
        <w:t xml:space="preserve">招标</w:t>
      </w:r>
      <w:r>
        <w:rPr>
          <w:rFonts w:hint="eastAsia" w:ascii="方正仿宋_GBK" w:hAnsi="方正仿宋_GBK" w:eastAsia="方正仿宋_GBK" w:cs="方正仿宋_GBK"/>
          <w:color w:val="auto"/>
          <w:sz w:val="28"/>
          <w:szCs w:val="28"/>
        </w:rPr>
        <w:t xml:space="preserve">文件的要求提供《关于符合本国产品标准的声明函》</w:t>
      </w:r>
      <w:r>
        <w:rPr>
          <w:rFonts w:hint="eastAsia" w:ascii="方正仿宋_GBK" w:hAnsi="方正仿宋_GBK" w:eastAsia="方正仿宋_GBK" w:cs="方正仿宋_GBK"/>
          <w:color w:val="auto"/>
          <w:sz w:val="28"/>
          <w:szCs w:val="28"/>
          <w:lang w:eastAsia="zh-CN"/>
        </w:rPr>
        <w:t xml:space="preserve">（以下简称《声明函》），如不提供</w:t>
      </w:r>
      <w:r>
        <w:rPr>
          <w:rFonts w:hint="eastAsia" w:ascii="方正仿宋_GBK" w:hAnsi="方正仿宋_GBK" w:eastAsia="方正仿宋_GBK" w:cs="方正仿宋_GBK"/>
          <w:color w:val="auto"/>
          <w:sz w:val="28"/>
          <w:szCs w:val="28"/>
          <w:lang w:val="en-US" w:eastAsia="zh-CN"/>
        </w:rPr>
        <w:t xml:space="preserve">将不享受本国产品价格评审优惠</w:t>
      </w:r>
      <w:r>
        <w:rPr>
          <w:rFonts w:hint="eastAsia" w:ascii="方正仿宋_GBK" w:hAnsi="方正仿宋_GBK" w:eastAsia="方正仿宋_GBK" w:cs="方正仿宋_GBK"/>
          <w:color w:val="auto"/>
          <w:sz w:val="28"/>
          <w:szCs w:val="28"/>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w:t>
      </w:r>
      <w:r>
        <w:rPr>
          <w:rFonts w:hint="eastAsia" w:ascii="方正仿宋_GBK" w:hAnsi="方正仿宋_GBK" w:eastAsia="方正仿宋_GBK" w:cs="方正仿宋_GBK"/>
          <w:color w:val="auto"/>
          <w:sz w:val="28"/>
          <w:szCs w:val="28"/>
          <w:lang w:val="en-US" w:eastAsia="zh-CN"/>
        </w:rPr>
        <w:t xml:space="preserve">3</w:t>
      </w:r>
      <w:r>
        <w:rPr>
          <w:rFonts w:hint="eastAsia" w:ascii="方正仿宋_GBK" w:hAnsi="方正仿宋_GBK" w:eastAsia="方正仿宋_GBK" w:cs="方正仿宋_GBK"/>
          <w:color w:val="auto"/>
          <w:sz w:val="28"/>
          <w:szCs w:val="28"/>
        </w:rPr>
        <w:t xml:space="preserve"> 供应商需在《声明函》中逐一、准确填写产品名称、厂名、生产厂址三项信息（</w:t>
      </w:r>
      <w:r>
        <w:rPr>
          <w:rFonts w:hint="eastAsia" w:ascii="方正仿宋_GBK" w:hAnsi="方正仿宋_GBK" w:eastAsia="方正仿宋_GBK" w:cs="方正仿宋_GBK"/>
          <w:color w:val="auto"/>
          <w:sz w:val="28"/>
          <w:szCs w:val="28"/>
          <w:lang w:val="en-US" w:eastAsia="zh-CN"/>
        </w:rPr>
        <w:t xml:space="preserve">《声明函》中标注</w:t>
      </w:r>
      <w:r>
        <w:rPr>
          <w:rFonts w:hint="eastAsia" w:ascii="方正仿宋_GBK" w:hAnsi="方正仿宋_GBK" w:eastAsia="方正仿宋_GBK" w:cs="方正仿宋_GBK"/>
          <w:color w:val="auto"/>
          <w:sz w:val="28"/>
          <w:szCs w:val="28"/>
          <w:u w:val="single"/>
          <w:lang w:val="en-US" w:eastAsia="zh-CN"/>
        </w:rPr>
        <w:t xml:space="preserve">“  /  ”</w:t>
      </w:r>
      <w:r>
        <w:rPr>
          <w:rFonts w:hint="eastAsia" w:ascii="方正仿宋_GBK" w:hAnsi="方正仿宋_GBK" w:eastAsia="方正仿宋_GBK" w:cs="方正仿宋_GBK"/>
          <w:color w:val="auto"/>
          <w:sz w:val="28"/>
          <w:szCs w:val="28"/>
          <w:lang w:val="en-US" w:eastAsia="zh-CN"/>
        </w:rPr>
        <w:t xml:space="preserve">的地方无需填写</w:t>
      </w:r>
      <w:r>
        <w:rPr>
          <w:rFonts w:hint="eastAsia" w:ascii="方正仿宋_GBK" w:hAnsi="方正仿宋_GBK" w:eastAsia="方正仿宋_GBK" w:cs="方正仿宋_GBK"/>
          <w:color w:val="auto"/>
          <w:sz w:val="28"/>
          <w:szCs w:val="28"/>
        </w:rPr>
        <w:t xml:space="preserve">），三项信息中任意一项未填写的视为该项产品不符合本国产品标准，不享受本国产品价格评审优惠。</w:t>
      </w:r>
      <w:r/>
    </w:p>
    <w:p>
      <w:pPr>
        <w:ind w:firstLine="560"/>
        <w:jc w:val="left"/>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b w:val="0"/>
          <w:bCs w:val="0"/>
          <w:color w:val="auto"/>
          <w:sz w:val="28"/>
          <w:szCs w:val="28"/>
          <w:u w:val="none"/>
        </w:rPr>
        <w:t xml:space="preserve">7.</w:t>
      </w:r>
      <w:r>
        <w:rPr>
          <w:rFonts w:hint="eastAsia" w:ascii="方正仿宋_GBK" w:hAnsi="方正仿宋_GBK" w:eastAsia="方正仿宋_GBK" w:cs="方正仿宋_GBK"/>
          <w:b w:val="0"/>
          <w:bCs w:val="0"/>
          <w:color w:val="auto"/>
          <w:sz w:val="28"/>
          <w:szCs w:val="28"/>
          <w:u w:val="none"/>
          <w:lang w:val="en-US" w:eastAsia="zh-CN"/>
        </w:rPr>
        <w:t xml:space="preserve">4</w:t>
      </w:r>
      <w:r>
        <w:rPr>
          <w:rFonts w:hint="eastAsia" w:ascii="方正仿宋_GBK" w:hAnsi="方正仿宋_GBK" w:eastAsia="方正仿宋_GBK" w:cs="方正仿宋_GBK"/>
          <w:b w:val="0"/>
          <w:bCs w:val="0"/>
          <w:color w:val="auto"/>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auto"/>
          <w:sz w:val="28"/>
          <w:szCs w:val="28"/>
          <w:u w:val="none"/>
          <w:lang w:eastAsia="zh-CN"/>
        </w:rPr>
        <w:t xml:space="preserve">和招标文件</w:t>
      </w:r>
      <w:r>
        <w:rPr>
          <w:rFonts w:hint="eastAsia" w:ascii="方正仿宋_GBK" w:hAnsi="方正仿宋_GBK" w:eastAsia="方正仿宋_GBK" w:cs="方正仿宋_GBK"/>
          <w:b w:val="0"/>
          <w:bCs w:val="0"/>
          <w:color w:val="auto"/>
          <w:sz w:val="28"/>
          <w:szCs w:val="28"/>
          <w:u w:val="none"/>
        </w:rPr>
        <w:t xml:space="preserve">规定的，供应商提供的相关产品视为不符合本国产品标准。</w:t>
      </w:r>
      <w:r/>
    </w:p>
    <w:p>
      <w:pPr>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p>
    <w:tbl>
      <w:tblPr>
        <w:tblStyle w:val="769"/>
        <w:tblW w:w="9169" w:type="dxa"/>
        <w:jc w:val="center"/>
        <w:tblBorders>
          <w:top w:val="single" w:color="BBBBBB" w:sz="4" w:space="0"/>
          <w:left w:val="single" w:color="BBBBBB" w:sz="4" w:space="0"/>
          <w:bottom w:val="single" w:color="BBBBBB" w:sz="4" w:space="0"/>
          <w:right w:val="single" w:color="BBBBBB" w:sz="4" w:space="0"/>
          <w:insideH w:val="single" w:color="BBBBBB" w:sz="4" w:space="0"/>
          <w:insideV w:val="single" w:color="BBBBBB" w:sz="4" w:space="0"/>
        </w:tblBorders>
        <w:tblLayout w:type="autofit"/>
        <w:tblCellMar>
          <w:left w:w="0" w:type="dxa"/>
          <w:top w:w="0" w:type="dxa"/>
          <w:right w:w="0" w:type="dxa"/>
          <w:bottom w:w="0" w:type="dxa"/>
        </w:tblCellMar>
        <w:tblLook w:val="04A0" w:firstRow="1" w:lastRow="0" w:firstColumn="1" w:lastColumn="0" w:noHBand="0" w:noVBand="1"/>
      </w:tblPr>
      <w:tblGrid>
        <w:gridCol w:w="602"/>
        <w:gridCol w:w="790"/>
        <w:gridCol w:w="552"/>
        <w:gridCol w:w="7225"/>
      </w:tblGrid>
      <w:tr>
        <w:trPr>
          <w:jc w:val="center"/>
          <w:trHeight w:val="0"/>
          <w:tblHeader/>
        </w:trPr>
        <w:tc>
          <w:tcPr>
            <w:shd w:val="clear" w:color="auto" w:fill="f5e6e6"/>
            <w:tcW w:w="602" w:type="dxa"/>
            <w:vAlign w:val="center"/>
            <w:textDirection w:val="lrTb"/>
            <w:noWrap w:val="false"/>
          </w:tcPr>
          <w:p>
            <w:pPr>
              <w:ind w:left="0" w:right="0" w:firstLine="0"/>
              <w:jc w:val="center"/>
              <w:spacing w:before="101" w:line="240" w:lineRule="auto"/>
              <w:rPr>
                <w:rFonts w:ascii="黑体" w:hAnsi="黑体" w:eastAsia="黑体" w:cs="黑体"/>
                <w:b/>
                <w:color w:val="auto"/>
                <w:sz w:val="21"/>
                <w:szCs w:val="21"/>
              </w:rPr>
            </w:pPr>
            <w:r>
              <w:rPr>
                <w:rFonts w:ascii="黑体" w:hAnsi="黑体" w:eastAsia="黑体" w:cs="黑体"/>
                <w:b/>
                <w:color w:val="auto"/>
                <w:spacing w:val="-2"/>
                <w:sz w:val="21"/>
                <w:szCs w:val="21"/>
              </w:rPr>
              <w:t xml:space="preserve">序号</w:t>
            </w:r>
            <w:r/>
          </w:p>
        </w:tc>
        <w:tc>
          <w:tcPr>
            <w:shd w:val="clear" w:color="auto" w:fill="f5e6e6"/>
            <w:tcW w:w="0" w:type="auto"/>
            <w:vAlign w:val="center"/>
            <w:textDirection w:val="lrTb"/>
            <w:noWrap w:val="false"/>
          </w:tcPr>
          <w:p>
            <w:pPr>
              <w:ind w:left="0" w:right="0" w:firstLine="0"/>
              <w:jc w:val="center"/>
              <w:spacing w:before="101" w:line="240" w:lineRule="auto"/>
              <w:rPr>
                <w:rFonts w:ascii="黑体" w:hAnsi="黑体" w:eastAsia="黑体" w:cs="黑体"/>
                <w:b/>
                <w:color w:val="auto"/>
                <w:sz w:val="21"/>
                <w:szCs w:val="21"/>
              </w:rPr>
            </w:pPr>
            <w:r>
              <w:rPr>
                <w:rFonts w:ascii="黑体" w:hAnsi="黑体" w:eastAsia="黑体" w:cs="黑体"/>
                <w:b/>
                <w:color w:val="auto"/>
                <w:spacing w:val="-2"/>
                <w:sz w:val="21"/>
                <w:szCs w:val="21"/>
              </w:rPr>
              <w:t xml:space="preserve">评分因素</w:t>
            </w:r>
            <w:r/>
          </w:p>
        </w:tc>
        <w:tc>
          <w:tcPr>
            <w:shd w:val="clear" w:color="auto" w:fill="f5e6e6"/>
            <w:tcW w:w="0" w:type="auto"/>
            <w:vAlign w:val="center"/>
            <w:textDirection w:val="lrTb"/>
            <w:noWrap w:val="false"/>
          </w:tcPr>
          <w:p>
            <w:pPr>
              <w:ind w:left="0" w:right="0" w:firstLine="0"/>
              <w:jc w:val="center"/>
              <w:spacing w:before="101" w:line="240" w:lineRule="auto"/>
              <w:rPr>
                <w:rFonts w:ascii="黑体" w:hAnsi="黑体" w:eastAsia="黑体" w:cs="黑体"/>
                <w:b/>
                <w:color w:val="auto"/>
                <w:sz w:val="21"/>
                <w:szCs w:val="21"/>
              </w:rPr>
            </w:pPr>
            <w:r>
              <w:rPr>
                <w:rFonts w:ascii="黑体" w:hAnsi="黑体" w:eastAsia="黑体" w:cs="黑体"/>
                <w:b/>
                <w:color w:val="auto"/>
                <w:spacing w:val="-2"/>
                <w:sz w:val="21"/>
                <w:szCs w:val="21"/>
              </w:rPr>
              <w:t xml:space="preserve">修订分值</w:t>
            </w:r>
            <w:r/>
          </w:p>
        </w:tc>
        <w:tc>
          <w:tcPr>
            <w:shd w:val="clear" w:color="auto" w:fill="f5e6e6"/>
            <w:tcW w:w="7225" w:type="dxa"/>
            <w:vAlign w:val="center"/>
            <w:textDirection w:val="lrTb"/>
            <w:noWrap w:val="false"/>
          </w:tcPr>
          <w:p>
            <w:pPr>
              <w:ind w:left="0" w:right="0" w:firstLine="0"/>
              <w:jc w:val="center"/>
              <w:spacing w:before="101" w:line="240" w:lineRule="auto"/>
              <w:rPr>
                <w:rFonts w:ascii="黑体" w:hAnsi="黑体" w:eastAsia="黑体" w:cs="黑体"/>
                <w:b/>
                <w:color w:val="auto"/>
                <w:sz w:val="21"/>
                <w:szCs w:val="21"/>
              </w:rPr>
            </w:pPr>
            <w:r>
              <w:rPr>
                <w:rFonts w:ascii="黑体" w:hAnsi="黑体" w:eastAsia="黑体" w:cs="黑体"/>
                <w:b/>
                <w:color w:val="auto"/>
                <w:spacing w:val="-1"/>
                <w:sz w:val="21"/>
                <w:szCs w:val="21"/>
              </w:rPr>
              <w:t xml:space="preserve">修订后评审标准</w:t>
            </w:r>
            <w:r/>
          </w:p>
        </w:tc>
      </w:tr>
      <w:tr>
        <w:trPr>
          <w:jc w:val="center"/>
          <w:trHeight w:val="0"/>
        </w:trPr>
        <w:tc>
          <w:tcPr>
            <w:tcW w:w="602" w:type="dxa"/>
            <w:vAlign w:val="center"/>
            <w:textDirection w:val="lrTb"/>
            <w:noWrap w:val="false"/>
          </w:tcPr>
          <w:p>
            <w:pPr>
              <w:pStyle w:val="770"/>
              <w:ind w:left="0" w:right="0" w:firstLine="0"/>
              <w:jc w:val="center"/>
              <w:spacing w:before="97" w:line="240" w:lineRule="auto"/>
              <w:rPr>
                <w:rFonts w:hint="eastAsia" w:ascii="宋体" w:hAnsi="宋体" w:eastAsia="宋体" w:cs="宋体"/>
                <w:color w:val="auto"/>
                <w:sz w:val="22"/>
                <w:szCs w:val="21"/>
              </w:rPr>
            </w:pPr>
            <w:r>
              <w:rPr>
                <w:rFonts w:hint="eastAsia" w:ascii="宋体" w:hAnsi="宋体" w:eastAsia="宋体" w:cs="宋体"/>
                <w:color w:val="auto"/>
                <w:sz w:val="22"/>
                <w:szCs w:val="21"/>
              </w:rPr>
              <w:t xml:space="preserve">1</w:t>
            </w:r>
            <w:r/>
          </w:p>
        </w:tc>
        <w:tc>
          <w:tcPr>
            <w:tcW w:w="0" w:type="auto"/>
            <w:vAlign w:val="center"/>
            <w:textDirection w:val="lrTb"/>
            <w:noWrap w:val="false"/>
          </w:tcPr>
          <w:p>
            <w:pPr>
              <w:pStyle w:val="770"/>
              <w:ind w:left="0" w:right="0" w:firstLine="0"/>
              <w:jc w:val="left"/>
              <w:spacing w:before="97" w:line="240" w:lineRule="auto"/>
              <w:rPr>
                <w:rFonts w:hint="eastAsia" w:ascii="宋体" w:hAnsi="宋体" w:eastAsia="宋体" w:cs="宋体"/>
                <w:color w:val="auto"/>
                <w:sz w:val="22"/>
                <w:szCs w:val="21"/>
              </w:rPr>
            </w:pPr>
            <w:r>
              <w:rPr>
                <w:rFonts w:hint="eastAsia" w:ascii="宋体" w:hAnsi="宋体" w:eastAsia="宋体" w:cs="宋体"/>
                <w:color w:val="auto"/>
                <w:spacing w:val="-5"/>
                <w:sz w:val="22"/>
                <w:szCs w:val="21"/>
              </w:rPr>
              <w:t xml:space="preserve">价格</w:t>
            </w:r>
            <w:r/>
          </w:p>
        </w:tc>
        <w:tc>
          <w:tcPr>
            <w:tcW w:w="0" w:type="auto"/>
            <w:vAlign w:val="center"/>
            <w:textDirection w:val="lrTb"/>
            <w:noWrap w:val="false"/>
          </w:tcPr>
          <w:p>
            <w:pPr>
              <w:pStyle w:val="770"/>
              <w:ind w:left="0" w:right="0" w:firstLine="0"/>
              <w:jc w:val="center"/>
              <w:spacing w:before="97"/>
              <w:rPr>
                <w:rFonts w:hint="eastAsia" w:ascii="宋体" w:hAnsi="宋体" w:eastAsia="宋体" w:cs="宋体"/>
                <w:color w:val="auto"/>
                <w:sz w:val="22"/>
                <w:szCs w:val="21"/>
              </w:rPr>
            </w:pPr>
            <w:r>
              <w:rPr>
                <w:rFonts w:hint="eastAsia" w:ascii="宋体" w:hAnsi="宋体" w:eastAsia="宋体" w:cs="宋体"/>
                <w:color w:val="auto"/>
                <w:spacing w:val="-2"/>
                <w:sz w:val="22"/>
                <w:szCs w:val="21"/>
              </w:rPr>
              <w:t xml:space="preserve">40</w:t>
            </w:r>
            <w:r/>
          </w:p>
        </w:tc>
        <w:tc>
          <w:tcPr>
            <w:tcW w:w="7225"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z w:val="22"/>
                <w:szCs w:val="21"/>
                <w:lang w:eastAsia="zh-CN"/>
              </w:rPr>
            </w:pPr>
            <w:r>
              <w:rPr>
                <w:rFonts w:hint="eastAsia" w:ascii="宋体" w:hAnsi="宋体" w:eastAsia="宋体" w:cs="宋体"/>
                <w:color w:val="auto"/>
                <w:spacing w:val="-1"/>
                <w:sz w:val="22"/>
                <w:szCs w:val="21"/>
                <w:lang w:eastAsia="zh-CN"/>
              </w:rPr>
              <w:t xml:space="preserve">采用低价优先法计算，即满足招标文件要求且投标价格最低的投标报价为评标基准价，其价格分为满分。其他投标人的价格分统一按照下列公式计算:投标报价得分=(评标基准价/投标报价)×40（小数点保留两位）</w:t>
            </w:r>
            <w:r/>
          </w:p>
        </w:tc>
      </w:tr>
      <w:tr>
        <w:trPr>
          <w:jc w:val="center"/>
          <w:trHeight w:val="0"/>
        </w:trPr>
        <w:tc>
          <w:tcPr>
            <w:tcW w:w="602"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2</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商务及技术参数响应</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15</w:t>
            </w:r>
            <w:r/>
          </w:p>
        </w:tc>
        <w:tc>
          <w:tcPr>
            <w:tcW w:w="7225"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商务及技术参数响应情况占 15 分，具体由评委根据供应商的投标文件中《分项报价表》《技术参数响应表》《商务条款响应表》及对招标文件第四章“采购需求”的响应情况进行评审。参与打分的条款为下列 5 项，每项 3 分，共 15 分：①CERNET </w:t>
            </w:r>
            <w:r>
              <w:rPr>
                <w:rFonts w:hint="eastAsia" w:ascii="宋体" w:hAnsi="宋体" w:eastAsia="宋体" w:cs="宋体"/>
                <w:color w:val="auto"/>
                <w:spacing w:val="-1"/>
                <w:sz w:val="22"/>
                <w:szCs w:val="21"/>
                <w:lang w:eastAsia="zh-CN"/>
              </w:rPr>
              <w:t xml:space="preserve">国内出口 IPv4 带宽不低于 300Mbps；②CERNET 国际带宽配比不少于 70M；③CERNET IPv4 地址 18432 个（72 个/24 地址段）；④CERNET IPv6 地址不少于 1 个/48 前缀（2^80 个）；⑤njit.edu.cn 域名注册、解析、续费及日常维护服务。完全满足上述 5 项要求的得 15 分；每出现 1 项负偏离的，扣 3 分，扣完为止；缺项漏项视为负偏离。（CERNET IPv4/IPv6 全年保障服务相关要求通过服务质量与 SLA 指标要求及考核机制体现）</w:t>
            </w:r>
            <w:r/>
          </w:p>
        </w:tc>
      </w:tr>
      <w:tr>
        <w:trPr>
          <w:jc w:val="center"/>
          <w:trHeight w:val="0"/>
        </w:trPr>
        <w:tc>
          <w:tcPr>
            <w:tcW w:w="602"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3</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项目认知度</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5</w:t>
            </w:r>
            <w:r/>
          </w:p>
        </w:tc>
        <w:tc>
          <w:tcPr>
            <w:tcW w:w="7225"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评委根据投标文件对招标文件第四章“采购需求”的理解程度进行评审。</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（1）投标文件对项目需求理解不清、存在明显偏差或未提供相关说明的，视为不符合招标文件，本项得 0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（2）投标文件对项目需求基本理解、符合招标文件要求的，本项得 3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（3）经评委认定，投标文件对项目需求理解深入、对项目重点难点把握准确的，本项得 5 分。</w:t>
            </w:r>
            <w:r/>
          </w:p>
        </w:tc>
      </w:tr>
      <w:tr>
        <w:trPr>
          <w:jc w:val="center"/>
          <w:trHeight w:val="0"/>
        </w:trPr>
        <w:tc>
          <w:tcPr>
            <w:tcW w:w="602"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4</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网络架构与链路设计方案</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5</w:t>
            </w:r>
            <w:r/>
          </w:p>
        </w:tc>
        <w:tc>
          <w:tcPr>
            <w:tcW w:w="7225"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评委根据投标文件对招标文件第四章“采购需求”中“网络架构与链路设计方案”要求的响应情况进行评审。</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（1）投标文件未符合“网络架构与链路设计方案”中全部条款要求的，视为不符合招标文件，本项得 0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（2）投标文件符合“网络架构与链路设计方案”中全部条款要求的，视为符合招标文件，本项得 3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3）经评委认定，投标文件对“网络架构与链路设计方案”中“链路冗余”“扩展性”的响应内容优于招标文件要求的（前提是投标文件对“网络架构与链路设计方案”中除“链路冗余”“扩展性”外其他要求响应内容符合招标文件要求），本项得 5 分。</w:t>
            </w:r>
            <w:r/>
          </w:p>
        </w:tc>
      </w:tr>
      <w:tr>
        <w:trPr>
          <w:jc w:val="center"/>
          <w:trHeight w:val="0"/>
        </w:trPr>
        <w:tc>
          <w:tcPr>
            <w:tcW w:w="602"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5</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性能保障与安全保障方案</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5</w:t>
            </w:r>
            <w:r/>
          </w:p>
        </w:tc>
        <w:tc>
          <w:tcPr>
            <w:tcW w:w="7225"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评委根据投标文件对招标文件第四章“采购需求”中“性能保障与安全保障方案”要求的响应情况进行评审。</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（1）投标文件未符合“性能保障与安全保障方案”中全部条款要求的，视为不符合招标文件，本项得 0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（2）投标文件符合“性能保障与安全保障方案”中全部条款要求的，视为符合招标文件，本项得 3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3）经评委认定，投标文件对“性能保障与安全保障方案”中“性能保障措施”“安全防护措施”的响应内容优于招标文件要求的（前提是投标文件对“性能保障与安全保障方案”中除“性能保障措施”“安全防护措施”外其他要求响应内容符合招标文件要求），本项得 5 分。</w:t>
            </w:r>
            <w:r/>
          </w:p>
        </w:tc>
      </w:tr>
      <w:tr>
        <w:trPr>
          <w:jc w:val="center"/>
          <w:trHeight w:val="0"/>
        </w:trPr>
        <w:tc>
          <w:tcPr>
            <w:tcW w:w="602"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6</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IPv6部署与域名/地址迁移方案</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5</w:t>
            </w:r>
            <w:r/>
          </w:p>
        </w:tc>
        <w:tc>
          <w:tcPr>
            <w:tcW w:w="7225"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评委根据投标文件对招标文件第四章“采购需求”中“IPv6部署与域名/地址迁移方案”要求的响应情况进行评审。</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（1）投标文件未符合“IPv6部署与域名/地址迁移方案”中全部条款要求的，视为不符合招标文件，本项得 0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（2）投标文件符合“IPv6部署与域名/地址迁移方案”中全部条款要求的，视为符合招标文件，本项得 3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3）经评委认定，投标文件对“IPv6部署与域名/地址迁移方案”中“IPv6部署方案”“地址与域名迁移方案”的响应内容优于招标文件要求的（前提是投标文件对“IPv6部署与域名/地址迁移方案”中除“IPv6部署方案”“地址与域名迁移方案”外其他要求响应内容符合招标文件要求），本项得 5 分。</w:t>
            </w:r>
            <w:r/>
          </w:p>
        </w:tc>
      </w:tr>
      <w:tr>
        <w:trPr>
          <w:jc w:val="center"/>
          <w:trHeight w:val="0"/>
        </w:trPr>
        <w:tc>
          <w:tcPr>
            <w:tcW w:w="602"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7</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实施方案</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5</w:t>
            </w:r>
            <w:r/>
          </w:p>
        </w:tc>
        <w:tc>
          <w:tcPr>
            <w:tcW w:w="7225"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评委根据投标文件对招标文件第四章“采购需求”中“实施方案”要求的响应情况进行评审。</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（1）投标文件未符合“实施方案”中全部条款要求的，视为不符合招标文件，本项得 0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（2）投标文件符合“实施方案”中全部条款要求的，视为符合招标文件，本项得 3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3）经评委认定，投标文件对“实施方案”中“进度管理”“人员配备管理”的响应内容优于招标文件要求的（前提是投标文件对“实施方案”中除“进度管理”“人员配备管理”外其他要求响应内容符合招标文件要求），本项得 5 分。</w:t>
            </w:r>
            <w:r/>
          </w:p>
        </w:tc>
      </w:tr>
      <w:tr>
        <w:trPr>
          <w:jc w:val="center"/>
          <w:trHeight w:val="0"/>
        </w:trPr>
        <w:tc>
          <w:tcPr>
            <w:tcW w:w="602"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8</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售后服务</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5</w:t>
            </w:r>
            <w:r/>
          </w:p>
        </w:tc>
        <w:tc>
          <w:tcPr>
            <w:tcW w:w="7225"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评委根据投标文件对招标文件第四章“采购需求”中“售后服务方案”要求的响应情况进行评审。</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（1）投标文件未符合“售后服务方案”中全部条款要求的，视为不符合招标文件，本项得 0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（2）投标文件符合“售后服务方案”中全部条款要求的，视为符合招标文件，本项得 3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3）经评委认定，投标文件对“售后服务方案”中“服务响应时效”“技术人员团队配置”的响应内容优于招标文件要求的（前提是投标文件对“售后服务方案”中除“服务响应时效”“技术人员团队配置”外其他要求响应内容符合招标文件要求），本项得 5 分。</w:t>
            </w:r>
            <w:r/>
          </w:p>
        </w:tc>
      </w:tr>
      <w:tr>
        <w:trPr>
          <w:jc w:val="center"/>
          <w:trHeight w:val="0"/>
        </w:trPr>
        <w:tc>
          <w:tcPr>
            <w:tcW w:w="602"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9</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应急预案</w:t>
            </w:r>
            <w:r/>
          </w:p>
        </w:tc>
        <w:tc>
          <w:tcPr>
            <w:tcW w:w="0" w:type="auto"/>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5</w:t>
            </w:r>
            <w:r/>
          </w:p>
        </w:tc>
        <w:tc>
          <w:tcPr>
            <w:tcW w:w="7225"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评委根据投标文件对招标文件第四章“采购需求”中“应急预案”要求的响应情况进行评审。</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（1）投标文件未符合“应急预案”中全部条款要求的，视为不符合招标文件，本项得 0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（2）投标文件符合“应急预案”中全部条款要求的，视为符合招标文件，本项得 3 分。</w:t>
            </w:r>
            <w:r/>
          </w:p>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3）经评委认定，投标文件对“应急预案”中“应急处置流程”“应急保障措施”的响应内容优于招标文件要求的（前提是投标文件对“应急预案”中除“应急处置流程”“应急保障措施”外其他要求响应内容符合招标文件要求），本项得 5 分。</w:t>
            </w:r>
            <w:r/>
          </w:p>
        </w:tc>
      </w:tr>
      <w:tr>
        <w:trPr>
          <w:jc w:val="center"/>
          <w:trHeight w:val="0"/>
        </w:trPr>
        <w:tc>
          <w:tcPr>
            <w:tcW w:w="602"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10</w:t>
            </w:r>
            <w:r/>
          </w:p>
        </w:tc>
        <w:tc>
          <w:tcPr>
            <w:tcW w:w="790"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业绩</w:t>
            </w:r>
            <w:r/>
          </w:p>
        </w:tc>
        <w:tc>
          <w:tcPr>
            <w:tcW w:w="552"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10</w:t>
            </w:r>
            <w:r/>
          </w:p>
        </w:tc>
        <w:tc>
          <w:tcPr>
            <w:tcW w:w="7225" w:type="dxa"/>
            <w:vAlign w:val="center"/>
            <w:textDirection w:val="lrTb"/>
            <w:noWrap w:val="false"/>
          </w:tcPr>
          <w:p>
            <w:pPr>
              <w:pStyle w:val="770"/>
              <w:ind w:left="0" w:right="0" w:firstLine="0"/>
              <w:jc w:val="left"/>
              <w:spacing w:before="95" w:line="240" w:lineRule="auto"/>
              <w:rPr>
                <w:rFonts w:hint="eastAsia" w:ascii="宋体" w:hAnsi="宋体" w:eastAsia="宋体" w:cs="宋体"/>
                <w:color w:val="auto"/>
                <w:spacing w:val="-1"/>
                <w:sz w:val="22"/>
                <w:szCs w:val="21"/>
                <w:lang w:eastAsia="zh-CN"/>
              </w:rPr>
            </w:pPr>
            <w:r>
              <w:rPr>
                <w:rFonts w:hint="eastAsia" w:ascii="宋体" w:hAnsi="宋体" w:eastAsia="宋体" w:cs="宋体"/>
                <w:color w:val="auto"/>
                <w:spacing w:val="-1"/>
                <w:sz w:val="22"/>
                <w:szCs w:val="21"/>
                <w:lang w:eastAsia="zh-CN"/>
              </w:rPr>
              <w:t xml:space="preserve">2023年1月1日以来网络接入服务（含教育网、互联网专线 、IDC等）业绩，每提供1个有效证明材料（合同或验收证明）得2分，最高10分</w:t>
            </w:r>
            <w:r/>
          </w:p>
        </w:tc>
      </w:tr>
    </w:tbl>
    <w:p>
      <w:pPr>
        <w:rPr>
          <w:rFonts w:hint="eastAsia"/>
        </w:rPr>
      </w:pPr>
      <w:r>
        <w:rPr>
          <w:rFonts w:hint="eastAsia"/>
        </w:rPr>
      </w:r>
      <w:r/>
    </w:p>
    <w:p>
      <w:pPr>
        <w:rPr>
          <w:rFonts w:hint="eastAsia"/>
        </w:rPr>
      </w:pPr>
      <w:r>
        <w:rPr>
          <w:rFonts w:hint="eastAsia"/>
        </w:rPr>
      </w:r>
      <w:r/>
    </w:p>
    <w:p>
      <w:pPr>
        <w:pStyle w:val="754"/>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rPr>
          <w:rFonts w:ascii="黑体" w:eastAsia="黑体"/>
          <w:bCs/>
          <w:sz w:val="44"/>
        </w:rPr>
      </w:pPr>
      <w:r>
        <w:rPr>
          <w:rFonts w:ascii="黑体" w:eastAsia="黑体"/>
          <w:bCs/>
          <w:sz w:val="44"/>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163"/>
      <w:r>
        <w:rPr>
          <w:rFonts w:hint="eastAsia" w:ascii="方正黑体_GBK" w:hAnsi="方正黑体_GBK" w:eastAsia="方正黑体_GBK" w:cs="方正黑体_GBK"/>
          <w:color w:val="000000"/>
          <w:sz w:val="28"/>
          <w:szCs w:val="28"/>
        </w:rPr>
        <w:t xml:space="preserve">文件格式 </w:t>
      </w:r>
      <w:r/>
    </w:p>
    <w:p>
      <w:pPr>
        <w:jc w:val="center"/>
        <w:rPr>
          <w:rFonts w:hint="eastAsia" w:ascii="宋体" w:hAnsi="宋体"/>
          <w:b/>
          <w:sz w:val="28"/>
          <w:szCs w:val="28"/>
        </w:rPr>
      </w:pPr>
      <w:r/>
      <w:bookmarkStart w:id="164" w:name="_Hlt26671244"/>
      <w:r/>
      <w:bookmarkEnd w:id="164"/>
      <w:r/>
      <w:bookmarkStart w:id="165" w:name="_Hlt26955039"/>
      <w:r/>
      <w:bookmarkEnd w:id="165"/>
      <w:r/>
      <w:bookmarkStart w:id="166" w:name="_Toc49090576"/>
      <w:r/>
      <w:bookmarkStart w:id="167" w:name="_Toc120614282"/>
      <w:r/>
      <w:bookmarkStart w:id="168" w:name="_Toc26554094"/>
      <w:r/>
      <w:r/>
    </w:p>
    <w:p>
      <w:pPr>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p>
    <w:p>
      <w:pPr>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投标人必须对招标文件（含技术要求和商务要求）中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w:t>
      </w:r>
      <w:r>
        <w:rPr>
          <w:rFonts w:hint="eastAsia" w:ascii="方正仿宋_GBK" w:hAnsi="方正仿宋_GBK" w:eastAsia="方正仿宋_GBK" w:cs="方正仿宋_GBK"/>
          <w:color w:val="auto"/>
          <w:sz w:val="28"/>
          <w:szCs w:val="28"/>
        </w:rPr>
        <w:t xml:space="preserve">的实质性要求逐条做出响应，并按照招标文件要求提供证明材料，否则作无效投标处理。（格式见附件12）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3.关于符合本国产品标准的声明函（</w:t>
      </w:r>
      <w:r>
        <w:rPr>
          <w:rFonts w:hint="eastAsia" w:ascii="方正仿宋_GBK" w:hAnsi="方正仿宋_GBK" w:eastAsia="方正仿宋_GBK" w:cs="方正仿宋_GBK"/>
          <w:color w:val="auto"/>
          <w:sz w:val="28"/>
          <w:szCs w:val="28"/>
        </w:rPr>
        <w:t xml:space="preserve">格式见附件</w:t>
      </w:r>
      <w:r>
        <w:rPr>
          <w:rFonts w:hint="eastAsia" w:ascii="方正仿宋_GBK" w:hAnsi="方正仿宋_GBK" w:eastAsia="方正仿宋_GBK" w:cs="方正仿宋_GBK"/>
          <w:color w:val="auto"/>
          <w:sz w:val="28"/>
          <w:szCs w:val="28"/>
          <w:lang w:val="en-US" w:eastAsia="zh-CN"/>
        </w:rPr>
        <w:t xml:space="preserve">13）</w:t>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p>
    <w:p>
      <w:pPr>
        <w:ind w:firstLine="482"/>
        <w:keepLines w:val="0"/>
        <w:keepNext w:val="0"/>
        <w:pageBreakBefore w:val="0"/>
        <w:spacing w:line="400" w:lineRule="exact"/>
        <w:widowControl w:val="off"/>
        <w:rPr>
          <w:rFonts w:hint="default"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p>
    <w:tbl>
      <w:tblPr>
        <w:tblStyle w:val="7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tcW w:w="8934" w:type="dxa"/>
            <w:vAlign w:val="center"/>
            <w:textDirection w:val="lrTb"/>
            <w:noWrap w:val="false"/>
          </w:tcPr>
          <w:p>
            <w:pPr>
              <w:pStyle w:val="767"/>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bl>
    <w:p>
      <w:pPr>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keepLines w:val="0"/>
        <w:keepNext w:val="0"/>
        <w:pageBreakBefore w:val="0"/>
        <w:spacing w:line="400" w:lineRule="exact"/>
        <w:rPr>
          <w:rFonts w:ascii="宋体" w:hAnsi="宋体"/>
          <w:sz w:val="28"/>
          <w:szCs w:val="28"/>
        </w:rPr>
      </w:pPr>
      <w:r>
        <w:rPr>
          <w:rFonts w:ascii="宋体" w:hAnsi="宋体"/>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p>
    <w:tbl>
      <w:tblPr>
        <w:tblStyle w:val="758"/>
        <w:tblW w:w="9861" w:type="dxa"/>
        <w:tblInd w:w="-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分项服务名称/</w:t>
            </w:r>
            <w:r>
              <w:rPr>
                <w:rFonts w:hint="eastAsia" w:ascii="方正仿宋_GBK" w:hAnsi="方正仿宋_GBK" w:eastAsia="方正仿宋_GBK" w:cs="方正仿宋_GBK"/>
                <w:color w:val="auto"/>
                <w:sz w:val="28"/>
                <w:szCs w:val="28"/>
                <w:lang w:eastAsia="zh-CN"/>
              </w:rPr>
              <w:t xml:space="preserve">货物</w:t>
            </w:r>
            <w:r>
              <w:rPr>
                <w:rFonts w:hint="eastAsia" w:ascii="方正仿宋_GBK" w:hAnsi="方正仿宋_GBK" w:eastAsia="方正仿宋_GBK" w:cs="方正仿宋_GBK"/>
                <w:color w:val="auto"/>
                <w:sz w:val="28"/>
                <w:szCs w:val="28"/>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交付期</w:t>
            </w:r>
            <w:r>
              <w:rPr>
                <w:rFonts w:hint="eastAsia" w:ascii="方正仿宋_GBK" w:hAnsi="方正仿宋_GBK" w:eastAsia="方正仿宋_GBK" w:cs="方正仿宋_GBK"/>
                <w:color w:val="auto"/>
                <w:sz w:val="28"/>
                <w:szCs w:val="28"/>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highlight w:val="cyan"/>
              </w:rPr>
            </w:pPr>
            <w:r>
              <w:rPr>
                <w:rFonts w:hint="eastAsia" w:ascii="方正仿宋_GBK" w:hAnsi="方正仿宋_GBK" w:eastAsia="方正仿宋_GBK" w:cs="方正仿宋_GBK"/>
                <w:color w:val="auto"/>
                <w:sz w:val="28"/>
                <w:szCs w:val="28"/>
                <w:highlight w:val="cyan"/>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合同签订后</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434"/>
        </w:trPr>
        <w:tc>
          <w:tcPr>
            <w:gridSpan w:val="10"/>
            <w:tcW w:w="9861"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u w:val="single"/>
                <w:lang w:val="en-US" w:eastAsia="zh-CN"/>
              </w:rPr>
            </w:pPr>
            <w:r>
              <w:rPr>
                <w:rFonts w:hint="eastAsia" w:ascii="方正仿宋_GBK" w:hAnsi="方正仿宋_GBK" w:eastAsia="方正仿宋_GBK" w:cs="方正仿宋_GBK"/>
                <w:color w:val="auto"/>
                <w:sz w:val="28"/>
                <w:szCs w:val="28"/>
              </w:rPr>
              <w:t xml:space="preserve">投标总报价（人民币：元）</w:t>
            </w:r>
            <w:r>
              <w:rPr>
                <w:rFonts w:hint="eastAsia" w:ascii="方正仿宋_GBK" w:hAnsi="方正仿宋_GBK" w:eastAsia="方正仿宋_GBK" w:cs="方正仿宋_GBK"/>
                <w:color w:val="auto"/>
                <w:sz w:val="28"/>
                <w:szCs w:val="28"/>
                <w:u w:val="single"/>
                <w:lang w:val="en-US" w:eastAsia="zh-CN"/>
              </w:rPr>
              <w:t xml:space="preserve">                             </w:t>
            </w:r>
            <w:r/>
          </w:p>
        </w:tc>
      </w:tr>
      <w:tr>
        <w:trPr>
          <w:cantSplit/>
          <w:trHeight w:val="757"/>
        </w:trPr>
        <w:tc>
          <w:tcPr>
            <w:gridSpan w:val="10"/>
            <w:tcW w:w="9861" w:type="dxa"/>
            <w:vAlign w:val="top"/>
            <w:textDirection w:val="lrTb"/>
            <w:noWrap w:val="false"/>
          </w:tcPr>
          <w:p>
            <w:pPr>
              <w:pStyle w:val="764"/>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highlight w:val="none"/>
                <w:lang w:eastAsia="zh-CN"/>
              </w:rPr>
              <w:t xml:space="preserve">本</w:t>
            </w:r>
            <w:r>
              <w:rPr>
                <w:rFonts w:hint="eastAsia" w:ascii="方正仿宋_GBK" w:hAnsi="方正仿宋_GBK" w:eastAsia="方正仿宋_GBK" w:cs="方正仿宋_GBK"/>
                <w:i w:val="0"/>
                <w:iCs w:val="0"/>
                <w:caps w:val="0"/>
                <w:color w:val="auto"/>
                <w:spacing w:val="0"/>
                <w:sz w:val="28"/>
                <w:szCs w:val="28"/>
                <w:highlight w:val="none"/>
              </w:rPr>
              <w:t xml:space="preserve">采购包</w:t>
            </w:r>
            <w:r>
              <w:rPr>
                <w:rFonts w:hint="eastAsia" w:ascii="方正仿宋_GBK" w:hAnsi="方正仿宋_GBK" w:eastAsia="方正仿宋_GBK" w:cs="方正仿宋_GBK"/>
                <w:i w:val="0"/>
                <w:iCs w:val="0"/>
                <w:caps w:val="0"/>
                <w:color w:val="auto"/>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auto"/>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auto"/>
                <w:spacing w:val="0"/>
                <w:sz w:val="28"/>
                <w:szCs w:val="28"/>
                <w:highlight w:val="none"/>
              </w:rPr>
              <w:t xml:space="preserve">成本之和占</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auto"/>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auto"/>
                <w:spacing w:val="0"/>
                <w:sz w:val="28"/>
                <w:szCs w:val="28"/>
                <w:highlight w:val="none"/>
              </w:rPr>
              <w:t xml:space="preserve">成本之和的比例</w:t>
            </w:r>
            <w:r>
              <w:rPr>
                <w:rFonts w:hint="eastAsia" w:ascii="方正仿宋_GBK" w:hAnsi="方正仿宋_GBK" w:eastAsia="方正仿宋_GBK" w:cs="方正仿宋_GBK"/>
                <w:i w:val="0"/>
                <w:iCs w:val="0"/>
                <w:caps w:val="0"/>
                <w:color w:val="auto"/>
                <w:spacing w:val="0"/>
                <w:sz w:val="28"/>
                <w:szCs w:val="28"/>
                <w:highlight w:val="none"/>
                <w:lang w:eastAsia="zh-CN"/>
              </w:rPr>
              <w:t xml:space="preserve">为</w:t>
            </w:r>
            <w:r>
              <w:rPr>
                <w:rFonts w:hint="eastAsia" w:ascii="方正仿宋_GBK" w:hAnsi="方正仿宋_GBK" w:eastAsia="方正仿宋_GBK" w:cs="方正仿宋_GBK"/>
                <w:color w:val="auto"/>
                <w:sz w:val="28"/>
                <w:szCs w:val="28"/>
                <w:u w:val="single"/>
                <w:lang w:val="en-US" w:eastAsia="zh-CN" w:bidi="ar-SA"/>
              </w:rPr>
              <w:t xml:space="preserve">XX</w:t>
            </w:r>
            <w:r>
              <w:rPr>
                <w:rFonts w:hint="eastAsia" w:ascii="方正仿宋_GBK" w:hAnsi="方正仿宋_GBK" w:eastAsia="方正仿宋_GBK" w:cs="方正仿宋_GBK"/>
                <w:i w:val="0"/>
                <w:iCs w:val="0"/>
                <w:caps w:val="0"/>
                <w:color w:val="auto"/>
                <w:spacing w:val="0"/>
                <w:sz w:val="28"/>
                <w:szCs w:val="28"/>
                <w:highlight w:val="none"/>
                <w:u w:val="none"/>
              </w:rPr>
              <w:t xml:space="preserve">%</w:t>
            </w:r>
            <w:r>
              <w:rPr>
                <w:rFonts w:hint="eastAsia" w:ascii="方正仿宋_GBK" w:hAnsi="方正仿宋_GBK" w:eastAsia="方正仿宋_GBK" w:cs="方正仿宋_GBK"/>
                <w:i w:val="0"/>
                <w:iCs w:val="0"/>
                <w:caps w:val="0"/>
                <w:color w:val="auto"/>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p>
    <w:p>
      <w:pPr>
        <w:ind w:firstLine="560"/>
        <w:keepLines w:val="0"/>
        <w:keepNext w:val="0"/>
        <w:pageBreakBefore w:val="0"/>
        <w:spacing w:line="400" w:lineRule="exact"/>
        <w:widowControl w:val="off"/>
        <w:rPr>
          <w:rFonts w:ascii="宋体" w:hAnsi="宋体"/>
          <w:sz w:val="28"/>
          <w:szCs w:val="28"/>
        </w:rPr>
      </w:pPr>
      <w:r>
        <w:rPr>
          <w:rFonts w:ascii="宋体" w:hAnsi="宋体"/>
          <w:sz w:val="28"/>
          <w:szCs w:val="28"/>
        </w:rPr>
      </w:r>
      <w:r/>
    </w:p>
    <w:p>
      <w:pPr>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keepLines w:val="0"/>
        <w:keepNext w:val="0"/>
        <w:pageBreakBefore w:val="0"/>
        <w:spacing w:line="400" w:lineRule="exact"/>
        <w:rPr>
          <w:rFonts w:ascii="宋体" w:hAnsi="宋体"/>
          <w:sz w:val="28"/>
          <w:szCs w:val="28"/>
        </w:rPr>
      </w:pPr>
      <w:r>
        <w:rPr>
          <w:rFonts w:hint="eastAsia" w:ascii="宋体" w:hAnsi="宋体"/>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auto"/>
          <w:sz w:val="28"/>
          <w:szCs w:val="28"/>
        </w:rPr>
        <w:t xml:space="preserve">1.投标人需对招标文件技术要求中非实质性要求（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w:t>
      </w:r>
      <w:r>
        <w:rPr>
          <w:rFonts w:hint="eastAsia" w:ascii="方正仿宋_GBK" w:hAnsi="方正仿宋_GBK" w:eastAsia="方正仿宋_GBK" w:cs="方正仿宋_GBK"/>
          <w:b/>
          <w:color w:val="auto"/>
          <w:sz w:val="28"/>
          <w:szCs w:val="28"/>
          <w:lang w:val="en-US" w:eastAsia="zh-CN"/>
        </w:rPr>
        <w:t xml:space="preserve">*</w:t>
      </w:r>
      <w:r>
        <w:rPr>
          <w:rFonts w:hint="eastAsia" w:ascii="方正仿宋_GBK" w:hAnsi="方正仿宋_GBK" w:eastAsia="方正仿宋_GBK" w:cs="方正仿宋_GBK"/>
          <w:b/>
          <w:color w:val="auto"/>
          <w:sz w:val="28"/>
          <w:szCs w:val="28"/>
        </w:rPr>
        <w:t xml:space="preserve">号条款</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29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p>
    <w:p>
      <w:pPr>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1.投标人需对招标文件商务要求中非实质性要求（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w:t>
      </w:r>
      <w:r>
        <w:rPr>
          <w:rFonts w:hint="eastAsia" w:ascii="方正仿宋_GBK" w:hAnsi="方正仿宋_GBK" w:eastAsia="方正仿宋_GBK" w:cs="方正仿宋_GBK"/>
          <w:b/>
          <w:color w:val="auto"/>
          <w:sz w:val="28"/>
          <w:szCs w:val="28"/>
          <w:lang w:val="en-US" w:eastAsia="zh-CN"/>
        </w:rPr>
        <w:t xml:space="preserve">*</w:t>
      </w:r>
      <w:r>
        <w:rPr>
          <w:rFonts w:hint="eastAsia" w:ascii="方正仿宋_GBK" w:hAnsi="方正仿宋_GBK" w:eastAsia="方正仿宋_GBK" w:cs="方正仿宋_GBK"/>
          <w:b/>
          <w:color w:val="auto"/>
          <w:sz w:val="28"/>
          <w:szCs w:val="28"/>
        </w:rPr>
        <w:t xml:space="preserve">号条款</w:t>
      </w:r>
      <w:r>
        <w:rPr>
          <w:rFonts w:hint="eastAsia" w:ascii="方正仿宋_GBK" w:hAnsi="方正仿宋_GBK" w:eastAsia="方正仿宋_GBK" w:cs="方正仿宋_GBK"/>
          <w:color w:val="auto"/>
          <w:sz w:val="28"/>
          <w:szCs w:val="28"/>
        </w:rPr>
        <w:t xml:space="preserve">）逐条做出明确响应。</w:t>
      </w:r>
      <w:r/>
    </w:p>
    <w:p>
      <w:pPr>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default"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p>
    <w:p>
      <w:pPr>
        <w:pStyle w:val="76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default" w:ascii="Times New Roman" w:hAnsi="Times New Roman" w:eastAsia="方正仿宋_GBK" w:cs="Times New Roman"/>
          <w:sz w:val="28"/>
          <w:szCs w:val="28"/>
        </w:rPr>
        <w:t xml:space="preserve">，</w:t>
      </w:r>
      <w:r>
        <w:rPr>
          <w:rFonts w:hint="default"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p>
    <w:p>
      <w:pPr>
        <w:pStyle w:val="76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p>
    <w:p>
      <w:pPr>
        <w:pStyle w:val="76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p>
    <w:p>
      <w:pPr>
        <w:pStyle w:val="76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pStyle w:val="76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pStyle w:val="76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pStyle w:val="76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pStyle w:val="76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p>
    <w:p>
      <w:pPr>
        <w:pStyle w:val="767"/>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pStyle w:val="76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pStyle w:val="76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pStyle w:val="76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pStyle w:val="76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pStyle w:val="76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pStyle w:val="767"/>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pStyle w:val="767"/>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767"/>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767"/>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767"/>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jc w:val="righ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供应商全称（加盖CA电子公章）：</w:t>
      </w:r>
      <w:r/>
    </w:p>
    <w:p>
      <w:pPr>
        <w:pStyle w:val="767"/>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r/>
    </w:p>
    <w:p>
      <w:pPr>
        <w:ind w:firstLine="560"/>
        <w:keepLines w:val="0"/>
        <w:keepNext w:val="0"/>
        <w:pageBreakBefore w:val="0"/>
        <w:spacing w:line="400" w:lineRule="exact"/>
        <w:rPr>
          <w:rFonts w:ascii="宋体" w:hAnsi="宋体"/>
          <w:sz w:val="28"/>
          <w:szCs w:val="28"/>
        </w:rPr>
      </w:pPr>
      <w:r>
        <w:rPr>
          <w:rFonts w:ascii="宋体" w:hAnsi="宋体"/>
          <w:sz w:val="28"/>
          <w:szCs w:val="28"/>
        </w:rPr>
      </w:r>
      <w:bookmarkEnd w:id="166"/>
      <w:bookmarkEnd w:id="167"/>
      <w:bookmarkEnd w:id="168"/>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Start w:id="169"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hint="default"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期：___年___月___日 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hint="default" w:ascii="Times New Roman" w:hAnsi="Times New Roman" w:eastAsia="方正仿宋_GBK" w:cs="Times New Roman"/>
          <w:color w:val="000000"/>
          <w:sz w:val="28"/>
          <w:szCs w:val="28"/>
        </w:rPr>
        <w:t xml:space="preserve">JSZC-320000-</w:t>
      </w:r>
      <w:r>
        <w:rPr>
          <w:rFonts w:hint="default"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p>
    <w:tbl>
      <w:tblPr>
        <w:tblStyle w:val="7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w:t>
            </w:r>
            <w:r>
              <w:rPr>
                <w:rFonts w:hint="eastAsia" w:ascii="方正仿宋_GBK" w:hAnsi="方正仿宋_GBK" w:eastAsia="方正仿宋_GBK" w:cs="方正仿宋_GBK"/>
                <w:b/>
                <w:bCs/>
                <w:color w:val="auto"/>
                <w:sz w:val="28"/>
                <w:szCs w:val="28"/>
                <w:lang w:eastAsia="zh-CN"/>
              </w:rPr>
              <w:t xml:space="preserve">加*号条款</w:t>
            </w:r>
            <w:r>
              <w:rPr>
                <w:rFonts w:hint="eastAsia" w:ascii="方正仿宋_GBK" w:hAnsi="方正仿宋_GBK" w:eastAsia="方正仿宋_GBK" w:cs="方正仿宋_GBK"/>
                <w:b/>
                <w:bCs/>
                <w:color w:val="auto"/>
                <w:sz w:val="28"/>
                <w:szCs w:val="28"/>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1.投标人必须对招标文件（含技术要求和商务要求）中的实质性要求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w:t>
      </w:r>
      <w:r>
        <w:rPr>
          <w:rFonts w:hint="eastAsia" w:ascii="方正仿宋_GBK" w:hAnsi="方正仿宋_GBK" w:eastAsia="方正仿宋_GBK" w:cs="方正仿宋_GBK"/>
          <w:b/>
          <w:bCs/>
          <w:color w:val="auto"/>
          <w:sz w:val="28"/>
          <w:szCs w:val="28"/>
          <w:lang w:eastAsia="zh-CN"/>
        </w:rPr>
        <w:t xml:space="preserve">加*号条款</w:t>
      </w:r>
      <w:r>
        <w:rPr>
          <w:rFonts w:hint="eastAsia" w:ascii="方正仿宋_GBK" w:hAnsi="方正仿宋_GBK" w:eastAsia="方正仿宋_GBK" w:cs="方正仿宋_GBK"/>
          <w:b/>
          <w:bCs/>
          <w:color w:val="auto"/>
          <w:sz w:val="28"/>
          <w:szCs w:val="28"/>
        </w:rPr>
        <w:t xml:space="preserve">为实质性要求）</w:t>
      </w:r>
      <w:r>
        <w:rPr>
          <w:rFonts w:hint="eastAsia" w:ascii="方正仿宋_GBK" w:hAnsi="方正仿宋_GBK" w:eastAsia="方正仿宋_GBK" w:cs="方正仿宋_GBK"/>
          <w:color w:val="auto"/>
          <w:sz w:val="28"/>
          <w:szCs w:val="28"/>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jc w:val="center"/>
        <w:keepLines w:val="0"/>
        <w:keepNext w:val="0"/>
        <w:pageBreakBefore w:val="0"/>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p>
    <w:p>
      <w:pPr>
        <w:pStyle w:val="764"/>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（产品名称1）</w:t>
      </w:r>
      <w:r>
        <w:rPr>
          <w:rStyle w:val="766"/>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Style w:val="766"/>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76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2</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76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p>
    <w:p>
      <w:pPr>
        <w:pStyle w:val="76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本公司（单位）对上述声明内容的真实性负责。如有虚假，愿承担相应法律责任。</w:t>
      </w:r>
      <w:r/>
    </w:p>
    <w:p>
      <w:pPr>
        <w:pStyle w:val="764"/>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rPr>
      </w:r>
      <w:r/>
    </w:p>
    <w:p>
      <w:pPr>
        <w:pStyle w:val="764"/>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auto"/>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p>
    <w:p>
      <w:pPr>
        <w:pStyle w:val="764"/>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日期：</w:t>
      </w:r>
      <w:r>
        <w:rPr>
          <w:rFonts w:hint="eastAsia" w:ascii="方正仿宋_GBK" w:hAnsi="方正仿宋_GBK" w:eastAsia="方正仿宋_GBK" w:cs="方正仿宋_GBK"/>
          <w:color w:val="auto"/>
          <w:sz w:val="28"/>
          <w:szCs w:val="28"/>
        </w:rPr>
        <w:t xml:space="preserve">___年____月____日</w:t>
      </w: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p>
    <w:p>
      <w:pPr>
        <w:pStyle w:val="764"/>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__________________</w:t>
      </w:r>
      <w:r/>
    </w:p>
    <w:p>
      <w:pPr>
        <w:pStyle w:val="76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1.产品如有型号，请在“产品名称”栏一并填写。</w:t>
      </w:r>
      <w:r/>
    </w:p>
    <w:p>
      <w:pPr>
        <w:pStyle w:val="76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2.生产厂名与厂址应与生产厂营业执照载明的相关信息保持一致。</w:t>
      </w:r>
      <w:r/>
    </w:p>
    <w:p>
      <w:pPr>
        <w:pStyle w:val="76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3.该产品的中国境内生产的组件成本占比相关要求实施前，“规定比例”栏可不填，下同。</w:t>
      </w:r>
      <w:r/>
    </w:p>
    <w:p>
      <w:pPr>
        <w:pStyle w:val="76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4.该产品的关键组件要求实施前，“关键组件”栏可不填，下同。</w:t>
      </w:r>
      <w:r/>
    </w:p>
    <w:p>
      <w:pPr>
        <w:pStyle w:val="76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5.该产品的关键工序要求实施前，“关键工序”栏可不填，下同。</w:t>
      </w:r>
      <w:r/>
    </w:p>
    <w:p>
      <w:pPr>
        <w:pStyle w:val="76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766"/>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”的地方无需填写。</w:t>
      </w:r>
      <w:r/>
    </w:p>
    <w:p>
      <w:pPr>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jc w:val="left"/>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附件X</w:t>
      </w:r>
      <w:r>
        <w:rPr>
          <w:rFonts w:hint="eastAsia" w:ascii="黑体" w:hAnsi="黑体" w:eastAsia="黑体"/>
          <w:b/>
          <w:color w:val="000000"/>
          <w:sz w:val="28"/>
          <w:szCs w:val="28"/>
          <w:lang w:val="en-US" w:eastAsia="zh-CN"/>
        </w:rPr>
        <w:t xml:space="preserve">14</w:t>
      </w:r>
      <w:r/>
    </w:p>
    <w:p>
      <w:pPr>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t xml:space="preserve"> </w:t>
      </w:r>
      <w:r/>
    </w:p>
    <w:p>
      <w:pPr>
        <w:pStyle w:val="764"/>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提供服务的人员均为订立劳动合同的从业人员的书面声明</w:t>
      </w:r>
      <w:r/>
    </w:p>
    <w:p>
      <w:pPr>
        <w:pStyle w:val="764"/>
        <w:ind w:right="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（采购包号：XX）</w:t>
      </w:r>
      <w:r/>
    </w:p>
    <w:p>
      <w:pPr>
        <w:pStyle w:val="76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方正仿宋_GBK" w:hAnsi="方正仿宋_GBK" w:eastAsia="方正仿宋_GBK" w:cs="方正仿宋_GBK"/>
          <w:i w:val="0"/>
          <w:iCs w:val="0"/>
          <w:caps w:val="0"/>
          <w:color w:val="auto"/>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w:t>
      </w:r>
      <w:r>
        <w:rPr>
          <w:rFonts w:hint="eastAsia" w:ascii="方正仿宋_GBK" w:hAnsi="方正仿宋_GBK" w:eastAsia="方正仿宋_GBK" w:cs="方正仿宋_GBK"/>
          <w:i w:val="0"/>
          <w:iCs w:val="0"/>
          <w:caps w:val="0"/>
          <w:color w:val="auto"/>
          <w:spacing w:val="0"/>
          <w:sz w:val="28"/>
          <w:szCs w:val="28"/>
          <w:shd w:val="clear" w:color="auto" w:fill="ffffff"/>
        </w:rPr>
        <w:t xml:space="preserve">《政府采购促进中小企业发展管理办法》第四条规定</w:t>
      </w:r>
      <w:r>
        <w:rPr>
          <w:rFonts w:hint="default" w:ascii="方正仿宋_GBK" w:hAnsi="方正仿宋_GBK" w:eastAsia="方正仿宋_GBK" w:cs="方正仿宋_GBK"/>
          <w:i w:val="0"/>
          <w:iCs w:val="0"/>
          <w:caps w:val="0"/>
          <w:color w:val="auto"/>
          <w:spacing w:val="0"/>
          <w:sz w:val="28"/>
          <w:szCs w:val="28"/>
          <w:shd w:val="clear" w:color="auto" w:fill="ffffff"/>
        </w:rPr>
        <w:t xml:space="preserve">，本企业（本联合体，如项目采购包接受联合体参加的）郑重声明：如服务由本企业（本联合体，如项目采购包接受联合体参加的）承接，为本项目采购包提供服务的人员均为</w:t>
      </w:r>
      <w:r>
        <w:rPr>
          <w:rFonts w:hint="eastAsia" w:ascii="方正仿宋_GBK" w:hAnsi="方正仿宋_GBK" w:eastAsia="方正仿宋_GBK" w:cs="方正仿宋_GBK"/>
          <w:i w:val="0"/>
          <w:iCs w:val="0"/>
          <w:caps w:val="0"/>
          <w:color w:val="auto"/>
          <w:spacing w:val="0"/>
          <w:sz w:val="28"/>
          <w:szCs w:val="28"/>
          <w:shd w:val="clear" w:color="auto" w:fill="ffffff"/>
        </w:rPr>
        <w:t xml:space="preserve">依照《中华人民共和国劳动合同法》订立劳动合同的从业人员。</w:t>
      </w:r>
      <w:r/>
    </w:p>
    <w:p>
      <w:pPr>
        <w:pStyle w:val="764"/>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default" w:ascii="方正仿宋_GBK" w:hAnsi="方正仿宋_GBK" w:eastAsia="方正仿宋_GBK" w:cs="方正仿宋_GBK"/>
          <w:i w:val="0"/>
          <w:iCs w:val="0"/>
          <w:caps w:val="0"/>
          <w:color w:val="auto"/>
          <w:spacing w:val="0"/>
          <w:sz w:val="28"/>
          <w:szCs w:val="28"/>
          <w:shd w:val="clear" w:color="auto" w:fill="ffffff"/>
        </w:rPr>
        <w:t xml:space="preserve">本企业（联合体）对上述声明的真实性负责。如有虚假，将依法承担相应责任。</w:t>
      </w:r>
      <w:r/>
    </w:p>
    <w:p>
      <w:pPr>
        <w:pStyle w:val="764"/>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p>
    <w:p>
      <w:pPr>
        <w:pStyle w:val="764"/>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b/>
          <w:bCs/>
          <w:i w:val="0"/>
          <w:iCs w:val="0"/>
          <w:caps w:val="0"/>
          <w:color w:val="auto"/>
          <w:spacing w:val="0"/>
          <w:sz w:val="28"/>
          <w:szCs w:val="28"/>
          <w:shd w:val="clear" w:color="auto" w:fill="ffffff"/>
        </w:rPr>
        <w:t xml:space="preserve">注：专门面向中小微型企业采购的采购项目采购包，投标人（供应商）未提供该书面声明的，投标（响应）无效。</w:t>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keepLines w:val="0"/>
        <w:keepNext w:val="0"/>
        <w:pageBreakBefore w:val="0"/>
        <w:spacing w:line="400" w:lineRule="exact"/>
        <w:rPr>
          <w:rFonts w:hint="eastAsia"/>
          <w:sz w:val="28"/>
          <w:szCs w:val="28"/>
        </w:rPr>
      </w:pPr>
      <w:r>
        <w:rPr>
          <w:rFonts w:hint="eastAsia"/>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bookmarkEnd w:id="159"/>
      <w:bookmarkEnd w:id="160"/>
      <w:bookmarkEnd w:id="169"/>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质疑函范本</w:t>
      </w:r>
      <w:r/>
    </w:p>
    <w:p>
      <w:pPr>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59"/>
        <w:keepLines w:val="0"/>
        <w:keepNext w:val="0"/>
        <w:pageBreakBefore w:val="0"/>
        <w:spacing w:line="400" w:lineRule="exact"/>
        <w:rPr>
          <w:rFonts w:hint="eastAsia"/>
          <w:sz w:val="28"/>
          <w:szCs w:val="28"/>
        </w:rPr>
      </w:pPr>
      <w:r>
        <w:rPr>
          <w:rFonts w:hint="eastAsia"/>
          <w:sz w:val="28"/>
          <w:szCs w:val="28"/>
        </w:rPr>
      </w:r>
      <w:r/>
    </w:p>
    <w:p>
      <w:pPr>
        <w:pStyle w:val="759"/>
        <w:rPr>
          <w:sz w:val="24"/>
          <w:szCs w:val="24"/>
        </w:rPr>
      </w:pPr>
      <w:r>
        <w:rPr>
          <w:sz w:val="24"/>
          <w:szCs w:val="24"/>
        </w:rPr>
      </w:r>
      <w:r/>
    </w:p>
    <w:p>
      <w:r/>
      <w:r/>
    </w:p>
    <w:p>
      <w:r/>
      <w:r/>
    </w:p>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方正仿宋_GBK">
    <w:panose1 w:val="020B0503020202020204"/>
  </w:font>
  <w:font w:name="方正黑体_GBK">
    <w:panose1 w:val="020B0503020202020204"/>
  </w:font>
  <w:font w:name="Symbol">
    <w:panose1 w:val="05050102010706020507"/>
  </w:font>
  <w:font w:name="Wingdings">
    <w:panose1 w:val="05000000000000000000"/>
  </w:font>
  <w:font w:name="Courier New">
    <w:panose1 w:val="02070309020205020404"/>
  </w:font>
  <w:font w:name="黑体">
    <w:panose1 w:val="02010609060101010101"/>
  </w:font>
  <w:font w:name="幼圆">
    <w:panose1 w:val="02010509060101010101"/>
  </w:font>
  <w:font w:name="楷体_GB2312">
    <w:panose1 w:val="020106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rPr>
        <w:rStyle w:val="765"/>
      </w:rPr>
      <w:framePr w:wrap="around" w:vAnchor="text" w:hAnchor="margin" w:xAlign="center" w:y="1"/>
    </w:pPr>
    <w:r>
      <w:fldChar w:fldCharType="begin"/>
    </w:r>
    <w:r>
      <w:rPr>
        <w:rStyle w:val="765"/>
      </w:rPr>
      <w:instrText xml:space="preserve">PAGE  </w:instrText>
    </w:r>
    <w:r>
      <w:fldChar w:fldCharType="separate"/>
    </w:r>
    <w:r>
      <w:rPr>
        <w:rStyle w:val="765"/>
      </w:rPr>
      <w:t xml:space="preserve">1</w:t>
    </w:r>
    <w:r>
      <w:fldChar w:fldCharType="end"/>
    </w:r>
    <w:r/>
  </w:p>
  <w:p>
    <w:pPr>
      <w:pStyle w:val="7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wrap="none" lIns="0" tIns="0" rIns="0" bIns="0" upright="0">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7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7"/>
    <w:link w:val="754"/>
    <w:uiPriority w:val="9"/>
    <w:rPr>
      <w:rFonts w:ascii="Arial" w:hAnsi="Arial" w:eastAsia="Arial" w:cs="Arial"/>
      <w:sz w:val="40"/>
      <w:szCs w:val="40"/>
    </w:rPr>
  </w:style>
  <w:style w:type="character" w:styleId="15">
    <w:name w:val="Heading 2 Char"/>
    <w:basedOn w:val="757"/>
    <w:link w:val="755"/>
    <w:uiPriority w:val="9"/>
    <w:rPr>
      <w:rFonts w:ascii="Arial" w:hAnsi="Arial" w:eastAsia="Arial" w:cs="Arial"/>
      <w:sz w:val="34"/>
    </w:rPr>
  </w:style>
  <w:style w:type="paragraph" w:styleId="16">
    <w:name w:val="Heading 3"/>
    <w:basedOn w:val="753"/>
    <w:next w:val="7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57"/>
    <w:link w:val="16"/>
    <w:uiPriority w:val="9"/>
    <w:rPr>
      <w:rFonts w:ascii="Arial" w:hAnsi="Arial" w:eastAsia="Arial" w:cs="Arial"/>
      <w:sz w:val="30"/>
      <w:szCs w:val="30"/>
    </w:rPr>
  </w:style>
  <w:style w:type="character" w:styleId="19">
    <w:name w:val="Heading 4 Char"/>
    <w:basedOn w:val="757"/>
    <w:link w:val="756"/>
    <w:uiPriority w:val="9"/>
    <w:rPr>
      <w:rFonts w:ascii="Arial" w:hAnsi="Arial" w:eastAsia="Arial" w:cs="Arial"/>
      <w:b/>
      <w:bCs/>
      <w:sz w:val="26"/>
      <w:szCs w:val="26"/>
    </w:rPr>
  </w:style>
  <w:style w:type="paragraph" w:styleId="20">
    <w:name w:val="Heading 5"/>
    <w:basedOn w:val="753"/>
    <w:next w:val="7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57"/>
    <w:link w:val="20"/>
    <w:uiPriority w:val="9"/>
    <w:rPr>
      <w:rFonts w:ascii="Arial" w:hAnsi="Arial" w:eastAsia="Arial" w:cs="Arial"/>
      <w:b/>
      <w:bCs/>
      <w:sz w:val="24"/>
      <w:szCs w:val="24"/>
    </w:rPr>
  </w:style>
  <w:style w:type="paragraph" w:styleId="22">
    <w:name w:val="Heading 6"/>
    <w:basedOn w:val="753"/>
    <w:next w:val="7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7"/>
    <w:link w:val="22"/>
    <w:uiPriority w:val="9"/>
    <w:rPr>
      <w:rFonts w:ascii="Arial" w:hAnsi="Arial" w:eastAsia="Arial" w:cs="Arial"/>
      <w:b/>
      <w:bCs/>
      <w:sz w:val="22"/>
      <w:szCs w:val="22"/>
    </w:rPr>
  </w:style>
  <w:style w:type="paragraph" w:styleId="24">
    <w:name w:val="Heading 7"/>
    <w:basedOn w:val="753"/>
    <w:next w:val="7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7"/>
    <w:link w:val="24"/>
    <w:uiPriority w:val="9"/>
    <w:rPr>
      <w:rFonts w:ascii="Arial" w:hAnsi="Arial" w:eastAsia="Arial" w:cs="Arial"/>
      <w:b/>
      <w:bCs/>
      <w:i/>
      <w:iCs/>
      <w:sz w:val="22"/>
      <w:szCs w:val="22"/>
    </w:rPr>
  </w:style>
  <w:style w:type="paragraph" w:styleId="26">
    <w:name w:val="Heading 8"/>
    <w:basedOn w:val="753"/>
    <w:next w:val="7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7"/>
    <w:link w:val="26"/>
    <w:uiPriority w:val="9"/>
    <w:rPr>
      <w:rFonts w:ascii="Arial" w:hAnsi="Arial" w:eastAsia="Arial" w:cs="Arial"/>
      <w:i/>
      <w:iCs/>
      <w:sz w:val="22"/>
      <w:szCs w:val="22"/>
    </w:rPr>
  </w:style>
  <w:style w:type="paragraph" w:styleId="28">
    <w:name w:val="Heading 9"/>
    <w:basedOn w:val="753"/>
    <w:next w:val="7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7"/>
    <w:link w:val="28"/>
    <w:uiPriority w:val="9"/>
    <w:rPr>
      <w:rFonts w:ascii="Arial" w:hAnsi="Arial" w:eastAsia="Arial" w:cs="Arial"/>
      <w:i/>
      <w:iCs/>
      <w:sz w:val="21"/>
      <w:szCs w:val="21"/>
    </w:rPr>
  </w:style>
  <w:style w:type="paragraph" w:styleId="30">
    <w:name w:val="List Paragraph"/>
    <w:basedOn w:val="753"/>
    <w:uiPriority w:val="34"/>
    <w:qFormat/>
    <w:pPr>
      <w:contextualSpacing/>
      <w:ind w:left="720"/>
    </w:p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757"/>
    <w:link w:val="33"/>
    <w:uiPriority w:val="10"/>
    <w:rPr>
      <w:sz w:val="48"/>
      <w:szCs w:val="48"/>
    </w:rPr>
  </w:style>
  <w:style w:type="paragraph" w:styleId="35">
    <w:name w:val="Subtitle"/>
    <w:basedOn w:val="753"/>
    <w:next w:val="753"/>
    <w:link w:val="36"/>
    <w:uiPriority w:val="11"/>
    <w:qFormat/>
    <w:pPr>
      <w:spacing w:before="200" w:after="200"/>
    </w:pPr>
    <w:rPr>
      <w:sz w:val="24"/>
      <w:szCs w:val="24"/>
    </w:rPr>
  </w:style>
  <w:style w:type="character" w:styleId="36">
    <w:name w:val="Subtitle Char"/>
    <w:basedOn w:val="757"/>
    <w:link w:val="35"/>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7"/>
    <w:link w:val="763"/>
    <w:uiPriority w:val="99"/>
  </w:style>
  <w:style w:type="character" w:styleId="44">
    <w:name w:val="Footer Char"/>
    <w:basedOn w:val="757"/>
    <w:link w:val="762"/>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762"/>
    <w:uiPriority w:val="99"/>
  </w:style>
  <w:style w:type="table" w:styleId="47">
    <w:name w:val="Table Grid"/>
    <w:basedOn w:val="75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7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7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7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7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7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7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7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7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7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7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7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7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7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7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7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7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7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7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7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7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7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7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7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7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7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7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7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7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7"/>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7"/>
    <w:uiPriority w:val="99"/>
    <w:semiHidden/>
    <w:unhideWhenUsed/>
    <w:rPr>
      <w:vertAlign w:val="superscript"/>
    </w:rPr>
  </w:style>
  <w:style w:type="paragraph" w:styleId="180">
    <w:name w:val="toc 1"/>
    <w:basedOn w:val="753"/>
    <w:next w:val="753"/>
    <w:uiPriority w:val="39"/>
    <w:unhideWhenUsed/>
    <w:pPr>
      <w:ind w:left="0" w:right="0" w:firstLine="0"/>
      <w:spacing w:after="57"/>
    </w:pPr>
  </w:style>
  <w:style w:type="paragraph" w:styleId="181">
    <w:name w:val="toc 2"/>
    <w:basedOn w:val="753"/>
    <w:next w:val="753"/>
    <w:uiPriority w:val="39"/>
    <w:unhideWhenUsed/>
    <w:pPr>
      <w:ind w:left="283" w:right="0" w:firstLine="0"/>
      <w:spacing w:after="57"/>
    </w:pPr>
  </w:style>
  <w:style w:type="paragraph" w:styleId="182">
    <w:name w:val="toc 3"/>
    <w:basedOn w:val="753"/>
    <w:next w:val="753"/>
    <w:uiPriority w:val="39"/>
    <w:unhideWhenUsed/>
    <w:pPr>
      <w:ind w:left="567" w:right="0" w:firstLine="0"/>
      <w:spacing w:after="57"/>
    </w:p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54">
    <w:name w:val="Heading 1"/>
    <w:basedOn w:val="753"/>
    <w:next w:val="753"/>
    <w:uiPriority w:val="0"/>
    <w:qFormat/>
    <w:pPr>
      <w:jc w:val="center"/>
      <w:keepNext/>
      <w:outlineLvl w:val="0"/>
    </w:pPr>
    <w:rPr>
      <w:rFonts w:ascii="楷体_GB2312" w:eastAsia="楷体_GB2312"/>
      <w:sz w:val="28"/>
      <w:szCs w:val="28"/>
    </w:rPr>
  </w:style>
  <w:style w:type="paragraph" w:styleId="755">
    <w:name w:val="Heading 2"/>
    <w:basedOn w:val="753"/>
    <w:next w:val="75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6">
    <w:name w:val="Heading 4"/>
    <w:basedOn w:val="753"/>
    <w:next w:val="759"/>
    <w:uiPriority w:val="0"/>
    <w:qFormat/>
    <w:pPr>
      <w:keepLines/>
      <w:keepNext/>
      <w:spacing w:before="280" w:after="290" w:line="376" w:lineRule="auto"/>
      <w:outlineLvl w:val="3"/>
    </w:pPr>
    <w:rPr>
      <w:rFonts w:ascii="Arial" w:hAnsi="Arial" w:eastAsia="黑体" w:cs="Arial"/>
      <w:b/>
      <w:bCs/>
      <w:sz w:val="28"/>
      <w:szCs w:val="28"/>
    </w:rPr>
  </w:style>
  <w:style w:type="character" w:styleId="757" w:default="1">
    <w:name w:val="Default Paragraph Font"/>
    <w:uiPriority w:val="0"/>
    <w:semiHidden/>
  </w:style>
  <w:style w:type="table" w:styleId="758" w:default="1">
    <w:name w:val="Normal Table"/>
    <w:uiPriority w:val="0"/>
    <w:semiHidden/>
    <w:tblPr>
      <w:tblCellMar>
        <w:left w:w="108" w:type="dxa"/>
        <w:top w:w="0" w:type="dxa"/>
        <w:right w:w="108" w:type="dxa"/>
        <w:bottom w:w="0" w:type="dxa"/>
      </w:tblCellMar>
    </w:tblPr>
  </w:style>
  <w:style w:type="paragraph" w:styleId="759">
    <w:name w:val="Normal Indent"/>
    <w:basedOn w:val="753"/>
    <w:uiPriority w:val="0"/>
    <w:qFormat/>
    <w:pPr>
      <w:ind w:firstLine="420"/>
    </w:pPr>
  </w:style>
  <w:style w:type="paragraph" w:styleId="760">
    <w:name w:val="Body Text"/>
    <w:basedOn w:val="753"/>
    <w:uiPriority w:val="0"/>
    <w:qFormat/>
    <w:rPr>
      <w:rFonts w:ascii="楷体_GB2312" w:hAnsi="Arial" w:eastAsia="楷体_GB2312"/>
      <w:sz w:val="28"/>
      <w:szCs w:val="28"/>
    </w:rPr>
  </w:style>
  <w:style w:type="paragraph" w:styleId="761">
    <w:name w:val="Plain Text"/>
    <w:basedOn w:val="753"/>
    <w:uiPriority w:val="0"/>
    <w:qFormat/>
    <w:rPr>
      <w:rFonts w:ascii="宋体" w:hAnsi="Courier New" w:cs="Courier New"/>
    </w:rPr>
  </w:style>
  <w:style w:type="paragraph" w:styleId="762">
    <w:name w:val="Footer"/>
    <w:basedOn w:val="753"/>
    <w:uiPriority w:val="99"/>
    <w:qFormat/>
    <w:pPr>
      <w:jc w:val="left"/>
      <w:tabs>
        <w:tab w:val="center" w:pos="4153" w:leader="none"/>
        <w:tab w:val="right" w:pos="8306" w:leader="none"/>
      </w:tabs>
    </w:pPr>
    <w:rPr>
      <w:sz w:val="18"/>
      <w:szCs w:val="18"/>
    </w:rPr>
  </w:style>
  <w:style w:type="paragraph" w:styleId="763">
    <w:name w:val="Header"/>
    <w:basedOn w:val="753"/>
    <w:uiPriority w:val="0"/>
    <w:qFormat/>
    <w:pPr>
      <w:jc w:val="center"/>
      <w:tabs>
        <w:tab w:val="center" w:pos="4153" w:leader="none"/>
        <w:tab w:val="right" w:pos="8306" w:leader="none"/>
      </w:tabs>
      <w:pBdr>
        <w:bottom w:val="single" w:color="auto" w:sz="6" w:space="1"/>
      </w:pBdr>
    </w:pPr>
    <w:rPr>
      <w:sz w:val="18"/>
      <w:szCs w:val="18"/>
    </w:rPr>
  </w:style>
  <w:style w:type="paragraph" w:styleId="764">
    <w:name w:val="Normal (Web)"/>
    <w:basedOn w:val="753"/>
    <w:uiPriority w:val="99"/>
    <w:pPr>
      <w:jc w:val="left"/>
      <w:spacing w:before="100" w:beforeAutospacing="1" w:after="100" w:afterAutospacing="1"/>
      <w:widowControl/>
    </w:pPr>
    <w:rPr>
      <w:rFonts w:ascii="宋体" w:hAnsi="宋体" w:cs="宋体"/>
      <w:sz w:val="24"/>
      <w:szCs w:val="24"/>
    </w:rPr>
  </w:style>
  <w:style w:type="character" w:styleId="765">
    <w:name w:val="page number"/>
    <w:uiPriority w:val="0"/>
    <w:qFormat/>
  </w:style>
  <w:style w:type="character" w:styleId="766">
    <w:name w:val="Emphasis"/>
    <w:basedOn w:val="757"/>
    <w:uiPriority w:val="0"/>
    <w:qFormat/>
    <w:rPr>
      <w:i/>
    </w:rPr>
  </w:style>
  <w:style w:type="paragraph" w:styleId="767" w:customStyle="1">
    <w:name w:val="普通正文"/>
    <w:basedOn w:val="753"/>
    <w:uiPriority w:val="0"/>
    <w:qFormat/>
    <w:pPr>
      <w:ind w:firstLine="480"/>
      <w:jc w:val="left"/>
      <w:spacing w:before="120" w:after="120" w:line="360" w:lineRule="auto"/>
    </w:pPr>
    <w:rPr>
      <w:rFonts w:ascii="Arial" w:hAnsi="Arial"/>
      <w:sz w:val="24"/>
      <w:szCs w:val="24"/>
    </w:rPr>
  </w:style>
  <w:style w:type="paragraph" w:styleId="768">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769" w:customStyle="1">
    <w:name w:val="Table Normal"/>
    <w:uiPriority w:val="0"/>
    <w:unhideWhenUsed/>
    <w:qFormat/>
    <w:tblPr>
      <w:tblCellMar>
        <w:left w:w="0" w:type="dxa"/>
        <w:top w:w="0" w:type="dxa"/>
        <w:right w:w="0" w:type="dxa"/>
        <w:bottom w:w="0" w:type="dxa"/>
      </w:tblCellMar>
    </w:tblPr>
  </w:style>
  <w:style w:type="paragraph" w:styleId="770" w:customStyle="1">
    <w:name w:val="Table Text"/>
    <w:basedOn w:val="753"/>
    <w:uiPriority w:val="0"/>
    <w:semiHidden/>
    <w:qFormat/>
    <w:rPr>
      <w:rFonts w:ascii="宋体" w:hAnsi="宋体" w:eastAsia="宋体" w:cs="宋体"/>
      <w:sz w:val="18"/>
      <w:szCs w:val="18"/>
    </w:rPr>
  </w:style>
  <w:style w:type="numbering" w:styleId="81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dc:creator>
  <cp:lastModifiedBy>时富荣</cp:lastModifiedBy>
  <cp:revision>1</cp:revision>
  <dcterms:created xsi:type="dcterms:W3CDTF">2026-10-22T01:21:57Z</dcterms:created>
  <dcterms:modified xsi:type="dcterms:W3CDTF">2026-10-29T00:48:45Z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eyJoZGlkIjoiNjczYzBkODdiODg3MzliMTg5YmZmNWRhY2ZiNWNhMDUiLCJ1c2VySWQiOiIxNTU2Mjc3MzAzIn0=</vt:lpwstr>
  </property>
  <property fmtid="{D5CDD505-2E9C-101B-9397-08002B2CF9AE}" pid="4" name="ICV">
    <vt:lpwstr>FC3F995686BE4EE6889A20DA53B311E0_12</vt:lpwstr>
  </property>
</Properties>
</file>