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29"/>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29"/>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29"/>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29"/>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29"/>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rPr>
          <w:rFonts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00"/>
          <w:szCs w:val="100"/>
          <w14:textFill>
            <w14:solidFill>
              <w14:schemeClr w14:val="tx1"/>
            </w14:solidFill>
          </w14:textFill>
        </w:rPr>
        <w:t xml:space="preserve">竞争性磋商文件</w:t>
      </w:r>
      <w:r/>
    </w:p>
    <w:p>
      <w:pPr>
        <w:pStyle w:val="93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39"/>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29"/>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pStyle w:val="92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643"/>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ind w:firstLine="32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806"/>
        <w:spacing w:line="360" w:lineRule="auto"/>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highlight w:val="none"/>
          <w14:textFill>
            <w14:solidFill>
              <w14:schemeClr w14:val="tx1"/>
            </w14:solidFill>
          </w14:textFill>
        </w:rPr>
        <w:t xml:space="preserve">：</w:t>
      </w:r>
      <w:r>
        <w:rPr>
          <w:rFonts w:hint="eastAsia" w:ascii="宋体" w:hAnsi="宋体" w:cs="宋体"/>
          <w:color w:val="000000" w:themeColor="text1"/>
          <w:sz w:val="32"/>
          <w:szCs w:val="32"/>
          <w:highlight w:val="none"/>
          <w:lang w:eastAsia="zh-CN"/>
          <w14:textFill>
            <w14:solidFill>
              <w14:schemeClr w14:val="tx1"/>
            </w14:solidFill>
          </w14:textFill>
        </w:rPr>
        <w:t xml:space="preserve">JSZC-320324-CXGC-C2026-0007</w:t>
      </w:r>
      <w:r/>
    </w:p>
    <w:p>
      <w:pPr>
        <w:ind w:left="1919" w:hanging="160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left="791" w:hanging="153"/>
        <w:spacing w:line="360" w:lineRule="auto"/>
        <w:rPr>
          <w:rFonts w:hint="default" w:ascii="宋体" w:hAnsi="宋体" w:eastAsia="宋体" w:cs="宋体"/>
          <w:color w:val="c00000"/>
          <w:sz w:val="32"/>
          <w:szCs w:val="32"/>
          <w:lang w:val="en-US"/>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ascii="宋体" w:hAnsi="宋体" w:cs="宋体"/>
          <w:color w:val="auto"/>
          <w:sz w:val="32"/>
          <w:szCs w:val="32"/>
          <w:lang w:eastAsia="zh-CN"/>
        </w:rPr>
        <w:t xml:space="preserve">2025年度睢宁县第二轮土地承包到期后再延长30年试点项目</w:t>
      </w:r>
      <w:r/>
    </w:p>
    <w:p>
      <w:pPr>
        <w:ind w:firstLine="32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806"/>
        <w:spacing w:line="360" w:lineRule="auto"/>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睢宁县农业农村局</w:t>
      </w:r>
      <w:r/>
    </w:p>
    <w:p>
      <w:pPr>
        <w:pStyle w:val="939"/>
        <w:ind w:left="0"/>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ind w:right="-159"/>
        <w:jc w:val="center"/>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ind w:right="-159" w:firstLine="2112"/>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jc w:val="center"/>
        <w:spacing w:line="360" w:lineRule="auto"/>
        <w:rPr>
          <w:rFonts w:hint="eastAsia" w:ascii="宋体" w:hAnsi="宋体" w:eastAsia="宋体" w:cs="宋体"/>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采购代理机构：</w:t>
      </w:r>
      <w:r>
        <w:rPr>
          <w:rFonts w:hint="eastAsia" w:ascii="宋体" w:hAnsi="宋体" w:cs="宋体"/>
          <w:color w:val="000000" w:themeColor="text1"/>
          <w:sz w:val="30"/>
          <w:lang w:eastAsia="zh-CN"/>
          <w14:textFill>
            <w14:solidFill>
              <w14:schemeClr w14:val="tx1"/>
            </w14:solidFill>
          </w14:textFill>
        </w:rPr>
        <w:t xml:space="preserve">江苏辰星工程项目管理有限公司</w:t>
      </w:r>
      <w:r/>
    </w:p>
    <w:p>
      <w:pPr>
        <w:jc w:val="center"/>
        <w:spacing w:line="360" w:lineRule="auto"/>
        <w:rPr>
          <w:rFonts w:hint="eastAsia" w:ascii="宋体" w:hAnsi="宋体" w:cs="宋体"/>
          <w:bCs/>
          <w:color w:val="000000" w:themeColor="text1"/>
          <w:sz w:val="30"/>
          <w14:textFill>
            <w14:solidFill>
              <w14:schemeClr w14:val="tx1"/>
            </w14:solidFill>
          </w14:textFill>
        </w:rPr>
      </w:pPr>
      <w:r>
        <w:rPr>
          <w:rFonts w:hint="eastAsia" w:ascii="宋体" w:hAnsi="宋体" w:cs="宋体"/>
          <w:bCs/>
          <w:color w:val="000000" w:themeColor="text1"/>
          <w:sz w:val="30"/>
          <w14:textFill>
            <w14:solidFill>
              <w14:schemeClr w14:val="tx1"/>
            </w14:solidFill>
          </w14:textFill>
        </w:rPr>
        <w:t xml:space="preserve">二〇二</w:t>
      </w:r>
      <w:r>
        <w:rPr>
          <w:rFonts w:hint="eastAsia" w:ascii="宋体" w:hAnsi="宋体" w:cs="宋体"/>
          <w:bCs/>
          <w:color w:val="000000" w:themeColor="text1"/>
          <w:sz w:val="30"/>
          <w:lang w:val="en-US" w:eastAsia="zh-CN"/>
          <w14:textFill>
            <w14:solidFill>
              <w14:schemeClr w14:val="tx1"/>
            </w14:solidFill>
          </w14:textFill>
        </w:rPr>
        <w:t xml:space="preserve">六</w:t>
      </w:r>
      <w:r>
        <w:rPr>
          <w:rFonts w:hint="eastAsia" w:ascii="宋体" w:hAnsi="宋体" w:cs="宋体"/>
          <w:bCs/>
          <w:color w:val="000000" w:themeColor="text1"/>
          <w:sz w:val="30"/>
          <w14:textFill>
            <w14:solidFill>
              <w14:schemeClr w14:val="tx1"/>
            </w14:solidFill>
          </w14:textFill>
        </w:rPr>
        <w:t xml:space="preserve">年</w:t>
      </w:r>
      <w:r>
        <w:rPr>
          <w:rFonts w:hint="eastAsia" w:ascii="宋体" w:hAnsi="宋体" w:cs="宋体"/>
          <w:bCs/>
          <w:color w:val="000000" w:themeColor="text1"/>
          <w:sz w:val="30"/>
          <w:lang w:val="en-US" w:eastAsia="zh-CN"/>
          <w14:textFill>
            <w14:solidFill>
              <w14:schemeClr w14:val="tx1"/>
            </w14:solidFill>
          </w14:textFill>
        </w:rPr>
        <w:t xml:space="preserve">十</w:t>
      </w:r>
      <w:r>
        <w:rPr>
          <w:rFonts w:hint="eastAsia" w:ascii="宋体" w:hAnsi="宋体" w:cs="宋体"/>
          <w:bCs/>
          <w:color w:val="000000" w:themeColor="text1"/>
          <w:sz w:val="30"/>
          <w14:textFill>
            <w14:solidFill>
              <w14:schemeClr w14:val="tx1"/>
            </w14:solidFill>
          </w14:textFill>
        </w:rPr>
        <w:t xml:space="preserve">月</w:t>
      </w:r>
      <w:r/>
    </w:p>
    <w:p>
      <w:pPr>
        <w:pStyle w:val="919"/>
      </w:pPr>
      <w:r/>
      <w:r/>
    </w:p>
    <w:p>
      <w:pPr>
        <w:spacing w:line="0" w:lineRule="atLeast"/>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竞争性磋商文件</w:t>
      </w:r>
      <w:r/>
    </w:p>
    <w:p>
      <w:pPr>
        <w:jc w:val="center"/>
        <w:spacing w:line="360" w:lineRule="auto"/>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JSZC-320324-CXGC-C2026-0007</w:t>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（供应商）：</w:t>
      </w:r>
      <w:r/>
    </w:p>
    <w:p>
      <w:pPr>
        <w:ind w:firstLine="480"/>
        <w:spacing w:line="360" w:lineRule="auto"/>
        <w:rPr>
          <w:rFonts w:hint="eastAsia" w:ascii="宋体" w:hAnsi="宋体" w:cs="宋体"/>
          <w:color w:val="auto"/>
          <w:sz w:val="24"/>
          <w:u w:val="none"/>
          <w:lang w:eastAsia="zh-CN"/>
        </w:rPr>
      </w:pPr>
      <w:r>
        <w:rPr>
          <w:rFonts w:hint="eastAsia" w:ascii="宋体" w:hAnsi="宋体" w:cs="宋体"/>
          <w:color w:val="000000" w:themeColor="text1"/>
          <w:sz w:val="24"/>
          <w:u w:val="none"/>
          <w:lang w:eastAsia="zh-CN"/>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lang w:eastAsia="zh-CN"/>
          <w14:textFill>
            <w14:solidFill>
              <w14:schemeClr w14:val="tx1"/>
            </w14:solidFill>
          </w14:textFill>
        </w:rPr>
        <w:t xml:space="preserve">江苏辰星工程项目管理有限公司</w:t>
      </w:r>
      <w:r>
        <w:rPr>
          <w:rFonts w:hint="eastAsia" w:ascii="宋体" w:hAnsi="宋体" w:cs="宋体"/>
          <w:color w:val="auto"/>
          <w:sz w:val="24"/>
          <w:u w:val="none"/>
          <w:lang w:eastAsia="zh-CN"/>
        </w:rPr>
        <w:t xml:space="preserve">对</w:t>
      </w:r>
      <w:r>
        <w:rPr>
          <w:rFonts w:hint="eastAsia" w:ascii="宋体" w:hAnsi="宋体" w:cs="宋体"/>
          <w:color w:val="auto"/>
          <w:sz w:val="24"/>
          <w:u w:val="single"/>
          <w:lang w:eastAsia="zh-CN"/>
        </w:rPr>
        <w:t xml:space="preserve">2025年度睢宁县第二轮土地承包到期后再延长30年试点项目</w:t>
      </w:r>
      <w:r>
        <w:rPr>
          <w:rFonts w:hint="eastAsia" w:ascii="宋体" w:hAnsi="宋体" w:cs="宋体"/>
          <w:color w:val="auto"/>
          <w:sz w:val="24"/>
          <w:u w:val="none"/>
          <w:lang w:val="en-US" w:eastAsia="zh-CN"/>
        </w:rPr>
        <w:t xml:space="preserve">项目</w:t>
      </w:r>
      <w:r>
        <w:rPr>
          <w:rFonts w:hint="eastAsia" w:ascii="宋体" w:hAnsi="宋体" w:cs="宋体"/>
          <w:color w:val="auto"/>
          <w:sz w:val="24"/>
          <w:u w:val="none"/>
          <w:lang w:eastAsia="zh-CN"/>
        </w:rPr>
        <w:t xml:space="preserve">采取竞争性磋商采购方式进行采购。如贵单位有意参与，请按以下竞争性磋商文件（以下简称磋商文件）要求参加磋商。</w:t>
      </w:r>
      <w:r/>
    </w:p>
    <w:p>
      <w:pPr>
        <w:ind w:left="497"/>
        <w:jc w:val="center"/>
        <w:spacing w:line="360" w:lineRule="auto"/>
        <w:rPr>
          <w:rFonts w:ascii="宋体" w:hAnsi="宋体" w:cs="宋体"/>
          <w:color w:val="auto"/>
          <w:sz w:val="24"/>
        </w:rPr>
      </w:pPr>
      <w:r>
        <w:rPr>
          <w:rFonts w:hint="eastAsia" w:ascii="宋体" w:hAnsi="宋体" w:cs="宋体"/>
          <w:b/>
          <w:bCs/>
          <w:color w:val="auto"/>
          <w:sz w:val="24"/>
        </w:rPr>
        <w:t xml:space="preserve">第一章 项目说明</w:t>
      </w:r>
      <w:r/>
    </w:p>
    <w:p>
      <w:pPr>
        <w:ind w:firstLine="482"/>
        <w:spacing w:line="360" w:lineRule="auto"/>
        <w:rPr>
          <w:rFonts w:hint="eastAsia" w:ascii="宋体" w:hAnsi="宋体" w:eastAsia="宋体" w:cs="宋体"/>
          <w:color w:val="auto"/>
          <w:sz w:val="24"/>
        </w:rPr>
      </w:pPr>
      <w:r>
        <w:rPr>
          <w:rFonts w:hint="eastAsia" w:ascii="宋体" w:hAnsi="宋体" w:cs="宋体"/>
          <w:b/>
          <w:bCs/>
          <w:color w:val="auto"/>
          <w:sz w:val="24"/>
        </w:rPr>
        <w:t xml:space="preserve">一、</w:t>
      </w:r>
      <w:r>
        <w:rPr>
          <w:rFonts w:hint="eastAsia" w:ascii="宋体" w:hAnsi="宋体" w:cs="宋体"/>
          <w:color w:val="auto"/>
          <w:sz w:val="24"/>
        </w:rPr>
        <w:t xml:space="preserve">采购人：</w:t>
      </w:r>
      <w:r>
        <w:rPr>
          <w:rFonts w:hint="eastAsia" w:ascii="宋体" w:hAnsi="宋体" w:cs="宋体"/>
          <w:color w:val="auto"/>
          <w:sz w:val="24"/>
          <w:lang w:eastAsia="zh-CN"/>
        </w:rPr>
        <w:t xml:space="preserve">睢宁县农业农村局</w:t>
      </w:r>
      <w:r/>
    </w:p>
    <w:p>
      <w:pPr>
        <w:ind w:firstLine="482"/>
        <w:spacing w:line="360" w:lineRule="auto"/>
        <w:rPr>
          <w:rFonts w:hint="eastAsia" w:ascii="宋体" w:hAnsi="宋体" w:eastAsia="宋体" w:cs="宋体"/>
          <w:color w:val="auto"/>
          <w:sz w:val="24"/>
        </w:rPr>
      </w:pPr>
      <w:r>
        <w:rPr>
          <w:rFonts w:hint="eastAsia" w:ascii="宋体" w:hAnsi="宋体" w:cs="宋体"/>
          <w:b/>
          <w:bCs/>
          <w:color w:val="auto"/>
          <w:sz w:val="24"/>
        </w:rPr>
        <w:t xml:space="preserve">二、</w:t>
      </w:r>
      <w:r>
        <w:rPr>
          <w:rFonts w:hint="eastAsia" w:ascii="宋体" w:hAnsi="宋体" w:cs="宋体"/>
          <w:color w:val="auto"/>
          <w:sz w:val="24"/>
        </w:rPr>
        <w:t xml:space="preserve">项目名称：</w:t>
      </w:r>
      <w:r>
        <w:rPr>
          <w:rFonts w:hint="eastAsia" w:ascii="宋体" w:hAnsi="宋体" w:cs="宋体"/>
          <w:color w:val="auto"/>
          <w:sz w:val="24"/>
          <w:lang w:eastAsia="zh-CN"/>
        </w:rPr>
        <w:t xml:space="preserve">2025年度睢宁县第二轮土地承包到期后再延长30年试点项目</w:t>
      </w:r>
      <w:r/>
    </w:p>
    <w:p>
      <w:pPr>
        <w:ind w:firstLine="480"/>
        <w:jc w:val="left"/>
        <w:spacing w:line="360" w:lineRule="auto"/>
        <w:rPr>
          <w:rFonts w:hint="eastAsia" w:ascii="宋体" w:hAnsi="宋体" w:eastAsia="宋体" w:cs="宋体"/>
          <w:b w:val="0"/>
          <w:bCs w:val="0"/>
          <w:color w:val="auto"/>
          <w:sz w:val="24"/>
          <w:lang w:eastAsia="zh-CN"/>
        </w:rPr>
      </w:pPr>
      <w:r>
        <w:rPr>
          <w:rFonts w:hint="eastAsia" w:ascii="宋体" w:hAnsi="宋体" w:cs="宋体"/>
          <w:b w:val="0"/>
          <w:bCs w:val="0"/>
          <w:color w:val="auto"/>
          <w:sz w:val="24"/>
        </w:rPr>
        <w:t xml:space="preserve">三、项目编号：</w:t>
      </w:r>
      <w:r/>
    </w:p>
    <w:p>
      <w:pPr>
        <w:ind w:firstLine="480"/>
        <w:spacing w:line="360" w:lineRule="auto"/>
        <w:rPr>
          <w:rFonts w:ascii="宋体" w:hAnsi="宋体" w:cs="宋体"/>
          <w:b w:val="0"/>
          <w:bCs w:val="0"/>
          <w:color w:val="auto"/>
          <w:sz w:val="24"/>
        </w:rPr>
      </w:pPr>
      <w:r>
        <w:rPr>
          <w:rFonts w:hint="eastAsia" w:ascii="宋体" w:hAnsi="宋体" w:cs="宋体"/>
          <w:b w:val="0"/>
          <w:bCs w:val="0"/>
          <w:color w:val="auto"/>
          <w:sz w:val="24"/>
        </w:rPr>
        <w:t xml:space="preserve">四、采购邀请：通过发布公告的方式邀请符合相应资格条件的供应商参与竞争性磋商采购活动。</w:t>
      </w:r>
      <w:r/>
    </w:p>
    <w:p>
      <w:pPr>
        <w:ind w:firstLine="480"/>
        <w:jc w:val="left"/>
        <w:spacing w:line="360" w:lineRule="auto"/>
        <w:widowControl/>
        <w:rPr>
          <w:rFonts w:ascii="宋体" w:hAnsi="宋体" w:cs="宋体"/>
          <w:b w:val="0"/>
          <w:bCs w:val="0"/>
          <w:color w:val="auto"/>
          <w:sz w:val="24"/>
        </w:rPr>
      </w:pPr>
      <w:r>
        <w:rPr>
          <w:rFonts w:hint="eastAsia" w:ascii="宋体" w:hAnsi="宋体" w:cs="宋体"/>
          <w:b w:val="0"/>
          <w:bCs w:val="0"/>
          <w:color w:val="auto"/>
          <w:sz w:val="24"/>
        </w:rPr>
        <w:t xml:space="preserve">五、采购方式：本项目采用竞争性磋商采购方式。</w:t>
      </w:r>
      <w:r/>
    </w:p>
    <w:p>
      <w:pPr>
        <w:ind w:firstLine="480"/>
        <w:jc w:val="left"/>
        <w:keepLines/>
        <w:spacing w:line="360" w:lineRule="auto"/>
        <w:widowControl/>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auto"/>
          <w:sz w:val="24"/>
        </w:rPr>
        <w:t xml:space="preserve">六、供应商资格条件：见竞争性磋商公告</w:t>
      </w:r>
      <w:r>
        <w:rPr>
          <w:rFonts w:hint="eastAsia" w:ascii="宋体" w:hAnsi="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JSZC-320324-CXGC-C2026-0007</w:t>
      </w:r>
      <w:r>
        <w:rPr>
          <w:rFonts w:hint="eastAsia" w:ascii="宋体" w:hAnsi="宋体" w:cs="宋体"/>
          <w:b w:val="0"/>
          <w:bCs w:val="0"/>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七、采购预算（采购项目预算金额）：见《磋商文件》附件2、《项目要求（采购需求）》。</w:t>
      </w:r>
      <w:r/>
    </w:p>
    <w:p>
      <w:pPr>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b w:val="0"/>
          <w:bCs w:val="0"/>
          <w:color w:val="000000" w:themeColor="text1"/>
          <w:sz w:val="24"/>
          <w14:textFill>
            <w14:solidFill>
              <w14:schemeClr w14:val="tx1"/>
            </w14:solidFill>
          </w14:textFill>
        </w:rPr>
        <w:t xml:space="preserve">八、采购需求：见《磋商文件》附件2、《项目要求（采购需求）》。</w:t>
      </w:r>
      <w:r>
        <w:rPr>
          <w:rFonts w:hint="default" w:ascii="宋体" w:hAnsi="宋体" w:eastAsia="宋体" w:cs="宋体"/>
          <w:color w:val="auto"/>
          <w:sz w:val="24"/>
          <w:szCs w:val="24"/>
          <w:highlight w:val="none"/>
          <w:lang w:val="en-US" w:eastAsia="zh-CN"/>
        </w:rPr>
        <w:t xml:space="preserve">本项目采用兼投不兼中原则，同一投标人可同时参与</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个采购包投标，若该投标人经评审后成为采购包1中标候选投标人排名的第一名，其他分包的报价继续参与下一包的评审，但不再推荐该投标人为采购包2的中标候选投标人；开标、评标、定标顺序以采购包1（牵头包）、采购包2顺序依次进行。不因前面开标、评标确认的第一中标候选投标人因质疑、投诉、复议被取消第一中标候选投标人（或中标人）资格，而改变后面开标、评标确定的中标候选投标人结果。(如果一个投标人同时投多个包，投标文件需要分包单独编制）。</w:t>
      </w:r>
      <w:r/>
    </w:p>
    <w:p>
      <w:pPr>
        <w:ind w:firstLine="480"/>
        <w:spacing w:line="360" w:lineRule="auto"/>
        <w:rPr>
          <w:rFonts w:ascii="宋体" w:hAnsi="宋体" w:cs="宋体"/>
          <w:b w:val="0"/>
          <w:bCs w:val="0"/>
          <w:color w:val="000000" w:themeColor="text1"/>
          <w:sz w:val="24"/>
          <w14:textFill>
            <w14:solidFill>
              <w14:schemeClr w14:val="tx1"/>
            </w14:solidFill>
          </w14:textFill>
        </w:rPr>
      </w:pPr>
      <w:r>
        <w:rPr>
          <w:rFonts w:ascii="宋体" w:hAnsi="宋体" w:cs="宋体"/>
          <w:b w:val="0"/>
          <w:bCs w:val="0"/>
          <w:color w:val="000000" w:themeColor="text1"/>
          <w:sz w:val="24"/>
          <w14:textFill>
            <w14:solidFill>
              <w14:schemeClr w14:val="tx1"/>
            </w14:solidFill>
          </w14:textFill>
        </w:rPr>
      </w:r>
      <w:r/>
    </w:p>
    <w:p>
      <w:pPr>
        <w:ind w:firstLine="480"/>
        <w:spacing w:line="360" w:lineRule="auto"/>
        <w:rPr>
          <w:rFonts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 xml:space="preserve">九、</w:t>
      </w:r>
      <w:r>
        <w:rPr>
          <w:rFonts w:hint="eastAsia" w:ascii="宋体" w:hAnsi="宋体" w:cs="宋体"/>
          <w:b w:val="0"/>
          <w:bCs w:val="0"/>
          <w:sz w:val="24"/>
          <w:highlight w:val="none"/>
        </w:rPr>
        <w:t xml:space="preserve">合同草案条款</w:t>
      </w:r>
      <w:r>
        <w:rPr>
          <w:rFonts w:hint="eastAsia" w:ascii="宋体" w:hAnsi="宋体" w:cs="宋体"/>
          <w:b w:val="0"/>
          <w:bCs w:val="0"/>
          <w:color w:val="000000" w:themeColor="text1"/>
          <w:sz w:val="24"/>
          <w:highlight w:val="none"/>
          <w14:textFill>
            <w14:solidFill>
              <w14:schemeClr w14:val="tx1"/>
            </w14:solidFill>
          </w14:textFill>
        </w:rPr>
        <w:t xml:space="preserve">：见《磋商文件》附件6、《</w:t>
      </w:r>
      <w:r>
        <w:rPr>
          <w:rFonts w:hint="eastAsia" w:ascii="宋体" w:hAnsi="宋体" w:cs="宋体"/>
          <w:b w:val="0"/>
          <w:bCs w:val="0"/>
          <w:sz w:val="24"/>
          <w:highlight w:val="none"/>
        </w:rPr>
        <w:t xml:space="preserve">合同草案条款</w:t>
      </w:r>
      <w:r>
        <w:rPr>
          <w:rFonts w:hint="eastAsia" w:ascii="宋体" w:hAnsi="宋体" w:cs="宋体"/>
          <w:b w:val="0"/>
          <w:bCs w:val="0"/>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十、报价要求</w:t>
      </w:r>
      <w:r/>
    </w:p>
    <w:p>
      <w:pPr>
        <w:ind w:firstLine="480"/>
        <w:keepLines w:val="0"/>
        <w:keepNext w:val="0"/>
        <w:pageBreakBefore w:val="0"/>
        <w:spacing w:line="360" w:lineRule="auto"/>
        <w:widowControl w:val="off"/>
        <w:rPr>
          <w:rStyle w:val="1201"/>
          <w:rFonts w:ascii="宋体" w:hAnsi="宋体" w:cs="宋体"/>
          <w:bCs/>
          <w:color w:val="000000" w:themeColor="text1"/>
          <w:sz w:val="24"/>
          <w14:textFill>
            <w14:solidFill>
              <w14:schemeClr w14:val="tx1"/>
            </w14:solidFill>
          </w14:textFill>
        </w:rPr>
        <w:outlineLvl w:val="9"/>
      </w:pPr>
      <w:r>
        <w:rPr>
          <w:rStyle w:val="1201"/>
          <w:rFonts w:hint="eastAsia" w:ascii="宋体" w:hAnsi="宋体" w:cs="宋体"/>
          <w:bCs/>
          <w:color w:val="000000" w:themeColor="text1"/>
          <w:sz w:val="24"/>
          <w14:textFill>
            <w14:solidFill>
              <w14:schemeClr w14:val="tx1"/>
            </w14:solidFill>
          </w14:textFill>
        </w:rPr>
        <w:t xml:space="preserve">1、供应商报价为要约，</w:t>
      </w:r>
      <w:r>
        <w:rPr>
          <w:rStyle w:val="1201"/>
          <w:rFonts w:hint="eastAsia" w:ascii="宋体" w:hAnsi="宋体" w:cs="宋体"/>
          <w:bCs/>
          <w:color w:val="000000" w:themeColor="text1"/>
          <w:sz w:val="24"/>
          <w:lang w:val="en-US" w:eastAsia="zh-CN"/>
          <w14:textFill>
            <w14:solidFill>
              <w14:schemeClr w14:val="tx1"/>
            </w14:solidFill>
          </w14:textFill>
        </w:rPr>
        <w:t xml:space="preserve">采购人</w:t>
      </w:r>
      <w:r>
        <w:rPr>
          <w:rStyle w:val="1201"/>
          <w:rFonts w:hint="eastAsia" w:ascii="宋体" w:hAnsi="宋体" w:cs="宋体"/>
          <w:bCs/>
          <w:color w:val="000000" w:themeColor="text1"/>
          <w:sz w:val="24"/>
          <w14:textFill>
            <w14:solidFill>
              <w14:schemeClr w14:val="tx1"/>
            </w14:solidFill>
          </w14:textFill>
        </w:rPr>
        <w:t xml:space="preserve">无承诺表示时视为未成交，</w:t>
      </w:r>
      <w:r>
        <w:rPr>
          <w:rStyle w:val="1201"/>
          <w:rFonts w:hint="eastAsia" w:ascii="宋体" w:hAnsi="宋体" w:cs="宋体"/>
          <w:bCs/>
          <w:color w:val="000000" w:themeColor="text1"/>
          <w:sz w:val="24"/>
          <w:lang w:val="en-US" w:eastAsia="zh-CN"/>
          <w14:textFill>
            <w14:solidFill>
              <w14:schemeClr w14:val="tx1"/>
            </w14:solidFill>
          </w14:textFill>
        </w:rPr>
        <w:t xml:space="preserve">采购人</w:t>
      </w:r>
      <w:r>
        <w:rPr>
          <w:rStyle w:val="1201"/>
          <w:rFonts w:hint="eastAsia" w:ascii="宋体" w:hAnsi="宋体" w:cs="宋体"/>
          <w:bCs/>
          <w:color w:val="000000" w:themeColor="text1"/>
          <w:sz w:val="24"/>
          <w14:textFill>
            <w14:solidFill>
              <w14:schemeClr w14:val="tx1"/>
            </w14:solidFill>
          </w14:textFill>
        </w:rPr>
        <w:t xml:space="preserve">认为必要时可重新进行竞争性磋商采购或采取其它方式采购。</w:t>
      </w:r>
      <w:r/>
    </w:p>
    <w:p>
      <w:pPr>
        <w:ind w:firstLine="480"/>
        <w:keepLines w:val="0"/>
        <w:keepNext w:val="0"/>
        <w:pageBreakBefore w:val="0"/>
        <w:spacing w:line="360" w:lineRule="auto"/>
        <w:widowControl w:val="off"/>
        <w:rPr>
          <w:rStyle w:val="1201"/>
          <w:rFonts w:ascii="宋体" w:hAnsi="宋体" w:cs="宋体"/>
          <w:bCs/>
          <w:color w:val="000000" w:themeColor="text1"/>
          <w:sz w:val="24"/>
          <w14:textFill>
            <w14:solidFill>
              <w14:schemeClr w14:val="tx1"/>
            </w14:solidFill>
          </w14:textFill>
        </w:rPr>
        <w:outlineLvl w:val="9"/>
      </w:pPr>
      <w:r>
        <w:rPr>
          <w:rStyle w:val="1201"/>
          <w:rFonts w:hint="eastAsia" w:ascii="宋体" w:hAnsi="宋体" w:cs="宋体"/>
          <w:bCs/>
          <w:color w:val="000000" w:themeColor="text1"/>
          <w:sz w:val="24"/>
          <w14:textFill>
            <w14:solidFill>
              <w14:schemeClr w14:val="tx1"/>
            </w14:solidFill>
          </w14:textFill>
        </w:rPr>
        <w:t xml:space="preserve">2、按照《磋商报价表》要求填写首次报价。</w:t>
      </w:r>
      <w:r/>
    </w:p>
    <w:p>
      <w:pPr>
        <w:ind w:firstLine="480"/>
        <w:keepLines w:val="0"/>
        <w:keepNext w:val="0"/>
        <w:pageBreakBefore w:val="0"/>
        <w:spacing w:line="360" w:lineRule="auto"/>
        <w:widowControl w:val="off"/>
        <w:rPr>
          <w:rStyle w:val="1201"/>
          <w:rFonts w:hint="eastAsia" w:ascii="宋体" w:hAnsi="宋体" w:cs="宋体"/>
          <w:bCs/>
          <w:color w:val="000000" w:themeColor="text1"/>
          <w:sz w:val="24"/>
          <w14:textFill>
            <w14:solidFill>
              <w14:schemeClr w14:val="tx1"/>
            </w14:solidFill>
          </w14:textFill>
        </w:rPr>
        <w:outlineLvl w:val="9"/>
      </w:pPr>
      <w:r>
        <w:rPr>
          <w:rStyle w:val="1201"/>
          <w:rFonts w:hint="eastAsia" w:ascii="宋体" w:hAnsi="宋体" w:cs="宋体"/>
          <w:bCs/>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ind w:firstLine="480"/>
        <w:keepLines w:val="0"/>
        <w:keepNext w:val="0"/>
        <w:pageBreakBefore w:val="0"/>
        <w:spacing w:line="360" w:lineRule="auto"/>
        <w:widowControl w:val="off"/>
        <w:rPr>
          <w:rStyle w:val="1201"/>
          <w:rFonts w:hint="eastAsia" w:ascii="宋体" w:hAnsi="宋体" w:cs="宋体"/>
          <w:bCs/>
          <w:color w:val="000000" w:themeColor="text1"/>
          <w:sz w:val="24"/>
          <w14:textFill>
            <w14:solidFill>
              <w14:schemeClr w14:val="tx1"/>
            </w14:solidFill>
          </w14:textFill>
        </w:rPr>
        <w:outlineLvl w:val="9"/>
      </w:pPr>
      <w:r>
        <w:rPr>
          <w:rFonts w:hint="eastAsia" w:ascii="宋体" w:hAnsi="宋体" w:cs="宋体"/>
          <w:bCs/>
          <w:color w:val="000000" w:themeColor="text1"/>
          <w:sz w:val="24"/>
          <w14:textFill>
            <w14:solidFill>
              <w14:schemeClr w14:val="tx1"/>
            </w14:solidFill>
          </w14:textFill>
        </w:rPr>
      </w:r>
      <w:r/>
    </w:p>
    <w:p>
      <w:pPr>
        <w:ind w:left="497"/>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第二章 磋商保证金</w:t>
      </w:r>
      <w:r/>
    </w:p>
    <w:p>
      <w:pPr>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十一、供应商提交磋商保证金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ind w:left="497"/>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第三章 响应文件</w:t>
      </w:r>
      <w:r/>
    </w:p>
    <w:p>
      <w:pPr>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十二、提交响应文件要求</w:t>
      </w:r>
      <w:r/>
    </w:p>
    <w:p>
      <w:pPr>
        <w:ind w:firstLine="480"/>
        <w:keepLines w:val="0"/>
        <w:keepNext w:val="0"/>
        <w:pageBreakBefore w:val="0"/>
        <w:spacing w:line="360" w:lineRule="auto"/>
        <w:widowControl w:val="off"/>
        <w:rPr>
          <w:rStyle w:val="1201"/>
          <w:rFonts w:ascii="宋体" w:hAnsi="宋体" w:cs="宋体"/>
          <w:bCs/>
          <w:color w:val="000000" w:themeColor="text1"/>
          <w:sz w:val="24"/>
          <w14:textFill>
            <w14:solidFill>
              <w14:schemeClr w14:val="tx1"/>
            </w14:solidFill>
          </w14:textFill>
        </w:rPr>
        <w:outlineLvl w:val="9"/>
      </w:pPr>
      <w:r>
        <w:rPr>
          <w:rStyle w:val="1201"/>
          <w:rFonts w:ascii="宋体" w:hAnsi="宋体" w:cs="宋体"/>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Style w:val="1201"/>
          <w:rFonts w:ascii="宋体" w:hAnsi="宋体" w:cs="宋体"/>
          <w:bCs/>
          <w:color w:val="000000" w:themeColor="text1"/>
          <w:sz w:val="24"/>
          <w14:textFill>
            <w14:solidFill>
              <w14:schemeClr w14:val="tx1"/>
            </w14:solidFill>
          </w14:textFill>
        </w:rPr>
      </w:pPr>
      <w:r>
        <w:rPr>
          <w:rStyle w:val="1201"/>
          <w:rFonts w:ascii="宋体" w:hAnsi="宋体" w:cs="宋体"/>
          <w:bCs/>
          <w:color w:val="000000" w:themeColor="text1"/>
          <w:sz w:val="24"/>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w:t>
      </w:r>
      <w:r>
        <w:rPr>
          <w:rStyle w:val="1201"/>
          <w:rFonts w:hint="eastAsia" w:ascii="宋体" w:hAnsi="宋体" w:cs="宋体"/>
          <w:bCs/>
          <w:color w:val="000000" w:themeColor="text1"/>
          <w:sz w:val="24"/>
          <w14:textFill>
            <w14:solidFill>
              <w14:schemeClr w14:val="tx1"/>
            </w14:solidFill>
          </w14:textFill>
        </w:rPr>
        <w:t xml:space="preserve">按照无效响应处理。</w:t>
      </w:r>
      <w:r/>
    </w:p>
    <w:p>
      <w:pPr>
        <w:ind w:firstLine="480"/>
        <w:spacing w:line="360" w:lineRule="auto"/>
        <w:rPr>
          <w:color w:val="000000" w:themeColor="text1"/>
          <w14:textFill>
            <w14:solidFill>
              <w14:schemeClr w14:val="tx1"/>
            </w14:solidFill>
          </w14:textFill>
        </w:rPr>
      </w:pPr>
      <w:r>
        <w:rPr>
          <w:rStyle w:val="1201"/>
          <w:rFonts w:ascii="宋体" w:hAnsi="宋体" w:cs="宋体"/>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Style w:val="1201"/>
          <w:rFonts w:ascii="宋体" w:hAnsi="宋体" w:cs="宋体"/>
          <w:bCs/>
          <w:color w:val="000000" w:themeColor="text1"/>
          <w:sz w:val="24"/>
          <w14:textFill>
            <w14:solidFill>
              <w14:schemeClr w14:val="tx1"/>
            </w14:solidFill>
          </w14:textFill>
        </w:rPr>
      </w:pPr>
      <w:r>
        <w:rPr>
          <w:rStyle w:val="1201"/>
          <w:rFonts w:ascii="宋体" w:hAnsi="宋体" w:cs="宋体"/>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bCs/>
          <w:color w:val="auto"/>
          <w:sz w:val="24"/>
          <w:szCs w:val="24"/>
          <w:highlight w:val="none"/>
          <w:lang w:eastAsia="zh-CN"/>
        </w:rPr>
        <w:t xml:space="preserve">https://czj.xz.gov.cn/zfcg/index.html</w:t>
      </w:r>
      <w:r>
        <w:rPr>
          <w:rStyle w:val="1201"/>
          <w:rFonts w:ascii="宋体" w:hAnsi="宋体" w:cs="宋体"/>
          <w:bCs/>
          <w:color w:val="000000" w:themeColor="text1"/>
          <w:sz w:val="24"/>
          <w14:textFill>
            <w14:solidFill>
              <w14:schemeClr w14:val="tx1"/>
            </w14:solidFill>
          </w14:textFill>
        </w:rPr>
        <w:t xml:space="preserve">）</w:t>
      </w:r>
      <w:r>
        <w:rPr>
          <w:rStyle w:val="1201"/>
          <w:rFonts w:hint="eastAsia" w:ascii="宋体" w:hAnsi="宋体" w:cs="宋体"/>
          <w:bCs/>
          <w:color w:val="000000" w:themeColor="text1"/>
          <w:sz w:val="24"/>
          <w:lang w:eastAsia="zh-CN"/>
          <w14:textFill>
            <w14:solidFill>
              <w14:schemeClr w14:val="tx1"/>
            </w14:solidFill>
          </w14:textFill>
        </w:rPr>
        <w:t xml:space="preserve">，</w:t>
      </w:r>
      <w:r>
        <w:rPr>
          <w:rStyle w:val="1201"/>
          <w:rFonts w:ascii="宋体" w:hAnsi="宋体" w:cs="宋体"/>
          <w:bCs/>
          <w:color w:val="000000" w:themeColor="text1"/>
          <w:sz w:val="24"/>
          <w14:textFill>
            <w14:solidFill>
              <w14:schemeClr w14:val="tx1"/>
            </w14:solidFill>
          </w14:textFill>
        </w:rPr>
        <w:t xml:space="preserve">点击“苏采云”进入系统），按照要求通过互联网方式提交首次响应文件。</w:t>
      </w:r>
      <w:r/>
    </w:p>
    <w:p>
      <w:pPr>
        <w:keepLines w:val="0"/>
        <w:keepNext w:val="0"/>
        <w:pageBreakBefore w:val="0"/>
        <w:spacing w:line="360" w:lineRule="auto"/>
        <w:widowControl w:val="off"/>
        <w:rPr>
          <w:rStyle w:val="1201"/>
          <w:rFonts w:ascii="宋体" w:hAnsi="宋体"/>
          <w:b/>
          <w:color w:val="000000" w:themeColor="text1"/>
          <w:sz w:val="24"/>
          <w14:textFill>
            <w14:solidFill>
              <w14:schemeClr w14:val="tx1"/>
            </w14:solidFill>
          </w14:textFill>
        </w:rPr>
        <w:outlineLvl w:val="9"/>
      </w:pPr>
      <w:r>
        <w:rPr>
          <w:rStyle w:val="1201"/>
          <w:rFonts w:ascii="宋体" w:hAnsi="宋体"/>
          <w:b/>
          <w:color w:val="000000" w:themeColor="text1"/>
          <w:sz w:val="24"/>
          <w14:textFill>
            <w14:solidFill>
              <w14:schemeClr w14:val="tx1"/>
            </w14:solidFill>
          </w14:textFill>
        </w:rPr>
        <w:t xml:space="preserve">“苏采云”系统使用要求：</w:t>
      </w:r>
      <w:r/>
    </w:p>
    <w:p>
      <w:pPr>
        <w:ind w:firstLine="480"/>
        <w:keepLines w:val="0"/>
        <w:keepNext w:val="0"/>
        <w:pageBreakBefore w:val="0"/>
        <w:spacing w:line="360" w:lineRule="auto"/>
        <w:widowControl w:val="off"/>
        <w:rPr>
          <w:rStyle w:val="1201"/>
          <w:rFonts w:ascii="宋体" w:hAnsi="宋体" w:cs="宋体"/>
          <w:bCs/>
          <w:color w:val="000000" w:themeColor="text1"/>
          <w:sz w:val="24"/>
          <w14:textFill>
            <w14:solidFill>
              <w14:schemeClr w14:val="tx1"/>
            </w14:solidFill>
          </w14:textFill>
        </w:rPr>
        <w:outlineLvl w:val="9"/>
      </w:pPr>
      <w:r>
        <w:rPr>
          <w:rStyle w:val="1201"/>
          <w:rFonts w:ascii="宋体" w:hAnsi="宋体" w:cs="宋体"/>
          <w:bCs/>
          <w:color w:val="000000" w:themeColor="text1"/>
          <w:sz w:val="24"/>
          <w14:textFill>
            <w14:solidFill>
              <w14:schemeClr w14:val="tx1"/>
            </w14:solidFill>
          </w14:textFill>
        </w:rPr>
        <w:t xml:space="preserve">1、使用谷歌浏览器参与不见面开标及磋商环节。</w:t>
      </w:r>
      <w:r/>
    </w:p>
    <w:p>
      <w:pPr>
        <w:ind w:firstLine="480"/>
        <w:keepLines w:val="0"/>
        <w:keepNext w:val="0"/>
        <w:pageBreakBefore w:val="0"/>
        <w:spacing w:line="360" w:lineRule="auto"/>
        <w:widowControl w:val="off"/>
        <w:rPr>
          <w:rStyle w:val="1201"/>
          <w:rFonts w:ascii="宋体" w:hAnsi="宋体" w:cs="宋体"/>
          <w:bCs/>
          <w:color w:val="000000" w:themeColor="text1"/>
          <w:sz w:val="24"/>
          <w14:textFill>
            <w14:solidFill>
              <w14:schemeClr w14:val="tx1"/>
            </w14:solidFill>
          </w14:textFill>
        </w:rPr>
        <w:outlineLvl w:val="9"/>
      </w:pPr>
      <w:r>
        <w:rPr>
          <w:rStyle w:val="1201"/>
          <w:rFonts w:ascii="宋体" w:hAnsi="宋体" w:cs="宋体"/>
          <w:bCs/>
          <w:color w:val="000000" w:themeColor="text1"/>
          <w:sz w:val="24"/>
          <w14:textFill>
            <w14:solidFill>
              <w14:schemeClr w14:val="tx1"/>
            </w14:solidFill>
          </w14:textFill>
        </w:rPr>
        <w:t xml:space="preserve">2、电脑需提前准备好麦克风、音响，摄像头，提前检查保证能够正常使用。</w:t>
      </w:r>
      <w:r/>
    </w:p>
    <w:p>
      <w:pPr>
        <w:ind w:firstLine="480"/>
        <w:keepLines w:val="0"/>
        <w:keepNext w:val="0"/>
        <w:pageBreakBefore w:val="0"/>
        <w:spacing w:line="360" w:lineRule="auto"/>
        <w:widowControl w:val="off"/>
        <w:rPr>
          <w:rStyle w:val="1201"/>
          <w:rFonts w:ascii="宋体" w:hAnsi="宋体" w:cs="宋体"/>
          <w:bCs/>
          <w:color w:val="000000" w:themeColor="text1"/>
          <w:sz w:val="24"/>
          <w14:textFill>
            <w14:solidFill>
              <w14:schemeClr w14:val="tx1"/>
            </w14:solidFill>
          </w14:textFill>
        </w:rPr>
        <w:outlineLvl w:val="9"/>
      </w:pPr>
      <w:r>
        <w:rPr>
          <w:rStyle w:val="1201"/>
          <w:rFonts w:ascii="宋体" w:hAnsi="宋体" w:cs="宋体"/>
          <w:bCs/>
          <w:color w:val="000000" w:themeColor="text1"/>
          <w:sz w:val="24"/>
          <w14:textFill>
            <w14:solidFill>
              <w14:schemeClr w14:val="tx1"/>
            </w14:solidFill>
          </w14:textFill>
        </w:rPr>
        <w:t xml:space="preserve">3、操作系统至少win7以上，建议使用win10操作系统。</w:t>
      </w:r>
      <w:r/>
    </w:p>
    <w:p>
      <w:pPr>
        <w:pStyle w:val="931"/>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（二）首次响应文件提交的截止时间：</w:t>
      </w:r>
      <w:r>
        <w:rPr>
          <w:rFonts w:hint="eastAsia" w:ascii="宋体" w:hAnsi="宋体" w:cs="宋体"/>
          <w:b/>
          <w:bCs/>
          <w:color w:val="000000" w:themeColor="text1"/>
          <w:sz w:val="24"/>
          <w:highlight w:val="white"/>
          <w:lang w:eastAsia="zh-CN"/>
          <w14:textFill>
            <w14:solidFill>
              <w14:schemeClr w14:val="tx1"/>
            </w14:solidFill>
          </w14:textFill>
        </w:rPr>
        <w:t xml:space="preserve">202</w:t>
      </w:r>
      <w:r>
        <w:rPr>
          <w:rFonts w:hint="eastAsia" w:ascii="宋体" w:hAnsi="宋体" w:cs="宋体"/>
          <w:b/>
          <w:bCs/>
          <w:color w:val="000000" w:themeColor="text1"/>
          <w:sz w:val="24"/>
          <w:highlight w:val="white"/>
          <w:lang w:val="en-US" w:eastAsia="zh-CN"/>
          <w14:textFill>
            <w14:solidFill>
              <w14:schemeClr w14:val="tx1"/>
            </w14:solidFill>
          </w14:textFill>
        </w:rPr>
        <w:t xml:space="preserve">6</w:t>
      </w:r>
      <w:r>
        <w:rPr>
          <w:rFonts w:hint="eastAsia" w:ascii="宋体" w:hAnsi="宋体" w:cs="宋体"/>
          <w:b/>
          <w:bCs/>
          <w:color w:val="000000" w:themeColor="text1"/>
          <w:sz w:val="24"/>
          <w:highlight w:val="white"/>
          <w14:textFill>
            <w14:solidFill>
              <w14:schemeClr w14:val="tx1"/>
            </w14:solidFill>
          </w14:textFill>
        </w:rPr>
        <w:t xml:space="preserve">年</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11  </w:t>
      </w:r>
      <w:r>
        <w:rPr>
          <w:rFonts w:hint="eastAsia" w:ascii="宋体" w:hAnsi="宋体" w:cs="宋体"/>
          <w:b/>
          <w:bCs/>
          <w:color w:val="000000" w:themeColor="text1"/>
          <w:sz w:val="24"/>
          <w:highlight w:val="white"/>
          <w14:textFill>
            <w14:solidFill>
              <w14:schemeClr w14:val="tx1"/>
            </w14:solidFill>
          </w14:textFill>
        </w:rPr>
        <w:t xml:space="preserve">月</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11  </w:t>
      </w:r>
      <w:r>
        <w:rPr>
          <w:rFonts w:hint="eastAsia" w:ascii="宋体" w:hAnsi="宋体" w:cs="宋体"/>
          <w:b/>
          <w:bCs/>
          <w:color w:val="000000" w:themeColor="text1"/>
          <w:sz w:val="24"/>
          <w:highlight w:val="white"/>
          <w14:textFill>
            <w14:solidFill>
              <w14:schemeClr w14:val="tx1"/>
            </w14:solidFill>
          </w14:textFill>
        </w:rPr>
        <w:t xml:space="preserve">日09：0</w:t>
      </w:r>
      <w:r>
        <w:rPr>
          <w:rFonts w:hint="eastAsia" w:ascii="宋体" w:hAnsi="宋体" w:cs="宋体"/>
          <w:b/>
          <w:bCs/>
          <w:color w:val="000000" w:themeColor="text1"/>
          <w:sz w:val="24"/>
          <w:highlight w:val="white"/>
          <w14:textFill>
            <w14:solidFill>
              <w14:schemeClr w14:val="tx1"/>
            </w14:solidFill>
          </w14:textFill>
        </w:rPr>
        <w:t xml:space="preserve">0（</w:t>
      </w:r>
      <w:r>
        <w:rPr>
          <w:rFonts w:hint="eastAsia" w:ascii="宋体" w:hAnsi="宋体" w:cs="宋体"/>
          <w:b/>
          <w:bCs/>
          <w:color w:val="000000" w:themeColor="text1"/>
          <w:sz w:val="24"/>
          <w14:textFill>
            <w14:solidFill>
              <w14:schemeClr w14:val="tx1"/>
            </w14:solidFill>
          </w14:textFill>
        </w:rPr>
        <w:t xml:space="preserve">北京时间），</w:t>
      </w:r>
      <w:r>
        <w:rPr>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93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（三）首次响应文件提交时间、地点：</w:t>
      </w:r>
      <w:r/>
    </w:p>
    <w:p>
      <w:pPr>
        <w:pStyle w:val="931"/>
        <w:ind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1、提交时间</w:t>
      </w:r>
      <w:r>
        <w:rPr>
          <w:rFonts w:hint="eastAsia" w:ascii="宋体" w:hAnsi="宋体" w:cs="宋体"/>
          <w:b/>
          <w:bCs/>
          <w:color w:val="000000" w:themeColor="text1"/>
          <w:sz w:val="24"/>
          <w:lang w:eastAsia="zh-CN"/>
          <w14:textFill>
            <w14:solidFill>
              <w14:schemeClr w14:val="tx1"/>
            </w14:solidFill>
          </w14:textFill>
        </w:rPr>
        <w:t xml:space="preserve">：</w:t>
      </w:r>
      <w:r/>
    </w:p>
    <w:p>
      <w:pPr>
        <w:pStyle w:val="931"/>
        <w:ind w:firstLine="480"/>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首次响应文件提交的截止时间</w:t>
      </w:r>
      <w:r>
        <w:rPr>
          <w:rFonts w:hint="eastAsia" w:ascii="宋体" w:hAnsi="宋体" w:cs="宋体"/>
          <w:b/>
          <w:bCs/>
          <w:color w:val="000000" w:themeColor="text1"/>
          <w:sz w:val="24"/>
          <w:highlight w:val="white"/>
          <w:lang w:eastAsia="zh-CN"/>
          <w14:textFill>
            <w14:solidFill>
              <w14:schemeClr w14:val="tx1"/>
            </w14:solidFill>
          </w14:textFill>
        </w:rPr>
        <w:t xml:space="preserve">202</w:t>
      </w:r>
      <w:r>
        <w:rPr>
          <w:rFonts w:hint="eastAsia" w:ascii="宋体" w:hAnsi="宋体" w:cs="宋体"/>
          <w:b/>
          <w:bCs/>
          <w:color w:val="000000" w:themeColor="text1"/>
          <w:sz w:val="24"/>
          <w:highlight w:val="white"/>
          <w:lang w:val="en-US" w:eastAsia="zh-CN"/>
          <w14:textFill>
            <w14:solidFill>
              <w14:schemeClr w14:val="tx1"/>
            </w14:solidFill>
          </w14:textFill>
        </w:rPr>
        <w:t xml:space="preserve">6</w:t>
      </w:r>
      <w:r>
        <w:rPr>
          <w:rFonts w:hint="eastAsia" w:ascii="宋体" w:hAnsi="宋体" w:cs="宋体"/>
          <w:b/>
          <w:bCs/>
          <w:color w:val="000000" w:themeColor="text1"/>
          <w:sz w:val="24"/>
          <w:highlight w:val="white"/>
          <w14:textFill>
            <w14:solidFill>
              <w14:schemeClr w14:val="tx1"/>
            </w14:solidFill>
          </w14:textFill>
        </w:rPr>
        <w:t xml:space="preserve">年</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11  </w:t>
      </w:r>
      <w:r>
        <w:rPr>
          <w:rFonts w:hint="eastAsia" w:ascii="宋体" w:hAnsi="宋体" w:cs="宋体"/>
          <w:b/>
          <w:bCs/>
          <w:color w:val="000000" w:themeColor="text1"/>
          <w:sz w:val="24"/>
          <w:highlight w:val="white"/>
          <w14:textFill>
            <w14:solidFill>
              <w14:schemeClr w14:val="tx1"/>
            </w14:solidFill>
          </w14:textFill>
        </w:rPr>
        <w:t xml:space="preserve">月</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11  </w:t>
      </w:r>
      <w:r>
        <w:rPr>
          <w:rFonts w:hint="eastAsia" w:ascii="宋体" w:hAnsi="宋体" w:cs="宋体"/>
          <w:b/>
          <w:bCs/>
          <w:color w:val="000000" w:themeColor="text1"/>
          <w:sz w:val="24"/>
          <w:highlight w:val="white"/>
          <w14:textFill>
            <w14:solidFill>
              <w14:schemeClr w14:val="tx1"/>
            </w14:solidFill>
          </w14:textFill>
        </w:rPr>
        <w:t xml:space="preserve">日09：00</w:t>
      </w:r>
      <w:r>
        <w:rPr>
          <w:rFonts w:ascii="宋体" w:hAnsi="宋体" w:eastAsia="宋体" w:cs="宋体"/>
          <w:b/>
          <w:color w:val="000000"/>
          <w:sz w:val="24"/>
          <w:highlight w:val="white"/>
        </w:rPr>
        <w:t xml:space="preserve">（</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前。</w:t>
      </w:r>
      <w:r/>
    </w:p>
    <w:p>
      <w:pPr>
        <w:pStyle w:val="931"/>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2、提交地点：</w:t>
      </w:r>
      <w:r/>
    </w:p>
    <w:p>
      <w:pPr>
        <w:pStyle w:val="931"/>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 </w:t>
      </w:r>
      <w:r/>
    </w:p>
    <w:p>
      <w:pPr>
        <w:pStyle w:val="93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（四）首次响应文件开启时间：</w:t>
      </w:r>
      <w:r>
        <w:rPr>
          <w:rFonts w:hint="eastAsia" w:ascii="宋体" w:hAnsi="宋体" w:cs="宋体"/>
          <w:b/>
          <w:bCs/>
          <w:color w:val="000000" w:themeColor="text1"/>
          <w:sz w:val="24"/>
          <w:highlight w:val="white"/>
          <w:lang w:eastAsia="zh-CN"/>
          <w14:textFill>
            <w14:solidFill>
              <w14:schemeClr w14:val="tx1"/>
            </w14:solidFill>
          </w14:textFill>
        </w:rPr>
        <w:t xml:space="preserve">202</w:t>
      </w:r>
      <w:r>
        <w:rPr>
          <w:rFonts w:hint="eastAsia" w:ascii="宋体" w:hAnsi="宋体" w:cs="宋体"/>
          <w:b/>
          <w:bCs/>
          <w:color w:val="000000" w:themeColor="text1"/>
          <w:sz w:val="24"/>
          <w:highlight w:val="white"/>
          <w:lang w:val="en-US" w:eastAsia="zh-CN"/>
          <w14:textFill>
            <w14:solidFill>
              <w14:schemeClr w14:val="tx1"/>
            </w14:solidFill>
          </w14:textFill>
        </w:rPr>
        <w:t xml:space="preserve">6</w:t>
      </w:r>
      <w:r>
        <w:rPr>
          <w:rFonts w:hint="eastAsia" w:ascii="宋体" w:hAnsi="宋体" w:cs="宋体"/>
          <w:b/>
          <w:bCs/>
          <w:color w:val="000000" w:themeColor="text1"/>
          <w:sz w:val="24"/>
          <w:highlight w:val="white"/>
          <w14:textFill>
            <w14:solidFill>
              <w14:schemeClr w14:val="tx1"/>
            </w14:solidFill>
          </w14:textFill>
        </w:rPr>
        <w:t xml:space="preserve">年</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11  </w:t>
      </w:r>
      <w:r>
        <w:rPr>
          <w:rFonts w:hint="eastAsia" w:ascii="宋体" w:hAnsi="宋体" w:cs="宋体"/>
          <w:b/>
          <w:bCs/>
          <w:color w:val="000000" w:themeColor="text1"/>
          <w:sz w:val="24"/>
          <w:highlight w:val="white"/>
          <w14:textFill>
            <w14:solidFill>
              <w14:schemeClr w14:val="tx1"/>
            </w14:solidFill>
          </w14:textFill>
        </w:rPr>
        <w:t xml:space="preserve">月</w:t>
      </w:r>
      <w:r>
        <w:rPr>
          <w:rFonts w:hint="eastAsia" w:ascii="宋体" w:hAnsi="宋体" w:cs="宋体"/>
          <w:b/>
          <w:bCs/>
          <w:color w:val="000000" w:themeColor="text1"/>
          <w:sz w:val="24"/>
          <w:highlight w:val="white"/>
          <w:u w:val="single"/>
          <w:lang w:val="en-US" w:eastAsia="zh-CN"/>
          <w14:textFill>
            <w14:solidFill>
              <w14:schemeClr w14:val="tx1"/>
            </w14:solidFill>
          </w14:textFill>
        </w:rPr>
        <w:t xml:space="preserve">  11  </w:t>
      </w:r>
      <w:r>
        <w:rPr>
          <w:rFonts w:hint="eastAsia" w:ascii="宋体" w:hAnsi="宋体" w:cs="宋体"/>
          <w:b/>
          <w:bCs/>
          <w:color w:val="000000" w:themeColor="text1"/>
          <w:sz w:val="24"/>
          <w:highlight w:val="white"/>
          <w14:textFill>
            <w14:solidFill>
              <w14:schemeClr w14:val="tx1"/>
            </w14:solidFill>
          </w14:textFill>
        </w:rPr>
        <w:t xml:space="preserve">日</w:t>
      </w:r>
      <w:r>
        <w:rPr>
          <w:rFonts w:hint="eastAsia" w:ascii="宋体" w:hAnsi="宋体" w:cs="宋体"/>
          <w:b/>
          <w:bCs/>
          <w:color w:val="000000" w:themeColor="text1"/>
          <w:sz w:val="24"/>
          <w:highlight w:val="white"/>
          <w14:textFill>
            <w14:solidFill>
              <w14:schemeClr w14:val="tx1"/>
            </w14:solidFill>
          </w14:textFill>
        </w:rPr>
        <w:t xml:space="preserve">0</w:t>
      </w:r>
      <w:r>
        <w:rPr>
          <w:rFonts w:hint="eastAsia" w:ascii="宋体" w:hAnsi="宋体" w:cs="宋体"/>
          <w:b/>
          <w:bCs/>
          <w:color w:val="000000" w:themeColor="text1"/>
          <w:sz w:val="24"/>
          <w:highlight w:val="white"/>
          <w14:textFill>
            <w14:solidFill>
              <w14:schemeClr w14:val="tx1"/>
            </w14:solidFill>
          </w14:textFill>
        </w:rPr>
        <w:t xml:space="preserve">9：</w:t>
      </w:r>
      <w:r>
        <w:rPr>
          <w:rFonts w:hint="eastAsia" w:ascii="宋体" w:hAnsi="宋体" w:cs="宋体"/>
          <w:b/>
          <w:bCs/>
          <w:color w:val="000000" w:themeColor="text1"/>
          <w:sz w:val="24"/>
          <w14:textFill>
            <w14:solidFill>
              <w14:schemeClr w14:val="tx1"/>
            </w14:solidFill>
          </w14:textFill>
        </w:rPr>
        <w:t xml:space="preserve">00</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w:t>
      </w:r>
      <w:r/>
    </w:p>
    <w:p>
      <w:pPr>
        <w:pStyle w:val="93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（五）首次响应文件开启地点：</w:t>
      </w:r>
      <w:r/>
    </w:p>
    <w:p>
      <w:pPr>
        <w:pStyle w:val="93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bCs/>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w:t>
      </w:r>
      <w:r/>
    </w:p>
    <w:p>
      <w:pPr>
        <w:pStyle w:val="931"/>
        <w:numPr>
          <w:ilvl w:val="0"/>
          <w:numId w:val="0"/>
        </w:numPr>
        <w:ind w:firstLine="480"/>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（六）</w:t>
      </w:r>
      <w:r>
        <w:rPr>
          <w:rFonts w:hint="eastAsia" w:ascii="宋体" w:hAnsi="宋体" w:cs="宋体"/>
          <w:color w:val="000000" w:themeColor="text1"/>
          <w:sz w:val="24"/>
          <w14:textFill>
            <w14:solidFill>
              <w14:schemeClr w14:val="tx1"/>
            </w14:solidFill>
          </w14:textFill>
        </w:rPr>
        <w:t xml:space="preserve">供应商在首次响应文件提交的截止时间前，可以对所提交的首次响应文件进行补充、修改或者撤回。补充、修改首次响应文件的，须先撤回首次响应文件，重新编制（即补充、修改）后，在提交截止时间前完成首次响应文件的传输提交。</w:t>
      </w:r>
      <w:r/>
    </w:p>
    <w:p>
      <w:pPr>
        <w:pStyle w:val="931"/>
        <w:numPr>
          <w:ilvl w:val="0"/>
          <w:numId w:val="0"/>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提交截止时间前未完成首次响应文件传输的，视为撤回首次响应文件。提交截止时间后送达的首次响应文件，“苏采云”系统应当拒收。</w:t>
      </w:r>
      <w:r/>
    </w:p>
    <w:p>
      <w:pPr>
        <w:pStyle w:val="931"/>
        <w:ind w:firstLine="480"/>
        <w:jc w:val="left"/>
        <w:spacing w:line="360" w:lineRule="auto"/>
        <w:shd w:val="clear" w:color="auto" w:fill="ffffff"/>
        <w:widowControl/>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（七）不接受不按要求加盖公章（电子签章）的首次响应文件。电子签章相关要求见“苏采云”系统。</w:t>
      </w:r>
      <w:r/>
    </w:p>
    <w:p>
      <w:pPr>
        <w:pStyle w:val="93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（八）首次响应文件解密：到达开启时间，</w:t>
      </w:r>
      <w:r>
        <w:rPr>
          <w:rFonts w:hint="eastAsia" w:ascii="宋体" w:hAnsi="宋体" w:cs="宋体"/>
          <w:color w:val="000000" w:themeColor="text1"/>
          <w:sz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14:textFill>
            <w14:solidFill>
              <w14:schemeClr w14:val="tx1"/>
            </w14:solidFill>
          </w14:textFill>
        </w:rPr>
        <w:t xml:space="preserve">开启时间后30分钟内</w:t>
      </w:r>
      <w:r>
        <w:rPr>
          <w:rFonts w:hint="eastAsia" w:ascii="宋体" w:hAnsi="宋体" w:cs="宋体"/>
          <w:color w:val="000000" w:themeColor="text1"/>
          <w:sz w:val="24"/>
          <w14:textFill>
            <w14:solidFill>
              <w14:schemeClr w14:val="tx1"/>
            </w14:solidFill>
          </w14:textFill>
        </w:rPr>
        <w:t xml:space="preserve">，通过“苏采云”系统（使用“CA数字证书”）解密。</w:t>
      </w:r>
      <w:r/>
    </w:p>
    <w:p>
      <w:pPr>
        <w:pStyle w:val="93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（九）采购文件（后缀名为“.kedt”）、供应商操作手册及政府采购客户端工具可通过“苏采云”系统（网址：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w:t>
      </w:r>
      <w:r>
        <w:rPr>
          <w:rFonts w:hint="eastAsia" w:ascii="宋体" w:hAnsi="宋体" w:cs="宋体"/>
          <w:color w:val="000000" w:themeColor="text1"/>
          <w:sz w:val="24"/>
          <w:lang w:val="en-US" w:eastAsia="zh-CN"/>
          <w14:textFill>
            <w14:solidFill>
              <w14:schemeClr w14:val="tx1"/>
            </w14:solidFill>
          </w14:textFill>
        </w:rPr>
        <w:t xml:space="preserve">办事指南</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资料下载</w:t>
      </w:r>
      <w:r>
        <w:rPr>
          <w:rFonts w:hint="eastAsia" w:ascii="宋体" w:hAnsi="宋体" w:cs="宋体"/>
          <w:color w:val="000000" w:themeColor="text1"/>
          <w:sz w:val="24"/>
          <w14:textFill>
            <w14:solidFill>
              <w14:schemeClr w14:val="tx1"/>
            </w14:solidFill>
          </w14:textFill>
        </w:rPr>
        <w:t xml:space="preserve">，点击进入《江苏省政府采购管理交易系统（苏采云）供应商操作手册及政府采购客户端》，进行下载。</w:t>
      </w:r>
      <w:r/>
    </w:p>
    <w:p>
      <w:pPr>
        <w:pStyle w:val="93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（十）相关说明</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供应商在“苏采云”系统中提交首次响应文件的时间即为数据电文（响应文件，下同）的发送时间和接收时间。</w:t>
      </w:r>
      <w:r/>
    </w:p>
    <w:p>
      <w:pPr>
        <w:pStyle w:val="93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十三、响应文件编制要求</w:t>
      </w:r>
      <w:r/>
    </w:p>
    <w:p>
      <w:pPr>
        <w:pStyle w:val="93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请按照以下要求（包括但不限于以下要求）制作：</w:t>
      </w:r>
      <w:r/>
    </w:p>
    <w:p>
      <w:pPr>
        <w:pStyle w:val="931"/>
        <w:ind w:firstLine="482"/>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（一）基本目录</w:t>
      </w:r>
      <w:r/>
    </w:p>
    <w:p>
      <w:pPr>
        <w:pStyle w:val="931"/>
        <w:ind w:firstLine="482"/>
        <w:keepLines w:val="0"/>
        <w:keepNext w:val="0"/>
        <w:pageBreakBefore w:val="0"/>
        <w:spacing w:line="360" w:lineRule="auto"/>
        <w:widowControl w:val="off"/>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1、《磋商报价表》（加盖电子签章，格式见《磋商文件》附件。政府采购客户端工具输入报价自动生成）；</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2、供应商认为需要提供的其他资料的扫描件（如有）。</w:t>
      </w:r>
      <w:r/>
    </w:p>
    <w:p>
      <w:pPr>
        <w:ind w:firstLine="482"/>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（二）资格条件（1～</w:t>
      </w:r>
      <w:r>
        <w:rPr>
          <w:rFonts w:hint="eastAsia" w:ascii="宋体" w:hAnsi="宋体" w:cs="宋体"/>
          <w:b/>
          <w:color w:val="000000" w:themeColor="text1"/>
          <w:sz w:val="24"/>
          <w:lang w:val="en-US" w:eastAsia="zh-CN"/>
          <w14:textFill>
            <w14:solidFill>
              <w14:schemeClr w14:val="tx1"/>
            </w14:solidFill>
          </w14:textFill>
        </w:rPr>
        <w:t xml:space="preserve">7</w:t>
      </w:r>
      <w:r>
        <w:rPr>
          <w:rFonts w:hint="eastAsia" w:ascii="宋体" w:hAnsi="宋体" w:cs="宋体"/>
          <w:b/>
          <w:color w:val="000000" w:themeColor="text1"/>
          <w:sz w:val="24"/>
          <w14:textFill>
            <w14:solidFill>
              <w14:schemeClr w14:val="tx1"/>
            </w14:solidFill>
          </w14:textFill>
        </w:rPr>
        <w:t xml:space="preserve">项必须提供，否则响应无效）</w:t>
      </w:r>
      <w:r/>
    </w:p>
    <w:p>
      <w:pPr>
        <w:ind w:right="0" w:firstLine="482"/>
        <w:pageBreakBefore w:val="0"/>
        <w:spacing w:line="360" w:lineRule="auto"/>
        <w:widowControl w:val="off"/>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1、具有独立承担民事责任的能力：</w:t>
      </w:r>
      <w:r>
        <w:rPr>
          <w:rFonts w:hint="eastAsia" w:ascii="宋体" w:hAnsi="宋体" w:cs="宋体"/>
          <w:b w:val="0"/>
          <w:bCs w:val="0"/>
          <w:color w:val="000000" w:themeColor="text1"/>
          <w:sz w:val="24"/>
          <w14:textFill>
            <w14:solidFill>
              <w14:schemeClr w14:val="tx1"/>
            </w14:solidFill>
          </w14:textFill>
        </w:rPr>
        <w:t xml:space="preserve">即提供供应商合法有效的营业执照或者其他组织的法人证明文件扫描件并加盖电子签章；</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具有良好的商业信誉和健全的财务会计制度：</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任何日期（不含“提交首次响应文件截止时间”当月）的资产负债表和利润月报表扫描件各一份；或提供合法有效的经第三方机构审计的2024年度或2025年度财务审计报告扫描件（应包括审计报告正文、资产负债表、现金流量表、利润表）扫描件加盖电子签章；</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3、具有依法缴纳税收和社会保障资金的良好记录：</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不含“提交首次响应文件截止时间”当月）任何1个月的依法缴纳税收扫描件和社会保障资金扫描件加盖电子签章（依法免税或不需要缴纳社会保障资金的供应商，提供相应文件扫描件证明其依法免税或不需要缴纳社会保障资金）；</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4、具有履行合同所必需的设备和专业技术能力：</w:t>
      </w:r>
      <w:r>
        <w:rPr>
          <w:rFonts w:hint="eastAsia" w:ascii="宋体" w:hAnsi="宋体" w:cs="宋体"/>
          <w:b w:val="0"/>
          <w:bCs/>
          <w:color w:val="000000" w:themeColor="text1"/>
          <w:sz w:val="24"/>
          <w14:textFill>
            <w14:solidFill>
              <w14:schemeClr w14:val="tx1"/>
            </w14:solidFill>
          </w14:textFill>
        </w:rPr>
        <w:t xml:space="preserve">即提供具备履行合同所必需的设备和专业技术能力的书面声明（附证明材料原件的扫描件）（加盖电子签章，格式见《磋商文件》附件）；</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5、参加政府采购活动前</w:t>
      </w:r>
      <w:r>
        <w:rPr>
          <w:rFonts w:hint="eastAsia" w:ascii="宋体" w:hAnsi="宋体" w:cs="宋体"/>
          <w:b/>
          <w:color w:val="000000" w:themeColor="text1"/>
          <w:sz w:val="24"/>
          <w:lang w:val="en-US" w:eastAsia="zh-CN"/>
          <w14:textFill>
            <w14:solidFill>
              <w14:schemeClr w14:val="tx1"/>
            </w14:solidFill>
          </w14:textFill>
        </w:rPr>
        <w:t xml:space="preserve">3</w:t>
      </w:r>
      <w:r>
        <w:rPr>
          <w:rFonts w:hint="eastAsia" w:ascii="宋体" w:hAnsi="宋体" w:cs="宋体"/>
          <w:b/>
          <w:color w:val="000000" w:themeColor="text1"/>
          <w:sz w:val="24"/>
          <w14:textFill>
            <w14:solidFill>
              <w14:schemeClr w14:val="tx1"/>
            </w14:solidFill>
          </w14:textFill>
        </w:rPr>
        <w:t xml:space="preserve">年内在经营活动中没有重大违法记录：</w:t>
      </w:r>
      <w:r>
        <w:rPr>
          <w:rFonts w:hint="eastAsia" w:ascii="宋体" w:hAnsi="宋体" w:cs="宋体"/>
          <w:b w:val="0"/>
          <w:bCs/>
          <w:color w:val="000000" w:themeColor="text1"/>
          <w:sz w:val="24"/>
          <w14:textFill>
            <w14:solidFill>
              <w14:schemeClr w14:val="tx1"/>
            </w14:solidFill>
          </w14:textFill>
        </w:rPr>
        <w:t xml:space="preserve">即提供供应商参加政府采购活动前3年内在经营活动中没有重大违法记录的书面声明（加盖电子签章，格式见《磋商文件》附件）；</w:t>
      </w:r>
      <w:r/>
    </w:p>
    <w:p>
      <w:pPr>
        <w:ind w:firstLine="482"/>
        <w:spacing w:line="400" w:lineRule="exact"/>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6、本项目属于专门面向中小微企业的项目，供应商应为中小企业（含中型、小型、微型企业，下同），提供《中小企业声明函》（加盖电子签章，填写完整。格式见《磋商文件》附件）。</w:t>
      </w:r>
      <w:r>
        <w:rPr>
          <w:rFonts w:hint="eastAsia" w:ascii="宋体" w:hAnsi="宋体" w:cs="宋体"/>
          <w:b w:val="0"/>
          <w:bCs/>
          <w:color w:val="000000" w:themeColor="text1"/>
          <w:sz w:val="24"/>
          <w14:textFill>
            <w14:solidFill>
              <w14:schemeClr w14:val="tx1"/>
            </w14:solidFill>
          </w14:textFill>
        </w:rPr>
        <w:t xml:space="preserve">《中小企业声明函》查询渠道用微信搜索“中小企业规模类型自测小程序”。</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7</w:t>
      </w:r>
      <w:r>
        <w:rPr>
          <w:rFonts w:hint="eastAsia" w:ascii="宋体" w:hAnsi="宋体" w:cs="宋体"/>
          <w:b/>
          <w:color w:val="000000" w:themeColor="text1"/>
          <w:sz w:val="24"/>
          <w14:textFill>
            <w14:solidFill>
              <w14:schemeClr w14:val="tx1"/>
            </w14:solidFill>
          </w14:textFill>
        </w:rPr>
        <w:t xml:space="preserve">、</w:t>
      </w:r>
      <w:r>
        <w:rPr>
          <w:rFonts w:hint="eastAsia" w:ascii="宋体" w:hAnsi="宋体" w:eastAsia="宋体" w:cs="宋体"/>
          <w:b/>
          <w:bCs/>
          <w:color w:val="auto"/>
          <w:sz w:val="24"/>
          <w:szCs w:val="24"/>
          <w:highlight w:val="none"/>
        </w:rPr>
        <w:t xml:space="preserve">本项目的特定资格要求：</w:t>
      </w:r>
      <w:bookmarkStart w:id="0" w:name="OLE_LINK15"/>
      <w:r>
        <w:rPr>
          <w:rFonts w:hint="eastAsia" w:ascii="宋体" w:hAnsi="宋体" w:eastAsia="宋体" w:cs="宋体"/>
          <w:color w:val="auto"/>
          <w:sz w:val="24"/>
          <w:szCs w:val="24"/>
          <w:highlight w:val="none"/>
          <w:lang w:val="en-US" w:eastAsia="zh-CN"/>
        </w:rPr>
        <w:t xml:space="preserve">投标人须提供有国家自然资源主管部门颁发的有效的乙级及以上测绘资质的证明文件扫描件并加盖电子签章。</w:t>
      </w:r>
      <w:bookmarkEnd w:id="0"/>
      <w:r/>
      <w:r/>
    </w:p>
    <w:p>
      <w:pPr>
        <w:ind w:right="0" w:firstLine="482"/>
        <w:pageBreakBefore w:val="0"/>
        <w:spacing w:line="360" w:lineRule="auto"/>
        <w:widowControl w:val="off"/>
        <w:rPr>
          <w:rFonts w:hint="default" w:eastAsia="华文细黑"/>
          <w:lang w:val="en-US" w:eastAsia="zh-CN"/>
        </w:rPr>
      </w:pPr>
      <w:r>
        <w:rPr>
          <w:rFonts w:hint="default" w:eastAsia="华文细黑"/>
          <w:lang w:val="en-US" w:eastAsia="zh-CN"/>
        </w:rPr>
      </w:r>
      <w:r/>
    </w:p>
    <w:p>
      <w:pPr>
        <w:ind w:right="-33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注：中小微企业，应当同时符合以下条件：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① 符合中小企业划分标准；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② 提供本企业制造的货物、承担的工程或者服务，或者提供其他中小企业制造的货物。本项所称货物不包括使用大型企业注册商标的货物。</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小型、微型企业提供中型企业制造的货物的，视同为中型企业。</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供应商为享受政府采购支持政策的残疾人福利性单位的，提供《残疾人福利性单位声明函》（加盖电子签章，格式见《磋商文件》附件）。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享受政府采购支持政策的残疾人福利性单位应当同时满足以下条件：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（一）安置的残疾人占本单位在职职工人数的比例不低于25%（含25%），并且安置的残疾人人数不少于10人（含10人）；</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（二）依法与安置的每位残疾人签订了一年以上（含一年）的劳动合同或服务协议；</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（三）为安置的每位残疾人按月足额缴纳了基本养老保险、基本医疗保险、失业保险、工伤保险和生育保险等社会保险费；</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具体以《三部门联合发布关于促进残疾人就业政府采购政策的通知》（财库〔2017〕141号）规定为准。</w:t>
      </w:r>
      <w:r/>
    </w:p>
    <w:p>
      <w:pPr>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（三）符合条件（必须提供，否则响应无效）</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1、《承诺书》（加盖电子签章，格式见《磋商文件》附件）；</w:t>
      </w:r>
      <w:r/>
    </w:p>
    <w:p>
      <w:pPr>
        <w:ind w:right="0" w:firstLine="482"/>
        <w:keepLines w:val="0"/>
        <w:keepNext w:val="0"/>
        <w:pageBreakBefore w:val="0"/>
        <w:spacing w:line="360" w:lineRule="auto"/>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《授权委托书》（加盖电子签章，格式见《磋商文件》附件）；</w:t>
      </w:r>
      <w:r/>
    </w:p>
    <w:p>
      <w:pPr>
        <w:ind w:right="0" w:firstLine="482"/>
        <w:keepLines w:val="0"/>
        <w:keepNext w:val="0"/>
        <w:pageBreakBefore w:val="0"/>
        <w:spacing w:line="360" w:lineRule="auto"/>
        <w:widowControl w:val="off"/>
        <w:rPr>
          <w:rFonts w:ascii="宋体" w:hAnsi="宋体" w:eastAsia="宋体" w:cs="宋体"/>
          <w:b/>
          <w:color w:val="000000"/>
          <w:sz w:val="24"/>
        </w:rPr>
      </w:pPr>
      <w:r>
        <w:rPr>
          <w:rFonts w:hint="eastAsia" w:ascii="宋体" w:hAnsi="宋体" w:cs="宋体"/>
          <w:b/>
          <w:bCs/>
          <w:color w:val="000000" w:themeColor="text1"/>
          <w:sz w:val="24"/>
          <w:lang w:val="en-US" w:eastAsia="zh-CN"/>
          <w14:textFill>
            <w14:solidFill>
              <w14:schemeClr w14:val="tx1"/>
            </w14:solidFill>
          </w14:textFill>
        </w:rPr>
        <w:t xml:space="preserve">3</w:t>
      </w:r>
      <w:r>
        <w:rPr>
          <w:rFonts w:hint="eastAsia" w:ascii="宋体" w:hAnsi="宋体" w:cs="宋体"/>
          <w:b/>
          <w:bCs/>
          <w:color w:val="000000" w:themeColor="text1"/>
          <w:sz w:val="24"/>
          <w14:textFill>
            <w14:solidFill>
              <w14:schemeClr w14:val="tx1"/>
            </w14:solidFill>
          </w14:textFill>
        </w:rPr>
        <w:t xml:space="preserve">、</w:t>
      </w:r>
      <w:r>
        <w:rPr>
          <w:rFonts w:ascii="宋体" w:hAnsi="宋体" w:eastAsia="宋体" w:cs="宋体"/>
          <w:b/>
          <w:color w:val="000000"/>
          <w:sz w:val="24"/>
        </w:rPr>
        <w:t xml:space="preserve">《磋商报价表》（加盖电子签章</w:t>
      </w:r>
      <w:r>
        <w:rPr>
          <w:rFonts w:hint="eastAsia" w:ascii="宋体" w:hAnsi="宋体" w:cs="宋体"/>
          <w:b/>
          <w:color w:val="000000"/>
          <w:sz w:val="24"/>
          <w:lang w:eastAsia="zh-CN"/>
        </w:rPr>
        <w:t xml:space="preserve">，格式见</w:t>
      </w:r>
      <w:r>
        <w:rPr>
          <w:rFonts w:hint="eastAsia" w:ascii="宋体" w:hAnsi="宋体" w:cs="宋体"/>
          <w:b/>
          <w:bCs/>
          <w:color w:val="000000" w:themeColor="text1"/>
          <w:sz w:val="24"/>
          <w14:textFill>
            <w14:solidFill>
              <w14:schemeClr w14:val="tx1"/>
            </w14:solidFill>
          </w14:textFill>
        </w:rPr>
        <w:t xml:space="preserve">《磋商文件》附件</w:t>
      </w:r>
      <w:r>
        <w:rPr>
          <w:rFonts w:ascii="宋体" w:hAnsi="宋体" w:eastAsia="宋体" w:cs="宋体"/>
          <w:b/>
          <w:color w:val="000000"/>
          <w:sz w:val="24"/>
        </w:rPr>
        <w:t xml:space="preserve">）；</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color w:val="000000"/>
          <w:sz w:val="24"/>
          <w:lang w:val="en-US" w:eastAsia="zh-CN"/>
        </w:rPr>
        <w:t xml:space="preserve">4、《</w:t>
      </w:r>
      <w:r>
        <w:rPr>
          <w:rFonts w:hint="eastAsia" w:ascii="宋体" w:hAnsi="宋体" w:cs="宋体"/>
          <w:b/>
          <w:bCs/>
          <w:color w:val="000000" w:themeColor="text1"/>
          <w:sz w:val="24"/>
          <w14:textFill>
            <w14:solidFill>
              <w14:schemeClr w14:val="tx1"/>
            </w14:solidFill>
          </w14:textFill>
        </w:rPr>
        <w:t xml:space="preserve">偏离表</w:t>
      </w:r>
      <w:r>
        <w:rPr>
          <w:rFonts w:hint="eastAsia" w:ascii="宋体" w:hAnsi="宋体" w:cs="宋体"/>
          <w:b/>
          <w:color w:val="000000"/>
          <w:sz w:val="24"/>
          <w:lang w:val="en-US" w:eastAsia="zh-CN"/>
        </w:rPr>
        <w:t xml:space="preserve">》</w:t>
      </w:r>
      <w:r>
        <w:rPr>
          <w:rFonts w:hint="eastAsia" w:ascii="宋体" w:hAnsi="宋体" w:cs="宋体"/>
          <w:b/>
          <w:bCs/>
          <w:color w:val="000000" w:themeColor="text1"/>
          <w:sz w:val="24"/>
          <w14:textFill>
            <w14:solidFill>
              <w14:schemeClr w14:val="tx1"/>
            </w14:solidFill>
          </w14:textFill>
        </w:rPr>
        <w:t xml:space="preserve">（加盖电子签章，格式见《磋商文件》附件）；</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5</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分项价格表</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（加盖电子签章，格式《磋商文件》附件）；</w:t>
      </w:r>
      <w:r/>
    </w:p>
    <w:p>
      <w:pPr>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（四）综合评审评分项</w:t>
      </w:r>
      <w:r/>
    </w:p>
    <w:p>
      <w:pPr>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一)技术部分：</w:t>
      </w:r>
      <w:r/>
    </w:p>
    <w:p>
      <w:pPr>
        <w:ind w:firstLine="482"/>
        <w:keepLines w:val="0"/>
        <w:keepNext w:val="0"/>
        <w:pageBreakBefore w:val="0"/>
        <w:spacing w:line="360"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1、技术方案</w:t>
      </w:r>
      <w:r>
        <w:rPr>
          <w:rFonts w:hint="eastAsia" w:ascii="宋体" w:hAnsi="宋体" w:cs="宋体"/>
          <w:color w:val="000000" w:themeColor="text1"/>
          <w:sz w:val="24"/>
          <w:highlight w:val="none"/>
          <w:lang w:val="en-US" w:eastAsia="zh-CN"/>
          <w14:textFill>
            <w14:solidFill>
              <w14:schemeClr w14:val="tx1"/>
            </w14:solidFill>
          </w14:textFill>
        </w:rPr>
        <w:t xml:space="preserve">（要求见《磋商文件》附件1、《评分细则》及附件：2、《项目要求（采购需求）》）；</w:t>
      </w:r>
      <w:r/>
    </w:p>
    <w:p>
      <w:pPr>
        <w:ind w:firstLine="482"/>
        <w:keepLines w:val="0"/>
        <w:keepNext w:val="0"/>
        <w:pageBreakBefore w:val="0"/>
        <w:spacing w:line="360" w:lineRule="auto"/>
        <w:widowControl w:val="off"/>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lang w:val="en-US"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ind w:firstLine="24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二）商务部分：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1、供应商业绩（要求见《磋商文件》附件1、《评分细则》）；</w:t>
      </w:r>
      <w:r/>
    </w:p>
    <w:p>
      <w:pPr>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pStyle w:val="931"/>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93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1、企业报价折扣证明：无。</w:t>
      </w:r>
      <w:r/>
    </w:p>
    <w:p>
      <w:pPr>
        <w:pStyle w:val="93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（六）提交的首次响应文件的密封、签署、盖章要求：</w:t>
      </w:r>
      <w:r/>
    </w:p>
    <w:p>
      <w:pPr>
        <w:pStyle w:val="931"/>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1、密封（加密）要求：</w:t>
      </w:r>
      <w:r/>
    </w:p>
    <w:p>
      <w:pPr>
        <w:pStyle w:val="93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31"/>
        <w:numPr>
          <w:ilvl w:val="0"/>
          <w:numId w:val="2"/>
        </w:num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签署要求：见《磋商文件》第九章附件中相关格式要求</w:t>
      </w:r>
      <w:r>
        <w:rPr>
          <w:rFonts w:hint="eastAsia" w:ascii="宋体" w:hAnsi="宋体" w:cs="宋体"/>
          <w:color w:val="000000" w:themeColor="text1"/>
          <w:sz w:val="24"/>
          <w:lang w:eastAsia="zh-CN"/>
          <w14:textFill>
            <w14:solidFill>
              <w14:schemeClr w14:val="tx1"/>
            </w14:solidFill>
          </w14:textFill>
        </w:rPr>
        <w:t xml:space="preserve">。</w:t>
      </w:r>
      <w:r/>
    </w:p>
    <w:p>
      <w:pPr>
        <w:pStyle w:val="931"/>
        <w:numPr>
          <w:ilvl w:val="0"/>
          <w:numId w:val="0"/>
        </w:numPr>
        <w:ind w:firstLine="482"/>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931"/>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93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（七）通过“苏采云”系统提交政府采购客户端工具导出加密的响应文件（后缀名为zip）。响应文件不得超过150M！ </w:t>
      </w:r>
      <w:r/>
    </w:p>
    <w:p>
      <w:pPr>
        <w:pStyle w:val="931"/>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p>
    <w:p>
      <w:pPr>
        <w:pStyle w:val="931"/>
        <w:numPr>
          <w:ilvl w:val="0"/>
          <w:numId w:val="3"/>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供应商应当按照《磋商文件》的要求编制响应文件，并对其提交的响应文件的真实性、合法性承担法律责任。</w:t>
      </w:r>
      <w:r/>
    </w:p>
    <w:p>
      <w:pPr>
        <w:pStyle w:val="931"/>
        <w:numPr>
          <w:ilvl w:val="0"/>
          <w:numId w:val="3"/>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采购人索取成交供应商的响应文件，须在双方签订政府采购合同后，由采购代理机构提供给采购人。</w:t>
      </w:r>
      <w:r/>
    </w:p>
    <w:p>
      <w:pPr>
        <w:pStyle w:val="931"/>
        <w:ind w:firstLine="478"/>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31"/>
        <w:ind w:firstLine="478"/>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第四章 磋商相关说明</w:t>
      </w:r>
      <w:r/>
    </w:p>
    <w:p>
      <w:pPr>
        <w:pStyle w:val="93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十四、磋商相关说明</w:t>
      </w:r>
      <w:r/>
    </w:p>
    <w:p>
      <w:pPr>
        <w:pStyle w:val="93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（一）磋商要求</w:t>
      </w:r>
      <w:r/>
    </w:p>
    <w:p>
      <w:pPr>
        <w:pStyle w:val="93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93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2、供应商可通过CA数字证书，在首次响应文件开启时间后，使用CA数字证书在规定时间内解密各自响应文件。</w:t>
      </w:r>
      <w:r/>
    </w:p>
    <w:p>
      <w:pPr>
        <w:pStyle w:val="931"/>
        <w:ind w:firstLine="482"/>
        <w:keepLines w:val="0"/>
        <w:keepNext w:val="0"/>
        <w:pageBreakBefore w:val="0"/>
        <w:spacing w:line="360" w:lineRule="auto"/>
        <w:widowControl w:val="off"/>
        <w:rPr>
          <w:rFonts w:ascii="宋体" w:hAnsi="宋体" w:cs="宋体"/>
          <w:b/>
          <w:bCs/>
          <w:color w:val="000000" w:themeColor="text1"/>
          <w:sz w:val="24"/>
          <w:highlight w:val="yellow"/>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3、供应商的授权代表或法人须全程守候在“苏采云”系统开标大厅，并确保视频设备正常使用。</w:t>
      </w:r>
      <w:r/>
    </w:p>
    <w:p>
      <w:pPr>
        <w:pStyle w:val="931"/>
        <w:ind w:firstLine="48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3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6、未在规定时间内进行答疑澄清的，视同放弃澄清。</w:t>
      </w:r>
      <w:r/>
    </w:p>
    <w:p>
      <w:pPr>
        <w:pStyle w:val="931"/>
        <w:ind w:firstLine="482"/>
        <w:keepLines w:val="0"/>
        <w:keepNext w:val="0"/>
        <w:pageBreakBefore w:val="0"/>
        <w:spacing w:line="360" w:lineRule="auto"/>
        <w:widowControl w:val="off"/>
        <w:rPr>
          <w:rFonts w:hint="eastAsia"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7、未在规定时间内进行报价的，视为响应无效。</w:t>
      </w:r>
      <w:r/>
    </w:p>
    <w:p>
      <w:pPr>
        <w:pStyle w:val="921"/>
        <w:ind w:left="0" w:firstLine="482"/>
        <w:spacing w:line="360" w:lineRule="auto"/>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931"/>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8、被邀请参与磋商的供应商如未按上述磋商要求执行，视同放弃磋商的权利。</w:t>
      </w:r>
      <w:r/>
    </w:p>
    <w:p>
      <w:pPr>
        <w:pStyle w:val="93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 (</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 查询及使用供应商信用记录</w:t>
      </w:r>
      <w:r/>
    </w:p>
    <w:p>
      <w:pPr>
        <w:pStyle w:val="93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pStyle w:val="93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pStyle w:val="93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pStyle w:val="93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（2）中国政府采购网（www.ccgp.gov.cn）；</w:t>
      </w:r>
      <w:r/>
    </w:p>
    <w:p>
      <w:pPr>
        <w:pStyle w:val="1068"/>
        <w:ind w:right="0" w:firstLine="480"/>
        <w:keepLines w:val="0"/>
        <w:keepNext w:val="0"/>
        <w:pageBreakBefore w:val="0"/>
        <w:spacing w:line="360" w:lineRule="auto"/>
        <w:rPr>
          <w:rStyle w:val="994"/>
          <w:rFonts w:ascii="宋体" w:hAnsi="宋体"/>
          <w:color w:val="000000" w:themeColor="text1"/>
          <w:sz w:val="24"/>
          <w14:textFill>
            <w14:solidFill>
              <w14:schemeClr w14:val="tx1"/>
            </w14:solidFill>
          </w14:textFill>
        </w:rPr>
      </w:pPr>
      <w:r>
        <w:rPr>
          <w:rStyle w:val="994"/>
          <w:rFonts w:hint="eastAsia" w:ascii="宋体" w:hAnsi="宋体"/>
          <w:color w:val="000000" w:themeColor="text1"/>
          <w:sz w:val="24"/>
          <w14:textFill>
            <w14:solidFill>
              <w14:schemeClr w14:val="tx1"/>
            </w14:solidFill>
          </w14:textFill>
        </w:rPr>
        <w:t xml:space="preserve">（3）“信用江苏”网（http://credit.jiangsu.gov.cn/）；</w:t>
      </w:r>
      <w:r/>
    </w:p>
    <w:p>
      <w:pPr>
        <w:pStyle w:val="1068"/>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Style w:val="994"/>
          <w:rFonts w:hint="eastAsia" w:ascii="宋体" w:hAnsi="宋体"/>
          <w:color w:val="000000" w:themeColor="text1"/>
          <w:sz w:val="24"/>
          <w14:textFill>
            <w14:solidFill>
              <w14:schemeClr w14:val="tx1"/>
            </w14:solidFill>
          </w14:textFill>
        </w:rPr>
        <w:t xml:space="preserve">（4）“信用徐州”网（http://www.xuzhoucredit.gov.cn）</w:t>
      </w:r>
      <w:r>
        <w:rPr>
          <w:rStyle w:val="994"/>
          <w:rFonts w:ascii="宋体" w:hAnsi="宋体"/>
          <w:color w:val="000000" w:themeColor="text1"/>
          <w:sz w:val="24"/>
          <w14:textFill>
            <w14:solidFill>
              <w14:schemeClr w14:val="tx1"/>
            </w14:solidFill>
          </w14:textFill>
        </w:rPr>
        <w:t xml:space="preserve">。</w:t>
      </w:r>
      <w:r/>
    </w:p>
    <w:p>
      <w:pPr>
        <w:pStyle w:val="93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pStyle w:val="93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pStyle w:val="931"/>
        <w:ind w:right="0" w:firstLine="482"/>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网页截屏打印，与其他采购文件一并保存。</w:t>
      </w:r>
      <w:r/>
    </w:p>
    <w:p>
      <w:pPr>
        <w:pStyle w:val="93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pStyle w:val="931"/>
        <w:ind w:right="0" w:firstLine="48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31"/>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十五、评审程序</w:t>
      </w:r>
      <w:r/>
    </w:p>
    <w:p>
      <w:pPr>
        <w:pStyle w:val="93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3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93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93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w:t>
      </w:r>
      <w:r>
        <w:rPr>
          <w:rFonts w:hint="eastAsia" w:ascii="宋体" w:hAnsi="宋体" w:cs="宋体"/>
          <w:color w:val="000000" w:themeColor="text1"/>
          <w:sz w:val="24"/>
          <w:highlight w:val="none"/>
          <w14:textFill>
            <w14:solidFill>
              <w14:schemeClr w14:val="tx1"/>
            </w14:solidFill>
          </w14:textFill>
        </w:rPr>
        <w:t xml:space="preserve">的，按照</w:t>
      </w:r>
      <w:r>
        <w:rPr>
          <w:rFonts w:hint="eastAsia" w:ascii="宋体" w:hAnsi="宋体" w:cs="宋体"/>
          <w:color w:val="000000" w:themeColor="text1"/>
          <w:sz w:val="24"/>
          <w:highlight w:val="none"/>
          <w:lang w:val="en-US" w:eastAsia="zh-CN"/>
          <w14:textFill>
            <w14:solidFill>
              <w14:schemeClr w14:val="tx1"/>
            </w14:solidFill>
          </w14:textFill>
        </w:rPr>
        <w:t xml:space="preserve">技术</w:t>
      </w:r>
      <w:r>
        <w:rPr>
          <w:rFonts w:hint="eastAsia" w:ascii="宋体" w:hAnsi="宋体" w:cs="宋体"/>
          <w:b/>
          <w:bCs/>
          <w:color w:val="000000" w:themeColor="text1"/>
          <w:sz w:val="24"/>
          <w:highlight w:val="none"/>
          <w:lang w:val="en-US" w:eastAsia="zh-CN"/>
          <w14:textFill>
            <w14:solidFill>
              <w14:schemeClr w14:val="tx1"/>
            </w14:solidFill>
          </w14:textFill>
        </w:rPr>
        <w:t xml:space="preserve">方案</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得分</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顺序推荐。</w:t>
      </w:r>
      <w:r/>
    </w:p>
    <w:p>
      <w:pPr>
        <w:pStyle w:val="931"/>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3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评审过程中出现下列情形之一的，磋商小组应当启动异常低价投标（响应）审查程序：</w:t>
      </w:r>
      <w:r/>
    </w:p>
    <w:p>
      <w:pPr>
        <w:pStyle w:val="93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pStyle w:val="93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pStyle w:val="93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③投标(响应)报价低于采购项目最高限价45%的，即投标(响应)报价&lt;采购项目最高限价×45%；</w:t>
      </w:r>
      <w:r/>
    </w:p>
    <w:p>
      <w:pPr>
        <w:pStyle w:val="931"/>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④磋商小组基于专业判断，认为供应商报价过低，有可能影响产品质量或者不能诚信履约的其他情形。</w:t>
      </w:r>
      <w:r/>
    </w:p>
    <w:p>
      <w:pPr>
        <w:pStyle w:val="931"/>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1"/>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93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31"/>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异常低价投标(响应)审查的启动原因、审查意见和审查结果应当在评审报告中记录，并随供应商提供的相关书面说明及证明材料，以及磋商小组有关互联网浏览、查询历史一并归档。</w:t>
      </w:r>
      <w:r/>
    </w:p>
    <w:p>
      <w:pPr>
        <w:pStyle w:val="931"/>
        <w:ind w:firstLine="48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31"/>
        <w:ind w:right="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十六、</w:t>
      </w:r>
      <w:r>
        <w:rPr>
          <w:rFonts w:hint="eastAsia" w:ascii="宋体" w:hAnsi="宋体" w:cs="宋体"/>
          <w:b/>
          <w:bCs/>
          <w:color w:val="000000" w:themeColor="text1"/>
          <w:sz w:val="24"/>
          <w14:textFill>
            <w14:solidFill>
              <w14:schemeClr w14:val="tx1"/>
            </w14:solidFill>
          </w14:textFill>
        </w:rPr>
        <w:t xml:space="preserve">评审方法和评审标准</w:t>
      </w:r>
      <w:r/>
    </w:p>
    <w:p>
      <w:pPr>
        <w:pStyle w:val="93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pStyle w:val="931"/>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pStyle w:val="931"/>
        <w:ind w:right="29"/>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七</w:t>
      </w:r>
      <w:r>
        <w:rPr>
          <w:rFonts w:hint="eastAsia" w:ascii="宋体" w:hAnsi="宋体" w:cs="宋体"/>
          <w:b/>
          <w:bCs/>
          <w:color w:val="000000" w:themeColor="text1"/>
          <w:sz w:val="24"/>
          <w14:textFill>
            <w14:solidFill>
              <w14:schemeClr w14:val="tx1"/>
            </w14:solidFill>
          </w14:textFill>
        </w:rPr>
        <w:t xml:space="preserve">、有下列情形之一的，其响应无效：</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1、供应商未在规定时间内解密电子响应文件的；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3、供应商未在规定时间内进行二轮报价的；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4、供应商的法定代表人参加投标未提供法人资格证明的；授权代表无法定代表人授权委托书的；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9、磋商报价超过本项目（采购包）预算或最高限价的；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10、响应文件中工作人员配备要求、设备配置不满足项目需求的；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11、响应文件提出了不能满足磋商文件要求或采购人不能接受的验收、计量、价款结算和支付办法的；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12、不同供应商的响应文件以及响应文件制作过程出现了磋商小组认为不应当雷同的情况的；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13、不同供应商委托同一单位或者个人办理磋商事宜的。</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14、未按磋商文件规定的格式填写，内容不全或关键字模糊、无法辨认的；</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15、响应文件内容不全或不符合磋商文件中规定的其他实质性要求的； </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31"/>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17、法律法规和磋商文件规定的其他无效情形。</w:t>
      </w:r>
      <w:r/>
    </w:p>
    <w:p>
      <w:pPr>
        <w:pStyle w:val="931"/>
        <w:ind w:right="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八</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磋商过程中可能实质性变动的内容：在磋商过程中，磋商小组可以根据《磋商文件》和磋商情况实质性变动采购需求中的技术、服务要求以及拟签订的合同文本。</w:t>
      </w:r>
      <w:r/>
    </w:p>
    <w:p>
      <w:pPr>
        <w:pStyle w:val="931"/>
        <w:ind w:right="29"/>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九</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31"/>
        <w:ind w:left="2" w:right="29" w:firstLine="480"/>
        <w:jc w:val="both"/>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31"/>
        <w:ind w:right="2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第五章 确定成交供应商及合同签订等</w:t>
      </w:r>
      <w:r/>
    </w:p>
    <w:p>
      <w:pPr>
        <w:pStyle w:val="931"/>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二十</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31"/>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二十一</w:t>
      </w:r>
      <w:r>
        <w:rPr>
          <w:rFonts w:hint="eastAsia" w:ascii="宋体" w:hAnsi="宋体" w:cs="宋体"/>
          <w:b/>
          <w:bCs/>
          <w:color w:val="000000" w:themeColor="text1"/>
          <w:sz w:val="24"/>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14:textFill>
            <w14:solidFill>
              <w14:schemeClr w14:val="tx1"/>
            </w14:solidFill>
          </w14:textFill>
        </w:rPr>
        <w:t xml:space="preserve">按照《磋商文件》确定的合同文本以及采购标的、规格型号、采购金额、采购数量、技术和服务要求等事项签订政府采购合同。</w:t>
      </w:r>
      <w:r/>
    </w:p>
    <w:p>
      <w:pPr>
        <w:pStyle w:val="931"/>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特别说明：</w:t>
      </w:r>
      <w:r>
        <w:rPr>
          <w:rFonts w:hint="eastAsia" w:ascii="宋体" w:hAnsi="宋体" w:cs="宋体"/>
          <w:color w:val="000000" w:themeColor="text1"/>
          <w:sz w:val="24"/>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931"/>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31"/>
        <w:ind w:firstLine="480"/>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31"/>
        <w:ind w:firstLine="480"/>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第六章 磋商文件的澄清或者修改</w:t>
      </w:r>
      <w:r/>
    </w:p>
    <w:p>
      <w:pPr>
        <w:pStyle w:val="931"/>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三</w:t>
      </w:r>
      <w:r>
        <w:rPr>
          <w:rFonts w:hint="eastAsia" w:ascii="宋体" w:hAnsi="宋体" w:cs="宋体"/>
          <w:b/>
          <w:bCs/>
          <w:color w:val="000000" w:themeColor="text1"/>
          <w:sz w:val="24"/>
          <w14:textFill>
            <w14:solidFill>
              <w14:schemeClr w14:val="tx1"/>
            </w14:solidFill>
          </w14:textFill>
        </w:rPr>
        <w:t xml:space="preserve">、《磋商文件》的澄清或者修改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第七章 询问和质疑</w:t>
      </w:r>
      <w:r/>
    </w:p>
    <w:p>
      <w:pPr>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四</w:t>
      </w:r>
      <w:r>
        <w:rPr>
          <w:rFonts w:hint="eastAsia" w:ascii="宋体" w:hAnsi="宋体" w:cs="宋体"/>
          <w:b/>
          <w:bCs/>
          <w:color w:val="000000" w:themeColor="text1"/>
          <w:sz w:val="24"/>
          <w14:textFill>
            <w14:solidFill>
              <w14:schemeClr w14:val="tx1"/>
            </w14:solidFill>
          </w14:textFill>
        </w:rPr>
        <w:t xml:space="preserve">、询问和质疑</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2、供应商针对同一采购程序环节的质疑应当在法定质疑期内一次性提出。</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3、质疑和投诉按《政府采购质疑和投诉办法》执行。</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4、接收质疑函的方式：供应商直接送交或供应商通过EMS邮寄。</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张浩</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val="en-US" w:eastAsia="zh-CN"/>
          <w14:textFill>
            <w14:solidFill>
              <w14:schemeClr w14:val="tx1"/>
            </w14:solidFill>
          </w14:textFill>
        </w:rPr>
        <w:t xml:space="preserve">18012008805</w:t>
      </w:r>
      <w:r/>
    </w:p>
    <w:p>
      <w:pPr>
        <w:ind w:firstLine="480"/>
        <w:keepLines w:val="0"/>
        <w:keepNext w:val="0"/>
        <w:pageBreakBefore w:val="0"/>
        <w:spacing w:line="360" w:lineRule="auto"/>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云创科技园C3号楼东单元402室</w:t>
      </w:r>
      <w:r/>
    </w:p>
    <w:p>
      <w:pPr>
        <w:ind w:firstLine="420"/>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ind w:firstLine="420"/>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第八章 </w:t>
      </w:r>
      <w:r>
        <w:rPr>
          <w:rFonts w:hint="eastAsia" w:ascii="宋体" w:hAnsi="宋体" w:cs="宋体"/>
          <w:b/>
          <w:bCs/>
          <w:color w:val="000000" w:themeColor="text1"/>
          <w:sz w:val="24"/>
          <w:lang w:val="en-US" w:eastAsia="zh-CN"/>
          <w14:textFill>
            <w14:solidFill>
              <w14:schemeClr w14:val="tx1"/>
            </w14:solidFill>
          </w14:textFill>
        </w:rPr>
        <w:t xml:space="preserve">其他</w:t>
      </w:r>
      <w:r/>
    </w:p>
    <w:p>
      <w:pPr>
        <w:ind w:firstLine="480"/>
        <w:keepLines w:val="0"/>
        <w:keepNext w:val="0"/>
        <w:pageBreakBefore w:val="0"/>
        <w:spacing w:line="360" w:lineRule="auto"/>
        <w:widowControl w:val="off"/>
        <w:rPr>
          <w:rFonts w:hint="eastAsia" w:ascii="宋体" w:hAnsi="宋体" w:cs="宋体"/>
          <w:b w:val="0"/>
          <w:bCs w:val="0"/>
          <w:sz w:val="24"/>
          <w:szCs w:val="24"/>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w:t>
      </w:r>
      <w:r>
        <w:rPr>
          <w:rFonts w:ascii="SimSun" w:hAnsi="SimSun" w:eastAsia="SimSun" w:cs="SimSun"/>
          <w:b w:val="0"/>
          <w:bCs w:val="0"/>
          <w:color w:val="000000"/>
          <w:sz w:val="24"/>
        </w:rPr>
        <w:t xml:space="preserve">本项目代理服务费由采购人支付，收取标准见附件。</w:t>
      </w:r>
      <w:r>
        <w:rPr>
          <w:rFonts w:hint="eastAsia" w:ascii="宋体" w:hAnsi="宋体" w:cs="宋体"/>
          <w:b w:val="0"/>
          <w:bCs w:val="0"/>
          <w:color w:val="000000" w:themeColor="text1"/>
          <w:sz w:val="24"/>
          <w:highlight w:val="none"/>
          <w:lang w:val="en-US" w:eastAsia="zh-CN"/>
          <w14:textFill>
            <w14:solidFill>
              <w14:schemeClr w14:val="tx1"/>
            </w14:solidFill>
          </w14:textFill>
        </w:rPr>
      </w:r>
      <w:r>
        <w:rPr>
          <w:rFonts w:hint="eastAsia" w:ascii="宋体" w:hAnsi="宋体" w:cs="宋体"/>
          <w:b w:val="0"/>
          <w:bCs w:val="0"/>
          <w:color w:val="000000" w:themeColor="text1"/>
          <w:sz w:val="24"/>
          <w:highlight w:val="none"/>
          <w:lang w:val="en-US" w:eastAsia="zh-CN"/>
          <w14:textFill>
            <w14:solidFill>
              <w14:schemeClr w14:val="tx1"/>
            </w14:solidFill>
          </w14:textFill>
        </w:rPr>
      </w:r>
    </w:p>
    <w:p>
      <w:pPr>
        <w:ind w:firstLine="480"/>
        <w:keepLines w:val="0"/>
        <w:keepNext w:val="0"/>
        <w:pageBreakBefore w:val="0"/>
        <w:spacing w:line="360" w:lineRule="auto"/>
        <w:widowControl w:val="off"/>
        <w:rPr>
          <w:rFonts w:hint="eastAsia" w:ascii="宋体" w:hAnsi="宋体" w:cs="宋体"/>
          <w:b w:val="0"/>
          <w:bCs w:val="0"/>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w:t>
      </w:r>
      <w:r>
        <w:rPr>
          <w:rFonts w:hint="eastAsia" w:ascii="宋体" w:hAnsi="宋体" w:cs="宋体"/>
          <w:b w:val="0"/>
          <w:bCs w:val="0"/>
          <w:color w:val="000000" w:themeColor="text1"/>
          <w:sz w:val="24"/>
          <w:lang w:val="en-US" w:eastAsia="zh-CN"/>
          <w14:textFill>
            <w14:solidFill>
              <w14:schemeClr w14:val="tx1"/>
            </w14:solidFill>
          </w14:textFill>
        </w:rPr>
        <w:t xml:space="preserve">、</w:t>
      </w:r>
      <w:r>
        <w:rPr>
          <w:rFonts w:hint="eastAsia" w:ascii="宋体" w:hAnsi="宋体" w:cs="宋体"/>
          <w:b w:val="0"/>
          <w:bCs w:val="0"/>
          <w:color w:val="000000" w:themeColor="text1"/>
          <w:sz w:val="24"/>
          <w:lang w:val="en-US" w:eastAsia="zh-CN"/>
          <w14:textFill>
            <w14:solidFill>
              <w14:schemeClr w14:val="tx1"/>
            </w14:solidFill>
          </w14:textFill>
        </w:rPr>
        <w:t xml:space="preserve">联系方式</w:t>
      </w:r>
      <w:r/>
    </w:p>
    <w:p>
      <w:pPr>
        <w:ind w:firstLine="480"/>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eastAsia="zh-CN"/>
          <w14:textFill>
            <w14:solidFill>
              <w14:schemeClr w14:val="tx1"/>
            </w14:solidFill>
          </w14:textFill>
        </w:rPr>
        <w:t xml:space="preserve">睢宁县农业农村局</w:t>
      </w:r>
      <w:r/>
    </w:p>
    <w:p>
      <w:pPr>
        <w:ind w:firstLine="480"/>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w:t>
      </w:r>
      <w:r>
        <w:rPr>
          <w:rFonts w:hint="eastAsia" w:ascii="宋体" w:hAnsi="宋体" w:cs="宋体"/>
          <w:color w:val="000000" w:themeColor="text1"/>
          <w:sz w:val="24"/>
          <w:lang w:eastAsia="zh-CN"/>
          <w14:textFill>
            <w14:solidFill>
              <w14:schemeClr w14:val="tx1"/>
            </w14:solidFill>
          </w14:textFill>
        </w:rPr>
        <w:t xml:space="preserve">睢宁县永康路商务服务中心</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联系方式：李广钻  13775828096 </w:t>
      </w:r>
      <w:r/>
    </w:p>
    <w:p>
      <w:pPr>
        <w:pStyle w:val="921"/>
      </w:pPr>
      <w:r/>
      <w:r/>
    </w:p>
    <w:p>
      <w:pPr>
        <w:ind w:firstLine="480"/>
        <w:keepLines w:val="0"/>
        <w:keepNext w:val="0"/>
        <w:pageBreakBefore w:val="0"/>
        <w:spacing w:line="360" w:lineRule="auto"/>
        <w:widowControl w:val="off"/>
        <w:rPr>
          <w:rFonts w:hint="eastAsia" w:eastAsia="宋体"/>
          <w:highlight w:val="none"/>
          <w:lang w:eastAsia="zh-CN"/>
        </w:rPr>
      </w:pPr>
      <w:r>
        <w:rPr>
          <w:rFonts w:hint="eastAsia" w:ascii="宋体" w:hAnsi="宋体" w:cs="宋体"/>
          <w:color w:val="000000" w:themeColor="text1"/>
          <w:sz w:val="24"/>
          <w:highlight w:val="none"/>
          <w14:textFill>
            <w14:solidFill>
              <w14:schemeClr w14:val="tx1"/>
            </w14:solidFill>
          </w14:textFill>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江苏辰星</w:t>
      </w:r>
      <w:r>
        <w:rPr>
          <w:rFonts w:hint="eastAsia" w:ascii="宋体" w:hAnsi="宋体" w:cs="宋体"/>
          <w:color w:val="000000"/>
          <w:sz w:val="24"/>
          <w:szCs w:val="24"/>
          <w:highlight w:val="none"/>
          <w:lang w:val="en-US" w:eastAsia="zh-CN"/>
        </w:rPr>
        <w:t xml:space="preserve">工程</w:t>
      </w:r>
      <w:r>
        <w:rPr>
          <w:rFonts w:hint="eastAsia" w:ascii="宋体" w:hAnsi="宋体" w:cs="宋体"/>
          <w:color w:val="000000"/>
          <w:sz w:val="24"/>
          <w:szCs w:val="24"/>
          <w:highlight w:val="none"/>
          <w:lang w:eastAsia="zh-CN"/>
        </w:rPr>
        <w:t xml:space="preserve">项目管理有限公司</w:t>
      </w:r>
      <w:r/>
    </w:p>
    <w:p>
      <w:pPr>
        <w:pStyle w:val="912"/>
        <w:ind w:left="0" w:firstLine="480"/>
        <w:jc w:val="both"/>
        <w:keepLines w:val="0"/>
        <w:keepNext w:val="0"/>
        <w:spacing w:before="0" w:beforeAutospacing="0" w:after="0" w:afterAutospacing="0"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云创科技园C3号楼东单元402室</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张浩   18012008805</w:t>
      </w:r>
      <w:r/>
    </w:p>
    <w:p>
      <w:pPr>
        <w:pStyle w:val="912"/>
        <w:ind w:left="0" w:firstLine="480"/>
        <w:jc w:val="both"/>
        <w:keepLines w:val="0"/>
        <w:keepNext w:val="0"/>
        <w:spacing w:before="0" w:beforeAutospacing="0" w:after="0" w:afterAutospacing="0" w:line="360" w:lineRule="auto"/>
        <w:widowControl w:val="off"/>
        <w:rPr>
          <w:rFonts w:hint="eastAsia" w:ascii="宋体" w:hAnsi="宋体" w:cs="宋体"/>
          <w:b/>
          <w:bCs/>
          <w:color w:val="000000" w:themeColor="text1"/>
          <w:sz w:val="24"/>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第九章 附件</w:t>
      </w:r>
      <w:r/>
    </w:p>
    <w:p>
      <w:pPr>
        <w:ind w:firstLine="482"/>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lang w:eastAsia="zh-CN"/>
          <w14:textFill>
            <w14:solidFill>
              <w14:schemeClr w14:val="tx1"/>
            </w14:solidFill>
          </w14:textFill>
        </w:rPr>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分项价格表</w:t>
      </w:r>
      <w:r>
        <w:rPr>
          <w:rFonts w:hint="eastAsia" w:ascii="宋体" w:hAnsi="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5、《偏离表》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6、《拟签订的合同文本》</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7、《承诺书》</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rPr>
          <w:rFonts w:hint="eastAsia" w:ascii="宋体" w:hAnsi="宋体" w:cs="宋体"/>
          <w:b w:val="0"/>
          <w:bCs w:val="0"/>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《授权委托书》</w:t>
      </w:r>
      <w:r/>
    </w:p>
    <w:p>
      <w:pPr>
        <w:ind w:firstLine="482"/>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9、</w:t>
      </w:r>
      <w:r>
        <w:rPr>
          <w:rFonts w:hint="eastAsia" w:ascii="宋体" w:hAnsi="宋体" w:cs="宋体"/>
          <w:b w:val="0"/>
          <w:bCs w:val="0"/>
          <w:color w:val="000000" w:themeColor="text1"/>
          <w:sz w:val="24"/>
          <w14:textFill>
            <w14:solidFill>
              <w14:schemeClr w14:val="tx1"/>
            </w14:solidFill>
          </w14:textFill>
        </w:rPr>
        <w:t xml:space="preserve">《中小企业声明函》</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0</w:t>
      </w:r>
      <w:r>
        <w:rPr>
          <w:rFonts w:hint="eastAsia" w:ascii="宋体" w:hAnsi="宋体" w:cs="宋体"/>
          <w:color w:val="000000" w:themeColor="text1"/>
          <w:sz w:val="24"/>
          <w14:textFill>
            <w14:solidFill>
              <w14:schemeClr w14:val="tx1"/>
            </w14:solidFill>
          </w14:textFill>
        </w:rPr>
        <w:t xml:space="preserve">、《供应商参加政府采购活动前3年内在经营活动中没有重大违法记录的书面声明》</w:t>
      </w:r>
      <w:r/>
    </w:p>
    <w:p>
      <w:pPr>
        <w:ind w:firstLine="482"/>
        <w:keepLines w:val="0"/>
        <w:keepNext w:val="0"/>
        <w:pageBreakBefore w:val="0"/>
        <w:spacing w:line="360" w:lineRule="auto"/>
        <w:widowControl w:val="off"/>
        <w:rPr>
          <w:rFonts w:hint="default" w:ascii="宋体" w:hAnsi="宋体" w:eastAsia="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11、《具备履行合同所必需的设备和专业技术能力的书面声明（附证明材料扫描件）》</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、《预付款保函支付条款模板》</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14、</w:t>
      </w:r>
      <w:r>
        <w:rPr>
          <w:rFonts w:ascii="宋体" w:hAnsi="宋体" w:eastAsia="宋体" w:cs="宋体"/>
          <w:color w:val="000000"/>
          <w:sz w:val="24"/>
        </w:rPr>
        <w:t xml:space="preserve">《代理服务收费标准》</w:t>
      </w:r>
      <w:r/>
    </w:p>
    <w:p>
      <w:pPr>
        <w:numPr>
          <w:ilvl w:val="0"/>
          <w:numId w:val="4"/>
        </w:numPr>
        <w:jc w:val="right"/>
        <w:spacing w:line="0" w:lineRule="atLeast"/>
        <w:rPr>
          <w:rFonts w:ascii="宋体" w:hAnsi="宋体" w:cs="宋体"/>
          <w:b/>
          <w:color w:val="000000" w:themeColor="text1"/>
          <w:sz w:val="36"/>
          <w:highlight w:val="yellow"/>
          <w14:textFill>
            <w14:solidFill>
              <w14:schemeClr w14:val="tx1"/>
            </w14:solidFill>
          </w14:textFill>
        </w:rPr>
        <w:sectPr>
          <w:headerReference w:type="default" r:id="rId9"/>
          <w:headerReference w:type="first" r:id="rId10"/>
          <w:footerReference w:type="default" r:id="rId13"/>
          <w:footerReference w:type="first" r:id="rId14"/>
          <w:footnotePr/>
          <w:endnotePr/>
          <w:type w:val="nextPage"/>
          <w:pgSz w:w="11906" w:h="16838" w:orient="portrait"/>
          <w:pgMar w:top="1434" w:right="1434" w:bottom="1434" w:left="1434" w:header="851" w:footer="992" w:gutter="0"/>
          <w:pgNumType w:start="1"/>
          <w:cols w:num="1" w:sep="0" w:space="1701" w:equalWidth="1"/>
          <w:docGrid w:linePitch="360"/>
          <w:titlePg/>
        </w:sectPr>
      </w:pPr>
      <w:r>
        <w:rPr>
          <w:rFonts w:ascii="宋体" w:hAnsi="宋体" w:cs="宋体"/>
          <w:b/>
          <w:color w:val="000000" w:themeColor="text1"/>
          <w:sz w:val="36"/>
          <w:highlight w:val="yellow"/>
          <w14:textFill>
            <w14:solidFill>
              <w14:schemeClr w14:val="tx1"/>
            </w14:solidFill>
          </w14:textFill>
        </w:rPr>
      </w:r>
      <w:r/>
    </w:p>
    <w:p>
      <w:pPr>
        <w:pStyle w:val="930"/>
        <w:numPr>
          <w:ilvl w:val="0"/>
          <w:numId w:val="0"/>
        </w:numPr>
        <w:ind w:left="0"/>
        <w:jc w:val="center"/>
        <w:keepLines w:val="0"/>
        <w:keepNext w:val="0"/>
        <w:pageBreakBefore w:val="0"/>
        <w:spacing w:line="360" w:lineRule="auto"/>
        <w:widowControl/>
        <w:rPr>
          <w:rFonts w:hint="eastAsia" w:ascii="宋体" w:hAnsi="宋体" w:cs="仿宋"/>
          <w:b/>
          <w:bCs/>
          <w:color w:val="auto"/>
          <w:sz w:val="32"/>
          <w:szCs w:val="32"/>
        </w:rPr>
        <w:outlineLvl w:val="0"/>
      </w:pPr>
      <w:r>
        <w:rPr>
          <w:rFonts w:hint="eastAsia" w:ascii="宋体" w:hAnsi="宋体" w:cs="仿宋"/>
          <w:b/>
          <w:bCs/>
          <w:color w:val="auto"/>
          <w:sz w:val="32"/>
          <w:szCs w:val="32"/>
          <w:lang w:val="en-US" w:eastAsia="zh-CN"/>
        </w:rPr>
        <w:t xml:space="preserve">1、</w:t>
      </w:r>
      <w:r>
        <w:rPr>
          <w:rFonts w:hint="eastAsia" w:ascii="宋体" w:hAnsi="宋体" w:eastAsia="宋体" w:cs="宋体"/>
          <w:b/>
          <w:color w:val="000000" w:themeColor="text1"/>
          <w:sz w:val="36"/>
          <w:szCs w:val="24"/>
          <w:lang w:val="en-US" w:eastAsia="zh-CN" w:bidi="ar-SA"/>
          <w14:textFill>
            <w14:solidFill>
              <w14:schemeClr w14:val="tx1"/>
            </w14:solidFill>
          </w14:textFill>
        </w:rPr>
        <w:t xml:space="preserve">评分细则</w:t>
      </w:r>
      <w:r/>
    </w:p>
    <w:tbl>
      <w:tblPr>
        <w:tblStyle w:val="915"/>
        <w:tblW w:w="50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1141"/>
        <w:gridCol w:w="1254"/>
        <w:gridCol w:w="1387"/>
        <w:gridCol w:w="4957"/>
      </w:tblGrid>
      <w:tr>
        <w:trPr>
          <w:trHeight w:val="582"/>
        </w:trPr>
        <w:tc>
          <w:tcPr>
            <w:tcW w:w="337" w:type="pct"/>
            <w:vAlign w:val="center"/>
            <w:textDirection w:val="lrTb"/>
            <w:noWrap w:val="false"/>
          </w:tcPr>
          <w:p>
            <w:pPr>
              <w:pStyle w:val="912"/>
              <w:ind w:firstLine="0"/>
              <w:jc w:val="center"/>
              <w:keepLines w:val="0"/>
              <w:keepNext w:val="0"/>
              <w:pageBreakBefore w:val="0"/>
              <w:spacing w:before="0" w:beforeAutospacing="0" w:after="0" w:afterAutospacing="0" w:line="240" w:lineRule="auto"/>
              <w:widowControl w:val="off"/>
              <w:rPr>
                <w:b/>
                <w:bCs/>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序号</w:t>
            </w:r>
            <w:r/>
          </w:p>
        </w:tc>
        <w:tc>
          <w:tcPr>
            <w:gridSpan w:val="2"/>
            <w:tcW w:w="1278" w:type="pct"/>
            <w:vAlign w:val="center"/>
            <w:textDirection w:val="lrTb"/>
            <w:noWrap w:val="false"/>
          </w:tcPr>
          <w:p>
            <w:pPr>
              <w:pStyle w:val="912"/>
              <w:ind w:firstLine="0"/>
              <w:jc w:val="center"/>
              <w:keepLines w:val="0"/>
              <w:keepNext w:val="0"/>
              <w:pageBreakBefore w:val="0"/>
              <w:spacing w:before="0" w:beforeAutospacing="0" w:after="0" w:afterAutospacing="0" w:line="240" w:lineRule="auto"/>
              <w:widowControl w:val="off"/>
              <w:rPr>
                <w:b/>
                <w:bCs/>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评分因素</w:t>
            </w:r>
            <w:r/>
          </w:p>
        </w:tc>
        <w:tc>
          <w:tcPr>
            <w:gridSpan w:val="2"/>
            <w:tcW w:w="3383" w:type="pct"/>
            <w:vAlign w:val="center"/>
            <w:textDirection w:val="lrTb"/>
            <w:noWrap w:val="false"/>
          </w:tcPr>
          <w:p>
            <w:pPr>
              <w:pStyle w:val="912"/>
              <w:ind w:firstLine="0"/>
              <w:jc w:val="center"/>
              <w:keepLines w:val="0"/>
              <w:keepNext w:val="0"/>
              <w:pageBreakBefore w:val="0"/>
              <w:spacing w:before="0" w:beforeAutospacing="0" w:after="0" w:afterAutospacing="0" w:line="240" w:lineRule="auto"/>
              <w:widowControl w:val="off"/>
              <w:rPr>
                <w:b/>
                <w:bCs/>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评审标准</w:t>
            </w:r>
            <w:r/>
          </w:p>
        </w:tc>
      </w:tr>
      <w:tr>
        <w:trPr/>
        <w:tc>
          <w:tcPr>
            <w:tcW w:w="337" w:type="pct"/>
            <w:vAlign w:val="center"/>
            <w:textDirection w:val="lrTb"/>
            <w:noWrap w:val="false"/>
          </w:tcPr>
          <w:p>
            <w:pPr>
              <w:pStyle w:val="912"/>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一</w:t>
            </w:r>
            <w:r/>
          </w:p>
        </w:tc>
        <w:tc>
          <w:tcPr>
            <w:gridSpan w:val="2"/>
            <w:tcW w:w="1278" w:type="pct"/>
            <w:vAlign w:val="center"/>
            <w:textDirection w:val="lrTb"/>
            <w:noWrap w:val="false"/>
          </w:tcPr>
          <w:p>
            <w:pPr>
              <w:pStyle w:val="912"/>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报价部分</w:t>
            </w:r>
            <w:r/>
          </w:p>
          <w:p>
            <w:pPr>
              <w:pStyle w:val="912"/>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（1</w:t>
            </w:r>
            <w:r>
              <w:rPr>
                <w:rFonts w:hint="eastAsia" w:cs="宋体"/>
                <w:color w:val="auto"/>
                <w:sz w:val="21"/>
                <w:szCs w:val="21"/>
                <w:shd w:val="clear" w:color="auto" w:fill="ffffff"/>
                <w:lang w:val="en-US" w:eastAsia="zh-CN"/>
              </w:rPr>
              <w:t xml:space="preserve">5分</w:t>
            </w:r>
            <w:r>
              <w:rPr>
                <w:rFonts w:hint="eastAsia" w:ascii="宋体" w:hAnsi="宋体" w:eastAsia="宋体" w:cs="宋体"/>
                <w:color w:val="auto"/>
                <w:sz w:val="21"/>
                <w:szCs w:val="21"/>
                <w:shd w:val="clear" w:color="auto" w:fill="ffffff"/>
              </w:rPr>
              <w:t xml:space="preserve">）</w:t>
            </w:r>
            <w:r/>
          </w:p>
        </w:tc>
        <w:tc>
          <w:tcPr>
            <w:gridSpan w:val="2"/>
            <w:tcW w:w="3383" w:type="pct"/>
            <w:vAlign w:val="center"/>
            <w:textDirection w:val="lrTb"/>
            <w:noWrap w:val="false"/>
          </w:tcPr>
          <w:p>
            <w:pPr>
              <w:pStyle w:val="912"/>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采用低价优先算法，所有供应商有效报价的最低价格为基准价，其价格分为满分1</w:t>
            </w:r>
            <w:r>
              <w:rPr>
                <w:rFonts w:hint="eastAsia" w:ascii="宋体" w:hAnsi="宋体" w:cs="宋体"/>
                <w:color w:val="auto"/>
                <w:sz w:val="21"/>
                <w:szCs w:val="21"/>
                <w:shd w:val="clear" w:color="auto" w:fill="ffffff"/>
                <w:lang w:val="en-US" w:eastAsia="zh-CN"/>
              </w:rPr>
              <w:t xml:space="preserve">5</w:t>
            </w:r>
            <w:r>
              <w:rPr>
                <w:rFonts w:hint="eastAsia" w:ascii="宋体" w:hAnsi="宋体" w:eastAsia="宋体" w:cs="宋体"/>
                <w:color w:val="auto"/>
                <w:sz w:val="21"/>
                <w:szCs w:val="21"/>
                <w:shd w:val="clear" w:color="auto" w:fill="ffffff"/>
              </w:rPr>
              <w:t xml:space="preserve">分，其他供应商的价格分统一按照下列公式计算：报价得分=（基准价/投标报价）*</w:t>
            </w:r>
            <w:r>
              <w:rPr>
                <w:rFonts w:hint="eastAsia" w:cs="宋体"/>
                <w:color w:val="auto"/>
                <w:sz w:val="21"/>
                <w:szCs w:val="21"/>
                <w:shd w:val="clear" w:color="auto" w:fill="ffffff"/>
                <w:lang w:val="en-US" w:eastAsia="zh-CN"/>
              </w:rPr>
              <w:t xml:space="preserve">15</w:t>
            </w:r>
            <w:r>
              <w:rPr>
                <w:rFonts w:hint="eastAsia" w:ascii="宋体" w:hAnsi="宋体" w:eastAsia="宋体" w:cs="宋体"/>
                <w:color w:val="auto"/>
                <w:sz w:val="21"/>
                <w:szCs w:val="21"/>
                <w:shd w:val="clear" w:color="auto" w:fill="ffffff"/>
              </w:rPr>
              <w:t xml:space="preserve">（按四舍五入取至小数点后两位）。</w:t>
            </w:r>
            <w:r/>
          </w:p>
          <w:p>
            <w:pPr>
              <w:pStyle w:val="912"/>
              <w:ind w:firstLine="210"/>
              <w:jc w:val="both"/>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p>
        </w:tc>
      </w:tr>
      <w:tr>
        <w:trPr>
          <w:trHeight w:val="272"/>
        </w:trPr>
        <w:tc>
          <w:tcPr>
            <w:tcW w:w="337" w:type="pct"/>
            <w:vAlign w:val="center"/>
            <w:vMerge w:val="restart"/>
            <w:textDirection w:val="lrTb"/>
            <w:noWrap w:val="false"/>
          </w:tcPr>
          <w:p>
            <w:pPr>
              <w:pStyle w:val="912"/>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二</w:t>
            </w:r>
            <w:r/>
          </w:p>
        </w:tc>
        <w:tc>
          <w:tcPr>
            <w:tcW w:w="609" w:type="pct"/>
            <w:vAlign w:val="center"/>
            <w:vMerge w:val="restart"/>
            <w:textDirection w:val="lrTb"/>
            <w:noWrap w:val="false"/>
          </w:tcPr>
          <w:p>
            <w:pPr>
              <w:pStyle w:val="912"/>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商务部分</w:t>
            </w:r>
            <w:r/>
          </w:p>
          <w:p>
            <w:pPr>
              <w:pStyle w:val="912"/>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cs="宋体"/>
                <w:color w:val="auto"/>
                <w:sz w:val="21"/>
                <w:szCs w:val="21"/>
                <w:shd w:val="clear" w:color="auto" w:fill="ffffff"/>
                <w:lang w:val="en-US" w:eastAsia="zh-CN"/>
              </w:rPr>
              <w:t xml:space="preserve">36</w:t>
            </w:r>
            <w:r>
              <w:rPr>
                <w:rFonts w:hint="eastAsia" w:ascii="宋体" w:hAnsi="宋体" w:eastAsia="宋体" w:cs="宋体"/>
                <w:color w:val="auto"/>
                <w:sz w:val="21"/>
                <w:szCs w:val="21"/>
                <w:shd w:val="clear" w:color="auto" w:fill="ffffff"/>
              </w:rPr>
              <w:t xml:space="preserve">分）</w:t>
            </w:r>
            <w:r/>
          </w:p>
        </w:tc>
        <w:tc>
          <w:tcPr>
            <w:tcW w:w="669" w:type="pct"/>
            <w:vAlign w:val="center"/>
            <w:textDirection w:val="lrTb"/>
            <w:noWrap w:val="false"/>
          </w:tcPr>
          <w:p>
            <w:pPr>
              <w:pStyle w:val="912"/>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企业业绩</w:t>
            </w:r>
            <w:r/>
          </w:p>
          <w:p>
            <w:pPr>
              <w:pStyle w:val="912"/>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83" w:type="pct"/>
            <w:vAlign w:val="center"/>
            <w:textDirection w:val="lrTb"/>
            <w:noWrap w:val="false"/>
          </w:tcPr>
          <w:p>
            <w:pPr>
              <w:pStyle w:val="912"/>
              <w:ind w:firstLine="0"/>
              <w:jc w:val="both"/>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sz w:val="21"/>
                <w:szCs w:val="21"/>
                <w:vertAlign w:val="baseline"/>
              </w:rPr>
              <w:t xml:space="preserve">供应商自2023年1月1日以来，承担过农村土地承包经营权确权或土地二轮延包项目、每提供1个有效合同案例得</w:t>
            </w:r>
            <w:r>
              <w:rPr>
                <w:rFonts w:hint="eastAsia"/>
                <w:color w:val="auto"/>
                <w:sz w:val="21"/>
                <w:szCs w:val="21"/>
                <w:vertAlign w:val="baseline"/>
                <w:lang w:val="en-US" w:eastAsia="zh-CN"/>
              </w:rPr>
              <w:t xml:space="preserve">0.5</w:t>
            </w:r>
            <w:r>
              <w:rPr>
                <w:rFonts w:hint="eastAsia"/>
                <w:color w:val="auto"/>
                <w:sz w:val="21"/>
                <w:szCs w:val="21"/>
                <w:vertAlign w:val="baseline"/>
              </w:rPr>
              <w:t xml:space="preserve">分，最多得</w:t>
            </w:r>
            <w:r>
              <w:rPr>
                <w:rFonts w:hint="eastAsia"/>
                <w:color w:val="auto"/>
                <w:sz w:val="21"/>
                <w:szCs w:val="21"/>
                <w:vertAlign w:val="baseline"/>
                <w:lang w:val="en-US" w:eastAsia="zh-CN"/>
              </w:rPr>
              <w:t xml:space="preserve">4</w:t>
            </w:r>
            <w:r>
              <w:rPr>
                <w:rFonts w:hint="eastAsia"/>
                <w:color w:val="auto"/>
                <w:sz w:val="21"/>
                <w:szCs w:val="21"/>
                <w:vertAlign w:val="baseline"/>
              </w:rPr>
              <w:t xml:space="preserve">分。有效合同案例的标准：须能反映服务内容等关键信息，且须同时提供合同及中标通知书。</w:t>
            </w:r>
            <w:r>
              <w:rPr>
                <w:rFonts w:hint="eastAsia"/>
                <w:b/>
                <w:bCs/>
                <w:color w:val="auto"/>
                <w:sz w:val="21"/>
                <w:szCs w:val="21"/>
                <w:vertAlign w:val="baseline"/>
              </w:rPr>
              <w:t xml:space="preserve">(注：响应文件中需提供合同原件彩色扫描件加盖单位公章，合同须能反映服务内容等关键信息，未按要求提供或未提供不得分。业绩中转包或分包合同不予认可。）</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912"/>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设备配备</w:t>
            </w:r>
            <w:r/>
          </w:p>
          <w:p>
            <w:pPr>
              <w:pStyle w:val="912"/>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eastAsia="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gridSpan w:val="2"/>
            <w:tcW w:w="3383" w:type="pct"/>
            <w:vAlign w:val="center"/>
            <w:textDirection w:val="lrTb"/>
            <w:noWrap w:val="false"/>
          </w:tcPr>
          <w:p>
            <w:pPr>
              <w:pStyle w:val="912"/>
              <w:ind w:left="0" w:firstLine="0"/>
              <w:jc w:val="both"/>
              <w:keepLines w:val="0"/>
              <w:keepNext w:val="0"/>
              <w:pageBreakBefore w:val="0"/>
              <w:spacing w:before="0" w:beforeAutospacing="0" w:after="0" w:afterAutospacing="0" w:line="360" w:lineRule="exact"/>
              <w:widowControl w:val="off"/>
              <w:rPr>
                <w:rFonts w:hint="eastAsia"/>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olor w:val="auto"/>
                <w:sz w:val="21"/>
                <w:szCs w:val="21"/>
                <w:vertAlign w:val="baseline"/>
              </w:rPr>
              <w:t xml:space="preserve">投标人具备整套仪器设备（含全站仪、GNSS接收机、激光测距仪、无人机），每提供1套符合要求的设备得2分，本项累计最高得</w:t>
            </w:r>
            <w:r>
              <w:rPr>
                <w:rFonts w:hint="eastAsia"/>
                <w:color w:val="auto"/>
                <w:sz w:val="21"/>
                <w:szCs w:val="21"/>
                <w:vertAlign w:val="baseline"/>
                <w:lang w:val="en-US" w:eastAsia="zh-CN"/>
              </w:rPr>
              <w:t xml:space="preserve">4</w:t>
            </w:r>
            <w:r>
              <w:rPr>
                <w:rFonts w:hint="eastAsia"/>
                <w:color w:val="auto"/>
                <w:sz w:val="21"/>
                <w:szCs w:val="21"/>
                <w:vertAlign w:val="baseline"/>
              </w:rPr>
              <w:t xml:space="preserve">分。</w:t>
            </w:r>
            <w:r/>
          </w:p>
          <w:p>
            <w:pPr>
              <w:pStyle w:val="912"/>
              <w:ind w:left="0" w:firstLine="0"/>
              <w:jc w:val="both"/>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color w:val="auto"/>
                <w:sz w:val="21"/>
                <w:szCs w:val="21"/>
                <w:vertAlign w:val="baseline"/>
              </w:rPr>
              <w:t xml:space="preserve">（注：投标供应商的投标文件中需提供设备发票扫描件或提供设备租赁协议扫描件加盖投标单位公章，未按要求提供或未提供不得分。）</w:t>
            </w:r>
            <w:r/>
          </w:p>
        </w:tc>
      </w:tr>
      <w:tr>
        <w:trPr>
          <w:trHeight w:val="1220"/>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vMerge w:val="restart"/>
            <w:textDirection w:val="lrTb"/>
            <w:noWrap w:val="false"/>
          </w:tcPr>
          <w:p>
            <w:pPr>
              <w:pStyle w:val="912"/>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企业综合实力</w:t>
            </w:r>
            <w:r/>
          </w:p>
          <w:p>
            <w:pPr>
              <w:pStyle w:val="912"/>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1"/>
                <w:szCs w:val="21"/>
                <w:shd w:val="clear" w:color="auto" w:fill="ffffff"/>
                <w:lang w:eastAsia="zh-CN"/>
              </w:rPr>
              <w:t xml:space="preserve">（</w:t>
            </w:r>
            <w:r>
              <w:rPr>
                <w:rFonts w:hint="eastAsia" w:ascii="宋体" w:hAnsi="宋体" w:cs="宋体"/>
                <w:color w:val="auto"/>
                <w:sz w:val="21"/>
                <w:szCs w:val="21"/>
                <w:shd w:val="clear" w:color="auto" w:fill="ffffff"/>
                <w:lang w:val="en-US" w:eastAsia="zh-CN"/>
              </w:rPr>
              <w:t xml:space="preserve">6分</w:t>
            </w:r>
            <w:r>
              <w:rPr>
                <w:rFonts w:hint="eastAsia" w:ascii="宋体" w:hAnsi="宋体" w:cs="宋体"/>
                <w:color w:val="auto"/>
                <w:sz w:val="21"/>
                <w:szCs w:val="21"/>
                <w:shd w:val="clear" w:color="auto" w:fill="ffffff"/>
                <w:lang w:eastAsia="zh-CN"/>
              </w:rPr>
              <w:t xml:space="preserve">）</w:t>
            </w:r>
            <w:r/>
          </w:p>
        </w:tc>
        <w:tc>
          <w:tcPr>
            <w:gridSpan w:val="2"/>
            <w:tcW w:w="3383" w:type="pct"/>
            <w:vAlign w:val="center"/>
            <w:textDirection w:val="lrTb"/>
            <w:noWrap w:val="false"/>
          </w:tcPr>
          <w:p>
            <w:pPr>
              <w:pStyle w:val="912"/>
              <w:ind w:left="0" w:firstLine="0"/>
              <w:jc w:val="both"/>
              <w:keepLines w:val="0"/>
              <w:keepNext w:val="0"/>
              <w:pageBreakBefore w:val="0"/>
              <w:spacing w:before="0" w:beforeAutospacing="0" w:after="0" w:afterAutospacing="0" w:line="360" w:lineRule="exact"/>
              <w:widowControl w:val="off"/>
              <w:rPr>
                <w:rFonts w:hint="eastAsia"/>
                <w:b/>
                <w:bCs/>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val="0"/>
                <w:bCs w:val="0"/>
                <w:color w:val="auto"/>
                <w:sz w:val="21"/>
                <w:szCs w:val="21"/>
                <w:vertAlign w:val="baseline"/>
              </w:rPr>
              <w:t xml:space="preserve">投标报名截止之日前供应商取得二轮延包外业调查管理、二轮延包数据建库登记管理、二轮延包更新维护系统或与本项目相关的软件著作权证书的，每提供一个得1分，本项最高得3分。</w:t>
            </w:r>
            <w:r/>
          </w:p>
        </w:tc>
      </w:tr>
      <w:tr>
        <w:trPr>
          <w:trHeight w:val="943"/>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vMerge w:val="continue"/>
            <w:textDirection w:val="lrTb"/>
            <w:noWrap w:val="false"/>
          </w:tcPr>
          <w:p>
            <w:pPr>
              <w:pStyle w:val="912"/>
              <w:ind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r>
            <w:r/>
          </w:p>
        </w:tc>
        <w:tc>
          <w:tcPr>
            <w:gridSpan w:val="2"/>
            <w:tcW w:w="3383" w:type="pct"/>
            <w:vAlign w:val="center"/>
            <w:textDirection w:val="lrTb"/>
            <w:noWrap w:val="false"/>
          </w:tcPr>
          <w:p>
            <w:pPr>
              <w:pStyle w:val="912"/>
              <w:ind w:left="0" w:firstLine="0"/>
              <w:jc w:val="both"/>
              <w:keepLines w:val="0"/>
              <w:keepNext w:val="0"/>
              <w:pageBreakBefore w:val="0"/>
              <w:spacing w:before="0" w:beforeAutospacing="0" w:after="0" w:afterAutospacing="0" w:line="360" w:lineRule="exact"/>
              <w:widowControl w:val="off"/>
              <w:rPr>
                <w:rFonts w:hint="eastAsia"/>
                <w:b w:val="0"/>
                <w:bCs w:val="0"/>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val="0"/>
                <w:bCs w:val="0"/>
                <w:color w:val="auto"/>
                <w:sz w:val="21"/>
                <w:szCs w:val="21"/>
                <w:vertAlign w:val="baseline"/>
              </w:rPr>
              <w:t xml:space="preserve">投标供应商承担的项目获得过政府主管部门颁发与测绘相关的优秀科技成果奖的，每提供一个得1分，本项最高得3分。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pStyle w:val="912"/>
              <w:ind w:lef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企业资信及综合能力</w:t>
            </w:r>
            <w:r/>
          </w:p>
          <w:p>
            <w:pPr>
              <w:pStyle w:val="912"/>
              <w:ind w:left="0"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（4分）</w:t>
            </w:r>
            <w:r/>
          </w:p>
        </w:tc>
        <w:tc>
          <w:tcPr>
            <w:gridSpan w:val="2"/>
            <w:tcW w:w="3383" w:type="pct"/>
            <w:vAlign w:val="center"/>
            <w:textDirection w:val="lrTb"/>
            <w:noWrap w:val="false"/>
          </w:tcPr>
          <w:p>
            <w:pPr>
              <w:pStyle w:val="912"/>
              <w:ind w:firstLine="0"/>
              <w:jc w:val="both"/>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1"/>
                <w:szCs w:val="21"/>
                <w:shd w:val="clear" w:color="auto" w:fill="ffffff"/>
              </w:rPr>
              <w:t xml:space="preserve">供应商具有有效期内信息安全管理体系认证证书、信息技术管理体系认证证书、质量管理体系认证证书、职业健康</w:t>
            </w:r>
            <w:r>
              <w:rPr>
                <w:rFonts w:hint="eastAsia" w:ascii="宋体" w:hAnsi="宋体" w:cs="宋体"/>
                <w:b w:val="0"/>
                <w:bCs w:val="0"/>
                <w:color w:val="auto"/>
                <w:sz w:val="21"/>
                <w:szCs w:val="21"/>
                <w:shd w:val="clear" w:color="auto" w:fill="ffffff"/>
                <w:lang w:val="en-US" w:eastAsia="zh-CN"/>
              </w:rPr>
              <w:t xml:space="preserve">安全</w:t>
            </w:r>
            <w:r>
              <w:rPr>
                <w:rFonts w:hint="eastAsia" w:ascii="宋体" w:hAnsi="宋体" w:eastAsia="宋体" w:cs="宋体"/>
                <w:b w:val="0"/>
                <w:bCs w:val="0"/>
                <w:color w:val="auto"/>
                <w:sz w:val="21"/>
                <w:szCs w:val="21"/>
                <w:shd w:val="clear" w:color="auto" w:fill="ffffff"/>
              </w:rPr>
              <w:t xml:space="preserve">管理体系认证证书、环境管理体系认证证书等每类证书各得1分，本项累计最高得4分</w:t>
            </w:r>
            <w:r>
              <w:rPr>
                <w:rFonts w:hint="eastAsia" w:ascii="宋体" w:hAnsi="宋体" w:eastAsia="宋体" w:cs="宋体"/>
                <w:b/>
                <w:bCs/>
                <w:color w:val="auto"/>
                <w:sz w:val="21"/>
                <w:szCs w:val="21"/>
                <w:shd w:val="clear" w:color="auto" w:fill="ffffff"/>
              </w:rPr>
              <w:t xml:space="preserve">（注：</w:t>
            </w:r>
            <w:r>
              <w:rPr>
                <w:rFonts w:hint="eastAsia"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中需提供以上认证证书原件彩色扫描件，否则不得分。）</w:t>
            </w:r>
            <w:r/>
          </w:p>
        </w:tc>
      </w:tr>
      <w:tr>
        <w:trPr>
          <w:trHeight w:val="1617"/>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vMerge w:val="restart"/>
            <w:textDirection w:val="lrTb"/>
            <w:noWrap w:val="false"/>
          </w:tcPr>
          <w:p>
            <w:pPr>
              <w:pStyle w:val="912"/>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人员配置</w:t>
            </w:r>
            <w:r/>
          </w:p>
          <w:p>
            <w:pPr>
              <w:jc w:val="center"/>
              <w:keepLines w:val="0"/>
              <w:keepNext w:val="0"/>
              <w:pageBreakBefore w:val="0"/>
              <w:spacing w:after="0" w:line="360" w:lineRule="exact"/>
              <w:widowControl w:val="off"/>
              <w:rPr>
                <w:color w:val="auto"/>
                <w:sz w:val="21"/>
                <w:szCs w:val="21"/>
                <w:vertAlign w:val="baseline"/>
              </w:rPr>
            </w:pPr>
            <w:r>
              <w:rPr>
                <w:rFonts w:hint="eastAsia" w:ascii="宋体" w:hAnsi="宋体" w:eastAsia="宋体" w:cs="宋体"/>
                <w:color w:val="auto"/>
                <w:sz w:val="21"/>
                <w:szCs w:val="21"/>
                <w:shd w:val="clear" w:color="auto" w:fill="ffffff"/>
              </w:rPr>
              <w:t xml:space="preserve">（</w:t>
            </w:r>
            <w:r>
              <w:rPr>
                <w:rFonts w:hint="eastAsia" w:ascii="宋体" w:hAnsi="宋体" w:cs="宋体"/>
                <w:color w:val="auto"/>
                <w:sz w:val="21"/>
                <w:szCs w:val="21"/>
                <w:shd w:val="clear" w:color="auto" w:fill="ffffff"/>
                <w:lang w:val="en-US" w:eastAsia="zh-CN"/>
              </w:rPr>
              <w:t xml:space="preserve">18</w:t>
            </w:r>
            <w:r>
              <w:rPr>
                <w:rFonts w:hint="eastAsia" w:ascii="宋体" w:hAnsi="宋体" w:eastAsia="宋体" w:cs="宋体"/>
                <w:color w:val="auto"/>
                <w:sz w:val="21"/>
                <w:szCs w:val="21"/>
                <w:shd w:val="clear" w:color="auto" w:fill="ffffff"/>
              </w:rPr>
              <w:t xml:space="preserve">分）</w:t>
            </w:r>
            <w:r/>
          </w:p>
        </w:tc>
        <w:tc>
          <w:tcPr>
            <w:tcW w:w="740" w:type="pct"/>
            <w:vAlign w:val="center"/>
            <w:textDirection w:val="lrTb"/>
            <w:noWrap w:val="false"/>
          </w:tcPr>
          <w:p>
            <w:pPr>
              <w:pStyle w:val="912"/>
              <w:ind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项目负责人</w:t>
            </w:r>
            <w:r/>
          </w:p>
          <w:p>
            <w:pPr>
              <w:pStyle w:val="912"/>
              <w:ind w:firstLine="0"/>
              <w:jc w:val="both"/>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c>
          <w:tcPr>
            <w:tcW w:w="2643" w:type="pct"/>
            <w:vAlign w:val="center"/>
            <w:textDirection w:val="lrTb"/>
            <w:noWrap w:val="false"/>
          </w:tcPr>
          <w:p>
            <w:pPr>
              <w:pStyle w:val="912"/>
              <w:ind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具有正高级工程师职称证书的2分；具有注册测绘师资格证书、测绘技术与质量管理培训合格证书、地理信息安全保密培训合格证的每有一项得1分。本项最高得</w:t>
            </w:r>
            <w:r>
              <w:rPr>
                <w:rFonts w:hint="eastAsia" w:ascii="宋体" w:hAnsi="宋体" w:cs="宋体"/>
                <w:color w:val="auto"/>
                <w:sz w:val="21"/>
                <w:szCs w:val="21"/>
                <w:shd w:val="clear" w:color="auto" w:fill="ffffff"/>
                <w:lang w:val="en-US" w:eastAsia="zh-CN"/>
              </w:rPr>
              <w:t xml:space="preserve">4</w:t>
            </w:r>
            <w:r>
              <w:rPr>
                <w:rFonts w:hint="eastAsia" w:ascii="宋体" w:hAnsi="宋体" w:eastAsia="宋体" w:cs="宋体"/>
                <w:color w:val="auto"/>
                <w:sz w:val="21"/>
                <w:szCs w:val="21"/>
                <w:shd w:val="clear" w:color="auto" w:fill="ffffff"/>
              </w:rPr>
              <w:t xml:space="preserve">分。</w:t>
            </w:r>
            <w:r/>
          </w:p>
        </w:tc>
      </w:tr>
      <w:tr>
        <w:trPr>
          <w:trHeight w:val="1229"/>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740" w:type="pct"/>
            <w:vAlign w:val="center"/>
            <w:textDirection w:val="lrTb"/>
            <w:noWrap w:val="false"/>
          </w:tcPr>
          <w:p>
            <w:pPr>
              <w:pStyle w:val="912"/>
              <w:ind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技术负责人</w:t>
            </w:r>
            <w:r/>
          </w:p>
          <w:p>
            <w:pPr>
              <w:pStyle w:val="912"/>
              <w:ind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p>
        </w:tc>
        <w:tc>
          <w:tcPr>
            <w:tcW w:w="264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具有高级工程师职称、注册测绘师资格证书、数据库系统工程师、土地延包培训合格证、地理信息安全保密培训合格证的每有一项得1分。本项最高得  </w:t>
            </w:r>
            <w:r>
              <w:rPr>
                <w:rFonts w:hint="eastAsia" w:ascii="宋体" w:hAnsi="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p>
        </w:tc>
      </w:tr>
      <w:tr>
        <w:trPr/>
        <w:tc>
          <w:tcPr>
            <w:tcW w:w="337" w:type="pct"/>
            <w:vMerge w:val="continue"/>
            <w:textDirection w:val="lrTb"/>
            <w:noWrap w:val="false"/>
          </w:tcPr>
          <w:p>
            <w:pPr>
              <w:spacing w:after="0" w:line="240" w:lineRule="auto"/>
              <w:rPr>
                <w:rFonts w:hint="default" w:eastAsia="宋体"/>
                <w:color w:val="auto"/>
                <w:sz w:val="21"/>
                <w:szCs w:val="21"/>
                <w:vertAlign w:val="baseline"/>
                <w:lang w:val="en-US" w:eastAsia="zh-CN"/>
              </w:rPr>
            </w:pPr>
            <w:r>
              <w:rPr>
                <w:rFonts w:hint="eastAsia"/>
                <w:color w:val="auto"/>
                <w:sz w:val="21"/>
                <w:szCs w:val="21"/>
                <w:vertAlign w:val="baseline"/>
                <w:lang w:eastAsia="zh-CN"/>
              </w:rPr>
              <w:t xml:space="preserve"> </w:t>
            </w:r>
            <w:r>
              <w:rPr>
                <w:rFonts w:hint="eastAsia"/>
                <w:color w:val="auto"/>
                <w:sz w:val="21"/>
                <w:szCs w:val="21"/>
                <w:vertAlign w:val="baseline"/>
                <w:lang w:val="en-US" w:eastAsia="zh-CN"/>
              </w:rPr>
              <w:t xml:space="preserve">  </w:t>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740" w:type="pct"/>
            <w:vAlign w:val="center"/>
            <w:textDirection w:val="lrTb"/>
            <w:noWrap w:val="false"/>
          </w:tcPr>
          <w:p>
            <w:pPr>
              <w:pStyle w:val="912"/>
              <w:ind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质检负责人</w:t>
            </w:r>
            <w:r/>
          </w:p>
          <w:p>
            <w:pPr>
              <w:pStyle w:val="912"/>
              <w:ind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rPr>
                <w:rFonts w:hint="eastAsia" w:cs="宋体"/>
                <w:color w:val="auto"/>
                <w:sz w:val="21"/>
                <w:szCs w:val="21"/>
                <w:shd w:val="clear" w:color="auto" w:fill="ffffff"/>
                <w:lang w:eastAsia="zh-CN"/>
              </w:rPr>
              <w:t xml:space="preserve">）</w:t>
            </w:r>
            <w:r/>
          </w:p>
        </w:tc>
        <w:tc>
          <w:tcPr>
            <w:tcW w:w="2643" w:type="pct"/>
            <w:vAlign w:val="center"/>
            <w:textDirection w:val="lrTb"/>
            <w:noWrap w:val="false"/>
          </w:tcPr>
          <w:p>
            <w:pPr>
              <w:pStyle w:val="912"/>
              <w:ind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具有高级工程师职称、注册测绘师资格证书、土地延包培训合格证、地理信息安全保密培训合格证、测绘地理信息质检人员证书的每有一项得1分。本项最高得</w:t>
            </w:r>
            <w:r>
              <w:rPr>
                <w:rFonts w:hint="eastAsia" w:ascii="宋体" w:hAnsi="宋体" w:cs="宋体"/>
                <w:color w:val="auto"/>
                <w:sz w:val="21"/>
                <w:szCs w:val="21"/>
                <w:shd w:val="clear" w:color="auto" w:fill="ffffff"/>
                <w:lang w:val="en-US" w:eastAsia="zh-CN"/>
              </w:rPr>
              <w:t xml:space="preserve">3</w:t>
            </w:r>
            <w:r>
              <w:rPr>
                <w:rFonts w:hint="eastAsia" w:ascii="宋体" w:hAnsi="宋体" w:eastAsia="宋体" w:cs="宋体"/>
                <w:color w:val="auto"/>
                <w:sz w:val="21"/>
                <w:szCs w:val="21"/>
                <w:shd w:val="clear" w:color="auto" w:fill="ffffff"/>
              </w:rPr>
              <w:t xml:space="preserve">分</w:t>
            </w:r>
            <w:r>
              <w:rPr>
                <w:rFonts w:hint="default" w:ascii="宋体" w:hAnsi="宋体" w:eastAsia="宋体" w:cs="宋体"/>
                <w:color w:val="auto"/>
                <w:sz w:val="21"/>
                <w:szCs w:val="21"/>
                <w:shd w:val="clear" w:color="auto" w:fill="ffffff"/>
                <w:lang w:val="en-US" w:eastAsia="zh-CN"/>
              </w:rPr>
              <w:t xml:space="preserve">。</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740" w:type="pct"/>
            <w:vAlign w:val="center"/>
            <w:textDirection w:val="lrTb"/>
            <w:noWrap w:val="false"/>
          </w:tcPr>
          <w:p>
            <w:pPr>
              <w:pStyle w:val="912"/>
              <w:ind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项目团队的其他人员</w:t>
            </w:r>
            <w:r/>
          </w:p>
          <w:p>
            <w:pPr>
              <w:pStyle w:val="912"/>
              <w:ind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cs="宋体"/>
                <w:color w:val="auto"/>
                <w:sz w:val="21"/>
                <w:szCs w:val="21"/>
                <w:shd w:val="clear" w:color="auto" w:fill="ffffff"/>
                <w:lang w:val="en-US" w:eastAsia="zh-CN"/>
              </w:rPr>
              <w:t xml:space="preserve">8</w:t>
            </w:r>
            <w:r>
              <w:rPr>
                <w:rFonts w:hint="eastAsia" w:ascii="宋体" w:hAnsi="宋体" w:eastAsia="宋体" w:cs="宋体"/>
                <w:color w:val="auto"/>
                <w:sz w:val="21"/>
                <w:szCs w:val="21"/>
                <w:shd w:val="clear" w:color="auto" w:fill="ffffff"/>
              </w:rPr>
              <w:t xml:space="preserve">分）</w:t>
            </w:r>
            <w:r/>
          </w:p>
        </w:tc>
        <w:tc>
          <w:tcPr>
            <w:tcW w:w="2643" w:type="pct"/>
            <w:vAlign w:val="center"/>
            <w:textDirection w:val="lrTb"/>
            <w:noWrap w:val="false"/>
          </w:tcPr>
          <w:p>
            <w:pPr>
              <w:jc w:val="left"/>
              <w:spacing w:after="0" w:line="240" w:lineRule="auto"/>
              <w:rPr>
                <w:rFonts w:hint="default" w:ascii="宋体" w:hAnsi="宋体" w:eastAsia="宋体" w:cs="宋体"/>
                <w:color w:val="auto"/>
                <w:sz w:val="21"/>
                <w:szCs w:val="21"/>
                <w:shd w:val="clear" w:color="auto" w:fill="ffffff"/>
                <w:lang w:val="en-US" w:eastAsia="zh-CN"/>
              </w:rPr>
            </w:pPr>
            <w:r>
              <w:rPr>
                <w:rFonts w:hint="default" w:ascii="宋体" w:hAnsi="宋体" w:eastAsia="宋体" w:cs="宋体"/>
                <w:color w:val="auto"/>
                <w:sz w:val="21"/>
                <w:szCs w:val="21"/>
                <w:shd w:val="clear" w:color="auto" w:fill="ffffff"/>
                <w:lang w:val="en-US" w:eastAsia="zh-CN"/>
              </w:rPr>
              <w:t xml:space="preserve">1.具有数据库系统工程师证书或测绘地理信息质检证书的，有1人得</w:t>
            </w:r>
            <w:r>
              <w:rPr>
                <w:rFonts w:hint="eastAsia" w:ascii="宋体" w:hAnsi="宋体" w:cs="宋体"/>
                <w:color w:val="auto"/>
                <w:sz w:val="21"/>
                <w:szCs w:val="21"/>
                <w:shd w:val="clear" w:color="auto" w:fill="ffffff"/>
                <w:lang w:val="en-US" w:eastAsia="zh-CN"/>
              </w:rPr>
              <w:t xml:space="preserve">1</w:t>
            </w:r>
            <w:r>
              <w:rPr>
                <w:rFonts w:hint="default" w:ascii="宋体" w:hAnsi="宋体" w:eastAsia="宋体" w:cs="宋体"/>
                <w:color w:val="auto"/>
                <w:sz w:val="21"/>
                <w:szCs w:val="21"/>
                <w:shd w:val="clear" w:color="auto" w:fill="ffffff"/>
                <w:lang w:val="en-US" w:eastAsia="zh-CN"/>
              </w:rPr>
              <w:t xml:space="preserve">分，本项最高得</w:t>
            </w:r>
            <w:r>
              <w:rPr>
                <w:rFonts w:hint="eastAsia" w:ascii="宋体" w:hAnsi="宋体" w:cs="宋体"/>
                <w:color w:val="auto"/>
                <w:sz w:val="21"/>
                <w:szCs w:val="21"/>
                <w:shd w:val="clear" w:color="auto" w:fill="ffffff"/>
                <w:lang w:val="en-US" w:eastAsia="zh-CN"/>
              </w:rPr>
              <w:t xml:space="preserve">2</w:t>
            </w:r>
            <w:r>
              <w:rPr>
                <w:rFonts w:hint="default" w:ascii="宋体" w:hAnsi="宋体" w:eastAsia="宋体" w:cs="宋体"/>
                <w:color w:val="auto"/>
                <w:sz w:val="21"/>
                <w:szCs w:val="21"/>
                <w:shd w:val="clear" w:color="auto" w:fill="ffffff"/>
                <w:lang w:val="en-US" w:eastAsia="zh-CN"/>
              </w:rPr>
              <w:t xml:space="preserve">分;</w:t>
            </w:r>
            <w:r/>
          </w:p>
          <w:p>
            <w:pPr>
              <w:jc w:val="left"/>
              <w:spacing w:after="0" w:line="240" w:lineRule="auto"/>
              <w:rPr>
                <w:rFonts w:hint="default" w:ascii="宋体" w:hAnsi="宋体" w:eastAsia="宋体" w:cs="宋体"/>
                <w:color w:val="auto"/>
                <w:sz w:val="21"/>
                <w:szCs w:val="21"/>
                <w:shd w:val="clear" w:color="auto" w:fill="ffffff"/>
                <w:lang w:val="en-US" w:eastAsia="zh-CN"/>
              </w:rPr>
            </w:pPr>
            <w:r>
              <w:rPr>
                <w:rFonts w:hint="default" w:ascii="宋体" w:hAnsi="宋体" w:eastAsia="宋体" w:cs="宋体"/>
                <w:color w:val="auto"/>
                <w:sz w:val="21"/>
                <w:szCs w:val="21"/>
                <w:shd w:val="clear" w:color="auto" w:fill="ffffff"/>
                <w:lang w:val="en-US" w:eastAsia="zh-CN"/>
              </w:rPr>
              <w:t xml:space="preserve">2.具有与本项目相关（地理信息类、测绘类、数据及档案管理类）职称的，高级及以上职称的有一个得2分；中级职称的有一个得1分，本项最高得</w:t>
            </w:r>
            <w:r>
              <w:rPr>
                <w:rFonts w:hint="eastAsia" w:ascii="宋体" w:hAnsi="宋体" w:cs="宋体"/>
                <w:color w:val="auto"/>
                <w:sz w:val="21"/>
                <w:szCs w:val="21"/>
                <w:shd w:val="clear" w:color="auto" w:fill="ffffff"/>
                <w:lang w:val="en-US" w:eastAsia="zh-CN"/>
              </w:rPr>
              <w:t xml:space="preserve">6</w:t>
            </w:r>
            <w:r>
              <w:rPr>
                <w:rFonts w:hint="default" w:ascii="宋体" w:hAnsi="宋体" w:eastAsia="宋体" w:cs="宋体"/>
                <w:color w:val="auto"/>
                <w:sz w:val="21"/>
                <w:szCs w:val="21"/>
                <w:shd w:val="clear" w:color="auto" w:fill="ffffff"/>
                <w:lang w:val="en-US" w:eastAsia="zh-CN"/>
              </w:rPr>
              <w:t xml:space="preserve">分;</w:t>
            </w:r>
            <w:r/>
          </w:p>
          <w:p>
            <w:pPr>
              <w:jc w:val="left"/>
              <w:spacing w:after="0" w:line="240" w:lineRule="auto"/>
              <w:rPr>
                <w:rFonts w:hint="default" w:ascii="宋体" w:hAnsi="宋体" w:eastAsia="宋体" w:cs="宋体"/>
                <w:color w:val="auto"/>
                <w:sz w:val="21"/>
                <w:szCs w:val="21"/>
                <w:shd w:val="clear" w:color="auto" w:fill="ffffff"/>
                <w:lang w:val="en-US" w:eastAsia="zh-CN"/>
              </w:rPr>
            </w:pPr>
            <w:r>
              <w:rPr>
                <w:rFonts w:hint="default" w:ascii="宋体" w:hAnsi="宋体" w:eastAsia="宋体" w:cs="宋体"/>
                <w:color w:val="auto"/>
                <w:sz w:val="21"/>
                <w:szCs w:val="21"/>
                <w:shd w:val="clear" w:color="auto" w:fill="ffffff"/>
                <w:lang w:val="en-US" w:eastAsia="zh-CN"/>
              </w:rPr>
              <w:t xml:space="preserve">本项最高得</w:t>
            </w:r>
            <w:r>
              <w:rPr>
                <w:rFonts w:hint="eastAsia" w:ascii="宋体" w:hAnsi="宋体" w:cs="宋体"/>
                <w:color w:val="auto"/>
                <w:sz w:val="21"/>
                <w:szCs w:val="21"/>
                <w:shd w:val="clear" w:color="auto" w:fill="ffffff"/>
                <w:lang w:val="en-US" w:eastAsia="zh-CN"/>
              </w:rPr>
              <w:t xml:space="preserve">8</w:t>
            </w:r>
            <w:r>
              <w:rPr>
                <w:rFonts w:hint="default" w:ascii="宋体" w:hAnsi="宋体" w:eastAsia="宋体" w:cs="宋体"/>
                <w:color w:val="auto"/>
                <w:sz w:val="21"/>
                <w:szCs w:val="21"/>
                <w:shd w:val="clear" w:color="auto" w:fill="ffffff"/>
                <w:lang w:val="en-US" w:eastAsia="zh-CN"/>
              </w:rPr>
              <w:t xml:space="preserve">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gridSpan w:val="2"/>
            <w:tcW w:w="3383" w:type="pct"/>
            <w:textDirection w:val="lrTb"/>
            <w:noWrap w:val="false"/>
          </w:tcPr>
          <w:p>
            <w:pPr>
              <w:pStyle w:val="912"/>
              <w:ind w:firstLine="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注：（1）</w:t>
            </w:r>
            <w:r>
              <w:rPr>
                <w:rFonts w:hint="eastAsia"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中需提供上述人员的证书原件彩色扫描件（或官网上下载的电子证书）；</w:t>
            </w:r>
            <w:r/>
          </w:p>
          <w:p>
            <w:pPr>
              <w:pStyle w:val="912"/>
              <w:ind w:firstLine="0"/>
              <w:jc w:val="both"/>
              <w:keepLines w:val="0"/>
              <w:keepNext w:val="0"/>
              <w:pageBreakBefore w:val="0"/>
              <w:spacing w:before="0" w:beforeAutospacing="0" w:after="0" w:afterAutospacing="0" w:line="360" w:lineRule="exact"/>
              <w:widowControl w:val="off"/>
              <w:rPr>
                <w:rFonts w:hint="default" w:ascii="宋体" w:hAnsi="宋体" w:eastAsia="宋体" w:cs="宋体"/>
                <w:color w:val="auto"/>
                <w:sz w:val="21"/>
                <w:szCs w:val="21"/>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shd w:val="clear" w:color="auto" w:fill="ffffff"/>
              </w:rPr>
              <w:t xml:space="preserve">（2）项目负责人、技术负责人、质量负责人及项目团队人员不能为同一人，否则对应项不得分。</w:t>
            </w:r>
            <w:r>
              <w:rPr>
                <w:rFonts w:hint="eastAsia" w:ascii="宋体" w:hAnsi="宋体" w:cs="宋体"/>
                <w:b/>
                <w:bCs/>
                <w:color w:val="auto"/>
                <w:sz w:val="21"/>
                <w:szCs w:val="21"/>
                <w:shd w:val="clear" w:color="auto" w:fill="ffffff"/>
                <w:lang w:val="en-US" w:eastAsia="zh-CN"/>
              </w:rPr>
              <w:t xml:space="preserve">  </w:t>
            </w:r>
            <w:r/>
          </w:p>
          <w:p>
            <w:pPr>
              <w:jc w:val="both"/>
              <w:keepLines w:val="0"/>
              <w:keepNext w:val="0"/>
              <w:pageBreakBefore w:val="0"/>
              <w:spacing w:after="0" w:line="360" w:lineRule="exact"/>
              <w:widowControl w:val="off"/>
              <w:rPr>
                <w:rFonts w:hint="default" w:ascii="宋体" w:hAnsi="宋体" w:eastAsia="宋体" w:cs="宋体"/>
                <w:b/>
                <w:bCs/>
                <w:color w:val="auto"/>
                <w:sz w:val="21"/>
                <w:szCs w:val="21"/>
                <w:shd w:val="clear" w:color="auto" w:fill="ffffff"/>
                <w:lang w:val="en-US" w:eastAsia="zh-CN"/>
              </w:rPr>
            </w:pPr>
            <w:r>
              <w:rPr>
                <w:rFonts w:hint="eastAsia" w:ascii="宋体" w:hAnsi="宋体" w:eastAsia="宋体" w:cs="宋体"/>
                <w:b/>
                <w:bCs/>
                <w:color w:val="auto"/>
                <w:sz w:val="21"/>
                <w:szCs w:val="21"/>
                <w:shd w:val="clear" w:color="auto" w:fill="ffffff"/>
              </w:rPr>
              <w:t xml:space="preserve">（3）</w:t>
            </w:r>
            <w:r>
              <w:rPr>
                <w:rFonts w:hint="eastAsia" w:ascii="宋体" w:hAnsi="宋体" w:cs="宋体"/>
                <w:b/>
                <w:bCs/>
                <w:color w:val="auto"/>
                <w:sz w:val="21"/>
                <w:szCs w:val="21"/>
                <w:shd w:val="clear" w:color="auto" w:fill="ffffff"/>
                <w:lang w:eastAsia="zh-CN"/>
              </w:rPr>
              <w:t xml:space="preserve">响应文件</w:t>
            </w:r>
            <w:r>
              <w:rPr>
                <w:rFonts w:hint="eastAsia" w:ascii="宋体" w:hAnsi="宋体" w:eastAsia="宋体" w:cs="宋体"/>
                <w:b/>
                <w:bCs/>
                <w:color w:val="auto"/>
                <w:sz w:val="21"/>
                <w:szCs w:val="21"/>
                <w:shd w:val="clear" w:color="auto" w:fill="ffffff"/>
              </w:rPr>
              <w:t xml:space="preserve">中需提供以上人员配备一览表（格式自拟）</w:t>
            </w:r>
            <w:r>
              <w:rPr>
                <w:rFonts w:hint="eastAsia" w:ascii="宋体" w:hAnsi="宋体" w:cs="宋体"/>
                <w:b/>
                <w:bCs/>
                <w:color w:val="auto"/>
                <w:sz w:val="21"/>
                <w:szCs w:val="21"/>
                <w:shd w:val="clear" w:color="auto" w:fill="ffffff"/>
                <w:lang w:eastAsia="zh-CN"/>
              </w:rPr>
              <w:t xml:space="preserve">，</w:t>
            </w:r>
            <w:r>
              <w:rPr>
                <w:rFonts w:hint="eastAsia" w:ascii="宋体" w:hAnsi="宋体" w:cs="宋体"/>
                <w:b/>
                <w:bCs/>
                <w:color w:val="auto"/>
                <w:sz w:val="21"/>
                <w:szCs w:val="21"/>
                <w:shd w:val="clear" w:color="auto" w:fill="ffffff"/>
                <w:lang w:val="en-US" w:eastAsia="zh-CN"/>
              </w:rPr>
              <w:t xml:space="preserve">同时提供供应商在响应文件递交截止时间前为上述人员缴纳的近3个月连续社保证明材料（由社保部门出具，不含开标当月），不提供不得分。</w:t>
            </w:r>
            <w:r/>
          </w:p>
        </w:tc>
      </w:tr>
      <w:tr>
        <w:trPr/>
        <w:tc>
          <w:tcPr>
            <w:tcW w:w="337" w:type="pct"/>
            <w:vAlign w:val="center"/>
            <w:vMerge w:val="restart"/>
            <w:textDirection w:val="lrTb"/>
            <w:noWrap w:val="false"/>
          </w:tcPr>
          <w:p>
            <w:pPr>
              <w:pStyle w:val="912"/>
              <w:ind w:firstLine="0"/>
              <w:jc w:val="center"/>
              <w:keepLines w:val="0"/>
              <w:keepNext w:val="0"/>
              <w:pageBreakBefore w:val="0"/>
              <w:spacing w:before="0" w:beforeAutospacing="0" w:after="0" w:afterAutospacing="0" w:line="240" w:lineRule="auto"/>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三</w:t>
            </w:r>
            <w:r/>
          </w:p>
        </w:tc>
        <w:tc>
          <w:tcPr>
            <w:tcW w:w="609" w:type="pct"/>
            <w:vAlign w:val="center"/>
            <w:vMerge w:val="restart"/>
            <w:textDirection w:val="lrTb"/>
            <w:noWrap w:val="false"/>
          </w:tcPr>
          <w:p>
            <w:pPr>
              <w:pStyle w:val="912"/>
              <w:ind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技术部分</w:t>
            </w:r>
            <w:r/>
          </w:p>
          <w:p>
            <w:pPr>
              <w:pStyle w:val="912"/>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cs="宋体"/>
                <w:color w:val="auto"/>
                <w:sz w:val="21"/>
                <w:szCs w:val="21"/>
                <w:shd w:val="clear" w:color="auto" w:fill="ffffff"/>
                <w:lang w:val="en-US" w:eastAsia="zh-CN"/>
              </w:rPr>
              <w:t xml:space="preserve">49</w:t>
            </w:r>
            <w:r>
              <w:rPr>
                <w:rFonts w:hint="eastAsia" w:ascii="宋体" w:hAnsi="宋体" w:eastAsia="宋体" w:cs="宋体"/>
                <w:color w:val="auto"/>
                <w:sz w:val="21"/>
                <w:szCs w:val="21"/>
                <w:shd w:val="clear" w:color="auto" w:fill="ffffff"/>
              </w:rPr>
              <w:t xml:space="preserve">分）</w:t>
            </w:r>
            <w:r/>
          </w:p>
        </w:tc>
        <w:tc>
          <w:tcPr>
            <w:tcW w:w="669" w:type="pct"/>
            <w:vAlign w:val="center"/>
            <w:textDirection w:val="lrTb"/>
            <w:noWrap w:val="false"/>
          </w:tcPr>
          <w:p>
            <w:pPr>
              <w:pStyle w:val="912"/>
              <w:ind w:left="0"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项目理解</w:t>
            </w:r>
            <w:r/>
          </w:p>
          <w:p>
            <w:pPr>
              <w:pStyle w:val="912"/>
              <w:ind w:firstLine="0"/>
              <w:jc w:val="center"/>
              <w:keepLines w:val="0"/>
              <w:keepNext w:val="0"/>
              <w:pageBreakBefore w:val="0"/>
              <w:spacing w:before="0" w:beforeAutospacing="0" w:after="0" w:afterAutospacing="0" w:line="360" w:lineRule="exact"/>
              <w:widowControl w:val="off"/>
              <w:rPr>
                <w:color w:val="auto"/>
                <w:sz w:val="21"/>
                <w:szCs w:val="21"/>
                <w:vertAlign w:val="baseli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w:t>
            </w:r>
            <w:r>
              <w:rPr>
                <w:rFonts w:hint="eastAsia" w:ascii="宋体" w:hAnsi="宋体" w:cs="宋体"/>
                <w:color w:val="auto"/>
                <w:sz w:val="21"/>
                <w:szCs w:val="21"/>
                <w:shd w:val="clear" w:color="auto" w:fill="ffffff"/>
                <w:lang w:val="en-US" w:eastAsia="zh-CN"/>
              </w:rPr>
              <w:t xml:space="preserve">5</w:t>
            </w:r>
            <w:r>
              <w:rPr>
                <w:rFonts w:hint="eastAsia" w:ascii="宋体" w:hAnsi="宋体" w:eastAsia="宋体" w:cs="宋体"/>
                <w:color w:val="auto"/>
                <w:sz w:val="21"/>
                <w:szCs w:val="21"/>
                <w:shd w:val="clear" w:color="auto" w:fill="ffffff"/>
              </w:rPr>
              <w:t xml:space="preserve">分）</w:t>
            </w:r>
            <w:r/>
          </w:p>
        </w:tc>
        <w:tc>
          <w:tcPr>
            <w:gridSpan w:val="2"/>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投标人结合项目实际情况，制定详细的、完善的项目理解方案（包含但不限于：①项目需求、②政策背景、③项目试点情况、④项目现状等），再进行综合评审:</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1、方案或措施内容无漏项且详细全面、合理，方案完全可行且完全匹配项目需求的计4</w:t>
            </w:r>
            <w:r>
              <w:rPr>
                <w:rFonts w:hint="eastAsia" w:ascii="宋体" w:hAnsi="宋体" w:cs="宋体"/>
                <w:color w:val="auto"/>
                <w:sz w:val="21"/>
                <w:szCs w:val="21"/>
                <w:shd w:val="clear" w:color="auto" w:fill="ffffff"/>
                <w:lang w:val="en-US" w:eastAsia="zh-CN" w:bidi="ar"/>
              </w:rPr>
              <w:t xml:space="preserve">-5</w:t>
            </w:r>
            <w:r>
              <w:rPr>
                <w:rFonts w:hint="eastAsia" w:ascii="宋体" w:hAnsi="宋体" w:eastAsia="宋体" w:cs="宋体"/>
                <w:color w:val="auto"/>
                <w:sz w:val="21"/>
                <w:szCs w:val="21"/>
                <w:shd w:val="clear" w:color="auto" w:fill="ffffff"/>
                <w:lang w:val="en-US" w:eastAsia="zh-CN" w:bidi="ar"/>
              </w:rPr>
              <w:t xml:space="preserve">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2、方案或措施内容无缺漏项，内容较完整、较合理，方案基本可行计3- 2分；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3、方案或措施内容有缺漏项，内容欠完整、欠合理，可行性不强计 1 分；</w:t>
            </w:r>
            <w:r/>
          </w:p>
          <w:p>
            <w:pPr>
              <w:jc w:val="left"/>
              <w:spacing w:after="0" w:line="240" w:lineRule="auto"/>
              <w:rPr>
                <w:color w:val="auto"/>
                <w:sz w:val="21"/>
                <w:szCs w:val="21"/>
                <w:vertAlign w:val="baseline"/>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jc w:val="left"/>
              <w:spacing w:after="0" w:line="240" w:lineRule="auto"/>
              <w:rPr>
                <w:color w:val="auto"/>
                <w:sz w:val="21"/>
                <w:szCs w:val="21"/>
                <w:vertAlign w:val="baseline"/>
              </w:rPr>
            </w:pPr>
            <w:r>
              <w:rPr>
                <w:rFonts w:hint="eastAsia" w:ascii="宋体" w:hAnsi="宋体" w:eastAsia="宋体" w:cs="宋体"/>
                <w:color w:val="auto"/>
                <w:sz w:val="21"/>
                <w:szCs w:val="21"/>
                <w:shd w:val="clear" w:color="auto" w:fill="ffffff"/>
                <w:lang w:val="en-US" w:eastAsia="zh-CN" w:bidi="ar"/>
              </w:rPr>
              <w:t xml:space="preserve">项目总体工作思路(4分）</w:t>
            </w:r>
            <w:r/>
          </w:p>
        </w:tc>
        <w:tc>
          <w:tcPr>
            <w:gridSpan w:val="2"/>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投标人结合项目实际情况，制定详细完善的项目总体工作思路（包含但不限于：①工作目标、②工作原则、③工作内容、④工作步骤、⑤总体工作思路、⑥相关技术标准应用等）进行综合评审：</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1、方案或措施内容无漏项且详细全面、合理，方案完全可行且完</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全匹配项目需求的计4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2、方案或措施内容无缺漏项，内容较完整、较合理，方案基本可 行计3- 2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3、方案或措施内容有缺漏项，内容欠完整、欠合理，可行性不强 计 1 分；</w:t>
            </w:r>
            <w:r/>
          </w:p>
          <w:p>
            <w:pPr>
              <w:jc w:val="left"/>
              <w:spacing w:after="0" w:line="240" w:lineRule="auto"/>
              <w:rPr>
                <w:color w:val="auto"/>
                <w:sz w:val="21"/>
                <w:szCs w:val="21"/>
                <w:vertAlign w:val="baseline"/>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项目准备方案</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(4分）</w:t>
            </w:r>
            <w:r/>
          </w:p>
        </w:tc>
        <w:tc>
          <w:tcPr>
            <w:gridSpan w:val="2"/>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投标人结合项目实际情况，制定详细完善的项目准备方案（包含 但不限于：①前期准备工作概述、②人员组织准备、③技术方案准备、④物资设备准备、⑤资料收集准备、⑥创新举措等）进行综合评审：</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1、方案或措施内容无漏项且详细全面、合理，方案完全可行且完 全匹配项目需求的计 4分；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2、方案或措施内容无缺漏项，内容较完整、较合理，方案基本可行计3- 2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3、方案或措施内容有缺漏项，内容欠完整、欠合理，可行性不强计 1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项目重难点及解决方 案（4分）</w:t>
            </w:r>
            <w:r/>
          </w:p>
        </w:tc>
        <w:tc>
          <w:tcPr>
            <w:gridSpan w:val="2"/>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投标人结合项目实际情况，制定详细的、完善的项目重难点及解决方案（包含但不限于：①项目工作的重点、②项目工作的难点等），再进行综合评审:</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1、方案或措施内容无漏项且详细全面、合理，方案完全可行且完全匹配项目需求的计 4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2、方案或措施内容无缺漏项，内容较完整、较合理，方案基本可行计3- 2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3、方案或措施内容有缺漏项，内容欠完整、欠合理，可行性不强计 1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项目前期实施方案(4分）</w:t>
            </w:r>
            <w:r/>
          </w:p>
        </w:tc>
        <w:tc>
          <w:tcPr>
            <w:gridSpan w:val="2"/>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的、完善的项目前期实施方案（包含但不限于：①数据导出、②发包方调查、③承包方调查、④承包地块调查、⑤地块测量、⑥面积计算、⑦调查表格填写、⑧数据导入网签系统等），再进行综合评审:</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1、方案或措施内容无漏项且详细全面、合理，方案完全可行且完全匹配项目需求的计 4分；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2、方案或措施内容无缺漏项，内容较完整、较合理，方案基本可行计2-3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3、方案或措施内容有缺漏项，内容欠完整、欠合理，可行性不强计 1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集体土地所有权更新调查方案(4分）</w:t>
            </w:r>
            <w:r/>
          </w:p>
        </w:tc>
        <w:tc>
          <w:tcPr>
            <w:gridSpan w:val="2"/>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投标人结合项目实际情况，制定详细的、完善的项目前期实施方案（包含但不限于：①资料收集与数据分析、②权属界线调查、③调查结果公示、④所有权数据库更新等），再进行综合评审:</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1、方案或措施内容无漏项且详细全面、合理，方案完全可行且完全匹配项目需求的计3-4分；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2、方案或措施内容无缺漏项，内容较完整、较合理，方案基本可行计2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3、方案或措施内容有缺漏项，内容欠完整、欠合理，可行性不强计 1分；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项目审核公示方案（4分）</w:t>
            </w:r>
            <w:r/>
          </w:p>
        </w:tc>
        <w:tc>
          <w:tcPr>
            <w:gridSpan w:val="2"/>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投标人结合项目实际情况，制定详细的、完善的项目审核公示方案（包含但不限于：①审核公示内容、②审核公示流程等），再进行综合评审 :</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1、方案或措施内容无漏项且详细全面、合理，方案完全可行且完全匹配项目需求的计 3-4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2、方案或措施内容无缺漏项，内容较完整、较合理，方案基本可行计 2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3、方案或措施内容有缺漏项，内容欠完整、欠合理，可行性不强计 1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项目数据标准化、建 库方案（8分）</w:t>
            </w:r>
            <w:r/>
          </w:p>
        </w:tc>
        <w:tc>
          <w:tcPr>
            <w:gridSpan w:val="2"/>
            <w:shd w:val="clear" w:color="auto" w:fill="auto"/>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的、完善的项目数据标准化、建库方案（包含但不限于：对项目①数据标准化及导出导入、②数据测绘调查、③数据建库、④导入网签系统、⑤与不动产衔接等），再进行综合评审:</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1、方案或措施内容无漏项且详细全面、合理，方案完全可行且完全匹配项目需求的计7-8分；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2、方案或措施内容无缺漏项，内容较完整、较合理，方案基本可行计4-6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3、方案或措施内容有缺漏项，内容欠完整、欠合理，可行性不强计1-3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项目成果汇交方案（4分）</w:t>
            </w:r>
            <w:r/>
          </w:p>
        </w:tc>
        <w:tc>
          <w:tcPr>
            <w:gridSpan w:val="2"/>
            <w:shd w:val="clear" w:color="auto" w:fill="auto"/>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投标人结合项目实际情况，制定详细的、完善的项目成果汇交方案（包含但不限于：①数据汇交内容、②纸质和电子成果格式要求的评审等），再进行综合评审:</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1、方案或措施内容无漏项且详细全面、合理，方案完全可行且完全匹配项目需求的计3- 4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2、方案或措施内容无缺漏项，内容较完整、较合理，方案基本可行计2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3、方案或措施内容有缺漏项，内容欠完整、欠合理，可行性不强计 1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c>
          <w:tcPr>
            <w:tcW w:w="337" w:type="pct"/>
            <w:vMerge w:val="continue"/>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vMerge w:val="continue"/>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档案整理及数字化加工方案（4分）</w:t>
            </w:r>
            <w:r/>
          </w:p>
        </w:tc>
        <w:tc>
          <w:tcPr>
            <w:gridSpan w:val="2"/>
            <w:shd w:val="clear" w:color="auto" w:fill="auto"/>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的、完善的档案整理及数字化加工方案（包含但不限于：①针对项目具有完善、规范的档案案卷资料的整理实施方案，要求档案排序、折图、装盒、脊背封面盖章和上架等；②扫描、图像处理和质检；③人员、设备、工期计划等符合档案文件要求及验收要求），再进行综合评审:</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1、方案或措施内容详细全面、合理，方案完全可行且完全匹配项目需求的计3- 4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2、方案或措施内容较完整、较合理，方案基本可行计 2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3、方案或措施内容欠完整、欠合理，可行性不强计 1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c>
          <w:tcPr>
            <w:tcW w:w="337" w:type="pct"/>
            <w:textDirection w:val="lrTb"/>
            <w:noWrap w:val="false"/>
          </w:tcPr>
          <w:p>
            <w:pPr>
              <w:spacing w:after="0" w:line="240" w:lineRule="auto"/>
              <w:rPr>
                <w:color w:val="auto"/>
                <w:sz w:val="21"/>
                <w:szCs w:val="21"/>
                <w:vertAlign w:val="baseline"/>
              </w:rPr>
            </w:pPr>
            <w:r>
              <w:rPr>
                <w:color w:val="auto"/>
                <w:sz w:val="21"/>
                <w:szCs w:val="21"/>
                <w:vertAlign w:val="baseline"/>
              </w:rPr>
            </w:r>
            <w:r/>
          </w:p>
        </w:tc>
        <w:tc>
          <w:tcPr>
            <w:tcW w:w="609" w:type="pct"/>
            <w:textDirection w:val="lrTb"/>
            <w:noWrap w:val="false"/>
          </w:tcPr>
          <w:p>
            <w:pPr>
              <w:keepLines w:val="0"/>
              <w:keepNext w:val="0"/>
              <w:pageBreakBefore w:val="0"/>
              <w:spacing w:after="0" w:line="360" w:lineRule="exact"/>
              <w:widowControl w:val="off"/>
              <w:rPr>
                <w:color w:val="auto"/>
                <w:sz w:val="21"/>
                <w:szCs w:val="21"/>
                <w:vertAlign w:val="baseline"/>
              </w:rPr>
            </w:pPr>
            <w:r>
              <w:rPr>
                <w:color w:val="auto"/>
                <w:sz w:val="21"/>
                <w:szCs w:val="21"/>
                <w:vertAlign w:val="baseline"/>
              </w:rPr>
            </w:r>
            <w:r/>
          </w:p>
        </w:tc>
        <w:tc>
          <w:tcPr>
            <w:tcW w:w="669"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项目质量保证等措施（4分）</w:t>
            </w:r>
            <w:r/>
          </w:p>
        </w:tc>
        <w:tc>
          <w:tcPr>
            <w:gridSpan w:val="2"/>
            <w:shd w:val="clear" w:color="auto" w:fill="auto"/>
            <w:tcW w:w="3383" w:type="pct"/>
            <w:vAlign w:val="center"/>
            <w:textDirection w:val="lrTb"/>
            <w:noWrap w:val="false"/>
          </w:tcPr>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投标人结合项目实际情况，制定详细的、完善的项目质量保证措施及保密方案（包含但不限于：①质量保证措施、②进度安排及控制措施、③安全生产措施等），再进行综合评审:</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1、方案或措施内容无漏项且详细全面、合理，方案完全可行且完全匹配项目需求的计 3-4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2、方案或措施内容无缺漏项，内容较完整、较合理，方案基本可行计 2 分；</w:t>
            </w:r>
            <w:r/>
          </w:p>
          <w:p>
            <w:pPr>
              <w:jc w:val="left"/>
              <w:spacing w:after="0" w:line="240" w:lineRule="auto"/>
              <w:rPr>
                <w:rFonts w:hint="eastAsia" w:ascii="宋体" w:hAnsi="宋体" w:eastAsia="宋体" w:cs="宋体"/>
                <w:color w:val="auto"/>
                <w:sz w:val="21"/>
                <w:szCs w:val="21"/>
                <w:shd w:val="clear" w:color="auto" w:fill="ffffff"/>
                <w:lang w:val="en-US" w:eastAsia="zh-CN" w:bidi="ar"/>
              </w:rPr>
            </w:pPr>
            <w:r>
              <w:rPr>
                <w:rFonts w:hint="eastAsia" w:ascii="宋体" w:hAnsi="宋体" w:eastAsia="宋体" w:cs="宋体"/>
                <w:color w:val="auto"/>
                <w:sz w:val="21"/>
                <w:szCs w:val="21"/>
                <w:shd w:val="clear" w:color="auto" w:fill="ffffff"/>
                <w:lang w:val="en-US" w:eastAsia="zh-CN" w:bidi="ar"/>
              </w:rPr>
              <w:t xml:space="preserve">3、方案或措施内容有缺漏项，内容欠完整、欠合理，可行性不强计 1 分；</w:t>
            </w:r>
            <w:r/>
          </w:p>
          <w:p>
            <w:pPr>
              <w:jc w:val="left"/>
              <w:spacing w:after="0" w:line="240" w:lineRule="auto"/>
              <w:rPr>
                <w:spacing w:val="7"/>
                <w:sz w:val="20"/>
                <w:szCs w:val="20"/>
              </w:rPr>
            </w:pPr>
            <w:r>
              <w:rPr>
                <w:rFonts w:hint="eastAsia" w:ascii="宋体" w:hAnsi="宋体" w:eastAsia="宋体" w:cs="宋体"/>
                <w:color w:val="auto"/>
                <w:sz w:val="21"/>
                <w:szCs w:val="21"/>
                <w:shd w:val="clear" w:color="auto" w:fill="ffffff"/>
                <w:lang w:val="en-US" w:eastAsia="zh-CN" w:bidi="ar"/>
              </w:rPr>
              <w:t xml:space="preserve">4、未提供的不计分。</w:t>
            </w:r>
            <w:r/>
          </w:p>
        </w:tc>
      </w:tr>
      <w:tr>
        <w:trPr>
          <w:trHeight w:val="1155"/>
        </w:trPr>
        <w:tc>
          <w:tcPr>
            <w:gridSpan w:val="5"/>
            <w:tcW w:w="5000" w:type="pct"/>
            <w:textDirection w:val="lrTb"/>
            <w:noWrap w:val="false"/>
          </w:tcPr>
          <w:p>
            <w:pPr>
              <w:pStyle w:val="912"/>
              <w:ind w:firstLine="42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shd w:val="clear" w:color="auto" w:fill="ffffff"/>
              </w:rPr>
              <w:t xml:space="preserve">(非专门针对本项目或不适用本项目特性、套用其他项目内容；对同一问题前后表述矛盾；存在逻辑漏洞、科学原理或常识错误；不利于本项目目标的实现、现有技术条件下不可能出现的情形等任意一种情形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cs="宋体"/>
                <w:color w:val="auto"/>
                <w:sz w:val="21"/>
                <w:szCs w:val="21"/>
                <w:shd w:val="clear" w:color="auto" w:fill="ffffff"/>
                <w:lang w:eastAsia="zh-CN"/>
              </w:rPr>
              <w:t xml:space="preserve">）</w:t>
            </w:r>
            <w:r>
              <w:rPr>
                <w:rFonts w:hint="eastAsia" w:ascii="宋体" w:hAnsi="宋体" w:eastAsia="宋体" w:cs="宋体"/>
                <w:color w:val="auto"/>
                <w:sz w:val="21"/>
                <w:szCs w:val="21"/>
                <w:shd w:val="clear" w:color="auto" w:fill="ffffff"/>
              </w:rPr>
              <w:t xml:space="preserve">。</w:t>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说明：本项目采用综合评分法。</w:t>
      </w:r>
      <w:r/>
    </w:p>
    <w:p>
      <w:pPr>
        <w:numPr>
          <w:ilvl w:val="0"/>
          <w:numId w:val="4"/>
        </w:numPr>
        <w:jc w:val="center"/>
        <w:rPr>
          <w:rFonts w:ascii="宋体" w:hAnsi="宋体" w:cs="宋体"/>
          <w:b/>
          <w:bCs/>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bCs/>
          <w:color w:val="000000" w:themeColor="text1"/>
          <w:sz w:val="36"/>
          <w:szCs w:val="36"/>
          <w14:textFill>
            <w14:solidFill>
              <w14:schemeClr w14:val="tx1"/>
            </w14:solidFill>
          </w14:textFill>
        </w:rPr>
      </w:r>
      <w:r/>
    </w:p>
    <w:p>
      <w:r/>
      <w:r/>
    </w:p>
    <w:p>
      <w:pPr>
        <w:pStyle w:val="930"/>
        <w:numPr>
          <w:ilvl w:val="0"/>
          <w:numId w:val="0"/>
        </w:numPr>
        <w:ind w:left="0"/>
        <w:jc w:val="center"/>
        <w:keepLines w:val="0"/>
        <w:keepNext w:val="0"/>
        <w:pageBreakBefore w:val="0"/>
        <w:spacing w:line="360" w:lineRule="auto"/>
        <w:widowControl/>
        <w:rPr>
          <w:rFonts w:hint="eastAsia" w:ascii="宋体" w:hAnsi="宋体" w:eastAsia="宋体" w:cs="宋体"/>
          <w:b/>
          <w:bCs/>
          <w:color w:val="auto"/>
          <w:sz w:val="32"/>
          <w:szCs w:val="32"/>
          <w:highlight w:val="none"/>
        </w:rPr>
        <w:outlineLvl w:val="0"/>
      </w:pPr>
      <w:r>
        <w:rPr>
          <w:rFonts w:hint="eastAsia" w:ascii="宋体" w:hAnsi="宋体" w:cs="宋体"/>
          <w:b/>
          <w:bCs/>
          <w:color w:val="000000" w:themeColor="text1"/>
          <w:sz w:val="32"/>
          <w:szCs w:val="32"/>
          <w14:textFill>
            <w14:solidFill>
              <w14:schemeClr w14:val="tx1"/>
            </w14:solidFill>
          </w14:textFill>
        </w:rPr>
        <w:t xml:space="preserve">2、</w:t>
      </w:r>
      <w:r>
        <w:rPr>
          <w:rFonts w:hint="eastAsia" w:ascii="宋体" w:hAnsi="宋体" w:eastAsia="宋体" w:cs="宋体"/>
          <w:b/>
          <w:bCs/>
          <w:color w:val="auto"/>
          <w:sz w:val="32"/>
          <w:szCs w:val="32"/>
          <w:highlight w:val="none"/>
        </w:rPr>
        <w:t xml:space="preserve">项目要求（采购需求）</w:t>
      </w:r>
      <w:r/>
    </w:p>
    <w:p>
      <w:pPr>
        <w:numPr>
          <w:ilvl w:val="0"/>
          <w:numId w:val="0"/>
        </w:numPr>
        <w:ind w:firstLine="241"/>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一、采购预算</w:t>
      </w:r>
      <w:r/>
    </w:p>
    <w:p>
      <w:pPr>
        <w:numPr>
          <w:ilvl w:val="-1"/>
          <w:numId w:val="0"/>
        </w:numPr>
        <w:ind w:firstLine="422"/>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本项目不接受</w:t>
      </w:r>
      <w:r>
        <w:rPr>
          <w:rFonts w:hint="eastAsia" w:ascii="宋体" w:hAnsi="宋体" w:cs="宋体"/>
          <w:b/>
          <w:bCs/>
          <w:color w:val="auto"/>
          <w:sz w:val="24"/>
          <w:szCs w:val="24"/>
          <w:highlight w:val="none"/>
          <w:lang w:val="en-US" w:eastAsia="zh-CN" w:bidi="ar-SA"/>
        </w:rPr>
        <w:t xml:space="preserve">超过163</w:t>
      </w:r>
      <w:r>
        <w:rPr>
          <w:rFonts w:hint="eastAsia" w:ascii="宋体" w:hAnsi="宋体" w:eastAsia="宋体" w:cs="宋体"/>
          <w:b/>
          <w:bCs/>
          <w:color w:val="auto"/>
          <w:sz w:val="24"/>
          <w:szCs w:val="24"/>
          <w:highlight w:val="none"/>
          <w:lang w:val="en-US" w:eastAsia="zh-CN" w:bidi="ar-SA"/>
        </w:rPr>
        <w:t xml:space="preserve">万元（采购项目预算金额）的投标报价。</w:t>
      </w:r>
      <w:r/>
    </w:p>
    <w:p>
      <w:pPr>
        <w:ind w:left="0" w:firstLine="422"/>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SA"/>
        </w:rPr>
        <w:suppressLineNumbers w:val="0"/>
      </w:pPr>
      <w:r>
        <w:rPr>
          <w:rFonts w:hint="eastAsia" w:ascii="宋体" w:hAnsi="宋体" w:cs="宋体"/>
          <w:b/>
          <w:bCs/>
          <w:color w:val="auto"/>
          <w:sz w:val="21"/>
          <w:szCs w:val="21"/>
          <w:highlight w:val="none"/>
          <w:lang w:val="en-US" w:eastAsia="zh-CN" w:bidi="ar-SA"/>
        </w:rPr>
        <w:t xml:space="preserve">本项目分为2个采购包：</w:t>
      </w:r>
      <w:r/>
    </w:p>
    <w:p>
      <w:pPr>
        <w:numPr>
          <w:ilvl w:val="-1"/>
          <w:numId w:val="0"/>
        </w:numPr>
        <w:ind w:firstLine="480"/>
        <w:jc w:val="both"/>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其中采购包一不接受超过</w:t>
      </w:r>
      <w:r>
        <w:rPr>
          <w:rFonts w:hint="eastAsia" w:ascii="宋体" w:hAnsi="宋体" w:eastAsia="宋体" w:cs="宋体"/>
          <w:b/>
          <w:bCs/>
          <w:color w:val="auto"/>
          <w:sz w:val="24"/>
          <w:szCs w:val="24"/>
          <w:highlight w:val="none"/>
          <w:lang w:val="en-US" w:eastAsia="zh-CN" w:bidi="ar-SA"/>
        </w:rPr>
        <w:t xml:space="preserve">823286.49元</w:t>
      </w:r>
      <w:r>
        <w:rPr>
          <w:rFonts w:hint="eastAsia" w:ascii="宋体" w:hAnsi="宋体" w:eastAsia="宋体" w:cs="宋体"/>
          <w:b w:val="0"/>
          <w:bCs w:val="0"/>
          <w:color w:val="auto"/>
          <w:sz w:val="24"/>
          <w:szCs w:val="24"/>
          <w:highlight w:val="none"/>
          <w:lang w:val="en-US" w:eastAsia="zh-CN" w:bidi="ar-SA"/>
        </w:rPr>
        <w:t xml:space="preserve">的投标报价，采购包一涉及古邳镇、沙集镇、魏集镇、梁集镇、凌城镇、睢城街道、睢河街道、邱集镇、高作镇共</w:t>
      </w:r>
      <w:r>
        <w:rPr>
          <w:rFonts w:hint="eastAsia" w:ascii="宋体" w:hAnsi="宋体" w:cs="宋体"/>
          <w:b w:val="0"/>
          <w:bCs w:val="0"/>
          <w:color w:val="auto"/>
          <w:sz w:val="24"/>
          <w:szCs w:val="24"/>
          <w:highlight w:val="none"/>
          <w:lang w:val="en-US" w:eastAsia="zh-CN" w:bidi="ar-SA"/>
        </w:rPr>
        <w:t xml:space="preserve">27</w:t>
      </w:r>
      <w:r>
        <w:rPr>
          <w:rFonts w:hint="eastAsia" w:ascii="宋体" w:hAnsi="宋体" w:eastAsia="宋体" w:cs="宋体"/>
          <w:b w:val="0"/>
          <w:bCs w:val="0"/>
          <w:color w:val="auto"/>
          <w:sz w:val="24"/>
          <w:szCs w:val="24"/>
          <w:highlight w:val="none"/>
          <w:lang w:val="en-US" w:eastAsia="zh-CN" w:bidi="ar-SA"/>
        </w:rPr>
        <w:t xml:space="preserve">个村</w:t>
      </w:r>
      <w:r>
        <w:rPr>
          <w:rFonts w:hint="eastAsia" w:ascii="宋体" w:hAnsi="宋体" w:cs="宋体"/>
          <w:b w:val="0"/>
          <w:bCs w:val="0"/>
          <w:color w:val="auto"/>
          <w:sz w:val="24"/>
          <w:szCs w:val="24"/>
          <w:highlight w:val="none"/>
          <w:lang w:val="en-US" w:eastAsia="zh-CN" w:bidi="ar-SA"/>
        </w:rPr>
        <w:t xml:space="preserve">及社区(</w:t>
      </w:r>
      <w:r>
        <w:rPr>
          <w:rFonts w:hint="eastAsia" w:ascii="宋体" w:hAnsi="宋体" w:eastAsia="宋体" w:cs="宋体"/>
          <w:color w:val="auto"/>
          <w:sz w:val="24"/>
          <w:szCs w:val="24"/>
          <w:highlight w:val="none"/>
          <w:lang w:eastAsia="zh-CN"/>
        </w:rPr>
        <w:t xml:space="preserve">承包土地面积87660.692亩</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；为牵头采购包</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采购包二不接受超过</w:t>
      </w:r>
      <w:r>
        <w:rPr>
          <w:rFonts w:hint="eastAsia" w:ascii="宋体" w:hAnsi="宋体" w:eastAsia="宋体" w:cs="宋体"/>
          <w:b/>
          <w:bCs/>
          <w:color w:val="auto"/>
          <w:sz w:val="24"/>
          <w:szCs w:val="24"/>
          <w:highlight w:val="none"/>
          <w:lang w:val="en-US" w:eastAsia="zh-CN" w:bidi="ar-SA"/>
        </w:rPr>
        <w:t xml:space="preserve">806713.51元</w:t>
      </w:r>
      <w:r>
        <w:rPr>
          <w:rFonts w:hint="eastAsia" w:ascii="宋体" w:hAnsi="宋体" w:eastAsia="宋体" w:cs="宋体"/>
          <w:b w:val="0"/>
          <w:bCs w:val="0"/>
          <w:color w:val="auto"/>
          <w:sz w:val="24"/>
          <w:szCs w:val="24"/>
          <w:highlight w:val="none"/>
          <w:lang w:val="en-US" w:eastAsia="zh-CN" w:bidi="ar-SA"/>
        </w:rPr>
        <w:t xml:space="preserve">的投标报价，涉及</w:t>
      </w:r>
      <w:r>
        <w:rPr>
          <w:rFonts w:hint="eastAsia" w:ascii="宋体" w:hAnsi="宋体" w:eastAsia="宋体" w:cs="宋体"/>
          <w:color w:val="auto"/>
          <w:sz w:val="24"/>
          <w:szCs w:val="24"/>
          <w:highlight w:val="none"/>
          <w:lang w:val="en-US" w:eastAsia="zh-CN"/>
        </w:rPr>
        <w:t xml:space="preserve">双沟镇、李集镇、金城街道、姚集镇、庆安镇、岚山镇、桃园镇、</w:t>
      </w:r>
      <w:r>
        <w:rPr>
          <w:rFonts w:hint="eastAsia" w:ascii="宋体" w:hAnsi="宋体" w:cs="宋体"/>
          <w:color w:val="auto"/>
          <w:sz w:val="24"/>
          <w:szCs w:val="24"/>
          <w:highlight w:val="none"/>
          <w:lang w:val="en-US" w:eastAsia="zh-CN"/>
        </w:rPr>
        <w:t xml:space="preserve">王</w:t>
      </w:r>
      <w:r>
        <w:rPr>
          <w:rFonts w:hint="eastAsia" w:ascii="宋体" w:hAnsi="宋体" w:eastAsia="宋体" w:cs="宋体"/>
          <w:color w:val="auto"/>
          <w:sz w:val="24"/>
          <w:szCs w:val="24"/>
          <w:highlight w:val="none"/>
          <w:lang w:val="en-US" w:eastAsia="zh-CN"/>
        </w:rPr>
        <w:t xml:space="preserve">集镇共</w:t>
      </w:r>
      <w:r>
        <w:rPr>
          <w:rFonts w:hint="eastAsia" w:ascii="宋体" w:hAnsi="宋体" w:cs="宋体"/>
          <w:b w:val="0"/>
          <w:bCs w:val="0"/>
          <w:color w:val="auto"/>
          <w:sz w:val="24"/>
          <w:szCs w:val="24"/>
          <w:highlight w:val="none"/>
          <w:lang w:val="en-US" w:eastAsia="zh-CN" w:bidi="ar-SA"/>
        </w:rPr>
        <w:t xml:space="preserve">24</w:t>
      </w:r>
      <w:r>
        <w:rPr>
          <w:rFonts w:hint="eastAsia" w:ascii="宋体" w:hAnsi="宋体" w:eastAsia="宋体" w:cs="宋体"/>
          <w:b w:val="0"/>
          <w:bCs w:val="0"/>
          <w:color w:val="auto"/>
          <w:sz w:val="24"/>
          <w:szCs w:val="24"/>
          <w:highlight w:val="none"/>
          <w:lang w:val="en-US" w:eastAsia="zh-CN" w:bidi="ar-SA"/>
        </w:rPr>
        <w:t xml:space="preserve">个村</w:t>
      </w:r>
      <w:r>
        <w:rPr>
          <w:rFonts w:hint="eastAsia" w:ascii="宋体" w:hAnsi="宋体" w:cs="宋体"/>
          <w:b w:val="0"/>
          <w:bCs w:val="0"/>
          <w:color w:val="auto"/>
          <w:sz w:val="24"/>
          <w:szCs w:val="24"/>
          <w:highlight w:val="none"/>
          <w:lang w:val="en-US" w:eastAsia="zh-CN" w:bidi="ar-SA"/>
        </w:rPr>
        <w:t xml:space="preserve">及社区(</w:t>
      </w:r>
      <w:r>
        <w:rPr>
          <w:rFonts w:hint="eastAsia" w:ascii="宋体" w:hAnsi="宋体" w:eastAsia="宋体" w:cs="宋体"/>
          <w:color w:val="auto"/>
          <w:sz w:val="24"/>
          <w:szCs w:val="24"/>
          <w:highlight w:val="none"/>
          <w:lang w:eastAsia="zh-CN"/>
        </w:rPr>
        <w:t xml:space="preserve">承包土地面积85896.0585亩</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w:t>
      </w:r>
      <w:r/>
    </w:p>
    <w:p>
      <w:pPr>
        <w:numPr>
          <w:ilvl w:val="0"/>
          <w:numId w:val="0"/>
        </w:num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报价包含完成该采购项目的直接成本（所有人员</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包括人员工资、差旅费、误餐费、补助费、津贴、社保、医保、人身保险费用、通讯及交通费等，用于本项目人员的其他专项开支等）、间接成本（公司管理人员工资、行政办公费、业务培训费等）、税金、利润等完成本工作所需的全部费用。应考虑人员、物资（含设备、耗材及正版软件等）、税收、保险、利润和物价等一切因素，采购人不再支付与本项目有关的其他任何工作费用（包括附加工作、额外工作、延期等）等政策性文件规定费用以及在交付合法有效使用过程中的一切不可预见费用。</w:t>
      </w:r>
      <w:r/>
    </w:p>
    <w:p>
      <w:pPr>
        <w:numPr>
          <w:ilvl w:val="0"/>
          <w:numId w:val="0"/>
        </w:numPr>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二、项目名称</w:t>
      </w:r>
      <w:bookmarkStart w:id="1" w:name="OLE_LINK1"/>
      <w:r/>
      <w:bookmarkEnd w:id="1"/>
      <w:r/>
      <w:r/>
    </w:p>
    <w:p>
      <w:p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2025年度睢宁县第二轮土地承包到期后再延长30年试点项目。</w:t>
      </w:r>
      <w:r/>
    </w:p>
    <w:p>
      <w:pPr>
        <w:numPr>
          <w:ilvl w:val="0"/>
          <w:numId w:val="0"/>
        </w:numPr>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三、服务期限</w:t>
      </w:r>
      <w:r/>
    </w:p>
    <w:p>
      <w:pPr>
        <w:ind w:firstLine="0"/>
        <w:jc w:val="left"/>
        <w:pageBreakBefore w:val="0"/>
        <w:spacing w:line="360" w:lineRule="auto"/>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w:t>
      </w:r>
      <w:r>
        <w:rPr>
          <w:rFonts w:hint="eastAsia" w:ascii="宋体" w:hAnsi="宋体" w:cs="宋体"/>
          <w:b/>
          <w:bCs/>
          <w:color w:val="auto"/>
          <w:sz w:val="24"/>
          <w:szCs w:val="24"/>
          <w:highlight w:val="none"/>
          <w:lang w:val="en-US" w:eastAsia="zh-CN" w:bidi="ar-SA"/>
        </w:rPr>
        <w:t xml:space="preserve">　延包履行期限为180天。</w:t>
      </w:r>
      <w:r/>
    </w:p>
    <w:p>
      <w:pPr>
        <w:numPr>
          <w:ilvl w:val="0"/>
          <w:numId w:val="0"/>
        </w:numPr>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四、采购内容</w:t>
      </w:r>
      <w:r/>
    </w:p>
    <w:p>
      <w:pPr>
        <w:ind w:left="0" w:right="0" w:firstLine="420"/>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（一）建设背景</w:t>
      </w:r>
      <w:r/>
    </w:p>
    <w:p>
      <w:pPr>
        <w:ind w:left="0" w:right="0" w:firstLine="420"/>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2019年11月26日，中共中央、国务院发布《关于保持土地承包关系稳定并长久不变的意见》，明确保持土地集体所有、家庭承包经营的基本制度长久不变、保持农户依法承包集体土地的基本权利长久不变，同时在第二轮土地承包到期后再延长三十年。</w:t>
      </w:r>
      <w:r/>
    </w:p>
    <w:p>
      <w:pPr>
        <w:ind w:left="0" w:right="0" w:firstLine="420"/>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按照省农业农村厅《关于组织开展第二轮土地承包到期后再延长三十年省级试点申报工作的通知》（苏农委办〔2024〕4号）、省财政厅《关于下达2025年土地二轮延包试点专项资金的通知》（苏财农改〔2025〕14号）、农业农村部国家档案局关于印发《第二轮土地承包到期后再延长30年试点工作档案管理办法》等文件要求，推进</w:t>
      </w:r>
      <w:r>
        <w:rPr>
          <w:rFonts w:hint="eastAsia" w:ascii="宋体" w:hAnsi="宋体" w:eastAsia="宋体" w:cs="宋体"/>
          <w:color w:val="000000"/>
          <w:sz w:val="24"/>
          <w:szCs w:val="24"/>
        </w:rPr>
        <w:t xml:space="preserve">李集镇、王集镇等17个镇(街道)所辖51个村(社区)第二轮土地承包到期后再延长30年试点工作</w:t>
      </w:r>
      <w:r>
        <w:rPr>
          <w:rFonts w:ascii="宋体" w:hAnsi="宋体" w:eastAsia="宋体" w:cs="宋体"/>
          <w:color w:val="000000"/>
          <w:sz w:val="24"/>
          <w:szCs w:val="24"/>
        </w:rPr>
        <w:t xml:space="preserve">。</w:t>
      </w:r>
      <w:r/>
    </w:p>
    <w:p>
      <w:pPr>
        <w:numPr>
          <w:ilvl w:val="0"/>
          <w:numId w:val="0"/>
        </w:numPr>
        <w:ind w:left="0" w:right="0" w:firstLine="482"/>
        <w:spacing w:before="0" w:after="0"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（二）</w:t>
      </w:r>
      <w:r>
        <w:rPr>
          <w:rFonts w:ascii="宋体" w:hAnsi="宋体" w:eastAsia="宋体" w:cs="宋体"/>
          <w:color w:val="000000"/>
          <w:sz w:val="24"/>
          <w:szCs w:val="24"/>
        </w:rPr>
        <w:t xml:space="preserve">建设目标</w:t>
      </w:r>
      <w:r/>
    </w:p>
    <w:p>
      <w:pPr>
        <w:numPr>
          <w:ilvl w:val="0"/>
          <w:numId w:val="0"/>
        </w:numPr>
        <w:ind w:left="0" w:right="0" w:firstLine="482"/>
        <w:spacing w:before="0" w:after="0"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根据《关于2025年度睢宁县第二轮土地承包到期后再延长30年试点项目实施方案批复的通知》（睢农批〔2026〕4 号）</w:t>
      </w:r>
      <w:r>
        <w:rPr>
          <w:rFonts w:hint="eastAsia" w:ascii="宋体" w:hAnsi="宋体" w:cs="宋体"/>
          <w:color w:val="000000"/>
          <w:sz w:val="24"/>
          <w:szCs w:val="24"/>
          <w:lang w:eastAsia="zh-CN"/>
        </w:rPr>
        <w:t xml:space="preserve">、</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关于调整2025年度睢宁县第二轮土地承包到期后再延长30年试点项目部分建设内容批复的通知</w:t>
      </w:r>
      <w:r>
        <w:rPr>
          <w:rFonts w:hint="eastAsia" w:ascii="宋体" w:hAnsi="宋体" w:cs="宋体"/>
          <w:color w:val="auto"/>
          <w:sz w:val="24"/>
          <w:szCs w:val="24"/>
          <w:lang w:eastAsia="zh-CN"/>
        </w:rPr>
        <w:t xml:space="preserve">》（</w:t>
      </w:r>
      <w:r>
        <w:rPr>
          <w:rFonts w:ascii="宋体" w:hAnsi="宋体" w:eastAsia="宋体" w:cs="宋体"/>
          <w:color w:val="auto"/>
          <w:sz w:val="24"/>
          <w:szCs w:val="24"/>
        </w:rPr>
        <w:t xml:space="preserve">睢农批〔2026〕</w:t>
      </w:r>
      <w:r>
        <w:rPr>
          <w:rFonts w:hint="eastAsia" w:ascii="宋体" w:hAnsi="宋体" w:cs="宋体"/>
          <w:color w:val="auto"/>
          <w:sz w:val="24"/>
          <w:szCs w:val="24"/>
          <w:lang w:val="en-US" w:eastAsia="zh-CN"/>
        </w:rPr>
        <w:t xml:space="preserve">32</w:t>
      </w:r>
      <w:r>
        <w:rPr>
          <w:rFonts w:ascii="宋体" w:hAnsi="宋体" w:eastAsia="宋体" w:cs="宋体"/>
          <w:color w:val="auto"/>
          <w:sz w:val="24"/>
          <w:szCs w:val="24"/>
        </w:rPr>
        <w:t xml:space="preserve"> 号</w:t>
      </w:r>
      <w:r>
        <w:rPr>
          <w:rFonts w:hint="eastAsia" w:ascii="宋体" w:hAnsi="宋体" w:cs="宋体"/>
          <w:color w:val="auto"/>
          <w:sz w:val="24"/>
          <w:szCs w:val="24"/>
          <w:lang w:eastAsia="zh-CN"/>
        </w:rPr>
        <w:t xml:space="preserve">）</w:t>
      </w:r>
      <w:r>
        <w:rPr>
          <w:rFonts w:ascii="宋体" w:hAnsi="宋体" w:eastAsia="宋体" w:cs="宋体"/>
          <w:color w:val="auto"/>
          <w:sz w:val="24"/>
          <w:szCs w:val="24"/>
        </w:rPr>
        <w:t xml:space="preserve">，按照试点方案，现需聘请具备资质的第三方，对延包试点工作进行服务，包括但不限于：摸底调查和资料收集整理、信息核对、实测指界、补充测绘（含测绘数据入库）、制定延包方案、延包数据处理、公示培训、合同签订（含网签业务、网签系统维护、网签相关材料收集及业务数据处理等）、资料输出打印、数据汇交、档案资料完善和整理等。确保采购人完成上级部门要求的数据整合及汇交等工作，并且完成与不动产登记管理部门的对接工作</w:t>
      </w:r>
      <w:r>
        <w:rPr>
          <w:rFonts w:hint="eastAsia" w:ascii="宋体" w:hAnsi="宋体" w:cs="宋体"/>
          <w:color w:val="auto"/>
          <w:sz w:val="24"/>
          <w:szCs w:val="24"/>
          <w:lang w:val="en-US" w:eastAsia="zh-CN"/>
        </w:rPr>
        <w:t xml:space="preserve">和数据汇交（接口-由不动产登记管理部门提供准确要求）</w:t>
      </w:r>
      <w:r>
        <w:rPr>
          <w:rFonts w:ascii="宋体" w:hAnsi="宋体" w:eastAsia="宋体" w:cs="宋体"/>
          <w:color w:val="auto"/>
          <w:sz w:val="24"/>
          <w:szCs w:val="24"/>
        </w:rPr>
        <w:t xml:space="preserve">。</w:t>
      </w:r>
      <w:r/>
    </w:p>
    <w:p>
      <w:pPr>
        <w:numPr>
          <w:ilvl w:val="0"/>
          <w:numId w:val="5"/>
        </w:numPr>
        <w:jc w:val="left"/>
        <w:pageBreakBefore w:val="0"/>
        <w:spacing w:line="40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项目要求具体如下</w:t>
      </w:r>
      <w:r/>
    </w:p>
    <w:tbl>
      <w:tblPr>
        <w:tblStyle w:val="889"/>
        <w:tblpPr w:horzAnchor="text" w:tblpXSpec="center" w:vertAnchor="text" w:tblpY="1" w:leftFromText="180" w:topFromText="0" w:rightFromText="180" w:bottomFromText="0"/>
        <w:tblW w:w="0" w:type="auto"/>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658"/>
        <w:gridCol w:w="7033"/>
      </w:tblGrid>
      <w:tr>
        <w:trPr>
          <w:trHeight w:val="655"/>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序号</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工作程序</w:t>
            </w:r>
            <w:r/>
          </w:p>
        </w:tc>
        <w:tc>
          <w:tcPr>
            <w:tcW w:w="7033"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具体工作描述</w:t>
            </w:r>
            <w:r/>
          </w:p>
        </w:tc>
      </w:tr>
      <w:tr>
        <w:trPr>
          <w:trHeight w:val="1240"/>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1</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方案及培训</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协助编制试点工作方案，成立延包工作小组，依据上级工作安排及睢宁县</w:t>
            </w:r>
            <w:r>
              <w:rPr>
                <w:rFonts w:hint="eastAsia" w:ascii="宋体" w:hAnsi="宋体" w:cs="宋体"/>
                <w:color w:val="auto"/>
                <w:sz w:val="22"/>
                <w:szCs w:val="22"/>
                <w:highlight w:val="none"/>
                <w:lang w:val="en-US" w:eastAsia="zh-CN" w:bidi="ar-SA"/>
                <w14:ligatures w14:val="none"/>
              </w:rPr>
              <w:t xml:space="preserve">第二轮土地承包到期后再延长30年</w:t>
            </w:r>
            <w:r>
              <w:rPr>
                <w:rFonts w:hint="eastAsia" w:ascii="宋体" w:hAnsi="宋体" w:eastAsia="宋体" w:cs="宋体"/>
                <w:color w:val="auto"/>
                <w:sz w:val="22"/>
                <w:szCs w:val="22"/>
                <w:highlight w:val="none"/>
                <w:lang w:val="en-US" w:eastAsia="zh-CN" w:bidi="ar-SA"/>
                <w14:ligatures w14:val="none"/>
              </w:rPr>
              <w:t xml:space="preserve">试点工作情况制定技术方案，协助开展镇、村技术培训和宣传工作。</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2</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资料收集</w:t>
            </w:r>
            <w:r>
              <w:rPr>
                <w:rFonts w:hint="eastAsia" w:ascii="宋体" w:hAnsi="宋体" w:eastAsia="宋体" w:cs="宋体"/>
                <w:color w:val="auto"/>
                <w:sz w:val="22"/>
                <w:szCs w:val="22"/>
                <w:highlight w:val="none"/>
                <w:lang w:val="en-US" w:eastAsia="zh-CN" w:bidi="ar-SA"/>
                <w14:ligatures w14:val="none"/>
              </w:rPr>
              <w:t xml:space="preserve">整理</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收集最新的行政区划数据、农村土地承包经营权确权登记颁证成果、农村集体产权制度改革成果以及近年来农村土地流转、征收、变更等形成的成果资料。收集整理延包中各阶段形成的文字、图表、声像、数据等文件材料；收集作业区域范围内行政区划名称、最新区划代码、最新的影像图和既有的农村土地承包经营权数据库影像图、汇交库，各类调查表、统计表等，为资料完整做好准备。</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3</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开展</w:t>
            </w:r>
            <w:r>
              <w:rPr>
                <w:rFonts w:hint="eastAsia" w:ascii="宋体" w:hAnsi="宋体" w:eastAsia="宋体" w:cs="宋体"/>
                <w:color w:val="auto"/>
                <w:sz w:val="22"/>
                <w:szCs w:val="22"/>
                <w:highlight w:val="none"/>
                <w:lang w:val="en-US" w:eastAsia="en-US" w:bidi="ar-SA"/>
                <w14:ligatures w14:val="none"/>
              </w:rPr>
              <w:t xml:space="preserve">摸底核实</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协助指导村、组开展摸底调查工作，全面摸清各村、组第二轮土地承包以来家庭承包人口及承包地变化情况，整户消亡、外嫁女、“五保户”、全家进城落户以及整户无地等情况，承包地确权登记颁证情况，村集体土地利用现状和机动地等情况，矛盾纠纷和历史遗留问题</w:t>
            </w:r>
            <w:r>
              <w:rPr>
                <w:rFonts w:hint="eastAsia" w:ascii="宋体" w:hAnsi="宋体" w:cs="宋体"/>
                <w:color w:val="auto"/>
                <w:sz w:val="22"/>
                <w:szCs w:val="22"/>
                <w:highlight w:val="none"/>
                <w:lang w:val="en-US" w:eastAsia="zh-CN" w:bidi="ar-SA"/>
                <w14:ligatures w14:val="none"/>
              </w:rPr>
              <w:t xml:space="preserve">，农户延包意愿</w:t>
            </w:r>
            <w:r>
              <w:rPr>
                <w:rFonts w:hint="eastAsia" w:ascii="宋体" w:hAnsi="宋体" w:eastAsia="宋体" w:cs="宋体"/>
                <w:color w:val="auto"/>
                <w:sz w:val="22"/>
                <w:szCs w:val="22"/>
                <w:highlight w:val="none"/>
                <w:lang w:val="en-US" w:eastAsia="zh-CN" w:bidi="ar-SA"/>
                <w14:ligatures w14:val="none"/>
              </w:rPr>
              <w:t xml:space="preserve">等。</w:t>
            </w:r>
            <w:r/>
          </w:p>
        </w:tc>
      </w:tr>
      <w:tr>
        <w:trPr>
          <w:trHeight w:val="934"/>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4</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信息</w:t>
            </w:r>
            <w:r>
              <w:rPr>
                <w:rFonts w:hint="eastAsia" w:ascii="宋体" w:hAnsi="宋体" w:eastAsia="宋体" w:cs="宋体"/>
                <w:color w:val="auto"/>
                <w:sz w:val="22"/>
                <w:szCs w:val="22"/>
                <w:highlight w:val="none"/>
                <w:lang w:val="en-US" w:eastAsia="zh-CN" w:bidi="ar-SA"/>
                <w14:ligatures w14:val="none"/>
              </w:rPr>
              <w:t xml:space="preserve">分</w:t>
            </w:r>
            <w:r>
              <w:rPr>
                <w:rFonts w:hint="eastAsia" w:ascii="宋体" w:hAnsi="宋体" w:eastAsia="宋体" w:cs="宋体"/>
                <w:color w:val="auto"/>
                <w:sz w:val="22"/>
                <w:szCs w:val="22"/>
                <w:highlight w:val="none"/>
                <w:lang w:val="en-US" w:eastAsia="en-US" w:bidi="ar-SA"/>
                <w14:ligatures w14:val="none"/>
              </w:rPr>
              <w:t xml:space="preserve">类处理</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根据摸底调查情况，做好直接输出成果、内业图形属性修改后输出成果、需外业实测重新确权或增人确权</w:t>
            </w:r>
            <w:r>
              <w:rPr>
                <w:rFonts w:hint="eastAsia" w:ascii="宋体" w:hAnsi="宋体" w:cs="宋体"/>
                <w:color w:val="auto"/>
                <w:sz w:val="22"/>
                <w:szCs w:val="22"/>
                <w:highlight w:val="none"/>
                <w:lang w:val="en-US" w:eastAsia="zh-CN" w:bidi="ar-SA"/>
                <w14:ligatures w14:val="none"/>
              </w:rPr>
              <w:t xml:space="preserve">等</w:t>
            </w:r>
            <w:r>
              <w:rPr>
                <w:rFonts w:hint="eastAsia" w:ascii="宋体" w:hAnsi="宋体" w:eastAsia="宋体" w:cs="宋体"/>
                <w:color w:val="auto"/>
                <w:sz w:val="22"/>
                <w:szCs w:val="22"/>
                <w:highlight w:val="none"/>
                <w:lang w:val="en-US" w:eastAsia="zh-CN" w:bidi="ar-SA"/>
                <w14:ligatures w14:val="none"/>
              </w:rPr>
              <w:t xml:space="preserve">三种类型的数据梳理和信息核对工作。</w:t>
            </w:r>
            <w:r/>
          </w:p>
        </w:tc>
      </w:tr>
      <w:tr>
        <w:trPr>
          <w:trHeight w:val="864"/>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5</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制定</w:t>
            </w:r>
            <w:r>
              <w:rPr>
                <w:rFonts w:hint="eastAsia" w:ascii="宋体" w:hAnsi="宋体" w:eastAsia="宋体" w:cs="宋体"/>
                <w:color w:val="auto"/>
                <w:sz w:val="22"/>
                <w:szCs w:val="22"/>
                <w:highlight w:val="none"/>
                <w:lang w:val="en-US" w:eastAsia="zh-CN" w:bidi="ar-SA"/>
                <w14:ligatures w14:val="none"/>
              </w:rPr>
              <w:t xml:space="preserve">延包</w:t>
            </w:r>
            <w:r>
              <w:rPr>
                <w:rFonts w:hint="eastAsia" w:ascii="宋体" w:hAnsi="宋体" w:eastAsia="宋体" w:cs="宋体"/>
                <w:color w:val="auto"/>
                <w:sz w:val="22"/>
                <w:szCs w:val="22"/>
                <w:highlight w:val="none"/>
                <w:lang w:val="en-US" w:eastAsia="en-US" w:bidi="ar-SA"/>
                <w14:ligatures w14:val="none"/>
              </w:rPr>
              <w:t xml:space="preserve">方案</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根据摸底后的数据，提供制定二轮到期延包方案的数据支撑。指导村、组因地制宜、科学制定延包方案并提交上级审核。确保相关措施符合法律政策和实施方案要求。</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6</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开展调查</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根据摸底情况汇总统计需调查测绘的地块信息，安排外业补充测绘，并按原确权要求处理相关测绘数据。</w:t>
            </w:r>
            <w:r/>
          </w:p>
        </w:tc>
      </w:tr>
      <w:tr>
        <w:trPr>
          <w:trHeight w:val="567"/>
        </w:trPr>
        <w:tc>
          <w:tcPr>
            <w:tcW w:w="671" w:type="dxa"/>
            <w:vAlign w:val="center"/>
            <w:vMerge w:val="restart"/>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7</w:t>
            </w:r>
            <w:r/>
          </w:p>
        </w:tc>
        <w:tc>
          <w:tcPr>
            <w:tcW w:w="1658" w:type="dxa"/>
            <w:vAlign w:val="center"/>
            <w:vMerge w:val="restart"/>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数据修改入库</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按照《农村土地承包合同管理办法》《农村土地承包经营权调查规程》（NY/T2537-2014）等有关规定，以农村土地承包经营权成果为基础，对摸底调查表进行入户核实，开展承包经营权调查并修正、完善摸底调查表；对重新确权或新增人确权的数据调查、梳理和信息核对工作。结合摸底数据、二轮到期延包测绘数据、二轮到期延包方案处理、形成最终二轮到期延包数据，并以村为单位制作成质检无错误的汇交包，上传到网签系统；指导并培训其他合作单位处理二轮到期延包数据，统一工作方法及数据成果标准。</w:t>
            </w:r>
            <w:r/>
          </w:p>
        </w:tc>
      </w:tr>
      <w:tr>
        <w:trPr>
          <w:trHeight w:val="567"/>
        </w:trPr>
        <w:tc>
          <w:tcPr>
            <w:tcW w:w="671" w:type="dxa"/>
            <w:vAlign w:val="center"/>
            <w:vMerge w:val="continue"/>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1658" w:type="dxa"/>
            <w:vAlign w:val="center"/>
            <w:vMerge w:val="continue"/>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外业指界、实测情况，进行内业图形修改、属性修改，将外业填写的统计表中的编号及其他信息填写到数据表中，并以地块编码为连接字段，将地块名称，权利人名称，合同面积，地类，等级等属性进行关联，将调查的地块与户籍信息关联挂接，补全界址点，界址线信息，建立形成完整的数据库。</w:t>
            </w:r>
            <w:r>
              <w:rPr>
                <w:rFonts w:hint="eastAsia" w:ascii="宋体" w:hAnsi="宋体" w:eastAsia="宋体" w:cs="宋体"/>
                <w:color w:val="auto"/>
                <w:sz w:val="22"/>
                <w:szCs w:val="22"/>
                <w:highlight w:val="none"/>
                <w:lang w:val="en-US" w:eastAsia="en-US" w:bidi="ar-SA"/>
                <w14:ligatures w14:val="none"/>
              </w:rPr>
              <w:t xml:space="preserve">由</w:t>
            </w:r>
            <w:r>
              <w:rPr>
                <w:rFonts w:hint="eastAsia" w:ascii="宋体" w:hAnsi="宋体" w:eastAsia="宋体" w:cs="宋体"/>
                <w:color w:val="auto"/>
                <w:sz w:val="22"/>
                <w:szCs w:val="22"/>
                <w:highlight w:val="none"/>
                <w:lang w:val="en-US" w:eastAsia="zh-CN" w:bidi="ar-SA"/>
                <w14:ligatures w14:val="none"/>
              </w:rPr>
              <w:t xml:space="preserve">中标</w:t>
            </w:r>
            <w:r>
              <w:rPr>
                <w:rFonts w:hint="eastAsia" w:ascii="宋体" w:hAnsi="宋体" w:eastAsia="宋体" w:cs="宋体"/>
                <w:color w:val="auto"/>
                <w:sz w:val="22"/>
                <w:szCs w:val="22"/>
                <w:highlight w:val="none"/>
                <w:lang w:val="en-US" w:eastAsia="en-US" w:bidi="ar-SA"/>
                <w14:ligatures w14:val="none"/>
              </w:rPr>
              <w:t xml:space="preserve">供应商完成录入承包合同平台工作。</w:t>
            </w:r>
            <w:r/>
          </w:p>
        </w:tc>
      </w:tr>
      <w:tr>
        <w:trPr>
          <w:trHeight w:val="567"/>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8</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资料输出打印</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根据最终的数据库成果，从系统中输出登记簿、承包方调查表、公示结果归户表、承包合同、地块示意图等图件表格成果，并按照要求份数进行打印。</w:t>
            </w:r>
            <w:r/>
          </w:p>
        </w:tc>
      </w:tr>
      <w:tr>
        <w:trPr>
          <w:trHeight w:val="2515"/>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9</w:t>
            </w:r>
            <w:r/>
          </w:p>
        </w:tc>
        <w:tc>
          <w:tcPr>
            <w:tcW w:w="1658"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审核公示</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培训、指导并协助村组顺利开展二轮到期延包公示工作，按户输出公示调查表和地块位置图，将已经形成的调查成果交延包工作小组审核后进行公示。对相关权利人提出异议的，投标人会同延包工作小组应当进行核实、修正并再次公示，协助村组在承包地完善并修改相关内容，公示归户表要交由农户签字确认。在公示过程中若有信息变动的，在网签系统完善并修改相关内容（每个采购包不少于3人驻场）。</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10</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签订合同</w:t>
            </w:r>
            <w:r/>
          </w:p>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（网签）</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根据公示结果，明确二轮到期后延包的土地承包关系，更新农村土地承包信息数据，开展村级合同网签，主要内容包括生成延包合同、完成村级合同网签、承包合同扫描并上传至延包平台，网签数据库导入、技术培训。网签驻场技术服务（每镇、街道不少于2人驻场）；</w:t>
            </w:r>
            <w:r>
              <w:rPr>
                <w:rFonts w:hint="eastAsia" w:ascii="宋体" w:hAnsi="宋体" w:cs="宋体"/>
                <w:color w:val="auto"/>
                <w:sz w:val="22"/>
                <w:szCs w:val="22"/>
                <w:highlight w:val="none"/>
                <w:lang w:val="en-US" w:eastAsia="zh-CN" w:bidi="ar-SA"/>
                <w14:ligatures w14:val="none"/>
              </w:rPr>
              <w:t xml:space="preserve">每</w:t>
            </w:r>
            <w:r>
              <w:rPr>
                <w:rFonts w:hint="eastAsia" w:ascii="宋体" w:hAnsi="宋体" w:eastAsia="宋体" w:cs="宋体"/>
                <w:color w:val="auto"/>
                <w:sz w:val="22"/>
                <w:szCs w:val="22"/>
                <w:highlight w:val="none"/>
                <w:lang w:val="en-US" w:eastAsia="zh-CN" w:bidi="ar-SA"/>
                <w14:ligatures w14:val="none"/>
              </w:rPr>
              <w:t xml:space="preserve">周向镇、县级汇总上报网签工作进度。</w:t>
            </w:r>
            <w:r/>
          </w:p>
        </w:tc>
      </w:tr>
      <w:tr>
        <w:trPr/>
        <w:tc>
          <w:tcPr>
            <w:tcW w:w="671" w:type="dxa"/>
            <w:vAlign w:val="center"/>
            <w:textDirection w:val="lrTb"/>
            <w:noWrap w:val="false"/>
          </w:tcPr>
          <w:p>
            <w:pPr>
              <w:jc w:val="center"/>
              <w:pageBreakBefore w:val="0"/>
              <w:spacing w:line="400" w:lineRule="exact"/>
              <w:widowControl w:val="off"/>
              <w:rPr>
                <w:rFonts w:hint="default" w:ascii="宋体" w:hAnsi="宋体" w:eastAsia="宋体" w:cs="宋体"/>
                <w:color w:val="auto"/>
                <w:sz w:val="22"/>
                <w:szCs w:val="22"/>
                <w:highlight w:val="none"/>
                <w:lang w:val="en-US" w:eastAsia="zh-CN" w:bidi="ar-SA"/>
                <w14:ligatures w14:val="none"/>
              </w:rPr>
            </w:pPr>
            <w:r>
              <w:rPr>
                <w:rFonts w:hint="eastAsia" w:ascii="宋体" w:hAnsi="宋体" w:cs="宋体"/>
                <w:color w:val="auto"/>
                <w:sz w:val="22"/>
                <w:szCs w:val="22"/>
                <w:highlight w:val="none"/>
                <w:lang w:val="en-US" w:eastAsia="zh-CN" w:bidi="ar-SA"/>
                <w14:ligatures w14:val="none"/>
              </w:rPr>
              <w:t xml:space="preserve">11</w:t>
            </w:r>
            <w:r/>
          </w:p>
        </w:tc>
        <w:tc>
          <w:tcPr>
            <w:tcW w:w="1658"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auto"/>
                <w:sz w:val="22"/>
                <w:szCs w:val="22"/>
                <w:highlight w:val="none"/>
                <w:lang w:val="en-US" w:eastAsia="zh-CN" w:bidi="ar-SA"/>
                <w14:ligatures w14:val="none"/>
              </w:rPr>
            </w:pPr>
            <w:r>
              <w:rPr>
                <w:rFonts w:hint="eastAsia" w:ascii="宋体" w:hAnsi="宋体" w:cs="宋体"/>
                <w:color w:val="auto"/>
                <w:sz w:val="22"/>
                <w:szCs w:val="22"/>
                <w:highlight w:val="none"/>
                <w:lang w:val="en-US" w:eastAsia="zh-CN" w:bidi="ar-SA"/>
                <w14:ligatures w14:val="none"/>
              </w:rPr>
              <w:t xml:space="preserve">不动产登记申请书签订</w:t>
            </w:r>
            <w:r/>
          </w:p>
        </w:tc>
        <w:tc>
          <w:tcPr>
            <w:tcW w:w="7033" w:type="dxa"/>
            <w:vAlign w:val="center"/>
            <w:textDirection w:val="lrTb"/>
            <w:noWrap w:val="false"/>
          </w:tcPr>
          <w:p>
            <w:pPr>
              <w:jc w:val="both"/>
              <w:pageBreakBefore w:val="0"/>
              <w:spacing w:line="40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rPr>
              <w:t xml:space="preserve">根据江苏省自然资源厅、江苏省农业农村厅《关于做好第二轮土地承包到期后再延长30年试点不动产登记工作的通知》工作要求，在二轮延包调查中同步开展不动产登记申请要件收集，规范输出不动产登记申请书，并协助发包方、承包户签订不动产登记申请书</w:t>
            </w:r>
            <w:r>
              <w:rPr>
                <w:rFonts w:hint="eastAsia" w:ascii="宋体" w:hAnsi="宋体" w:cs="宋体"/>
                <w:color w:val="auto"/>
                <w:sz w:val="22"/>
                <w:szCs w:val="22"/>
                <w:highlight w:val="none"/>
                <w:lang w:val="en-US" w:eastAsia="zh-CN" w:bidi="ar-SA"/>
              </w:rPr>
              <w:t xml:space="preserve">。</w:t>
            </w:r>
            <w:r/>
          </w:p>
        </w:tc>
      </w:tr>
      <w:tr>
        <w:trPr>
          <w:trHeight w:val="681"/>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1</w:t>
            </w:r>
            <w:r>
              <w:rPr>
                <w:rFonts w:hint="eastAsia" w:ascii="宋体" w:hAnsi="宋体" w:cs="宋体"/>
                <w:color w:val="auto"/>
                <w:sz w:val="22"/>
                <w:szCs w:val="22"/>
                <w:highlight w:val="none"/>
                <w:lang w:val="en-US" w:eastAsia="zh-CN" w:bidi="ar-SA"/>
                <w14:ligatures w14:val="none"/>
              </w:rPr>
              <w:t xml:space="preserve">2</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系统培训服务</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提供本项目内镇、村、组相关工作人员针对平台的使用培训（集中培训不少于2次）。</w:t>
            </w:r>
            <w:r/>
          </w:p>
        </w:tc>
      </w:tr>
      <w:tr>
        <w:trPr>
          <w:trHeight w:val="131"/>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1</w:t>
            </w:r>
            <w:r>
              <w:rPr>
                <w:rFonts w:hint="eastAsia" w:ascii="宋体" w:hAnsi="宋体" w:cs="宋体"/>
                <w:color w:val="auto"/>
                <w:sz w:val="22"/>
                <w:szCs w:val="22"/>
                <w:highlight w:val="none"/>
                <w:lang w:val="en-US" w:eastAsia="zh-CN" w:bidi="ar-SA"/>
                <w14:ligatures w14:val="none"/>
              </w:rPr>
              <w:t xml:space="preserve">3</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不动产发证数据对接共享支持</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提供完整二轮到期延包成果数据交予不动产登记管理部门，协助甲方参与数据移交共享工作。</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1</w:t>
            </w:r>
            <w:r>
              <w:rPr>
                <w:rFonts w:hint="eastAsia" w:ascii="宋体" w:hAnsi="宋体" w:cs="宋体"/>
                <w:color w:val="auto"/>
                <w:sz w:val="22"/>
                <w:szCs w:val="22"/>
                <w:highlight w:val="none"/>
                <w:lang w:val="en-US" w:eastAsia="zh-CN" w:bidi="ar-SA"/>
                <w14:ligatures w14:val="none"/>
              </w:rPr>
              <w:t xml:space="preserve">4</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档案整理</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按照农业农村部和国家档案局档案关于延包档案试点管理办法要求，整理二轮到期延包档案材料（包括但不限于合同整理打印、签章图制作、归户表制作等延包中各阶段形成的文字、图表、声像、数据文件等材料）</w:t>
            </w:r>
            <w:r/>
          </w:p>
        </w:tc>
      </w:tr>
      <w:tr>
        <w:trPr/>
        <w:tc>
          <w:tcPr>
            <w:tcW w:w="671"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1</w:t>
            </w:r>
            <w:r>
              <w:rPr>
                <w:rFonts w:hint="eastAsia" w:ascii="宋体" w:hAnsi="宋体" w:cs="宋体"/>
                <w:color w:val="auto"/>
                <w:sz w:val="22"/>
                <w:szCs w:val="22"/>
                <w:highlight w:val="none"/>
                <w:lang w:val="en-US" w:eastAsia="zh-CN" w:bidi="ar-SA"/>
                <w14:ligatures w14:val="none"/>
              </w:rPr>
              <w:t xml:space="preserve">5</w:t>
            </w:r>
            <w:r/>
          </w:p>
        </w:tc>
        <w:tc>
          <w:tcPr>
            <w:tcW w:w="165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en-US" w:bidi="ar-SA"/>
                <w14:ligatures w14:val="none"/>
              </w:rPr>
              <w:t xml:space="preserve">资料归档汇交</w:t>
            </w:r>
            <w:r/>
          </w:p>
        </w:tc>
        <w:tc>
          <w:tcPr>
            <w:tcW w:w="7033" w:type="dxa"/>
            <w:vAlign w:val="center"/>
            <w:textDirection w:val="lrTb"/>
            <w:noWrap w:val="false"/>
          </w:tcPr>
          <w:p>
            <w:pPr>
              <w:jc w:val="left"/>
              <w:pageBreakBefore w:val="0"/>
              <w:spacing w:line="400" w:lineRule="exact"/>
              <w:widowControl w:val="off"/>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纸质材料成果档案，以镇、村、户为单位，中标供应商分别整理装袋提交甲方；电子档成果数据（包括但不限于测绘数据库、</w:t>
            </w:r>
            <w:r>
              <w:rPr>
                <w:rFonts w:hint="eastAsia" w:ascii="宋体" w:hAnsi="宋体" w:cs="宋体"/>
                <w:color w:val="auto"/>
                <w:sz w:val="22"/>
                <w:szCs w:val="22"/>
                <w:highlight w:val="none"/>
                <w:lang w:val="en-US" w:eastAsia="zh-CN" w:bidi="ar-SA"/>
                <w14:ligatures w14:val="none"/>
              </w:rPr>
              <w:t xml:space="preserve">矢量图</w:t>
            </w:r>
            <w:r>
              <w:rPr>
                <w:rFonts w:hint="eastAsia" w:ascii="宋体" w:hAnsi="宋体" w:eastAsia="宋体" w:cs="宋体"/>
                <w:color w:val="auto"/>
                <w:sz w:val="22"/>
                <w:szCs w:val="22"/>
                <w:highlight w:val="none"/>
                <w:lang w:val="en-US" w:eastAsia="zh-CN" w:bidi="ar-SA"/>
                <w14:ligatures w14:val="none"/>
              </w:rPr>
              <w:t xml:space="preserve">、承包方和发包方信息等），中标供应商完成数据库合并，汇交甲方，并负责技术服务，无条件移交给</w:t>
            </w:r>
            <w:r>
              <w:rPr>
                <w:rFonts w:hint="eastAsia" w:ascii="宋体" w:hAnsi="宋体" w:cs="宋体"/>
                <w:color w:val="auto"/>
                <w:sz w:val="22"/>
                <w:szCs w:val="22"/>
                <w:highlight w:val="none"/>
                <w:lang w:val="en-US" w:eastAsia="zh-CN" w:bidi="ar-SA"/>
                <w14:ligatures w14:val="none"/>
              </w:rPr>
              <w:t xml:space="preserve">采购人</w:t>
            </w:r>
            <w:r>
              <w:rPr>
                <w:rFonts w:hint="eastAsia" w:ascii="宋体" w:hAnsi="宋体" w:eastAsia="宋体" w:cs="宋体"/>
                <w:color w:val="auto"/>
                <w:sz w:val="22"/>
                <w:szCs w:val="22"/>
                <w:highlight w:val="none"/>
                <w:lang w:val="en-US" w:eastAsia="zh-CN" w:bidi="ar-SA"/>
                <w14:ligatures w14:val="none"/>
              </w:rPr>
              <w:t xml:space="preserve">，达到档案部门入馆要求。</w:t>
            </w:r>
            <w:r/>
          </w:p>
        </w:tc>
      </w:tr>
    </w:tbl>
    <w:p>
      <w:pPr>
        <w:numPr>
          <w:ilvl w:val="0"/>
          <w:numId w:val="0"/>
        </w:numPr>
        <w:jc w:val="left"/>
        <w:pageBreakBefore w:val="0"/>
        <w:spacing w:line="360" w:lineRule="auto"/>
        <w:rPr>
          <w:rFonts w:hint="eastAsia" w:ascii="宋体" w:hAnsi="宋体" w:eastAsia="宋体" w:cs="宋体"/>
          <w:b/>
          <w:bCs/>
          <w:color w:val="auto"/>
          <w:sz w:val="24"/>
          <w:szCs w:val="24"/>
          <w:highlight w:val="none"/>
          <w:lang w:val="en-US" w:eastAsia="zh-CN" w:bidi="ar-SA"/>
        </w:rPr>
      </w:pPr>
      <w:r/>
      <w:bookmarkStart w:id="2" w:name="_Toc17506"/>
      <w:r/>
      <w:bookmarkStart w:id="3" w:name="_Toc6398"/>
      <w:r/>
      <w:bookmarkStart w:id="4" w:name="_Toc3892"/>
      <w:r/>
      <w:bookmarkStart w:id="5" w:name="_Toc29554"/>
      <w:r/>
      <w:r/>
    </w:p>
    <w:p>
      <w:pPr>
        <w:numPr>
          <w:ilvl w:val="0"/>
          <w:numId w:val="0"/>
        </w:numPr>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六、项目工作量</w:t>
      </w:r>
      <w:bookmarkEnd w:id="2"/>
      <w:r/>
      <w:bookmarkEnd w:id="3"/>
      <w:r/>
      <w:bookmarkEnd w:id="4"/>
      <w:r/>
      <w:bookmarkEnd w:id="5"/>
      <w:r/>
      <w:r/>
    </w:p>
    <w:p>
      <w:p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bookmarkStart w:id="6" w:name="_Toc10007"/>
      <w:r/>
      <w:bookmarkStart w:id="7" w:name="_Toc11020"/>
      <w:r/>
      <w:bookmarkStart w:id="8" w:name="_Toc29926"/>
      <w:r/>
      <w:bookmarkStart w:id="9" w:name="_Toc9368"/>
      <w:r>
        <w:rPr>
          <w:rFonts w:hint="eastAsia" w:ascii="宋体" w:hAnsi="宋体" w:eastAsia="宋体" w:cs="宋体"/>
          <w:color w:val="auto"/>
          <w:sz w:val="24"/>
          <w:szCs w:val="24"/>
          <w:highlight w:val="none"/>
          <w:lang w:val="en-US" w:eastAsia="zh-CN" w:bidi="ar-SA"/>
        </w:rPr>
        <w:t xml:space="preserve">开展</w:t>
      </w:r>
      <w:r>
        <w:rPr>
          <w:rFonts w:ascii="宋体" w:hAnsi="宋体" w:eastAsia="宋体" w:cs="宋体"/>
          <w:color w:val="000000"/>
          <w:sz w:val="24"/>
          <w:szCs w:val="24"/>
        </w:rPr>
        <w:t xml:space="preserve">2025年度睢宁县第二轮土地承包到期后再延长30年试点项目</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auto"/>
          <w:sz w:val="24"/>
          <w:szCs w:val="24"/>
          <w:highlight w:val="none"/>
          <w:lang w:val="en-US" w:eastAsia="zh-CN" w:bidi="ar-SA"/>
        </w:rPr>
        <w:t xml:space="preserve">采购包一涉及古邳镇、沙集镇、魏集镇、梁集镇、凌城镇、睢城街道、睢河街道、邱集镇、高作镇共</w:t>
      </w:r>
      <w:r>
        <w:rPr>
          <w:rFonts w:hint="eastAsia" w:ascii="宋体" w:hAnsi="宋体" w:cs="宋体"/>
          <w:b w:val="0"/>
          <w:bCs w:val="0"/>
          <w:color w:val="auto"/>
          <w:sz w:val="24"/>
          <w:szCs w:val="24"/>
          <w:highlight w:val="none"/>
          <w:lang w:val="en-US" w:eastAsia="zh-CN" w:bidi="ar-SA"/>
        </w:rPr>
        <w:t xml:space="preserve">27</w:t>
      </w:r>
      <w:r>
        <w:rPr>
          <w:rFonts w:hint="eastAsia" w:ascii="宋体" w:hAnsi="宋体" w:eastAsia="宋体" w:cs="宋体"/>
          <w:b w:val="0"/>
          <w:bCs w:val="0"/>
          <w:color w:val="auto"/>
          <w:sz w:val="24"/>
          <w:szCs w:val="24"/>
          <w:highlight w:val="none"/>
          <w:lang w:val="en-US" w:eastAsia="zh-CN" w:bidi="ar-SA"/>
        </w:rPr>
        <w:t xml:space="preserve">个村</w:t>
      </w:r>
      <w:r>
        <w:rPr>
          <w:rFonts w:hint="eastAsia" w:ascii="宋体" w:hAnsi="宋体" w:cs="宋体"/>
          <w:b w:val="0"/>
          <w:bCs w:val="0"/>
          <w:color w:val="auto"/>
          <w:sz w:val="24"/>
          <w:szCs w:val="24"/>
          <w:highlight w:val="none"/>
          <w:lang w:val="en-US" w:eastAsia="zh-CN" w:bidi="ar-SA"/>
        </w:rPr>
        <w:t xml:space="preserve">及社区(</w:t>
      </w:r>
      <w:r>
        <w:rPr>
          <w:rFonts w:hint="eastAsia" w:ascii="宋体" w:hAnsi="宋体" w:eastAsia="宋体" w:cs="宋体"/>
          <w:color w:val="auto"/>
          <w:sz w:val="24"/>
          <w:szCs w:val="24"/>
          <w:highlight w:val="none"/>
          <w:lang w:eastAsia="zh-CN"/>
        </w:rPr>
        <w:t xml:space="preserve">承包土地面积87660.692亩</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为牵头采购包；采购包二涉及</w:t>
      </w:r>
      <w:r>
        <w:rPr>
          <w:rFonts w:hint="eastAsia" w:ascii="宋体" w:hAnsi="宋体" w:eastAsia="宋体" w:cs="宋体"/>
          <w:color w:val="auto"/>
          <w:sz w:val="24"/>
          <w:szCs w:val="24"/>
          <w:highlight w:val="none"/>
          <w:lang w:val="en-US" w:eastAsia="zh-CN"/>
        </w:rPr>
        <w:t xml:space="preserve">双沟镇、李集镇、金城街道、姚集镇、庆安镇、岚山镇、桃园镇、王集镇共</w:t>
      </w:r>
      <w:r>
        <w:rPr>
          <w:rFonts w:hint="eastAsia" w:ascii="宋体" w:hAnsi="宋体" w:cs="宋体"/>
          <w:b w:val="0"/>
          <w:bCs w:val="0"/>
          <w:color w:val="auto"/>
          <w:sz w:val="24"/>
          <w:szCs w:val="24"/>
          <w:highlight w:val="none"/>
          <w:lang w:val="en-US" w:eastAsia="zh-CN" w:bidi="ar-SA"/>
        </w:rPr>
        <w:t xml:space="preserve">24</w:t>
      </w:r>
      <w:r>
        <w:rPr>
          <w:rFonts w:hint="eastAsia" w:ascii="宋体" w:hAnsi="宋体" w:eastAsia="宋体" w:cs="宋体"/>
          <w:b w:val="0"/>
          <w:bCs w:val="0"/>
          <w:color w:val="auto"/>
          <w:sz w:val="24"/>
          <w:szCs w:val="24"/>
          <w:highlight w:val="none"/>
          <w:lang w:val="en-US" w:eastAsia="zh-CN" w:bidi="ar-SA"/>
        </w:rPr>
        <w:t xml:space="preserve">个村</w:t>
      </w:r>
      <w:r>
        <w:rPr>
          <w:rFonts w:hint="eastAsia" w:ascii="宋体" w:hAnsi="宋体" w:cs="宋体"/>
          <w:b w:val="0"/>
          <w:bCs w:val="0"/>
          <w:color w:val="auto"/>
          <w:sz w:val="24"/>
          <w:szCs w:val="24"/>
          <w:highlight w:val="none"/>
          <w:lang w:val="en-US" w:eastAsia="zh-CN" w:bidi="ar-SA"/>
        </w:rPr>
        <w:t xml:space="preserve">及社区(</w:t>
      </w:r>
      <w:r>
        <w:rPr>
          <w:rFonts w:hint="eastAsia" w:ascii="宋体" w:hAnsi="宋体" w:eastAsia="宋体" w:cs="宋体"/>
          <w:color w:val="auto"/>
          <w:sz w:val="24"/>
          <w:szCs w:val="24"/>
          <w:highlight w:val="none"/>
          <w:lang w:eastAsia="zh-CN"/>
        </w:rPr>
        <w:t xml:space="preserve">承包土地面积85896.0585亩</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包括但不限于</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摸底调查、资料收集、补充测绘、完善资料、审核公示、合同签订、数据汇交、资料归档等工作</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牵头包中标单位</w:t>
      </w:r>
      <w:r>
        <w:rPr>
          <w:rFonts w:hint="eastAsia" w:ascii="宋体" w:hAnsi="宋体" w:eastAsia="宋体" w:cs="宋体"/>
          <w:color w:val="auto"/>
          <w:sz w:val="24"/>
          <w:szCs w:val="24"/>
          <w:highlight w:val="none"/>
          <w:lang w:val="en-US" w:eastAsia="zh-CN"/>
        </w:rPr>
        <w:t xml:space="preserve">还应提供相关软件管理系统并做好培训，负责技术方案编制、技术支持、协助试点推进、质量管理、其他标段的指导；及时提供上级检查调研所需的各项资料、工作汇报；进行试点数据检查、数据汇交、成果统一，试点经验总结，出具成果分析报告等。</w:t>
      </w:r>
      <w:r/>
    </w:p>
    <w:p>
      <w:pPr>
        <w:ind w:firstLine="420"/>
        <w:jc w:val="left"/>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注：最终根据实际工作量进行结算</w:t>
      </w:r>
      <w:r>
        <w:rPr>
          <w:rFonts w:hint="eastAsia" w:ascii="宋体" w:hAnsi="宋体" w:cs="宋体"/>
          <w:b/>
          <w:bCs/>
          <w:color w:val="000000" w:themeColor="text1"/>
          <w:sz w:val="24"/>
          <w:szCs w:val="24"/>
          <w:highlight w:val="none"/>
          <w:lang w:val="en-US" w:eastAsia="zh-CN" w:bidi="ar-SA"/>
        </w:rPr>
        <w:t xml:space="preserve">（非中标人原因导致的工作无法继续开展的，据实结算金额=最终投标单价*实际测量亩数）</w:t>
      </w:r>
      <w:r>
        <w:rPr>
          <w:rFonts w:hint="eastAsia" w:ascii="宋体" w:hAnsi="宋体" w:eastAsia="宋体" w:cs="宋体"/>
          <w:b/>
          <w:bCs/>
          <w:color w:val="000000" w:themeColor="text1"/>
          <w:sz w:val="24"/>
          <w:szCs w:val="24"/>
          <w:highlight w:val="none"/>
          <w:lang w:val="en-US" w:eastAsia="zh-CN" w:bidi="ar-SA"/>
        </w:rPr>
        <w:t xml:space="preserve">。</w:t>
      </w:r>
      <w:r>
        <w:rPr>
          <w:color w:val="000000" w:themeColor="text1"/>
        </w:rPr>
      </w:r>
      <w:r/>
    </w:p>
    <w:p>
      <w:pPr>
        <w:numPr>
          <w:ilvl w:val="0"/>
          <w:numId w:val="0"/>
        </w:numPr>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七、项目要求</w:t>
      </w:r>
      <w:r/>
    </w:p>
    <w:p>
      <w:pPr>
        <w:ind w:firstLine="422"/>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 </w:t>
      </w:r>
      <w:bookmarkStart w:id="10" w:name="_Hlk200555853"/>
      <w:r>
        <w:rPr>
          <w:rFonts w:hint="eastAsia" w:ascii="宋体" w:hAnsi="宋体" w:eastAsia="宋体" w:cs="宋体"/>
          <w:b/>
          <w:bCs/>
          <w:color w:val="auto"/>
          <w:sz w:val="24"/>
          <w:szCs w:val="24"/>
          <w:highlight w:val="none"/>
          <w:lang w:val="en-US" w:eastAsia="zh-CN" w:bidi="ar-SA"/>
        </w:rPr>
        <w:t xml:space="preserve">1</w:t>
      </w:r>
      <w:bookmarkEnd w:id="10"/>
      <w:r>
        <w:rPr>
          <w:rFonts w:hint="eastAsia" w:ascii="宋体" w:hAnsi="宋体" w:eastAsia="宋体" w:cs="宋体"/>
          <w:b/>
          <w:bCs/>
          <w:color w:val="auto"/>
          <w:sz w:val="24"/>
          <w:szCs w:val="24"/>
          <w:highlight w:val="none"/>
          <w:lang w:val="en-US" w:eastAsia="zh-CN" w:bidi="ar-SA"/>
        </w:rPr>
        <w:t xml:space="preserve">.成立机构</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由本集体经济组织成员（代表）大会依法选举产生延包工作小组。</w:t>
      </w:r>
      <w:r/>
    </w:p>
    <w:p>
      <w:pPr>
        <w:ind w:firstLine="422"/>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2.方案编制</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根据相关要求，完成</w:t>
      </w:r>
      <w:r>
        <w:rPr>
          <w:rFonts w:hint="eastAsia" w:ascii="宋体" w:hAnsi="宋体" w:cs="宋体"/>
          <w:color w:val="auto"/>
          <w:sz w:val="24"/>
          <w:szCs w:val="24"/>
          <w:highlight w:val="none"/>
          <w:lang w:val="en-US" w:eastAsia="zh-CN" w:bidi="ar-SA"/>
        </w:rPr>
        <w:t xml:space="preserve">睢宁县李集镇、王集镇等17个镇(街道)所辖51个村(社区)第二轮土地承包到期后再延长30年试点工作和</w:t>
      </w:r>
      <w:r>
        <w:rPr>
          <w:rFonts w:hint="eastAsia" w:ascii="宋体" w:hAnsi="宋体" w:eastAsia="宋体" w:cs="宋体"/>
          <w:color w:val="auto"/>
          <w:sz w:val="24"/>
          <w:szCs w:val="24"/>
          <w:highlight w:val="none"/>
          <w:lang w:val="en-US" w:eastAsia="zh-CN" w:bidi="ar-SA"/>
        </w:rPr>
        <w:t xml:space="preserve">技术方案的编制，确保方案文本通过上级部门的审核。</w:t>
      </w:r>
      <w:r/>
    </w:p>
    <w:p>
      <w:pPr>
        <w:ind w:firstLine="422"/>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3.摸底核实</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利用农村土地承包经营权确权登记颁证成果和农村集体产权制度改革成果等前期数据，结合当前的最新正射影像等数据（对于确权错误或有疑虑的农户，要依据1994年二轮承包时的清册）整理出摸底基础数据，并以村组为单位进行延包摸排，并逐户留影登记。主要摸清第二轮土地承包以来承包农户及家庭成员、承包地变化情况，承包地确权登记颁证情况，新增土地、机动地等情况，存在的纠纷矛盾和历史遗留问题，农户延包意愿等。 </w:t>
      </w:r>
      <w:r/>
    </w:p>
    <w:p>
      <w:pPr>
        <w:ind w:firstLine="422"/>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4.制定</w:t>
      </w:r>
      <w:r>
        <w:rPr>
          <w:rFonts w:hint="eastAsia" w:ascii="宋体" w:hAnsi="宋体" w:cs="宋体"/>
          <w:b/>
          <w:bCs/>
          <w:color w:val="auto"/>
          <w:sz w:val="24"/>
          <w:szCs w:val="24"/>
          <w:highlight w:val="none"/>
          <w:lang w:val="en-US" w:eastAsia="zh-CN" w:bidi="ar-SA"/>
        </w:rPr>
        <w:t xml:space="preserve">（村级）</w:t>
      </w:r>
      <w:r>
        <w:rPr>
          <w:rFonts w:hint="eastAsia" w:ascii="宋体" w:hAnsi="宋体" w:eastAsia="宋体" w:cs="宋体"/>
          <w:b/>
          <w:bCs/>
          <w:color w:val="auto"/>
          <w:sz w:val="24"/>
          <w:szCs w:val="24"/>
          <w:highlight w:val="none"/>
          <w:lang w:val="en-US" w:eastAsia="zh-CN" w:bidi="ar-SA"/>
        </w:rPr>
        <w:t xml:space="preserve">延包方案</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根据前期摸底核实后形成的问题清单列表逐一</w:t>
      </w:r>
      <w:r>
        <w:rPr>
          <w:rFonts w:hint="eastAsia" w:ascii="宋体" w:hAnsi="宋体" w:cs="宋体"/>
          <w:color w:val="auto"/>
          <w:sz w:val="24"/>
          <w:szCs w:val="24"/>
          <w:highlight w:val="none"/>
          <w:lang w:val="en-US" w:eastAsia="zh-CN" w:bidi="ar-SA"/>
        </w:rPr>
        <w:t xml:space="preserve">理</w:t>
      </w:r>
      <w:r>
        <w:rPr>
          <w:rFonts w:hint="eastAsia" w:ascii="宋体" w:hAnsi="宋体" w:eastAsia="宋体" w:cs="宋体"/>
          <w:color w:val="auto"/>
          <w:sz w:val="24"/>
          <w:szCs w:val="24"/>
          <w:highlight w:val="none"/>
          <w:lang w:val="en-US" w:eastAsia="en-US" w:bidi="ar-SA"/>
        </w:rPr>
        <w:t xml:space="preserve">清形成延包方案。针对问题清单中的个性问题、共性问题、重大问题等，写清问题具体情况，处理意见、解决方案、处理结果。问题清单梳理后的内容，需在延包方案中体现。并在所涉集体经济组织范围内张榜公示，期限不少于15天。公示结束后，配合集体经济组织理事会召集、主持召开村（组）集体经济组织成员大会，依法对村（组）延包方案作出决定，并上报镇人民政府（街道办事处）和县级农业农村部门。</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5.补充调查</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以</w:t>
      </w:r>
      <w:r>
        <w:rPr>
          <w:rFonts w:hint="eastAsia" w:ascii="宋体" w:hAnsi="宋体" w:cs="宋体"/>
          <w:color w:val="auto"/>
          <w:sz w:val="24"/>
          <w:szCs w:val="24"/>
          <w:highlight w:val="none"/>
          <w:lang w:val="en-US" w:eastAsia="zh-CN" w:bidi="ar-SA"/>
        </w:rPr>
        <w:t xml:space="preserve">2016年</w:t>
      </w:r>
      <w:r>
        <w:rPr>
          <w:rFonts w:hint="eastAsia" w:ascii="宋体" w:hAnsi="宋体" w:eastAsia="宋体" w:cs="宋体"/>
          <w:color w:val="auto"/>
          <w:sz w:val="24"/>
          <w:szCs w:val="24"/>
          <w:highlight w:val="none"/>
          <w:lang w:val="en-US" w:eastAsia="en-US" w:bidi="ar-SA"/>
        </w:rPr>
        <w:t xml:space="preserve">承包地确权登记颁证成果为基础，根据摸底核实汇总情况及各村（社区）延包工作小组制定的延包方案，对田块和家庭成员等信息有变化的农户，需进行现场指界及走访调查等工作步骤，对地块图形变化部分开展补充测绘，对承包信息变化部分开展信息补充，根据实际情况进行修正；对于未开展土地确权的承包地延包，按照《农村土地承包合同管理办法</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农村土地承包经营权调查规程》（NY/T2537）有关规定，开展承包经营权调查，形成二轮延包数据库、信息公示表等调查成果。</w:t>
      </w:r>
      <w:r/>
    </w:p>
    <w:p>
      <w:p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6.审核公示</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以组为单位形成《农村土地承包经营权调查信息公示表》等成果资料，由各村（居）延包工作小组进行公示。《农村土地承包经营权调查信息公示表》需经延包工作小组核实确认后进行公示，期限不少于15天。相关权利人提出异议的，应当进行核实、修正，并再次公示。 公示期满后，以户为单位制作《农村土地承包经营权公示结果归户表》，并安排相关人员进行签字确认。</w:t>
      </w:r>
      <w:r/>
    </w:p>
    <w:p>
      <w:p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7.签订合同</w:t>
      </w:r>
      <w:r/>
    </w:p>
    <w:p>
      <w:pPr>
        <w:ind w:firstLine="440"/>
        <w:jc w:val="left"/>
        <w:pageBreakBefore w:val="0"/>
        <w:spacing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根据公示结果，明确二轮承包到期后延包的土地承包关系，更新农村土地承包信息数据库，按照《农村土地（耕地）承包合同（家庭承包方式）示范文本》要求，生成电子合同文本，并组织网签承包合同。 </w:t>
      </w:r>
      <w:r/>
    </w:p>
    <w:p>
      <w:pPr>
        <w:ind w:firstLine="420"/>
        <w:jc w:val="left"/>
        <w:pageBreakBefore w:val="0"/>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8.协助签订不动产登记申请书</w:t>
      </w:r>
      <w:r/>
    </w:p>
    <w:p>
      <w:pPr>
        <w:ind w:firstLine="440"/>
        <w:jc w:val="left"/>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根据江苏省自然资源厅、江苏省农业农村厅《关于做好第二轮土地承包到期后再延长30年试点不动产登记工作的通知》工作要求，在二轮延包调查中同步开展不动产登记申请要件收集，规范输出不动产登记申请书，并协助发包方、承包户签订不动产登记申请书</w:t>
      </w:r>
      <w:r>
        <w:rPr>
          <w:rFonts w:hint="eastAsia" w:ascii="宋体" w:hAnsi="宋体" w:cs="宋体"/>
          <w:color w:val="auto"/>
          <w:sz w:val="24"/>
          <w:szCs w:val="24"/>
          <w:highlight w:val="none"/>
          <w:lang w:val="en-US" w:eastAsia="zh-CN" w:bidi="ar-SA"/>
        </w:rPr>
        <w:t xml:space="preserve">。</w:t>
      </w:r>
      <w:r/>
    </w:p>
    <w:p>
      <w:p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.资料归档</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延包试点中形成的各种文字、图表、声像、数据等不同形式的文件材料，按照档案管理有关规定，对其进行归档。形成“一村一档”的最终成果，并移交项目乡镇</w:t>
      </w:r>
      <w:r>
        <w:rPr>
          <w:rFonts w:hint="eastAsia" w:ascii="宋体" w:hAnsi="宋体" w:cs="宋体"/>
          <w:color w:val="auto"/>
          <w:sz w:val="24"/>
          <w:szCs w:val="24"/>
          <w:highlight w:val="none"/>
          <w:lang w:val="en-US" w:eastAsia="zh-CN" w:bidi="ar-SA"/>
        </w:rPr>
        <w:t xml:space="preserve">和县局</w:t>
      </w:r>
      <w:r>
        <w:rPr>
          <w:rFonts w:hint="eastAsia" w:ascii="宋体" w:hAnsi="宋体" w:eastAsia="宋体" w:cs="宋体"/>
          <w:color w:val="auto"/>
          <w:sz w:val="24"/>
          <w:szCs w:val="24"/>
          <w:highlight w:val="none"/>
          <w:lang w:val="en-US" w:eastAsia="en-US" w:bidi="ar-SA"/>
        </w:rPr>
        <w:t xml:space="preserve">。</w:t>
      </w:r>
      <w:r/>
    </w:p>
    <w:p>
      <w:p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10</w:t>
      </w:r>
      <w:r>
        <w:rPr>
          <w:rFonts w:hint="eastAsia" w:ascii="宋体" w:hAnsi="宋体" w:eastAsia="宋体" w:cs="宋体"/>
          <w:b/>
          <w:bCs/>
          <w:color w:val="auto"/>
          <w:sz w:val="24"/>
          <w:szCs w:val="24"/>
          <w:highlight w:val="none"/>
          <w:lang w:val="en-US" w:eastAsia="zh-CN" w:bidi="ar-SA"/>
        </w:rPr>
        <w:t xml:space="preserve">.技术核查及数据汇交</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对第二轮土地承包到期后再延长30年试点工作的成果数据进行技术核查，保证数据完整性、空间数学基础与数据格式正确性、标准符合性、空间拓扑、图数一致性等方面的质量。按农业农村部有关数据汇交的要求形成土地延包汇交数据并汇总上报相关部门。</w:t>
      </w:r>
      <w:r/>
    </w:p>
    <w:p>
      <w:p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10</w:t>
      </w:r>
      <w:bookmarkEnd w:id="6"/>
      <w:r/>
      <w:bookmarkEnd w:id="7"/>
      <w:r/>
      <w:bookmarkEnd w:id="8"/>
      <w:r/>
      <w:bookmarkEnd w:id="9"/>
      <w:r>
        <w:rPr>
          <w:rFonts w:hint="eastAsia" w:ascii="宋体" w:hAnsi="宋体" w:eastAsia="宋体" w:cs="宋体"/>
          <w:b/>
          <w:bCs/>
          <w:color w:val="auto"/>
          <w:sz w:val="24"/>
          <w:szCs w:val="24"/>
          <w:highlight w:val="none"/>
          <w:lang w:val="en-US" w:eastAsia="zh-CN" w:bidi="ar-SA"/>
        </w:rPr>
        <w:t xml:space="preserve">.技术标准、指标及依据 </w:t>
      </w:r>
      <w:r/>
    </w:p>
    <w:p>
      <w:pPr>
        <w:ind w:firstLine="44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(1)延包合同签订统一采用全国承包地合同网签系统，系统数据初始接入支持按乡镇或村导入数据汇交包，但数据汇交需满足如下规范</w:t>
      </w:r>
      <w:r>
        <w:rPr>
          <w:rFonts w:hint="eastAsia" w:ascii="宋体" w:hAnsi="宋体" w:cs="宋体"/>
          <w:b/>
          <w:bCs/>
          <w:color w:val="auto"/>
          <w:sz w:val="24"/>
          <w:szCs w:val="24"/>
          <w:highlight w:val="none"/>
          <w:lang w:val="en-US" w:eastAsia="zh-CN" w:bidi="ar-SA"/>
        </w:rPr>
        <w:t xml:space="preserve">：</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1)《农村土地承包经营权调查规程》(NY/T2537-2014)</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2)《农村土地承包经营权要素编码规则》(NY/T2538-2014)</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3)《农村土地承包经营权确权登记数据库规范》(NY/T2539-2014)</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4)《农村土地承包经营权确权登记颁证成果检查验收办法(试行)》(农办经</w:t>
      </w:r>
      <w:r>
        <w:rPr>
          <w:rFonts w:hint="eastAsia" w:ascii="宋体" w:hAnsi="宋体" w:cs="宋体"/>
          <w:color w:val="auto"/>
          <w:sz w:val="24"/>
          <w:szCs w:val="24"/>
          <w:highlight w:val="none"/>
          <w:lang w:val="en-US" w:eastAsia="zh-CN" w:bidi="ar-SA"/>
        </w:rPr>
        <w:t xml:space="preserve">〔2015〕5号</w:t>
      </w:r>
      <w:r>
        <w:rPr>
          <w:rFonts w:hint="eastAsia" w:ascii="宋体" w:hAnsi="宋体" w:eastAsia="宋体" w:cs="宋体"/>
          <w:color w:val="auto"/>
          <w:sz w:val="24"/>
          <w:szCs w:val="24"/>
          <w:highlight w:val="none"/>
          <w:lang w:val="en-US" w:eastAsia="en-US" w:bidi="ar-SA"/>
        </w:rPr>
        <w:t xml:space="preserve">)</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5)《农村土地承包经营权确权登记数据库建设技术指南(试行)》(农办经</w:t>
      </w:r>
      <w:r>
        <w:rPr>
          <w:rFonts w:hint="eastAsia" w:ascii="宋体" w:hAnsi="宋体" w:cs="宋体"/>
          <w:color w:val="auto"/>
          <w:sz w:val="24"/>
          <w:szCs w:val="24"/>
          <w:highlight w:val="none"/>
          <w:lang w:val="en-US" w:eastAsia="zh-CN" w:bidi="ar-SA"/>
        </w:rPr>
        <w:t xml:space="preserve">〔2015〕</w:t>
      </w:r>
      <w:r>
        <w:rPr>
          <w:rFonts w:hint="eastAsia" w:ascii="宋体" w:hAnsi="宋体" w:eastAsia="宋体" w:cs="宋体"/>
          <w:color w:val="auto"/>
          <w:sz w:val="24"/>
          <w:szCs w:val="24"/>
          <w:highlight w:val="none"/>
          <w:lang w:val="en-US" w:eastAsia="en-US" w:bidi="ar-SA"/>
        </w:rPr>
        <w:t xml:space="preserve">13号)</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6)《农村土地承包经营权确权登记数据库成果汇交办法(试行)》(农办经</w:t>
      </w:r>
      <w:r>
        <w:rPr>
          <w:rFonts w:hint="eastAsia" w:ascii="宋体" w:hAnsi="宋体" w:cs="宋体"/>
          <w:color w:val="auto"/>
          <w:sz w:val="24"/>
          <w:szCs w:val="24"/>
          <w:highlight w:val="none"/>
          <w:lang w:val="en-US" w:eastAsia="zh-CN" w:bidi="ar-SA"/>
        </w:rPr>
        <w:t xml:space="preserve">〔2015〕13号</w:t>
      </w:r>
      <w:r>
        <w:rPr>
          <w:rFonts w:hint="eastAsia" w:ascii="宋体" w:hAnsi="宋体" w:eastAsia="宋体" w:cs="宋体"/>
          <w:color w:val="auto"/>
          <w:sz w:val="24"/>
          <w:szCs w:val="24"/>
          <w:highlight w:val="none"/>
          <w:lang w:val="en-US" w:eastAsia="en-US" w:bidi="ar-SA"/>
        </w:rPr>
        <w:t xml:space="preserve">)</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此外汇交包需通过农业农村部最新质检软件质检，方可成功接入系统。</w:t>
      </w:r>
      <w:r/>
    </w:p>
    <w:p>
      <w:pPr>
        <w:ind w:firstLine="440"/>
        <w:jc w:val="left"/>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(2)技术标准与依据 </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en-US" w:bidi="ar-SA"/>
        </w:rPr>
        <w:fldChar w:fldCharType="begin"/>
      </w:r>
      <w:r>
        <w:rPr>
          <w:rFonts w:hint="eastAsia" w:ascii="宋体" w:hAnsi="宋体" w:eastAsia="宋体" w:cs="宋体"/>
          <w:color w:val="auto"/>
          <w:sz w:val="24"/>
          <w:szCs w:val="24"/>
          <w:highlight w:val="none"/>
          <w:lang w:val="en-US" w:eastAsia="en-US" w:bidi="ar-SA"/>
        </w:rPr>
        <w:instrText xml:space="preserve"> HYPERLINK "https://baike.baidu.com/item/%</w:instrText>
      </w:r>
      <w:r>
        <w:rPr>
          <w:rFonts w:hint="eastAsia" w:ascii="宋体" w:hAnsi="宋体" w:eastAsia="宋体" w:cs="宋体"/>
          <w:color w:val="auto"/>
          <w:sz w:val="24"/>
          <w:szCs w:val="24"/>
          <w:highlight w:val="none"/>
          <w:lang w:val="en-US" w:eastAsia="en-US" w:bidi="ar-SA"/>
        </w:rPr>
        <w:instrText xml:space="preserve">E4%B8%AD%E5%8D%8E%E4%BA%BA%E6%B0%91%E5%85%B1%E5%92%8C%E5%9B%BD%E6%B0%91%E6%B3%95%E5%85%B8/19435116?fromModule=lemma_inlink" \t "https://baike.baidu.com/item/%E4%B8%AD%E5%8D%8E%E4%BA%BA%E6%B0%91%E5%85%B1%E5%92%8C%E5%9B%BD%E7%89%A9%E6%9D%83%E6%B3%95/_blank" </w:instrText>
      </w:r>
      <w:r>
        <w:rPr>
          <w:rFonts w:hint="eastAsia" w:ascii="宋体" w:hAnsi="宋体" w:eastAsia="宋体" w:cs="宋体"/>
          <w:color w:val="auto"/>
          <w:sz w:val="24"/>
          <w:szCs w:val="24"/>
          <w:highlight w:val="none"/>
          <w:lang w:val="en-US" w:eastAsia="en-US" w:bidi="ar-SA"/>
        </w:rPr>
        <w:fldChar w:fldCharType="separate"/>
      </w:r>
      <w:r>
        <w:rPr>
          <w:rFonts w:hint="eastAsia" w:ascii="宋体" w:hAnsi="宋体" w:eastAsia="宋体" w:cs="宋体"/>
          <w:color w:val="auto"/>
          <w:sz w:val="24"/>
          <w:szCs w:val="24"/>
          <w:highlight w:val="none"/>
          <w:lang w:val="en-US" w:eastAsia="en-US" w:bidi="ar-SA"/>
        </w:rPr>
        <w:t xml:space="preserve">中华人民共和国民法典</w:t>
      </w:r>
      <w:r>
        <w:rPr>
          <w:rFonts w:hint="eastAsia" w:ascii="宋体" w:hAnsi="宋体" w:eastAsia="宋体" w:cs="宋体"/>
          <w:color w:val="auto"/>
          <w:sz w:val="24"/>
          <w:szCs w:val="24"/>
          <w:highlight w:val="none"/>
          <w:lang w:val="en-US" w:eastAsia="en-US" w:bidi="ar-SA"/>
        </w:rPr>
        <w:fldChar w:fldCharType="end"/>
      </w:r>
      <w:r>
        <w:rPr>
          <w:rFonts w:hint="eastAsia" w:ascii="宋体" w:hAnsi="宋体" w:eastAsia="宋体" w:cs="宋体"/>
          <w:color w:val="auto"/>
          <w:sz w:val="24"/>
          <w:szCs w:val="24"/>
          <w:highlight w:val="none"/>
          <w:lang w:val="en-US" w:eastAsia="en-US" w:bidi="ar-SA"/>
        </w:rPr>
        <w:t xml:space="preserve">》</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2)《中华人民共和国土地管理法》</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3)《中华人民共和国农村土地承包法》</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4)《中华人民共和国农村集体经济组织法》</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5)《农村土地承包合同管理办法》</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6)《农村土地承包经营权调查规程》(NY/T2537)</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 农村土地(耕地)承包合同(家庭承包方式) 示范文本》</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8)《第二轮土地承包到期后再延长30年试点工作档案管理办法》</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9)GB/T 21010-2017 土地利用现状分类</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10)GB/T 13989-2012 国家基本比例尺地形图分幅与编号</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11)GB/T 18314-2009 全球定位系统（GPS）测量规范</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12)CH/T 2009-2010 全球定位系统实时动态测量（RTK）技术规范</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13)GB/T 2260-2007 中华人民共和国行政区划代码</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14)GB/T 13923-2006 基础地理信息要素分类与代码</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15)GB/T 21010-2017 土地利用现状分类</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16)TD/T 1066-2021 不动产登记数据库标准</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17)CH/T 1001-2005 测绘技术总结编写规定</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18)CH/T 1004-2005 测绘技术设计规定</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19)GB/T 24356-2009 测绘成果质量检查与验收</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20)GB/T 18316—2008 数字测绘成果质量检查与验收</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21)GB/T 35958-2018农村土地承包经营权要素编码规则</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22)NY/T 2539-2016 农村土地承包经营权确权登记数据库规范</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23)GB/T 42547-2023《地籍调查规程》</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24)TD/T 1095-2024 《不动产登记规程》</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25)CH/T9008.3《基础地理信息数字成果》</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26)GB/T79301:5001:10001:2000《地形图航空摄影测量内业规范》</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27)GB/T79311:5001:10001:2000《地形图航空摄影测量外业规范》</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28)GB/T20257.1《国家基本比例尺地图图式》</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29)GB/T23236《数字航空摄影测量空中三角测量规范》</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30)《</w:t>
      </w:r>
      <w:r>
        <w:rPr>
          <w:rFonts w:hint="eastAsia" w:ascii="宋体" w:hAnsi="宋体" w:cs="宋体"/>
          <w:color w:val="auto"/>
          <w:sz w:val="24"/>
          <w:szCs w:val="24"/>
          <w:highlight w:val="none"/>
          <w:lang w:val="en-US" w:eastAsia="zh-CN" w:bidi="ar-SA"/>
        </w:rPr>
        <w:t xml:space="preserve">睢宁县</w:t>
      </w:r>
      <w:r>
        <w:rPr>
          <w:rFonts w:hint="eastAsia" w:ascii="宋体" w:hAnsi="宋体" w:eastAsia="宋体" w:cs="宋体"/>
          <w:color w:val="auto"/>
          <w:sz w:val="24"/>
          <w:szCs w:val="24"/>
          <w:highlight w:val="none"/>
          <w:lang w:val="en-US" w:eastAsia="en-US" w:bidi="ar-SA"/>
        </w:rPr>
        <w:t xml:space="preserve">第二轮土地承包到期后再延长30年试点工作方案》</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项目实施过程中，上述标准有更新的，执行最新标准。</w:t>
      </w:r>
      <w:r/>
    </w:p>
    <w:p>
      <w:pPr>
        <w:ind w:firstLine="440"/>
        <w:jc w:val="left"/>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（3）主要技术指标要求</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1)坐标系统</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采用 2000 国家大地坐标系（CGCS2000）。</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地图投影采用高斯—克吕格投影，3 度分带，中央子午线为</w:t>
      </w:r>
      <w:r>
        <w:rPr>
          <w:rFonts w:hint="eastAsia" w:ascii="宋体" w:hAnsi="宋体" w:cs="宋体"/>
          <w:color w:val="auto"/>
          <w:sz w:val="24"/>
          <w:szCs w:val="24"/>
          <w:highlight w:val="none"/>
          <w:lang w:val="en-US" w:eastAsia="zh-CN" w:bidi="ar-SA"/>
        </w:rPr>
        <w:t xml:space="preserve">117</w:t>
      </w:r>
      <w:r>
        <w:rPr>
          <w:rFonts w:hint="eastAsia" w:ascii="宋体" w:hAnsi="宋体" w:eastAsia="宋体" w:cs="宋体"/>
          <w:color w:val="auto"/>
          <w:sz w:val="24"/>
          <w:szCs w:val="24"/>
          <w:highlight w:val="none"/>
          <w:lang w:val="en-US" w:eastAsia="en-US" w:bidi="ar-SA"/>
        </w:rPr>
        <w:t xml:space="preserve">°。</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2)高程系统</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采用 1985 国家高程基准。</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3)比例尺</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比例尺不低于1:2000。</w:t>
      </w:r>
      <w:r/>
    </w:p>
    <w:p>
      <w:pPr>
        <w:ind w:firstLine="440"/>
        <w:jc w:val="left"/>
        <w:pageBreakBefore w:val="0"/>
        <w:spacing w:line="360" w:lineRule="auto"/>
        <w:rPr>
          <w:rFonts w:hint="eastAsia" w:ascii="宋体" w:hAnsi="宋体" w:eastAsia="宋体" w:cs="宋体"/>
          <w:color w:val="auto"/>
          <w:sz w:val="24"/>
          <w:szCs w:val="24"/>
          <w:highlight w:val="none"/>
        </w:rPr>
      </w:pPr>
      <w:r/>
      <w:bookmarkStart w:id="11" w:name="_Toc365380148"/>
      <w:r/>
      <w:bookmarkStart w:id="12" w:name="_Toc392608054"/>
      <w:r/>
      <w:bookmarkStart w:id="13" w:name="_Toc365533747"/>
      <w:r/>
      <w:bookmarkStart w:id="14" w:name="_Toc365462443"/>
      <w:r>
        <w:rPr>
          <w:rFonts w:hint="eastAsia" w:ascii="宋体" w:hAnsi="宋体" w:eastAsia="宋体" w:cs="宋体"/>
          <w:color w:val="auto"/>
          <w:sz w:val="24"/>
          <w:szCs w:val="24"/>
          <w:highlight w:val="none"/>
          <w:lang w:val="en-US" w:eastAsia="en-US" w:bidi="ar-SA"/>
        </w:rPr>
        <w:t xml:space="preserve">4)主要精度指标</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地块分布图上界址点相对于邻近控制点的点位中误差和相邻界址点之间的间距中误差原则上不得超过下表的规定。</w:t>
      </w:r>
      <w:r/>
    </w:p>
    <w:p>
      <w:pPr>
        <w:ind w:firstLine="440"/>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en-US" w:bidi="ar-SA"/>
        </w:rPr>
        <w:t xml:space="preserve">界址点精度指标表</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界址点相对于邻近控制点的点位中误差和相邻界址点</w:t>
      </w:r>
      <w:r>
        <w:rPr>
          <w:rFonts w:hint="eastAsia" w:ascii="宋体" w:hAnsi="宋体" w:cs="宋体"/>
          <w:color w:val="auto"/>
          <w:sz w:val="24"/>
          <w:szCs w:val="24"/>
          <w:highlight w:val="none"/>
          <w:lang w:val="en-US" w:eastAsia="zh-CN" w:bidi="ar-SA"/>
        </w:rPr>
        <w:t xml:space="preserve">间</w:t>
      </w:r>
      <w:r>
        <w:rPr>
          <w:rFonts w:hint="eastAsia" w:ascii="宋体" w:hAnsi="宋体" w:eastAsia="宋体" w:cs="宋体"/>
          <w:color w:val="auto"/>
          <w:sz w:val="24"/>
          <w:szCs w:val="24"/>
          <w:highlight w:val="none"/>
          <w:lang w:val="en-US" w:eastAsia="en-US" w:bidi="ar-SA"/>
        </w:rPr>
        <w:t xml:space="preserve">的间距中误差</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比例尺1:2000</w:t>
      </w:r>
      <w:r/>
    </w:p>
    <w:p>
      <w:pPr>
        <w:ind w:firstLine="440"/>
        <w:jc w:val="left"/>
        <w:pageBreakBefore w:val="0"/>
        <w:spacing w:line="360" w:lineRule="auto"/>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平地、丘陵</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±1.20</w:t>
      </w:r>
      <w:r>
        <w:rPr>
          <w:rFonts w:hint="eastAsia" w:ascii="宋体" w:hAnsi="宋体" w:eastAsia="宋体" w:cs="宋体"/>
          <w:color w:val="auto"/>
          <w:sz w:val="24"/>
          <w:szCs w:val="24"/>
          <w:highlight w:val="none"/>
          <w:lang w:val="en-US" w:eastAsia="en-US" w:bidi="ar-SA"/>
        </w:rPr>
        <w:tab/>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山地、高山地</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en-US" w:bidi="ar-SA"/>
        </w:rPr>
        <w:t xml:space="preserve">±1.60</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5）计量单位</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①长度单位采用米（m）</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小数点后保留两位有效数字（0.01）。</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②面积单位采用平方米（㎡），小数点后保留两位有效数字（0.01）。统计汇总时，面积单位采用公顷（h㎡），小数点后保留两位有效数字（0.01）。</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③亩作为辅助面积单位（mu）、小数点后保留两位有效数字（0.01）。</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④坐标单位采用米（m），保留3位有效数字（0.001）。</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6）面积计算</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面积计算采用水平投影面积，面积相对误差5%以内。</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7）界址点测量</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以图解法为基础，辅以实地勘测法进行补充调查确定界址点坐标的方法。即利用工作底图到实地核实解译界址点的正确性，对解译界址点与实地不符的，经实地标绘或测量予以纠正。</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8）其他要求</w:t>
      </w:r>
      <w:r/>
    </w:p>
    <w:p>
      <w:pPr>
        <w:ind w:firstLine="440"/>
        <w:jc w:val="both"/>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en-US" w:bidi="ar-SA"/>
        </w:rPr>
        <w:t xml:space="preserve">为满足延包合同签订后自然资源主管部门农村土地承包经营权纳入不动产统一登记工作需要，基于本次项目</w:t>
      </w:r>
      <w:r>
        <w:rPr>
          <w:rFonts w:hint="eastAsia" w:ascii="宋体" w:hAnsi="宋体" w:cs="宋体"/>
          <w:color w:val="auto"/>
          <w:sz w:val="24"/>
          <w:szCs w:val="24"/>
          <w:highlight w:val="none"/>
          <w:lang w:val="en-US" w:eastAsia="zh-CN" w:bidi="ar-SA"/>
        </w:rPr>
        <w:t xml:space="preserve">睢宁县</w:t>
      </w:r>
      <w:r>
        <w:rPr>
          <w:rFonts w:hint="eastAsia" w:ascii="宋体" w:hAnsi="宋体" w:eastAsia="宋体" w:cs="宋体"/>
          <w:color w:val="auto"/>
          <w:sz w:val="24"/>
          <w:szCs w:val="24"/>
          <w:highlight w:val="none"/>
          <w:lang w:val="en-US" w:eastAsia="en-US" w:bidi="ar-SA"/>
        </w:rPr>
        <w:t xml:space="preserve">提供的土地承包经营权确权基础</w:t>
      </w:r>
      <w:r>
        <w:rPr>
          <w:rFonts w:hint="eastAsia" w:ascii="宋体" w:hAnsi="宋体" w:cs="宋体"/>
          <w:color w:val="auto"/>
          <w:sz w:val="24"/>
          <w:szCs w:val="24"/>
          <w:highlight w:val="none"/>
          <w:lang w:val="en-US" w:eastAsia="zh-CN" w:bidi="ar-SA"/>
        </w:rPr>
        <w:t xml:space="preserve">数据</w:t>
      </w:r>
      <w:r>
        <w:rPr>
          <w:rFonts w:hint="eastAsia" w:ascii="宋体" w:hAnsi="宋体" w:eastAsia="宋体" w:cs="宋体"/>
          <w:color w:val="auto"/>
          <w:sz w:val="24"/>
          <w:szCs w:val="24"/>
          <w:highlight w:val="none"/>
          <w:lang w:val="en-US" w:eastAsia="en-US" w:bidi="ar-SA"/>
        </w:rPr>
        <w:t xml:space="preserve">，对于面积发生变化的地块(包含分户、合户等情形)进行确权时，应按照《地籍调查规程》(GB/T42547-2023)开展测绘(包括修正测绘、补充测绘、新增测绘等)调查工作，形成地籍调查图、界址点坐标等地籍调查成果，用于登记发证。</w:t>
      </w:r>
      <w:r>
        <w:rPr>
          <w:rFonts w:hint="eastAsia" w:ascii="宋体" w:hAnsi="宋体" w:cs="宋体"/>
          <w:color w:val="auto"/>
          <w:sz w:val="24"/>
          <w:szCs w:val="24"/>
          <w:highlight w:val="none"/>
          <w:lang w:val="en-US" w:eastAsia="zh-CN" w:bidi="ar-SA"/>
        </w:rPr>
        <w:t xml:space="preserve">另外历史上没有（完成）确权的农户先完成测绘确权等工作同时开展延包工作。</w:t>
      </w:r>
      <w:r/>
    </w:p>
    <w:p>
      <w:pPr>
        <w:pStyle w:val="894"/>
        <w:ind w:firstLine="198"/>
        <w:jc w:val="left"/>
        <w:keepLines w:val="0"/>
        <w:keepNext w:val="0"/>
        <w:pageBreakBefore w:val="0"/>
        <w:spacing w:before="181" w:after="60" w:line="360" w:lineRule="auto"/>
        <w:widowControl w:val="off"/>
        <w:rPr>
          <w:rFonts w:hint="eastAsia" w:ascii="宋体" w:hAnsi="宋体" w:eastAsia="宋体" w:cs="宋体"/>
          <w:b/>
          <w:bCs/>
          <w:color w:val="auto"/>
          <w:sz w:val="24"/>
          <w:szCs w:val="24"/>
          <w:highlight w:val="none"/>
          <w:lang w:val="en-US" w:eastAsia="zh-CN" w:bidi="ar-SA"/>
        </w:rPr>
      </w:pPr>
      <w:r/>
      <w:bookmarkStart w:id="15" w:name="_Toc7718"/>
      <w:r/>
      <w:bookmarkStart w:id="16" w:name="_Toc11291"/>
      <w:r/>
      <w:bookmarkStart w:id="17" w:name="_Toc4221"/>
      <w:r/>
      <w:bookmarkStart w:id="18" w:name="_Toc15626"/>
      <w:r>
        <w:rPr>
          <w:rFonts w:hint="eastAsia" w:ascii="宋体" w:hAnsi="宋体" w:eastAsia="宋体" w:cs="宋体"/>
          <w:b/>
          <w:bCs/>
          <w:color w:val="auto"/>
          <w:sz w:val="24"/>
          <w:szCs w:val="24"/>
          <w:highlight w:val="none"/>
          <w:lang w:val="en-US" w:eastAsia="zh-CN" w:bidi="ar-SA"/>
        </w:rPr>
        <w:t xml:space="preserve">八、项目成果要求</w:t>
      </w:r>
      <w:bookmarkEnd w:id="15"/>
      <w:r/>
      <w:bookmarkEnd w:id="16"/>
      <w:r/>
      <w:bookmarkEnd w:id="17"/>
      <w:r/>
      <w:bookmarkEnd w:id="18"/>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提交的成果包括数据库成果、文字成果、图件成果、表格、视频等成果。 </w:t>
      </w:r>
      <w:r/>
    </w:p>
    <w:p>
      <w:pPr>
        <w:ind w:firstLine="440"/>
        <w:jc w:val="left"/>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1</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en-US" w:bidi="ar-SA"/>
        </w:rPr>
        <w:t xml:space="preserve">数据库成果</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农村土地承包经营权延包数据库、测量数据、元数据、调查成果的电子数据。</w:t>
      </w:r>
      <w:r/>
    </w:p>
    <w:p>
      <w:pPr>
        <w:ind w:firstLine="440"/>
        <w:jc w:val="left"/>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2</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en-US" w:bidi="ar-SA"/>
        </w:rPr>
        <w:t xml:space="preserve">图件簿册成果</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1)工作底图；</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2)调查草图；</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3)地块分布图；</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4)地籍图等图件；</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5)农村土地承包台账；</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6)二轮延包合同；</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7)发包方调查表；</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8)承包方调查表；</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9)承包地块调查表；</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10)农村土地承包经营权调查信息公示表；</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11)农村土地承包经营权公示结果归户表等簿册。</w:t>
      </w:r>
      <w:r/>
    </w:p>
    <w:p>
      <w:pPr>
        <w:ind w:firstLine="440"/>
        <w:jc w:val="left"/>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3</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en-US" w:bidi="ar-SA"/>
        </w:rPr>
        <w:t xml:space="preserve">文字报告成果</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cs="宋体"/>
          <w:color w:val="auto"/>
          <w:sz w:val="24"/>
          <w:szCs w:val="24"/>
          <w:highlight w:val="none"/>
          <w:lang w:val="en-US" w:eastAsia="zh-CN" w:bidi="ar-SA"/>
        </w:rPr>
        <w:t xml:space="preserve">2025年度睢宁县第二轮土地承包到期后再延长30年试点项目</w:t>
      </w:r>
      <w:r>
        <w:rPr>
          <w:rFonts w:hint="eastAsia" w:ascii="宋体" w:hAnsi="宋体" w:eastAsia="宋体" w:cs="宋体"/>
          <w:color w:val="auto"/>
          <w:sz w:val="24"/>
          <w:szCs w:val="24"/>
          <w:highlight w:val="none"/>
          <w:lang w:val="en-US" w:eastAsia="en-US" w:bidi="ar-SA"/>
        </w:rPr>
        <w:t xml:space="preserve">实施方案；</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2）技术设计书；</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3）纠纷调解协议书；</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4）检查报告；</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5）申请书；</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6）委托书；</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7）决议及会议记录等材料；</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w:t>
      </w:r>
      <w:r>
        <w:rPr>
          <w:rFonts w:hint="eastAsia" w:ascii="宋体" w:hAnsi="宋体" w:cs="宋体"/>
          <w:color w:val="auto"/>
          <w:sz w:val="24"/>
          <w:szCs w:val="24"/>
          <w:highlight w:val="none"/>
          <w:lang w:val="en-US" w:eastAsia="zh-CN" w:bidi="ar-SA"/>
        </w:rPr>
        <w:t xml:space="preserve">2025年度睢宁县第二轮土地承包到期后再延长30年试点项目</w:t>
      </w:r>
      <w:r>
        <w:rPr>
          <w:rFonts w:hint="eastAsia" w:ascii="宋体" w:hAnsi="宋体" w:eastAsia="宋体" w:cs="宋体"/>
          <w:color w:val="auto"/>
          <w:sz w:val="24"/>
          <w:szCs w:val="24"/>
          <w:highlight w:val="none"/>
          <w:lang w:val="en-US" w:eastAsia="en-US" w:bidi="ar-SA"/>
        </w:rPr>
        <w:t xml:space="preserve">技术方案；</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9）</w:t>
      </w:r>
      <w:r>
        <w:rPr>
          <w:rFonts w:hint="eastAsia" w:ascii="宋体" w:hAnsi="宋体" w:cs="宋体"/>
          <w:color w:val="auto"/>
          <w:sz w:val="24"/>
          <w:szCs w:val="24"/>
          <w:highlight w:val="none"/>
          <w:lang w:val="en-US" w:eastAsia="zh-CN" w:bidi="ar-SA"/>
        </w:rPr>
        <w:t xml:space="preserve">2025年度睢宁县第二轮土地承包到期后再延长30年试点项目</w:t>
      </w:r>
      <w:r>
        <w:rPr>
          <w:rFonts w:hint="eastAsia" w:ascii="宋体" w:hAnsi="宋体" w:eastAsia="宋体" w:cs="宋体"/>
          <w:color w:val="auto"/>
          <w:sz w:val="24"/>
          <w:szCs w:val="24"/>
          <w:highlight w:val="none"/>
          <w:lang w:val="en-US" w:eastAsia="en-US" w:bidi="ar-SA"/>
        </w:rPr>
        <w:t xml:space="preserve">工作报告；</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10）</w:t>
      </w:r>
      <w:r>
        <w:rPr>
          <w:rFonts w:hint="eastAsia" w:ascii="宋体" w:hAnsi="宋体" w:cs="宋体"/>
          <w:color w:val="auto"/>
          <w:sz w:val="24"/>
          <w:szCs w:val="24"/>
          <w:highlight w:val="none"/>
          <w:lang w:val="en-US" w:eastAsia="zh-CN" w:bidi="ar-SA"/>
        </w:rPr>
        <w:t xml:space="preserve">2025年度睢宁县第二轮土地承包到期后再延长30年试点项目</w:t>
      </w:r>
      <w:r>
        <w:rPr>
          <w:rFonts w:hint="eastAsia" w:ascii="宋体" w:hAnsi="宋体" w:eastAsia="宋体" w:cs="宋体"/>
          <w:color w:val="auto"/>
          <w:sz w:val="24"/>
          <w:szCs w:val="24"/>
          <w:highlight w:val="none"/>
          <w:lang w:val="en-US" w:eastAsia="en-US" w:bidi="ar-SA"/>
        </w:rPr>
        <w:t xml:space="preserve">技术总结报告。</w:t>
      </w:r>
      <w:r/>
    </w:p>
    <w:p>
      <w:pPr>
        <w:ind w:firstLine="440"/>
        <w:jc w:val="left"/>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4</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en-US" w:bidi="ar-SA"/>
        </w:rPr>
        <w:t xml:space="preserve">视频成果</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二轮延包实施过程中的重要细节，成员会议、成员委托等，形成一村一档，以镇为单位形成存储介质。</w:t>
      </w:r>
      <w:r/>
    </w:p>
    <w:p>
      <w:pPr>
        <w:ind w:firstLine="44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5</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en-US" w:bidi="ar-SA"/>
        </w:rPr>
        <w:t xml:space="preserve">其他成果</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指界通知书存根、法定代表人身份证明书、指界委托书、地籍调查结果公示、政府确认文件、不动产登记委托书、不动产登记核查公告等，纸质1份，电子扫描件各1份，电子版，采用jpg或tif格式。</w:t>
      </w:r>
      <w:bookmarkEnd w:id="11"/>
      <w:r/>
      <w:bookmarkEnd w:id="12"/>
      <w:r/>
      <w:bookmarkEnd w:id="13"/>
      <w:r/>
      <w:bookmarkEnd w:id="14"/>
      <w:r/>
      <w:r/>
    </w:p>
    <w:p>
      <w:pPr>
        <w:numPr>
          <w:ilvl w:val="0"/>
          <w:numId w:val="0"/>
        </w:numPr>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九、档案整理要求</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档案整理内容包括但不限于摸底表、公示表及公示图、归户表、村(组)签章图、承包合同等，最终需符合农业农村部和国家档案局相关要求。</w:t>
      </w:r>
      <w:r/>
    </w:p>
    <w:p>
      <w:pPr>
        <w:numPr>
          <w:ilvl w:val="0"/>
          <w:numId w:val="0"/>
        </w:numPr>
        <w:jc w:val="left"/>
        <w:pageBreakBefore w:val="0"/>
        <w:spacing w:line="360" w:lineRule="auto"/>
        <w:rPr>
          <w:rFonts w:hint="eastAsia" w:ascii="宋体" w:hAnsi="宋体" w:eastAsia="宋体" w:cs="宋体"/>
          <w:b/>
          <w:bCs/>
          <w:color w:val="auto"/>
          <w:sz w:val="24"/>
          <w:szCs w:val="24"/>
          <w:highlight w:val="none"/>
        </w:rPr>
      </w:pPr>
      <w:r/>
      <w:bookmarkStart w:id="19" w:name="_Toc15643"/>
      <w:r>
        <w:rPr>
          <w:rFonts w:hint="eastAsia" w:ascii="宋体" w:hAnsi="宋体" w:eastAsia="宋体" w:cs="宋体"/>
          <w:b/>
          <w:bCs/>
          <w:color w:val="auto"/>
          <w:sz w:val="24"/>
          <w:szCs w:val="24"/>
          <w:highlight w:val="none"/>
          <w:lang w:val="en-US" w:eastAsia="zh-CN" w:bidi="ar-SA"/>
        </w:rPr>
        <w:t xml:space="preserve">十、保密要求</w:t>
      </w:r>
      <w:bookmarkEnd w:id="19"/>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成交单位须在合同中进行责任约定；成交单位在工作期间必须遵守业主方的相关保密制度；</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工作人员不得以任何形式将各项档案资料带出指定工作现场，不得以任何形式进行泄漏、传播；不得无故查看及讨论档案内容；</w:t>
      </w:r>
      <w:r/>
    </w:p>
    <w:p>
      <w:pPr>
        <w:ind w:firstLine="44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各种档案文件，不得丢失、泄密、损坏。</w:t>
      </w:r>
      <w:r/>
    </w:p>
    <w:p>
      <w:pPr>
        <w:numPr>
          <w:ilvl w:val="0"/>
          <w:numId w:val="0"/>
        </w:numPr>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十一、人员安排要求</w:t>
      </w:r>
      <w:r/>
    </w:p>
    <w:p>
      <w:pPr>
        <w:ind w:firstLine="440"/>
        <w:jc w:val="left"/>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人员保障到位：</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中标人拟派出的项目负责人、技术负责人等项目组人员必须为</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en-US" w:bidi="ar-SA"/>
        </w:rPr>
        <w:t xml:space="preserve">正式在职员工，中标后签订合同前提供近6个月的社保证明。本项目要求项目负责人及核心团队必须全程专职在岗，未经招标人同意不得更换或兼任其他项目职务。因特殊情况确需变更的，须经所在镇同意并报</w:t>
      </w:r>
      <w:r>
        <w:rPr>
          <w:rFonts w:hint="eastAsia" w:ascii="宋体" w:hAnsi="宋体" w:eastAsia="宋体" w:cs="宋体"/>
          <w:color w:val="auto"/>
          <w:sz w:val="24"/>
          <w:szCs w:val="24"/>
          <w:highlight w:val="none"/>
          <w:lang w:val="en-US" w:eastAsia="zh-CN" w:bidi="ar-SA"/>
        </w:rPr>
        <w:t xml:space="preserve">市</w:t>
      </w:r>
      <w:r>
        <w:rPr>
          <w:rFonts w:hint="eastAsia" w:ascii="宋体" w:hAnsi="宋体" w:eastAsia="宋体" w:cs="宋体"/>
          <w:color w:val="auto"/>
          <w:sz w:val="24"/>
          <w:szCs w:val="24"/>
          <w:highlight w:val="none"/>
          <w:lang w:val="en-US" w:eastAsia="en-US" w:bidi="ar-SA"/>
        </w:rPr>
        <w:t xml:space="preserve">农业农村</w:t>
      </w:r>
      <w:r>
        <w:rPr>
          <w:rFonts w:hint="eastAsia" w:ascii="宋体" w:hAnsi="宋体" w:eastAsia="宋体" w:cs="宋体"/>
          <w:color w:val="auto"/>
          <w:sz w:val="24"/>
          <w:szCs w:val="24"/>
          <w:highlight w:val="none"/>
          <w:lang w:val="en-US" w:eastAsia="zh-CN" w:bidi="ar-SA"/>
        </w:rPr>
        <w:t xml:space="preserve">局</w:t>
      </w:r>
      <w:r>
        <w:rPr>
          <w:rFonts w:hint="eastAsia" w:ascii="宋体" w:hAnsi="宋体" w:eastAsia="宋体" w:cs="宋体"/>
          <w:color w:val="auto"/>
          <w:sz w:val="24"/>
          <w:szCs w:val="24"/>
          <w:highlight w:val="none"/>
          <w:lang w:val="en-US" w:eastAsia="en-US" w:bidi="ar-SA"/>
        </w:rPr>
        <w:t xml:space="preserve">确认。变更后的人员须符合招标文件规定的任职条件。</w:t>
      </w:r>
      <w:r/>
    </w:p>
    <w:p>
      <w:pPr>
        <w:ind w:firstLine="440"/>
        <w:jc w:val="left"/>
        <w:pageBreakBefore w:val="0"/>
        <w:spacing w:line="36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cs="宋体"/>
          <w:b/>
          <w:bCs/>
          <w:color w:val="auto"/>
          <w:sz w:val="24"/>
          <w:szCs w:val="24"/>
          <w:highlight w:val="none"/>
          <w:lang w:val="en-US" w:eastAsia="zh-CN" w:bidi="ar-SA"/>
        </w:rPr>
        <w:t xml:space="preserve">每镇（街道）</w:t>
      </w:r>
      <w:r>
        <w:rPr>
          <w:rFonts w:hint="eastAsia" w:ascii="宋体" w:hAnsi="宋体" w:eastAsia="宋体" w:cs="宋体"/>
          <w:b/>
          <w:bCs/>
          <w:color w:val="auto"/>
          <w:sz w:val="24"/>
          <w:szCs w:val="24"/>
          <w:highlight w:val="none"/>
          <w:lang w:val="en-US" w:eastAsia="zh-CN" w:bidi="ar-SA"/>
        </w:rPr>
        <w:t xml:space="preserve">不少于</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人驻场，驻场时间不少于</w:t>
      </w:r>
      <w:r>
        <w:rPr>
          <w:rFonts w:hint="eastAsia" w:ascii="宋体" w:hAnsi="宋体" w:cs="宋体"/>
          <w:b/>
          <w:bCs/>
          <w:color w:val="auto"/>
          <w:sz w:val="24"/>
          <w:szCs w:val="24"/>
          <w:highlight w:val="non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个月。</w:t>
      </w:r>
      <w:r/>
    </w:p>
    <w:p>
      <w:pPr>
        <w:ind w:firstLine="440"/>
        <w:jc w:val="left"/>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无论因何原因项目负责人易人，发包人有权处罚3万元以内罚金；技术负责人、质量负责人，团队其他成员无论因何原因易人，发包人有权处罚1万元以内罚金。如有特殊情况，须经双方协商。</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工作期间，中标单位应打足工作时间，配足工作人员，如果因此延误工作进度，甲方有权扣款处罚。</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主要管理人员离开工程所在地应书面请假，并由本人签字。项目负责人离开2天以</w:t>
      </w:r>
      <w:r>
        <w:rPr>
          <w:rFonts w:hint="eastAsia" w:ascii="宋体" w:hAnsi="宋体" w:eastAsia="宋体" w:cs="宋体"/>
          <w:color w:val="auto"/>
          <w:sz w:val="24"/>
          <w:szCs w:val="24"/>
          <w:highlight w:val="none"/>
          <w:lang w:val="en-US" w:eastAsia="zh-CN" w:bidi="ar-SA"/>
        </w:rPr>
        <w:t xml:space="preserve">上</w:t>
      </w:r>
      <w:r>
        <w:rPr>
          <w:rFonts w:hint="eastAsia" w:ascii="宋体" w:hAnsi="宋体" w:eastAsia="宋体" w:cs="宋体"/>
          <w:color w:val="auto"/>
          <w:sz w:val="24"/>
          <w:szCs w:val="24"/>
          <w:highlight w:val="none"/>
          <w:lang w:val="en-US" w:eastAsia="en-US" w:bidi="ar-SA"/>
        </w:rPr>
        <w:t xml:space="preserve">（含2天）</w:t>
      </w:r>
      <w:r>
        <w:rPr>
          <w:rFonts w:hint="eastAsia" w:ascii="宋体" w:hAnsi="宋体" w:eastAsia="宋体" w:cs="宋体"/>
          <w:color w:val="auto"/>
          <w:sz w:val="24"/>
          <w:szCs w:val="24"/>
          <w:highlight w:val="none"/>
          <w:lang w:val="en-US" w:eastAsia="zh-CN" w:bidi="ar-SA"/>
        </w:rPr>
        <w:t xml:space="preserve">须</w:t>
      </w:r>
      <w:r>
        <w:rPr>
          <w:rFonts w:hint="eastAsia" w:ascii="宋体" w:hAnsi="宋体" w:eastAsia="宋体" w:cs="宋体"/>
          <w:color w:val="auto"/>
          <w:sz w:val="24"/>
          <w:szCs w:val="24"/>
          <w:highlight w:val="none"/>
          <w:lang w:val="en-US" w:eastAsia="en-US" w:bidi="ar-SA"/>
        </w:rPr>
        <w:t xml:space="preserve">报乡镇核备。 </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需中标单位出席的工作例会等会议，必须按照会议要求的出席人员参会。</w:t>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en-US" w:bidi="ar-SA"/>
        </w:rPr>
        <w:t xml:space="preserve">工作方面：严格按照国家、省市县政策要求执行，按时保质保量通过上级验收。若无法按时保质保量完成的，甲方有权扣款处罚。</w:t>
      </w:r>
      <w:r/>
    </w:p>
    <w:p>
      <w:pPr>
        <w:numPr>
          <w:ilvl w:val="0"/>
          <w:numId w:val="0"/>
        </w:numPr>
        <w:jc w:val="left"/>
        <w:pageBreakBefore w:val="0"/>
        <w:spacing w:line="360" w:lineRule="auto"/>
        <w:rPr>
          <w:rFonts w:hint="eastAsia" w:ascii="宋体" w:hAnsi="宋体" w:eastAsia="宋体" w:cs="宋体"/>
          <w:b/>
          <w:bCs/>
          <w:color w:val="auto"/>
          <w:sz w:val="24"/>
          <w:szCs w:val="24"/>
          <w:highlight w:val="none"/>
        </w:rPr>
      </w:pPr>
      <w:r/>
      <w:bookmarkStart w:id="20" w:name="_Toc19212"/>
      <w:r/>
      <w:bookmarkStart w:id="21" w:name="_Toc23146"/>
      <w:r/>
      <w:bookmarkStart w:id="22" w:name="_Toc1428"/>
      <w:r/>
      <w:bookmarkStart w:id="23" w:name="_Toc7379"/>
      <w:r>
        <w:rPr>
          <w:rFonts w:hint="eastAsia" w:ascii="宋体" w:hAnsi="宋体" w:eastAsia="宋体" w:cs="宋体"/>
          <w:b/>
          <w:bCs/>
          <w:color w:val="auto"/>
          <w:sz w:val="24"/>
          <w:szCs w:val="24"/>
          <w:highlight w:val="none"/>
          <w:lang w:val="en-US" w:eastAsia="zh-CN" w:bidi="ar-SA"/>
        </w:rPr>
        <w:t xml:space="preserve">十二、工作进度安排要求</w:t>
      </w:r>
      <w:bookmarkEnd w:id="20"/>
      <w:r/>
      <w:bookmarkEnd w:id="21"/>
      <w:r/>
      <w:bookmarkEnd w:id="22"/>
      <w:r/>
      <w:bookmarkEnd w:id="23"/>
      <w:r/>
      <w:r/>
    </w:p>
    <w:p>
      <w:pPr>
        <w:ind w:firstLine="44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项目实施期限为180天，</w:t>
      </w:r>
      <w:r>
        <w:rPr>
          <w:rFonts w:hint="eastAsia" w:ascii="宋体" w:hAnsi="宋体" w:eastAsia="宋体" w:cs="宋体"/>
          <w:color w:val="auto"/>
          <w:sz w:val="24"/>
          <w:szCs w:val="24"/>
          <w:highlight w:val="none"/>
          <w:lang w:val="en-US" w:eastAsia="en-US" w:bidi="ar-SA"/>
        </w:rPr>
        <w:t xml:space="preserve">项目</w:t>
      </w:r>
      <w:r>
        <w:rPr>
          <w:rFonts w:hint="eastAsia" w:ascii="宋体" w:hAnsi="宋体" w:cs="宋体"/>
          <w:color w:val="auto"/>
          <w:sz w:val="24"/>
          <w:szCs w:val="24"/>
          <w:highlight w:val="none"/>
          <w:lang w:val="en-US" w:eastAsia="zh-CN" w:bidi="ar-SA"/>
        </w:rPr>
        <w:t xml:space="preserve">服务期限延长至</w:t>
      </w:r>
      <w:r>
        <w:rPr>
          <w:rFonts w:hint="eastAsia" w:ascii="宋体" w:hAnsi="宋体" w:eastAsia="宋体" w:cs="宋体"/>
          <w:color w:val="auto"/>
          <w:sz w:val="24"/>
          <w:szCs w:val="24"/>
          <w:highlight w:val="none"/>
          <w:lang w:val="en-US" w:eastAsia="zh-CN" w:bidi="ar-SA"/>
        </w:rPr>
        <w:t xml:space="preserve">2028年12月底</w:t>
      </w:r>
      <w:r>
        <w:rPr>
          <w:rFonts w:hint="eastAsia" w:ascii="宋体" w:hAnsi="宋体" w:eastAsia="宋体" w:cs="宋体"/>
          <w:color w:val="auto"/>
          <w:sz w:val="24"/>
          <w:szCs w:val="24"/>
          <w:highlight w:val="none"/>
          <w:lang w:val="en-US" w:eastAsia="en-US" w:bidi="ar-SA"/>
        </w:rPr>
        <w:t xml:space="preserve">（开始时间以具体签订合同时间为准），具体实施内容及进度根据</w:t>
      </w:r>
      <w:r>
        <w:rPr>
          <w:rFonts w:hint="eastAsia" w:ascii="宋体" w:hAnsi="宋体" w:cs="宋体"/>
          <w:color w:val="auto"/>
          <w:sz w:val="24"/>
          <w:szCs w:val="24"/>
          <w:highlight w:val="none"/>
          <w:lang w:val="en-US" w:eastAsia="zh-CN" w:bidi="ar-SA"/>
        </w:rPr>
        <w:t xml:space="preserve">睢宁县</w:t>
      </w:r>
      <w:r>
        <w:rPr>
          <w:rFonts w:hint="eastAsia" w:ascii="宋体" w:hAnsi="宋体" w:eastAsia="宋体" w:cs="宋体"/>
          <w:color w:val="auto"/>
          <w:sz w:val="24"/>
          <w:szCs w:val="24"/>
          <w:highlight w:val="none"/>
          <w:lang w:val="en-US" w:eastAsia="en-US" w:bidi="ar-SA"/>
        </w:rPr>
        <w:t xml:space="preserve">农业农村局实际工作进度安排实施。（具体时间以省、市、县三级实际工作进度要求为准）。</w:t>
      </w:r>
      <w:r/>
    </w:p>
    <w:p>
      <w:pPr>
        <w:numPr>
          <w:ilvl w:val="0"/>
          <w:numId w:val="0"/>
        </w:numPr>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十三、质量要求</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项目成果需符合国家、省、市行业相关标准和农业农村部要求，并根据要求通过采购人组织的验收。如果在合同履行过程中有新的国家或行业（部）规范和标准出台的，则供应商应确保其合同内容达到并符合新的国家或行业（部）规范和标准。</w:t>
      </w:r>
      <w:r/>
    </w:p>
    <w:p>
      <w:pPr>
        <w:numPr>
          <w:ilvl w:val="0"/>
          <w:numId w:val="0"/>
        </w:numPr>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十四、安全生产要求</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合同履行过程中，</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strike w:val="0"/>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确保</w:t>
      </w:r>
      <w:r>
        <w:rPr>
          <w:rFonts w:hint="eastAsia" w:ascii="宋体" w:hAnsi="宋体" w:cs="宋体"/>
          <w:color w:val="auto"/>
          <w:sz w:val="24"/>
          <w:szCs w:val="24"/>
          <w:highlight w:val="none"/>
          <w:lang w:val="en-US" w:eastAsia="zh-CN" w:bidi="ar-SA"/>
        </w:rPr>
        <w:t xml:space="preserve">睢宁县</w:t>
      </w:r>
      <w:r>
        <w:rPr>
          <w:rFonts w:hint="eastAsia" w:ascii="宋体" w:hAnsi="宋体" w:eastAsia="宋体" w:cs="宋体"/>
          <w:color w:val="auto"/>
          <w:sz w:val="24"/>
          <w:szCs w:val="24"/>
          <w:highlight w:val="none"/>
          <w:lang w:val="en-US" w:eastAsia="zh-CN" w:bidi="ar-SA"/>
        </w:rPr>
        <w:t xml:space="preserve">农村土地承包经营权二轮到期延包30年数据的安全和生产人员的人身安全。</w:t>
      </w:r>
      <w:r/>
    </w:p>
    <w:p>
      <w:p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1.数据安全</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 供应商在工作期间必须遵守采购人的相关保密制度；</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 工作人员不得以任何形式将各项档案资料带出指定工作现场，不得以任何形式进行泄漏、传播，不得无故查看及讨论档案内容；</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 各种档案文件，不得丢失、泄密、损坏；</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4）项目要求数据建库工作全程在符合保密要求的环境下进行。供应商在实施过程中不能留有承包地块数据、自然资源数据的任何复制产品。</w:t>
      </w:r>
      <w:r/>
    </w:p>
    <w:p>
      <w:p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2.人身安全</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 做好安全生产条件评估和人身安全培训，配备相应的个人防护用品；</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2）在工作期间，应避免和农民群众发生冲突，遇到矛盾纠纷及时和延包工作小组联系；</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3）农村土地承包经营权二轮到期延包30年数据具备较高的保密性，要求供应商加强对实施人员安全意识的培养。</w:t>
      </w:r>
      <w:r/>
    </w:p>
    <w:p>
      <w:p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3.网络安全性</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网络安全包括物理的和逻辑的网络安全。要求供应商在实施的过程中，所使用的终端设备不能连接到外部网络，以免数据被非法修改和复制。</w:t>
      </w:r>
      <w:r/>
    </w:p>
    <w:p>
      <w:pPr>
        <w:ind w:firstLine="420"/>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4.其他要求</w:t>
      </w:r>
      <w:r/>
    </w:p>
    <w:p>
      <w:pPr>
        <w:ind w:firstLine="422"/>
        <w:jc w:val="left"/>
        <w:keepLines/>
        <w:keepNext/>
        <w:pageBreakBefore w:val="0"/>
        <w:spacing w:before="0" w:line="360" w:lineRule="auto"/>
        <w:rPr>
          <w:rFonts w:hint="eastAsia" w:ascii="宋体" w:hAnsi="宋体" w:eastAsia="宋体" w:cs="宋体"/>
          <w:b/>
          <w:bCs/>
          <w:color w:val="auto"/>
          <w:sz w:val="24"/>
          <w:szCs w:val="24"/>
          <w:highlight w:val="none"/>
        </w:rPr>
        <w:outlineLvl w:val="9"/>
      </w:pPr>
      <w:r/>
      <w:bookmarkStart w:id="24" w:name="OLE_LINK7"/>
      <w:r>
        <w:rPr>
          <w:rFonts w:hint="eastAsia" w:ascii="宋体" w:hAnsi="宋体" w:eastAsia="宋体" w:cs="宋体"/>
          <w:b/>
          <w:bCs/>
          <w:color w:val="auto"/>
          <w:sz w:val="24"/>
          <w:szCs w:val="24"/>
          <w:highlight w:val="none"/>
          <w:lang w:val="en-US" w:eastAsia="zh-CN" w:bidi="ar-SA"/>
        </w:rPr>
        <w:t xml:space="preserve">若调查成果经上级质量核查不合格，由中标供应商负责重新调查整改。直至按照部省要求，完成延包数据汇交、档案归档等工作，并协助不动产登记中心登记发证工作。</w:t>
      </w:r>
      <w:bookmarkEnd w:id="24"/>
      <w:r/>
      <w:r/>
    </w:p>
    <w:p>
      <w:pPr>
        <w:numPr>
          <w:ilvl w:val="0"/>
          <w:numId w:val="0"/>
        </w:numPr>
        <w:jc w:val="left"/>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十五、保密要求</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1.中标单位须在合同中进行责任约定；中标单位在工作期间必须遵守业主方的相关保密制度；</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2.工作人员不得以任何形式将各项档案资料带出指定工作场所，不得以任何形式进行泄露、传播；不得无故查看及讨论档案内容。</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3.各种档案文件，不得丢失、泄密、损坏。</w:t>
      </w:r>
      <w:r/>
    </w:p>
    <w:p>
      <w:pPr>
        <w:numPr>
          <w:ilvl w:val="0"/>
          <w:numId w:val="0"/>
        </w:numPr>
        <w:ind w:firstLine="482"/>
        <w:jc w:val="lef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十六、服务质量保证及售后服务要求</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供应商需严格按采购人规定的时间完成项目的全部工作内容，如在实施的过程中出现错误、误差，需负责及时更正直至采购人（或监理单位）确认合格，供应商在项目进行过程中产生的任何安全、损坏等责任事故一律由供应商自行承担。</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2.供应商应按照通过最终成果检验的要求进行质量控制，质量保证措施应全面、具体、安全、合理、切实可行、责任明确。</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3.供应商需提供必要的技术支持，协助采购人完成其他需要供应商配合的服务。</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4.供应商应严格遵守服务合约，项目完成以后，如采购人有需要供应商配合的服务，供应商必须予以配合，协助采购人完善项目内容。</w:t>
      </w:r>
      <w:r/>
    </w:p>
    <w:p>
      <w:pPr>
        <w:ind w:firstLine="42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5.此项目要求提供多样化技术支持服务，处理出现的各种问题，以保证工作的正常运行。二轮延包完成后质保期延长至</w:t>
      </w:r>
      <w:r>
        <w:rPr>
          <w:rFonts w:hint="eastAsia" w:ascii="宋体" w:hAnsi="宋体" w:cs="宋体"/>
          <w:color w:val="auto"/>
          <w:sz w:val="24"/>
          <w:szCs w:val="24"/>
          <w:highlight w:val="none"/>
          <w:lang w:val="en-US" w:eastAsia="zh-CN" w:bidi="ar-SA"/>
        </w:rPr>
        <w:t xml:space="preserve">2028</w:t>
      </w:r>
      <w:r>
        <w:rPr>
          <w:rFonts w:hint="eastAsia" w:ascii="宋体" w:hAnsi="宋体" w:eastAsia="宋体" w:cs="宋体"/>
          <w:color w:val="auto"/>
          <w:sz w:val="24"/>
          <w:szCs w:val="24"/>
          <w:highlight w:val="none"/>
          <w:lang w:val="en-US" w:eastAsia="zh-CN" w:bidi="ar-SA"/>
        </w:rPr>
        <w:t xml:space="preserve">年，质保期内成果存在任何问题或上级部门制定新的成果提交要求，供应商均需按要求对成果进行更新或整改。服务期和质保期内供应商服务响应时间为2小时、一般售后问题时间控制在4小时内、重大售后问题时间控制</w:t>
      </w:r>
      <w:r>
        <w:rPr>
          <w:rFonts w:hint="eastAsia" w:ascii="宋体" w:hAnsi="宋体" w:cs="宋体"/>
          <w:color w:val="auto"/>
          <w:sz w:val="24"/>
          <w:szCs w:val="24"/>
          <w:highlight w:val="none"/>
          <w:lang w:val="en-US" w:eastAsia="zh-CN" w:bidi="ar-SA"/>
        </w:rPr>
        <w:t xml:space="preserve">在</w:t>
      </w:r>
      <w:r>
        <w:rPr>
          <w:rFonts w:hint="eastAsia" w:ascii="宋体" w:hAnsi="宋体" w:eastAsia="宋体" w:cs="宋体"/>
          <w:color w:val="auto"/>
          <w:sz w:val="24"/>
          <w:szCs w:val="24"/>
          <w:highlight w:val="none"/>
          <w:lang w:val="en-US" w:eastAsia="zh-CN" w:bidi="ar-SA"/>
        </w:rPr>
        <w:t xml:space="preserve">8小时内。在客户工作需要技术支持情况下，如需现场解决，到达现场时间不超过12小时，特殊情况下不超过24小时。</w:t>
      </w:r>
      <w:r/>
    </w:p>
    <w:p>
      <w:pPr>
        <w:ind w:firstLine="473"/>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SA"/>
        </w:rPr>
        <w:t xml:space="preserve">6.其它要求。</w:t>
      </w:r>
      <w:r>
        <w:rPr>
          <w:rFonts w:hint="eastAsia" w:ascii="宋体" w:hAnsi="宋体" w:eastAsia="宋体" w:cs="宋体"/>
          <w:color w:val="auto"/>
          <w:sz w:val="24"/>
          <w:szCs w:val="24"/>
          <w:highlight w:val="none"/>
          <w:lang w:val="en-US" w:eastAsia="zh-CN" w:bidi="ar"/>
        </w:rPr>
        <w:t xml:space="preserve">供应商做出的各种方案应细化到具体环节，充分考虑到</w:t>
      </w:r>
      <w:r>
        <w:rPr>
          <w:rFonts w:hint="eastAsia" w:ascii="宋体" w:hAnsi="宋体" w:cs="宋体"/>
          <w:color w:val="auto"/>
          <w:sz w:val="24"/>
          <w:szCs w:val="24"/>
          <w:highlight w:val="none"/>
          <w:lang w:val="en-US" w:eastAsia="zh-CN" w:bidi="ar"/>
        </w:rPr>
        <w:t xml:space="preserve">睢宁县</w:t>
      </w:r>
      <w:r>
        <w:rPr>
          <w:rFonts w:hint="eastAsia" w:ascii="宋体" w:hAnsi="宋体" w:eastAsia="宋体" w:cs="宋体"/>
          <w:color w:val="auto"/>
          <w:sz w:val="24"/>
          <w:szCs w:val="24"/>
          <w:highlight w:val="none"/>
          <w:lang w:val="en-US" w:eastAsia="zh-CN" w:bidi="ar"/>
        </w:rPr>
        <w:t xml:space="preserve">二轮延包工作的各个环节，包括时间进度、所需的资源和负责实施方案的人员，同时应顾及短期和长期的需要；供应商应当根据自身的经济条件，考虑选用适宜的、成本效益高的最佳可行技术。</w:t>
      </w:r>
      <w:r/>
    </w:p>
    <w:p>
      <w:pPr>
        <w:numPr>
          <w:ilvl w:val="0"/>
          <w:numId w:val="0"/>
        </w:numPr>
        <w:ind w:firstLine="482"/>
        <w:jc w:val="left"/>
        <w:pageBreakBefore w:val="0"/>
        <w:spacing w:line="360" w:lineRule="auto"/>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十七、其他要求</w:t>
      </w:r>
      <w:r>
        <w:rPr>
          <w:rFonts w:hint="eastAsia" w:ascii="宋体" w:hAnsi="宋体" w:cs="宋体"/>
          <w:b/>
          <w:bCs/>
          <w:color w:val="auto"/>
          <w:sz w:val="24"/>
          <w:szCs w:val="24"/>
          <w:highlight w:val="none"/>
          <w:lang w:val="en-US" w:eastAsia="zh-CN" w:bidi="ar-SA"/>
        </w:rPr>
        <w:t xml:space="preserve"> </w:t>
      </w:r>
      <w:r/>
    </w:p>
    <w:p>
      <w:pPr>
        <w:numPr>
          <w:ilvl w:val="0"/>
          <w:numId w:val="0"/>
        </w:numPr>
        <w:ind w:firstLine="480"/>
        <w:jc w:val="left"/>
        <w:pageBreakBefore w:val="0"/>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w:t>
      </w:r>
      <w:r>
        <w:rPr>
          <w:rFonts w:hint="eastAsia" w:ascii="宋体" w:hAnsi="宋体" w:cs="宋体"/>
          <w:b w:val="0"/>
          <w:bCs w:val="0"/>
          <w:color w:val="auto"/>
          <w:sz w:val="24"/>
          <w:szCs w:val="24"/>
          <w:highlight w:val="none"/>
          <w:lang w:val="en-US" w:eastAsia="zh-CN" w:bidi="ar-SA"/>
        </w:rPr>
        <w:t xml:space="preserve">要求供应商提供所有人员均为本公司人员（响应文件中需提供所有驻场人员近三个月任意一个月的社保）且</w:t>
      </w:r>
      <w:r>
        <w:rPr>
          <w:rFonts w:hint="eastAsia" w:ascii="宋体" w:hAnsi="宋体" w:eastAsia="宋体" w:cs="宋体"/>
          <w:b w:val="0"/>
          <w:bCs w:val="0"/>
          <w:color w:val="auto"/>
          <w:sz w:val="24"/>
          <w:szCs w:val="24"/>
          <w:highlight w:val="none"/>
          <w:lang w:val="en-US" w:eastAsia="zh-CN" w:bidi="ar-SA"/>
        </w:rPr>
        <w:t xml:space="preserve">不允许</w:t>
      </w:r>
      <w:r>
        <w:rPr>
          <w:rFonts w:hint="eastAsia" w:ascii="宋体" w:hAnsi="宋体" w:cs="宋体"/>
          <w:b w:val="0"/>
          <w:bCs w:val="0"/>
          <w:color w:val="auto"/>
          <w:sz w:val="24"/>
          <w:szCs w:val="24"/>
          <w:highlight w:val="none"/>
          <w:lang w:val="en-US" w:eastAsia="zh-CN" w:bidi="ar-SA"/>
        </w:rPr>
        <w:t xml:space="preserve">任何形式的</w:t>
      </w:r>
      <w:r>
        <w:rPr>
          <w:rFonts w:hint="eastAsia" w:ascii="宋体" w:hAnsi="宋体" w:eastAsia="宋体" w:cs="宋体"/>
          <w:b w:val="0"/>
          <w:bCs w:val="0"/>
          <w:color w:val="auto"/>
          <w:sz w:val="24"/>
          <w:szCs w:val="24"/>
          <w:highlight w:val="none"/>
          <w:lang w:val="en-US" w:eastAsia="zh-CN" w:bidi="ar-SA"/>
        </w:rPr>
        <w:t xml:space="preserve">转包分包</w:t>
      </w:r>
      <w:r>
        <w:rPr>
          <w:rFonts w:hint="eastAsia" w:ascii="宋体" w:hAnsi="宋体" w:cs="宋体"/>
          <w:b w:val="0"/>
          <w:bCs w:val="0"/>
          <w:color w:val="auto"/>
          <w:sz w:val="24"/>
          <w:szCs w:val="24"/>
          <w:highlight w:val="none"/>
          <w:lang w:val="en-US" w:eastAsia="zh-CN" w:bidi="ar-SA"/>
        </w:rPr>
        <w:t xml:space="preserve">，如发现有此行为，采购人可取消其中标资格。</w:t>
      </w:r>
      <w:r/>
    </w:p>
    <w:p>
      <w:pPr>
        <w:numPr>
          <w:ilvl w:val="0"/>
          <w:numId w:val="0"/>
        </w:numPr>
        <w:jc w:val="left"/>
        <w:pageBreakBefore w:val="0"/>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  </w:t>
      </w:r>
      <w:r/>
    </w:p>
    <w:p>
      <w:pPr>
        <w:ind w:firstLine="473"/>
        <w:jc w:val="left"/>
        <w:pageBreakBefore w:val="0"/>
        <w:spacing w:line="360" w:lineRule="auto"/>
        <w:widowControl w:val="off"/>
        <w:rPr>
          <w:rFonts w:hint="default" w:ascii="宋体" w:hAnsi="宋体" w:cs="宋体"/>
          <w:color w:val="auto"/>
          <w:sz w:val="24"/>
          <w:szCs w:val="24"/>
          <w:highlight w:val="none"/>
          <w:lang w:val="en-US" w:eastAsia="zh-CN" w:bidi="ar"/>
        </w:rPr>
      </w:pPr>
      <w:r>
        <w:rPr>
          <w:rFonts w:hint="default" w:ascii="宋体" w:hAnsi="宋体" w:cs="宋体"/>
          <w:color w:val="auto"/>
          <w:sz w:val="24"/>
          <w:szCs w:val="24"/>
          <w:highlight w:val="none"/>
          <w:lang w:val="en-US" w:eastAsia="zh-CN" w:bidi="ar"/>
        </w:rPr>
      </w:r>
      <w:r/>
    </w:p>
    <w:p>
      <w:r/>
      <w:r/>
    </w:p>
    <w:p>
      <w:pPr>
        <w:ind w:firstLine="473"/>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r/>
      <w:r/>
    </w:p>
    <w:p>
      <w:pPr>
        <w:ind w:firstLine="473"/>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jc w:val="center"/>
        <w:pageBreakBefore/>
        <w:spacing w:line="0" w:lineRule="atLeast"/>
        <w:rPr>
          <w:rFonts w:hint="eastAsia" w:ascii="宋体" w:hAnsi="宋体" w:eastAsia="宋体" w:cs="宋体"/>
          <w:b/>
          <w:bCs/>
          <w:color w:val="000000" w:themeColor="text1"/>
          <w:sz w:val="36"/>
          <w:highlight w:val="none"/>
          <w:lang w:eastAsia="zh-CN"/>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3、磋商</w:t>
      </w:r>
      <w:r>
        <w:rPr>
          <w:rFonts w:hint="eastAsia" w:ascii="宋体" w:hAnsi="宋体" w:cs="宋体"/>
          <w:b/>
          <w:bCs/>
          <w:color w:val="000000" w:themeColor="text1"/>
          <w:sz w:val="36"/>
          <w:highlight w:val="none"/>
          <w14:textFill>
            <w14:solidFill>
              <w14:schemeClr w14:val="tx1"/>
            </w14:solidFill>
          </w14:textFill>
        </w:rPr>
        <w:t xml:space="preserve">报价表</w:t>
      </w:r>
      <w:r>
        <w:rPr>
          <w:rFonts w:hint="eastAsia" w:ascii="宋体" w:hAnsi="宋体" w:cs="宋体"/>
          <w:b/>
          <w:bCs/>
          <w:color w:val="000000" w:themeColor="text1"/>
          <w:sz w:val="36"/>
          <w:highlight w:val="none"/>
          <w:lang w:eastAsia="zh-CN"/>
          <w14:textFill>
            <w14:solidFill>
              <w14:schemeClr w14:val="tx1"/>
            </w14:solidFill>
          </w14:textFill>
        </w:rPr>
        <w:t xml:space="preserve">（</w:t>
      </w:r>
      <w:r>
        <w:rPr>
          <w:rFonts w:hint="eastAsia" w:ascii="宋体" w:hAnsi="宋体" w:cs="宋体"/>
          <w:b/>
          <w:bCs/>
          <w:color w:val="000000" w:themeColor="text1"/>
          <w:sz w:val="36"/>
          <w:highlight w:val="none"/>
          <w:lang w:val="en-US" w:eastAsia="zh-CN"/>
          <w14:textFill>
            <w14:solidFill>
              <w14:schemeClr w14:val="tx1"/>
            </w14:solidFill>
          </w14:textFill>
        </w:rPr>
        <w:t xml:space="preserve">采购包一</w:t>
      </w:r>
      <w:r>
        <w:rPr>
          <w:rFonts w:hint="eastAsia" w:ascii="宋体" w:hAnsi="宋体" w:cs="宋体"/>
          <w:b/>
          <w:bCs/>
          <w:color w:val="000000" w:themeColor="text1"/>
          <w:sz w:val="36"/>
          <w:highlight w:val="none"/>
          <w:lang w:eastAsia="zh-CN"/>
          <w14:textFill>
            <w14:solidFill>
              <w14:schemeClr w14:val="tx1"/>
            </w14:solidFill>
          </w14:textFill>
        </w:rPr>
        <w:t xml:space="preserve">）</w:t>
      </w:r>
      <w:r/>
    </w:p>
    <w:p>
      <w:pPr>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520" w:lineRule="exac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本次为首次报价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货币单位：人民币元</w:t>
      </w:r>
      <w:r/>
    </w:p>
    <w:tbl>
      <w:tblPr>
        <w:tblStyle w:val="889"/>
        <w:tblW w:w="961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881"/>
        <w:gridCol w:w="2100"/>
        <w:gridCol w:w="2229"/>
        <w:gridCol w:w="1405"/>
      </w:tblGrid>
      <w:tr>
        <w:trPr>
          <w:cantSplit/>
          <w:jc w:val="center"/>
          <w:trHeight w:val="731"/>
        </w:trPr>
        <w:tc>
          <w:tcPr>
            <w:tcW w:w="3881"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项目名称</w:t>
            </w:r>
            <w:r/>
          </w:p>
        </w:tc>
        <w:tc>
          <w:tcPr>
            <w:tcW w:w="2100"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项目内容</w:t>
            </w:r>
            <w:r/>
          </w:p>
        </w:tc>
        <w:tc>
          <w:tcPr>
            <w:tcW w:w="2229"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总价（小写）</w:t>
            </w:r>
            <w:r/>
          </w:p>
        </w:tc>
        <w:tc>
          <w:tcPr>
            <w:tcW w:w="1405" w:type="dxa"/>
            <w:vAlign w:val="center"/>
            <w:textDirection w:val="lrTb"/>
            <w:noWrap w:val="false"/>
          </w:tcPr>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备注</w:t>
            </w:r>
            <w:r/>
          </w:p>
        </w:tc>
      </w:tr>
      <w:tr>
        <w:trPr>
          <w:cantSplit/>
          <w:jc w:val="center"/>
          <w:trHeight w:val="1260"/>
        </w:trPr>
        <w:tc>
          <w:tcPr>
            <w:tcW w:w="3881"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t xml:space="preserve">2025年度睢宁县第二轮土地承包到期后再延长30年试点项目</w:t>
            </w:r>
            <w:r/>
          </w:p>
        </w:tc>
        <w:tc>
          <w:tcPr>
            <w:tcW w:w="2100"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w:t>
            </w:r>
            <w:r>
              <w:rPr>
                <w:rFonts w:hint="eastAsia" w:ascii="宋体" w:hAnsi="宋体" w:cs="宋体"/>
                <w:bCs/>
                <w:color w:val="000000" w:themeColor="text1"/>
                <w:sz w:val="24"/>
                <w14:textFill>
                  <w14:solidFill>
                    <w14:schemeClr w14:val="tx1"/>
                  </w14:solidFill>
                </w14:textFill>
              </w:rPr>
              <w:t xml:space="preserve">响应文件</w:t>
            </w:r>
            <w:r/>
          </w:p>
        </w:tc>
        <w:tc>
          <w:tcPr>
            <w:tcW w:w="2229"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5" w:type="dxa"/>
            <w:vAlign w:val="center"/>
            <w:vMerge w:val="restart"/>
            <w:textDirection w:val="lrTb"/>
            <w:noWrap w:val="false"/>
          </w:tcPr>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报价为</w:t>
            </w:r>
            <w:r/>
          </w:p>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《分项价格表》</w:t>
            </w:r>
            <w:r/>
          </w:p>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的总价</w:t>
            </w:r>
            <w:r/>
          </w:p>
        </w:tc>
      </w:tr>
      <w:tr>
        <w:trPr>
          <w:cantSplit/>
          <w:jc w:val="center"/>
          <w:trHeight w:val="707"/>
        </w:trPr>
        <w:tc>
          <w:tcPr>
            <w:tcW w:w="3881"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4329"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5" w:type="dxa"/>
            <w:vAlign w:val="center"/>
            <w:vMerge w:val="continue"/>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1、报价应包括全部内容，以及为完成上述内容所需的全部费用。</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pStyle w:val="942"/>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jc w:val="center"/>
        <w:pageBreakBefore/>
        <w:spacing w:line="0" w:lineRule="atLeast"/>
        <w:rPr>
          <w:rFonts w:hint="eastAsia" w:ascii="宋体" w:hAnsi="宋体" w:eastAsia="宋体" w:cs="宋体"/>
          <w:b/>
          <w:bCs/>
          <w:color w:val="000000" w:themeColor="text1"/>
          <w:sz w:val="36"/>
          <w:highlight w:val="none"/>
          <w:lang w:eastAsia="zh-CN"/>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磋商</w:t>
      </w:r>
      <w:r>
        <w:rPr>
          <w:rFonts w:hint="eastAsia" w:ascii="宋体" w:hAnsi="宋体" w:cs="宋体"/>
          <w:b/>
          <w:bCs/>
          <w:color w:val="000000" w:themeColor="text1"/>
          <w:sz w:val="36"/>
          <w:highlight w:val="none"/>
          <w14:textFill>
            <w14:solidFill>
              <w14:schemeClr w14:val="tx1"/>
            </w14:solidFill>
          </w14:textFill>
        </w:rPr>
        <w:t xml:space="preserve">报价表</w:t>
      </w:r>
      <w:r>
        <w:rPr>
          <w:rFonts w:hint="eastAsia" w:ascii="宋体" w:hAnsi="宋体" w:cs="宋体"/>
          <w:b/>
          <w:bCs/>
          <w:color w:val="000000" w:themeColor="text1"/>
          <w:sz w:val="36"/>
          <w:highlight w:val="none"/>
          <w:lang w:eastAsia="zh-CN"/>
          <w14:textFill>
            <w14:solidFill>
              <w14:schemeClr w14:val="tx1"/>
            </w14:solidFill>
          </w14:textFill>
        </w:rPr>
        <w:t xml:space="preserve">（</w:t>
      </w:r>
      <w:r>
        <w:rPr>
          <w:rFonts w:hint="eastAsia" w:ascii="宋体" w:hAnsi="宋体" w:cs="宋体"/>
          <w:b/>
          <w:bCs/>
          <w:color w:val="000000" w:themeColor="text1"/>
          <w:sz w:val="36"/>
          <w:highlight w:val="none"/>
          <w:lang w:val="en-US" w:eastAsia="zh-CN"/>
          <w14:textFill>
            <w14:solidFill>
              <w14:schemeClr w14:val="tx1"/>
            </w14:solidFill>
          </w14:textFill>
        </w:rPr>
        <w:t xml:space="preserve">采购包二</w:t>
      </w:r>
      <w:r>
        <w:rPr>
          <w:rFonts w:hint="eastAsia" w:ascii="宋体" w:hAnsi="宋体" w:cs="宋体"/>
          <w:b/>
          <w:bCs/>
          <w:color w:val="000000" w:themeColor="text1"/>
          <w:sz w:val="36"/>
          <w:highlight w:val="none"/>
          <w:lang w:eastAsia="zh-CN"/>
          <w14:textFill>
            <w14:solidFill>
              <w14:schemeClr w14:val="tx1"/>
            </w14:solidFill>
          </w14:textFill>
        </w:rPr>
        <w:t xml:space="preserve">）</w:t>
      </w:r>
      <w:r/>
    </w:p>
    <w:p>
      <w:pPr>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520" w:lineRule="exac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本次为首次报价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货币单位：人民币元</w:t>
      </w:r>
      <w:r/>
    </w:p>
    <w:tbl>
      <w:tblPr>
        <w:tblStyle w:val="889"/>
        <w:tblW w:w="961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881"/>
        <w:gridCol w:w="2100"/>
        <w:gridCol w:w="2229"/>
        <w:gridCol w:w="1405"/>
      </w:tblGrid>
      <w:tr>
        <w:trPr>
          <w:cantSplit/>
          <w:jc w:val="center"/>
          <w:trHeight w:val="731"/>
        </w:trPr>
        <w:tc>
          <w:tcPr>
            <w:tcW w:w="3881"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项目名称</w:t>
            </w:r>
            <w:r/>
          </w:p>
        </w:tc>
        <w:tc>
          <w:tcPr>
            <w:tcW w:w="2100"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项目内容</w:t>
            </w:r>
            <w:r/>
          </w:p>
        </w:tc>
        <w:tc>
          <w:tcPr>
            <w:tcW w:w="2229"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总价（小写）</w:t>
            </w:r>
            <w:r/>
          </w:p>
        </w:tc>
        <w:tc>
          <w:tcPr>
            <w:tcW w:w="1405" w:type="dxa"/>
            <w:vAlign w:val="center"/>
            <w:textDirection w:val="lrTb"/>
            <w:noWrap w:val="false"/>
          </w:tcPr>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备注</w:t>
            </w:r>
            <w:r/>
          </w:p>
        </w:tc>
      </w:tr>
      <w:tr>
        <w:trPr>
          <w:cantSplit/>
          <w:jc w:val="center"/>
          <w:trHeight w:val="1260"/>
        </w:trPr>
        <w:tc>
          <w:tcPr>
            <w:tcW w:w="3881"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t xml:space="preserve">2025年度睢宁县第二轮土地承包到期后再延长30年试点项目</w:t>
            </w:r>
            <w:r/>
          </w:p>
        </w:tc>
        <w:tc>
          <w:tcPr>
            <w:tcW w:w="2100"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w:t>
            </w:r>
            <w:r>
              <w:rPr>
                <w:rFonts w:hint="eastAsia" w:ascii="宋体" w:hAnsi="宋体" w:cs="宋体"/>
                <w:bCs/>
                <w:color w:val="000000" w:themeColor="text1"/>
                <w:sz w:val="24"/>
                <w14:textFill>
                  <w14:solidFill>
                    <w14:schemeClr w14:val="tx1"/>
                  </w14:solidFill>
                </w14:textFill>
              </w:rPr>
              <w:t xml:space="preserve">响应文件</w:t>
            </w:r>
            <w:r/>
          </w:p>
        </w:tc>
        <w:tc>
          <w:tcPr>
            <w:tcW w:w="2229"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5" w:type="dxa"/>
            <w:vAlign w:val="center"/>
            <w:vMerge w:val="restart"/>
            <w:textDirection w:val="lrTb"/>
            <w:noWrap w:val="false"/>
          </w:tcPr>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报价为</w:t>
            </w:r>
            <w:r/>
          </w:p>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《分项价格表》</w:t>
            </w:r>
            <w:r/>
          </w:p>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的总价</w:t>
            </w:r>
            <w:r/>
          </w:p>
        </w:tc>
      </w:tr>
      <w:tr>
        <w:trPr>
          <w:cantSplit/>
          <w:jc w:val="center"/>
          <w:trHeight w:val="707"/>
        </w:trPr>
        <w:tc>
          <w:tcPr>
            <w:tcW w:w="3881"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4329"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5" w:type="dxa"/>
            <w:vAlign w:val="center"/>
            <w:vMerge w:val="continue"/>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1、报价应包括全部内容，以及为完成上述内容所需的全部费用。</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pStyle w:val="942"/>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color w:val="000000" w:themeColor="text1"/>
          <w:sz w:val="24"/>
          <w14:textFill>
            <w14:solidFill>
              <w14:schemeClr w14:val="tx1"/>
            </w14:solidFill>
          </w14:textFill>
        </w:rPr>
        <w:t xml:space="preserve">日期：   年  月  日</w:t>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4、分项价格表</w:t>
      </w:r>
      <w:r/>
    </w:p>
    <w:p>
      <w:pPr>
        <w:jc w:val="cente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jc w:val="lef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p>
    <w:p>
      <w:pPr>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u w:val="single"/>
          <w14:textFill>
            <w14:solidFill>
              <w14:schemeClr w14:val="tx1"/>
            </w14:solidFill>
          </w14:textFill>
        </w:rPr>
        <w:t xml:space="preserve">               </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31"/>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格式自制</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r/>
    </w:p>
    <w:p>
      <w:pPr>
        <w:rPr>
          <w:rFonts w:ascii="宋体" w:hAnsi="宋体" w:cs="宋体"/>
          <w:color w:val="000000" w:themeColor="text1"/>
          <w:sz w:val="28"/>
          <w:szCs w:val="28"/>
          <w:u w:val="single"/>
          <w14:textFill>
            <w14:solidFill>
              <w14:schemeClr w14:val="tx1"/>
            </w14:solidFill>
          </w14:textFill>
        </w:rPr>
      </w:pPr>
      <w:r>
        <w:rPr>
          <w:rFonts w:ascii="宋体" w:hAnsi="宋体" w:cs="宋体"/>
          <w:color w:val="000000" w:themeColor="text1"/>
          <w:sz w:val="28"/>
          <w:szCs w:val="28"/>
          <w:u w:val="single"/>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0" w:right="0" w:firstLine="0"/>
        <w:jc w:val="both"/>
        <w:spacing w:before="0" w:after="0" w:line="85" w:lineRule="atLeas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rPr>
        <w:t xml:space="preserve">如果不提供</w:t>
      </w:r>
      <w:r>
        <w:rPr>
          <w:rFonts w:hint="eastAsia" w:ascii="宋体" w:hAnsi="宋体" w:cs="宋体"/>
          <w:b/>
          <w:color w:val="000000"/>
          <w:sz w:val="24"/>
          <w:lang w:val="en-US" w:eastAsia="zh-CN"/>
        </w:rPr>
        <w:t xml:space="preserve">详细的</w:t>
      </w:r>
      <w:r>
        <w:rPr>
          <w:rFonts w:ascii="宋体" w:hAnsi="宋体" w:eastAsia="宋体" w:cs="宋体"/>
          <w:b/>
          <w:color w:val="000000"/>
          <w:sz w:val="24"/>
        </w:rPr>
        <w:t xml:space="preserve">《分项价格表》将视为没有实质性响应。</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供应商对以上数据的真实性负责。</w:t>
      </w:r>
      <w:r/>
    </w:p>
    <w:p>
      <w:pPr>
        <w:pStyle w:val="942"/>
        <w:ind w:firstLine="480"/>
        <w:pageBreakBefore w:val="0"/>
        <w:spacing w:after="0"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 如果按单价计算的结果与总价不一致，以总价为准。</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default" w:ascii="宋体" w:hAnsi="宋体" w:eastAsia="宋体" w:cs="宋体"/>
          <w:color w:val="000000" w:themeColor="text1"/>
          <w:sz w:val="24"/>
          <w:lang w:val="en-US" w:eastAsia="zh-CN"/>
          <w14:textFill>
            <w14:solidFill>
              <w14:schemeClr w14:val="tx1"/>
            </w14:solidFill>
          </w14:textFill>
        </w:rPr>
      </w:r>
      <w:r/>
    </w:p>
    <w:p>
      <w:pPr>
        <w:ind w:firstLine="482"/>
        <w:spacing w:line="360" w:lineRule="auto"/>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采购人或采购代理机构有权将以上内容进行公示。</w:t>
      </w:r>
      <w:r/>
    </w:p>
    <w:p>
      <w:pPr>
        <w:jc w:val="center"/>
        <w:rPr>
          <w:rFonts w:ascii="宋体" w:hAnsi="宋体" w:cs="宋体"/>
          <w:b/>
          <w:bCs/>
          <w:color w:val="000000" w:themeColor="text1"/>
          <w:sz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5、偏离表</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bl>
      <w:tblPr>
        <w:tblStyle w:val="889"/>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135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2446"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首次响应文件中的内容</w:t>
            </w:r>
            <w:r/>
          </w:p>
        </w:tc>
        <w:tc>
          <w:tcPr>
            <w:tcW w:w="1351"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2123"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W w:w="72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9"/>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p>
    <w:p>
      <w:pPr>
        <w:pStyle w:val="1045"/>
        <w:jc w:val="center"/>
        <w:rPr>
          <w:rFonts w:hint="eastAsia" w:ascii="宋体" w:hAnsi="宋体" w:eastAsia="宋体" w:cs="宋体"/>
          <w:b/>
          <w:bCs/>
          <w:color w:val="000000" w:themeColor="text1"/>
          <w:sz w:val="36"/>
          <w:szCs w:val="24"/>
          <w:lang w:val="en-US" w:eastAsia="zh-CN" w:bidi="ar-SA"/>
          <w14:textFill>
            <w14:solidFill>
              <w14:schemeClr w14:val="tx1"/>
            </w14:solidFill>
          </w14:textFill>
        </w:rPr>
      </w:pPr>
      <w:r>
        <w:rPr>
          <w:rFonts w:hint="eastAsia" w:ascii="宋体" w:hAnsi="宋体" w:eastAsia="宋体" w:cs="宋体"/>
          <w:b/>
          <w:bCs/>
          <w:color w:val="000000" w:themeColor="text1"/>
          <w:sz w:val="36"/>
          <w:szCs w:val="24"/>
          <w:lang w:val="en-US" w:eastAsia="zh-CN" w:bidi="ar-SA"/>
          <w14:textFill>
            <w14:solidFill>
              <w14:schemeClr w14:val="tx1"/>
            </w14:solidFill>
          </w14:textFill>
        </w:rPr>
        <w:t xml:space="preserve">6、拟签订的合同文本</w:t>
      </w:r>
      <w:r/>
    </w:p>
    <w:p>
      <w:pPr>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项目名称：</w:t>
      </w:r>
      <w:r/>
    </w:p>
    <w:p>
      <w:pPr>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项目编号：</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政</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府</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采</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购</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合</w:t>
      </w:r>
      <w:r/>
    </w:p>
    <w:p>
      <w:pPr>
        <w:jc w:val="center"/>
        <w:spacing w:before="240" w:after="240"/>
        <w:rPr>
          <w:color w:val="auto"/>
          <w:sz w:val="48"/>
          <w:szCs w:val="48"/>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8"/>
          <w:szCs w:val="48"/>
          <w:highlight w:val="none"/>
        </w:rPr>
        <w:t xml:space="preserve">同</w:t>
      </w:r>
      <w:r/>
    </w:p>
    <w:p>
      <w:pPr>
        <w:ind w:firstLine="560"/>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采购人：</w:t>
      </w:r>
      <w:r/>
    </w:p>
    <w:p>
      <w:pPr>
        <w:ind w:firstLine="560"/>
        <w:spacing w:before="240" w:after="24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中标</w:t>
      </w:r>
      <w:r>
        <w:rPr>
          <w:rFonts w:hint="eastAsia" w:ascii="宋体" w:hAnsi="宋体" w:cs="宋体"/>
          <w:color w:val="auto"/>
          <w:sz w:val="28"/>
          <w:szCs w:val="28"/>
          <w:highlight w:val="none"/>
        </w:rPr>
        <w:t xml:space="preserve">人</w:t>
      </w:r>
      <w:r>
        <w:rPr>
          <w:rFonts w:ascii="宋体" w:hAnsi="宋体" w:cs="宋体"/>
          <w:color w:val="auto"/>
          <w:sz w:val="28"/>
          <w:szCs w:val="28"/>
          <w:highlight w:val="none"/>
        </w:rPr>
        <w:t xml:space="preserve">：</w:t>
      </w:r>
      <w:r/>
    </w:p>
    <w:p>
      <w:pPr>
        <w:ind w:firstLine="560"/>
        <w:spacing w:before="240" w:after="240"/>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t xml:space="preserve">合同签订日期：年月日</w:t>
      </w:r>
      <w:r/>
    </w:p>
    <w:p>
      <w:pPr>
        <w:pStyle w:val="1211"/>
        <w:ind w:firstLine="482"/>
        <w:spacing w:before="50" w:line="360" w:lineRule="auto"/>
        <w:rPr>
          <w:rFonts w:ascii="宋体" w:hAnsi="宋体" w:cs="宋体"/>
          <w:b/>
          <w:color w:val="auto"/>
          <w:sz w:val="28"/>
          <w:szCs w:val="28"/>
          <w:highlight w:val="none"/>
        </w:rPr>
      </w:pPr>
      <w:r>
        <w:rPr>
          <w:rFonts w:ascii="宋体" w:hAnsi="宋体" w:cs="宋体"/>
          <w:b/>
          <w:color w:val="auto"/>
          <w:sz w:val="28"/>
          <w:szCs w:val="28"/>
          <w:highlight w:val="none"/>
        </w:rPr>
        <w:t xml:space="preserve">友情提醒：采购人与</w:t>
      </w:r>
      <w:r>
        <w:rPr>
          <w:rFonts w:hint="eastAsia" w:ascii="宋体" w:hAnsi="宋体" w:cs="宋体"/>
          <w:b/>
          <w:color w:val="auto"/>
          <w:sz w:val="28"/>
          <w:szCs w:val="28"/>
          <w:highlight w:val="none"/>
          <w:lang w:val="en-US" w:eastAsia="zh-CN"/>
        </w:rPr>
        <w:t xml:space="preserve">成交</w:t>
      </w:r>
      <w:r>
        <w:rPr>
          <w:rFonts w:ascii="宋体" w:hAnsi="宋体" w:cs="宋体"/>
          <w:b/>
          <w:color w:val="auto"/>
          <w:sz w:val="28"/>
          <w:szCs w:val="28"/>
          <w:highlight w:val="none"/>
        </w:rPr>
        <w:t xml:space="preserve">供应商应当在</w:t>
      </w:r>
      <w:r>
        <w:rPr>
          <w:rFonts w:hint="eastAsia" w:ascii="宋体" w:hAnsi="宋体" w:cs="宋体"/>
          <w:b/>
          <w:color w:val="auto"/>
          <w:sz w:val="28"/>
          <w:szCs w:val="28"/>
          <w:highlight w:val="none"/>
          <w:lang w:val="en-US" w:eastAsia="zh-CN"/>
        </w:rPr>
        <w:t xml:space="preserve">成交</w:t>
      </w:r>
      <w:r>
        <w:rPr>
          <w:rFonts w:ascii="宋体" w:hAnsi="宋体" w:cs="宋体"/>
          <w:b/>
          <w:color w:val="auto"/>
          <w:sz w:val="28"/>
          <w:szCs w:val="28"/>
          <w:highlight w:val="none"/>
        </w:rPr>
        <w:t xml:space="preserve">通知书发出之日起三十日内，按照采购文件确定的事项签订政府采购合同。采购人应当自政府采购合同签订之日起2个工作日内，将政府采购合同在省级以上人民政府财政部门指定的媒体上公告，但政府采购合同中涉及国家秘密、商业秘密的内容除外。</w:t>
      </w:r>
      <w:r/>
    </w:p>
    <w:p>
      <w:pPr>
        <w:pStyle w:val="1055"/>
        <w:ind w:firstLine="560"/>
        <w:spacing w:line="360" w:lineRule="auto"/>
        <w:rPr>
          <w:rFonts w:hint="eastAsia" w:ascii="宋体" w:hAnsi="宋体" w:cs="宋体"/>
          <w:bCs/>
          <w:color w:val="000000" w:themeColor="text1"/>
          <w:sz w:val="28"/>
          <w:szCs w:val="28"/>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34" w:right="1434" w:bottom="1434" w:left="1434" w:header="851" w:footer="992" w:gutter="0"/>
          <w:cols w:num="1" w:sep="0" w:space="1701" w:equalWidth="1"/>
          <w:docGrid w:linePitch="360"/>
        </w:sectPr>
      </w:pPr>
      <w:r>
        <w:rPr>
          <w:rFonts w:hint="eastAsia" w:ascii="宋体" w:hAnsi="宋体" w:cs="宋体"/>
          <w:bCs/>
          <w:color w:val="000000" w:themeColor="text1"/>
          <w:sz w:val="28"/>
          <w:szCs w:val="28"/>
          <w14:textFill>
            <w14:solidFill>
              <w14:schemeClr w14:val="tx1"/>
            </w14:solidFill>
          </w14:textFill>
        </w:rPr>
      </w:r>
      <w:r/>
    </w:p>
    <w:p>
      <w:pPr>
        <w:jc w:val="center"/>
        <w:spacing w:line="360" w:lineRule="auto"/>
        <w:rPr>
          <w:rFonts w:hint="eastAsia" w:ascii="宋体" w:hAnsi="宋体"/>
          <w:b/>
          <w:bCs/>
          <w:color w:val="000000" w:themeColor="text1"/>
          <w:sz w:val="36"/>
          <w:szCs w:val="36"/>
          <w:lang w:eastAsia="zh-CN"/>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2025年度睢宁县第二轮土地承包到期后再延长30年试点</w:t>
      </w:r>
      <w:r/>
    </w:p>
    <w:p>
      <w:pPr>
        <w:jc w:val="center"/>
        <w:spacing w:line="360" w:lineRule="auto"/>
        <w:rPr>
          <w:rFonts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lang w:val="en-US" w:eastAsia="zh-CN"/>
          <w14:textFill>
            <w14:solidFill>
              <w14:schemeClr w14:val="tx1"/>
            </w14:solidFill>
          </w14:textFill>
        </w:rPr>
        <w:t xml:space="preserve">项目</w:t>
      </w:r>
      <w:r>
        <w:rPr>
          <w:rFonts w:hint="eastAsia" w:ascii="宋体" w:hAnsi="宋体"/>
          <w:b/>
          <w:bCs/>
          <w:color w:val="000000" w:themeColor="text1"/>
          <w:sz w:val="36"/>
          <w:szCs w:val="36"/>
          <w14:textFill>
            <w14:solidFill>
              <w14:schemeClr w14:val="tx1"/>
            </w14:solidFill>
          </w14:textFill>
        </w:rPr>
        <w:t xml:space="preserve">合同</w:t>
      </w:r>
      <w:r/>
    </w:p>
    <w:p>
      <w:pPr>
        <w:ind w:right="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u w:val="single"/>
          <w:lang w:val="en-US" w:eastAsia="zh-CN" w:bidi="ar-SA"/>
        </w:rPr>
        <w:t xml:space="preserve">                           </w:t>
      </w:r>
      <w:r/>
    </w:p>
    <w:p>
      <w:pPr>
        <w:ind w:left="0" w:firstLine="480"/>
        <w:jc w:val="both"/>
        <w:keepLines w:val="0"/>
        <w:keepNext w:val="0"/>
        <w:pageBreakBefore w:val="0"/>
        <w:spacing w:line="360" w:lineRule="auto"/>
        <w:widowControl w:val="off"/>
        <w:rPr>
          <w:rFonts w:ascii="宋体" w:hAnsi="宋体" w:eastAsia="宋体" w:cs="宋体"/>
          <w:color w:val="auto"/>
          <w:sz w:val="24"/>
          <w:szCs w:val="24"/>
          <w:highlight w:val="none"/>
          <w:u w:val="single"/>
        </w:rPr>
      </w:pPr>
      <w:r>
        <w:rPr>
          <w:rFonts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u w:val="single"/>
          <w:lang w:val="en-US" w:eastAsia="zh-CN" w:bidi="ar-SA"/>
        </w:rPr>
        <w:t xml:space="preserve">                           </w:t>
      </w:r>
      <w:r/>
    </w:p>
    <w:p>
      <w:pPr>
        <w:ind w:left="0" w:right="0" w:firstLine="480"/>
        <w:jc w:val="both"/>
        <w:keepLines w:val="0"/>
        <w:keepNext w:val="0"/>
        <w:pageBreakBefore w:val="0"/>
        <w:spacing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甲乙双方根据</w:t>
      </w:r>
      <w:r>
        <w:rPr>
          <w:rFonts w:hint="eastAsia" w:ascii="宋体" w:hAnsi="宋体" w:eastAsia="宋体" w:cs="宋体"/>
          <w:b/>
          <w:bCs/>
          <w:color w:val="auto"/>
          <w:sz w:val="24"/>
          <w:szCs w:val="24"/>
          <w:highlight w:val="none"/>
          <w:u w:val="single"/>
          <w:lang w:val="en-US" w:eastAsia="zh-CN" w:bidi="ar-SA"/>
        </w:rPr>
        <w:t xml:space="preserve">2025年度睢宁县第二轮土地承包到期后再延长30年试点项目</w:t>
      </w:r>
      <w:r>
        <w:rPr>
          <w:rFonts w:hint="eastAsia" w:ascii="宋体" w:hAnsi="宋体" w:eastAsia="宋体" w:cs="宋体"/>
          <w:color w:val="auto"/>
          <w:sz w:val="24"/>
          <w:szCs w:val="24"/>
          <w:highlight w:val="none"/>
          <w:lang w:val="en-US" w:eastAsia="zh-CN" w:bidi="ar-SA"/>
        </w:rPr>
        <w:t xml:space="preserve">竞争性磋商</w:t>
      </w:r>
      <w:r>
        <w:rPr>
          <w:rFonts w:ascii="宋体" w:hAnsi="宋体" w:eastAsia="宋体" w:cs="宋体"/>
          <w:color w:val="auto"/>
          <w:sz w:val="24"/>
          <w:szCs w:val="24"/>
          <w:highlight w:val="none"/>
          <w:lang w:val="en-US" w:eastAsia="zh-CN" w:bidi="ar-SA"/>
        </w:rPr>
        <w:t xml:space="preserve">的结果以及《中华人民共和国民法典》等相关法律、法规规定，在平等、自愿、协商一致的基础上签署本合同。</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1.合同文件</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下列关于</w:t>
      </w:r>
      <w:r>
        <w:rPr>
          <w:rFonts w:hint="eastAsia" w:ascii="宋体" w:hAnsi="宋体" w:eastAsia="宋体" w:cs="宋体"/>
          <w:color w:val="auto"/>
          <w:sz w:val="24"/>
          <w:szCs w:val="24"/>
          <w:highlight w:val="none"/>
          <w:lang w:val="en-US" w:eastAsia="zh-CN" w:bidi="ar-SA"/>
        </w:rPr>
        <w:t xml:space="preserve">磋商</w:t>
      </w:r>
      <w:r>
        <w:rPr>
          <w:rFonts w:ascii="宋体" w:hAnsi="宋体" w:eastAsia="宋体" w:cs="宋体"/>
          <w:color w:val="auto"/>
          <w:sz w:val="24"/>
          <w:szCs w:val="24"/>
          <w:highlight w:val="none"/>
          <w:lang w:val="en-US" w:eastAsia="zh-CN" w:bidi="ar-SA"/>
        </w:rPr>
        <w:t xml:space="preserve">文件、</w:t>
      </w:r>
      <w:r>
        <w:rPr>
          <w:rFonts w:hint="eastAsia" w:ascii="宋体" w:hAnsi="宋体" w:eastAsia="宋体" w:cs="宋体"/>
          <w:color w:val="auto"/>
          <w:sz w:val="24"/>
          <w:szCs w:val="24"/>
          <w:highlight w:val="none"/>
          <w:lang w:val="en-US" w:eastAsia="zh-CN" w:bidi="ar-SA"/>
        </w:rPr>
        <w:t xml:space="preserve">响应</w:t>
      </w:r>
      <w:r>
        <w:rPr>
          <w:rFonts w:ascii="宋体" w:hAnsi="宋体" w:eastAsia="宋体" w:cs="宋体"/>
          <w:color w:val="auto"/>
          <w:sz w:val="24"/>
          <w:szCs w:val="24"/>
          <w:highlight w:val="none"/>
          <w:lang w:val="en-US" w:eastAsia="zh-CN" w:bidi="ar-SA"/>
        </w:rPr>
        <w:t xml:space="preserve">文件是构成本合同不可分割的部分</w:t>
      </w:r>
      <w:r>
        <w:rPr>
          <w:rFonts w:hint="eastAsia" w:ascii="宋体" w:hAnsi="宋体" w:cs="宋体"/>
          <w:color w:val="auto"/>
          <w:sz w:val="24"/>
          <w:szCs w:val="24"/>
          <w:highlight w:val="none"/>
          <w:lang w:val="en-US" w:eastAsia="zh-CN" w:bidi="ar-SA"/>
        </w:rPr>
        <w:t xml:space="preserve">，，与本合同具有同等法律效力，这些文件包括但不限于：</w:t>
      </w:r>
      <w:r/>
    </w:p>
    <w:p>
      <w:pPr>
        <w:ind w:left="420" w:right="0" w:firstLine="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磋商</w:t>
      </w:r>
      <w:r>
        <w:rPr>
          <w:rFonts w:ascii="宋体" w:hAnsi="宋体" w:eastAsia="宋体" w:cs="宋体"/>
          <w:color w:val="auto"/>
          <w:sz w:val="24"/>
          <w:szCs w:val="24"/>
          <w:highlight w:val="none"/>
          <w:lang w:val="en-US" w:eastAsia="zh-CN" w:bidi="ar-SA"/>
        </w:rPr>
        <w:t xml:space="preserve">文件[</w:t>
      </w:r>
      <w:r>
        <w:rPr>
          <w:rFonts w:hint="eastAsia" w:ascii="宋体" w:hAnsi="宋体" w:cs="宋体"/>
          <w:color w:val="auto"/>
          <w:sz w:val="24"/>
          <w:szCs w:val="24"/>
          <w:highlight w:val="none"/>
          <w:lang w:val="en-US" w:eastAsia="zh-CN" w:bidi="ar-SA"/>
        </w:rPr>
        <w:t xml:space="preserve">项目编号：JSZC-320324-CXGC-C2026-0007</w:t>
      </w:r>
      <w:r>
        <w:rPr>
          <w:rFonts w:ascii="宋体" w:hAnsi="宋体" w:eastAsia="宋体" w:cs="宋体"/>
          <w:color w:val="auto"/>
          <w:sz w:val="24"/>
          <w:szCs w:val="24"/>
          <w:highlight w:val="none"/>
          <w:lang w:val="en-US" w:eastAsia="zh-CN" w:bidi="ar-SA"/>
        </w:rPr>
        <w:t xml:space="preserve">]；</w:t>
      </w:r>
      <w:r/>
    </w:p>
    <w:p>
      <w:pPr>
        <w:ind w:left="420" w:right="0" w:firstLine="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（2）乙方的</w:t>
      </w:r>
      <w:r>
        <w:rPr>
          <w:rFonts w:hint="eastAsia" w:ascii="宋体" w:hAnsi="宋体" w:eastAsia="宋体" w:cs="宋体"/>
          <w:color w:val="auto"/>
          <w:sz w:val="24"/>
          <w:szCs w:val="24"/>
          <w:highlight w:val="none"/>
          <w:lang w:val="en-US" w:eastAsia="zh-CN" w:bidi="ar-SA"/>
        </w:rPr>
        <w:t xml:space="preserve">响应</w:t>
      </w:r>
      <w:r>
        <w:rPr>
          <w:rFonts w:ascii="宋体" w:hAnsi="宋体" w:eastAsia="宋体" w:cs="宋体"/>
          <w:color w:val="auto"/>
          <w:sz w:val="24"/>
          <w:szCs w:val="24"/>
          <w:highlight w:val="none"/>
          <w:lang w:val="en-US" w:eastAsia="zh-CN" w:bidi="ar-SA"/>
        </w:rPr>
        <w:t xml:space="preserve">文件（与</w:t>
      </w:r>
      <w:r>
        <w:rPr>
          <w:rFonts w:hint="eastAsia" w:ascii="宋体" w:hAnsi="宋体" w:eastAsia="宋体" w:cs="宋体"/>
          <w:color w:val="auto"/>
          <w:sz w:val="24"/>
          <w:szCs w:val="24"/>
          <w:highlight w:val="none"/>
          <w:lang w:val="en-US" w:eastAsia="zh-CN" w:bidi="ar-SA"/>
        </w:rPr>
        <w:t xml:space="preserve">磋商</w:t>
      </w:r>
      <w:r>
        <w:rPr>
          <w:rFonts w:ascii="宋体" w:hAnsi="宋体" w:eastAsia="宋体" w:cs="宋体"/>
          <w:color w:val="auto"/>
          <w:sz w:val="24"/>
          <w:szCs w:val="24"/>
          <w:highlight w:val="none"/>
          <w:lang w:val="en-US" w:eastAsia="zh-CN" w:bidi="ar-SA"/>
        </w:rPr>
        <w:t xml:space="preserve">文件有抵触的除外）；</w:t>
      </w:r>
      <w:r/>
    </w:p>
    <w:p>
      <w:pPr>
        <w:ind w:left="420" w:right="0" w:firstLine="0"/>
        <w:jc w:val="both"/>
        <w:keepLines w:val="0"/>
        <w:keepNext w:val="0"/>
        <w:pageBreakBefore w:val="0"/>
        <w:spacing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（3）</w:t>
      </w:r>
      <w:r>
        <w:rPr>
          <w:rFonts w:hint="eastAsia" w:ascii="宋体" w:hAnsi="宋体" w:eastAsia="宋体"/>
          <w:color w:val="auto"/>
          <w:sz w:val="24"/>
          <w:szCs w:val="24"/>
          <w:highlight w:val="none"/>
        </w:rPr>
        <w:t xml:space="preserve">乙方在投标时的书面承诺</w:t>
      </w:r>
      <w:r>
        <w:rPr>
          <w:rFonts w:ascii="宋体" w:hAnsi="宋体" w:eastAsia="宋体" w:cs="宋体"/>
          <w:color w:val="auto"/>
          <w:sz w:val="24"/>
          <w:szCs w:val="24"/>
          <w:highlight w:val="none"/>
          <w:lang w:val="en-US" w:eastAsia="zh-CN" w:bidi="ar-SA"/>
        </w:rPr>
        <w:t xml:space="preserve">；</w:t>
      </w:r>
      <w:r/>
    </w:p>
    <w:p>
      <w:pPr>
        <w:ind w:left="420" w:right="0" w:firstLine="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成交</w:t>
      </w:r>
      <w:r>
        <w:rPr>
          <w:rFonts w:ascii="宋体" w:hAnsi="宋体" w:eastAsia="宋体" w:cs="宋体"/>
          <w:color w:val="auto"/>
          <w:sz w:val="24"/>
          <w:szCs w:val="24"/>
          <w:highlight w:val="none"/>
          <w:lang w:val="en-US" w:eastAsia="zh-CN" w:bidi="ar-SA"/>
        </w:rPr>
        <w:t xml:space="preserve">通知书；</w:t>
      </w:r>
      <w:r/>
    </w:p>
    <w:p>
      <w:pPr>
        <w:ind w:left="420" w:right="0" w:firstLine="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合同补充条款或说明</w:t>
      </w:r>
      <w:r>
        <w:rPr>
          <w:rFonts w:ascii="宋体" w:hAnsi="宋体" w:eastAsia="宋体" w:cs="宋体"/>
          <w:color w:val="auto"/>
          <w:sz w:val="24"/>
          <w:szCs w:val="24"/>
          <w:highlight w:val="none"/>
          <w:lang w:val="en-US" w:eastAsia="zh-CN" w:bidi="ar-SA"/>
        </w:rPr>
        <w:t xml:space="preserve">；</w:t>
      </w:r>
      <w:r/>
    </w:p>
    <w:p>
      <w:pPr>
        <w:ind w:left="420" w:right="0" w:firstLine="0"/>
        <w:jc w:val="both"/>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保密协议或条款</w:t>
      </w:r>
      <w:r>
        <w:rPr>
          <w:rFonts w:hint="eastAsia" w:ascii="宋体" w:hAnsi="宋体" w:cs="宋体"/>
          <w:color w:val="auto"/>
          <w:sz w:val="24"/>
          <w:szCs w:val="24"/>
          <w:highlight w:val="none"/>
          <w:lang w:val="en-US" w:eastAsia="zh-CN" w:bidi="ar-SA"/>
        </w:rPr>
        <w:t xml:space="preserve">；</w:t>
      </w:r>
      <w:r/>
    </w:p>
    <w:p>
      <w:pPr>
        <w:ind w:left="420" w:right="0" w:firstLine="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相关附件、图纸及电子版资料</w:t>
      </w:r>
      <w:r>
        <w:rPr>
          <w:rFonts w:ascii="宋体" w:hAnsi="宋体" w:eastAsia="宋体" w:cs="宋体"/>
          <w:color w:val="auto"/>
          <w:sz w:val="24"/>
          <w:szCs w:val="24"/>
          <w:highlight w:val="none"/>
          <w:lang w:val="en-US" w:eastAsia="zh-CN" w:bidi="ar-SA"/>
        </w:rPr>
        <w:t xml:space="preserve">。</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cs="宋体"/>
          <w:b/>
          <w:color w:val="auto"/>
          <w:sz w:val="24"/>
          <w:szCs w:val="24"/>
          <w:highlight w:val="none"/>
          <w:lang w:val="en-US" w:eastAsia="zh-CN" w:bidi="ar-SA"/>
        </w:rPr>
        <w:t xml:space="preserve">1</w:t>
      </w:r>
      <w:r>
        <w:rPr>
          <w:rFonts w:ascii="宋体" w:hAnsi="宋体" w:eastAsia="宋体" w:cs="宋体"/>
          <w:b/>
          <w:color w:val="auto"/>
          <w:sz w:val="24"/>
          <w:szCs w:val="24"/>
          <w:highlight w:val="none"/>
          <w:lang w:val="en-US" w:eastAsia="zh-CN" w:bidi="ar-SA"/>
        </w:rPr>
        <w:t xml:space="preserve">合同范围和条件</w:t>
      </w:r>
      <w:r/>
    </w:p>
    <w:p>
      <w:pPr>
        <w:ind w:left="0" w:right="0" w:firstLine="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本合同的范围和条件应与上述合同文件的规定相一致。</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2</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项目建设内容</w:t>
      </w:r>
      <w:r/>
    </w:p>
    <w:p>
      <w:pPr>
        <w:ind w:left="0" w:right="0" w:firstLine="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乙方根据所中标段的建设内容完善。</w:t>
      </w:r>
      <w:r/>
    </w:p>
    <w:p>
      <w:pPr>
        <w:ind w:left="0" w:right="0" w:firstLine="56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3.合同期限</w:t>
      </w:r>
      <w:r/>
    </w:p>
    <w:p>
      <w:pPr>
        <w:numPr>
          <w:ilvl w:val="0"/>
          <w:numId w:val="0"/>
        </w:numPr>
        <w:ind w:left="19" w:right="0" w:firstLine="480"/>
        <w:jc w:val="both"/>
        <w:keepLines w:val="0"/>
        <w:keepNext w:val="0"/>
        <w:pageBreakBefore w:val="0"/>
        <w:spacing w:line="360" w:lineRule="auto"/>
        <w:widowControl w:val="off"/>
        <w:rPr>
          <w:rFonts w:hint="eastAsia"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4"/>
          <w:szCs w:val="24"/>
          <w:highlight w:val="none"/>
          <w:lang w:val="en-US" w:eastAsia="zh-CN" w:bidi="ar-SA"/>
        </w:rPr>
        <w:t xml:space="preserve">服务期限：__________________。</w:t>
      </w:r>
      <w:r/>
    </w:p>
    <w:p>
      <w:pPr>
        <w:pStyle w:val="1209"/>
        <w:ind w:left="0" w:firstLine="480"/>
        <w:keepLines w:val="0"/>
        <w:keepNext w:val="0"/>
        <w:pageBreakBefore w:val="0"/>
        <w:spacing w:after="0" w:line="360" w:lineRule="auto"/>
        <w:rPr>
          <w:rFonts w:hint="eastAsia" w:hAnsi="宋体" w:cs="宋体"/>
          <w:color w:val="auto"/>
          <w:sz w:val="24"/>
          <w:szCs w:val="24"/>
          <w:highlight w:val="none"/>
        </w:rPr>
      </w:pPr>
      <w:r>
        <w:rPr>
          <w:rFonts w:hint="eastAsia" w:hAnsi="宋体" w:cs="宋体"/>
          <w:color w:val="auto"/>
          <w:sz w:val="24"/>
          <w:szCs w:val="24"/>
          <w:highlight w:val="none"/>
          <w:lang w:val="en-US" w:eastAsia="zh-CN" w:bidi="ar-SA"/>
        </w:rPr>
        <w:t xml:space="preserve">保修期限：__________________。</w:t>
      </w:r>
      <w:r/>
    </w:p>
    <w:p>
      <w:pPr>
        <w:pStyle w:val="1209"/>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履行地点：甲方指定地点。</w:t>
      </w:r>
      <w:r/>
    </w:p>
    <w:p>
      <w:pPr>
        <w:pStyle w:val="1209"/>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履行方式：按照合同约定提供服务。</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4</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知识产权</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乙方根据本合同约定所完成的成果均为本合同项所属，甲乙双方共同享有全部成果的知识产权。</w:t>
      </w:r>
      <w:r/>
    </w:p>
    <w:p>
      <w:pPr>
        <w:ind w:left="0" w:right="0" w:firstLine="562"/>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5</w:t>
      </w:r>
      <w:r>
        <w:rPr>
          <w:rFonts w:hint="eastAsia" w:ascii="宋体" w:hAnsi="宋体" w:cs="宋体"/>
          <w:b/>
          <w:color w:val="auto"/>
          <w:sz w:val="24"/>
          <w:szCs w:val="24"/>
          <w:highlight w:val="none"/>
          <w:lang w:val="en-US" w:eastAsia="zh-CN" w:bidi="ar-SA"/>
        </w:rPr>
        <w:t xml:space="preserve">.费用与</w:t>
      </w:r>
      <w:r>
        <w:rPr>
          <w:rFonts w:ascii="宋体" w:hAnsi="宋体" w:eastAsia="宋体" w:cs="宋体"/>
          <w:b/>
          <w:color w:val="auto"/>
          <w:sz w:val="24"/>
          <w:szCs w:val="24"/>
          <w:highlight w:val="none"/>
          <w:lang w:val="en-US" w:eastAsia="zh-CN" w:bidi="ar-SA"/>
        </w:rPr>
        <w:t xml:space="preserve">付款</w:t>
      </w:r>
      <w:r>
        <w:rPr>
          <w:rFonts w:hint="eastAsia" w:ascii="宋体" w:hAnsi="宋体" w:eastAsia="宋体" w:cs="宋体"/>
          <w:b/>
          <w:color w:val="auto"/>
          <w:sz w:val="24"/>
          <w:szCs w:val="24"/>
          <w:highlight w:val="none"/>
          <w:lang w:val="en-US" w:eastAsia="zh-CN" w:bidi="ar-SA"/>
        </w:rPr>
        <w:t xml:space="preserve">方式</w:t>
      </w:r>
      <w:r/>
    </w:p>
    <w:p>
      <w:pPr>
        <w:ind w:left="0" w:right="0" w:firstLine="480"/>
        <w:jc w:val="both"/>
        <w:keepLines w:val="0"/>
        <w:keepNext w:val="0"/>
        <w:pageBreakBefore w:val="0"/>
        <w:spacing w:line="360" w:lineRule="auto"/>
        <w:widowControl w:val="off"/>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本合同总金额为人民币大写金额</w:t>
      </w:r>
      <w:r>
        <w:rPr>
          <w:rFonts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元（小写金额：</w:t>
      </w:r>
      <w:r>
        <w:rPr>
          <w:rFonts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元）</w:t>
      </w:r>
      <w:r>
        <w:rPr>
          <w:rFonts w:hint="eastAsia" w:ascii="宋体" w:hAnsi="宋体" w:cs="宋体"/>
          <w:color w:val="auto"/>
          <w:sz w:val="24"/>
          <w:szCs w:val="24"/>
          <w:highlight w:val="none"/>
          <w:lang w:val="en-US" w:eastAsia="zh-CN" w:bidi="ar-SA"/>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本合同金额包括为完成本项目，但不仅限于从基础资料及文件的收集、外出考察调研、方案汇报、组织专家论证、相关部门审查、报批、验收及其相关服务的总费用，包括人工费、管理费、各类方案评审费（含专家劳务费、会议组织费）、利润、税金等所有费用。</w:t>
      </w:r>
      <w:r/>
    </w:p>
    <w:p>
      <w:pPr>
        <w:ind w:left="0" w:right="0" w:firstLine="48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经双方协商一致，预付款选择以下第</w:t>
      </w:r>
      <w:r>
        <w:rPr>
          <w:rFonts w:ascii="宋体" w:hAnsi="宋体" w:eastAsia="宋体" w:cs="宋体"/>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（二）</w:t>
      </w:r>
      <w:r>
        <w:rPr>
          <w:rFonts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种付款方式：</w:t>
      </w:r>
      <w:r/>
    </w:p>
    <w:p>
      <w:pPr>
        <w:ind w:left="0" w:right="0" w:firstLine="560"/>
        <w:jc w:val="both"/>
        <w:keepLines w:val="0"/>
        <w:keepNext w:val="0"/>
        <w:pageBreakBefore w:val="0"/>
        <w:spacing w:line="360" w:lineRule="auto"/>
        <w:widowControl w:val="off"/>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lang w:val="en-US" w:eastAsia="zh-CN" w:bidi="ar-SA"/>
        </w:rPr>
        <w:t xml:space="preserve">（一）付款方式一：提交预付款保函的</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w:t>
      </w:r>
      <w:r>
        <w:rPr>
          <w:rFonts w:hint="eastAsia" w:ascii="宋体" w:hAnsi="宋体" w:cs="宋体"/>
          <w:color w:val="auto"/>
          <w:sz w:val="24"/>
          <w:szCs w:val="24"/>
          <w:highlight w:val="none"/>
          <w:u w:val="single"/>
          <w:lang w:val="en-US" w:eastAsia="zh-CN" w:bidi="ar-SA"/>
        </w:rPr>
        <w:t xml:space="preserve">四</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cs="宋体"/>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作为预付款，在合同签订生效，甲方自收到发票（发票金额为合同总价的</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0%）后1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日内，将资金支付到合同约定的乙方账户；</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w:t>
      </w:r>
      <w:r>
        <w:rPr>
          <w:rFonts w:hint="eastAsia" w:ascii="宋体" w:hAnsi="宋体" w:cs="宋体"/>
          <w:color w:val="auto"/>
          <w:sz w:val="24"/>
          <w:szCs w:val="24"/>
          <w:highlight w:val="none"/>
          <w:u w:val="single"/>
          <w:lang w:val="en-US" w:eastAsia="zh-CN" w:bidi="ar-SA"/>
        </w:rPr>
        <w:t xml:space="preserve">五</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cs="宋体"/>
          <w:color w:val="auto"/>
          <w:sz w:val="24"/>
          <w:szCs w:val="24"/>
          <w:highlight w:val="none"/>
          <w:u w:val="single"/>
          <w:lang w:val="en-US" w:eastAsia="zh-CN" w:bidi="ar-SA"/>
        </w:rPr>
        <w:t xml:space="preserve">5</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，在项目验收通过（服务结束并经验收合格）后，甲方自收到发票（发票金额为合同总价的</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0%）后1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日内，将资金支付到合同约定的乙方账户；</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百分之十(</w:t>
      </w:r>
      <w:r>
        <w:rPr>
          <w:rFonts w:hint="eastAsia" w:ascii="宋体" w:hAnsi="宋体" w:cs="宋体"/>
          <w:color w:val="auto"/>
          <w:sz w:val="24"/>
          <w:szCs w:val="24"/>
          <w:highlight w:val="none"/>
          <w:u w:val="singl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，在项目验收通过（服务结束并经验收合格）一年后,甲方自收到发票（发票金额为合同总价的</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0%）后1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日内，将资金支付到合同约定的乙方账户。</w:t>
      </w:r>
      <w:r/>
    </w:p>
    <w:p>
      <w:pPr>
        <w:ind w:left="0" w:right="0" w:firstLine="56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付款方式</w:t>
      </w: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（不提交预付款保函的）</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w:t>
      </w:r>
      <w:r>
        <w:rPr>
          <w:rFonts w:hint="eastAsia" w:ascii="宋体" w:hAnsi="宋体" w:cs="宋体"/>
          <w:color w:val="auto"/>
          <w:sz w:val="24"/>
          <w:szCs w:val="24"/>
          <w:highlight w:val="none"/>
          <w:u w:val="single"/>
          <w:lang w:val="en-US" w:eastAsia="zh-CN" w:bidi="ar-SA"/>
        </w:rPr>
        <w:t xml:space="preserve">三</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cs="宋体"/>
          <w:color w:val="auto"/>
          <w:sz w:val="24"/>
          <w:szCs w:val="24"/>
          <w:highlight w:val="none"/>
          <w:u w:val="singl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作为预付款，在合同签订生效，甲方自收到发票（发票金额为合同总价的</w:t>
      </w:r>
      <w:r>
        <w:rPr>
          <w:rFonts w:hint="eastAsia" w:ascii="宋体" w:hAnsi="宋体" w:cs="宋体"/>
          <w:color w:val="auto"/>
          <w:sz w:val="24"/>
          <w:szCs w:val="24"/>
          <w:highlight w:val="none"/>
          <w:lang w:val="en-US" w:eastAsia="zh-CN" w:bidi="ar-SA"/>
        </w:rPr>
        <w:t xml:space="preserve">30</w:t>
      </w:r>
      <w:r>
        <w:rPr>
          <w:rFonts w:hint="eastAsia" w:ascii="宋体" w:hAnsi="宋体" w:eastAsia="宋体" w:cs="宋体"/>
          <w:color w:val="auto"/>
          <w:sz w:val="24"/>
          <w:szCs w:val="24"/>
          <w:highlight w:val="none"/>
          <w:lang w:val="en-US" w:eastAsia="zh-CN" w:bidi="ar-SA"/>
        </w:rPr>
        <w:t xml:space="preserve">%）后1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日内，将资金支付到合同约定的乙方账户；</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w:t>
      </w:r>
      <w:r>
        <w:rPr>
          <w:rFonts w:hint="eastAsia" w:ascii="宋体" w:hAnsi="宋体" w:cs="宋体"/>
          <w:color w:val="auto"/>
          <w:sz w:val="24"/>
          <w:szCs w:val="24"/>
          <w:highlight w:val="none"/>
          <w:u w:val="single"/>
          <w:lang w:val="en-US" w:eastAsia="zh-CN" w:bidi="ar-SA"/>
        </w:rPr>
        <w:t xml:space="preserve">六</w:t>
      </w:r>
      <w:r>
        <w:rPr>
          <w:rFonts w:hint="eastAsia" w:ascii="宋体" w:hAnsi="宋体" w:eastAsia="宋体" w:cs="宋体"/>
          <w:color w:val="auto"/>
          <w:sz w:val="24"/>
          <w:szCs w:val="24"/>
          <w:highlight w:val="none"/>
          <w:u w:val="single"/>
          <w:lang w:val="en-US" w:eastAsia="zh-CN" w:bidi="ar-SA"/>
        </w:rPr>
        <w:t xml:space="preserve">十(</w:t>
      </w:r>
      <w:r>
        <w:rPr>
          <w:rFonts w:hint="eastAsia" w:ascii="宋体" w:hAnsi="宋体" w:cs="宋体"/>
          <w:color w:val="auto"/>
          <w:sz w:val="24"/>
          <w:szCs w:val="24"/>
          <w:highlight w:val="none"/>
          <w:u w:val="single"/>
          <w:lang w:val="en-US" w:eastAsia="zh-CN" w:bidi="ar-SA"/>
        </w:rPr>
        <w:t xml:space="preserve">6</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，在项目验收通过（服务结束并经验收合格）后，甲方自收到发票（发票金额为合同总价的</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0%）后1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日内，将资金支付到合同约定的乙方账户；</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合同总价的</w:t>
      </w:r>
      <w:r>
        <w:rPr>
          <w:rFonts w:hint="eastAsia" w:ascii="宋体" w:hAnsi="宋体" w:eastAsia="宋体" w:cs="宋体"/>
          <w:color w:val="auto"/>
          <w:sz w:val="24"/>
          <w:szCs w:val="24"/>
          <w:highlight w:val="none"/>
          <w:u w:val="single"/>
          <w:lang w:val="en-US" w:eastAsia="zh-CN" w:bidi="ar-SA"/>
        </w:rPr>
        <w:t xml:space="preserve">百分之十(</w:t>
      </w:r>
      <w:r>
        <w:rPr>
          <w:rFonts w:hint="eastAsia" w:ascii="宋体" w:hAnsi="宋体" w:cs="宋体"/>
          <w:color w:val="auto"/>
          <w:sz w:val="24"/>
          <w:szCs w:val="24"/>
          <w:highlight w:val="none"/>
          <w:u w:val="singl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0%)即￥    大写：    人民币</w:t>
      </w:r>
      <w:r>
        <w:rPr>
          <w:rFonts w:hint="eastAsia" w:ascii="宋体" w:hAnsi="宋体" w:eastAsia="宋体" w:cs="宋体"/>
          <w:color w:val="auto"/>
          <w:sz w:val="24"/>
          <w:szCs w:val="24"/>
          <w:highlight w:val="none"/>
          <w:lang w:val="en-US" w:eastAsia="zh-CN" w:bidi="ar-SA"/>
        </w:rPr>
        <w:t xml:space="preserve">，在项目验收通过（服务结束并经验收合格）一年后,甲方自收到发票（发票金额为合同总价的</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0%）后1</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日内，</w:t>
      </w:r>
      <w:r/>
    </w:p>
    <w:p>
      <w:pPr>
        <w:ind w:left="0" w:firstLine="480"/>
        <w:keepLines w:val="0"/>
        <w:keepNext w:val="0"/>
        <w:pageBreakBefore w:val="0"/>
        <w:spacing w:line="360" w:lineRule="auto"/>
        <w:rPr>
          <w:rFonts w:hint="eastAsia" w:ascii="宋体" w:hAnsi="宋体" w:cs="Arial"/>
          <w:b w:val="0"/>
          <w:bCs w:val="0"/>
          <w:color w:val="auto"/>
          <w:sz w:val="24"/>
          <w:szCs w:val="24"/>
          <w:highlight w:val="white"/>
        </w:rPr>
      </w:pPr>
      <w:r>
        <w:rPr>
          <w:rFonts w:hint="eastAsia" w:ascii="宋体" w:hAnsi="宋体" w:cs="Arial"/>
          <w:b/>
          <w:bCs/>
          <w:color w:val="auto"/>
          <w:sz w:val="24"/>
          <w:szCs w:val="24"/>
          <w:highlight w:val="none"/>
          <w:lang w:val="en-US" w:eastAsia="en-US" w:bidi="ar-SA"/>
        </w:rPr>
        <w:t xml:space="preserve">注：</w:t>
      </w:r>
      <w:r>
        <w:rPr>
          <w:rFonts w:hint="eastAsia" w:ascii="宋体" w:hAnsi="宋体" w:cs="Arial"/>
          <w:b/>
          <w:bCs/>
          <w:color w:val="auto"/>
          <w:sz w:val="24"/>
          <w:szCs w:val="24"/>
          <w:highlight w:val="white"/>
          <w:lang w:val="en-US" w:eastAsia="en-US" w:bidi="ar-SA"/>
        </w:rPr>
        <w:t xml:space="preserve">在</w:t>
      </w:r>
      <w:r>
        <w:rPr>
          <w:rFonts w:hint="eastAsia" w:ascii="宋体" w:hAnsi="宋体" w:cs="Arial"/>
          <w:b/>
          <w:bCs/>
          <w:color w:val="auto"/>
          <w:sz w:val="24"/>
          <w:szCs w:val="24"/>
          <w:highlight w:val="white"/>
          <w:lang w:val="en-US" w:eastAsia="en-US" w:bidi="ar-SA"/>
        </w:rPr>
        <w:t xml:space="preserve">签订合同时，如乙方明确表示无需预付款的，按照苏财购【2020】52号文件相关规定，在出具相关说明后甲方可不适用前述预付款规定。中标人按期完成采购内容中任务向采购人提交成果并经验收合格后，采购人于本合同签订当年年底前支付合同总额80%的款项；合同保修期限结束后支付合同剩余20%款项；上述付款不计利息。</w:t>
      </w:r>
      <w:r>
        <w:rPr>
          <w:highlight w:val="white"/>
        </w:rPr>
      </w:r>
      <w:r/>
    </w:p>
    <w:p>
      <w:pPr>
        <w:ind w:left="0" w:firstLine="480"/>
        <w:keepLines w:val="0"/>
        <w:keepNext w:val="0"/>
        <w:pageBreakBefore w:val="0"/>
        <w:spacing w:line="360" w:lineRule="auto"/>
        <w:rPr>
          <w:rFonts w:hint="eastAsia" w:ascii="宋体" w:hAnsi="宋体" w:cs="Arial"/>
          <w:b w:val="0"/>
          <w:bCs w:val="0"/>
          <w:color w:val="auto"/>
          <w:sz w:val="24"/>
          <w:szCs w:val="24"/>
          <w:highlight w:val="none"/>
        </w:rPr>
      </w:pPr>
      <w:r>
        <w:rPr>
          <w:rFonts w:hint="eastAsia" w:ascii="宋体" w:hAnsi="宋体" w:cs="Arial"/>
          <w:b w:val="0"/>
          <w:bCs w:val="0"/>
          <w:color w:val="auto"/>
          <w:sz w:val="24"/>
          <w:szCs w:val="24"/>
          <w:highlight w:val="none"/>
          <w:lang w:val="en-US" w:eastAsia="zh-CN" w:bidi="ar-SA"/>
        </w:rPr>
        <w:t xml:space="preserve">每次付款前乙方需提供增值税专用发票，如因乙方提供发票不及时或不合格导致甲方逾期付款的，不视为甲方违约。</w:t>
      </w:r>
      <w:r/>
    </w:p>
    <w:p>
      <w:pPr>
        <w:ind w:left="0" w:firstLine="480"/>
        <w:keepLines w:val="0"/>
        <w:keepNext w:val="0"/>
        <w:pageBreakBefore w:val="0"/>
        <w:spacing w:line="360" w:lineRule="auto"/>
        <w:rPr>
          <w:rFonts w:hint="eastAsia" w:ascii="宋体" w:hAnsi="宋体" w:cs="Arial"/>
          <w:b w:val="0"/>
          <w:bCs w:val="0"/>
          <w:color w:val="auto"/>
          <w:sz w:val="24"/>
          <w:szCs w:val="24"/>
          <w:highlight w:val="none"/>
        </w:rPr>
      </w:pPr>
      <w:r>
        <w:rPr>
          <w:rFonts w:hint="eastAsia" w:ascii="宋体" w:hAnsi="宋体" w:cs="Arial"/>
          <w:b w:val="0"/>
          <w:bCs w:val="0"/>
          <w:color w:val="auto"/>
          <w:sz w:val="24"/>
          <w:szCs w:val="24"/>
          <w:highlight w:val="none"/>
          <w:lang w:val="en-US" w:eastAsia="zh-CN" w:bidi="ar-SA"/>
        </w:rPr>
        <w:t xml:space="preserve">乙方提交预付款担保的期限：预付款支付前。</w:t>
      </w:r>
      <w:r/>
    </w:p>
    <w:p>
      <w:pPr>
        <w:ind w:left="0" w:firstLine="480"/>
        <w:keepLines w:val="0"/>
        <w:keepNext w:val="0"/>
        <w:pageBreakBefore w:val="0"/>
        <w:spacing w:line="360" w:lineRule="auto"/>
        <w:rPr>
          <w:rFonts w:hint="eastAsia" w:ascii="宋体" w:hAnsi="宋体" w:cs="Arial"/>
          <w:b w:val="0"/>
          <w:bCs w:val="0"/>
          <w:color w:val="auto"/>
          <w:sz w:val="24"/>
          <w:szCs w:val="24"/>
          <w:highlight w:val="none"/>
        </w:rPr>
      </w:pPr>
      <w:r>
        <w:rPr>
          <w:rFonts w:hint="eastAsia" w:ascii="宋体" w:hAnsi="宋体" w:cs="Arial"/>
          <w:b w:val="0"/>
          <w:bCs w:val="0"/>
          <w:color w:val="auto"/>
          <w:sz w:val="24"/>
          <w:szCs w:val="24"/>
          <w:highlight w:val="none"/>
          <w:lang w:val="en-US" w:eastAsia="zh-CN" w:bidi="ar-SA"/>
        </w:rPr>
        <w:t xml:space="preserve">预付款担保的形式为：现金或投标人基本账户开户行出具的与工程预付款等额的保函。</w:t>
      </w:r>
      <w:r/>
    </w:p>
    <w:p>
      <w:pPr>
        <w:ind w:left="0" w:firstLine="480"/>
        <w:keepLines w:val="0"/>
        <w:keepNext w:val="0"/>
        <w:pageBreakBefore w:val="0"/>
        <w:spacing w:line="360" w:lineRule="auto"/>
        <w:rPr>
          <w:rFonts w:hint="eastAsia" w:ascii="宋体" w:hAnsi="宋体" w:cs="Arial"/>
          <w:b w:val="0"/>
          <w:bCs w:val="0"/>
          <w:color w:val="auto"/>
          <w:sz w:val="24"/>
          <w:szCs w:val="24"/>
          <w:highlight w:val="none"/>
        </w:rPr>
      </w:pPr>
      <w:r>
        <w:rPr>
          <w:rFonts w:hint="eastAsia" w:ascii="宋体" w:hAnsi="宋体" w:cs="Arial"/>
          <w:b w:val="0"/>
          <w:bCs w:val="0"/>
          <w:color w:val="auto"/>
          <w:sz w:val="24"/>
          <w:szCs w:val="24"/>
          <w:highlight w:val="none"/>
          <w:lang w:val="en-US" w:eastAsia="zh-CN" w:bidi="ar-SA"/>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ind w:left="0" w:right="0" w:firstLine="24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 </w:t>
      </w:r>
      <w:r>
        <w:rPr>
          <w:rFonts w:hint="eastAsia" w:ascii="宋体" w:hAnsi="宋体" w:eastAsia="宋体" w:cs="宋体"/>
          <w:b/>
          <w:color w:val="auto"/>
          <w:sz w:val="24"/>
          <w:szCs w:val="24"/>
          <w:highlight w:val="none"/>
          <w:lang w:val="en-US" w:eastAsia="zh-CN" w:bidi="ar-SA"/>
        </w:rPr>
        <w:t xml:space="preserve">6</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甲乙双方的权利和义务</w:t>
      </w:r>
      <w:r/>
    </w:p>
    <w:p>
      <w:pPr>
        <w:ind w:left="0" w:firstLine="480"/>
        <w:keepLines w:val="0"/>
        <w:keepNext w:val="0"/>
        <w:pageBreakBefore w:val="0"/>
        <w:spacing w:line="360" w:lineRule="auto"/>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ascii="宋体" w:hAnsi="宋体" w:cs="Arial"/>
          <w:color w:val="auto"/>
          <w:sz w:val="24"/>
          <w:szCs w:val="24"/>
          <w:highlight w:val="none"/>
          <w:lang w:val="en-US" w:eastAsia="en-US" w:bidi="ar-SA"/>
        </w:rPr>
        <w:t xml:space="preserve">1乙方应当确保其为履行服务所指派的人员充足和合格，并具有提供服务的必要经验。未经甲方书面同意，乙方不得调整其所指派人员。若甲方书面证明认为乙方所指派人员不合格的，有权要求乙方更换。</w:t>
      </w:r>
      <w:r/>
    </w:p>
    <w:p>
      <w:pPr>
        <w:ind w:left="0" w:firstLine="480"/>
        <w:keepLines w:val="0"/>
        <w:keepNext w:val="0"/>
        <w:pageBreakBefore w:val="0"/>
        <w:spacing w:line="360" w:lineRule="auto"/>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ascii="宋体" w:hAnsi="宋体" w:cs="Arial"/>
          <w:color w:val="auto"/>
          <w:sz w:val="24"/>
          <w:szCs w:val="24"/>
          <w:highlight w:val="none"/>
          <w:lang w:val="en-US" w:eastAsia="en-US" w:bidi="ar-SA"/>
        </w:rPr>
        <w:t xml:space="preserve">2乙方项目人员：乙方项目团队</w:t>
      </w:r>
      <w:r>
        <w:rPr>
          <w:rFonts w:hint="eastAsia" w:ascii="宋体" w:hAnsi="宋体" w:cs="Arial"/>
          <w:color w:val="auto"/>
          <w:sz w:val="24"/>
          <w:szCs w:val="24"/>
          <w:highlight w:val="none"/>
          <w:lang w:val="en-US" w:eastAsia="en-US" w:bidi="ar-SA"/>
        </w:rPr>
        <w:t xml:space="preserve">根据甲方要求</w:t>
      </w:r>
      <w:r>
        <w:rPr>
          <w:rFonts w:ascii="宋体" w:hAnsi="宋体" w:cs="Arial"/>
          <w:color w:val="auto"/>
          <w:sz w:val="24"/>
          <w:szCs w:val="24"/>
          <w:highlight w:val="none"/>
          <w:lang w:val="en-US" w:eastAsia="en-US" w:bidi="ar-SA"/>
        </w:rPr>
        <w:t xml:space="preserve">安排人员，项目团队人员变更需要提前以书面形式向甲方提出申请，得到甲方许可后方可进行。</w:t>
      </w:r>
      <w:r/>
    </w:p>
    <w:p>
      <w:pPr>
        <w:ind w:left="0" w:firstLine="480"/>
        <w:keepLines w:val="0"/>
        <w:keepNext w:val="0"/>
        <w:pageBreakBefore w:val="0"/>
        <w:spacing w:line="360" w:lineRule="auto"/>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ascii="宋体" w:hAnsi="宋体" w:cs="Arial"/>
          <w:color w:val="auto"/>
          <w:sz w:val="24"/>
          <w:szCs w:val="24"/>
          <w:highlight w:val="none"/>
          <w:lang w:val="en-US" w:eastAsia="en-US" w:bidi="ar-SA"/>
        </w:rPr>
        <w:t xml:space="preserve">3乙方应当根据指定一名联系人，授权其代表乙方处理与本合同中的服务有关的各事项。</w:t>
      </w:r>
      <w:r/>
    </w:p>
    <w:p>
      <w:pPr>
        <w:ind w:left="0" w:firstLine="480"/>
        <w:keepLines w:val="0"/>
        <w:keepNext w:val="0"/>
        <w:pageBreakBefore w:val="0"/>
        <w:spacing w:line="360" w:lineRule="auto"/>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hint="eastAsia" w:ascii="宋体" w:hAnsi="宋体" w:cs="Arial"/>
          <w:color w:val="auto"/>
          <w:sz w:val="24"/>
          <w:szCs w:val="24"/>
          <w:highlight w:val="none"/>
          <w:lang w:val="en-US" w:eastAsia="en-US" w:bidi="ar-SA"/>
        </w:rPr>
        <w:t xml:space="preserve">4</w:t>
      </w:r>
      <w:r>
        <w:rPr>
          <w:rFonts w:ascii="宋体" w:hAnsi="宋体" w:cs="Arial"/>
          <w:color w:val="auto"/>
          <w:sz w:val="24"/>
          <w:szCs w:val="24"/>
          <w:highlight w:val="none"/>
          <w:lang w:val="en-US" w:eastAsia="en-US" w:bidi="ar-SA"/>
        </w:rPr>
        <w:t xml:space="preserve">甲方可针对乙方在项目实施过程中的问题发出项目整改通知单，乙方应在收到整改通知单后2个工作日内向甲方以书面方式提交整改计划，并在甲方规定的期限内整改完毕。</w:t>
      </w:r>
      <w:r/>
    </w:p>
    <w:p>
      <w:pPr>
        <w:ind w:left="0" w:firstLine="480"/>
        <w:keepLines w:val="0"/>
        <w:keepNext w:val="0"/>
        <w:pageBreakBefore w:val="0"/>
        <w:spacing w:line="360" w:lineRule="auto"/>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hint="eastAsia" w:ascii="宋体" w:hAnsi="宋体" w:cs="Arial"/>
          <w:color w:val="auto"/>
          <w:sz w:val="24"/>
          <w:szCs w:val="24"/>
          <w:highlight w:val="none"/>
          <w:lang w:val="en-US" w:eastAsia="en-US" w:bidi="ar-SA"/>
        </w:rPr>
        <w:t xml:space="preserve">5</w:t>
      </w:r>
      <w:r>
        <w:rPr>
          <w:rFonts w:ascii="宋体" w:hAnsi="宋体" w:cs="Arial"/>
          <w:color w:val="auto"/>
          <w:sz w:val="24"/>
          <w:szCs w:val="24"/>
          <w:highlight w:val="none"/>
          <w:lang w:val="en-US" w:eastAsia="en-US" w:bidi="ar-SA"/>
        </w:rPr>
        <w:t xml:space="preserve">甲方有权监督本项目进度，并指派代表对于乙方按照合同约定所完成工作内容予以阶段确认。</w:t>
      </w:r>
      <w:r/>
    </w:p>
    <w:p>
      <w:pPr>
        <w:ind w:left="0" w:firstLine="480"/>
        <w:keepLines w:val="0"/>
        <w:keepNext w:val="0"/>
        <w:pageBreakBefore w:val="0"/>
        <w:spacing w:line="360" w:lineRule="auto"/>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hint="eastAsia" w:ascii="宋体" w:hAnsi="宋体" w:cs="Arial"/>
          <w:color w:val="auto"/>
          <w:sz w:val="24"/>
          <w:szCs w:val="24"/>
          <w:highlight w:val="none"/>
          <w:lang w:val="en-US" w:eastAsia="en-US" w:bidi="ar-SA"/>
        </w:rPr>
        <w:t xml:space="preserve">6</w:t>
      </w:r>
      <w:r>
        <w:rPr>
          <w:rFonts w:ascii="宋体" w:hAnsi="宋体" w:cs="Arial"/>
          <w:color w:val="auto"/>
          <w:sz w:val="24"/>
          <w:szCs w:val="24"/>
          <w:highlight w:val="none"/>
          <w:lang w:val="en-US" w:eastAsia="en-US" w:bidi="ar-SA"/>
        </w:rPr>
        <w:t xml:space="preserve">甲方有义务按时组织验收交付。</w:t>
      </w:r>
      <w:r/>
    </w:p>
    <w:p>
      <w:pPr>
        <w:ind w:left="0" w:firstLine="480"/>
        <w:keepLines w:val="0"/>
        <w:keepNext w:val="0"/>
        <w:pageBreakBefore w:val="0"/>
        <w:spacing w:line="360" w:lineRule="auto"/>
        <w:rPr>
          <w:rFonts w:ascii="宋体" w:hAnsi="宋体" w:cs="Arial"/>
          <w:color w:val="auto"/>
          <w:sz w:val="24"/>
          <w:szCs w:val="24"/>
          <w:highlight w:val="none"/>
        </w:rPr>
      </w:pPr>
      <w:r>
        <w:rPr>
          <w:rFonts w:hint="eastAsia" w:ascii="宋体" w:hAnsi="宋体" w:cs="Arial"/>
          <w:color w:val="auto"/>
          <w:sz w:val="24"/>
          <w:szCs w:val="24"/>
          <w:highlight w:val="none"/>
          <w:lang w:val="en-US" w:eastAsia="zh-CN" w:bidi="ar-SA"/>
        </w:rPr>
        <w:t xml:space="preserve">6.</w:t>
      </w:r>
      <w:r>
        <w:rPr>
          <w:rFonts w:hint="eastAsia" w:ascii="宋体" w:hAnsi="宋体" w:cs="Arial"/>
          <w:color w:val="auto"/>
          <w:sz w:val="24"/>
          <w:szCs w:val="24"/>
          <w:highlight w:val="none"/>
          <w:lang w:val="en-US" w:eastAsia="en-US" w:bidi="ar-SA"/>
        </w:rPr>
        <w:t xml:space="preserve">7</w:t>
      </w:r>
      <w:r>
        <w:rPr>
          <w:rFonts w:ascii="宋体" w:hAnsi="宋体" w:cs="Arial"/>
          <w:color w:val="auto"/>
          <w:sz w:val="24"/>
          <w:szCs w:val="24"/>
          <w:highlight w:val="none"/>
          <w:lang w:val="en-US" w:eastAsia="en-US" w:bidi="ar-SA"/>
        </w:rPr>
        <w:t xml:space="preserve">甲方应按本合同第三条的约定向乙方支付款项。</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7</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甲乙双方确定</w:t>
      </w:r>
      <w:r/>
    </w:p>
    <w:p>
      <w:pPr>
        <w:ind w:left="0" w:right="0" w:firstLine="562"/>
        <w:jc w:val="both"/>
        <w:keepLines w:val="0"/>
        <w:keepNext w:val="0"/>
        <w:pageBreakBefore w:val="0"/>
        <w:spacing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7</w:t>
      </w:r>
      <w:r>
        <w:rPr>
          <w:rFonts w:ascii="宋体" w:hAnsi="宋体" w:eastAsia="宋体" w:cs="宋体"/>
          <w:b/>
          <w:color w:val="auto"/>
          <w:sz w:val="24"/>
          <w:szCs w:val="24"/>
          <w:highlight w:val="none"/>
          <w:lang w:val="en-US" w:eastAsia="zh-CN" w:bidi="ar-SA"/>
        </w:rPr>
        <w:t xml:space="preserve">.1 </w:t>
      </w:r>
      <w:r>
        <w:rPr>
          <w:rFonts w:ascii="宋体" w:hAnsi="宋体" w:eastAsia="宋体" w:cs="宋体"/>
          <w:color w:val="auto"/>
          <w:sz w:val="24"/>
          <w:szCs w:val="24"/>
          <w:highlight w:val="none"/>
          <w:lang w:val="en-US" w:eastAsia="zh-CN" w:bidi="ar-SA"/>
        </w:rPr>
        <w:t xml:space="preserve">在本合同有效期内，甲方利用乙方提交的规划成果所完成的新的技术成果，归甲方所有。</w:t>
      </w:r>
      <w:r/>
    </w:p>
    <w:p>
      <w:pPr>
        <w:ind w:left="0" w:firstLine="482"/>
        <w:keepLines w:val="0"/>
        <w:keepNext w:val="0"/>
        <w:pageBreakBefore w:val="0"/>
        <w:spacing w:line="360" w:lineRule="auto"/>
        <w:rPr>
          <w:rFonts w:ascii="宋体" w:hAnsi="宋体" w:eastAsia="宋体" w:cs="Arial"/>
          <w:color w:val="auto"/>
          <w:sz w:val="24"/>
          <w:szCs w:val="24"/>
          <w:highlight w:val="none"/>
        </w:rPr>
      </w:pPr>
      <w:r>
        <w:rPr>
          <w:rFonts w:hint="eastAsia" w:ascii="宋体" w:hAnsi="宋体" w:cs="Arial"/>
          <w:b/>
          <w:bCs/>
          <w:color w:val="auto"/>
          <w:sz w:val="24"/>
          <w:szCs w:val="24"/>
          <w:highlight w:val="none"/>
          <w:lang w:val="en-US" w:eastAsia="zh-CN" w:bidi="ar-SA"/>
        </w:rPr>
        <w:t xml:space="preserve">7.1.1成果要求</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提交的成果包括数据库成果、文字成果、图件成果、表格、视频等成果。 </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（1）数据库成果</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农村土地承包经营权延包数据库、测量数据、元数据、调查成果的电子数据。</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（2）图件簿册成果</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1)工作底图；</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2)调查草图；</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3)地块分布图；</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4)地籍图等图件；</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5)农村土地承包台账；</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6)二轮延包合同；</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7)发包方调查表；</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8)承包方调查表；</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9)承包地块调查表；</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10)农村土地承包经营权调查信息公示表；</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11)农村土地承包经营权公示结果归户表等簿册。</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（3）文字报告成果</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1）睢宁县第二轮土地承包到期后再延长30年试点第三方服务项目实施方案；</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2）技术设计书；</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3）纠纷调解协议书；</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4）检查报告；</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5）申请书；</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6）委托书；</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7）决议及会议记录等材料；</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8）睢宁县第二轮土地承包到期后再延长30年试点第三方服务项目技术方案；</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9）睢宁县第二轮土地承包到期后再延长30年试点第三方服务项目工作报告；</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10）睢宁县第二轮土地承包到期后再延长30年试点第三方服务项目技术总结报告。</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（4）视频成果</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二轮延包实施过程中的重要细节，成员会议、成员委托等，形成一村一档，以镇为单位形成存储介质。</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（5）其他成果</w:t>
      </w:r>
      <w:r/>
    </w:p>
    <w:p>
      <w:pPr>
        <w:ind w:left="0" w:right="0" w:firstLine="562"/>
        <w:jc w:val="both"/>
        <w:keepLines w:val="0"/>
        <w:keepNext w:val="0"/>
        <w:pageBreakBefore w:val="0"/>
        <w:spacing w:line="360" w:lineRule="auto"/>
        <w:widowControl w:val="off"/>
        <w:rPr>
          <w:rFonts w:hint="eastAsia" w:ascii="宋体" w:hAnsi="宋体" w:cs="Arial"/>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Arial"/>
          <w:color w:val="auto"/>
          <w:sz w:val="24"/>
          <w:szCs w:val="24"/>
          <w:highlight w:val="none"/>
          <w:lang w:val="en-US" w:eastAsia="zh-CN" w:bidi="ar-SA"/>
        </w:rPr>
        <w:t xml:space="preserve">指界通知书存根、法定代表人身份证明书、指界委托书、地籍调查结果公示、政府确认文件、不动产登记委托书、不动产登记核查公告等，纸质1份，电子扫描件各1份，电子版，采用jpg或tif格式。</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7</w:t>
      </w:r>
      <w:r>
        <w:rPr>
          <w:rFonts w:ascii="宋体" w:hAnsi="宋体" w:eastAsia="宋体" w:cs="宋体"/>
          <w:b/>
          <w:color w:val="auto"/>
          <w:sz w:val="24"/>
          <w:szCs w:val="24"/>
          <w:highlight w:val="none"/>
          <w:lang w:val="en-US" w:eastAsia="zh-CN" w:bidi="ar-SA"/>
        </w:rPr>
        <w:t xml:space="preserve">.2 </w:t>
      </w:r>
      <w:r>
        <w:rPr>
          <w:rFonts w:ascii="宋体" w:hAnsi="宋体" w:eastAsia="宋体" w:cs="宋体"/>
          <w:color w:val="auto"/>
          <w:sz w:val="24"/>
          <w:szCs w:val="24"/>
          <w:highlight w:val="none"/>
          <w:lang w:val="en-US" w:eastAsia="zh-CN" w:bidi="ar-SA"/>
        </w:rPr>
        <w:t xml:space="preserve">在本合同有效期内，乙方利用甲方提供的技术资料和工作条件所完成的新的技术成果，归甲方所有。</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8</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甲乙双方违约责任</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8</w:t>
      </w:r>
      <w:r>
        <w:rPr>
          <w:rFonts w:ascii="宋体" w:hAnsi="宋体" w:eastAsia="宋体" w:cs="宋体"/>
          <w:b/>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乙方未按时提交项目成果，每迟延一天，向甲方支付合同总价的万分之五的滞纳金。逾期累计超过30天，甲方有权解除合同，乙方应向甲方退回已收取的全部款项。如因此造成甲方损失的，乙方应承担赔偿责任。</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8</w:t>
      </w:r>
      <w:r>
        <w:rPr>
          <w:rFonts w:ascii="宋体" w:hAnsi="宋体" w:eastAsia="宋体" w:cs="宋体"/>
          <w:b/>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违反本合同其他条款，违约方应承担因此给守约方造成的全部损失并以本合同总金额为限。</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9</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保密</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9</w:t>
      </w:r>
      <w:r>
        <w:rPr>
          <w:rFonts w:ascii="宋体" w:hAnsi="宋体" w:eastAsia="宋体" w:cs="宋体"/>
          <w:b/>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乙方获取甲方涉密内容的仅可将该涉密内容用于履行其在本合同项下的义务，且只能由相关的工程技术人员使用。获取甲方涉密内容的应当采取适当有效的方式保护所获取的涉密内容，不得未经授权使用、传播或公开涉密内容。除非有甲方的书面许可，或该信息已被拥有方认为不再是涉密内容，或已在社会上公开，该涉密内容应当在年内不得对外披露。</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9</w:t>
      </w:r>
      <w:r>
        <w:rPr>
          <w:rFonts w:ascii="宋体" w:hAnsi="宋体" w:eastAsia="宋体" w:cs="宋体"/>
          <w:b/>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乙方应在本合同后附签字或盖章的保密协议。</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bidi="ar-SA"/>
        </w:rPr>
        <w:t xml:space="preserve">9</w:t>
      </w:r>
      <w:r>
        <w:rPr>
          <w:rFonts w:ascii="宋体" w:hAnsi="宋体" w:eastAsia="宋体" w:cs="宋体"/>
          <w:b/>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信息安全</w:t>
      </w:r>
      <w:r/>
    </w:p>
    <w:p>
      <w:pPr>
        <w:ind w:left="0" w:right="0" w:firstLine="560"/>
        <w:jc w:val="both"/>
        <w:keepLines w:val="0"/>
        <w:keepNext w:val="0"/>
        <w:pageBreakBefore w:val="0"/>
        <w:spacing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甲乙双方同意采取相应的安全措施以遵守和履行上述条款所规定的义务。经一方的合理请求，该方可以检查对方所采取的安全措施是否符合上述规定的义务。</w:t>
      </w:r>
      <w:r/>
    </w:p>
    <w:p>
      <w:pPr>
        <w:numPr>
          <w:ilvl w:val="0"/>
          <w:numId w:val="0"/>
        </w:numPr>
        <w:ind w:left="0" w:right="0" w:firstLine="562"/>
        <w:jc w:val="both"/>
        <w:keepLines w:val="0"/>
        <w:keepNext w:val="0"/>
        <w:pageBreakBefore w:val="0"/>
        <w:spacing w:line="360" w:lineRule="auto"/>
        <w:widowControl w:val="off"/>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szCs w:val="24"/>
          <w:highlight w:val="none"/>
          <w:lang w:val="en-US" w:eastAsia="zh-CN" w:bidi="ar-SA"/>
        </w:rPr>
        <w:t xml:space="preserve">10</w:t>
      </w:r>
      <w:r>
        <w:rPr>
          <w:rFonts w:hint="eastAsia" w:ascii="宋体" w:hAnsi="宋体" w:cs="宋体"/>
          <w:b/>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履约</w:t>
      </w:r>
      <w:r>
        <w:rPr>
          <w:rFonts w:ascii="宋体" w:hAnsi="宋体" w:eastAsia="宋体" w:cs="宋体"/>
          <w:b/>
          <w:color w:val="auto"/>
          <w:sz w:val="24"/>
          <w:szCs w:val="24"/>
          <w:highlight w:val="none"/>
          <w:lang w:val="en-US" w:eastAsia="zh-CN" w:bidi="ar-SA"/>
        </w:rPr>
        <w:t xml:space="preserve">验收</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10.1验收主体：由采购人组织专家评审（或与甲方约定的符合当地管理要求的）相关部门进行验收。</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10.2</w:t>
      </w:r>
      <w:r>
        <w:rPr>
          <w:rFonts w:hint="eastAsia"/>
          <w:color w:val="auto"/>
          <w:sz w:val="24"/>
          <w:szCs w:val="24"/>
          <w:highlight w:val="none"/>
          <w:lang w:val="en-US" w:eastAsia="zh-CN" w:bidi="ar-SA"/>
        </w:rPr>
        <w:t xml:space="preserve"> </w:t>
      </w:r>
      <w:r>
        <w:rPr>
          <w:rFonts w:hint="eastAsia" w:ascii="Times New Roman" w:hAnsi="Times New Roman"/>
          <w:color w:val="auto"/>
          <w:sz w:val="24"/>
          <w:szCs w:val="24"/>
          <w:highlight w:val="none"/>
          <w:lang w:val="en-US" w:eastAsia="zh-CN" w:bidi="ar-SA"/>
        </w:rPr>
        <w:t xml:space="preserve">验收标准：项目符合国家、行业、地方相关规定，通过项目验收，并满足采购人要求。</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10.2</w:t>
      </w:r>
      <w:r>
        <w:rPr>
          <w:rFonts w:hint="eastAsia"/>
          <w:color w:val="auto"/>
          <w:sz w:val="24"/>
          <w:szCs w:val="24"/>
          <w:highlight w:val="none"/>
          <w:lang w:val="en-US" w:eastAsia="zh-CN" w:bidi="ar-SA"/>
        </w:rPr>
        <w:t xml:space="preserve">.</w:t>
      </w:r>
      <w:r>
        <w:rPr>
          <w:rFonts w:hint="eastAsia" w:ascii="Times New Roman" w:hAnsi="Times New Roman"/>
          <w:color w:val="auto"/>
          <w:sz w:val="24"/>
          <w:szCs w:val="24"/>
          <w:highlight w:val="none"/>
          <w:lang w:val="en-US" w:eastAsia="zh-CN" w:bidi="ar-SA"/>
        </w:rPr>
        <w:t xml:space="preserve">1</w:t>
      </w:r>
      <w:r>
        <w:rPr>
          <w:rFonts w:hint="eastAsia"/>
          <w:color w:val="auto"/>
          <w:sz w:val="24"/>
          <w:szCs w:val="24"/>
          <w:highlight w:val="none"/>
          <w:lang w:val="en-US" w:eastAsia="zh-CN" w:bidi="ar-SA"/>
        </w:rPr>
        <w:t xml:space="preserve"> </w:t>
      </w:r>
      <w:r>
        <w:rPr>
          <w:rFonts w:hint="eastAsia" w:ascii="Times New Roman" w:hAnsi="Times New Roman"/>
          <w:color w:val="auto"/>
          <w:sz w:val="24"/>
          <w:szCs w:val="24"/>
          <w:highlight w:val="none"/>
          <w:lang w:val="en-US" w:eastAsia="zh-CN" w:bidi="ar-SA"/>
        </w:rPr>
        <w:t xml:space="preserve">文字类成果需通过采购人（或监理单位）组织的评审，并出具验收单；</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10.2</w:t>
      </w:r>
      <w:r>
        <w:rPr>
          <w:rFonts w:hint="eastAsia" w:ascii="Times New Roman" w:eastAsia="宋体"/>
          <w:color w:val="auto"/>
          <w:sz w:val="24"/>
          <w:szCs w:val="24"/>
          <w:highlight w:val="none"/>
          <w:lang w:val="en-US" w:eastAsia="zh-CN" w:bidi="ar-SA"/>
        </w:rPr>
        <w:t xml:space="preserve">.</w:t>
      </w:r>
      <w:r>
        <w:rPr>
          <w:rFonts w:hint="eastAsia" w:ascii="Times New Roman" w:hAnsi="Times New Roman"/>
          <w:color w:val="auto"/>
          <w:sz w:val="24"/>
          <w:szCs w:val="24"/>
          <w:highlight w:val="none"/>
          <w:lang w:val="en-US" w:eastAsia="zh-CN" w:bidi="ar-SA"/>
        </w:rPr>
        <w:t xml:space="preserve">2</w:t>
      </w:r>
      <w:r>
        <w:rPr>
          <w:rFonts w:hint="eastAsia"/>
          <w:color w:val="auto"/>
          <w:sz w:val="24"/>
          <w:szCs w:val="24"/>
          <w:highlight w:val="none"/>
          <w:lang w:val="en-US" w:eastAsia="zh-CN" w:bidi="ar-SA"/>
        </w:rPr>
        <w:t xml:space="preserve"> </w:t>
      </w:r>
      <w:r>
        <w:rPr>
          <w:rFonts w:hint="eastAsia" w:ascii="Times New Roman" w:hAnsi="Times New Roman"/>
          <w:color w:val="auto"/>
          <w:sz w:val="24"/>
          <w:szCs w:val="24"/>
          <w:highlight w:val="none"/>
          <w:lang w:val="en-US" w:eastAsia="zh-CN" w:bidi="ar-SA"/>
        </w:rPr>
        <w:t xml:space="preserve">数据类成果需满足规程规范，通过技术核查，满足质量控制标准，达到数据汇交标准；</w:t>
      </w:r>
      <w:r/>
    </w:p>
    <w:p>
      <w:pPr>
        <w:ind w:left="0" w:right="0" w:firstLine="562"/>
        <w:jc w:val="both"/>
        <w:keepLines w:val="0"/>
        <w:keepNext w:val="0"/>
        <w:pageBreakBefore w:val="0"/>
        <w:spacing w:line="360" w:lineRule="auto"/>
        <w:widowControl w:val="off"/>
        <w:rPr>
          <w:rFonts w:hint="eastAsia" w:ascii="Times New Roman" w:hAnsi="Times New Roman"/>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
          <w:bCs/>
          <w:color w:val="auto"/>
          <w:sz w:val="24"/>
          <w:szCs w:val="24"/>
          <w:highlight w:val="none"/>
          <w:lang w:val="en-US" w:eastAsia="zh-CN" w:bidi="ar-SA"/>
        </w:rPr>
        <w:t xml:space="preserve">10.2</w:t>
      </w:r>
      <w:r>
        <w:rPr>
          <w:rFonts w:hint="eastAsia" w:ascii="Times New Roman" w:eastAsia="宋体"/>
          <w:b/>
          <w:bCs/>
          <w:color w:val="auto"/>
          <w:sz w:val="24"/>
          <w:szCs w:val="24"/>
          <w:highlight w:val="none"/>
          <w:lang w:val="en-US" w:eastAsia="zh-CN" w:bidi="ar-SA"/>
        </w:rPr>
        <w:t xml:space="preserve">.</w:t>
      </w:r>
      <w:r>
        <w:rPr>
          <w:rFonts w:hint="eastAsia" w:ascii="Times New Roman" w:hAnsi="Times New Roman"/>
          <w:b/>
          <w:bCs/>
          <w:color w:val="auto"/>
          <w:sz w:val="24"/>
          <w:szCs w:val="24"/>
          <w:highlight w:val="none"/>
          <w:lang w:val="en-US" w:eastAsia="zh-CN" w:bidi="ar-SA"/>
        </w:rPr>
        <w:t xml:space="preserve">3</w:t>
      </w:r>
      <w:r>
        <w:rPr>
          <w:rFonts w:hint="eastAsia"/>
          <w:b/>
          <w:bCs/>
          <w:color w:val="auto"/>
          <w:sz w:val="24"/>
          <w:szCs w:val="24"/>
          <w:highlight w:val="none"/>
          <w:lang w:val="en-US" w:eastAsia="zh-CN" w:bidi="ar-SA"/>
        </w:rPr>
        <w:t xml:space="preserve"> </w:t>
      </w:r>
      <w:r>
        <w:rPr>
          <w:rFonts w:hint="eastAsia" w:ascii="Times New Roman" w:hAnsi="Times New Roman"/>
          <w:b/>
          <w:bCs/>
          <w:color w:val="auto"/>
          <w:sz w:val="24"/>
          <w:szCs w:val="24"/>
          <w:highlight w:val="none"/>
          <w:lang w:val="en-US" w:eastAsia="zh-CN" w:bidi="ar-SA"/>
        </w:rPr>
        <w:t xml:space="preserve">项目通过验收</w:t>
      </w:r>
      <w:r>
        <w:rPr>
          <w:rFonts w:hint="eastAsia" w:ascii="Times New Roman" w:hAnsi="Times New Roman"/>
          <w:b/>
          <w:bCs/>
          <w:color w:val="auto"/>
          <w:sz w:val="24"/>
          <w:szCs w:val="24"/>
          <w:highlight w:val="white"/>
          <w:lang w:val="en-US" w:eastAsia="zh-CN" w:bidi="ar-SA"/>
        </w:rPr>
        <w:t xml:space="preserve">后，中标人须为本项目提供</w:t>
      </w:r>
      <w:r>
        <w:rPr>
          <w:rFonts w:hint="eastAsia"/>
          <w:b/>
          <w:bCs/>
          <w:color w:val="auto"/>
          <w:sz w:val="24"/>
          <w:szCs w:val="24"/>
          <w:highlight w:val="white"/>
          <w:lang w:val="en-US" w:eastAsia="zh-CN" w:bidi="ar-SA"/>
        </w:rPr>
        <w:t xml:space="preserve">2</w:t>
      </w:r>
      <w:r>
        <w:rPr>
          <w:rFonts w:hint="eastAsia" w:ascii="Times New Roman" w:hAnsi="Times New Roman"/>
          <w:b/>
          <w:bCs/>
          <w:color w:val="auto"/>
          <w:sz w:val="24"/>
          <w:szCs w:val="24"/>
          <w:highlight w:val="white"/>
          <w:lang w:val="en-US" w:eastAsia="zh-CN" w:bidi="ar-SA"/>
        </w:rPr>
        <w:t xml:space="preserve">年免费维保。</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10.2</w:t>
      </w:r>
      <w:r>
        <w:rPr>
          <w:rFonts w:hint="eastAsia" w:ascii="Times New Roman" w:eastAsia="宋体"/>
          <w:color w:val="auto"/>
          <w:sz w:val="24"/>
          <w:szCs w:val="24"/>
          <w:highlight w:val="none"/>
          <w:lang w:val="en-US" w:eastAsia="zh-CN" w:bidi="ar-SA"/>
        </w:rPr>
        <w:t xml:space="preserve">.</w:t>
      </w:r>
      <w:r>
        <w:rPr>
          <w:rFonts w:hint="eastAsia" w:ascii="Times New Roman" w:hAnsi="Times New Roman"/>
          <w:color w:val="auto"/>
          <w:sz w:val="24"/>
          <w:szCs w:val="24"/>
          <w:highlight w:val="none"/>
          <w:lang w:val="en-US" w:eastAsia="zh-CN" w:bidi="ar-SA"/>
        </w:rPr>
        <w:t xml:space="preserve">4</w:t>
      </w:r>
      <w:r>
        <w:rPr>
          <w:rFonts w:hint="eastAsia"/>
          <w:color w:val="auto"/>
          <w:sz w:val="24"/>
          <w:szCs w:val="24"/>
          <w:highlight w:val="none"/>
          <w:lang w:val="en-US" w:eastAsia="zh-CN" w:bidi="ar-SA"/>
        </w:rPr>
        <w:t xml:space="preserve"> </w:t>
      </w:r>
      <w:r>
        <w:rPr>
          <w:rFonts w:hint="eastAsia" w:ascii="Times New Roman" w:hAnsi="Times New Roman"/>
          <w:color w:val="auto"/>
          <w:sz w:val="24"/>
          <w:szCs w:val="24"/>
          <w:highlight w:val="none"/>
          <w:lang w:val="en-US" w:eastAsia="zh-CN" w:bidi="ar-SA"/>
        </w:rPr>
        <w:t xml:space="preserve">投标人应按照采购内容，规划设计合理可行的售后服务方案，售后服务方案包括售后服务承诺、售后服务内容、响应时间、响应方式等内容。</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10.3验收方法：由甲方组织相关部门对乙方提交的规划成果进行①阶段成果验收、②最终成果验收评审，由乙方承担评审时所发生的费用。</w:t>
      </w:r>
      <w:r/>
    </w:p>
    <w:p>
      <w:pPr>
        <w:ind w:left="0" w:right="0" w:firstLine="562"/>
        <w:jc w:val="both"/>
        <w:keepLines w:val="0"/>
        <w:keepNext w:val="0"/>
        <w:pageBreakBefore w:val="0"/>
        <w:spacing w:line="360" w:lineRule="auto"/>
        <w:widowControl w:val="off"/>
        <w:rPr>
          <w:rFonts w:hint="eastAsia" w:ascii="Times New Roman" w:hAnsi="Times New Roman"/>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b/>
          <w:bCs/>
          <w:color w:val="auto"/>
          <w:sz w:val="24"/>
          <w:szCs w:val="24"/>
          <w:highlight w:val="none"/>
          <w:lang w:val="en-US" w:eastAsia="zh-CN" w:bidi="ar-SA"/>
        </w:rPr>
        <w:t xml:space="preserve">10.4</w:t>
      </w:r>
      <w:r>
        <w:rPr>
          <w:rFonts w:hint="eastAsia"/>
          <w:b/>
          <w:bCs/>
          <w:color w:val="auto"/>
          <w:sz w:val="24"/>
          <w:szCs w:val="24"/>
          <w:highlight w:val="none"/>
          <w:lang w:val="en-US" w:eastAsia="zh-CN" w:bidi="ar-SA"/>
        </w:rPr>
        <w:t xml:space="preserve">项目成果汇交的时间</w:t>
      </w:r>
      <w:r>
        <w:rPr>
          <w:rFonts w:hint="eastAsia" w:ascii="Times New Roman" w:hAnsi="Times New Roman"/>
          <w:b/>
          <w:bCs/>
          <w:color w:val="auto"/>
          <w:sz w:val="24"/>
          <w:szCs w:val="24"/>
          <w:highlight w:val="white"/>
          <w:lang w:val="en-US" w:eastAsia="zh-CN" w:bidi="ar-SA"/>
        </w:rPr>
        <w:t xml:space="preserve">：202</w:t>
      </w:r>
      <w:r>
        <w:rPr>
          <w:rFonts w:hint="eastAsia"/>
          <w:b/>
          <w:bCs/>
          <w:color w:val="auto"/>
          <w:sz w:val="24"/>
          <w:szCs w:val="24"/>
          <w:highlight w:val="white"/>
          <w:lang w:val="en-US" w:eastAsia="zh-CN" w:bidi="ar-SA"/>
        </w:rPr>
        <w:t xml:space="preserve">7</w:t>
      </w:r>
      <w:r>
        <w:rPr>
          <w:rFonts w:hint="eastAsia" w:ascii="Times New Roman" w:hAnsi="Times New Roman"/>
          <w:b/>
          <w:bCs/>
          <w:color w:val="auto"/>
          <w:sz w:val="24"/>
          <w:szCs w:val="24"/>
          <w:highlight w:val="white"/>
          <w:lang w:val="en-US" w:eastAsia="zh-CN" w:bidi="ar-SA"/>
        </w:rPr>
        <w:t xml:space="preserve">年</w:t>
      </w:r>
      <w:r>
        <w:rPr>
          <w:rFonts w:hint="eastAsia"/>
          <w:b/>
          <w:bCs/>
          <w:color w:val="auto"/>
          <w:sz w:val="24"/>
          <w:szCs w:val="24"/>
          <w:highlight w:val="white"/>
          <w:lang w:val="en-US" w:eastAsia="zh-CN" w:bidi="ar-SA"/>
        </w:rPr>
        <w:t xml:space="preserve">5</w:t>
      </w:r>
      <w:r>
        <w:rPr>
          <w:rFonts w:hint="eastAsia" w:ascii="Times New Roman" w:hAnsi="Times New Roman"/>
          <w:b/>
          <w:bCs/>
          <w:color w:val="auto"/>
          <w:sz w:val="24"/>
          <w:szCs w:val="24"/>
          <w:highlight w:val="white"/>
          <w:lang w:val="en-US" w:eastAsia="zh-CN" w:bidi="ar-SA"/>
        </w:rPr>
        <w:t xml:space="preserve">月</w:t>
      </w:r>
      <w:r>
        <w:rPr>
          <w:rFonts w:hint="eastAsia"/>
          <w:b/>
          <w:bCs/>
          <w:color w:val="auto"/>
          <w:sz w:val="24"/>
          <w:szCs w:val="24"/>
          <w:highlight w:val="white"/>
          <w:lang w:val="en-US" w:eastAsia="zh-CN" w:bidi="ar-SA"/>
        </w:rPr>
        <w:t xml:space="preserve">30</w:t>
      </w:r>
      <w:r>
        <w:rPr>
          <w:rFonts w:hint="eastAsia" w:ascii="Times New Roman" w:hAnsi="Times New Roman"/>
          <w:b/>
          <w:bCs/>
          <w:color w:val="auto"/>
          <w:sz w:val="24"/>
          <w:szCs w:val="24"/>
          <w:highlight w:val="white"/>
          <w:lang w:val="en-US" w:eastAsia="zh-CN" w:bidi="ar-SA"/>
        </w:rPr>
        <w:t xml:space="preserve">日</w:t>
      </w:r>
      <w:r>
        <w:rPr>
          <w:rFonts w:hint="eastAsia"/>
          <w:b/>
          <w:bCs/>
          <w:color w:val="auto"/>
          <w:sz w:val="24"/>
          <w:szCs w:val="24"/>
          <w:highlight w:val="white"/>
          <w:lang w:val="en-US" w:eastAsia="zh-CN" w:bidi="ar-SA"/>
        </w:rPr>
        <w:t xml:space="preserve">前</w:t>
      </w:r>
      <w:r>
        <w:rPr>
          <w:rFonts w:hint="eastAsia" w:ascii="Times New Roman" w:hAnsi="Times New Roman"/>
          <w:b/>
          <w:bCs/>
          <w:color w:val="auto"/>
          <w:sz w:val="24"/>
          <w:szCs w:val="24"/>
          <w:highlight w:val="white"/>
          <w:lang w:val="en-US" w:eastAsia="zh-CN" w:bidi="ar-SA"/>
        </w:rPr>
        <w:t xml:space="preserve">。</w:t>
      </w:r>
      <w:r>
        <w:rPr>
          <w:highlight w:val="white"/>
        </w:rPr>
      </w:r>
      <w:r/>
    </w:p>
    <w:p>
      <w:pPr>
        <w:ind w:left="0" w:right="0" w:firstLine="562"/>
        <w:jc w:val="both"/>
        <w:keepLines w:val="0"/>
        <w:keepNext w:val="0"/>
        <w:pageBreakBefore w:val="0"/>
        <w:spacing w:line="360" w:lineRule="auto"/>
        <w:widowControl w:val="off"/>
        <w:rPr>
          <w:rFonts w:hint="default"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10.5验收的地点：</w:t>
      </w:r>
      <w:r>
        <w:rPr>
          <w:rFonts w:hint="eastAsia"/>
          <w:color w:val="auto"/>
          <w:sz w:val="24"/>
          <w:szCs w:val="24"/>
          <w:highlight w:val="none"/>
          <w:lang w:val="en-US" w:eastAsia="zh-CN" w:bidi="ar-SA"/>
        </w:rPr>
        <w:t xml:space="preserve"> </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lang w:val="en-US" w:eastAsia="zh-CN" w:bidi="ar-SA"/>
        </w:rPr>
        <w:t xml:space="preserve">10.6验收的内容：</w:t>
      </w:r>
      <w:r>
        <w:rPr>
          <w:rFonts w:hint="eastAsia" w:ascii="Calibri" w:hAnsi="Calibri" w:cs="Calibri"/>
          <w:color w:val="auto"/>
          <w:sz w:val="24"/>
          <w:szCs w:val="24"/>
          <w:highlight w:val="none"/>
          <w:lang w:val="en-US" w:eastAsia="zh-CN" w:bidi="ar-SA"/>
        </w:rPr>
        <w:t xml:space="preserve">①</w:t>
      </w:r>
      <w:r>
        <w:rPr>
          <w:rFonts w:hint="eastAsia" w:ascii="Times New Roman" w:hAnsi="Times New Roman"/>
          <w:color w:val="auto"/>
          <w:sz w:val="24"/>
          <w:szCs w:val="24"/>
          <w:highlight w:val="none"/>
          <w:lang w:val="en-US" w:eastAsia="zh-CN" w:bidi="ar-SA"/>
        </w:rPr>
        <w:t xml:space="preserve">乙方应对提供的服务成果作出全面自查和整理，并列出清单，作为甲方验收和使用的服务条件依据，清单应随提供的服务成果交给甲方。</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auto"/>
          <w:sz w:val="24"/>
          <w:szCs w:val="24"/>
          <w:highlight w:val="none"/>
          <w:lang w:val="en-US" w:eastAsia="zh-CN" w:bidi="ar-SA"/>
        </w:rPr>
        <w:t xml:space="preserve">②</w:t>
      </w:r>
      <w:r>
        <w:rPr>
          <w:rFonts w:hint="eastAsia" w:ascii="Times New Roman" w:hAnsi="Times New Roman"/>
          <w:color w:val="auto"/>
          <w:sz w:val="24"/>
          <w:szCs w:val="24"/>
          <w:highlight w:val="none"/>
          <w:lang w:val="en-US" w:eastAsia="zh-CN" w:bidi="ar-SA"/>
        </w:rPr>
        <w:t xml:space="preserve">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auto"/>
          <w:sz w:val="24"/>
          <w:szCs w:val="24"/>
          <w:highlight w:val="none"/>
          <w:lang w:val="en-US" w:eastAsia="zh-CN" w:bidi="ar-SA"/>
        </w:rPr>
        <w:t xml:space="preserve">③</w:t>
      </w:r>
      <w:r>
        <w:rPr>
          <w:rFonts w:hint="eastAsia" w:ascii="Times New Roman" w:hAnsi="Times New Roman"/>
          <w:color w:val="auto"/>
          <w:sz w:val="24"/>
          <w:szCs w:val="24"/>
          <w:highlight w:val="none"/>
          <w:lang w:val="en-US" w:eastAsia="zh-CN" w:bidi="ar-SA"/>
        </w:rPr>
        <w:t xml:space="preserve">甲方可以视项目规模或复杂情况聘请专业人员参与验收，大型或复杂项目，以及涉及专业服务内容的应当邀请国家认可的第三方质量检测机构参与验收。</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auto"/>
          <w:sz w:val="24"/>
          <w:szCs w:val="24"/>
          <w:highlight w:val="none"/>
          <w:lang w:val="en-US" w:eastAsia="zh-CN" w:bidi="ar-SA"/>
        </w:rPr>
        <w:t xml:space="preserve">④</w:t>
      </w:r>
      <w:r>
        <w:rPr>
          <w:rFonts w:hint="eastAsia" w:ascii="Times New Roman" w:hAnsi="Times New Roman"/>
          <w:color w:val="auto"/>
          <w:sz w:val="24"/>
          <w:szCs w:val="24"/>
          <w:highlight w:val="none"/>
          <w:lang w:val="en-US" w:eastAsia="zh-CN" w:bidi="ar-SA"/>
        </w:rPr>
        <w:t xml:space="preserve">如项目实施情况需要分阶段验收，则根据实际情况分阶段出具《验收报告》。</w:t>
      </w:r>
      <w:r/>
    </w:p>
    <w:p>
      <w:pPr>
        <w:ind w:left="0" w:right="0" w:firstLine="562"/>
        <w:jc w:val="both"/>
        <w:keepLines w:val="0"/>
        <w:keepNext w:val="0"/>
        <w:pageBreakBefore w:val="0"/>
        <w:spacing w:line="360" w:lineRule="auto"/>
        <w:widowControl w:val="off"/>
        <w:rPr>
          <w:rFonts w:hint="eastAsia" w:ascii="Times New Roman" w:hAnsi="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bidi="ar-SA"/>
        </w:rPr>
        <w:t xml:space="preserve">⑤</w:t>
      </w:r>
      <w:r>
        <w:rPr>
          <w:rFonts w:hint="eastAsia" w:ascii="Times New Roman" w:hAnsi="Times New Roman"/>
          <w:color w:val="auto"/>
          <w:sz w:val="24"/>
          <w:szCs w:val="24"/>
          <w:highlight w:val="none"/>
          <w:lang w:val="en-US" w:eastAsia="zh-CN" w:bidi="ar-SA"/>
        </w:rPr>
        <w:t xml:space="preserve">如果合同双方对《验收报告》有分歧，双方须于出现分歧后  3  天内给对方书面声明，以陈述己方的理由及要求，并附有关证据。分歧应通过协商解决</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1</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不可抗力</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1</w:t>
      </w:r>
      <w:r>
        <w:rPr>
          <w:rFonts w:ascii="宋体" w:hAnsi="宋体" w:eastAsia="宋体" w:cs="宋体"/>
          <w:b/>
          <w:color w:val="auto"/>
          <w:sz w:val="24"/>
          <w:szCs w:val="24"/>
          <w:highlight w:val="none"/>
          <w:lang w:val="en-US" w:eastAsia="zh-CN" w:bidi="ar-SA"/>
        </w:rPr>
        <w:t xml:space="preserve">.1 </w:t>
      </w:r>
      <w:r>
        <w:rPr>
          <w:rFonts w:ascii="宋体" w:hAnsi="宋体" w:eastAsia="宋体" w:cs="宋体"/>
          <w:color w:val="auto"/>
          <w:sz w:val="24"/>
          <w:szCs w:val="24"/>
          <w:highlight w:val="none"/>
          <w:lang w:val="en-US" w:eastAsia="zh-CN" w:bidi="ar-SA"/>
        </w:rPr>
        <w:t xml:space="preserve">如果双方由于不可抗拒力的任何事故（须经双方认同），致使影响合同履行时，履行合同的期限应予延长，延长期限相当于事故影响的时间。</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1</w:t>
      </w:r>
      <w:r>
        <w:rPr>
          <w:rFonts w:ascii="宋体" w:hAnsi="宋体" w:eastAsia="宋体" w:cs="宋体"/>
          <w:b/>
          <w:color w:val="auto"/>
          <w:sz w:val="24"/>
          <w:szCs w:val="24"/>
          <w:highlight w:val="none"/>
          <w:lang w:val="en-US" w:eastAsia="zh-CN" w:bidi="ar-SA"/>
        </w:rPr>
        <w:t xml:space="preserve">.2 </w:t>
      </w:r>
      <w:r>
        <w:rPr>
          <w:rFonts w:ascii="宋体" w:hAnsi="宋体" w:eastAsia="宋体" w:cs="宋体"/>
          <w:color w:val="auto"/>
          <w:sz w:val="24"/>
          <w:szCs w:val="24"/>
          <w:highlight w:val="none"/>
          <w:lang w:val="en-US" w:eastAsia="zh-CN" w:bidi="ar-SA"/>
        </w:rPr>
        <w:t xml:space="preserve">本条所述的“不可抗拒力”系指双方无法控制、不可预见的事件。这些事件包括但不限于：战争、严重水灾、台风、地震以及其他双方商定的事件。</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1</w:t>
      </w:r>
      <w:r>
        <w:rPr>
          <w:rFonts w:ascii="宋体" w:hAnsi="宋体" w:eastAsia="宋体" w:cs="宋体"/>
          <w:b/>
          <w:color w:val="auto"/>
          <w:sz w:val="24"/>
          <w:szCs w:val="24"/>
          <w:highlight w:val="none"/>
          <w:lang w:val="en-US" w:eastAsia="zh-CN" w:bidi="ar-SA"/>
        </w:rPr>
        <w:t xml:space="preserve">.3 </w:t>
      </w:r>
      <w:r>
        <w:rPr>
          <w:rFonts w:ascii="宋体" w:hAnsi="宋体" w:eastAsia="宋体" w:cs="宋体"/>
          <w:color w:val="auto"/>
          <w:sz w:val="24"/>
          <w:szCs w:val="24"/>
          <w:highlight w:val="none"/>
          <w:lang w:val="en-US" w:eastAsia="zh-CN" w:bidi="ar-SA"/>
        </w:rPr>
        <w:t xml:space="preserve">受事故影响的一方应在不可抗拒力事故发后尽快以传真通知对方，双方应通过友好协商在合理时间内达成进一步履行合同的协议。</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u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2</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履约保证金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12.1投标人</w:t>
      </w:r>
      <w:r>
        <w:rPr>
          <w:rFonts w:hint="eastAsia" w:ascii="宋体" w:hAnsi="宋体" w:eastAsia="宋体" w:cs="宋体"/>
          <w:color w:val="auto"/>
          <w:sz w:val="24"/>
          <w:szCs w:val="24"/>
          <w:highlight w:val="none"/>
          <w:lang w:val="en-US" w:eastAsia="zh-CN" w:bidi="ar-SA"/>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自愿使用电子履约保函（保险）代替缴纳履约保证金。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如以履约保函（保险）形式缴纳履约保证金，</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可通过政府采购电子履约保函（保险）平台（www.jsdzbh.com）在线申请履约保函（保险）。</w:t>
      </w:r>
      <w:r/>
    </w:p>
    <w:p>
      <w:pPr>
        <w:pStyle w:val="1210"/>
        <w:ind w:left="0" w:firstLine="480"/>
        <w:jc w:val="both"/>
        <w:keepLines w:val="0"/>
        <w:keepNext w:val="0"/>
        <w:pageBreakBefore w:val="0"/>
        <w:spacing w:beforeAutospacing="0" w:after="0" w:afterAutospacing="0" w:line="360" w:lineRule="auto"/>
        <w:widowControl w:val="off"/>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lang w:val="en-US" w:eastAsia="zh-CN" w:bidi="ar-SA"/>
        </w:rPr>
        <w:t xml:space="preserve">3</w:t>
      </w:r>
      <w:r>
        <w:rPr>
          <w:rFonts w:hint="eastAsia" w:ascii="宋体" w:hAnsi="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履约保证金金额</w:t>
      </w:r>
      <w:r>
        <w:rPr>
          <w:rFonts w:hint="eastAsia" w:ascii="宋体" w:hAnsi="宋体" w:cs="宋体"/>
          <w:b/>
          <w:bCs/>
          <w:color w:val="auto"/>
          <w:sz w:val="24"/>
          <w:szCs w:val="24"/>
          <w:highlight w:val="none"/>
          <w:lang w:val="en-US" w:eastAsia="zh-CN" w:bidi="ar-SA"/>
        </w:rPr>
        <w:t xml:space="preserve">为</w:t>
      </w:r>
      <w:r>
        <w:rPr>
          <w:rFonts w:hint="eastAsia" w:ascii="宋体" w:hAnsi="宋体" w:eastAsia="宋体" w:cs="宋体"/>
          <w:b/>
          <w:bCs/>
          <w:color w:val="auto"/>
          <w:sz w:val="24"/>
          <w:szCs w:val="24"/>
          <w:highlight w:val="none"/>
          <w:lang w:val="en-US" w:eastAsia="zh-CN" w:bidi="ar-SA"/>
        </w:rPr>
        <w:t xml:space="preserve">合同金额的</w:t>
      </w:r>
      <w:r>
        <w:rPr>
          <w:rFonts w:hint="eastAsia" w:ascii="宋体" w:hAnsi="宋体" w:cs="宋体"/>
          <w:b/>
          <w:bCs/>
          <w:color w:val="auto"/>
          <w:sz w:val="24"/>
          <w:szCs w:val="24"/>
          <w:highlight w:val="none"/>
          <w:lang w:val="en-US" w:eastAsia="zh-CN" w:bidi="ar-SA"/>
        </w:rPr>
        <w:t xml:space="preserve">10</w:t>
      </w:r>
      <w:r>
        <w:rPr>
          <w:rFonts w:hint="eastAsia" w:ascii="宋体" w:hAnsi="宋体" w:eastAsia="宋体" w:cs="宋体"/>
          <w:b/>
          <w:bCs/>
          <w:color w:val="auto"/>
          <w:sz w:val="24"/>
          <w:szCs w:val="24"/>
          <w:highlight w:val="none"/>
          <w:lang w:val="en-US" w:eastAsia="zh-CN" w:bidi="ar-SA"/>
        </w:rPr>
        <w:t xml:space="preserve">%</w:t>
      </w:r>
      <w:r>
        <w:rPr>
          <w:rFonts w:ascii="宋体" w:hAnsi="宋体" w:eastAsia="宋体" w:cs="宋体"/>
          <w:b/>
          <w:bCs/>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12.4 </w:t>
      </w:r>
      <w:r>
        <w:rPr>
          <w:rFonts w:hint="eastAsia" w:ascii="宋体" w:hAnsi="宋体" w:eastAsia="宋体" w:cs="宋体"/>
          <w:color w:val="auto"/>
          <w:sz w:val="24"/>
          <w:szCs w:val="24"/>
          <w:highlight w:val="none"/>
          <w:lang w:val="en-US" w:eastAsia="en-US" w:bidi="ar-SA"/>
        </w:rPr>
        <w:t xml:space="preserve">履约保证金的退还：</w:t>
      </w:r>
      <w:r/>
    </w:p>
    <w:p>
      <w:pPr>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en-US" w:bidi="ar-SA"/>
        </w:rPr>
        <w:t xml:space="preserve">方式：退还至投标人缴纳履约保证金的账户。如为保函，在到期时自行失效。</w:t>
      </w:r>
      <w:r/>
    </w:p>
    <w:p>
      <w:pPr>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en-US" w:bidi="ar-SA"/>
        </w:rPr>
        <w:t xml:space="preserve">时间：验收合格且采购人收到发票后30日内。</w:t>
      </w:r>
      <w:r/>
    </w:p>
    <w:p>
      <w:pPr>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条件：按合同要求全部履约完成并经采购人验收合格，且采购人收到中标人出具的发票。</w:t>
      </w:r>
      <w:r/>
    </w:p>
    <w:p>
      <w:pPr>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en-US" w:bidi="ar-SA"/>
        </w:rPr>
        <w:t xml:space="preserve">不予退还情形：</w:t>
      </w:r>
      <w:r/>
    </w:p>
    <w:p>
      <w:pPr>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除不可抗力情况外，投标人出现下列情形之一的，其履约保证金，招标人将视情节决定不予退还或部分不予退还。</w:t>
      </w:r>
      <w:r/>
    </w:p>
    <w:p>
      <w:pPr>
        <w:ind w:left="0" w:firstLine="48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en-US" w:bidi="ar-SA"/>
        </w:rPr>
        <w:t xml:space="preserve">中标人无正当理由拒绝签订合同的，或者在签订合同时向采购人提出附加条件或者更改合同实质性内容要求的；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en-US" w:bidi="ar-SA"/>
        </w:rPr>
        <w:t xml:space="preserve">中标人不履行与采购人订立的合同的；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en-US" w:bidi="ar-SA"/>
        </w:rPr>
        <w:t xml:space="preserve">中标人所供货物或服务不符合招标文件规定要求的；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④</w:t>
      </w:r>
      <w:r>
        <w:rPr>
          <w:rFonts w:hint="eastAsia" w:ascii="宋体" w:hAnsi="宋体" w:eastAsia="宋体" w:cs="宋体"/>
          <w:color w:val="auto"/>
          <w:sz w:val="24"/>
          <w:szCs w:val="24"/>
          <w:highlight w:val="none"/>
          <w:lang w:val="en-US" w:eastAsia="en-US" w:bidi="ar-SA"/>
        </w:rPr>
        <w:t xml:space="preserve">中标人采取欺骗、弄虚作假方式投标的或与</w:t>
      </w:r>
      <w:r>
        <w:rPr>
          <w:rFonts w:hint="eastAsia" w:ascii="宋体" w:hAnsi="宋体" w:eastAsia="宋体" w:cs="宋体"/>
          <w:color w:val="auto"/>
          <w:sz w:val="24"/>
          <w:szCs w:val="24"/>
          <w:highlight w:val="none"/>
          <w:lang w:val="en-US" w:eastAsia="zh-CN" w:bidi="ar-SA"/>
        </w:rPr>
        <w:t xml:space="preserve">其他</w:t>
      </w:r>
      <w:r>
        <w:rPr>
          <w:rFonts w:hint="eastAsia" w:ascii="宋体" w:hAnsi="宋体" w:eastAsia="宋体" w:cs="宋体"/>
          <w:color w:val="auto"/>
          <w:sz w:val="24"/>
          <w:szCs w:val="24"/>
          <w:highlight w:val="none"/>
          <w:lang w:val="en-US" w:eastAsia="en-US" w:bidi="ar-SA"/>
        </w:rPr>
        <w:t xml:space="preserve">投标人串通投标的；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⑤</w:t>
      </w:r>
      <w:r>
        <w:rPr>
          <w:rFonts w:hint="eastAsia" w:ascii="宋体" w:hAnsi="宋体" w:eastAsia="宋体" w:cs="宋体"/>
          <w:color w:val="auto"/>
          <w:sz w:val="24"/>
          <w:szCs w:val="24"/>
          <w:highlight w:val="none"/>
          <w:lang w:val="en-US" w:eastAsia="en-US" w:bidi="ar-SA"/>
        </w:rPr>
        <w:t xml:space="preserve">中标人将合同内容转包、违法分包的；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⑥</w:t>
      </w:r>
      <w:r>
        <w:rPr>
          <w:rFonts w:hint="eastAsia" w:ascii="宋体" w:hAnsi="宋体" w:eastAsia="宋体" w:cs="宋体"/>
          <w:color w:val="auto"/>
          <w:sz w:val="24"/>
          <w:szCs w:val="24"/>
          <w:highlight w:val="none"/>
          <w:lang w:val="en-US" w:eastAsia="en-US" w:bidi="ar-SA"/>
        </w:rPr>
        <w:t xml:space="preserve">中标人故意捏造事实或伪造证明材料，进行虚假恶意投诉或反映的。</w:t>
      </w:r>
      <w:r/>
    </w:p>
    <w:p>
      <w:pPr>
        <w:ind w:left="0" w:firstLine="480"/>
        <w:jc w:val="left"/>
        <w:keepLines w:val="0"/>
        <w:keepNext w:val="0"/>
        <w:pageBreakBefore w:val="0"/>
        <w:spacing w:line="360" w:lineRule="auto"/>
        <w:rPr>
          <w:rFonts w:ascii="Arial" w:hAnsi="Arial" w:cs="Arial"/>
          <w:color w:val="auto"/>
          <w:sz w:val="24"/>
          <w:szCs w:val="24"/>
          <w:highlight w:val="none"/>
        </w:rPr>
      </w:pP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en-US" w:bidi="ar-SA"/>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3</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纠纷解决办法</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3</w:t>
      </w:r>
      <w:r>
        <w:rPr>
          <w:rFonts w:ascii="宋体" w:hAnsi="宋体" w:eastAsia="宋体" w:cs="宋体"/>
          <w:b/>
          <w:color w:val="auto"/>
          <w:sz w:val="24"/>
          <w:szCs w:val="24"/>
          <w:highlight w:val="none"/>
          <w:lang w:val="en-US" w:eastAsia="zh-CN" w:bidi="ar-SA"/>
        </w:rPr>
        <w:t xml:space="preserve">.1 </w:t>
      </w:r>
      <w:r>
        <w:rPr>
          <w:rFonts w:ascii="宋体" w:hAnsi="宋体" w:eastAsia="宋体" w:cs="宋体"/>
          <w:color w:val="auto"/>
          <w:sz w:val="24"/>
          <w:szCs w:val="24"/>
          <w:highlight w:val="none"/>
          <w:lang w:val="en-US" w:eastAsia="zh-CN" w:bidi="ar-SA"/>
        </w:rPr>
        <w:t xml:space="preserve">在执行本合同中所发生的或与本合同有关的一切争端，甲方和乙方应通过友好协商的办法进行解决。如协商仍不能解决，双方同意由甲方所在地人民法院诉讼解决。</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3</w:t>
      </w:r>
      <w:r>
        <w:rPr>
          <w:rFonts w:ascii="宋体" w:hAnsi="宋体" w:eastAsia="宋体" w:cs="宋体"/>
          <w:b/>
          <w:color w:val="auto"/>
          <w:sz w:val="24"/>
          <w:szCs w:val="24"/>
          <w:highlight w:val="none"/>
          <w:lang w:val="en-US" w:eastAsia="zh-CN" w:bidi="ar-SA"/>
        </w:rPr>
        <w:t xml:space="preserve">.2 </w:t>
      </w:r>
      <w:r>
        <w:rPr>
          <w:rFonts w:ascii="宋体" w:hAnsi="宋体" w:eastAsia="宋体" w:cs="宋体"/>
          <w:color w:val="auto"/>
          <w:sz w:val="24"/>
          <w:szCs w:val="24"/>
          <w:highlight w:val="none"/>
          <w:lang w:val="en-US" w:eastAsia="zh-CN" w:bidi="ar-SA"/>
        </w:rPr>
        <w:t xml:space="preserve">在诉讼期间，本合同应继续执行。</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4</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合同变更</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本合同的变更必须由双方协商一致，并以书面形式确定。但有下列情形之一的，一方可以向另一方提供变更合同权利与义务的请求，另一方应当在7日内予以答复；逾期未予答复的，视为</w:t>
      </w:r>
      <w:r>
        <w:rPr>
          <w:rFonts w:hint="eastAsia" w:ascii="宋体" w:hAnsi="宋体" w:cs="宋体"/>
          <w:color w:val="auto"/>
          <w:sz w:val="24"/>
          <w:szCs w:val="24"/>
          <w:highlight w:val="none"/>
          <w:lang w:val="en-US" w:eastAsia="zh-CN" w:bidi="ar-SA"/>
        </w:rPr>
        <w:t xml:space="preserve">不</w:t>
      </w:r>
      <w:r>
        <w:rPr>
          <w:rFonts w:ascii="宋体" w:hAnsi="宋体" w:eastAsia="宋体" w:cs="宋体"/>
          <w:color w:val="auto"/>
          <w:sz w:val="24"/>
          <w:szCs w:val="24"/>
          <w:highlight w:val="none"/>
          <w:lang w:val="en-US" w:eastAsia="zh-CN" w:bidi="ar-SA"/>
        </w:rPr>
        <w:t xml:space="preserve">同意：</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14.</w:t>
      </w:r>
      <w:r>
        <w:rPr>
          <w:rFonts w:ascii="宋体" w:hAnsi="宋体" w:eastAsia="宋体" w:cs="宋体"/>
          <w:color w:val="auto"/>
          <w:sz w:val="24"/>
          <w:szCs w:val="24"/>
          <w:highlight w:val="none"/>
          <w:lang w:val="en-US" w:eastAsia="zh-CN" w:bidi="ar-SA"/>
        </w:rPr>
        <w:t xml:space="preserve">1国家法律、法规、政策、技术标准和规范、政府计划调整；</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14.</w:t>
      </w:r>
      <w:r>
        <w:rPr>
          <w:rFonts w:ascii="宋体" w:hAnsi="宋体" w:eastAsia="宋体" w:cs="宋体"/>
          <w:color w:val="auto"/>
          <w:sz w:val="24"/>
          <w:szCs w:val="24"/>
          <w:highlight w:val="none"/>
          <w:lang w:val="en-US" w:eastAsia="zh-CN" w:bidi="ar-SA"/>
        </w:rPr>
        <w:t xml:space="preserve">2采购项目任务书变更。</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5</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破产终止合同</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 如果乙方出现破产或无清偿能力状况时，甲方可以在任何时候书面通知乙方终止合同而不给乙方补偿。该终止合同将不损害或影响甲方已经或将要采取的补救措施的权利。</w:t>
      </w:r>
      <w:r/>
    </w:p>
    <w:p>
      <w:pPr>
        <w:ind w:left="0" w:right="0" w:firstLine="562"/>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6</w:t>
      </w:r>
      <w:r>
        <w:rPr>
          <w:rFonts w:hint="eastAsia" w:ascii="宋体" w:hAnsi="宋体" w:cs="宋体"/>
          <w:b/>
          <w:color w:val="auto"/>
          <w:sz w:val="24"/>
          <w:szCs w:val="24"/>
          <w:highlight w:val="none"/>
          <w:lang w:val="en-US" w:eastAsia="zh-CN" w:bidi="ar-SA"/>
        </w:rPr>
        <w:t xml:space="preserve">.</w:t>
      </w:r>
      <w:r>
        <w:rPr>
          <w:rFonts w:ascii="宋体" w:hAnsi="宋体" w:eastAsia="宋体" w:cs="宋体"/>
          <w:b/>
          <w:color w:val="auto"/>
          <w:sz w:val="24"/>
          <w:szCs w:val="24"/>
          <w:highlight w:val="none"/>
          <w:lang w:val="en-US" w:eastAsia="zh-CN" w:bidi="ar-SA"/>
        </w:rPr>
        <w:t xml:space="preserve">合同生效及其它</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.1 合同应在甲方、乙方签字或盖章后生效。</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.2 合同有效期限：</w:t>
      </w:r>
      <w:r/>
    </w:p>
    <w:p>
      <w:pPr>
        <w:ind w:left="0" w:right="0" w:firstLine="560"/>
        <w:jc w:val="both"/>
        <w:keepLines w:val="0"/>
        <w:keepNext w:val="0"/>
        <w:pageBreakBefore w:val="0"/>
        <w:spacing w:line="360" w:lineRule="auto"/>
        <w:widowControl w:val="off"/>
        <w:rPr>
          <w:rFonts w:ascii="Times New Roman" w:hAnsi="Times New Roman" w:eastAsia="宋体" w:cs="Times New Roman"/>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.3 </w:t>
      </w:r>
      <w:r>
        <w:rPr>
          <w:rFonts w:ascii="宋体" w:hAnsi="宋体" w:eastAsia="宋体" w:cs="宋体"/>
          <w:b/>
          <w:bCs/>
          <w:color w:val="auto"/>
          <w:sz w:val="24"/>
          <w:szCs w:val="24"/>
          <w:highlight w:val="none"/>
          <w:lang w:val="en-US" w:eastAsia="zh-CN" w:bidi="ar-SA"/>
        </w:rPr>
        <w:t xml:space="preserve">本合同一式</w:t>
      </w:r>
      <w:r>
        <w:rPr>
          <w:rFonts w:hint="eastAsia" w:ascii="宋体" w:hAnsi="宋体" w:cs="宋体"/>
          <w:b/>
          <w:bCs/>
          <w:color w:val="auto"/>
          <w:sz w:val="24"/>
          <w:szCs w:val="24"/>
          <w:highlight w:val="none"/>
          <w:lang w:val="en-US" w:eastAsia="zh-CN" w:bidi="ar-SA"/>
        </w:rPr>
        <w:t xml:space="preserve">玖</w:t>
      </w:r>
      <w:r>
        <w:rPr>
          <w:rFonts w:ascii="宋体" w:hAnsi="宋体" w:eastAsia="宋体" w:cs="宋体"/>
          <w:b/>
          <w:bCs/>
          <w:color w:val="auto"/>
          <w:sz w:val="24"/>
          <w:szCs w:val="24"/>
          <w:highlight w:val="none"/>
          <w:lang w:val="en-US" w:eastAsia="zh-CN" w:bidi="ar-SA"/>
        </w:rPr>
        <w:t xml:space="preserve">份，以中文书写，甲、乙双方各持</w:t>
      </w:r>
      <w:r>
        <w:rPr>
          <w:rFonts w:hint="eastAsia" w:ascii="宋体" w:hAnsi="宋体" w:cs="宋体"/>
          <w:b/>
          <w:bCs/>
          <w:color w:val="auto"/>
          <w:sz w:val="24"/>
          <w:szCs w:val="24"/>
          <w:highlight w:val="none"/>
          <w:lang w:val="en-US" w:eastAsia="zh-CN" w:bidi="ar-SA"/>
        </w:rPr>
        <w:t xml:space="preserve">肆</w:t>
      </w:r>
      <w:r>
        <w:rPr>
          <w:rFonts w:ascii="宋体" w:hAnsi="宋体" w:eastAsia="宋体" w:cs="宋体"/>
          <w:b/>
          <w:bCs/>
          <w:color w:val="auto"/>
          <w:sz w:val="24"/>
          <w:szCs w:val="24"/>
          <w:highlight w:val="none"/>
          <w:lang w:val="en-US" w:eastAsia="zh-CN" w:bidi="ar-SA"/>
        </w:rPr>
        <w:t xml:space="preserve">份,</w:t>
      </w:r>
      <w:r>
        <w:rPr>
          <w:rFonts w:hint="eastAsia" w:ascii="宋体" w:hAnsi="宋体" w:eastAsia="宋体" w:cs="宋体"/>
          <w:b/>
          <w:bCs/>
          <w:color w:val="auto"/>
          <w:sz w:val="24"/>
          <w:szCs w:val="24"/>
          <w:highlight w:val="none"/>
          <w:lang w:val="en-US" w:eastAsia="zh-CN" w:bidi="ar-SA"/>
        </w:rPr>
        <w:t xml:space="preserve">采购</w:t>
      </w:r>
      <w:r>
        <w:rPr>
          <w:rFonts w:ascii="宋体" w:hAnsi="宋体" w:eastAsia="宋体" w:cs="宋体"/>
          <w:b/>
          <w:bCs/>
          <w:color w:val="auto"/>
          <w:sz w:val="24"/>
          <w:szCs w:val="24"/>
          <w:highlight w:val="none"/>
          <w:lang w:val="en-US" w:eastAsia="zh-CN" w:bidi="ar-SA"/>
        </w:rPr>
        <w:t xml:space="preserve">代理机构备案</w:t>
      </w:r>
      <w:r>
        <w:rPr>
          <w:rFonts w:hint="eastAsia" w:ascii="宋体" w:hAnsi="宋体" w:eastAsia="宋体" w:cs="宋体"/>
          <w:b/>
          <w:bCs/>
          <w:color w:val="auto"/>
          <w:sz w:val="24"/>
          <w:szCs w:val="24"/>
          <w:highlight w:val="none"/>
          <w:lang w:val="en-US" w:eastAsia="zh-CN" w:bidi="ar-SA"/>
        </w:rPr>
        <w:t xml:space="preserve">壹</w:t>
      </w:r>
      <w:r>
        <w:rPr>
          <w:rFonts w:ascii="宋体" w:hAnsi="宋体" w:eastAsia="宋体" w:cs="宋体"/>
          <w:b/>
          <w:bCs/>
          <w:color w:val="auto"/>
          <w:sz w:val="24"/>
          <w:szCs w:val="24"/>
          <w:highlight w:val="none"/>
          <w:lang w:val="en-US" w:eastAsia="zh-CN" w:bidi="ar-SA"/>
        </w:rPr>
        <w:t xml:space="preserve">份。</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本合同未尽事宜，双方可签订补充协议。有关协议及双方认可的来往电报、传真、会.议纪要等，均为本合同组成部分，与本合同具有同等法律效力。</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如需修改或补充合同内容，应经甲方、乙方协商，并签署书面修改或补充协议，提交见证方一份备案。该协议将作为本合同不可分割的一部分。</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.6 本合同应按照中华人民共和国的现行法律进行解释。</w:t>
      </w:r>
      <w:r/>
    </w:p>
    <w:p>
      <w:pPr>
        <w:ind w:left="0" w:right="0" w:firstLine="557"/>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val="en-US" w:eastAsia="zh-CN" w:bidi="ar-SA"/>
        </w:rPr>
        <w:t xml:space="preserve">1</w:t>
      </w:r>
      <w:r>
        <w:rPr>
          <w:rFonts w:hint="eastAsia" w:ascii="宋体" w:hAnsi="宋体" w:eastAsia="宋体" w:cs="宋体"/>
          <w:b/>
          <w:color w:val="auto"/>
          <w:sz w:val="24"/>
          <w:szCs w:val="24"/>
          <w:highlight w:val="none"/>
          <w:lang w:val="en-US" w:eastAsia="zh-CN" w:bidi="ar-SA"/>
        </w:rPr>
        <w:t xml:space="preserve">7</w:t>
      </w:r>
      <w:r>
        <w:rPr>
          <w:rFonts w:ascii="宋体" w:hAnsi="宋体" w:eastAsia="宋体" w:cs="宋体"/>
          <w:b/>
          <w:color w:val="auto"/>
          <w:sz w:val="24"/>
          <w:szCs w:val="24"/>
          <w:highlight w:val="none"/>
          <w:lang w:val="en-US" w:eastAsia="zh-CN" w:bidi="ar-SA"/>
        </w:rPr>
        <w:t xml:space="preserve">.服务时间和地点</w:t>
      </w:r>
      <w:r/>
    </w:p>
    <w:p>
      <w:pPr>
        <w:ind w:left="0" w:right="0" w:firstLine="630"/>
        <w:jc w:val="both"/>
        <w:keepLines w:val="0"/>
        <w:keepNext w:val="0"/>
        <w:pageBreakBefore w:val="0"/>
        <w:spacing w:line="360" w:lineRule="auto"/>
        <w:widowControl w:val="off"/>
        <w:rPr>
          <w:rFonts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本合同的服务时间在“最终报价”及</w:t>
      </w:r>
      <w:r>
        <w:rPr>
          <w:rFonts w:hint="eastAsia" w:ascii="宋体" w:hAnsi="宋体" w:eastAsia="宋体" w:cs="宋体"/>
          <w:color w:val="auto"/>
          <w:sz w:val="24"/>
          <w:szCs w:val="24"/>
          <w:highlight w:val="none"/>
          <w:lang w:val="en-US" w:eastAsia="zh-CN" w:bidi="ar-SA"/>
        </w:rPr>
        <w:t xml:space="preserve">响应</w:t>
      </w:r>
      <w:r>
        <w:rPr>
          <w:rFonts w:ascii="宋体" w:hAnsi="宋体" w:eastAsia="宋体" w:cs="宋体"/>
          <w:color w:val="auto"/>
          <w:sz w:val="24"/>
          <w:szCs w:val="24"/>
          <w:highlight w:val="none"/>
          <w:lang w:val="en-US" w:eastAsia="zh-CN" w:bidi="ar-SA"/>
        </w:rPr>
        <w:t xml:space="preserve">文件中有明确规定，服务地点即为合同履约地。</w:t>
      </w:r>
      <w:r/>
    </w:p>
    <w:p>
      <w:pPr>
        <w:ind w:left="0" w:right="0" w:firstLine="63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甲  方</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乙 方 </w:t>
      </w:r>
      <w:r>
        <w:rPr>
          <w:rFonts w:hint="eastAsia" w:ascii="宋体" w:hAnsi="宋体" w:eastAsia="宋体" w:cs="宋体"/>
          <w:color w:val="auto"/>
          <w:sz w:val="24"/>
          <w:szCs w:val="24"/>
          <w:highlight w:val="none"/>
          <w:lang w:val="en-US" w:eastAsia="zh-CN" w:bidi="ar-SA"/>
        </w:rPr>
        <w:t xml:space="preserve">：</w:t>
      </w:r>
      <w:r/>
    </w:p>
    <w:p>
      <w:pPr>
        <w:ind w:left="0" w:right="0" w:firstLine="560"/>
        <w:jc w:val="both"/>
        <w:keepLines w:val="0"/>
        <w:keepNext w:val="0"/>
        <w:pageBreakBefore w:val="0"/>
        <w:spacing w:line="360" w:lineRule="auto"/>
        <w:widowControl w:val="off"/>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单位签章：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单位签章：</w:t>
      </w:r>
      <w:r/>
    </w:p>
    <w:p>
      <w:pPr>
        <w:ind w:left="0" w:right="0" w:firstLine="56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单位地址：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单位地址：</w:t>
      </w:r>
      <w:r/>
    </w:p>
    <w:p>
      <w:pPr>
        <w:ind w:left="0" w:right="0" w:firstLine="56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开户银行：</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开户银行：</w:t>
      </w:r>
      <w:r/>
    </w:p>
    <w:p>
      <w:pPr>
        <w:ind w:left="0" w:right="0" w:firstLine="560"/>
        <w:jc w:val="both"/>
        <w:keepLines w:val="0"/>
        <w:keepNext w:val="0"/>
        <w:pageBreakBefore w:val="0"/>
        <w:spacing w:line="360" w:lineRule="auto"/>
        <w:widowControl w:val="off"/>
        <w:rPr>
          <w:rFonts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银行帐号：</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银行帐号：</w:t>
      </w:r>
      <w:r/>
    </w:p>
    <w:p>
      <w:pPr>
        <w:ind w:left="0" w:right="0" w:firstLine="560"/>
        <w:jc w:val="both"/>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联 系 人：</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联 系 人：</w:t>
      </w:r>
      <w:r/>
    </w:p>
    <w:p>
      <w:pPr>
        <w:ind w:left="0" w:right="0" w:firstLine="56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联系电话：</w:t>
      </w:r>
      <w:r/>
    </w:p>
    <w:p>
      <w:pPr>
        <w:pStyle w:val="1020"/>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pPr>
      <w:r>
        <w:rPr>
          <w:rFonts w:ascii="宋体" w:hAnsi="宋体" w:eastAsia="宋体" w:cs="宋体"/>
          <w:color w:val="auto"/>
          <w:sz w:val="24"/>
          <w:szCs w:val="24"/>
          <w:highlight w:val="none"/>
          <w:lang w:val="en-US" w:eastAsia="zh-CN" w:bidi="ar-SA"/>
        </w:rPr>
        <w:t xml:space="preserve">日</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期：</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年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月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日 </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日</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期：</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 月</w:t>
      </w:r>
      <w:r>
        <w:rPr>
          <w:rFonts w:hint="eastAsia" w:ascii="宋体" w:hAnsi="宋体" w:eastAsia="宋体" w:cs="宋体"/>
          <w:color w:val="auto"/>
          <w:sz w:val="24"/>
          <w:szCs w:val="24"/>
          <w:highlight w:val="none"/>
          <w:lang w:val="en-US" w:eastAsia="zh-CN" w:bidi="ar-SA"/>
        </w:rPr>
        <w:t xml:space="preserve"> </w:t>
      </w:r>
      <w:r>
        <w:rPr>
          <w:rFonts w:ascii="宋体" w:hAnsi="宋体" w:eastAsia="宋体" w:cs="宋体"/>
          <w:color w:val="auto"/>
          <w:sz w:val="24"/>
          <w:szCs w:val="24"/>
          <w:highlight w:val="none"/>
          <w:lang w:val="en-US" w:eastAsia="zh-CN" w:bidi="ar-SA"/>
        </w:rPr>
        <w:t xml:space="preserve"> 日</w:t>
      </w:r>
      <w:r/>
    </w:p>
    <w:p>
      <w:pPr>
        <w:pStyle w:val="1020"/>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pPr>
      <w:r>
        <w:rPr>
          <w:rFonts w:hint="default" w:hAnsi="宋体" w:cs="宋体"/>
          <w:b/>
          <w:color w:val="000000" w:themeColor="text1"/>
          <w:sz w:val="32"/>
          <w:szCs w:val="32"/>
          <w:lang w:val="en-US" w:eastAsia="zh-CN"/>
          <w14:textFill>
            <w14:solidFill>
              <w14:schemeClr w14:val="tx1"/>
            </w14:solidFill>
          </w14:textFill>
        </w:rPr>
      </w:r>
      <w:r/>
    </w:p>
    <w:p>
      <w:pPr>
        <w:rPr>
          <w:rFonts w:hint="eastAsia" w:hAnsi="宋体" w:cs="宋体"/>
          <w:b/>
          <w:color w:val="000000" w:themeColor="text1"/>
          <w:sz w:val="32"/>
          <w:szCs w:val="32"/>
          <w:lang w:val="en-US" w:eastAsia="zh-CN"/>
          <w14:textFill>
            <w14:solidFill>
              <w14:schemeClr w14:val="tx1"/>
            </w14:solidFill>
          </w14:textFill>
        </w:rPr>
      </w:pPr>
      <w:r>
        <w:rPr>
          <w:rFonts w:hint="eastAsia" w:hAnsi="宋体" w:cs="宋体"/>
          <w:b/>
          <w:color w:val="000000" w:themeColor="text1"/>
          <w:sz w:val="32"/>
          <w:szCs w:val="32"/>
          <w:lang w:val="en-US" w:eastAsia="zh-CN"/>
          <w14:textFill>
            <w14:solidFill>
              <w14:schemeClr w14:val="tx1"/>
            </w14:solidFill>
          </w14:textFill>
        </w:rPr>
        <w:br w:type="page" w:clear="all"/>
      </w:r>
      <w:r/>
    </w:p>
    <w:p>
      <w:pPr>
        <w:pStyle w:val="1020"/>
        <w:jc w:val="center"/>
        <w:spacing w:after="312" w:line="520" w:lineRule="exact"/>
        <w:rPr>
          <w:rFonts w:hAnsi="宋体" w:cs="宋体"/>
          <w:b/>
          <w:color w:val="000000" w:themeColor="text1"/>
          <w:sz w:val="36"/>
          <w14:textFill>
            <w14:solidFill>
              <w14:schemeClr w14:val="tx1"/>
            </w14:solidFill>
          </w14:textFill>
        </w:rPr>
      </w:pPr>
      <w:r>
        <w:rPr>
          <w:rFonts w:hint="eastAsia" w:hAnsi="宋体" w:cs="宋体"/>
          <w:b/>
          <w:color w:val="000000" w:themeColor="text1"/>
          <w:sz w:val="36"/>
          <w14:textFill>
            <w14:solidFill>
              <w14:schemeClr w14:val="tx1"/>
            </w14:solidFill>
          </w14:textFill>
        </w:rPr>
        <w:t xml:space="preserve">7、承诺书</w:t>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致</w:t>
      </w:r>
      <w:r>
        <w:rPr>
          <w:rFonts w:hint="eastAsia" w:ascii="宋体" w:hAnsi="宋体" w:cs="宋体"/>
          <w:b/>
          <w:bCs/>
          <w:color w:val="000000" w:themeColor="text1"/>
          <w:sz w:val="24"/>
          <w:u w:val="single"/>
          <w:lang w:eastAsia="zh-CN"/>
          <w14:textFill>
            <w14:solidFill>
              <w14:schemeClr w14:val="tx1"/>
            </w14:solidFill>
          </w14:textFill>
        </w:rPr>
        <w:t xml:space="preserve">睢宁县农业农村局</w:t>
      </w:r>
      <w:r>
        <w:rPr>
          <w:rFonts w:hint="eastAsia" w:ascii="宋体" w:hAnsi="宋体" w:cs="宋体"/>
          <w:b/>
          <w:bCs/>
          <w:color w:val="000000" w:themeColor="text1"/>
          <w:sz w:val="24"/>
          <w14:textFill>
            <w14:solidFill>
              <w14:schemeClr w14:val="tx1"/>
            </w14:solidFill>
          </w14:textFill>
        </w:rPr>
        <w:t xml:space="preserve">：</w:t>
      </w:r>
      <w:r/>
    </w:p>
    <w:p>
      <w:pPr>
        <w:pStyle w:val="1066"/>
        <w:ind w:firstLine="480"/>
        <w:spacing w:line="28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6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根据贵方《</w:t>
      </w:r>
      <w:r>
        <w:rPr>
          <w:rFonts w:hint="eastAsia" w:ascii="宋体" w:hAnsi="宋体" w:cs="宋体"/>
          <w:bCs/>
          <w:color w:val="000000" w:themeColor="text1"/>
          <w:sz w:val="24"/>
          <w:szCs w:val="24"/>
          <w14:textFill>
            <w14:solidFill>
              <w14:schemeClr w14:val="tx1"/>
            </w14:solidFill>
          </w14:textFill>
        </w:rPr>
        <w:t xml:space="preserve">磋商文件</w:t>
      </w:r>
      <w:r>
        <w:rPr>
          <w:rFonts w:hint="eastAsia" w:ascii="宋体" w:hAnsi="宋体" w:cs="宋体"/>
          <w:color w:val="000000" w:themeColor="text1"/>
          <w:sz w:val="24"/>
          <w:szCs w:val="24"/>
          <w14:textFill>
            <w14:solidFill>
              <w14:schemeClr w14:val="tx1"/>
            </w14:solidFill>
          </w14:textFill>
        </w:rPr>
        <w:t xml:space="preserve">》（项目编号：）要求，本供应商正式提交以下首次响应文件。</w:t>
      </w:r>
      <w:r/>
    </w:p>
    <w:p>
      <w:pPr>
        <w:pStyle w:val="1066"/>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（1）承诺书； </w:t>
      </w:r>
      <w:r/>
    </w:p>
    <w:p>
      <w:pPr>
        <w:pStyle w:val="106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（2）磋商报价表； </w:t>
      </w:r>
      <w:r/>
    </w:p>
    <w:p>
      <w:pPr>
        <w:pStyle w:val="106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（3）偏离表；</w:t>
      </w:r>
      <w:r/>
    </w:p>
    <w:p>
      <w:pPr>
        <w:pStyle w:val="106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（4）磋商</w:t>
      </w:r>
      <w:r>
        <w:rPr>
          <w:rFonts w:hint="eastAsia" w:ascii="宋体" w:hAnsi="宋体" w:cs="宋体"/>
          <w:bCs/>
          <w:color w:val="000000" w:themeColor="text1"/>
          <w:sz w:val="24"/>
          <w:szCs w:val="24"/>
          <w14:textFill>
            <w14:solidFill>
              <w14:schemeClr w14:val="tx1"/>
            </w14:solidFill>
          </w14:textFill>
        </w:rPr>
        <w:t xml:space="preserve">文件</w:t>
      </w:r>
      <w:r>
        <w:rPr>
          <w:rFonts w:hint="eastAsia" w:ascii="宋体" w:hAnsi="宋体" w:cs="宋体"/>
          <w:color w:val="000000" w:themeColor="text1"/>
          <w:sz w:val="24"/>
          <w:szCs w:val="24"/>
          <w14:textFill>
            <w14:solidFill>
              <w14:schemeClr w14:val="tx1"/>
            </w14:solidFill>
          </w14:textFill>
        </w:rPr>
        <w:t xml:space="preserve">要求提供的其他响应文件。</w:t>
      </w:r>
      <w:r/>
    </w:p>
    <w:p>
      <w:pPr>
        <w:pStyle w:val="106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066"/>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供应商兹宣布同意如下: </w:t>
      </w:r>
      <w:r/>
    </w:p>
    <w:p>
      <w:pPr>
        <w:pStyle w:val="1066"/>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066"/>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9.5pt" to="210.1pt,19.5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二、保证所提供的响应文件及所有材料的真实、合法、有效，并对其负责。</w:t>
      </w:r>
      <w:r/>
    </w:p>
    <w:p>
      <w:pPr>
        <w:ind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四、所供货物保证符合国家有关产品质量、性能和安全标准，无权利瑕疵。</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五、报价有效期为30个工作日。</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六、同意向贵方提供贵方可能要求的与本次磋商采购有关的任何证据或资料。</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七、完全理解贵方不一定要接受最低的报价或收到的任何报价。</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供应商（电子签章）：</w:t>
      </w:r>
      <w:r/>
    </w:p>
    <w:p>
      <w:pPr>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联系电话：</w:t>
      </w:r>
      <w:r/>
    </w:p>
    <w:p>
      <w:pPr>
        <w:ind w:right="29"/>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日期：  年  月  日</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8、授权委托书</w:t>
      </w:r>
      <w:r/>
    </w:p>
    <w:p>
      <w:pPr>
        <w:spacing w:line="500" w:lineRule="exact"/>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委托人（全称）：</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统一社会信用代码：</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受托人：                  先生（女士）</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身份证号：</w:t>
      </w:r>
      <w:r/>
    </w:p>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兹委托（</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）全权代表我企业（公司）参与</w:t>
      </w:r>
      <w:r>
        <w:rPr>
          <w:rFonts w:hint="eastAsia" w:ascii="宋体" w:hAnsi="宋体" w:cs="宋体"/>
          <w:color w:val="000000" w:themeColor="text1"/>
          <w:sz w:val="24"/>
          <w:szCs w:val="24"/>
          <w:u w:val="single"/>
          <w14:textFill>
            <w14:solidFill>
              <w14:schemeClr w14:val="tx1"/>
            </w14:solidFill>
          </w14:textFill>
        </w:rPr>
        <w:t xml:space="preserve">          项目</w:t>
      </w:r>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]的磋商活动及签订合同。（</w:t>
      </w:r>
      <w:r>
        <w:rPr>
          <w:rFonts w:hint="eastAsia" w:ascii="宋体" w:hAnsi="宋体" w:cs="宋体"/>
          <w:b/>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）以我企业（公司）名义所为的行为及签署的文件，我企业（公司）均予以认可。有关法律责任均由我企业（公司）承担。（</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）无转委托权。</w:t>
      </w:r>
      <w:r>
        <w:rPr>
          <w:rFonts w:hint="eastAsia" w:ascii="宋体" w:hAnsi="宋体" w:cs="宋体"/>
          <w:color w:val="000000" w:themeColor="text1"/>
          <w:sz w:val="24"/>
          <w:szCs w:val="24"/>
          <w:lang w:val="en-US" w:eastAsia="zh-CN"/>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委托期限自</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日起至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日止。</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委托人（</w:t>
      </w:r>
      <w:r>
        <w:rPr>
          <w:rFonts w:hint="eastAsia" w:ascii="宋体" w:hAnsi="宋体" w:cs="宋体"/>
          <w:b/>
          <w:bCs/>
          <w:color w:val="000000" w:themeColor="text1"/>
          <w:sz w:val="24"/>
          <w:szCs w:val="24"/>
          <w:lang w:val="en-US" w:eastAsia="zh-CN"/>
          <w14:textFill>
            <w14:solidFill>
              <w14:schemeClr w14:val="tx1"/>
            </w14:solidFill>
          </w14:textFill>
        </w:rPr>
        <w:t xml:space="preserve">电子签章</w:t>
      </w:r>
      <w:r>
        <w:rPr>
          <w:rFonts w:hint="eastAsia" w:ascii="宋体" w:hAnsi="宋体" w:cs="宋体"/>
          <w:b/>
          <w:bCs/>
          <w:color w:val="000000" w:themeColor="text1"/>
          <w:sz w:val="24"/>
          <w:szCs w:val="24"/>
          <w14:textFill>
            <w14:solidFill>
              <w14:schemeClr w14:val="tx1"/>
            </w14:solidFill>
          </w14:textFill>
        </w:rPr>
        <w:t xml:space="preserve">）：</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法定代表人（签字或盖章）：</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联系方式：</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受托人（签字或盖章）：</w:t>
      </w:r>
      <w:r/>
    </w:p>
    <w:p>
      <w:pPr>
        <w:ind w:firstLine="6667"/>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年   月   日</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(受托人身份证扫描件附后)</w:t>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9、中小企业声明函</w:t>
      </w:r>
      <w:r/>
    </w:p>
    <w:p>
      <w:pPr>
        <w:spacing w:line="360" w:lineRule="auto"/>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u w:val="single"/>
          <w14:textFill>
            <w14:solidFill>
              <w14:schemeClr w14:val="tx1"/>
            </w14:solidFill>
          </w14:textFill>
        </w:rPr>
        <w:t xml:space="preserve">               </w:t>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睢宁县农业农村局</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2025年度睢宁县第二轮土地承包到期后再延长30年试点项目</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560"/>
        <w:spacing w:line="360" w:lineRule="auto"/>
        <w:rPr>
          <w:rFonts w:ascii="宋体" w:hAnsi="宋体" w:cs="宋体"/>
          <w:b/>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2025年度睢宁县第二轮土地承包到期后再延长30年试点项目</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val="en-US" w:eastAsia="zh-CN"/>
          <w14:textFill>
            <w14:solidFill>
              <w14:schemeClr w14:val="tx1"/>
            </w14:solidFill>
          </w14:textFill>
        </w:rPr>
        <w:t xml:space="preserve">其他未列明行业</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w:t>
      </w:r>
      <w:r>
        <w:rPr>
          <w:rFonts w:hint="eastAsia" w:ascii="宋体" w:hAnsi="宋体" w:cs="宋体"/>
          <w:b/>
          <w:color w:val="000000" w:themeColor="text1"/>
          <w:sz w:val="24"/>
          <w:szCs w:val="24"/>
          <w14:textFill>
            <w14:solidFill>
              <w14:schemeClr w14:val="tx1"/>
            </w14:solidFill>
          </w14:textFill>
        </w:rPr>
        <w:t xml:space="preserve">属于（□中型企业、□小型企业、□微型企业，请勾选！）；</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企业名称（电子签章）：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firstLine="360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48"/>
        <w:ind w:left="0"/>
        <w:jc w:val="left"/>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说明：</w:t>
      </w:r>
      <w:r/>
    </w:p>
    <w:p>
      <w:pPr>
        <w:pStyle w:val="1048"/>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48"/>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2、从业人员、营业收入、资产总额填报供应商上一年度数据，无上一年度数据的新成立企业可不填报。</w:t>
      </w:r>
      <w:r/>
    </w:p>
    <w:p>
      <w:pPr>
        <w:pStyle w:val="104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3、中标人为小型、微型企业的，采购人或者其委托的采购代理机构有权随中标、成交结果同时公告其《中小企业声明函》，接受社会监督。</w:t>
      </w:r>
      <w:r/>
    </w:p>
    <w:p>
      <w:pPr>
        <w:pStyle w:val="104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4、执行江苏省财政厅关于进一步加大政府采购支持中小企业力度的通知（苏财购〔2022〕45号）的规定。</w:t>
      </w:r>
      <w:r/>
    </w:p>
    <w:p>
      <w:pPr>
        <w:pStyle w:val="104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5、供应商提供的《中小企业声明函》与事实不符的，依照《政府采购法》第七十七条第一款的规定追究法律责任。</w:t>
      </w:r>
      <w:r/>
    </w:p>
    <w:p>
      <w:pPr>
        <w:pStyle w:val="1048"/>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6、《中小企业声明函》查询渠道用微信搜索“中小企业规模类型自测小程序”。</w:t>
      </w:r>
      <w:r/>
    </w:p>
    <w:p>
      <w:pPr>
        <w:pStyle w:val="921"/>
        <w:keepLines w:val="0"/>
        <w:keepNext w:val="0"/>
        <w:pageBreakBefore w:val="0"/>
        <w:spacing w:line="320" w:lineRule="exact"/>
        <w:widowControl w:val="off"/>
        <w:rPr>
          <w:b w:val="0"/>
          <w:bCs w:val="0"/>
          <w:color w:val="000000" w:themeColor="text1"/>
          <w:sz w:val="22"/>
          <w:szCs w:val="22"/>
          <w14:textFill>
            <w14:solidFill>
              <w14:schemeClr w14:val="tx1"/>
            </w14:solidFill>
          </w14:textFill>
        </w:rPr>
      </w:pPr>
      <w:r>
        <w:rPr>
          <w:b w:val="0"/>
          <w:bCs w:val="0"/>
          <w:color w:val="000000" w:themeColor="text1"/>
          <w:sz w:val="22"/>
          <w:szCs w:val="2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sectPr>
          <w:headerReference w:type="default" r:id="rId12"/>
          <w:footerReference w:type="default" r:id="rId17"/>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545080" cy="4986655"/>
                <wp:effectExtent l="0" t="0" r="7620" b="4445"/>
                <wp:docPr id="11" name="图片 14"/>
                <wp:cNvGraphicFramePr/>
                <a:graphic xmlns:a="http://schemas.openxmlformats.org/drawingml/2006/main">
                  <a:graphicData uri="http://schemas.openxmlformats.org/drawingml/2006/picture">
                    <pic:pic xmlns:pic="http://schemas.openxmlformats.org/drawingml/2006/picture">
                      <pic:nvPicPr>
                        <pic:cNvPr id="11" name="图片 14"/>
                        <pic:cNvPicPr/>
                        <pic:nvPr/>
                      </pic:nvPicPr>
                      <pic:blipFill>
                        <a:blip r:embed="rId19"/>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0.4pt;height:392.6pt;mso-wrap-distance-left:0.0pt;mso-wrap-distance-top:0.0pt;mso-wrap-distance-right:0.0pt;mso-wrap-distance-bottom:0.0pt;" stroked="f">
                <v:path textboxrect="0,0,0,0"/>
                <v:imagedata r:id="rId19" o:title=""/>
              </v:shape>
            </w:pict>
          </mc:Fallback>
        </mc:AlternateConten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10、</w:t>
      </w:r>
      <w:r>
        <w:rPr>
          <w:rFonts w:hint="eastAsia" w:ascii="宋体" w:hAnsi="宋体" w:cs="宋体"/>
          <w:b/>
          <w:color w:val="000000" w:themeColor="text1"/>
          <w:sz w:val="36"/>
          <w:szCs w:val="36"/>
          <w14:textFill>
            <w14:solidFill>
              <w14:schemeClr w14:val="tx1"/>
            </w14:solidFill>
          </w14:textFill>
        </w:rPr>
        <w:t xml:space="preserve">供应商参加政府采购活动前3年内在经营活动中没有重大违法记录的书面声明</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u w:val="single"/>
          <w:lang w:eastAsia="zh-CN"/>
          <w14:textFill>
            <w14:solidFill>
              <w14:schemeClr w14:val="tx1"/>
            </w14:solidFill>
          </w14:textFill>
        </w:rPr>
        <w:t xml:space="preserve">2025年度睢宁县第二轮土地承包到期后再延长30年试点项目</w:t>
      </w:r>
      <w:r>
        <w:rPr>
          <w:rFonts w:hint="eastAsia" w:ascii="宋体" w:hAnsi="宋体" w:cs="宋体"/>
          <w:color w:val="000000" w:themeColor="text1"/>
          <w:sz w:val="24"/>
          <w:szCs w:val="24"/>
          <w:u w:val="none"/>
          <w:lang w:val="en-US" w:eastAsia="zh-CN"/>
          <w14:textFill>
            <w14:solidFill>
              <w14:schemeClr w14:val="tx1"/>
            </w14:solidFill>
          </w14:textFill>
        </w:rPr>
        <w:t xml:space="preserve">项目</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none"/>
          <w14:textFill>
            <w14:solidFill>
              <w14:schemeClr w14:val="tx1"/>
            </w14:solidFill>
          </w14:textFill>
        </w:rPr>
        <w:t xml:space="preserve">项目编号：</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non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我单位对上述声明的真实性负责。如有虚假，将依法承担相应责任。</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pStyle w:val="1022"/>
        <w:ind w:left="239" w:firstLine="2640"/>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r>
      <w:r/>
    </w:p>
    <w:p>
      <w:pPr>
        <w:pStyle w:val="1022"/>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2"/>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2"/>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2"/>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2"/>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2"/>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2"/>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2"/>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color w:val="000000" w:themeColor="text1"/>
          <w:sz w:val="36"/>
          <w:szCs w:val="36"/>
          <w14:textFill>
            <w14:solidFill>
              <w14:schemeClr w14:val="tx1"/>
            </w14:solidFill>
          </w14:textFill>
        </w:rPr>
      </w:r>
      <w:r/>
    </w:p>
    <w:p>
      <w:pPr>
        <w:jc w:val="center"/>
        <w:spacing w:line="588" w:lineRule="exact"/>
        <w:rPr>
          <w:rFonts w:hint="eastAsia" w:ascii="宋体" w:hAnsi="宋体" w:cs="宋体"/>
          <w:b/>
          <w:color w:val="000000" w:themeColor="text1"/>
          <w:sz w:val="36"/>
          <w:szCs w:val="36"/>
          <w14:textFill>
            <w14:solidFill>
              <w14:schemeClr w14:val="tx1"/>
            </w14:solidFill>
          </w14:textFill>
        </w:rPr>
      </w:pPr>
      <w:r/>
      <w:bookmarkStart w:id="25" w:name="OLE_LINK13"/>
      <w:r/>
      <w:bookmarkStart w:id="26" w:name="OLE_LINK14"/>
      <w:r>
        <w:rPr>
          <w:rFonts w:hint="eastAsia" w:ascii="宋体" w:hAnsi="宋体" w:cs="宋体"/>
          <w:b/>
          <w:color w:val="000000" w:themeColor="text1"/>
          <w:sz w:val="36"/>
          <w:szCs w:val="36"/>
          <w:lang w:val="en-US" w:eastAsia="zh-CN"/>
          <w14:textFill>
            <w14:solidFill>
              <w14:schemeClr w14:val="tx1"/>
            </w14:solidFill>
          </w14:textFill>
        </w:rPr>
        <w:t xml:space="preserve">11</w:t>
      </w:r>
      <w:r>
        <w:rPr>
          <w:rFonts w:hint="eastAsia" w:ascii="宋体" w:hAnsi="宋体" w:cs="宋体"/>
          <w:b/>
          <w:color w:val="000000" w:themeColor="text1"/>
          <w:sz w:val="36"/>
          <w:szCs w:val="36"/>
          <w:lang w:eastAsia="zh-CN"/>
          <w14:textFill>
            <w14:solidFill>
              <w14:schemeClr w14:val="tx1"/>
            </w14:solidFill>
          </w14:textFill>
        </w:rPr>
        <w:t xml:space="preserve">、</w:t>
      </w:r>
      <w:r>
        <w:rPr>
          <w:rFonts w:hint="eastAsia" w:ascii="宋体" w:hAnsi="宋体" w:cs="宋体"/>
          <w:b/>
          <w:color w:val="000000" w:themeColor="text1"/>
          <w:sz w:val="36"/>
          <w:szCs w:val="36"/>
          <w14:textFill>
            <w14:solidFill>
              <w14:schemeClr w14:val="tx1"/>
            </w14:solidFill>
          </w14:textFill>
        </w:rPr>
        <w:t xml:space="preserve">具备履行合同所必需的设备和专业技术能力的书面声明（附证明材料扫描件）</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2025年度睢宁县第二轮土地承包到期后再延长30年试点项目</w:t>
      </w:r>
      <w:r/>
    </w:p>
    <w:p>
      <w:pPr>
        <w:spacing w:line="360" w:lineRule="auto"/>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郑重声明：</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具备履行合同（项目名称：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2025年度睢宁县第二轮土地承包到期后再延长30年试点项目</w:t>
      </w:r>
      <w:r>
        <w:rPr>
          <w:rFonts w:hint="eastAsia" w:ascii="宋体" w:hAnsi="宋体" w:eastAsia="宋体" w:cs="宋体"/>
          <w:color w:val="000000" w:themeColor="text1"/>
          <w:sz w:val="24"/>
          <w:szCs w:val="24"/>
          <w14:textFill>
            <w14:solidFill>
              <w14:schemeClr w14:val="tx1"/>
            </w14:solidFill>
          </w14:textFill>
        </w:rPr>
        <w:t xml:space="preserve">，项目编号：）所必需的设备和专业技术能力，具体为：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对上述声明的真实性负责。如有虚假，将依法承担相应责任。</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jc w:val="center"/>
        <w:spacing w:line="588" w:lineRule="exact"/>
        <w:rPr>
          <w:rFonts w:hint="eastAsia"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b/>
          <w:color w:val="000000" w:themeColor="text1"/>
          <w:sz w:val="32"/>
          <w:szCs w:val="32"/>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w:t>
      </w:r>
      <w:r>
        <w:rPr>
          <w:rFonts w:hint="eastAsia" w:ascii="宋体" w:hAnsi="宋体" w:cs="宋体"/>
          <w:b/>
          <w:color w:val="000000" w:themeColor="text1"/>
          <w:sz w:val="36"/>
          <w:szCs w:val="36"/>
          <w:lang w:val="en-US" w:eastAsia="zh-CN"/>
          <w14:textFill>
            <w14:solidFill>
              <w14:schemeClr w14:val="tx1"/>
            </w14:solidFill>
          </w14:textFill>
        </w:rPr>
        <w:t xml:space="preserve">2</w:t>
      </w:r>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25"/>
      <w:r/>
      <w:bookmarkEnd w:id="26"/>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szCs w:val="24"/>
          <w14:textFill>
            <w14:solidFill>
              <w14:schemeClr w14:val="tx1"/>
            </w14:solidFill>
          </w14:textFill>
        </w:rPr>
        <w:t xml:space="preserve">〔2017〕 141</w:t>
      </w:r>
      <w:r>
        <w:rPr>
          <w:rFonts w:hint="eastAsia" w:ascii="宋体" w:hAnsi="宋体" w:cs="宋体"/>
          <w:color w:val="000000" w:themeColor="text1"/>
          <w:spacing w:val="6"/>
          <w:sz w:val="24"/>
          <w:szCs w:val="24"/>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单位名称（电子签章）：</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日  期：  年  月  日</w:t>
      </w:r>
      <w:r/>
    </w:p>
    <w:p>
      <w:pPr>
        <w:pStyle w:val="939"/>
        <w:ind w:left="0"/>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说明：</w:t>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供应商提供的《残疾人福利性单位声明函》与事实不符的，依照《政府采购法》第七十七条第一款的规定追究法律责任。</w:t>
      </w:r>
      <w:r/>
    </w:p>
    <w:p>
      <w:pPr>
        <w:jc w:val="center"/>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lang w:val="en-US" w:eastAsia="zh-CN"/>
          <w14:textFill>
            <w14:solidFill>
              <w14:schemeClr w14:val="tx1"/>
            </w14:solidFill>
          </w14:textFill>
        </w:rPr>
        <w:t xml:space="preserve">13</w:t>
      </w:r>
      <w:r>
        <w:rPr>
          <w:rFonts w:hint="eastAsia" w:ascii="宋体" w:hAnsi="宋体" w:cs="宋体"/>
          <w:b/>
          <w:color w:val="000000" w:themeColor="text1"/>
          <w:sz w:val="36"/>
          <w:szCs w:val="36"/>
          <w14:textFill>
            <w14:solidFill>
              <w14:schemeClr w14:val="tx1"/>
            </w14:solidFill>
          </w14:textFill>
        </w:rPr>
        <w:t xml:space="preserve">、预付款保函支付条款模板</w:t>
      </w:r>
      <w:r/>
    </w:p>
    <w:p>
      <w:pPr>
        <w:ind w:firstLine="565"/>
        <w:spacing w:line="48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        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left="140"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pStyle w:val="939"/>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pStyle w:val="92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2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2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2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2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2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2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2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w:t>
      </w:r>
      <w:r>
        <w:rPr>
          <w:rFonts w:hint="eastAsia" w:ascii="宋体" w:hAnsi="宋体" w:cs="宋体"/>
          <w:b/>
          <w:color w:val="000000"/>
          <w:sz w:val="36"/>
          <w:lang w:val="en-US" w:eastAsia="zh-CN"/>
        </w:rPr>
        <w:t xml:space="preserve">4</w:t>
      </w:r>
      <w:r>
        <w:rPr>
          <w:rFonts w:ascii="宋体" w:hAnsi="宋体" w:eastAsia="宋体" w:cs="宋体"/>
          <w:b/>
          <w:color w:val="000000"/>
          <w:sz w:val="36"/>
        </w:rPr>
        <w:t xml:space="preserve">、招标代理服务收费标准</w:t>
      </w:r>
      <w:r/>
    </w:p>
    <w:tbl>
      <w:tblPr>
        <w:tblStyle w:val="915"/>
        <w:tblW w:w="92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25"/>
        <w:gridCol w:w="462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说明：</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1.按上表计算的收费为代理服务全过程的收费金额。各社会代理机构不再收取采购文件制作售卖费用。</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2.代理服务费按差额定率累进法计算。</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3.代理服务费基准金额（按差额定率累进法计算的）=中标金额（按差额定率累进法计算的）*费率（%）</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4.代理服务费应收取金额=代理服务费基准金额（按差额定率累进法计算的）的合计数。</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5.定点类等无金额或事先不能计算出价格总额的项目，按中标（成交）金额100万元计算。</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6.有分包（分标段）的按一个项目计算。</w:t>
      </w:r>
      <w:r/>
    </w:p>
    <w:p>
      <w:pPr>
        <w:ind w:left="0" w:right="0" w:firstLine="505"/>
        <w:spacing w:before="240" w:after="240" w:line="85" w:lineRule="atLeast"/>
        <w:rPr>
          <w:highlight w:val="yellow"/>
        </w:rPr>
        <w:pBdr>
          <w:top w:val="none" w:color="000000" w:sz="0" w:space="0"/>
          <w:left w:val="none" w:color="000000" w:sz="0" w:space="0"/>
          <w:bottom w:val="none" w:color="000000" w:sz="0" w:space="0"/>
          <w:right w:val="none" w:color="000000" w:sz="0" w:space="0"/>
        </w:pBdr>
      </w:pPr>
      <w:r>
        <w:rPr>
          <w:highlight w:val="yellow"/>
        </w:rPr>
      </w:r>
      <w:r/>
    </w:p>
    <w:p>
      <w:pPr>
        <w:pStyle w:val="929"/>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80"/>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sectPr>
      <w:footnotePr/>
      <w:endnotePr/>
      <w:type w:val="nextPage"/>
      <w:pgSz w:w="11906" w:h="16838" w:orient="portrait"/>
      <w:pgMar w:top="1434" w:right="1434" w:bottom="1434" w:left="14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仿宋_GB2312">
    <w:panose1 w:val="02010609060101010101"/>
  </w:font>
  <w:font w:name="楷体_GB2312">
    <w:panose1 w:val="02010609060101010101"/>
  </w:font>
  <w:font w:name="华文细黑">
    <w:panose1 w:val="02010600040101010101"/>
  </w:font>
  <w:font w:name="Cambria">
    <w:panose1 w:val="02040503050406030204"/>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8" w:default="1">
    <w:name w:val="Normal"/>
    <w:link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name w:val="Heading 1"/>
    <w:basedOn w:val="878"/>
    <w:next w:val="878"/>
    <w:link w:val="949"/>
    <w:uiPriority w:val="9"/>
    <w:qFormat/>
    <w:pPr>
      <w:keepLines/>
      <w:keepNext/>
      <w:spacing w:before="480" w:after="200"/>
      <w:outlineLvl w:val="0"/>
    </w:pPr>
    <w:rPr>
      <w:rFonts w:ascii="Arial" w:hAnsi="Arial" w:eastAsia="Arial" w:cs="Arial"/>
      <w:sz w:val="40"/>
      <w:szCs w:val="40"/>
    </w:rPr>
  </w:style>
  <w:style w:type="paragraph" w:styleId="880">
    <w:name w:val="Heading 2"/>
    <w:basedOn w:val="878"/>
    <w:next w:val="878"/>
    <w:link w:val="950"/>
    <w:uiPriority w:val="9"/>
    <w:unhideWhenUsed/>
    <w:qFormat/>
    <w:pPr>
      <w:keepLines/>
      <w:keepNext/>
      <w:spacing w:before="360" w:after="200"/>
      <w:outlineLvl w:val="1"/>
    </w:pPr>
    <w:rPr>
      <w:rFonts w:ascii="Arial" w:hAnsi="Arial" w:eastAsia="Arial" w:cs="Arial"/>
      <w:sz w:val="34"/>
    </w:rPr>
  </w:style>
  <w:style w:type="paragraph" w:styleId="881">
    <w:name w:val="Heading 3"/>
    <w:basedOn w:val="878"/>
    <w:next w:val="878"/>
    <w:link w:val="951"/>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878"/>
    <w:next w:val="878"/>
    <w:link w:val="952"/>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878"/>
    <w:next w:val="878"/>
    <w:link w:val="953"/>
    <w:uiPriority w:val="9"/>
    <w:unhideWhenUsed/>
    <w:qFormat/>
    <w:pPr>
      <w:keepLines/>
      <w:keepNext/>
      <w:spacing w:before="320" w:after="200"/>
      <w:outlineLvl w:val="4"/>
    </w:pPr>
    <w:rPr>
      <w:rFonts w:ascii="Arial" w:hAnsi="Arial" w:eastAsia="Arial" w:cs="Arial"/>
      <w:b/>
      <w:bCs/>
      <w:sz w:val="24"/>
      <w:szCs w:val="24"/>
    </w:rPr>
  </w:style>
  <w:style w:type="paragraph" w:styleId="884">
    <w:name w:val="Heading 6"/>
    <w:basedOn w:val="878"/>
    <w:next w:val="878"/>
    <w:link w:val="954"/>
    <w:uiPriority w:val="9"/>
    <w:unhideWhenUsed/>
    <w:qFormat/>
    <w:pPr>
      <w:keepLines/>
      <w:keepNext/>
      <w:spacing w:before="320" w:after="200"/>
      <w:outlineLvl w:val="5"/>
    </w:pPr>
    <w:rPr>
      <w:rFonts w:ascii="Arial" w:hAnsi="Arial" w:eastAsia="Arial" w:cs="Arial"/>
      <w:b/>
      <w:bCs/>
      <w:sz w:val="22"/>
      <w:szCs w:val="22"/>
    </w:rPr>
  </w:style>
  <w:style w:type="paragraph" w:styleId="885">
    <w:name w:val="Heading 7"/>
    <w:basedOn w:val="878"/>
    <w:next w:val="878"/>
    <w:link w:val="955"/>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Heading 8"/>
    <w:basedOn w:val="878"/>
    <w:next w:val="878"/>
    <w:link w:val="956"/>
    <w:uiPriority w:val="9"/>
    <w:unhideWhenUsed/>
    <w:qFormat/>
    <w:pPr>
      <w:keepLines/>
      <w:keepNext/>
      <w:spacing w:before="320" w:after="200"/>
      <w:outlineLvl w:val="7"/>
    </w:pPr>
    <w:rPr>
      <w:rFonts w:ascii="Arial" w:hAnsi="Arial" w:eastAsia="Arial" w:cs="Arial"/>
      <w:i/>
      <w:iCs/>
      <w:sz w:val="22"/>
      <w:szCs w:val="22"/>
    </w:rPr>
  </w:style>
  <w:style w:type="paragraph" w:styleId="887">
    <w:name w:val="Heading 9"/>
    <w:basedOn w:val="878"/>
    <w:next w:val="878"/>
    <w:link w:val="957"/>
    <w:uiPriority w:val="9"/>
    <w:unhideWhenUsed/>
    <w:qFormat/>
    <w:pPr>
      <w:keepLines/>
      <w:keepNext/>
      <w:spacing w:before="320" w:after="200"/>
      <w:outlineLvl w:val="8"/>
    </w:pPr>
    <w:rPr>
      <w:rFonts w:ascii="Arial" w:hAnsi="Arial" w:eastAsia="Arial" w:cs="Arial"/>
      <w:i/>
      <w:iCs/>
      <w:sz w:val="21"/>
      <w:szCs w:val="21"/>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toc 7"/>
    <w:basedOn w:val="878"/>
    <w:next w:val="878"/>
    <w:uiPriority w:val="39"/>
    <w:unhideWhenUsed/>
    <w:qFormat/>
    <w:pPr>
      <w:ind w:left="1701" w:right="0" w:firstLine="0"/>
      <w:spacing w:after="57"/>
    </w:pPr>
  </w:style>
  <w:style w:type="paragraph" w:styleId="891">
    <w:name w:val="Caption"/>
    <w:basedOn w:val="878"/>
    <w:next w:val="8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2">
    <w:name w:val="annotation text"/>
    <w:basedOn w:val="878"/>
    <w:uiPriority w:val="0"/>
    <w:qFormat/>
    <w:pPr>
      <w:jc w:val="left"/>
    </w:pPr>
  </w:style>
  <w:style w:type="paragraph" w:styleId="893">
    <w:name w:val="Body Text"/>
    <w:basedOn w:val="878"/>
    <w:next w:val="894"/>
    <w:uiPriority w:val="99"/>
    <w:qFormat/>
    <w:pPr>
      <w:spacing w:after="120"/>
    </w:pPr>
    <w:rPr>
      <w:rFonts w:ascii="Calibri" w:hAnsi="Calibri"/>
    </w:rPr>
  </w:style>
  <w:style w:type="paragraph" w:styleId="894">
    <w:name w:val="Body Text First Indent"/>
    <w:basedOn w:val="893"/>
    <w:next w:val="895"/>
    <w:uiPriority w:val="99"/>
    <w:qFormat/>
    <w:pPr>
      <w:ind w:firstLine="420"/>
      <w:spacing w:after="120" w:line="440" w:lineRule="exact"/>
    </w:pPr>
    <w:rPr>
      <w:rFonts w:ascii="宋体"/>
    </w:rPr>
  </w:style>
  <w:style w:type="paragraph" w:styleId="895">
    <w:name w:val="toc 6"/>
    <w:basedOn w:val="878"/>
    <w:next w:val="878"/>
    <w:uiPriority w:val="39"/>
    <w:unhideWhenUsed/>
    <w:qFormat/>
    <w:pPr>
      <w:ind w:left="1417" w:right="0" w:firstLine="0"/>
      <w:spacing w:after="57"/>
    </w:pPr>
  </w:style>
  <w:style w:type="paragraph" w:styleId="896">
    <w:name w:val="Body Text Indent"/>
    <w:basedOn w:val="878"/>
    <w:uiPriority w:val="99"/>
    <w:qFormat/>
    <w:pPr>
      <w:ind w:left="420"/>
      <w:spacing w:after="120"/>
    </w:pPr>
  </w:style>
  <w:style w:type="paragraph" w:styleId="897">
    <w:name w:val="Block Text"/>
    <w:basedOn w:val="878"/>
    <w:uiPriority w:val="99"/>
    <w:unhideWhenUsed/>
    <w:qFormat/>
    <w:pPr>
      <w:ind w:left="1440" w:right="1440"/>
      <w:spacing w:after="120"/>
    </w:pPr>
  </w:style>
  <w:style w:type="paragraph" w:styleId="898">
    <w:name w:val="toc 5"/>
    <w:basedOn w:val="878"/>
    <w:next w:val="878"/>
    <w:uiPriority w:val="39"/>
    <w:unhideWhenUsed/>
    <w:qFormat/>
    <w:pPr>
      <w:ind w:left="1134" w:right="0" w:firstLine="0"/>
      <w:spacing w:after="57"/>
    </w:pPr>
  </w:style>
  <w:style w:type="paragraph" w:styleId="899">
    <w:name w:val="toc 3"/>
    <w:basedOn w:val="878"/>
    <w:next w:val="878"/>
    <w:uiPriority w:val="39"/>
    <w:unhideWhenUsed/>
    <w:qFormat/>
    <w:pPr>
      <w:ind w:left="567" w:right="0" w:firstLine="0"/>
      <w:spacing w:after="57"/>
    </w:pPr>
  </w:style>
  <w:style w:type="paragraph" w:styleId="900">
    <w:name w:val="toc 8"/>
    <w:basedOn w:val="878"/>
    <w:next w:val="878"/>
    <w:uiPriority w:val="39"/>
    <w:unhideWhenUsed/>
    <w:qFormat/>
    <w:pPr>
      <w:ind w:left="1984" w:right="0" w:firstLine="0"/>
      <w:spacing w:after="57"/>
    </w:pPr>
  </w:style>
  <w:style w:type="paragraph" w:styleId="901">
    <w:name w:val="endnote text"/>
    <w:basedOn w:val="878"/>
    <w:link w:val="969"/>
    <w:uiPriority w:val="99"/>
    <w:semiHidden/>
    <w:unhideWhenUsed/>
    <w:qFormat/>
    <w:pPr>
      <w:spacing w:after="0" w:line="240" w:lineRule="auto"/>
    </w:pPr>
    <w:rPr>
      <w:sz w:val="20"/>
    </w:rPr>
  </w:style>
  <w:style w:type="paragraph" w:styleId="902">
    <w:name w:val="Footer"/>
    <w:basedOn w:val="878"/>
    <w:link w:val="967"/>
    <w:uiPriority w:val="99"/>
    <w:unhideWhenUsed/>
    <w:qFormat/>
    <w:pPr>
      <w:spacing w:after="0" w:line="240" w:lineRule="auto"/>
      <w:tabs>
        <w:tab w:val="center" w:pos="7143" w:leader="none"/>
        <w:tab w:val="right" w:pos="14287" w:leader="none"/>
      </w:tabs>
    </w:pPr>
  </w:style>
  <w:style w:type="paragraph" w:styleId="903">
    <w:name w:val="envelope return"/>
    <w:basedOn w:val="878"/>
    <w:uiPriority w:val="0"/>
    <w:qFormat/>
    <w:rPr>
      <w:rFonts w:ascii="Arial" w:hAnsi="Arial"/>
    </w:rPr>
  </w:style>
  <w:style w:type="paragraph" w:styleId="904">
    <w:name w:val="Header"/>
    <w:basedOn w:val="878"/>
    <w:link w:val="966"/>
    <w:uiPriority w:val="99"/>
    <w:unhideWhenUsed/>
    <w:qFormat/>
    <w:pPr>
      <w:spacing w:after="0" w:line="240" w:lineRule="auto"/>
      <w:tabs>
        <w:tab w:val="center" w:pos="7143" w:leader="none"/>
        <w:tab w:val="right" w:pos="14287" w:leader="none"/>
      </w:tabs>
    </w:pPr>
  </w:style>
  <w:style w:type="paragraph" w:styleId="905">
    <w:name w:val="toc 1"/>
    <w:basedOn w:val="878"/>
    <w:next w:val="878"/>
    <w:uiPriority w:val="39"/>
    <w:unhideWhenUsed/>
    <w:qFormat/>
    <w:pPr>
      <w:ind w:left="0" w:right="0" w:firstLine="0"/>
      <w:spacing w:after="57"/>
    </w:pPr>
  </w:style>
  <w:style w:type="paragraph" w:styleId="906">
    <w:name w:val="toc 4"/>
    <w:basedOn w:val="878"/>
    <w:next w:val="878"/>
    <w:uiPriority w:val="39"/>
    <w:unhideWhenUsed/>
    <w:qFormat/>
    <w:pPr>
      <w:ind w:left="850" w:right="0" w:firstLine="0"/>
      <w:spacing w:after="57"/>
    </w:pPr>
  </w:style>
  <w:style w:type="paragraph" w:styleId="907">
    <w:name w:val="Subtitle"/>
    <w:basedOn w:val="878"/>
    <w:next w:val="878"/>
    <w:link w:val="961"/>
    <w:uiPriority w:val="11"/>
    <w:qFormat/>
    <w:pPr>
      <w:spacing w:before="200" w:after="200"/>
    </w:pPr>
    <w:rPr>
      <w:sz w:val="24"/>
      <w:szCs w:val="24"/>
    </w:rPr>
  </w:style>
  <w:style w:type="paragraph" w:styleId="908">
    <w:name w:val="footnote text"/>
    <w:basedOn w:val="878"/>
    <w:link w:val="968"/>
    <w:uiPriority w:val="99"/>
    <w:semiHidden/>
    <w:unhideWhenUsed/>
    <w:qFormat/>
    <w:pPr>
      <w:spacing w:after="40" w:line="240" w:lineRule="auto"/>
    </w:pPr>
    <w:rPr>
      <w:sz w:val="18"/>
    </w:rPr>
  </w:style>
  <w:style w:type="paragraph" w:styleId="909">
    <w:name w:val="table of figures"/>
    <w:basedOn w:val="878"/>
    <w:next w:val="878"/>
    <w:uiPriority w:val="99"/>
    <w:unhideWhenUsed/>
    <w:qFormat/>
    <w:pPr>
      <w:spacing w:after="0" w:afterAutospacing="0"/>
    </w:pPr>
  </w:style>
  <w:style w:type="paragraph" w:styleId="910">
    <w:name w:val="toc 2"/>
    <w:basedOn w:val="878"/>
    <w:next w:val="878"/>
    <w:uiPriority w:val="39"/>
    <w:unhideWhenUsed/>
    <w:qFormat/>
    <w:pPr>
      <w:ind w:left="283" w:right="0" w:firstLine="0"/>
      <w:spacing w:after="57"/>
    </w:pPr>
  </w:style>
  <w:style w:type="paragraph" w:styleId="911">
    <w:name w:val="toc 9"/>
    <w:basedOn w:val="878"/>
    <w:next w:val="878"/>
    <w:uiPriority w:val="39"/>
    <w:unhideWhenUsed/>
    <w:qFormat/>
    <w:pPr>
      <w:ind w:left="2268" w:right="0" w:firstLine="0"/>
      <w:spacing w:after="57"/>
    </w:pPr>
  </w:style>
  <w:style w:type="paragraph" w:styleId="912">
    <w:name w:val="Normal (Web)"/>
    <w:basedOn w:val="878"/>
    <w:uiPriority w:val="0"/>
    <w:qFormat/>
    <w:pPr>
      <w:ind w:left="0" w:right="0"/>
      <w:jc w:val="left"/>
      <w:spacing w:before="0" w:beforeAutospacing="1" w:after="0" w:afterAutospacing="1"/>
    </w:pPr>
    <w:rPr>
      <w:sz w:val="24"/>
      <w:lang w:val="en-US" w:eastAsia="zh-CN" w:bidi="ar"/>
    </w:rPr>
  </w:style>
  <w:style w:type="paragraph" w:styleId="913">
    <w:name w:val="Title"/>
    <w:basedOn w:val="878"/>
    <w:next w:val="878"/>
    <w:link w:val="960"/>
    <w:uiPriority w:val="10"/>
    <w:qFormat/>
    <w:pPr>
      <w:contextualSpacing/>
      <w:spacing w:before="300" w:after="200"/>
    </w:pPr>
    <w:rPr>
      <w:sz w:val="48"/>
      <w:szCs w:val="48"/>
    </w:rPr>
  </w:style>
  <w:style w:type="paragraph" w:styleId="914">
    <w:name w:val="Body Text First Indent 2"/>
    <w:basedOn w:val="896"/>
    <w:uiPriority w:val="99"/>
    <w:unhideWhenUsed/>
    <w:qFormat/>
    <w:pPr>
      <w:ind w:firstLine="420"/>
    </w:pPr>
    <w:rPr>
      <w:sz w:val="21"/>
      <w:szCs w:val="24"/>
    </w:rPr>
  </w:style>
  <w:style w:type="table" w:styleId="9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6">
    <w:name w:val="endnote reference"/>
    <w:uiPriority w:val="99"/>
    <w:semiHidden/>
    <w:unhideWhenUsed/>
    <w:qFormat/>
    <w:rPr>
      <w:vertAlign w:val="superscript"/>
    </w:rPr>
  </w:style>
  <w:style w:type="character" w:styleId="917">
    <w:name w:val="Hyperlink"/>
    <w:uiPriority w:val="99"/>
    <w:unhideWhenUsed/>
    <w:qFormat/>
    <w:rPr>
      <w:color w:val="0000ff" w:themeColor="hyperlink"/>
      <w:u w:val="single"/>
      <w14:textFill>
        <w14:solidFill>
          <w14:schemeClr w14:val="hlink"/>
        </w14:solidFill>
      </w14:textFill>
    </w:rPr>
  </w:style>
  <w:style w:type="character" w:styleId="918">
    <w:name w:val="footnote reference"/>
    <w:uiPriority w:val="99"/>
    <w:unhideWhenUsed/>
    <w:qFormat/>
    <w:rPr>
      <w:vertAlign w:val="superscript"/>
    </w:rPr>
  </w:style>
  <w:style w:type="paragraph" w:styleId="919" w:customStyle="1">
    <w:name w:val="Heading 4"/>
    <w:basedOn w:val="878"/>
    <w:next w:val="920"/>
    <w:uiPriority w:val="0"/>
    <w:qFormat/>
    <w:pPr>
      <w:keepLines/>
      <w:keepNext/>
      <w:spacing w:before="120" w:after="120"/>
    </w:pPr>
    <w:rPr>
      <w:rFonts w:ascii="Cambria" w:hAnsi="Cambria" w:eastAsia="华文细黑"/>
      <w:b/>
      <w:sz w:val="28"/>
      <w:szCs w:val="20"/>
    </w:rPr>
  </w:style>
  <w:style w:type="paragraph" w:styleId="920" w:customStyle="1">
    <w:name w:val="NormalIndent"/>
    <w:basedOn w:val="878"/>
    <w:uiPriority w:val="0"/>
    <w:qFormat/>
    <w:pPr>
      <w:ind w:firstLine="420"/>
    </w:pPr>
  </w:style>
  <w:style w:type="paragraph" w:styleId="921" w:customStyle="1">
    <w:name w:val="目录 11"/>
    <w:basedOn w:val="922"/>
    <w:next w:val="878"/>
    <w:uiPriority w:val="39"/>
    <w:unhideWhenUsed/>
    <w:qFormat/>
    <w:pPr>
      <w:spacing w:after="57"/>
    </w:pPr>
  </w:style>
  <w:style w:type="paragraph" w:styleId="922" w:customStyle="1">
    <w:name w:val="正文12"/>
    <w:next w:val="92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23" w:customStyle="1">
    <w:name w:val="脚注文本1"/>
    <w:basedOn w:val="924"/>
    <w:next w:val="926"/>
    <w:link w:val="1009"/>
    <w:uiPriority w:val="99"/>
    <w:unhideWhenUsed/>
    <w:qFormat/>
    <w:pPr>
      <w:spacing w:after="40"/>
    </w:pPr>
    <w:rPr>
      <w:sz w:val="18"/>
    </w:rPr>
  </w:style>
  <w:style w:type="paragraph" w:styleId="924" w:customStyle="1">
    <w:name w:val="正文1111"/>
    <w:next w:val="9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5" w:customStyle="1">
    <w:name w:val="标题 211"/>
    <w:basedOn w:val="878"/>
    <w:next w:val="924"/>
    <w:link w:val="990"/>
    <w:uiPriority w:val="9"/>
    <w:qFormat/>
    <w:pPr>
      <w:keepLines/>
      <w:keepNext/>
      <w:spacing w:before="360" w:after="200"/>
      <w:outlineLvl w:val="1"/>
    </w:pPr>
    <w:rPr>
      <w:rFonts w:ascii="Arial" w:hAnsi="Arial" w:eastAsia="Arial" w:cs="Arial"/>
      <w:sz w:val="34"/>
    </w:rPr>
  </w:style>
  <w:style w:type="paragraph" w:styleId="926" w:customStyle="1">
    <w:name w:val="索引 51"/>
    <w:basedOn w:val="927"/>
    <w:next w:val="931"/>
    <w:uiPriority w:val="0"/>
    <w:qFormat/>
    <w:pPr>
      <w:ind w:left="798"/>
      <w:jc w:val="left"/>
    </w:pPr>
    <w:rPr>
      <w:rFonts w:ascii="Calibri" w:hAnsi="Calibri"/>
    </w:rPr>
  </w:style>
  <w:style w:type="paragraph" w:styleId="927" w:customStyle="1">
    <w:name w:val="正文111"/>
    <w:next w:val="9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正文文本缩进11"/>
    <w:basedOn w:val="922"/>
    <w:next w:val="929"/>
    <w:uiPriority w:val="0"/>
    <w:qFormat/>
    <w:pPr>
      <w:ind w:left="420"/>
      <w:spacing w:after="120"/>
    </w:pPr>
  </w:style>
  <w:style w:type="paragraph" w:styleId="929" w:customStyle="1">
    <w:name w:val="寄信人地址1"/>
    <w:basedOn w:val="930"/>
    <w:uiPriority w:val="0"/>
    <w:qFormat/>
    <w:rPr>
      <w:rFonts w:ascii="Arial" w:hAnsi="Arial"/>
    </w:rPr>
  </w:style>
  <w:style w:type="paragraph" w:styleId="930" w:customStyle="1">
    <w:name w:val="正文11"/>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正文1"/>
    <w:basedOn w:val="927"/>
    <w:next w:val="932"/>
    <w:link w:val="10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正文文本1"/>
    <w:basedOn w:val="931"/>
    <w:next w:val="933"/>
    <w:uiPriority w:val="0"/>
    <w:qFormat/>
    <w:pPr>
      <w:spacing w:after="120"/>
    </w:pPr>
    <w:rPr>
      <w:lang w:eastAsia="en-US"/>
    </w:rPr>
  </w:style>
  <w:style w:type="paragraph" w:styleId="933" w:customStyle="1">
    <w:name w:val="正文文本 21"/>
    <w:basedOn w:val="927"/>
    <w:uiPriority w:val="0"/>
    <w:qFormat/>
    <w:pPr>
      <w:jc w:val="center"/>
      <w:widowControl/>
    </w:pPr>
    <w:rPr>
      <w:rFonts w:ascii="楷体_GB2312" w:eastAsia="楷体_GB2312"/>
      <w:sz w:val="28"/>
      <w:szCs w:val="28"/>
    </w:rPr>
  </w:style>
  <w:style w:type="paragraph" w:styleId="934" w:customStyle="1">
    <w:name w:val="文本块11"/>
    <w:basedOn w:val="935"/>
    <w:uiPriority w:val="0"/>
    <w:unhideWhenUsed/>
    <w:qFormat/>
    <w:pPr>
      <w:ind w:left="1440" w:right="1440"/>
      <w:spacing w:after="120"/>
    </w:pPr>
  </w:style>
  <w:style w:type="paragraph" w:styleId="935" w:customStyle="1">
    <w:name w:val="正文121"/>
    <w:next w:val="936"/>
    <w:uiPriority w:val="0"/>
    <w:qFormat/>
    <w:rPr>
      <w:rFonts w:hint="default" w:ascii="Times New Roman" w:hAnsi="Times New Roman" w:eastAsia="宋体" w:cs="Times New Roman"/>
    </w:rPr>
  </w:style>
  <w:style w:type="paragraph" w:styleId="936" w:customStyle="1">
    <w:name w:val="正文首行缩进 211"/>
    <w:basedOn w:val="937"/>
    <w:next w:val="935"/>
    <w:uiPriority w:val="99"/>
    <w:qFormat/>
    <w:pPr>
      <w:ind w:left="0" w:firstLine="420"/>
      <w:spacing w:after="0" w:line="360" w:lineRule="auto"/>
    </w:pPr>
    <w:rPr>
      <w:rFonts w:ascii="宋体" w:hAnsi="宋体"/>
    </w:rPr>
  </w:style>
  <w:style w:type="paragraph" w:styleId="937" w:customStyle="1">
    <w:name w:val="正文文本缩进111"/>
    <w:basedOn w:val="935"/>
    <w:next w:val="938"/>
    <w:uiPriority w:val="0"/>
    <w:qFormat/>
    <w:pPr>
      <w:ind w:firstLine="538"/>
      <w:jc w:val="left"/>
    </w:pPr>
    <w:rPr>
      <w:sz w:val="28"/>
      <w:lang w:val="en-US" w:eastAsia="en-US"/>
    </w:rPr>
  </w:style>
  <w:style w:type="paragraph" w:styleId="938" w:customStyle="1">
    <w:name w:val="样式 正文文本缩进 + 首行缩进:  2 字符 行距: 1.5 倍行距"/>
    <w:basedOn w:val="939"/>
    <w:uiPriority w:val="0"/>
    <w:qFormat/>
    <w:pPr>
      <w:ind w:firstLine="645"/>
      <w:jc w:val="both"/>
      <w:spacing w:before="156" w:after="120"/>
    </w:pPr>
    <w:rPr>
      <w:rFonts w:ascii="Calibri" w:hAnsi="Calibri"/>
      <w:sz w:val="28"/>
      <w:lang w:val="en-US" w:eastAsia="zh-CN"/>
    </w:rPr>
  </w:style>
  <w:style w:type="paragraph" w:styleId="939" w:customStyle="1">
    <w:name w:val="正文文本缩进1"/>
    <w:basedOn w:val="931"/>
    <w:next w:val="938"/>
    <w:link w:val="1012"/>
    <w:uiPriority w:val="0"/>
    <w:qFormat/>
    <w:pPr>
      <w:ind w:left="420"/>
      <w:spacing w:after="120"/>
    </w:pPr>
  </w:style>
  <w:style w:type="paragraph" w:styleId="940" w:customStyle="1">
    <w:name w:val="正文112"/>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首行缩进1"/>
    <w:basedOn w:val="942"/>
    <w:next w:val="936"/>
    <w:uiPriority w:val="0"/>
    <w:qFormat/>
    <w:pPr>
      <w:ind w:firstLine="420"/>
    </w:pPr>
    <w:rPr>
      <w:szCs w:val="22"/>
    </w:rPr>
  </w:style>
  <w:style w:type="paragraph" w:styleId="942" w:customStyle="1">
    <w:name w:val="正文文本11"/>
    <w:basedOn w:val="922"/>
    <w:next w:val="927"/>
    <w:uiPriority w:val="0"/>
    <w:qFormat/>
    <w:pPr>
      <w:spacing w:after="120"/>
    </w:pPr>
  </w:style>
  <w:style w:type="paragraph" w:styleId="943" w:customStyle="1">
    <w:name w:val="标题 21"/>
    <w:basedOn w:val="927"/>
    <w:next w:val="922"/>
    <w:link w:val="102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44" w:customStyle="1">
    <w:name w:val="文本块1"/>
    <w:basedOn w:val="927"/>
    <w:next w:val="945"/>
    <w:uiPriority w:val="99"/>
    <w:unhideWhenUsed/>
    <w:qFormat/>
    <w:pPr>
      <w:ind w:left="567" w:right="454" w:firstLine="498"/>
      <w:jc w:val="left"/>
      <w:widowControl/>
    </w:pPr>
    <w:rPr>
      <w:rFonts w:ascii="仿宋_GB2312" w:eastAsia="仿宋_GB2312"/>
      <w:sz w:val="30"/>
      <w:szCs w:val="20"/>
    </w:rPr>
  </w:style>
  <w:style w:type="paragraph" w:styleId="945" w:customStyle="1">
    <w:name w:val="标题 41"/>
    <w:basedOn w:val="878"/>
    <w:next w:val="930"/>
    <w:uiPriority w:val="0"/>
    <w:qFormat/>
    <w:pPr>
      <w:keepLines/>
      <w:keepNext/>
      <w:spacing w:before="280" w:after="290" w:line="372" w:lineRule="auto"/>
      <w:outlineLvl w:val="3"/>
    </w:pPr>
    <w:rPr>
      <w:rFonts w:ascii="Cambria" w:hAnsi="Cambria"/>
      <w:b/>
      <w:bCs/>
      <w:sz w:val="28"/>
      <w:szCs w:val="28"/>
    </w:rPr>
  </w:style>
  <w:style w:type="paragraph" w:styleId="946" w:customStyle="1">
    <w:name w:val="正文缩进1"/>
    <w:basedOn w:val="878"/>
    <w:uiPriority w:val="0"/>
    <w:qFormat/>
    <w:pPr>
      <w:ind w:firstLine="420"/>
    </w:pPr>
  </w:style>
  <w:style w:type="paragraph" w:styleId="947" w:customStyle="1">
    <w:name w:val="脚注文本11"/>
    <w:basedOn w:val="878"/>
    <w:next w:val="948"/>
    <w:uiPriority w:val="0"/>
    <w:unhideWhenUsed/>
    <w:qFormat/>
    <w:pPr>
      <w:spacing w:after="40"/>
    </w:pPr>
    <w:rPr>
      <w:sz w:val="18"/>
    </w:rPr>
  </w:style>
  <w:style w:type="paragraph" w:styleId="948" w:customStyle="1">
    <w:name w:val="索引 511"/>
    <w:basedOn w:val="878"/>
    <w:next w:val="927"/>
    <w:uiPriority w:val="0"/>
    <w:qFormat/>
    <w:pPr>
      <w:ind w:left="798"/>
    </w:pPr>
  </w:style>
  <w:style w:type="character" w:styleId="949" w:customStyle="1">
    <w:name w:val="Heading 1 Char"/>
    <w:link w:val="879"/>
    <w:uiPriority w:val="9"/>
    <w:qFormat/>
    <w:rPr>
      <w:rFonts w:ascii="Arial" w:hAnsi="Arial" w:eastAsia="Arial" w:cs="Arial"/>
      <w:sz w:val="40"/>
      <w:szCs w:val="40"/>
    </w:rPr>
  </w:style>
  <w:style w:type="character" w:styleId="950" w:customStyle="1">
    <w:name w:val="Heading 2 Char"/>
    <w:link w:val="880"/>
    <w:uiPriority w:val="9"/>
    <w:qFormat/>
    <w:rPr>
      <w:rFonts w:ascii="Arial" w:hAnsi="Arial" w:eastAsia="Arial" w:cs="Arial"/>
      <w:sz w:val="34"/>
    </w:rPr>
  </w:style>
  <w:style w:type="character" w:styleId="951" w:customStyle="1">
    <w:name w:val="Heading 3 Char"/>
    <w:link w:val="881"/>
    <w:uiPriority w:val="9"/>
    <w:qFormat/>
    <w:rPr>
      <w:rFonts w:ascii="Arial" w:hAnsi="Arial" w:eastAsia="Arial" w:cs="Arial"/>
      <w:sz w:val="30"/>
      <w:szCs w:val="30"/>
    </w:rPr>
  </w:style>
  <w:style w:type="character" w:styleId="952" w:customStyle="1">
    <w:name w:val="Heading 4 Char"/>
    <w:link w:val="882"/>
    <w:uiPriority w:val="9"/>
    <w:qFormat/>
    <w:rPr>
      <w:rFonts w:ascii="Arial" w:hAnsi="Arial" w:eastAsia="Arial" w:cs="Arial"/>
      <w:b/>
      <w:bCs/>
      <w:sz w:val="26"/>
      <w:szCs w:val="26"/>
    </w:rPr>
  </w:style>
  <w:style w:type="character" w:styleId="953" w:customStyle="1">
    <w:name w:val="Heading 5 Char"/>
    <w:link w:val="883"/>
    <w:uiPriority w:val="9"/>
    <w:qFormat/>
    <w:rPr>
      <w:rFonts w:ascii="Arial" w:hAnsi="Arial" w:eastAsia="Arial" w:cs="Arial"/>
      <w:b/>
      <w:bCs/>
      <w:sz w:val="24"/>
      <w:szCs w:val="24"/>
    </w:rPr>
  </w:style>
  <w:style w:type="character" w:styleId="954" w:customStyle="1">
    <w:name w:val="Heading 6 Char"/>
    <w:link w:val="884"/>
    <w:uiPriority w:val="9"/>
    <w:qFormat/>
    <w:rPr>
      <w:rFonts w:ascii="Arial" w:hAnsi="Arial" w:eastAsia="Arial" w:cs="Arial"/>
      <w:b/>
      <w:bCs/>
      <w:sz w:val="22"/>
      <w:szCs w:val="22"/>
    </w:rPr>
  </w:style>
  <w:style w:type="character" w:styleId="955" w:customStyle="1">
    <w:name w:val="Heading 7 Char"/>
    <w:link w:val="885"/>
    <w:uiPriority w:val="9"/>
    <w:qFormat/>
    <w:rPr>
      <w:rFonts w:ascii="Arial" w:hAnsi="Arial" w:eastAsia="Arial" w:cs="Arial"/>
      <w:b/>
      <w:bCs/>
      <w:i/>
      <w:iCs/>
      <w:sz w:val="22"/>
      <w:szCs w:val="22"/>
    </w:rPr>
  </w:style>
  <w:style w:type="character" w:styleId="956" w:customStyle="1">
    <w:name w:val="Heading 8 Char"/>
    <w:link w:val="886"/>
    <w:uiPriority w:val="9"/>
    <w:qFormat/>
    <w:rPr>
      <w:rFonts w:ascii="Arial" w:hAnsi="Arial" w:eastAsia="Arial" w:cs="Arial"/>
      <w:i/>
      <w:iCs/>
      <w:sz w:val="22"/>
      <w:szCs w:val="22"/>
    </w:rPr>
  </w:style>
  <w:style w:type="character" w:styleId="957" w:customStyle="1">
    <w:name w:val="Heading 9 Char"/>
    <w:link w:val="887"/>
    <w:uiPriority w:val="9"/>
    <w:qFormat/>
    <w:rPr>
      <w:rFonts w:ascii="Arial" w:hAnsi="Arial" w:eastAsia="Arial" w:cs="Arial"/>
      <w:i/>
      <w:iCs/>
      <w:sz w:val="21"/>
      <w:szCs w:val="21"/>
    </w:rPr>
  </w:style>
  <w:style w:type="paragraph" w:styleId="958">
    <w:name w:val="List Paragraph"/>
    <w:basedOn w:val="878"/>
    <w:uiPriority w:val="34"/>
    <w:qFormat/>
    <w:pPr>
      <w:contextualSpacing/>
      <w:ind w:left="720"/>
    </w:pPr>
  </w:style>
  <w:style w:type="paragraph" w:styleId="959">
    <w:name w:val="No Spacing"/>
    <w:uiPriority w:val="1"/>
    <w:qFormat/>
    <w:pPr>
      <w:spacing w:before="0" w:after="0" w:line="240" w:lineRule="auto"/>
    </w:pPr>
    <w:rPr>
      <w:rFonts w:hint="default" w:ascii="Times New Roman" w:hAnsi="Times New Roman" w:eastAsia="宋体" w:cs="Times New Roman"/>
    </w:rPr>
  </w:style>
  <w:style w:type="character" w:styleId="960" w:customStyle="1">
    <w:name w:val="Title Char"/>
    <w:link w:val="913"/>
    <w:uiPriority w:val="10"/>
    <w:qFormat/>
    <w:rPr>
      <w:sz w:val="48"/>
      <w:szCs w:val="48"/>
    </w:rPr>
  </w:style>
  <w:style w:type="character" w:styleId="961" w:customStyle="1">
    <w:name w:val="Subtitle Char"/>
    <w:link w:val="907"/>
    <w:uiPriority w:val="11"/>
    <w:qFormat/>
    <w:rPr>
      <w:sz w:val="24"/>
      <w:szCs w:val="24"/>
    </w:rPr>
  </w:style>
  <w:style w:type="paragraph" w:styleId="962">
    <w:name w:val="Quote"/>
    <w:basedOn w:val="878"/>
    <w:next w:val="878"/>
    <w:link w:val="963"/>
    <w:uiPriority w:val="29"/>
    <w:qFormat/>
    <w:pPr>
      <w:ind w:left="720" w:right="720"/>
    </w:pPr>
    <w:rPr>
      <w:i/>
    </w:rPr>
  </w:style>
  <w:style w:type="character" w:styleId="963" w:customStyle="1">
    <w:name w:val="Quote Char"/>
    <w:link w:val="962"/>
    <w:uiPriority w:val="29"/>
    <w:qFormat/>
    <w:rPr>
      <w:i/>
    </w:rPr>
  </w:style>
  <w:style w:type="paragraph" w:styleId="964">
    <w:name w:val="Intense Quote"/>
    <w:basedOn w:val="878"/>
    <w:next w:val="878"/>
    <w:link w:val="9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Intense Quote Char"/>
    <w:link w:val="964"/>
    <w:uiPriority w:val="30"/>
    <w:qFormat/>
    <w:rPr>
      <w:i/>
    </w:rPr>
  </w:style>
  <w:style w:type="character" w:styleId="966" w:customStyle="1">
    <w:name w:val="Header Char"/>
    <w:link w:val="904"/>
    <w:uiPriority w:val="99"/>
    <w:qFormat/>
  </w:style>
  <w:style w:type="character" w:styleId="967" w:customStyle="1">
    <w:name w:val="Caption Char"/>
    <w:link w:val="902"/>
    <w:uiPriority w:val="99"/>
    <w:qFormat/>
  </w:style>
  <w:style w:type="character" w:styleId="968" w:customStyle="1">
    <w:name w:val="Footnote Text Char"/>
    <w:link w:val="908"/>
    <w:uiPriority w:val="99"/>
    <w:qFormat/>
    <w:rPr>
      <w:sz w:val="18"/>
    </w:rPr>
  </w:style>
  <w:style w:type="character" w:styleId="969" w:customStyle="1">
    <w:name w:val="Endnote Text Char"/>
    <w:link w:val="901"/>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标题 111"/>
    <w:basedOn w:val="878"/>
    <w:next w:val="878"/>
    <w:link w:val="989"/>
    <w:uiPriority w:val="9"/>
    <w:qFormat/>
    <w:pPr>
      <w:keepLines/>
      <w:keepNext/>
      <w:spacing w:before="480" w:after="200"/>
      <w:outlineLvl w:val="0"/>
    </w:pPr>
    <w:rPr>
      <w:rFonts w:ascii="Arial" w:hAnsi="Arial" w:eastAsia="Arial" w:cs="Arial"/>
      <w:sz w:val="40"/>
      <w:szCs w:val="40"/>
    </w:rPr>
  </w:style>
  <w:style w:type="paragraph" w:styleId="972" w:customStyle="1">
    <w:name w:val="标题 311"/>
    <w:basedOn w:val="878"/>
    <w:next w:val="878"/>
    <w:link w:val="991"/>
    <w:uiPriority w:val="9"/>
    <w:qFormat/>
    <w:pPr>
      <w:keepLines/>
      <w:keepNext/>
      <w:spacing w:before="320" w:after="200"/>
      <w:outlineLvl w:val="2"/>
    </w:pPr>
    <w:rPr>
      <w:rFonts w:ascii="Arial" w:hAnsi="Arial" w:eastAsia="Arial" w:cs="Arial"/>
      <w:sz w:val="30"/>
      <w:szCs w:val="30"/>
    </w:rPr>
  </w:style>
  <w:style w:type="paragraph" w:styleId="973" w:customStyle="1">
    <w:name w:val="标题 411"/>
    <w:basedOn w:val="878"/>
    <w:next w:val="878"/>
    <w:link w:val="992"/>
    <w:uiPriority w:val="9"/>
    <w:qFormat/>
    <w:pPr>
      <w:keepLines/>
      <w:keepNext/>
      <w:spacing w:before="320" w:after="200"/>
      <w:outlineLvl w:val="3"/>
    </w:pPr>
    <w:rPr>
      <w:rFonts w:ascii="Arial" w:hAnsi="Arial" w:eastAsia="Arial" w:cs="Arial"/>
      <w:b/>
      <w:bCs/>
      <w:sz w:val="26"/>
      <w:szCs w:val="26"/>
    </w:rPr>
  </w:style>
  <w:style w:type="paragraph" w:styleId="974" w:customStyle="1">
    <w:name w:val="标题 51"/>
    <w:basedOn w:val="878"/>
    <w:next w:val="878"/>
    <w:link w:val="993"/>
    <w:uiPriority w:val="9"/>
    <w:qFormat/>
    <w:pPr>
      <w:keepLines/>
      <w:keepNext/>
      <w:spacing w:before="320" w:after="200"/>
      <w:outlineLvl w:val="4"/>
    </w:pPr>
    <w:rPr>
      <w:rFonts w:ascii="Arial" w:hAnsi="Arial" w:eastAsia="Arial" w:cs="Arial"/>
      <w:b/>
      <w:bCs/>
      <w:sz w:val="24"/>
    </w:rPr>
  </w:style>
  <w:style w:type="paragraph" w:styleId="975" w:customStyle="1">
    <w:name w:val="标题 61"/>
    <w:basedOn w:val="878"/>
    <w:next w:val="878"/>
    <w:link w:val="995"/>
    <w:uiPriority w:val="9"/>
    <w:qFormat/>
    <w:pPr>
      <w:keepLines/>
      <w:keepNext/>
      <w:spacing w:before="320" w:after="200"/>
      <w:outlineLvl w:val="5"/>
    </w:pPr>
    <w:rPr>
      <w:rFonts w:ascii="Arial" w:hAnsi="Arial" w:eastAsia="Arial" w:cs="Arial"/>
      <w:b/>
      <w:bCs/>
      <w:sz w:val="22"/>
      <w:szCs w:val="22"/>
    </w:rPr>
  </w:style>
  <w:style w:type="paragraph" w:styleId="976" w:customStyle="1">
    <w:name w:val="标题 71"/>
    <w:basedOn w:val="878"/>
    <w:next w:val="878"/>
    <w:link w:val="996"/>
    <w:uiPriority w:val="9"/>
    <w:qFormat/>
    <w:pPr>
      <w:keepLines/>
      <w:keepNext/>
      <w:spacing w:before="320" w:after="200"/>
      <w:outlineLvl w:val="6"/>
    </w:pPr>
    <w:rPr>
      <w:rFonts w:ascii="Arial" w:hAnsi="Arial" w:eastAsia="Arial" w:cs="Arial"/>
      <w:b/>
      <w:bCs/>
      <w:i/>
      <w:iCs/>
      <w:sz w:val="22"/>
      <w:szCs w:val="22"/>
    </w:rPr>
  </w:style>
  <w:style w:type="paragraph" w:styleId="977" w:customStyle="1">
    <w:name w:val="标题 81"/>
    <w:basedOn w:val="878"/>
    <w:next w:val="878"/>
    <w:link w:val="997"/>
    <w:uiPriority w:val="9"/>
    <w:qFormat/>
    <w:pPr>
      <w:keepLines/>
      <w:keepNext/>
      <w:spacing w:before="320" w:after="200"/>
      <w:outlineLvl w:val="7"/>
    </w:pPr>
    <w:rPr>
      <w:rFonts w:ascii="Arial" w:hAnsi="Arial" w:eastAsia="Arial" w:cs="Arial"/>
      <w:i/>
      <w:iCs/>
      <w:sz w:val="22"/>
      <w:szCs w:val="22"/>
    </w:rPr>
  </w:style>
  <w:style w:type="paragraph" w:styleId="978" w:customStyle="1">
    <w:name w:val="标题 91"/>
    <w:basedOn w:val="878"/>
    <w:next w:val="878"/>
    <w:link w:val="998"/>
    <w:uiPriority w:val="9"/>
    <w:qFormat/>
    <w:pPr>
      <w:keepLines/>
      <w:keepNext/>
      <w:spacing w:before="320" w:after="200"/>
      <w:outlineLvl w:val="8"/>
    </w:pPr>
    <w:rPr>
      <w:rFonts w:ascii="Arial" w:hAnsi="Arial" w:eastAsia="Arial" w:cs="Arial"/>
      <w:i/>
      <w:iCs/>
      <w:szCs w:val="21"/>
    </w:rPr>
  </w:style>
  <w:style w:type="character" w:styleId="979" w:customStyle="1">
    <w:name w:val="默认段落字体11"/>
    <w:link w:val="878"/>
    <w:uiPriority w:val="1"/>
    <w:unhideWhenUsed/>
    <w:qFormat/>
  </w:style>
  <w:style w:type="table" w:styleId="980" w:customStyle="1">
    <w:name w:val="普通表格11"/>
    <w:uiPriority w:val="99"/>
    <w:unhideWhenUsed/>
    <w:qFormat/>
    <w:tblPr/>
  </w:style>
  <w:style w:type="character" w:styleId="981" w:customStyle="1">
    <w:name w:val="超链接11"/>
    <w:link w:val="878"/>
    <w:uiPriority w:val="99"/>
    <w:unhideWhenUsed/>
    <w:qFormat/>
    <w:rPr>
      <w:color w:val="0000ff"/>
      <w:u w:val="single"/>
    </w:rPr>
  </w:style>
  <w:style w:type="character" w:styleId="982" w:customStyle="1">
    <w:name w:val="脚注引用1"/>
    <w:link w:val="878"/>
    <w:uiPriority w:val="99"/>
    <w:unhideWhenUsed/>
    <w:qFormat/>
    <w:rPr>
      <w:vertAlign w:val="superscript"/>
    </w:rPr>
  </w:style>
  <w:style w:type="character" w:styleId="983" w:customStyle="1">
    <w:name w:val="页码11"/>
    <w:link w:val="878"/>
    <w:uiPriority w:val="0"/>
    <w:qFormat/>
  </w:style>
  <w:style w:type="character" w:styleId="984" w:customStyle="1">
    <w:name w:val="尾注引用1"/>
    <w:link w:val="878"/>
    <w:uiPriority w:val="99"/>
    <w:unhideWhenUsed/>
    <w:qFormat/>
    <w:rPr>
      <w:vertAlign w:val="superscript"/>
    </w:rPr>
  </w:style>
  <w:style w:type="character" w:styleId="985" w:customStyle="1">
    <w:name w:val="批注框文本 Char"/>
    <w:link w:val="986"/>
    <w:uiPriority w:val="0"/>
    <w:qFormat/>
    <w:rPr>
      <w:sz w:val="18"/>
      <w:szCs w:val="18"/>
    </w:rPr>
  </w:style>
  <w:style w:type="paragraph" w:styleId="986" w:customStyle="1">
    <w:name w:val="批注框文本1"/>
    <w:basedOn w:val="878"/>
    <w:link w:val="985"/>
    <w:uiPriority w:val="0"/>
    <w:qFormat/>
    <w:rPr>
      <w:sz w:val="18"/>
      <w:szCs w:val="18"/>
    </w:rPr>
  </w:style>
  <w:style w:type="character" w:styleId="987" w:customStyle="1">
    <w:name w:val="标题 Char"/>
    <w:link w:val="988"/>
    <w:uiPriority w:val="10"/>
    <w:qFormat/>
    <w:rPr>
      <w:sz w:val="48"/>
      <w:szCs w:val="48"/>
    </w:rPr>
  </w:style>
  <w:style w:type="paragraph" w:styleId="988" w:customStyle="1">
    <w:name w:val="标题1"/>
    <w:basedOn w:val="878"/>
    <w:next w:val="878"/>
    <w:link w:val="987"/>
    <w:uiPriority w:val="10"/>
    <w:qFormat/>
    <w:pPr>
      <w:contextualSpacing/>
      <w:spacing w:before="300" w:after="200"/>
    </w:pPr>
    <w:rPr>
      <w:sz w:val="48"/>
      <w:szCs w:val="48"/>
    </w:rPr>
  </w:style>
  <w:style w:type="character" w:styleId="989" w:customStyle="1">
    <w:name w:val="标题 1 Char"/>
    <w:link w:val="971"/>
    <w:uiPriority w:val="9"/>
    <w:qFormat/>
    <w:rPr>
      <w:rFonts w:ascii="Arial" w:hAnsi="Arial" w:eastAsia="Arial" w:cs="Arial"/>
      <w:sz w:val="40"/>
      <w:szCs w:val="40"/>
    </w:rPr>
  </w:style>
  <w:style w:type="character" w:styleId="990" w:customStyle="1">
    <w:name w:val="标题 2 Char1"/>
    <w:link w:val="925"/>
    <w:uiPriority w:val="9"/>
    <w:qFormat/>
    <w:rPr>
      <w:rFonts w:ascii="Arial" w:hAnsi="Arial" w:eastAsia="Arial" w:cs="Arial"/>
      <w:sz w:val="34"/>
    </w:rPr>
  </w:style>
  <w:style w:type="character" w:styleId="991" w:customStyle="1">
    <w:name w:val="标题 3 Char"/>
    <w:link w:val="972"/>
    <w:uiPriority w:val="9"/>
    <w:qFormat/>
    <w:rPr>
      <w:rFonts w:ascii="Arial" w:hAnsi="Arial" w:eastAsia="Arial" w:cs="Arial"/>
      <w:sz w:val="30"/>
      <w:szCs w:val="30"/>
    </w:rPr>
  </w:style>
  <w:style w:type="character" w:styleId="992" w:customStyle="1">
    <w:name w:val="标题 4 Char"/>
    <w:link w:val="973"/>
    <w:uiPriority w:val="9"/>
    <w:qFormat/>
    <w:rPr>
      <w:rFonts w:ascii="Arial" w:hAnsi="Arial" w:eastAsia="Arial" w:cs="Arial"/>
      <w:b/>
      <w:bCs/>
      <w:sz w:val="26"/>
      <w:szCs w:val="26"/>
    </w:rPr>
  </w:style>
  <w:style w:type="character" w:styleId="993" w:customStyle="1">
    <w:name w:val="标题 5 Char"/>
    <w:link w:val="974"/>
    <w:uiPriority w:val="9"/>
    <w:qFormat/>
    <w:rPr>
      <w:rFonts w:ascii="Arial" w:hAnsi="Arial" w:eastAsia="Arial" w:cs="Arial"/>
      <w:b/>
      <w:bCs/>
      <w:sz w:val="24"/>
      <w:szCs w:val="24"/>
    </w:rPr>
  </w:style>
  <w:style w:type="character" w:styleId="994" w:customStyle="1">
    <w:name w:val="NormalCharacter1"/>
    <w:link w:val="878"/>
    <w:uiPriority w:val="0"/>
    <w:semiHidden/>
    <w:qFormat/>
  </w:style>
  <w:style w:type="character" w:styleId="995" w:customStyle="1">
    <w:name w:val="标题 6 Char"/>
    <w:link w:val="975"/>
    <w:uiPriority w:val="9"/>
    <w:qFormat/>
    <w:rPr>
      <w:rFonts w:ascii="Arial" w:hAnsi="Arial" w:eastAsia="Arial" w:cs="Arial"/>
      <w:b/>
      <w:bCs/>
      <w:sz w:val="22"/>
      <w:szCs w:val="22"/>
    </w:rPr>
  </w:style>
  <w:style w:type="character" w:styleId="996" w:customStyle="1">
    <w:name w:val="标题 7 Char"/>
    <w:link w:val="976"/>
    <w:uiPriority w:val="9"/>
    <w:qFormat/>
    <w:rPr>
      <w:rFonts w:ascii="Arial" w:hAnsi="Arial" w:eastAsia="Arial" w:cs="Arial"/>
      <w:b/>
      <w:bCs/>
      <w:i/>
      <w:iCs/>
      <w:sz w:val="22"/>
      <w:szCs w:val="22"/>
    </w:rPr>
  </w:style>
  <w:style w:type="character" w:styleId="997" w:customStyle="1">
    <w:name w:val="标题 8 Char"/>
    <w:link w:val="977"/>
    <w:uiPriority w:val="9"/>
    <w:qFormat/>
    <w:rPr>
      <w:rFonts w:ascii="Arial" w:hAnsi="Arial" w:eastAsia="Arial" w:cs="Arial"/>
      <w:i/>
      <w:iCs/>
      <w:sz w:val="22"/>
      <w:szCs w:val="22"/>
    </w:rPr>
  </w:style>
  <w:style w:type="character" w:styleId="998" w:customStyle="1">
    <w:name w:val="标题 9 Char"/>
    <w:link w:val="978"/>
    <w:uiPriority w:val="9"/>
    <w:qFormat/>
    <w:rPr>
      <w:rFonts w:ascii="Arial" w:hAnsi="Arial" w:eastAsia="Arial" w:cs="Arial"/>
      <w:i/>
      <w:iCs/>
      <w:sz w:val="21"/>
      <w:szCs w:val="21"/>
    </w:rPr>
  </w:style>
  <w:style w:type="character" w:styleId="999" w:customStyle="1">
    <w:name w:val="尾注文本 Char"/>
    <w:link w:val="1000"/>
    <w:uiPriority w:val="99"/>
    <w:qFormat/>
    <w:rPr>
      <w:sz w:val="20"/>
    </w:rPr>
  </w:style>
  <w:style w:type="paragraph" w:styleId="1000" w:customStyle="1">
    <w:name w:val="尾注文本1"/>
    <w:basedOn w:val="878"/>
    <w:link w:val="999"/>
    <w:uiPriority w:val="99"/>
    <w:unhideWhenUsed/>
    <w:qFormat/>
    <w:rPr>
      <w:sz w:val="20"/>
    </w:rPr>
  </w:style>
  <w:style w:type="character" w:styleId="1001" w:customStyle="1">
    <w:name w:val="批注框文本 Char1"/>
    <w:link w:val="1002"/>
    <w:uiPriority w:val="99"/>
    <w:semiHidden/>
    <w:qFormat/>
    <w:rPr>
      <w:sz w:val="18"/>
      <w:szCs w:val="18"/>
    </w:rPr>
  </w:style>
  <w:style w:type="paragraph" w:styleId="1002" w:customStyle="1">
    <w:name w:val="批注框文本11"/>
    <w:basedOn w:val="878"/>
    <w:link w:val="1001"/>
    <w:uiPriority w:val="99"/>
    <w:unhideWhenUsed/>
    <w:qFormat/>
    <w:rPr>
      <w:sz w:val="18"/>
      <w:szCs w:val="18"/>
    </w:rPr>
  </w:style>
  <w:style w:type="character" w:styleId="1003" w:customStyle="1">
    <w:name w:val="页脚 Char"/>
    <w:link w:val="1004"/>
    <w:uiPriority w:val="99"/>
    <w:qFormat/>
  </w:style>
  <w:style w:type="paragraph" w:styleId="1004" w:customStyle="1">
    <w:name w:val="页脚11"/>
    <w:basedOn w:val="878"/>
    <w:link w:val="1003"/>
    <w:uiPriority w:val="99"/>
    <w:unhideWhenUsed/>
    <w:qFormat/>
    <w:pPr>
      <w:tabs>
        <w:tab w:val="center" w:pos="7143" w:leader="none"/>
        <w:tab w:val="right" w:pos="14287" w:leader="none"/>
      </w:tabs>
    </w:pPr>
  </w:style>
  <w:style w:type="character" w:styleId="1005" w:customStyle="1">
    <w:name w:val="页眉 Char"/>
    <w:link w:val="1006"/>
    <w:uiPriority w:val="99"/>
    <w:qFormat/>
  </w:style>
  <w:style w:type="paragraph" w:styleId="1006" w:customStyle="1">
    <w:name w:val="页眉11"/>
    <w:basedOn w:val="878"/>
    <w:link w:val="1005"/>
    <w:uiPriority w:val="99"/>
    <w:unhideWhenUsed/>
    <w:qFormat/>
    <w:pPr>
      <w:tabs>
        <w:tab w:val="center" w:pos="7143" w:leader="none"/>
        <w:tab w:val="right" w:pos="14287" w:leader="none"/>
      </w:tabs>
    </w:pPr>
  </w:style>
  <w:style w:type="character" w:styleId="1007" w:customStyle="1">
    <w:name w:val="副标题 Char"/>
    <w:link w:val="1008"/>
    <w:uiPriority w:val="11"/>
    <w:qFormat/>
    <w:rPr>
      <w:sz w:val="24"/>
      <w:szCs w:val="24"/>
    </w:rPr>
  </w:style>
  <w:style w:type="paragraph" w:styleId="1008" w:customStyle="1">
    <w:name w:val="副标题1"/>
    <w:basedOn w:val="878"/>
    <w:next w:val="878"/>
    <w:link w:val="1007"/>
    <w:uiPriority w:val="11"/>
    <w:qFormat/>
    <w:pPr>
      <w:spacing w:before="200" w:after="200"/>
    </w:pPr>
    <w:rPr>
      <w:sz w:val="24"/>
    </w:rPr>
  </w:style>
  <w:style w:type="character" w:styleId="1009" w:customStyle="1">
    <w:name w:val="脚注文本 Char"/>
    <w:link w:val="923"/>
    <w:uiPriority w:val="99"/>
    <w:qFormat/>
    <w:rPr>
      <w:sz w:val="18"/>
    </w:rPr>
  </w:style>
  <w:style w:type="character" w:styleId="1010" w:customStyle="1">
    <w:name w:val="引用 Char"/>
    <w:link w:val="1011"/>
    <w:uiPriority w:val="29"/>
    <w:qFormat/>
    <w:rPr>
      <w:i/>
    </w:rPr>
  </w:style>
  <w:style w:type="paragraph" w:styleId="1011" w:customStyle="1">
    <w:name w:val="引用"/>
    <w:basedOn w:val="878"/>
    <w:next w:val="878"/>
    <w:link w:val="1010"/>
    <w:uiPriority w:val="29"/>
    <w:qFormat/>
    <w:pPr>
      <w:ind w:left="720" w:right="720"/>
    </w:pPr>
    <w:rPr>
      <w:i/>
    </w:rPr>
  </w:style>
  <w:style w:type="character" w:styleId="1012" w:customStyle="1">
    <w:name w:val="正文文本缩进 Char"/>
    <w:link w:val="939"/>
    <w:uiPriority w:val="0"/>
    <w:qFormat/>
    <w:rPr>
      <w:sz w:val="21"/>
      <w:szCs w:val="24"/>
    </w:rPr>
  </w:style>
  <w:style w:type="character" w:styleId="1013" w:customStyle="1">
    <w:name w:val="默认段落字体1"/>
    <w:link w:val="878"/>
    <w:uiPriority w:val="0"/>
    <w:semiHidden/>
    <w:qFormat/>
  </w:style>
  <w:style w:type="character" w:styleId="1014" w:customStyle="1">
    <w:name w:val="NormalCharacter11"/>
    <w:link w:val="878"/>
    <w:uiPriority w:val="0"/>
    <w:semiHidden/>
    <w:qFormat/>
    <w:rPr>
      <w:sz w:val="21"/>
      <w:szCs w:val="24"/>
      <w:lang w:val="en-US" w:eastAsia="zh-CN" w:bidi="ar-SA"/>
    </w:rPr>
  </w:style>
  <w:style w:type="character" w:styleId="1015" w:customStyle="1">
    <w:name w:val="明显引用 Char"/>
    <w:link w:val="1016"/>
    <w:uiPriority w:val="30"/>
    <w:qFormat/>
    <w:rPr>
      <w:i/>
    </w:rPr>
  </w:style>
  <w:style w:type="paragraph" w:styleId="1016" w:customStyle="1">
    <w:name w:val="明显引用"/>
    <w:basedOn w:val="878"/>
    <w:next w:val="878"/>
    <w:link w:val="10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Footer Char"/>
    <w:link w:val="878"/>
    <w:uiPriority w:val="99"/>
    <w:qFormat/>
  </w:style>
  <w:style w:type="character" w:styleId="1018" w:customStyle="1">
    <w:name w:val="font11"/>
    <w:link w:val="878"/>
    <w:uiPriority w:val="0"/>
    <w:qFormat/>
    <w:rPr>
      <w:rFonts w:hint="eastAsia" w:ascii="宋体" w:hAnsi="宋体" w:eastAsia="宋体" w:cs="宋体"/>
      <w:b/>
      <w:color w:val="000000"/>
      <w:sz w:val="32"/>
      <w:szCs w:val="32"/>
      <w:u w:val="none"/>
    </w:rPr>
  </w:style>
  <w:style w:type="character" w:styleId="1019" w:customStyle="1">
    <w:name w:val="纯文本 Char"/>
    <w:link w:val="1020"/>
    <w:uiPriority w:val="0"/>
    <w:qFormat/>
    <w:rPr>
      <w:rFonts w:ascii="宋体" w:hAnsi="Courier New" w:eastAsia="宋体"/>
      <w:sz w:val="21"/>
      <w:szCs w:val="21"/>
      <w:lang w:bidi="ar-SA"/>
    </w:rPr>
  </w:style>
  <w:style w:type="paragraph" w:styleId="1020" w:customStyle="1">
    <w:name w:val="纯文本1"/>
    <w:basedOn w:val="878"/>
    <w:link w:val="1019"/>
    <w:uiPriority w:val="0"/>
    <w:qFormat/>
    <w:rPr>
      <w:rFonts w:ascii="宋体" w:hAnsi="Courier New"/>
      <w:szCs w:val="21"/>
    </w:rPr>
  </w:style>
  <w:style w:type="character" w:styleId="1021" w:customStyle="1">
    <w:name w:val="普通(网站) Char"/>
    <w:link w:val="1022"/>
    <w:uiPriority w:val="99"/>
    <w:qFormat/>
    <w:rPr>
      <w:rFonts w:ascii="宋体" w:hAnsi="宋体" w:cs="宋体"/>
      <w:sz w:val="24"/>
      <w:szCs w:val="24"/>
    </w:rPr>
  </w:style>
  <w:style w:type="paragraph" w:styleId="1022" w:customStyle="1">
    <w:name w:val="普通(网站)1"/>
    <w:basedOn w:val="878"/>
    <w:link w:val="1021"/>
    <w:uiPriority w:val="99"/>
    <w:qFormat/>
    <w:pPr>
      <w:jc w:val="left"/>
      <w:spacing w:before="100" w:beforeAutospacing="1" w:after="100" w:afterAutospacing="1"/>
      <w:widowControl/>
    </w:pPr>
    <w:rPr>
      <w:rFonts w:ascii="宋体" w:hAnsi="宋体" w:cs="宋体"/>
      <w:sz w:val="24"/>
    </w:rPr>
  </w:style>
  <w:style w:type="character" w:styleId="1023" w:customStyle="1">
    <w:name w:val="标题 2 Char"/>
    <w:link w:val="943"/>
    <w:uiPriority w:val="9"/>
    <w:qFormat/>
    <w:rPr>
      <w:rFonts w:ascii="Cambria" w:hAnsi="Cambria"/>
      <w:b/>
      <w:bCs/>
      <w:sz w:val="28"/>
      <w:szCs w:val="32"/>
    </w:rPr>
  </w:style>
  <w:style w:type="character" w:styleId="1024" w:customStyle="1">
    <w:name w:val="页码1"/>
    <w:link w:val="878"/>
    <w:uiPriority w:val="0"/>
    <w:qFormat/>
  </w:style>
  <w:style w:type="character" w:styleId="1025" w:customStyle="1">
    <w:name w:val="批注主题 Char"/>
    <w:link w:val="1026"/>
    <w:uiPriority w:val="0"/>
    <w:qFormat/>
    <w:rPr>
      <w:b/>
      <w:bCs/>
      <w:sz w:val="21"/>
      <w:szCs w:val="24"/>
    </w:rPr>
  </w:style>
  <w:style w:type="paragraph" w:styleId="1026" w:customStyle="1">
    <w:name w:val="批注主题1"/>
    <w:basedOn w:val="1027"/>
    <w:next w:val="1027"/>
    <w:link w:val="1025"/>
    <w:uiPriority w:val="0"/>
    <w:qFormat/>
    <w:rPr>
      <w:b/>
      <w:bCs/>
    </w:rPr>
  </w:style>
  <w:style w:type="paragraph" w:styleId="1027" w:customStyle="1">
    <w:name w:val="批注文字1"/>
    <w:basedOn w:val="878"/>
    <w:link w:val="1028"/>
    <w:uiPriority w:val="0"/>
    <w:qFormat/>
    <w:pPr>
      <w:jc w:val="left"/>
    </w:pPr>
  </w:style>
  <w:style w:type="character" w:styleId="1028" w:customStyle="1">
    <w:name w:val="批注文字 Char"/>
    <w:link w:val="1027"/>
    <w:uiPriority w:val="0"/>
    <w:qFormat/>
    <w:rPr>
      <w:sz w:val="21"/>
      <w:szCs w:val="24"/>
    </w:rPr>
  </w:style>
  <w:style w:type="character" w:styleId="1029" w:customStyle="1">
    <w:name w:val="超链接1"/>
    <w:link w:val="931"/>
    <w:uiPriority w:val="0"/>
    <w:qFormat/>
    <w:rPr>
      <w:rFonts w:ascii="Times New Roman" w:hAnsi="Times New Roman" w:eastAsia="宋体" w:cs="Times New Roman"/>
      <w:sz w:val="21"/>
      <w:szCs w:val="24"/>
      <w:lang w:val="en-US" w:eastAsia="zh-CN" w:bidi="ar-SA"/>
    </w:rPr>
  </w:style>
  <w:style w:type="paragraph" w:styleId="1030" w:customStyle="1">
    <w:name w:val="正文文本111"/>
    <w:basedOn w:val="922"/>
    <w:next w:val="922"/>
    <w:uiPriority w:val="0"/>
    <w:qFormat/>
    <w:pPr>
      <w:spacing w:after="120"/>
    </w:pPr>
  </w:style>
  <w:style w:type="paragraph" w:styleId="1031" w:customStyle="1">
    <w:name w:val="一级条标题"/>
    <w:basedOn w:val="1032"/>
    <w:next w:val="103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2" w:customStyle="1">
    <w:name w:val="章标题"/>
    <w:next w:val="87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3" w:customStyle="1">
    <w:name w:val="段"/>
    <w:basedOn w:val="878"/>
    <w:next w:val="878"/>
    <w:uiPriority w:val="0"/>
    <w:qFormat/>
    <w:pPr>
      <w:ind w:firstLine="200"/>
      <w:widowControl/>
    </w:pPr>
    <w:rPr>
      <w:rFonts w:hint="eastAsia" w:ascii="宋体"/>
      <w:szCs w:val="20"/>
    </w:rPr>
  </w:style>
  <w:style w:type="character" w:styleId="1034" w:customStyle="1">
    <w:name w:val="批注引用1"/>
    <w:link w:val="878"/>
    <w:uiPriority w:val="0"/>
    <w:qFormat/>
    <w:rPr>
      <w:sz w:val="21"/>
      <w:szCs w:val="21"/>
    </w:rPr>
  </w:style>
  <w:style w:type="character" w:styleId="1035" w:customStyle="1">
    <w:name w:val="正文首行缩进 2 Char"/>
    <w:link w:val="1036"/>
    <w:uiPriority w:val="0"/>
    <w:qFormat/>
    <w:rPr>
      <w:sz w:val="21"/>
      <w:szCs w:val="24"/>
    </w:rPr>
  </w:style>
  <w:style w:type="paragraph" w:styleId="1036" w:customStyle="1">
    <w:name w:val="正文首行缩进 21"/>
    <w:basedOn w:val="939"/>
    <w:link w:val="1035"/>
    <w:uiPriority w:val="0"/>
    <w:qFormat/>
    <w:pPr>
      <w:ind w:firstLine="420"/>
    </w:pPr>
  </w:style>
  <w:style w:type="paragraph" w:styleId="1037" w:customStyle="1">
    <w:name w:val="表格3"/>
    <w:basedOn w:val="878"/>
    <w:uiPriority w:val="0"/>
    <w:qFormat/>
    <w:pPr>
      <w:jc w:val="center"/>
    </w:pPr>
  </w:style>
  <w:style w:type="paragraph" w:styleId="1038" w:customStyle="1">
    <w:name w:val="无间隔"/>
    <w:uiPriority w:val="1"/>
    <w:qFormat/>
    <w:rPr>
      <w:rFonts w:hint="default" w:ascii="Times New Roman" w:hAnsi="Times New Roman" w:eastAsia="宋体" w:cs="Times New Roman"/>
      <w:lang w:val="en-US" w:eastAsia="zh-CN" w:bidi="ar-SA"/>
    </w:rPr>
  </w:style>
  <w:style w:type="paragraph" w:styleId="1039" w:customStyle="1">
    <w:name w:val="目录 31"/>
    <w:basedOn w:val="878"/>
    <w:next w:val="878"/>
    <w:uiPriority w:val="39"/>
    <w:unhideWhenUsed/>
    <w:qFormat/>
    <w:pPr>
      <w:ind w:left="567"/>
      <w:spacing w:after="57"/>
    </w:pPr>
  </w:style>
  <w:style w:type="paragraph" w:styleId="1040" w:customStyle="1">
    <w:name w:val="图表目录1"/>
    <w:basedOn w:val="878"/>
    <w:next w:val="878"/>
    <w:uiPriority w:val="99"/>
    <w:unhideWhenUsed/>
    <w:qFormat/>
  </w:style>
  <w:style w:type="paragraph" w:styleId="1041"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42" w:customStyle="1">
    <w:name w:val="列出段落1"/>
    <w:basedOn w:val="878"/>
    <w:uiPriority w:val="34"/>
    <w:qFormat/>
    <w:pPr>
      <w:ind w:firstLine="420"/>
    </w:pPr>
    <w:rPr>
      <w:rFonts w:ascii="Calibri" w:hAnsi="Calibri"/>
    </w:rPr>
  </w:style>
  <w:style w:type="paragraph" w:styleId="1043" w:customStyle="1">
    <w:name w:val="Blockquote"/>
    <w:basedOn w:val="878"/>
    <w:uiPriority w:val="0"/>
    <w:qFormat/>
    <w:pPr>
      <w:ind w:left="764" w:right="567"/>
      <w:jc w:val="left"/>
      <w:spacing w:before="100" w:after="100"/>
    </w:pPr>
    <w:rPr>
      <w:sz w:val="24"/>
    </w:rPr>
  </w:style>
  <w:style w:type="paragraph" w:styleId="1044" w:customStyle="1">
    <w:name w:val="_Style 2"/>
    <w:basedOn w:val="1045"/>
    <w:next w:val="878"/>
    <w:uiPriority w:val="0"/>
    <w:qFormat/>
    <w:pPr>
      <w:jc w:val="both"/>
      <w:spacing w:line="576" w:lineRule="auto"/>
      <w:outlineLvl w:val="9"/>
    </w:pPr>
  </w:style>
  <w:style w:type="paragraph" w:styleId="1045" w:customStyle="1">
    <w:name w:val="标题 11"/>
    <w:basedOn w:val="878"/>
    <w:next w:val="878"/>
    <w:uiPriority w:val="0"/>
    <w:qFormat/>
    <w:pPr>
      <w:jc w:val="center"/>
      <w:keepLines/>
      <w:keepNext/>
      <w:spacing w:before="340" w:after="330" w:line="578" w:lineRule="auto"/>
      <w:outlineLvl w:val="0"/>
    </w:pPr>
    <w:rPr>
      <w:b/>
      <w:bCs/>
      <w:sz w:val="44"/>
      <w:szCs w:val="44"/>
    </w:rPr>
  </w:style>
  <w:style w:type="paragraph" w:styleId="1046" w:customStyle="1">
    <w:name w:val="默认段落字体 Para Char Char Char Char Char Char Char"/>
    <w:basedOn w:val="878"/>
    <w:uiPriority w:val="0"/>
    <w:qFormat/>
    <w:rPr>
      <w:rFonts w:ascii="Tahoma" w:hAnsi="Tahoma"/>
      <w:sz w:val="24"/>
      <w:szCs w:val="20"/>
    </w:rPr>
  </w:style>
  <w:style w:type="paragraph" w:styleId="1047" w:customStyle="1">
    <w:name w:val="目录 91"/>
    <w:basedOn w:val="878"/>
    <w:next w:val="878"/>
    <w:uiPriority w:val="39"/>
    <w:unhideWhenUsed/>
    <w:qFormat/>
    <w:pPr>
      <w:ind w:left="2268"/>
      <w:spacing w:after="57"/>
    </w:pPr>
  </w:style>
  <w:style w:type="paragraph" w:styleId="1048" w:customStyle="1">
    <w:name w:val="正文文本缩进2"/>
    <w:basedOn w:val="878"/>
    <w:uiPriority w:val="0"/>
    <w:qFormat/>
    <w:pPr>
      <w:ind w:left="420"/>
      <w:spacing w:after="120"/>
    </w:pPr>
    <w:rPr>
      <w:rFonts w:ascii="Calibri" w:hAnsi="Calibri"/>
    </w:rPr>
  </w:style>
  <w:style w:type="paragraph" w:styleId="1049" w:customStyle="1">
    <w:name w:val="目录 21"/>
    <w:basedOn w:val="878"/>
    <w:next w:val="878"/>
    <w:uiPriority w:val="39"/>
    <w:unhideWhenUsed/>
    <w:qFormat/>
    <w:pPr>
      <w:ind w:left="283"/>
      <w:spacing w:after="57"/>
    </w:pPr>
  </w:style>
  <w:style w:type="paragraph" w:styleId="1050" w:customStyle="1">
    <w:name w:val="Char"/>
    <w:basedOn w:val="878"/>
    <w:uiPriority w:val="0"/>
    <w:qFormat/>
    <w:pPr>
      <w:tabs>
        <w:tab w:val="left" w:pos="360" w:leader="none"/>
      </w:tabs>
    </w:pPr>
    <w:rPr>
      <w:sz w:val="24"/>
    </w:rPr>
  </w:style>
  <w:style w:type="paragraph" w:styleId="1051" w:customStyle="1">
    <w:name w:val="列出段落"/>
    <w:basedOn w:val="878"/>
    <w:uiPriority w:val="34"/>
    <w:qFormat/>
    <w:pPr>
      <w:contextualSpacing/>
      <w:ind w:left="720"/>
    </w:pPr>
  </w:style>
  <w:style w:type="paragraph" w:styleId="1052" w:customStyle="1">
    <w:name w:val="目录 81"/>
    <w:basedOn w:val="878"/>
    <w:next w:val="878"/>
    <w:uiPriority w:val="39"/>
    <w:unhideWhenUsed/>
    <w:qFormat/>
    <w:pPr>
      <w:ind w:left="1984"/>
      <w:spacing w:after="57"/>
    </w:pPr>
  </w:style>
  <w:style w:type="paragraph" w:styleId="1053" w:customStyle="1">
    <w:name w:val="页眉1"/>
    <w:basedOn w:val="878"/>
    <w:uiPriority w:val="0"/>
    <w:qFormat/>
    <w:pPr>
      <w:jc w:val="center"/>
      <w:tabs>
        <w:tab w:val="center" w:pos="4153" w:leader="none"/>
        <w:tab w:val="right" w:pos="8306" w:leader="none"/>
      </w:tabs>
      <w:pBdr>
        <w:bottom w:val="single" w:color="000000" w:sz="6" w:space="1"/>
      </w:pBdr>
    </w:pPr>
    <w:rPr>
      <w:sz w:val="18"/>
      <w:szCs w:val="18"/>
    </w:rPr>
  </w:style>
  <w:style w:type="paragraph" w:styleId="1054"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5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6" w:customStyle="1">
    <w:name w:val="题注1"/>
    <w:basedOn w:val="878"/>
    <w:next w:val="878"/>
    <w:uiPriority w:val="35"/>
    <w:qFormat/>
    <w:pPr>
      <w:spacing w:line="276" w:lineRule="auto"/>
    </w:pPr>
    <w:rPr>
      <w:b/>
      <w:bCs/>
      <w:color w:val="4f81bd"/>
      <w:sz w:val="18"/>
      <w:szCs w:val="18"/>
    </w:rPr>
  </w:style>
  <w:style w:type="paragraph" w:styleId="1057" w:customStyle="1">
    <w:name w:val="目录 61"/>
    <w:basedOn w:val="878"/>
    <w:next w:val="878"/>
    <w:uiPriority w:val="39"/>
    <w:unhideWhenUsed/>
    <w:qFormat/>
    <w:pPr>
      <w:ind w:left="1417"/>
      <w:spacing w:after="57"/>
    </w:pPr>
  </w:style>
  <w:style w:type="paragraph" w:styleId="1058" w:customStyle="1">
    <w:name w:val="目录 51"/>
    <w:basedOn w:val="878"/>
    <w:next w:val="878"/>
    <w:uiPriority w:val="39"/>
    <w:unhideWhenUsed/>
    <w:qFormat/>
    <w:pPr>
      <w:ind w:left="1134"/>
      <w:spacing w:after="57"/>
    </w:pPr>
  </w:style>
  <w:style w:type="paragraph" w:styleId="1059" w:customStyle="1">
    <w:name w:val="目录 71"/>
    <w:basedOn w:val="878"/>
    <w:next w:val="878"/>
    <w:uiPriority w:val="39"/>
    <w:unhideWhenUsed/>
    <w:qFormat/>
    <w:pPr>
      <w:ind w:left="1701"/>
      <w:spacing w:after="57"/>
    </w:pPr>
  </w:style>
  <w:style w:type="paragraph" w:styleId="1060" w:customStyle="1">
    <w:name w:val="TOC 标题1"/>
    <w:uiPriority w:val="39"/>
    <w:unhideWhenUsed/>
    <w:qFormat/>
    <w:rPr>
      <w:rFonts w:hint="default" w:ascii="Times New Roman" w:hAnsi="Times New Roman" w:eastAsia="宋体" w:cs="Times New Roman"/>
      <w:lang w:val="en-US" w:eastAsia="zh-CN" w:bidi="ar-SA"/>
    </w:rPr>
  </w:style>
  <w:style w:type="paragraph" w:styleId="1061" w:customStyle="1">
    <w:name w:val="标题 31"/>
    <w:basedOn w:val="878"/>
    <w:next w:val="878"/>
    <w:uiPriority w:val="0"/>
    <w:qFormat/>
    <w:pPr>
      <w:keepLines/>
      <w:keepNext/>
      <w:spacing w:before="260" w:after="260" w:line="416" w:lineRule="auto"/>
      <w:outlineLvl w:val="2"/>
    </w:pPr>
    <w:rPr>
      <w:b/>
      <w:bCs/>
      <w:sz w:val="32"/>
      <w:szCs w:val="32"/>
    </w:rPr>
  </w:style>
  <w:style w:type="paragraph" w:styleId="1062" w:customStyle="1">
    <w:name w:val="目录 41"/>
    <w:basedOn w:val="878"/>
    <w:next w:val="878"/>
    <w:uiPriority w:val="39"/>
    <w:unhideWhenUsed/>
    <w:qFormat/>
    <w:pPr>
      <w:ind w:left="850"/>
      <w:spacing w:after="57"/>
    </w:pPr>
  </w:style>
  <w:style w:type="paragraph" w:styleId="1063" w:customStyle="1">
    <w:name w:val="p0"/>
    <w:basedOn w:val="878"/>
    <w:uiPriority w:val="0"/>
    <w:qFormat/>
    <w:pPr>
      <w:widowControl/>
    </w:pPr>
    <w:rPr>
      <w:szCs w:val="21"/>
    </w:rPr>
  </w:style>
  <w:style w:type="paragraph" w:styleId="1064" w:customStyle="1">
    <w:name w:val="文本块{858D7CFB-ED40-4347-BF05-701D383B685F}{858D7CFB-ED40-4347-BF05-701D383B685F}"/>
    <w:basedOn w:val="878"/>
    <w:uiPriority w:val="0"/>
    <w:qFormat/>
    <w:pPr>
      <w:ind w:left="256" w:right="6" w:firstLine="200"/>
    </w:pPr>
    <w:rPr>
      <w:rFonts w:eastAsia="仿宋_GB2312"/>
      <w:sz w:val="28"/>
    </w:rPr>
  </w:style>
  <w:style w:type="paragraph" w:styleId="1065" w:customStyle="1">
    <w:name w:val="_HT_正文"/>
    <w:basedOn w:val="878"/>
    <w:uiPriority w:val="0"/>
    <w:qFormat/>
    <w:pPr>
      <w:ind w:firstLine="200"/>
      <w:spacing w:line="360" w:lineRule="auto"/>
    </w:pPr>
    <w:rPr>
      <w:sz w:val="24"/>
    </w:rPr>
  </w:style>
  <w:style w:type="paragraph" w:styleId="1066" w:customStyle="1">
    <w:name w:val="页脚1"/>
    <w:basedOn w:val="878"/>
    <w:uiPriority w:val="0"/>
    <w:qFormat/>
    <w:pPr>
      <w:jc w:val="left"/>
      <w:tabs>
        <w:tab w:val="center" w:pos="4153" w:leader="none"/>
        <w:tab w:val="right" w:pos="8306" w:leader="none"/>
      </w:tabs>
    </w:pPr>
    <w:rPr>
      <w:sz w:val="18"/>
      <w:szCs w:val="18"/>
    </w:rPr>
  </w:style>
  <w:style w:type="paragraph" w:styleId="1067" w:customStyle="1">
    <w:name w:val="彩色列表 - 强调文字颜色 11"/>
    <w:basedOn w:val="878"/>
    <w:uiPriority w:val="34"/>
    <w:qFormat/>
    <w:pPr>
      <w:ind w:firstLine="420"/>
    </w:pPr>
    <w:rPr>
      <w:rFonts w:ascii="Calibri" w:hAnsi="Calibri"/>
      <w:szCs w:val="22"/>
    </w:rPr>
  </w:style>
  <w:style w:type="paragraph" w:styleId="1068" w:customStyle="1">
    <w:name w:val="UserStyle_0"/>
    <w:next w:val="1069"/>
    <w:uiPriority w:val="0"/>
    <w:qFormat/>
    <w:pPr>
      <w:jc w:val="both"/>
    </w:pPr>
    <w:rPr>
      <w:rFonts w:hint="default" w:ascii="Times New Roman" w:hAnsi="Times New Roman" w:eastAsia="宋体" w:cs="Times New Roman"/>
      <w:sz w:val="21"/>
      <w:szCs w:val="24"/>
      <w:lang w:val="en-US" w:eastAsia="zh-CN" w:bidi="ar-SA"/>
    </w:rPr>
  </w:style>
  <w:style w:type="paragraph" w:styleId="1069" w:customStyle="1">
    <w:name w:val="UserStyle_1"/>
    <w:basedOn w:val="1068"/>
    <w:next w:val="1070"/>
    <w:uiPriority w:val="0"/>
    <w:qFormat/>
    <w:pPr>
      <w:spacing w:after="120"/>
    </w:pPr>
    <w:rPr>
      <w:lang w:eastAsia="en-US"/>
    </w:rPr>
  </w:style>
  <w:style w:type="paragraph" w:styleId="1070" w:customStyle="1">
    <w:name w:val="UserStyle_3"/>
    <w:basedOn w:val="1071"/>
    <w:next w:val="1072"/>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71" w:customStyle="1">
    <w:name w:val="UserStyle_4"/>
    <w:next w:val="878"/>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72" w:customStyle="1">
    <w:name w:val="UserStyle_5"/>
    <w:basedOn w:val="878"/>
    <w:next w:val="878"/>
    <w:uiPriority w:val="0"/>
    <w:qFormat/>
    <w:pPr>
      <w:ind w:firstLine="200"/>
    </w:pPr>
    <w:rPr>
      <w:rFonts w:ascii="宋体"/>
      <w:szCs w:val="20"/>
    </w:rPr>
  </w:style>
  <w:style w:type="table" w:styleId="1073" w:customStyle="1">
    <w:name w:val="Grid Table 3 - Accent 2"/>
    <w:uiPriority w:val="99"/>
    <w:qFormat/>
    <w:rPr>
      <w:lang w:val="en-US" w:eastAsia="zh-CN" w:bidi="ar-SA"/>
    </w:rPr>
    <w:tblPr/>
  </w:style>
  <w:style w:type="table" w:styleId="1074" w:customStyle="1">
    <w:name w:val="List Table 4 - Accent 1"/>
    <w:uiPriority w:val="99"/>
    <w:qFormat/>
    <w:rPr>
      <w:lang w:val="en-US" w:eastAsia="zh-CN" w:bidi="ar-SA"/>
    </w:rPr>
    <w:tblPr/>
  </w:style>
  <w:style w:type="table" w:styleId="1075" w:customStyle="1">
    <w:name w:val="网格型11"/>
    <w:uiPriority w:val="59"/>
    <w:qFormat/>
    <w:rPr>
      <w:lang w:val="en-US" w:eastAsia="zh-CN" w:bidi="ar-SA"/>
    </w:rPr>
    <w:tblPr/>
  </w:style>
  <w:style w:type="table" w:styleId="1076" w:customStyle="1">
    <w:name w:val="Grid Table 3"/>
    <w:uiPriority w:val="99"/>
    <w:qFormat/>
    <w:rPr>
      <w:lang w:val="en-US" w:eastAsia="zh-CN" w:bidi="ar-SA"/>
    </w:rPr>
    <w:tblPr/>
  </w:style>
  <w:style w:type="table" w:styleId="1077" w:customStyle="1">
    <w:name w:val="Grid Table 4 - Accent 1"/>
    <w:uiPriority w:val="59"/>
    <w:qFormat/>
    <w:rPr>
      <w:lang w:val="en-US" w:eastAsia="zh-CN" w:bidi="ar-SA"/>
    </w:rPr>
    <w:tblPr/>
  </w:style>
  <w:style w:type="table" w:styleId="1078" w:customStyle="1">
    <w:name w:val="List Table 5 Dark - Accent 5"/>
    <w:uiPriority w:val="99"/>
    <w:qFormat/>
    <w:rPr>
      <w:lang w:val="en-US" w:eastAsia="zh-CN" w:bidi="ar-SA"/>
    </w:rPr>
    <w:tblPr/>
  </w:style>
  <w:style w:type="table" w:styleId="1079" w:customStyle="1">
    <w:name w:val="Grid Table 4 - Accent 6"/>
    <w:uiPriority w:val="59"/>
    <w:qFormat/>
    <w:rPr>
      <w:lang w:val="en-US" w:eastAsia="zh-CN" w:bidi="ar-SA"/>
    </w:rPr>
    <w:tblPr/>
  </w:style>
  <w:style w:type="table" w:styleId="1080" w:customStyle="1">
    <w:name w:val="Lined - Accent 1"/>
    <w:uiPriority w:val="99"/>
    <w:qFormat/>
    <w:rPr>
      <w:color w:val="404040"/>
      <w:lang w:val="en-US" w:eastAsia="zh-CN" w:bidi="ar-SA"/>
    </w:rPr>
    <w:tblPr/>
  </w:style>
  <w:style w:type="table" w:styleId="1081" w:customStyle="1">
    <w:name w:val="Bordered - Accent 1"/>
    <w:uiPriority w:val="99"/>
    <w:qFormat/>
    <w:rPr>
      <w:lang w:val="en-US" w:eastAsia="zh-CN" w:bidi="ar-SA"/>
    </w:rPr>
    <w:tblPr/>
  </w:style>
  <w:style w:type="table" w:styleId="1082" w:customStyle="1">
    <w:name w:val="List Table 2 - Accent 3"/>
    <w:uiPriority w:val="99"/>
    <w:qFormat/>
    <w:rPr>
      <w:lang w:val="en-US" w:eastAsia="zh-CN" w:bidi="ar-SA"/>
    </w:rPr>
    <w:tblPr/>
  </w:style>
  <w:style w:type="table" w:styleId="1083" w:customStyle="1">
    <w:name w:val="Grid Table 1 Light - Accent 6"/>
    <w:uiPriority w:val="99"/>
    <w:qFormat/>
    <w:rPr>
      <w:lang w:val="en-US" w:eastAsia="zh-CN" w:bidi="ar-SA"/>
    </w:rPr>
    <w:tblPr/>
  </w:style>
  <w:style w:type="table" w:styleId="1084" w:customStyle="1">
    <w:name w:val="Plain Table 5"/>
    <w:uiPriority w:val="99"/>
    <w:qFormat/>
    <w:rPr>
      <w:lang w:val="en-US" w:eastAsia="zh-CN" w:bidi="ar-SA"/>
    </w:rPr>
    <w:tblPr/>
  </w:style>
  <w:style w:type="table" w:styleId="1085" w:customStyle="1">
    <w:name w:val="Grid Table 3 - Accent 1"/>
    <w:uiPriority w:val="99"/>
    <w:qFormat/>
    <w:rPr>
      <w:lang w:val="en-US" w:eastAsia="zh-CN" w:bidi="ar-SA"/>
    </w:rPr>
    <w:tblPr/>
  </w:style>
  <w:style w:type="table" w:styleId="1086" w:customStyle="1">
    <w:name w:val="Grid Table 7 Colorful - Accent 4"/>
    <w:uiPriority w:val="99"/>
    <w:qFormat/>
    <w:rPr>
      <w:lang w:val="en-US" w:eastAsia="zh-CN" w:bidi="ar-SA"/>
    </w:rPr>
    <w:tblPr/>
  </w:style>
  <w:style w:type="table" w:styleId="1087" w:customStyle="1">
    <w:name w:val="Bordered - Accent 4"/>
    <w:uiPriority w:val="99"/>
    <w:qFormat/>
    <w:rPr>
      <w:lang w:val="en-US" w:eastAsia="zh-CN" w:bidi="ar-SA"/>
    </w:rPr>
    <w:tblPr/>
  </w:style>
  <w:style w:type="table" w:styleId="1088" w:customStyle="1">
    <w:name w:val="List Table 7 Colorful - Accent 6"/>
    <w:uiPriority w:val="99"/>
    <w:qFormat/>
    <w:rPr>
      <w:lang w:val="en-US" w:eastAsia="zh-CN" w:bidi="ar-SA"/>
    </w:rPr>
    <w:tblPr/>
  </w:style>
  <w:style w:type="table" w:styleId="1089" w:customStyle="1">
    <w:name w:val="List Table 2 - Accent 5"/>
    <w:uiPriority w:val="99"/>
    <w:qFormat/>
    <w:rPr>
      <w:lang w:val="en-US" w:eastAsia="zh-CN" w:bidi="ar-SA"/>
    </w:rPr>
    <w:tblPr/>
  </w:style>
  <w:style w:type="table" w:styleId="1090" w:customStyle="1">
    <w:name w:val="Lined - Accent 4"/>
    <w:uiPriority w:val="99"/>
    <w:qFormat/>
    <w:rPr>
      <w:color w:val="404040"/>
      <w:lang w:val="en-US" w:eastAsia="zh-CN" w:bidi="ar-SA"/>
    </w:rPr>
    <w:tblPr/>
  </w:style>
  <w:style w:type="table" w:styleId="1091" w:customStyle="1">
    <w:name w:val="List Table 3 - Accent 2"/>
    <w:uiPriority w:val="99"/>
    <w:qFormat/>
    <w:rPr>
      <w:lang w:val="en-US" w:eastAsia="zh-CN" w:bidi="ar-SA"/>
    </w:rPr>
    <w:tblPr/>
  </w:style>
  <w:style w:type="table" w:styleId="1092" w:customStyle="1">
    <w:name w:val="网格型1"/>
    <w:basedOn w:val="1093"/>
    <w:uiPriority w:val="0"/>
    <w:qFormat/>
    <w:tblPr/>
  </w:style>
  <w:style w:type="table" w:styleId="1093" w:customStyle="1">
    <w:name w:val="普通表格1"/>
    <w:uiPriority w:val="0"/>
    <w:semiHidden/>
    <w:qFormat/>
    <w:rPr>
      <w:lang w:val="en-US" w:eastAsia="zh-CN" w:bidi="ar-SA"/>
    </w:rPr>
    <w:tblPr/>
  </w:style>
  <w:style w:type="table" w:styleId="1094" w:customStyle="1">
    <w:name w:val="Grid Table 6 Colorful - Accent 5"/>
    <w:uiPriority w:val="99"/>
    <w:qFormat/>
    <w:rPr>
      <w:lang w:val="en-US" w:eastAsia="zh-CN" w:bidi="ar-SA"/>
    </w:rPr>
    <w:tblPr/>
  </w:style>
  <w:style w:type="table" w:styleId="1095" w:customStyle="1">
    <w:name w:val="Grid Table 2 - Accent 6"/>
    <w:uiPriority w:val="99"/>
    <w:qFormat/>
    <w:rPr>
      <w:lang w:val="en-US" w:eastAsia="zh-CN" w:bidi="ar-SA"/>
    </w:rPr>
    <w:tblPr/>
  </w:style>
  <w:style w:type="table" w:styleId="1096" w:customStyle="1">
    <w:name w:val="Grid Table 5 Dark"/>
    <w:uiPriority w:val="99"/>
    <w:qFormat/>
    <w:rPr>
      <w:lang w:val="en-US" w:eastAsia="zh-CN" w:bidi="ar-SA"/>
    </w:rPr>
    <w:tblPr/>
  </w:style>
  <w:style w:type="table" w:styleId="1097" w:customStyle="1">
    <w:name w:val="Grid Table 6 Colorful - Accent 2"/>
    <w:uiPriority w:val="99"/>
    <w:qFormat/>
    <w:rPr>
      <w:lang w:val="en-US" w:eastAsia="zh-CN" w:bidi="ar-SA"/>
    </w:rPr>
    <w:tblPr/>
  </w:style>
  <w:style w:type="table" w:styleId="1098" w:customStyle="1">
    <w:name w:val="Grid Table 2 - Accent 3"/>
    <w:uiPriority w:val="99"/>
    <w:qFormat/>
    <w:rPr>
      <w:lang w:val="en-US" w:eastAsia="zh-CN" w:bidi="ar-SA"/>
    </w:rPr>
    <w:tblPr/>
  </w:style>
  <w:style w:type="table" w:styleId="1099" w:customStyle="1">
    <w:name w:val="Grid Table 3 - Accent 6"/>
    <w:uiPriority w:val="99"/>
    <w:qFormat/>
    <w:rPr>
      <w:lang w:val="en-US" w:eastAsia="zh-CN" w:bidi="ar-SA"/>
    </w:rPr>
    <w:tblPr/>
  </w:style>
  <w:style w:type="table" w:styleId="1100" w:customStyle="1">
    <w:name w:val="Grid Table 5 Dark - Accent 5"/>
    <w:uiPriority w:val="99"/>
    <w:qFormat/>
    <w:rPr>
      <w:lang w:val="en-US" w:eastAsia="zh-CN" w:bidi="ar-SA"/>
    </w:rPr>
    <w:tblPr/>
  </w:style>
  <w:style w:type="table" w:styleId="1101" w:customStyle="1">
    <w:name w:val="List Table 1 Light - Accent 2"/>
    <w:uiPriority w:val="99"/>
    <w:qFormat/>
    <w:rPr>
      <w:lang w:val="en-US" w:eastAsia="zh-CN" w:bidi="ar-SA"/>
    </w:rPr>
    <w:tblPr/>
  </w:style>
  <w:style w:type="table" w:styleId="1102" w:customStyle="1">
    <w:name w:val="List Table 2 - Accent 1"/>
    <w:uiPriority w:val="99"/>
    <w:qFormat/>
    <w:rPr>
      <w:lang w:val="en-US" w:eastAsia="zh-CN" w:bidi="ar-SA"/>
    </w:rPr>
    <w:tblPr/>
  </w:style>
  <w:style w:type="table" w:styleId="1103" w:customStyle="1">
    <w:name w:val="List Table 1 Light - Accent 3"/>
    <w:uiPriority w:val="99"/>
    <w:qFormat/>
    <w:rPr>
      <w:lang w:val="en-US" w:eastAsia="zh-CN" w:bidi="ar-SA"/>
    </w:rPr>
    <w:tblPr/>
  </w:style>
  <w:style w:type="table" w:styleId="1104" w:customStyle="1">
    <w:name w:val="List Table 6 Colorful - Accent 2"/>
    <w:uiPriority w:val="99"/>
    <w:qFormat/>
    <w:rPr>
      <w:lang w:val="en-US" w:eastAsia="zh-CN" w:bidi="ar-SA"/>
    </w:rPr>
    <w:tblPr/>
  </w:style>
  <w:style w:type="table" w:styleId="1105" w:customStyle="1">
    <w:name w:val="List Table 7 Colorful"/>
    <w:uiPriority w:val="99"/>
    <w:qFormat/>
    <w:rPr>
      <w:lang w:val="en-US" w:eastAsia="zh-CN" w:bidi="ar-SA"/>
    </w:rPr>
    <w:tblPr/>
  </w:style>
  <w:style w:type="table" w:styleId="1106" w:customStyle="1">
    <w:name w:val="Grid Table 3 - Accent 5"/>
    <w:uiPriority w:val="99"/>
    <w:qFormat/>
    <w:rPr>
      <w:lang w:val="en-US" w:eastAsia="zh-CN" w:bidi="ar-SA"/>
    </w:rPr>
    <w:tblPr/>
  </w:style>
  <w:style w:type="table" w:styleId="1107" w:customStyle="1">
    <w:name w:val="List Table 5 Dark - Accent 6"/>
    <w:uiPriority w:val="99"/>
    <w:qFormat/>
    <w:rPr>
      <w:lang w:val="en-US" w:eastAsia="zh-CN" w:bidi="ar-SA"/>
    </w:rPr>
    <w:tblPr/>
  </w:style>
  <w:style w:type="table" w:styleId="1108" w:customStyle="1">
    <w:name w:val="List Table 2"/>
    <w:uiPriority w:val="99"/>
    <w:qFormat/>
    <w:rPr>
      <w:lang w:val="en-US" w:eastAsia="zh-CN" w:bidi="ar-SA"/>
    </w:rPr>
    <w:tblPr/>
  </w:style>
  <w:style w:type="table" w:styleId="1109" w:customStyle="1">
    <w:name w:val="Table Grid Light"/>
    <w:uiPriority w:val="59"/>
    <w:qFormat/>
    <w:rPr>
      <w:lang w:val="en-US" w:eastAsia="zh-CN" w:bidi="ar-SA"/>
    </w:rPr>
    <w:tblPr/>
  </w:style>
  <w:style w:type="table" w:styleId="1110" w:customStyle="1">
    <w:name w:val="Lined - Accent 6"/>
    <w:uiPriority w:val="99"/>
    <w:qFormat/>
    <w:rPr>
      <w:color w:val="404040"/>
      <w:lang w:val="en-US" w:eastAsia="zh-CN" w:bidi="ar-SA"/>
    </w:rPr>
    <w:tblPr/>
  </w:style>
  <w:style w:type="table" w:styleId="1111" w:customStyle="1">
    <w:name w:val="List Table 1 Light - Accent 6"/>
    <w:uiPriority w:val="99"/>
    <w:qFormat/>
    <w:rPr>
      <w:lang w:val="en-US" w:eastAsia="zh-CN" w:bidi="ar-SA"/>
    </w:rPr>
    <w:tblPr/>
  </w:style>
  <w:style w:type="table" w:styleId="1112" w:customStyle="1">
    <w:name w:val="List Table 7 Colorful - Accent 1"/>
    <w:uiPriority w:val="99"/>
    <w:qFormat/>
    <w:rPr>
      <w:lang w:val="en-US" w:eastAsia="zh-CN" w:bidi="ar-SA"/>
    </w:rPr>
    <w:tblPr/>
  </w:style>
  <w:style w:type="table" w:styleId="1113" w:customStyle="1">
    <w:name w:val="Lined - Accent"/>
    <w:uiPriority w:val="99"/>
    <w:qFormat/>
    <w:rPr>
      <w:color w:val="404040"/>
      <w:lang w:val="en-US" w:eastAsia="zh-CN" w:bidi="ar-SA"/>
    </w:rPr>
    <w:tblPr/>
  </w:style>
  <w:style w:type="table" w:styleId="1114" w:customStyle="1">
    <w:name w:val="Grid Table 4"/>
    <w:uiPriority w:val="59"/>
    <w:qFormat/>
    <w:rPr>
      <w:lang w:val="en-US" w:eastAsia="zh-CN" w:bidi="ar-SA"/>
    </w:rPr>
    <w:tblPr/>
  </w:style>
  <w:style w:type="table" w:styleId="1115" w:customStyle="1">
    <w:name w:val="Grid Table 2 - Accent 1"/>
    <w:uiPriority w:val="99"/>
    <w:qFormat/>
    <w:rPr>
      <w:lang w:val="en-US" w:eastAsia="zh-CN" w:bidi="ar-SA"/>
    </w:rPr>
    <w:tblPr/>
  </w:style>
  <w:style w:type="table" w:styleId="1116" w:customStyle="1">
    <w:name w:val="List Table 6 Colorful - Accent 4"/>
    <w:uiPriority w:val="99"/>
    <w:qFormat/>
    <w:rPr>
      <w:lang w:val="en-US" w:eastAsia="zh-CN" w:bidi="ar-SA"/>
    </w:rPr>
    <w:tblPr/>
  </w:style>
  <w:style w:type="table" w:styleId="1117" w:customStyle="1">
    <w:name w:val="List Table 2 - Accent 6"/>
    <w:uiPriority w:val="99"/>
    <w:qFormat/>
    <w:rPr>
      <w:lang w:val="en-US" w:eastAsia="zh-CN" w:bidi="ar-SA"/>
    </w:rPr>
    <w:tblPr/>
  </w:style>
  <w:style w:type="table" w:styleId="1118" w:customStyle="1">
    <w:name w:val="Grid Table 1 Light - Accent 3"/>
    <w:uiPriority w:val="99"/>
    <w:qFormat/>
    <w:rPr>
      <w:lang w:val="en-US" w:eastAsia="zh-CN" w:bidi="ar-SA"/>
    </w:rPr>
    <w:tblPr/>
  </w:style>
  <w:style w:type="table" w:styleId="1119" w:customStyle="1">
    <w:name w:val="List Table 5 Dark - Accent 2"/>
    <w:uiPriority w:val="99"/>
    <w:qFormat/>
    <w:rPr>
      <w:lang w:val="en-US" w:eastAsia="zh-CN" w:bidi="ar-SA"/>
    </w:rPr>
    <w:tblPr/>
  </w:style>
  <w:style w:type="table" w:styleId="1120" w:customStyle="1">
    <w:name w:val="List Table 2 - Accent 2"/>
    <w:uiPriority w:val="99"/>
    <w:qFormat/>
    <w:rPr>
      <w:lang w:val="en-US" w:eastAsia="zh-CN" w:bidi="ar-SA"/>
    </w:rPr>
    <w:tblPr/>
  </w:style>
  <w:style w:type="table" w:styleId="1121" w:customStyle="1">
    <w:name w:val="Grid Table 4 - Accent 4"/>
    <w:uiPriority w:val="59"/>
    <w:qFormat/>
    <w:rPr>
      <w:lang w:val="en-US" w:eastAsia="zh-CN" w:bidi="ar-SA"/>
    </w:rPr>
    <w:tblPr/>
  </w:style>
  <w:style w:type="table" w:styleId="1122" w:customStyle="1">
    <w:name w:val="List Table 1 Light - Accent 1"/>
    <w:uiPriority w:val="99"/>
    <w:qFormat/>
    <w:rPr>
      <w:lang w:val="en-US" w:eastAsia="zh-CN" w:bidi="ar-SA"/>
    </w:rPr>
    <w:tblPr/>
  </w:style>
  <w:style w:type="table" w:styleId="1123" w:customStyle="1">
    <w:name w:val="List Table 4 - Accent 5"/>
    <w:uiPriority w:val="99"/>
    <w:qFormat/>
    <w:rPr>
      <w:lang w:val="en-US" w:eastAsia="zh-CN" w:bidi="ar-SA"/>
    </w:rPr>
    <w:tblPr/>
  </w:style>
  <w:style w:type="table" w:styleId="1124" w:customStyle="1">
    <w:name w:val="Grid Table 2 - Accent 5"/>
    <w:uiPriority w:val="99"/>
    <w:qFormat/>
    <w:rPr>
      <w:lang w:val="en-US" w:eastAsia="zh-CN" w:bidi="ar-SA"/>
    </w:rPr>
    <w:tblPr/>
  </w:style>
  <w:style w:type="table" w:styleId="1125" w:customStyle="1">
    <w:name w:val="List Table 3 - Accent 1"/>
    <w:uiPriority w:val="99"/>
    <w:qFormat/>
    <w:rPr>
      <w:lang w:val="en-US" w:eastAsia="zh-CN" w:bidi="ar-SA"/>
    </w:rPr>
    <w:tblPr/>
  </w:style>
  <w:style w:type="table" w:styleId="1126" w:customStyle="1">
    <w:name w:val="Grid Table 7 Colorful - Accent 2"/>
    <w:uiPriority w:val="99"/>
    <w:qFormat/>
    <w:rPr>
      <w:lang w:val="en-US" w:eastAsia="zh-CN" w:bidi="ar-SA"/>
    </w:rPr>
    <w:tblPr/>
  </w:style>
  <w:style w:type="table" w:styleId="1127" w:customStyle="1">
    <w:name w:val="Grid Table 6 Colorful - Accent 1"/>
    <w:uiPriority w:val="99"/>
    <w:qFormat/>
    <w:rPr>
      <w:lang w:val="en-US" w:eastAsia="zh-CN" w:bidi="ar-SA"/>
    </w:rPr>
    <w:tblPr/>
  </w:style>
  <w:style w:type="table" w:styleId="1128" w:customStyle="1">
    <w:name w:val="List Table 4 - Accent 2"/>
    <w:uiPriority w:val="99"/>
    <w:qFormat/>
    <w:rPr>
      <w:lang w:val="en-US" w:eastAsia="zh-CN" w:bidi="ar-SA"/>
    </w:rPr>
    <w:tblPr/>
  </w:style>
  <w:style w:type="table" w:styleId="1129" w:customStyle="1">
    <w:name w:val="Lined - Accent 3"/>
    <w:uiPriority w:val="99"/>
    <w:qFormat/>
    <w:rPr>
      <w:color w:val="404040"/>
      <w:lang w:val="en-US" w:eastAsia="zh-CN" w:bidi="ar-SA"/>
    </w:rPr>
    <w:tblPr/>
  </w:style>
  <w:style w:type="table" w:styleId="1130" w:customStyle="1">
    <w:name w:val="Bordered &amp; Lined - Accent 1"/>
    <w:uiPriority w:val="99"/>
    <w:qFormat/>
    <w:rPr>
      <w:color w:val="404040"/>
      <w:lang w:val="en-US" w:eastAsia="zh-CN" w:bidi="ar-SA"/>
    </w:rPr>
    <w:tblPr/>
  </w:style>
  <w:style w:type="table" w:styleId="1131" w:customStyle="1">
    <w:name w:val="List Table 7 Colorful - Accent 4"/>
    <w:uiPriority w:val="99"/>
    <w:qFormat/>
    <w:rPr>
      <w:lang w:val="en-US" w:eastAsia="zh-CN" w:bidi="ar-SA"/>
    </w:rPr>
    <w:tblPr/>
  </w:style>
  <w:style w:type="table" w:styleId="1132" w:customStyle="1">
    <w:name w:val="List Table 3 - Accent 4"/>
    <w:uiPriority w:val="99"/>
    <w:qFormat/>
    <w:rPr>
      <w:lang w:val="en-US" w:eastAsia="zh-CN" w:bidi="ar-SA"/>
    </w:rPr>
    <w:tblPr/>
  </w:style>
  <w:style w:type="table" w:styleId="1133" w:customStyle="1">
    <w:name w:val="List Table 5 Dark"/>
    <w:uiPriority w:val="99"/>
    <w:qFormat/>
    <w:rPr>
      <w:lang w:val="en-US" w:eastAsia="zh-CN" w:bidi="ar-SA"/>
    </w:rPr>
    <w:tblPr/>
  </w:style>
  <w:style w:type="table" w:styleId="1134" w:customStyle="1">
    <w:name w:val="Lined - Accent 5"/>
    <w:uiPriority w:val="99"/>
    <w:qFormat/>
    <w:rPr>
      <w:color w:val="404040"/>
      <w:lang w:val="en-US" w:eastAsia="zh-CN" w:bidi="ar-SA"/>
    </w:rPr>
    <w:tblPr/>
  </w:style>
  <w:style w:type="table" w:styleId="1135" w:customStyle="1">
    <w:name w:val="List Table 1 Light"/>
    <w:uiPriority w:val="99"/>
    <w:qFormat/>
    <w:rPr>
      <w:lang w:val="en-US" w:eastAsia="zh-CN" w:bidi="ar-SA"/>
    </w:rPr>
    <w:tblPr/>
  </w:style>
  <w:style w:type="table" w:styleId="1136" w:customStyle="1">
    <w:name w:val="List Table 4 - Accent 6"/>
    <w:uiPriority w:val="99"/>
    <w:qFormat/>
    <w:rPr>
      <w:lang w:val="en-US" w:eastAsia="zh-CN" w:bidi="ar-SA"/>
    </w:rPr>
    <w:tblPr/>
  </w:style>
  <w:style w:type="table" w:styleId="1137" w:customStyle="1">
    <w:name w:val="List Table 4"/>
    <w:uiPriority w:val="99"/>
    <w:qFormat/>
    <w:rPr>
      <w:lang w:val="en-US" w:eastAsia="zh-CN" w:bidi="ar-SA"/>
    </w:rPr>
    <w:tblPr/>
  </w:style>
  <w:style w:type="table" w:styleId="1138" w:customStyle="1">
    <w:name w:val="List Table 6 Colorful"/>
    <w:uiPriority w:val="99"/>
    <w:qFormat/>
    <w:rPr>
      <w:lang w:val="en-US" w:eastAsia="zh-CN" w:bidi="ar-SA"/>
    </w:rPr>
    <w:tblPr/>
  </w:style>
  <w:style w:type="table" w:styleId="1139" w:customStyle="1">
    <w:name w:val="Grid Table 1 Light - Accent 5"/>
    <w:uiPriority w:val="99"/>
    <w:qFormat/>
    <w:rPr>
      <w:lang w:val="en-US" w:eastAsia="zh-CN" w:bidi="ar-SA"/>
    </w:rPr>
    <w:tblPr/>
  </w:style>
  <w:style w:type="table" w:styleId="1140" w:customStyle="1">
    <w:name w:val="List Table 5 Dark - Accent 1"/>
    <w:uiPriority w:val="99"/>
    <w:qFormat/>
    <w:rPr>
      <w:lang w:val="en-US" w:eastAsia="zh-CN" w:bidi="ar-SA"/>
    </w:rPr>
    <w:tblPr/>
  </w:style>
  <w:style w:type="table" w:styleId="1141" w:customStyle="1">
    <w:name w:val="List Table 6 Colorful - Accent 6"/>
    <w:uiPriority w:val="99"/>
    <w:qFormat/>
    <w:rPr>
      <w:lang w:val="en-US" w:eastAsia="zh-CN" w:bidi="ar-SA"/>
    </w:rPr>
    <w:tblPr/>
  </w:style>
  <w:style w:type="table" w:styleId="1142" w:customStyle="1">
    <w:name w:val="Grid Table 5 Dark - Accent 2"/>
    <w:uiPriority w:val="99"/>
    <w:qFormat/>
    <w:rPr>
      <w:lang w:val="en-US" w:eastAsia="zh-CN" w:bidi="ar-SA"/>
    </w:rPr>
    <w:tblPr/>
  </w:style>
  <w:style w:type="table" w:styleId="1143" w:customStyle="1">
    <w:name w:val="Bordered - Accent 3"/>
    <w:uiPriority w:val="99"/>
    <w:qFormat/>
    <w:rPr>
      <w:lang w:val="en-US" w:eastAsia="zh-CN" w:bidi="ar-SA"/>
    </w:rPr>
    <w:tblPr/>
  </w:style>
  <w:style w:type="table" w:styleId="1144" w:customStyle="1">
    <w:name w:val="Grid Table 3 - Accent 4"/>
    <w:uiPriority w:val="99"/>
    <w:qFormat/>
    <w:rPr>
      <w:lang w:val="en-US" w:eastAsia="zh-CN" w:bidi="ar-SA"/>
    </w:rPr>
    <w:tblPr/>
  </w:style>
  <w:style w:type="table" w:styleId="1145" w:customStyle="1">
    <w:name w:val="Grid Table 7 Colorful"/>
    <w:uiPriority w:val="99"/>
    <w:qFormat/>
    <w:rPr>
      <w:lang w:val="en-US" w:eastAsia="zh-CN" w:bidi="ar-SA"/>
    </w:rPr>
    <w:tblPr/>
  </w:style>
  <w:style w:type="table" w:styleId="1146" w:customStyle="1">
    <w:name w:val="Grid Table 5 Dark- Accent 4"/>
    <w:uiPriority w:val="99"/>
    <w:qFormat/>
    <w:rPr>
      <w:lang w:val="en-US" w:eastAsia="zh-CN" w:bidi="ar-SA"/>
    </w:rPr>
    <w:tblPr/>
  </w:style>
  <w:style w:type="table" w:styleId="1147" w:customStyle="1">
    <w:name w:val="Grid Table 3 - Accent 3"/>
    <w:uiPriority w:val="99"/>
    <w:qFormat/>
    <w:rPr>
      <w:lang w:val="en-US" w:eastAsia="zh-CN" w:bidi="ar-SA"/>
    </w:rPr>
    <w:tblPr/>
  </w:style>
  <w:style w:type="table" w:styleId="1148" w:customStyle="1">
    <w:name w:val="Grid Table 6 Colorful - Accent 3"/>
    <w:uiPriority w:val="99"/>
    <w:qFormat/>
    <w:rPr>
      <w:lang w:val="en-US" w:eastAsia="zh-CN" w:bidi="ar-SA"/>
    </w:rPr>
    <w:tblPr/>
  </w:style>
  <w:style w:type="table" w:styleId="1149" w:customStyle="1">
    <w:name w:val="List Table 6 Colorful - Accent 3"/>
    <w:uiPriority w:val="99"/>
    <w:qFormat/>
    <w:rPr>
      <w:lang w:val="en-US" w:eastAsia="zh-CN" w:bidi="ar-SA"/>
    </w:rPr>
    <w:tblPr/>
  </w:style>
  <w:style w:type="table" w:styleId="1150" w:customStyle="1">
    <w:name w:val="List Table 3"/>
    <w:uiPriority w:val="99"/>
    <w:qFormat/>
    <w:rPr>
      <w:lang w:val="en-US" w:eastAsia="zh-CN" w:bidi="ar-SA"/>
    </w:rPr>
    <w:tblPr/>
  </w:style>
  <w:style w:type="table" w:styleId="1151" w:customStyle="1">
    <w:name w:val="List Table 3 - Accent 3"/>
    <w:uiPriority w:val="99"/>
    <w:qFormat/>
    <w:rPr>
      <w:lang w:val="en-US" w:eastAsia="zh-CN" w:bidi="ar-SA"/>
    </w:rPr>
    <w:tblPr/>
  </w:style>
  <w:style w:type="table" w:styleId="1152" w:customStyle="1">
    <w:name w:val="Bordered &amp; Lined - Accent 5"/>
    <w:uiPriority w:val="99"/>
    <w:qFormat/>
    <w:rPr>
      <w:color w:val="404040"/>
      <w:lang w:val="en-US" w:eastAsia="zh-CN" w:bidi="ar-SA"/>
    </w:rPr>
    <w:tblPr/>
  </w:style>
  <w:style w:type="table" w:styleId="1153" w:customStyle="1">
    <w:name w:val="Grid Table 1 Light - Accent 1"/>
    <w:uiPriority w:val="99"/>
    <w:qFormat/>
    <w:rPr>
      <w:lang w:val="en-US" w:eastAsia="zh-CN" w:bidi="ar-SA"/>
    </w:rPr>
    <w:tblPr/>
  </w:style>
  <w:style w:type="table" w:styleId="1154" w:customStyle="1">
    <w:name w:val="Grid Table 6 Colorful - Accent 4"/>
    <w:uiPriority w:val="99"/>
    <w:qFormat/>
    <w:rPr>
      <w:lang w:val="en-US" w:eastAsia="zh-CN" w:bidi="ar-SA"/>
    </w:rPr>
    <w:tblPr/>
  </w:style>
  <w:style w:type="table" w:styleId="1155" w:customStyle="1">
    <w:name w:val="Grid Table 5 Dark - Accent 6"/>
    <w:uiPriority w:val="99"/>
    <w:qFormat/>
    <w:rPr>
      <w:lang w:val="en-US" w:eastAsia="zh-CN" w:bidi="ar-SA"/>
    </w:rPr>
    <w:tblPr/>
  </w:style>
  <w:style w:type="table" w:styleId="1156" w:customStyle="1">
    <w:name w:val="Grid Table 2 - Accent 2"/>
    <w:uiPriority w:val="99"/>
    <w:qFormat/>
    <w:rPr>
      <w:lang w:val="en-US" w:eastAsia="zh-CN" w:bidi="ar-SA"/>
    </w:rPr>
    <w:tblPr/>
  </w:style>
  <w:style w:type="table" w:styleId="1157" w:customStyle="1">
    <w:name w:val="List Table 1 Light - Accent 4"/>
    <w:uiPriority w:val="99"/>
    <w:qFormat/>
    <w:rPr>
      <w:lang w:val="en-US" w:eastAsia="zh-CN" w:bidi="ar-SA"/>
    </w:rPr>
    <w:tblPr/>
  </w:style>
  <w:style w:type="table" w:styleId="1158" w:customStyle="1">
    <w:name w:val="Grid Table 7 Colorful - Accent 5"/>
    <w:uiPriority w:val="99"/>
    <w:qFormat/>
    <w:rPr>
      <w:lang w:val="en-US" w:eastAsia="zh-CN" w:bidi="ar-SA"/>
    </w:rPr>
    <w:tblPr/>
  </w:style>
  <w:style w:type="table" w:styleId="1159" w:customStyle="1">
    <w:name w:val="List Table 1 Light - Accent 5"/>
    <w:uiPriority w:val="99"/>
    <w:qFormat/>
    <w:rPr>
      <w:lang w:val="en-US" w:eastAsia="zh-CN" w:bidi="ar-SA"/>
    </w:rPr>
    <w:tblPr/>
  </w:style>
  <w:style w:type="table" w:styleId="1160" w:customStyle="1">
    <w:name w:val="List Table 5 Dark - Accent 3"/>
    <w:uiPriority w:val="99"/>
    <w:qFormat/>
    <w:rPr>
      <w:lang w:val="en-US" w:eastAsia="zh-CN" w:bidi="ar-SA"/>
    </w:rPr>
    <w:tblPr/>
  </w:style>
  <w:style w:type="table" w:styleId="1161" w:customStyle="1">
    <w:name w:val="Bordered - Accent 6"/>
    <w:uiPriority w:val="99"/>
    <w:qFormat/>
    <w:rPr>
      <w:lang w:val="en-US" w:eastAsia="zh-CN" w:bidi="ar-SA"/>
    </w:rPr>
    <w:tblPr/>
  </w:style>
  <w:style w:type="table" w:styleId="1162" w:customStyle="1">
    <w:name w:val="Plain Table 2"/>
    <w:uiPriority w:val="59"/>
    <w:qFormat/>
    <w:rPr>
      <w:lang w:val="en-US" w:eastAsia="zh-CN" w:bidi="ar-SA"/>
    </w:rPr>
    <w:tblPr/>
  </w:style>
  <w:style w:type="table" w:styleId="1163" w:customStyle="1">
    <w:name w:val="List Table 7 Colorful - Accent 2"/>
    <w:uiPriority w:val="99"/>
    <w:qFormat/>
    <w:rPr>
      <w:lang w:val="en-US" w:eastAsia="zh-CN" w:bidi="ar-SA"/>
    </w:rPr>
    <w:tblPr/>
  </w:style>
  <w:style w:type="table" w:styleId="1164" w:customStyle="1">
    <w:name w:val="Grid Table 4 - Accent 5"/>
    <w:uiPriority w:val="59"/>
    <w:qFormat/>
    <w:rPr>
      <w:lang w:val="en-US" w:eastAsia="zh-CN" w:bidi="ar-SA"/>
    </w:rPr>
    <w:tblPr/>
  </w:style>
  <w:style w:type="table" w:styleId="1165" w:customStyle="1">
    <w:name w:val="Grid Table 5 Dark - Accent 3"/>
    <w:uiPriority w:val="99"/>
    <w:qFormat/>
    <w:rPr>
      <w:lang w:val="en-US" w:eastAsia="zh-CN" w:bidi="ar-SA"/>
    </w:rPr>
    <w:tblPr/>
  </w:style>
  <w:style w:type="table" w:styleId="1166" w:customStyle="1">
    <w:name w:val="Bordered &amp; Lined - Accent 3"/>
    <w:uiPriority w:val="99"/>
    <w:qFormat/>
    <w:rPr>
      <w:color w:val="404040"/>
      <w:lang w:val="en-US" w:eastAsia="zh-CN" w:bidi="ar-SA"/>
    </w:rPr>
    <w:tblPr/>
  </w:style>
  <w:style w:type="table" w:styleId="1167" w:customStyle="1">
    <w:name w:val="Bordered &amp; Lined - Accent 2"/>
    <w:uiPriority w:val="99"/>
    <w:qFormat/>
    <w:rPr>
      <w:color w:val="404040"/>
      <w:lang w:val="en-US" w:eastAsia="zh-CN" w:bidi="ar-SA"/>
    </w:rPr>
    <w:tblPr/>
  </w:style>
  <w:style w:type="table" w:styleId="1168" w:customStyle="1">
    <w:name w:val="Lined - Accent 2"/>
    <w:uiPriority w:val="99"/>
    <w:qFormat/>
    <w:rPr>
      <w:color w:val="404040"/>
      <w:lang w:val="en-US" w:eastAsia="zh-CN" w:bidi="ar-SA"/>
    </w:rPr>
    <w:tblPr/>
  </w:style>
  <w:style w:type="table" w:styleId="1169" w:customStyle="1">
    <w:name w:val="Bordered &amp; Lined - Accent 4"/>
    <w:uiPriority w:val="99"/>
    <w:qFormat/>
    <w:rPr>
      <w:color w:val="404040"/>
      <w:lang w:val="en-US" w:eastAsia="zh-CN" w:bidi="ar-SA"/>
    </w:rPr>
    <w:tblPr/>
  </w:style>
  <w:style w:type="table" w:styleId="1170" w:customStyle="1">
    <w:name w:val="List Table 3 - Accent 5"/>
    <w:uiPriority w:val="99"/>
    <w:qFormat/>
    <w:rPr>
      <w:lang w:val="en-US" w:eastAsia="zh-CN" w:bidi="ar-SA"/>
    </w:rPr>
    <w:tblPr/>
  </w:style>
  <w:style w:type="table" w:styleId="1171" w:customStyle="1">
    <w:name w:val="Grid Table 6 Colorful - Accent 6"/>
    <w:uiPriority w:val="99"/>
    <w:qFormat/>
    <w:rPr>
      <w:lang w:val="en-US" w:eastAsia="zh-CN" w:bidi="ar-SA"/>
    </w:rPr>
    <w:tblPr/>
  </w:style>
  <w:style w:type="table" w:styleId="1172" w:customStyle="1">
    <w:name w:val="List Table 3 - Accent 6"/>
    <w:uiPriority w:val="99"/>
    <w:qFormat/>
    <w:rPr>
      <w:lang w:val="en-US" w:eastAsia="zh-CN" w:bidi="ar-SA"/>
    </w:rPr>
    <w:tblPr/>
  </w:style>
  <w:style w:type="table" w:styleId="1173" w:customStyle="1">
    <w:name w:val="Grid Table 7 Colorful - Accent 3"/>
    <w:uiPriority w:val="99"/>
    <w:qFormat/>
    <w:rPr>
      <w:lang w:val="en-US" w:eastAsia="zh-CN" w:bidi="ar-SA"/>
    </w:rPr>
    <w:tblPr/>
  </w:style>
  <w:style w:type="table" w:styleId="1174" w:customStyle="1">
    <w:name w:val="Bordered"/>
    <w:uiPriority w:val="99"/>
    <w:qFormat/>
    <w:rPr>
      <w:lang w:val="en-US" w:eastAsia="zh-CN" w:bidi="ar-SA"/>
    </w:rPr>
    <w:tblPr/>
  </w:style>
  <w:style w:type="table" w:styleId="1175" w:customStyle="1">
    <w:name w:val="Bordered - Accent 2"/>
    <w:uiPriority w:val="99"/>
    <w:qFormat/>
    <w:rPr>
      <w:lang w:val="en-US" w:eastAsia="zh-CN" w:bidi="ar-SA"/>
    </w:rPr>
    <w:tblPr/>
  </w:style>
  <w:style w:type="table" w:styleId="1176" w:customStyle="1">
    <w:name w:val="Grid Table 1 Light"/>
    <w:uiPriority w:val="99"/>
    <w:qFormat/>
    <w:rPr>
      <w:lang w:val="en-US" w:eastAsia="zh-CN" w:bidi="ar-SA"/>
    </w:rPr>
    <w:tblPr/>
  </w:style>
  <w:style w:type="table" w:styleId="1177" w:customStyle="1">
    <w:name w:val="Grid Table 6 Colorful"/>
    <w:uiPriority w:val="99"/>
    <w:qFormat/>
    <w:rPr>
      <w:lang w:val="en-US" w:eastAsia="zh-CN" w:bidi="ar-SA"/>
    </w:rPr>
    <w:tblPr/>
  </w:style>
  <w:style w:type="table" w:styleId="1178" w:customStyle="1">
    <w:name w:val="Grid Table 1 Light - Accent 2"/>
    <w:uiPriority w:val="99"/>
    <w:qFormat/>
    <w:rPr>
      <w:lang w:val="en-US" w:eastAsia="zh-CN" w:bidi="ar-SA"/>
    </w:rPr>
    <w:tblPr/>
  </w:style>
  <w:style w:type="table" w:styleId="1179" w:customStyle="1">
    <w:name w:val="Grid Table 5 Dark- Accent 1"/>
    <w:uiPriority w:val="99"/>
    <w:qFormat/>
    <w:rPr>
      <w:lang w:val="en-US" w:eastAsia="zh-CN" w:bidi="ar-SA"/>
    </w:rPr>
    <w:tblPr/>
  </w:style>
  <w:style w:type="table" w:styleId="1180" w:customStyle="1">
    <w:name w:val="Plain Table 4"/>
    <w:uiPriority w:val="99"/>
    <w:qFormat/>
    <w:rPr>
      <w:lang w:val="en-US" w:eastAsia="zh-CN" w:bidi="ar-SA"/>
    </w:rPr>
    <w:tblPr/>
  </w:style>
  <w:style w:type="table" w:styleId="1181" w:customStyle="1">
    <w:name w:val="Grid Table 1 Light - Accent 4"/>
    <w:uiPriority w:val="99"/>
    <w:qFormat/>
    <w:rPr>
      <w:lang w:val="en-US" w:eastAsia="zh-CN" w:bidi="ar-SA"/>
    </w:rPr>
    <w:tblPr/>
  </w:style>
  <w:style w:type="table" w:styleId="1182" w:customStyle="1">
    <w:name w:val="Grid Table 2"/>
    <w:uiPriority w:val="99"/>
    <w:qFormat/>
    <w:rPr>
      <w:lang w:val="en-US" w:eastAsia="zh-CN" w:bidi="ar-SA"/>
    </w:rPr>
    <w:tblPr/>
  </w:style>
  <w:style w:type="table" w:styleId="1183" w:customStyle="1">
    <w:name w:val="List Table 4 - Accent 4"/>
    <w:uiPriority w:val="99"/>
    <w:qFormat/>
    <w:rPr>
      <w:lang w:val="en-US" w:eastAsia="zh-CN" w:bidi="ar-SA"/>
    </w:rPr>
    <w:tblPr/>
  </w:style>
  <w:style w:type="table" w:styleId="1184" w:customStyle="1">
    <w:name w:val="Plain Table 1"/>
    <w:uiPriority w:val="59"/>
    <w:qFormat/>
    <w:rPr>
      <w:lang w:val="en-US" w:eastAsia="zh-CN" w:bidi="ar-SA"/>
    </w:rPr>
    <w:tblPr/>
  </w:style>
  <w:style w:type="table" w:styleId="1185" w:customStyle="1">
    <w:name w:val="Bordered - Accent 5"/>
    <w:uiPriority w:val="99"/>
    <w:qFormat/>
    <w:rPr>
      <w:lang w:val="en-US" w:eastAsia="zh-CN" w:bidi="ar-SA"/>
    </w:rPr>
    <w:tblPr/>
  </w:style>
  <w:style w:type="table" w:styleId="1186" w:customStyle="1">
    <w:name w:val="List Table 6 Colorful - Accent 5"/>
    <w:uiPriority w:val="99"/>
    <w:qFormat/>
    <w:rPr>
      <w:lang w:val="en-US" w:eastAsia="zh-CN" w:bidi="ar-SA"/>
    </w:rPr>
    <w:tblPr/>
  </w:style>
  <w:style w:type="table" w:styleId="1187" w:customStyle="1">
    <w:name w:val="Plain Table 3"/>
    <w:uiPriority w:val="99"/>
    <w:qFormat/>
    <w:rPr>
      <w:lang w:val="en-US" w:eastAsia="zh-CN" w:bidi="ar-SA"/>
    </w:rPr>
    <w:tblPr/>
  </w:style>
  <w:style w:type="table" w:styleId="1188" w:customStyle="1">
    <w:name w:val="Bordered &amp; Lined - Accent"/>
    <w:uiPriority w:val="99"/>
    <w:qFormat/>
    <w:rPr>
      <w:color w:val="404040"/>
      <w:lang w:val="en-US" w:eastAsia="zh-CN" w:bidi="ar-SA"/>
    </w:rPr>
    <w:tblPr/>
  </w:style>
  <w:style w:type="table" w:styleId="1189" w:customStyle="1">
    <w:name w:val="List Table 6 Colorful - Accent 1"/>
    <w:uiPriority w:val="99"/>
    <w:qFormat/>
    <w:rPr>
      <w:lang w:val="en-US" w:eastAsia="zh-CN" w:bidi="ar-SA"/>
    </w:rPr>
    <w:tblPr/>
  </w:style>
  <w:style w:type="table" w:styleId="1190" w:customStyle="1">
    <w:name w:val="List Table 4 - Accent 3"/>
    <w:uiPriority w:val="99"/>
    <w:qFormat/>
    <w:rPr>
      <w:lang w:val="en-US" w:eastAsia="zh-CN" w:bidi="ar-SA"/>
    </w:rPr>
    <w:tblPr/>
  </w:style>
  <w:style w:type="table" w:styleId="1191" w:customStyle="1">
    <w:name w:val="List Table 7 Colorful - Accent 3"/>
    <w:uiPriority w:val="99"/>
    <w:qFormat/>
    <w:rPr>
      <w:lang w:val="en-US" w:eastAsia="zh-CN" w:bidi="ar-SA"/>
    </w:rPr>
    <w:tblPr/>
  </w:style>
  <w:style w:type="table" w:styleId="1192" w:customStyle="1">
    <w:name w:val="Grid Table 4 - Accent 2"/>
    <w:uiPriority w:val="59"/>
    <w:qFormat/>
    <w:rPr>
      <w:lang w:val="en-US" w:eastAsia="zh-CN" w:bidi="ar-SA"/>
    </w:rPr>
    <w:tblPr/>
  </w:style>
  <w:style w:type="table" w:styleId="1193" w:customStyle="1">
    <w:name w:val="Grid Table 2 - Accent 4"/>
    <w:uiPriority w:val="99"/>
    <w:qFormat/>
    <w:rPr>
      <w:lang w:val="en-US" w:eastAsia="zh-CN" w:bidi="ar-SA"/>
    </w:rPr>
    <w:tblPr/>
  </w:style>
  <w:style w:type="table" w:styleId="1194" w:customStyle="1">
    <w:name w:val="Grid Table 7 Colorful - Accent 1"/>
    <w:uiPriority w:val="99"/>
    <w:qFormat/>
    <w:rPr>
      <w:lang w:val="en-US" w:eastAsia="zh-CN" w:bidi="ar-SA"/>
    </w:rPr>
    <w:tblPr/>
  </w:style>
  <w:style w:type="table" w:styleId="1195" w:customStyle="1">
    <w:name w:val="List Table 5 Dark - Accent 4"/>
    <w:uiPriority w:val="99"/>
    <w:qFormat/>
    <w:rPr>
      <w:lang w:val="en-US" w:eastAsia="zh-CN" w:bidi="ar-SA"/>
    </w:rPr>
    <w:tblPr/>
  </w:style>
  <w:style w:type="table" w:styleId="1196" w:customStyle="1">
    <w:name w:val="List Table 2 - Accent 4"/>
    <w:uiPriority w:val="99"/>
    <w:qFormat/>
    <w:rPr>
      <w:lang w:val="en-US" w:eastAsia="zh-CN" w:bidi="ar-SA"/>
    </w:rPr>
    <w:tblPr/>
  </w:style>
  <w:style w:type="table" w:styleId="1197" w:customStyle="1">
    <w:name w:val="List Table 7 Colorful - Accent 5"/>
    <w:uiPriority w:val="99"/>
    <w:qFormat/>
    <w:rPr>
      <w:lang w:val="en-US" w:eastAsia="zh-CN" w:bidi="ar-SA"/>
    </w:rPr>
    <w:tblPr/>
  </w:style>
  <w:style w:type="table" w:styleId="1198" w:customStyle="1">
    <w:name w:val="Grid Table 4 - Accent 3"/>
    <w:uiPriority w:val="59"/>
    <w:qFormat/>
    <w:rPr>
      <w:lang w:val="en-US" w:eastAsia="zh-CN" w:bidi="ar-SA"/>
    </w:rPr>
    <w:tblPr/>
  </w:style>
  <w:style w:type="table" w:styleId="1199" w:customStyle="1">
    <w:name w:val="Bordered &amp; Lined - Accent 6"/>
    <w:uiPriority w:val="99"/>
    <w:qFormat/>
    <w:rPr>
      <w:color w:val="404040"/>
      <w:lang w:val="en-US" w:eastAsia="zh-CN" w:bidi="ar-SA"/>
    </w:rPr>
    <w:tblPr/>
  </w:style>
  <w:style w:type="table" w:styleId="1200" w:customStyle="1">
    <w:name w:val="Grid Table 7 Colorful - Accent 6"/>
    <w:uiPriority w:val="99"/>
    <w:qFormat/>
    <w:rPr>
      <w:lang w:val="en-US" w:eastAsia="zh-CN" w:bidi="ar-SA"/>
    </w:rPr>
    <w:tblPr/>
  </w:style>
  <w:style w:type="character" w:styleId="1201" w:customStyle="1">
    <w:name w:val="NormalCharacter"/>
    <w:uiPriority w:val="0"/>
    <w:semiHidden/>
    <w:qFormat/>
  </w:style>
  <w:style w:type="paragraph" w:styleId="1202" w:customStyle="1">
    <w:name w:val="Table Text"/>
    <w:uiPriority w:val="0"/>
    <w:qFormat/>
    <w:pPr>
      <w:spacing w:before="80" w:after="80"/>
    </w:pPr>
    <w:rPr>
      <w:rFonts w:hint="default" w:ascii="Arial" w:hAnsi="Arial" w:eastAsia="Times New Roman" w:cs="Times New Roman"/>
      <w:sz w:val="18"/>
      <w:szCs w:val="18"/>
    </w:rPr>
  </w:style>
  <w:style w:type="table" w:styleId="1203" w:customStyle="1">
    <w:name w:val="Table Normal"/>
    <w:uiPriority w:val="0"/>
    <w:semiHidden/>
    <w:unhideWhenUsed/>
    <w:qFormat/>
    <w:tblPr>
      <w:tblCellMar>
        <w:left w:w="0" w:type="dxa"/>
        <w:top w:w="0" w:type="dxa"/>
        <w:right w:w="0" w:type="dxa"/>
        <w:bottom w:w="0" w:type="dxa"/>
      </w:tblCellMar>
    </w:tblPr>
  </w:style>
  <w:style w:type="paragraph" w:styleId="1204" w:customStyle="1">
    <w:name w:val="正文首行缩进 212"/>
    <w:basedOn w:val="1205"/>
    <w:next w:val="878"/>
    <w:uiPriority w:val="99"/>
    <w:qFormat/>
    <w:pPr>
      <w:ind w:left="0" w:firstLine="420"/>
      <w:spacing w:after="0" w:line="360" w:lineRule="auto"/>
    </w:pPr>
    <w:rPr>
      <w:rFonts w:ascii="宋体" w:hAnsi="宋体"/>
    </w:rPr>
  </w:style>
  <w:style w:type="paragraph" w:styleId="1205" w:customStyle="1">
    <w:name w:val="正文文本缩进12"/>
    <w:basedOn w:val="878"/>
    <w:next w:val="1206"/>
    <w:uiPriority w:val="99"/>
    <w:qFormat/>
    <w:pPr>
      <w:ind w:left="420"/>
      <w:spacing w:after="120"/>
    </w:pPr>
  </w:style>
  <w:style w:type="paragraph" w:styleId="1206" w:customStyle="1">
    <w:name w:val="寄信人地址12"/>
    <w:basedOn w:val="878"/>
    <w:uiPriority w:val="0"/>
    <w:qFormat/>
    <w:rPr>
      <w:rFonts w:ascii="Arial" w:hAnsi="Arial"/>
    </w:rPr>
  </w:style>
  <w:style w:type="paragraph" w:styleId="1207" w:customStyle="1">
    <w:name w:val="正文首行缩进12"/>
    <w:basedOn w:val="1208"/>
    <w:next w:val="1204"/>
    <w:uiPriority w:val="0"/>
    <w:qFormat/>
    <w:pPr>
      <w:ind w:firstLine="200"/>
      <w:spacing w:line="360" w:lineRule="auto"/>
    </w:pPr>
    <w:rPr>
      <w:rFonts w:ascii="仿宋_GB2312" w:eastAsia="仿宋_GB2312"/>
      <w:sz w:val="30"/>
      <w:szCs w:val="30"/>
    </w:rPr>
  </w:style>
  <w:style w:type="paragraph" w:styleId="1208" w:customStyle="1">
    <w:name w:val="正文文本12"/>
    <w:basedOn w:val="878"/>
    <w:next w:val="1031"/>
    <w:uiPriority w:val="0"/>
    <w:qFormat/>
    <w:pPr>
      <w:spacing w:after="120"/>
    </w:pPr>
  </w:style>
  <w:style w:type="paragraph" w:styleId="1209" w:customStyle="1">
    <w:name w:val="纯文本11"/>
    <w:uiPriority w:val="0"/>
    <w:qFormat/>
    <w:pPr>
      <w:spacing w:after="200" w:line="276" w:lineRule="auto"/>
    </w:pPr>
    <w:rPr>
      <w:rFonts w:hint="default" w:ascii="宋体" w:hAnsi="Courier New" w:eastAsia="宋体" w:cs="Courier New"/>
      <w:sz w:val="22"/>
      <w:szCs w:val="21"/>
      <w:lang w:val="en-US" w:eastAsia="en-US" w:bidi="ar-SA"/>
    </w:rPr>
  </w:style>
  <w:style w:type="paragraph" w:styleId="1210" w:customStyle="1">
    <w:name w:val="普通(网站)11"/>
    <w:uiPriority w:val="0"/>
    <w:qFormat/>
    <w:pPr>
      <w:jc w:val="left"/>
      <w:spacing w:beforeAutospacing="1" w:after="200" w:afterAutospacing="1" w:line="276" w:lineRule="auto"/>
    </w:pPr>
    <w:rPr>
      <w:rFonts w:hint="default" w:ascii="Arial" w:hAnsi="Arial" w:eastAsia="宋体" w:cs="Arial"/>
      <w:sz w:val="24"/>
      <w:szCs w:val="22"/>
      <w:lang w:val="en-US" w:eastAsia="en-US" w:bidi="ar-SA"/>
    </w:rPr>
  </w:style>
  <w:style w:type="paragraph" w:styleId="1211" w:customStyle="1">
    <w:name w:val="正文 A"/>
    <w:next w:val="931"/>
    <w:uiPriority w:val="99"/>
    <w:qFormat/>
    <w:pPr>
      <w:jc w:val="both"/>
      <w:widowControl w:val="off"/>
    </w:pPr>
    <w:rPr>
      <w:rFonts w:hint="default" w:ascii="Arial Unicode MS" w:hAnsi="Arial Unicode MS" w:eastAsia="宋体" w:cs="Arial Unicode MS"/>
      <w:color w:val="000000"/>
      <w:sz w:val="21"/>
      <w:szCs w:val="21"/>
      <w:lang w:val="en-US" w:eastAsia="zh-CN" w:bidi="ar-SA"/>
    </w:rPr>
  </w:style>
  <w:style w:type="numbering" w:styleId="1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江苏辰星工程项目管理有限公司（徐州分公司）</cp:lastModifiedBy>
  <cp:revision>34</cp:revision>
  <dcterms:created xsi:type="dcterms:W3CDTF">2018-06-10T05:29:00Z</dcterms:created>
  <dcterms:modified xsi:type="dcterms:W3CDTF">2026-10-29T08:14:53Z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851AD4CB399E41679FD5A19FAC7C6957_13</vt:lpwstr>
  </property>
  <property fmtid="{D5CDD505-2E9C-101B-9397-08002B2CF9AE}" pid="4" name="KSOTemplateDocerSaveRecord">
    <vt:lpwstr>eyJoZGlkIjoiODY4YjM5MTk4MzI0ZDljMmQ4ZWZiN2Y4MDRhYmEyYjciLCJ1c2VySWQiOiI0MTU0ODExMzAifQ==</vt:lpwstr>
  </property>
</Properties>
</file>