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2"/>
        <w:ind w:firstLine="0"/>
        <w:jc w:val="both"/>
        <w:spacing w:line="24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232"/>
        <w:ind w:firstLine="0"/>
        <w:jc w:val="center"/>
        <w:spacing w:line="240" w:lineRule="auto"/>
        <w:rPr>
          <w:rFonts w:hint="eastAsia" w:ascii="宋体" w:hAnsi="宋体" w:cs="宋体"/>
          <w:b/>
          <w:bCs/>
          <w:color w:val="auto"/>
          <w:sz w:val="84"/>
          <w:highlight w:val="none"/>
        </w:rPr>
      </w:pPr>
      <w:r>
        <w:rPr>
          <w:rFonts w:hint="eastAsia" w:ascii="宋体" w:hAnsi="宋体" w:cs="宋体"/>
          <w:color w:val="auto"/>
          <w:sz w:val="84"/>
          <w:highlight w:val="none"/>
        </w:rPr>
        <w:t xml:space="preserve">竞争性磋商文件</w:t>
      </w:r>
      <w:r/>
    </w:p>
    <w:p>
      <w:pPr>
        <w:pStyle w:val="1232"/>
        <w:ind w:firstLine="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232"/>
        <w:ind w:firstLine="0"/>
        <w:jc w:val="center"/>
        <w:spacing w:line="24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eastAsia="宋体" w:cs="宋体"/>
          <w:color w:val="auto"/>
          <w:sz w:val="32"/>
          <w:highlight w:val="none"/>
          <w:lang w:eastAsia="zh-CN"/>
        </w:rPr>
        <w:t xml:space="preserve">江苏省肿瘤医院医疗责任保险服务项目</w:t>
      </w:r>
      <w:r/>
    </w:p>
    <w:p>
      <w:pPr>
        <w:pStyle w:val="1232"/>
        <w:ind w:firstLine="0"/>
        <w:jc w:val="center"/>
        <w:spacing w:line="240" w:lineRule="auto"/>
        <w:rPr>
          <w:rFonts w:ascii="宋体" w:hAnsi="宋体" w:eastAsia="宋体" w:cs="宋体"/>
          <w:b/>
          <w:bCs/>
          <w:color w:val="auto"/>
          <w:sz w:val="32"/>
          <w:highlight w:val="none"/>
          <w:lang w:val="en-US"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JSZC-320000-JITC-C2025-0310</w:t>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
          <w:bCs/>
          <w:color w:val="auto"/>
          <w:sz w:val="32"/>
          <w:highlight w:val="none"/>
        </w:rPr>
      </w:pPr>
      <w:r/>
      <w:bookmarkStart w:id="450" w:name="_GoBack"/>
      <w:r/>
      <w:bookmarkEnd w:id="450"/>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pStyle w:val="1232"/>
        <w:ind w:firstLine="1600"/>
        <w:jc w:val="left"/>
        <w:keepLines w:val="0"/>
        <w:keepNext w:val="0"/>
        <w:pageBreakBefore w:val="0"/>
        <w:spacing w:line="240" w:lineRule="auto"/>
        <w:widowControl w:val="off"/>
        <w:rPr>
          <w:rFonts w:hint="eastAsia" w:ascii="宋体" w:hAnsi="宋体" w:cs="宋体"/>
          <w:bCs/>
          <w:color w:val="auto"/>
          <w:sz w:val="32"/>
          <w:highlight w:val="none"/>
          <w:lang w:val="en-US" w:eastAsia="zh-CN"/>
        </w:rPr>
      </w:pPr>
      <w:r>
        <w:rPr>
          <w:rFonts w:hint="eastAsia" w:ascii="宋体" w:hAnsi="宋体" w:cs="宋体"/>
          <w:bCs/>
          <w:color w:val="auto"/>
          <w:sz w:val="32"/>
          <w:highlight w:val="none"/>
        </w:rPr>
        <w:t xml:space="preserve">采</w:t>
      </w:r>
      <w:r>
        <w:rPr>
          <w:rFonts w:hint="eastAsia" w:ascii="宋体" w:hAnsi="宋体" w:cs="宋体"/>
          <w:bCs/>
          <w:color w:val="auto"/>
          <w:sz w:val="32"/>
          <w:highlight w:val="none"/>
          <w:lang w:val="en-US" w:eastAsia="zh-CN"/>
        </w:rPr>
        <w:t xml:space="preserve">   </w:t>
      </w:r>
      <w:r>
        <w:rPr>
          <w:rFonts w:hint="eastAsia" w:ascii="宋体" w:hAnsi="宋体" w:cs="宋体"/>
          <w:bCs/>
          <w:color w:val="auto"/>
          <w:sz w:val="32"/>
          <w:highlight w:val="none"/>
        </w:rPr>
        <w:t xml:space="preserve">购</w:t>
      </w:r>
      <w:r>
        <w:rPr>
          <w:rFonts w:hint="eastAsia" w:ascii="宋体" w:hAnsi="宋体" w:cs="宋体"/>
          <w:bCs/>
          <w:color w:val="auto"/>
          <w:sz w:val="32"/>
          <w:highlight w:val="none"/>
          <w:lang w:val="en-US" w:eastAsia="zh-CN"/>
        </w:rPr>
        <w:t xml:space="preserve">   </w:t>
      </w:r>
      <w:r>
        <w:rPr>
          <w:rFonts w:hint="eastAsia" w:ascii="宋体" w:hAnsi="宋体" w:cs="宋体"/>
          <w:bCs/>
          <w:color w:val="auto"/>
          <w:sz w:val="32"/>
          <w:highlight w:val="none"/>
        </w:rPr>
        <w:t xml:space="preserve">人：</w:t>
      </w:r>
      <w:r>
        <w:rPr>
          <w:rFonts w:hint="eastAsia" w:ascii="宋体" w:hAnsi="宋体" w:cs="宋体"/>
          <w:bCs/>
          <w:color w:val="auto"/>
          <w:sz w:val="32"/>
          <w:highlight w:val="none"/>
          <w:lang w:eastAsia="zh-CN"/>
        </w:rPr>
        <w:t xml:space="preserve">江苏省肿瘤医院</w:t>
      </w:r>
      <w:r/>
    </w:p>
    <w:p>
      <w:pPr>
        <w:pStyle w:val="1232"/>
        <w:ind w:firstLine="1600"/>
        <w:jc w:val="left"/>
        <w:keepLines w:val="0"/>
        <w:keepNext w:val="0"/>
        <w:pageBreakBefore w:val="0"/>
        <w:spacing w:line="240" w:lineRule="auto"/>
        <w:widowControl w:val="off"/>
        <w:rPr>
          <w:rFonts w:hint="eastAsia" w:ascii="宋体" w:hAnsi="宋体" w:eastAsia="宋体" w:cs="宋体"/>
          <w:b/>
          <w:bCs/>
          <w:color w:val="auto"/>
          <w:sz w:val="32"/>
          <w:highlight w:val="none"/>
          <w:lang w:eastAsia="zh-CN"/>
        </w:rPr>
      </w:pPr>
      <w:r>
        <w:rPr>
          <w:rFonts w:hint="eastAsia" w:ascii="宋体" w:hAnsi="宋体" w:cs="宋体"/>
          <w:bCs/>
          <w:color w:val="auto"/>
          <w:sz w:val="32"/>
          <w:highlight w:val="none"/>
        </w:rPr>
        <w:t xml:space="preserve">采购代理机构：江苏省招标中心有限公司</w:t>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color w:val="auto"/>
          <w:sz w:val="32"/>
          <w:highlight w:val="none"/>
          <w:lang w:val="en-US" w:eastAsia="zh-CN"/>
        </w:rPr>
        <w:t xml:space="preserve">二零二六 </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 十 </w:t>
      </w:r>
      <w:r>
        <w:rPr>
          <w:rFonts w:hint="eastAsia" w:ascii="宋体" w:hAnsi="宋体" w:cs="宋体"/>
          <w:color w:val="auto"/>
          <w:sz w:val="32"/>
          <w:highlight w:val="none"/>
        </w:rPr>
        <w:t xml:space="preserve">月</w:t>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rPr>
          <w:rFonts w:hint="eastAsia" w:ascii="宋体" w:hAnsi="宋体" w:cs="宋体"/>
          <w:b/>
          <w:color w:val="auto"/>
          <w:sz w:val="44"/>
          <w:szCs w:val="44"/>
          <w:highlight w:val="none"/>
        </w:rPr>
        <w:sectPr>
          <w:headerReference w:type="default" r:id="rId9"/>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hint="eastAsia" w:ascii="宋体" w:hAnsi="宋体" w:cs="宋体"/>
          <w:b/>
          <w:color w:val="auto"/>
          <w:sz w:val="44"/>
          <w:szCs w:val="44"/>
          <w:highlight w:val="none"/>
        </w:rPr>
      </w:r>
      <w:r/>
    </w:p>
    <w:p>
      <w:pPr>
        <w:pStyle w:val="1224"/>
        <w:rPr>
          <w:rFonts w:hint="eastAsia"/>
          <w:color w:val="auto"/>
          <w:highlight w:val="none"/>
        </w:rPr>
      </w:pPr>
      <w:r>
        <w:rPr>
          <w:rFonts w:hint="eastAsia"/>
          <w:color w:val="auto"/>
          <w:highlight w:val="none"/>
        </w:rPr>
      </w:r>
      <w:r/>
    </w:p>
    <w:p>
      <w:pPr>
        <w:jc w:val="center"/>
        <w:rPr>
          <w:rFonts w:hint="eastAsia" w:ascii="宋体" w:hAnsi="宋体" w:cs="宋体"/>
          <w:b/>
          <w:color w:val="auto"/>
          <w:sz w:val="44"/>
          <w:szCs w:val="21"/>
          <w:highlight w:val="none"/>
        </w:rPr>
        <w:outlineLvl w:val="0"/>
      </w:pPr>
      <w:r/>
      <w:bookmarkStart w:id="0" w:name="_Toc21314"/>
      <w:r/>
      <w:bookmarkStart w:id="1" w:name="_Toc26775"/>
      <w:r>
        <w:rPr>
          <w:rFonts w:hint="eastAsia" w:ascii="宋体" w:hAnsi="宋体" w:cs="宋体"/>
          <w:b/>
          <w:color w:val="auto"/>
          <w:sz w:val="44"/>
          <w:szCs w:val="21"/>
          <w:highlight w:val="none"/>
        </w:rPr>
        <w:t xml:space="preserve">目 录</w:t>
      </w:r>
      <w:bookmarkEnd w:id="0"/>
      <w:r/>
      <w:bookmarkEnd w:id="1"/>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b w:val="0"/>
          <w:color w:val="auto"/>
          <w:sz w:val="28"/>
          <w:highlight w:val="none"/>
        </w:rPr>
        <w:fldChar w:fldCharType="begin"/>
      </w:r>
      <w:r>
        <w:rPr>
          <w:rFonts w:hint="eastAsia" w:ascii="宋体" w:hAnsi="宋体" w:eastAsia="宋体" w:cs="宋体"/>
          <w:b w:val="0"/>
          <w:color w:val="auto"/>
          <w:sz w:val="28"/>
          <w:highlight w:val="none"/>
        </w:rPr>
        <w:instrText xml:space="preserve">TOC \o "1-1" \h \u </w:instrText>
      </w:r>
      <w:r>
        <w:rPr>
          <w:rFonts w:hint="eastAsia" w:ascii="宋体" w:hAnsi="宋体" w:eastAsia="宋体" w:cs="宋体"/>
          <w:b w:val="0"/>
          <w:color w:val="auto"/>
          <w:sz w:val="28"/>
          <w:highlight w:val="none"/>
        </w:rPr>
        <w:fldChar w:fldCharType="separate"/>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_Toc27845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第一章 竞争性磋商公告</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_Toc27845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_Toc5272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第二章 </w:t>
      </w:r>
      <w:r>
        <w:rPr>
          <w:rFonts w:hint="eastAsia" w:ascii="宋体" w:hAnsi="宋体" w:eastAsia="宋体" w:cs="宋体"/>
          <w:color w:val="auto"/>
          <w:sz w:val="28"/>
          <w:highlight w:val="none"/>
          <w:lang w:val="en-US" w:eastAsia="zh-CN"/>
        </w:rPr>
        <w:t xml:space="preserve">供应商须知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_Toc5272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6</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_Toc7386 </w:instrText>
      </w:r>
      <w:r>
        <w:rPr>
          <w:rFonts w:hint="eastAsia" w:ascii="宋体" w:hAnsi="宋体" w:eastAsia="宋体" w:cs="宋体"/>
          <w:color w:val="auto"/>
          <w:sz w:val="28"/>
          <w:highlight w:val="none"/>
        </w:rPr>
        <w:fldChar w:fldCharType="separate"/>
      </w:r>
      <w:r>
        <w:rPr>
          <w:rFonts w:hint="eastAsia" w:ascii="宋体" w:hAnsi="宋体" w:eastAsia="宋体" w:cs="宋体"/>
          <w:bCs/>
          <w:color w:val="auto"/>
          <w:sz w:val="28"/>
          <w:highlight w:val="none"/>
          <w:lang w:val="en-US" w:eastAsia="zh-CN"/>
        </w:rPr>
        <w:t xml:space="preserve">第三章 合同条款及格式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_Toc7386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22</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_Toc14312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第四章 项目需求</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_Toc14312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25</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_Toc9785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第五章 评审方法和评审标准</w:t>
      </w:r>
      <w:r>
        <w:rPr>
          <w:rFonts w:hint="eastAsia" w:ascii="宋体" w:hAnsi="宋体" w:eastAsia="宋体" w:cs="宋体"/>
          <w:color w:val="auto"/>
          <w:sz w:val="28"/>
          <w:highlight w:val="none"/>
        </w:rPr>
        <w:tab/>
      </w:r>
      <w:r>
        <w:rPr>
          <w:rFonts w:hint="eastAsia" w:ascii="宋体" w:hAnsi="宋体" w:eastAsia="宋体" w:cs="宋体"/>
          <w:color w:val="auto"/>
          <w:sz w:val="28"/>
          <w:highlight w:val="none"/>
          <w:lang w:val="en-US" w:eastAsia="zh-CN"/>
        </w:rPr>
        <w:t xml:space="preserve">2</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lang w:val="en-US" w:eastAsia="zh-CN"/>
        </w:rPr>
        <w:t xml:space="preserve">8</w:t>
      </w:r>
      <w:r/>
    </w:p>
    <w:p>
      <w:pPr>
        <w:pStyle w:val="1191"/>
        <w:spacing w:before="360" w:after="360"/>
        <w:tabs>
          <w:tab w:val="right" w:pos="8844" w:leader="dot"/>
        </w:tabs>
        <w:rPr>
          <w:rFonts w:hint="eastAsia" w:ascii="宋体" w:hAnsi="宋体" w:eastAsia="宋体" w:cs="宋体"/>
          <w:b w:val="0"/>
          <w:color w:val="auto"/>
          <w:sz w:val="28"/>
          <w:highlight w:val="none"/>
          <w:lang w:val="en-US"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_Toc24005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第六章 响应文件的组成和格式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lang w:val="en-US" w:eastAsia="zh-CN"/>
        </w:rPr>
        <w:t xml:space="preserve">3</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lang w:val="en-US" w:eastAsia="zh-CN"/>
        </w:rPr>
        <w:t xml:space="preserve">0</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149"/>
        <w:numPr>
          <w:ilvl w:val="0"/>
          <w:numId w:val="5"/>
        </w:numPr>
        <w:jc w:val="center"/>
        <w:rPr>
          <w:rFonts w:hint="eastAsia" w:ascii="宋体" w:hAnsi="宋体" w:eastAsia="宋体" w:cs="宋体"/>
          <w:color w:val="auto"/>
          <w:sz w:val="44"/>
          <w:szCs w:val="44"/>
          <w:highlight w:val="none"/>
        </w:rPr>
      </w:pPr>
      <w:r/>
      <w:bookmarkStart w:id="2" w:name="_Toc27845"/>
      <w:r>
        <w:rPr>
          <w:rFonts w:hint="eastAsia" w:ascii="宋体" w:hAnsi="宋体" w:eastAsia="宋体" w:cs="宋体"/>
          <w:color w:val="auto"/>
          <w:sz w:val="44"/>
          <w:szCs w:val="44"/>
          <w:highlight w:val="none"/>
        </w:rPr>
        <w:t xml:space="preserve">竞争性磋商公告</w:t>
      </w:r>
      <w:bookmarkEnd w:id="2"/>
      <w:r/>
      <w:r/>
    </w:p>
    <w:p>
      <w:pPr>
        <w:rPr>
          <w:rFonts w:hint="eastAsia"/>
          <w:color w:val="auto"/>
          <w:highlight w:val="none"/>
        </w:rPr>
      </w:pPr>
      <w:r>
        <w:rPr>
          <w:rFonts w:hint="eastAsia"/>
          <w:color w:val="auto"/>
          <w:highlight w:val="none"/>
        </w:rPr>
      </w:r>
      <w:r/>
    </w:p>
    <w:p>
      <w:pPr>
        <w:ind w:firstLine="420"/>
        <w:spacing w:line="360" w:lineRule="auto"/>
        <w:rPr>
          <w:rFonts w:ascii="Microsoft New Tai Lue" w:hAnsi="Microsoft New Tai Lue" w:cs="Microsoft New Tai Lue"/>
          <w:bCs/>
          <w:color w:val="auto"/>
          <w:sz w:val="21"/>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 w:val="21"/>
          <w:szCs w:val="21"/>
          <w:highlight w:val="none"/>
        </w:rPr>
        <w:t xml:space="preserve">项目概况</w:t>
      </w:r>
      <w:r/>
    </w:p>
    <w:p>
      <w:pPr>
        <w:ind w:firstLine="420"/>
        <w:spacing w:line="360" w:lineRule="auto"/>
        <w:rPr>
          <w:rFonts w:hint="eastAsia"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江苏省肿瘤医院医疗责任保险服务项目</w:t>
      </w:r>
      <w:r>
        <w:rPr>
          <w:rFonts w:hint="eastAsia" w:ascii="宋体" w:hAnsi="宋体" w:cs="宋体"/>
          <w:bCs/>
          <w:color w:val="auto"/>
          <w:sz w:val="21"/>
          <w:szCs w:val="21"/>
          <w:highlight w:val="none"/>
        </w:rPr>
        <w:t xml:space="preserve">的潜在供应商应在</w:t>
      </w:r>
      <w:r>
        <w:rPr>
          <w:rFonts w:hint="eastAsia" w:ascii="宋体" w:hAnsi="宋体" w:cs="宋体"/>
          <w:bCs/>
          <w:color w:val="auto"/>
          <w:sz w:val="21"/>
          <w:szCs w:val="21"/>
          <w:highlight w:val="none"/>
          <w:u w:val="single"/>
        </w:rPr>
        <w:t xml:space="preserve"> 规定时间内通过www.jstcc.cn平台</w:t>
      </w:r>
      <w:r>
        <w:rPr>
          <w:rFonts w:hint="eastAsia" w:ascii="宋体" w:hAnsi="宋体" w:cs="宋体"/>
          <w:bCs/>
          <w:color w:val="auto"/>
          <w:sz w:val="21"/>
          <w:szCs w:val="21"/>
          <w:highlight w:val="none"/>
        </w:rPr>
        <w:t xml:space="preserve">获取磋商文件，并于</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 </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u w:val="single"/>
          <w:lang w:val="en-US" w:eastAsia="zh-CN"/>
        </w:rPr>
        <w:t xml:space="preserve"> 1</w:t>
      </w:r>
      <w:r>
        <w:rPr>
          <w:rFonts w:hint="eastAsia" w:ascii="宋体" w:hAnsi="宋体" w:cs="宋体"/>
          <w:bCs/>
          <w:color w:val="auto"/>
          <w:sz w:val="21"/>
          <w:szCs w:val="21"/>
          <w:highlight w:val="none"/>
          <w:u w:val="single"/>
          <w:lang w:val="en-US" w:eastAsia="zh-CN"/>
        </w:rPr>
        <w:t xml:space="preserve">1</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03 </w:t>
      </w:r>
      <w:r>
        <w:rPr>
          <w:rFonts w:hint="eastAsia" w:ascii="宋体" w:hAnsi="宋体" w:cs="宋体"/>
          <w:bCs/>
          <w:color w:val="auto"/>
          <w:sz w:val="21"/>
          <w:szCs w:val="21"/>
          <w:highlight w:val="none"/>
        </w:rPr>
        <w:t xml:space="preserve">日</w:t>
      </w:r>
      <w:r>
        <w:rPr>
          <w:rFonts w:hint="eastAsia" w:ascii="宋体" w:hAnsi="宋体" w:cs="宋体"/>
          <w:bCs/>
          <w:color w:val="auto"/>
          <w:sz w:val="21"/>
          <w:szCs w:val="21"/>
          <w:highlight w:val="none"/>
          <w:u w:val="single"/>
          <w:lang w:val="en-US" w:eastAsia="zh-CN"/>
        </w:rPr>
        <w:t xml:space="preserve"> 09 </w:t>
      </w:r>
      <w:r>
        <w:rPr>
          <w:rFonts w:hint="eastAsia" w:ascii="宋体" w:hAnsi="宋体" w:cs="宋体"/>
          <w:bCs/>
          <w:color w:val="auto"/>
          <w:sz w:val="21"/>
          <w:szCs w:val="21"/>
          <w:highlight w:val="none"/>
        </w:rPr>
        <w:t xml:space="preserve">点</w:t>
      </w:r>
      <w:r>
        <w:rPr>
          <w:rFonts w:hint="eastAsia" w:ascii="宋体" w:hAnsi="宋体" w:cs="宋体"/>
          <w:bCs/>
          <w:color w:val="auto"/>
          <w:sz w:val="21"/>
          <w:szCs w:val="21"/>
          <w:highlight w:val="none"/>
          <w:u w:val="single"/>
          <w:lang w:val="en-US" w:eastAsia="zh-CN"/>
        </w:rPr>
        <w:t xml:space="preserve">3</w:t>
      </w:r>
      <w:r>
        <w:rPr>
          <w:rFonts w:hint="eastAsia" w:ascii="宋体" w:hAnsi="宋体" w:cs="宋体"/>
          <w:bCs/>
          <w:color w:val="auto"/>
          <w:sz w:val="21"/>
          <w:szCs w:val="21"/>
          <w:highlight w:val="none"/>
          <w:u w:val="single"/>
        </w:rPr>
        <w:t xml:space="preserve">0分</w:t>
      </w:r>
      <w:r>
        <w:rPr>
          <w:rFonts w:hint="eastAsia" w:ascii="宋体" w:hAnsi="宋体" w:cs="宋体"/>
          <w:bCs/>
          <w:color w:val="auto"/>
          <w:sz w:val="21"/>
          <w:szCs w:val="21"/>
          <w:highlight w:val="none"/>
        </w:rPr>
        <w:t xml:space="preserve">（北京时间）前提交响应文件。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1.1项目编号：</w:t>
      </w:r>
      <w:r>
        <w:rPr>
          <w:rFonts w:hint="eastAsia" w:ascii="宋体" w:hAnsi="宋体" w:cs="宋体"/>
          <w:bCs/>
          <w:color w:val="auto"/>
          <w:sz w:val="21"/>
          <w:szCs w:val="21"/>
          <w:highlight w:val="none"/>
          <w:lang w:eastAsia="zh-CN"/>
        </w:rPr>
        <w:t xml:space="preserve">JSZC-320000-JITC-C2025-0310</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r>
        <w:rPr>
          <w:rFonts w:hint="eastAsia" w:ascii="宋体" w:hAnsi="宋体" w:eastAsia="宋体" w:cs="宋体"/>
          <w:bCs/>
          <w:color w:val="auto"/>
          <w:sz w:val="21"/>
          <w:szCs w:val="21"/>
          <w:highlight w:val="none"/>
          <w:lang w:eastAsia="zh-CN"/>
        </w:rPr>
        <w:t xml:space="preserve">江苏省肿瘤医院医疗责任保险服务项目</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r>
        <w:rPr>
          <w:rFonts w:hint="eastAsia" w:ascii="宋体" w:hAnsi="宋体" w:eastAsia="宋体" w:cs="宋体"/>
          <w:bCs/>
          <w:color w:val="auto"/>
          <w:sz w:val="21"/>
          <w:szCs w:val="21"/>
          <w:highlight w:val="none"/>
          <w:lang w:val="en-US" w:eastAsia="zh-CN"/>
        </w:rPr>
        <w:t xml:space="preserve">200</w:t>
      </w:r>
      <w:r>
        <w:rPr>
          <w:rFonts w:hint="eastAsia" w:ascii="Microsoft New Tai Lue" w:hAnsi="Microsoft New Tai Lue" w:cs="Microsoft New Tai Lue"/>
          <w:bCs/>
          <w:color w:val="auto"/>
          <w:szCs w:val="21"/>
          <w:highlight w:val="none"/>
          <w:lang w:val="en-US" w:eastAsia="zh-CN"/>
        </w:rPr>
        <w:t xml:space="preserve">万</w:t>
      </w:r>
      <w:r>
        <w:rPr>
          <w:rFonts w:ascii="Microsoft New Tai Lue" w:hAnsi="Microsoft New Tai Lue" w:cs="Microsoft New Tai Lue"/>
          <w:bCs/>
          <w:color w:val="auto"/>
          <w:szCs w:val="21"/>
          <w:highlight w:val="none"/>
        </w:rPr>
        <w:t xml:space="preserve">元人民币</w:t>
      </w:r>
      <w:r>
        <w:rPr>
          <w:rFonts w:hint="eastAsia" w:ascii="Microsoft New Tai Lue" w:hAnsi="Microsoft New Tai Lue" w:cs="Microsoft New Tai Lue"/>
          <w:bCs/>
          <w:color w:val="auto"/>
          <w:szCs w:val="21"/>
          <w:highlight w:val="none"/>
        </w:rPr>
        <w:t xml:space="preserve">/年。</w:t>
      </w:r>
      <w:r/>
    </w:p>
    <w:p>
      <w:pPr>
        <w:ind w:firstLine="420"/>
        <w:spacing w:line="360" w:lineRule="auto"/>
        <w:tabs>
          <w:tab w:val="left" w:pos="3644"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1.4最高限价：</w:t>
      </w:r>
      <w:r>
        <w:rPr>
          <w:rFonts w:hint="eastAsia" w:ascii="Microsoft New Tai Lue" w:hAnsi="Microsoft New Tai Lue" w:eastAsia="宋体" w:cs="Microsoft New Tai Lue"/>
          <w:bCs/>
          <w:color w:val="auto"/>
          <w:szCs w:val="21"/>
          <w:highlight w:val="none"/>
          <w:u w:val="none"/>
          <w:lang w:val="en-US" w:eastAsia="zh-CN"/>
        </w:rPr>
        <w:t xml:space="preserve">本项目最高限价为190万元/年，</w:t>
      </w:r>
      <w:r>
        <w:rPr>
          <w:rFonts w:hint="eastAsia" w:ascii="宋体" w:hAnsi="宋体" w:eastAsia="宋体" w:cs="宋体"/>
          <w:bCs/>
          <w:color w:val="auto"/>
          <w:sz w:val="21"/>
          <w:szCs w:val="21"/>
          <w:highlight w:val="none"/>
          <w:lang w:val="en-US" w:eastAsia="en-US"/>
        </w:rPr>
        <w:t xml:space="preserve">供</w:t>
      </w:r>
      <w:r>
        <w:rPr>
          <w:rFonts w:hint="eastAsia" w:ascii="宋体" w:hAnsi="宋体" w:eastAsia="宋体" w:cs="宋体"/>
          <w:bCs/>
          <w:color w:val="auto"/>
          <w:sz w:val="21"/>
          <w:szCs w:val="21"/>
          <w:highlight w:val="none"/>
          <w:lang w:val="en-US" w:eastAsia="zh-CN"/>
        </w:rPr>
        <w:t xml:space="preserve">应商响应报价不得高于最高限价</w:t>
      </w:r>
      <w:r>
        <w:rPr>
          <w:rFonts w:hint="eastAsia" w:ascii="Microsoft New Tai Lue" w:hAnsi="Microsoft New Tai Lue" w:eastAsia="宋体" w:cs="Microsoft New Tai Lue"/>
          <w:bCs/>
          <w:color w:val="auto"/>
          <w:szCs w:val="21"/>
          <w:highlight w:val="none"/>
          <w:u w:val="none"/>
          <w:lang w:val="en-US" w:eastAsia="zh-CN"/>
        </w:rPr>
        <w:t xml:space="preserve">及单价限价</w:t>
      </w:r>
      <w:r>
        <w:rPr>
          <w:rFonts w:hint="eastAsia" w:ascii="宋体" w:hAnsi="宋体" w:eastAsia="宋体" w:cs="宋体"/>
          <w:bCs/>
          <w:color w:val="auto"/>
          <w:sz w:val="21"/>
          <w:szCs w:val="21"/>
          <w:highlight w:val="none"/>
          <w:lang w:val="en-US" w:eastAsia="zh-CN"/>
        </w:rPr>
        <w:t xml:space="preserve">，否则作无效响应处理。</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1.5采购需求</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本次服务范围为负责江苏省肿瘤医院医疗责任保险承保、理赔等，具体要求详见</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文件第四章《采购需求》</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1.6标段划分：本项目共划分1个标段。</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1.6合同履行期限：</w:t>
      </w:r>
      <w:r>
        <w:rPr>
          <w:rFonts w:hint="eastAsia" w:ascii="Microsoft New Tai Lue" w:hAnsi="Microsoft New Tai Lue" w:cs="Microsoft New Tai Lue"/>
          <w:bCs/>
          <w:color w:val="auto"/>
          <w:szCs w:val="21"/>
          <w:highlight w:val="none"/>
          <w:lang w:val="en-US" w:eastAsia="zh-CN"/>
        </w:rPr>
        <w:t xml:space="preserve">一年。</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1.7本项目是否接受联合体投标：接受</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1.8本项目是否接受进口产品：不接受</w:t>
      </w:r>
      <w:r/>
    </w:p>
    <w:p>
      <w:pPr>
        <w:spacing w:line="360" w:lineRule="auto"/>
        <w:rPr>
          <w:rFonts w:hint="eastAsia" w:ascii="宋体" w:hAnsi="宋体" w:eastAsia="宋体" w:cs="宋体"/>
          <w:b/>
          <w:bCs/>
          <w:color w:val="auto"/>
          <w:sz w:val="21"/>
          <w:szCs w:val="21"/>
          <w:highlight w:val="none"/>
        </w:rPr>
      </w:pPr>
      <w:r/>
      <w:bookmarkStart w:id="3" w:name="_Toc80264698"/>
      <w:r/>
      <w:bookmarkStart w:id="4" w:name="_Toc80792689"/>
      <w:r/>
      <w:bookmarkStart w:id="5" w:name="_Toc93909066"/>
      <w:r/>
      <w:bookmarkStart w:id="6" w:name="_Toc96347852"/>
      <w:r>
        <w:rPr>
          <w:rFonts w:hint="eastAsia" w:ascii="宋体" w:hAnsi="宋体" w:eastAsia="宋体" w:cs="宋体"/>
          <w:b/>
          <w:bCs/>
          <w:color w:val="auto"/>
          <w:sz w:val="21"/>
          <w:szCs w:val="21"/>
          <w:highlight w:val="none"/>
        </w:rPr>
        <w:t xml:space="preserve">二、</w:t>
      </w:r>
      <w:bookmarkEnd w:id="3"/>
      <w:r>
        <w:rPr>
          <w:rFonts w:hint="eastAsia" w:ascii="宋体" w:hAnsi="宋体" w:eastAsia="宋体" w:cs="宋体"/>
          <w:b/>
          <w:bCs/>
          <w:color w:val="auto"/>
          <w:sz w:val="21"/>
          <w:szCs w:val="21"/>
          <w:highlight w:val="none"/>
        </w:rPr>
        <w:t xml:space="preserve">申请人的资格要求</w:t>
      </w:r>
      <w:bookmarkEnd w:id="4"/>
      <w:r/>
      <w:bookmarkEnd w:id="5"/>
      <w:r>
        <w:rPr>
          <w:rFonts w:hint="eastAsia" w:ascii="宋体" w:hAnsi="宋体" w:eastAsia="宋体" w:cs="宋体"/>
          <w:b/>
          <w:bCs/>
          <w:color w:val="auto"/>
          <w:sz w:val="21"/>
          <w:szCs w:val="21"/>
          <w:highlight w:val="none"/>
        </w:rPr>
        <w:t xml:space="preserve">：</w:t>
      </w:r>
      <w:bookmarkEnd w:id="6"/>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2.1满足《中华人民共和国政府采购法》第二十二条规定：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2.1.1具有独立承担民事责任的能力（提供法人或者其他组织的营业执照，自然人的身份证明）；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2.1.2具有良好的商业信誉和健全的财务会计制度</w:t>
      </w:r>
      <w:r>
        <w:rPr>
          <w:rFonts w:hint="eastAsia" w:ascii="宋体" w:hAnsi="宋体" w:eastAsia="宋体" w:cs="宋体"/>
          <w:bCs/>
          <w:color w:val="auto"/>
          <w:szCs w:val="21"/>
          <w:highlight w:val="none"/>
        </w:rPr>
        <w:t xml:space="preserve">（</w:t>
      </w:r>
      <w:r>
        <w:rPr>
          <w:rFonts w:hint="eastAsia" w:ascii="宋体" w:hAnsi="宋体" w:cs="宋体"/>
          <w:color w:val="auto"/>
          <w:szCs w:val="21"/>
          <w:highlight w:val="none"/>
        </w:rPr>
        <w:t xml:space="preserve">提供参加本次政府采购活动前半年内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2026年04月（含）以来）</w:t>
      </w:r>
      <w:r>
        <w:rPr>
          <w:rFonts w:hint="eastAsia" w:ascii="宋体" w:hAnsi="宋体" w:cs="宋体"/>
          <w:color w:val="auto"/>
          <w:szCs w:val="21"/>
          <w:highlight w:val="none"/>
        </w:rPr>
        <w:t xml:space="preserve">至少一个月的会计报表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或者</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2025年度</w:t>
      </w:r>
      <w:r>
        <w:rPr>
          <w:rFonts w:hint="eastAsia" w:ascii="宋体" w:hAnsi="宋体" w:cs="宋体"/>
          <w:color w:val="auto"/>
          <w:szCs w:val="21"/>
          <w:highlight w:val="none"/>
        </w:rPr>
        <w:t xml:space="preserve">的财务</w:t>
      </w:r>
      <w:r>
        <w:rPr>
          <w:rFonts w:hint="eastAsia" w:ascii="宋体" w:hAnsi="宋体" w:cs="宋体"/>
          <w:color w:val="auto"/>
          <w:szCs w:val="21"/>
          <w:highlight w:val="none"/>
          <w:lang w:val="en-US" w:eastAsia="zh-CN"/>
        </w:rPr>
        <w:t xml:space="preserve">审计</w:t>
      </w:r>
      <w:r>
        <w:rPr>
          <w:rFonts w:hint="eastAsia" w:ascii="宋体" w:hAnsi="宋体" w:cs="宋体"/>
          <w:color w:val="auto"/>
          <w:szCs w:val="21"/>
          <w:highlight w:val="none"/>
        </w:rPr>
        <w:t xml:space="preserve">报告，或投标截止时间前六个月内银行出具的资信证明）（法人或者其他组织成立未满一年的可以不提供</w:t>
      </w:r>
      <w:r>
        <w:rPr>
          <w:rFonts w:hint="eastAsia" w:ascii="宋体" w:hAnsi="宋体" w:eastAsia="宋体" w:cs="宋体"/>
          <w:bCs/>
          <w:color w:val="auto"/>
          <w:szCs w:val="21"/>
          <w:highlight w:val="none"/>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2.1.3具有履行合同所必需的设备和专业技术能力（根据项目需求提供履行合同所必需的设备和专业技术能力的声明及证明材料）；</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半年内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至少一个月缴纳</w:t>
      </w:r>
      <w:r>
        <w:rPr>
          <w:rFonts w:hint="eastAsia" w:ascii="宋体" w:hAnsi="宋体" w:cs="宋体"/>
          <w:color w:val="auto"/>
          <w:sz w:val="21"/>
          <w:szCs w:val="21"/>
          <w:highlight w:val="none"/>
          <w:lang w:val="en-US" w:eastAsia="zh-CN"/>
        </w:rPr>
        <w:t xml:space="preserve">税收</w:t>
      </w:r>
      <w:r>
        <w:rPr>
          <w:rFonts w:hint="eastAsia" w:ascii="宋体" w:hAnsi="宋体" w:eastAsia="宋体" w:cs="宋体"/>
          <w:color w:val="auto"/>
          <w:sz w:val="21"/>
          <w:szCs w:val="21"/>
          <w:highlight w:val="none"/>
        </w:rPr>
        <w:t xml:space="preserve">和社会保险的凭</w:t>
      </w:r>
      <w:r>
        <w:rPr>
          <w:rFonts w:hint="eastAsia" w:ascii="宋体" w:hAnsi="宋体" w:cs="宋体"/>
          <w:color w:val="auto"/>
          <w:sz w:val="21"/>
          <w:szCs w:val="21"/>
          <w:highlight w:val="none"/>
          <w:lang w:val="en-US" w:eastAsia="zh-CN"/>
        </w:rPr>
        <w:t xml:space="preserve">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依法享受免缴、缓缴的，提供证明材料</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2.1.5参加</w:t>
      </w:r>
      <w:r>
        <w:rPr>
          <w:rFonts w:hint="eastAsia" w:ascii="宋体" w:hAnsi="宋体" w:eastAsia="宋体" w:cs="宋体"/>
          <w:color w:val="auto"/>
          <w:sz w:val="21"/>
          <w:szCs w:val="21"/>
          <w:highlight w:val="none"/>
          <w:lang w:val="en-US" w:eastAsia="zh-CN"/>
        </w:rPr>
        <w:t xml:space="preserve">本次</w:t>
      </w:r>
      <w:r>
        <w:rPr>
          <w:rFonts w:hint="eastAsia" w:ascii="宋体" w:hAnsi="宋体" w:eastAsia="宋体" w:cs="宋体"/>
          <w:color w:val="auto"/>
          <w:sz w:val="21"/>
          <w:szCs w:val="21"/>
          <w:highlight w:val="none"/>
        </w:rPr>
        <w:t xml:space="preserve">政府采购活动前三年内，在经营活动中没有重大违法记录（提供参加本次政府采购活动前三年内在经营活动中没有重大违法记录的书面声明函）（格式见后附件）；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2.1.6法律、行政法规规定的其他条件：无。</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2.2落实政府采购政策需满足的资格要求：</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2.2.1 中小企业政策：■本项目不</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专门）</w:t>
      </w:r>
      <w:r>
        <w:rPr>
          <w:rFonts w:hint="eastAsia" w:ascii="宋体" w:hAnsi="宋体" w:eastAsia="宋体" w:cs="宋体"/>
          <w:bCs/>
          <w:color w:val="auto"/>
          <w:sz w:val="21"/>
          <w:szCs w:val="21"/>
          <w:highlight w:val="none"/>
        </w:rPr>
        <w:t xml:space="preserve">面向中小企业预留采购份额</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2.2.2其它落实政府采购政策的资格要求（如有）：无。</w:t>
      </w:r>
      <w:r/>
    </w:p>
    <w:p>
      <w:pPr>
        <w:pStyle w:val="1245"/>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2.3本项目的特定资格要求：</w:t>
      </w:r>
      <w:r/>
    </w:p>
    <w:p>
      <w:pPr>
        <w:pStyle w:val="1245"/>
        <w:spacing w:line="36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2.3.1供应商具有保险业务经营许可证（复印件加盖投标供应商公章）</w:t>
      </w:r>
      <w:r/>
    </w:p>
    <w:p>
      <w:pPr>
        <w:pStyle w:val="1245"/>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highlight w:val="none"/>
          <w:lang w:val="en-US" w:eastAsia="zh-CN"/>
        </w:rPr>
        <w:t xml:space="preserve">2.3.2本项目仅接受具有独立法人资格的公司或其下属分公司/支公司的投标响应（总公司及其各分公司/支公司视为同一家公司，不得同时作为供应商参与本项目的投标响应，如不同分公司/支公司同时投标响应，只接受能够出具总公司针对本项目唯一授权书的分公司/支公司的投标响应）（分支机构投标响应的，需提供总公司的营业执照扫描件及授权书，授权书须加盖总公司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2.4供应商存在下列情形的不得参加本次招标活动：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2.4.2除单一来源项目外，凡为采购项目提供整体设计、规范编制或者项目管理、监理、检测等服务的供应商不得再参加本项目的采购活动。</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2.4.3通过“信用中国”网站（http://www.creditchina.gov.cn）、中国政府采购网（www.ccgp.gov.cn）查询供应商在</w:t>
      </w:r>
      <w:r>
        <w:rPr>
          <w:rFonts w:hint="eastAsia" w:ascii="宋体" w:hAnsi="宋体" w:eastAsia="宋体" w:cs="宋体"/>
          <w:bCs/>
          <w:color w:val="auto"/>
          <w:sz w:val="21"/>
          <w:szCs w:val="21"/>
          <w:highlight w:val="none"/>
          <w:lang w:val="en-US" w:eastAsia="zh-CN"/>
        </w:rPr>
        <w:t xml:space="preserve">响应文件递交</w:t>
      </w:r>
      <w:r>
        <w:rPr>
          <w:rFonts w:hint="eastAsia" w:ascii="宋体" w:hAnsi="宋体" w:eastAsia="宋体" w:cs="宋体"/>
          <w:bCs/>
          <w:color w:val="auto"/>
          <w:sz w:val="21"/>
          <w:szCs w:val="21"/>
          <w:highlight w:val="none"/>
        </w:rPr>
        <w:t xml:space="preserve">截止时间前的信用记录，通过以上查询渠道，供应商被列入失信被执行人、重大税收违法案件当事人名单、政府采购严重违法失信行为记录。</w:t>
      </w:r>
      <w:bookmarkStart w:id="7" w:name="_Toc96347853"/>
      <w:r/>
      <w:bookmarkStart w:id="8" w:name="_Toc93909067"/>
      <w:r/>
      <w:bookmarkStart w:id="9" w:name="_Toc80264699"/>
      <w:r/>
      <w:bookmarkStart w:id="10" w:name="_Toc80792690"/>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三、获取磋商文件</w:t>
      </w:r>
      <w:bookmarkEnd w:id="7"/>
      <w:r/>
      <w:bookmarkEnd w:id="8"/>
      <w:r/>
      <w:bookmarkEnd w:id="9"/>
      <w:r/>
      <w:bookmarkEnd w:id="10"/>
      <w:r/>
      <w:r/>
    </w:p>
    <w:p>
      <w:pPr>
        <w:ind w:firstLine="420"/>
        <w:spacing w:line="360" w:lineRule="auto"/>
        <w:rPr>
          <w:rFonts w:hint="eastAsia" w:ascii="宋体" w:hAnsi="宋体" w:eastAsia="宋体" w:cs="宋体"/>
          <w:b w:val="0"/>
          <w:bCs w:val="0"/>
          <w:color w:val="auto"/>
          <w:sz w:val="21"/>
          <w:szCs w:val="21"/>
          <w:highlight w:val="none"/>
        </w:rPr>
      </w:pPr>
      <w:r/>
      <w:bookmarkStart w:id="11" w:name="_Toc80264700"/>
      <w:r/>
      <w:bookmarkStart w:id="12" w:name="_Toc80792691"/>
      <w:r/>
      <w:bookmarkStart w:id="13" w:name="_Toc96347854"/>
      <w:r/>
      <w:bookmarkStart w:id="14" w:name="_Toc93909068"/>
      <w:r>
        <w:rPr>
          <w:rFonts w:hint="eastAsia" w:ascii="宋体" w:hAnsi="宋体" w:eastAsia="宋体" w:cs="宋体"/>
          <w:b w:val="0"/>
          <w:bCs w:val="0"/>
          <w:color w:val="auto"/>
          <w:sz w:val="21"/>
          <w:szCs w:val="21"/>
          <w:highlight w:val="none"/>
        </w:rPr>
        <w:t xml:space="preserve">时间：自本公告发布之日起</w:t>
      </w: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rPr>
        <w:t xml:space="preserve">个</w:t>
      </w:r>
      <w:r>
        <w:rPr>
          <w:rFonts w:hint="eastAsia" w:ascii="宋体" w:hAnsi="宋体" w:eastAsia="宋体" w:cs="宋体"/>
          <w:b w:val="0"/>
          <w:bCs w:val="0"/>
          <w:color w:val="auto"/>
          <w:sz w:val="21"/>
          <w:szCs w:val="21"/>
          <w:highlight w:val="none"/>
        </w:rPr>
        <w:t xml:space="preserve">工作</w:t>
      </w:r>
      <w:r>
        <w:rPr>
          <w:rFonts w:hint="eastAsia" w:ascii="宋体" w:hAnsi="宋体" w:eastAsia="宋体" w:cs="宋体"/>
          <w:b w:val="0"/>
          <w:bCs w:val="0"/>
          <w:color w:val="auto"/>
          <w:sz w:val="21"/>
          <w:szCs w:val="21"/>
          <w:highlight w:val="none"/>
        </w:rPr>
        <w:t xml:space="preserve">日</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获取地点：江苏政府采购网。</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获取方式：网上下载</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售价：0元。</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bookmarkEnd w:id="11"/>
      <w:r/>
      <w:bookmarkEnd w:id="12"/>
      <w:r/>
      <w:bookmarkEnd w:id="13"/>
      <w:r/>
      <w:bookmarkEnd w:id="14"/>
      <w:r>
        <w:rPr>
          <w:rFonts w:hint="eastAsia" w:ascii="宋体" w:hAnsi="宋体" w:eastAsia="宋体" w:cs="宋体"/>
          <w:b/>
          <w:bCs/>
          <w:color w:val="auto"/>
          <w:sz w:val="21"/>
          <w:szCs w:val="21"/>
          <w:highlight w:val="none"/>
        </w:rPr>
        <w:t xml:space="preserve">递交投标文件截止时间、开标时间和地点</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u w:val="none"/>
        </w:rPr>
        <w:t xml:space="preserve">提交投标文件截止时间、开标时间：</w:t>
      </w:r>
      <w:r>
        <w:rPr>
          <w:rFonts w:hint="eastAsia" w:ascii="宋体" w:hAnsi="宋体" w:eastAsia="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11</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03</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日</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09</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3</w:t>
      </w:r>
      <w:r>
        <w:rPr>
          <w:rFonts w:hint="eastAsia" w:ascii="宋体" w:hAnsi="宋体" w:eastAsia="宋体" w:cs="宋体"/>
          <w:bCs/>
          <w:color w:val="auto"/>
          <w:sz w:val="21"/>
          <w:szCs w:val="21"/>
          <w:highlight w:val="none"/>
          <w:u w:val="single"/>
        </w:rPr>
        <w:t xml:space="preserve">0 </w:t>
      </w:r>
      <w:r>
        <w:rPr>
          <w:rFonts w:hint="eastAsia" w:ascii="宋体" w:hAnsi="宋体" w:eastAsia="宋体" w:cs="宋体"/>
          <w:bCs/>
          <w:color w:val="auto"/>
          <w:sz w:val="21"/>
          <w:szCs w:val="21"/>
          <w:highlight w:val="none"/>
        </w:rPr>
        <w:t xml:space="preserve">分（北京时间）</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提交投标文件地点：江苏省政府采购管理交易系统（苏采云）（以下简称“苏采云”）</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（网址：http://jszfcg.jsczt.cn/）</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开标地点：“苏采云”网上开标大厅</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15" w:name="_Toc96347856"/>
      <w:r/>
      <w:bookmarkStart w:id="16" w:name="_Toc93909070"/>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、公告期限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自本公告发布之日起</w:t>
      </w: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rPr>
        <w:t xml:space="preserve">个</w:t>
      </w:r>
      <w:r>
        <w:rPr>
          <w:rFonts w:hint="eastAsia" w:ascii="宋体" w:hAnsi="宋体" w:eastAsia="宋体" w:cs="宋体"/>
          <w:bCs/>
          <w:color w:val="auto"/>
          <w:sz w:val="21"/>
          <w:szCs w:val="21"/>
          <w:highlight w:val="none"/>
        </w:rPr>
        <w:t xml:space="preserve">工作日。</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其他补充事宜</w:t>
      </w:r>
      <w:bookmarkEnd w:id="15"/>
      <w:r/>
      <w:bookmarkEnd w:id="16"/>
      <w:r/>
      <w:r/>
    </w:p>
    <w:p>
      <w:pPr>
        <w:numPr>
          <w:ilvl w:val="0"/>
          <w:numId w:val="0"/>
        </w:num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 xml:space="preserve">1．政府采购支持政策:</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（一）《政府采购促进中小企业发展管理办法》</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（二）《关于政府采购支持监狱企业发展有关问题的通知》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（三）《关于促进残疾人就业政府采购政策的通知》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（四）《关于调整优化节能产品、环境标志产品政府采购执行机制的通知》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（五）《关于做好政府采购支持企业发展有关事项的通知》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（六）《国务院办公厅关于在政府采购中实施本国产品标准及相关政策的通知》、关于贯彻落实《国务院办公厅关于在政府采购中实施本国产品标准及相关政策的通知》的意见</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2.潜在投标人访问政府采购管理交易系统（苏采云）的网络地址和方法：</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（2）“CA数字证书”的获取：投标人需办理CA锁，“苏采云”系统目前仅支持“苏采云”系统下的政务CA，省内各地区办理的“苏采云”系统下的政务CA全省通用。</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（3）“CA数字证书”的办理材料以及投标人操作手册详见：http://jsxcmm.com/help/gys.html</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（4）潜在投标人访问“苏采云”系统的网络地址和方法：“苏采云”系统的网址：http://jszfcg.jsczt.cn/jszc/login。</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（5）采购文件（后缀名为“.kedt”）、投标人操作手册及政府采购客户端工具也可通过“苏采云”系统--已报名项目--报名详情页面内相应链接进行下载。</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（6）招标代理机构（采购代理机构）将数据电文形式的采购文件加载至“苏采云”系统，供潜在投标人下载或者查阅。</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（7）苏采云系统使用谷歌浏览器参与不见面开标。</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（8）“苏采云”南京地区客服热线025-83633744、025-83633743。</w:t>
      </w:r>
      <w:r/>
    </w:p>
    <w:p>
      <w:pPr>
        <w:numPr>
          <w:ilvl w:val="0"/>
          <w:numId w:val="0"/>
        </w:num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w:t>
      </w:r>
      <w:r>
        <w:rPr>
          <w:rFonts w:hint="eastAsia" w:ascii="宋体" w:hAnsi="宋体" w:cs="宋体"/>
          <w:b w:val="0"/>
          <w:bCs w:val="0"/>
          <w:color w:val="auto"/>
          <w:sz w:val="21"/>
          <w:szCs w:val="21"/>
          <w:highlight w:val="none"/>
          <w:lang w:val="en-US" w:eastAsia="zh-CN"/>
        </w:rPr>
        <w:t xml:space="preserve">项目结束始终保持系统在线状态。解密完成后及时关注开标大厅，等待答疑澄清（如有）等提示。如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响应文件将被退回，由于投标单位代表不在线所造成的一切后果由投标人自行承担。因招标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bCs/>
          <w:color w:val="auto"/>
          <w:sz w:val="21"/>
          <w:szCs w:val="21"/>
          <w:highlight w:val="none"/>
        </w:rPr>
      </w:pPr>
      <w:r/>
      <w:bookmarkStart w:id="17" w:name="_Toc80792694"/>
      <w:r/>
      <w:bookmarkStart w:id="18" w:name="_Toc80264702"/>
      <w:r/>
      <w:bookmarkStart w:id="19" w:name="_Toc96347857"/>
      <w:r/>
      <w:bookmarkStart w:id="20" w:name="_Toc93909071"/>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w:t>
      </w:r>
      <w:bookmarkEnd w:id="17"/>
      <w:r/>
      <w:bookmarkEnd w:id="18"/>
      <w:r>
        <w:rPr>
          <w:rFonts w:hint="eastAsia" w:ascii="宋体" w:hAnsi="宋体" w:eastAsia="宋体" w:cs="宋体"/>
          <w:b/>
          <w:bCs/>
          <w:color w:val="auto"/>
          <w:sz w:val="21"/>
          <w:szCs w:val="21"/>
          <w:highlight w:val="none"/>
        </w:rPr>
        <w:t xml:space="preserve">凡对本次采购提出询问，请按以下方式联系。</w:t>
      </w:r>
      <w:bookmarkEnd w:id="19"/>
      <w:r/>
      <w:bookmarkEnd w:id="20"/>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val="en-US" w:eastAsia="zh-CN"/>
        </w:rPr>
        <w:t xml:space="preserve">江苏省肿瘤医院</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江苏省南京市百子亭42号          </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康老师           </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电 话：025-83283339</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称：江苏省招标中心有限公司</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址：南京市郑和中路118号（南京长江国际航运中心）D座</w:t>
      </w:r>
      <w:r>
        <w:rPr>
          <w:rFonts w:hint="eastAsia" w:ascii="宋体" w:hAnsi="宋体" w:eastAsia="宋体" w:cs="宋体"/>
          <w:color w:val="auto"/>
          <w:sz w:val="21"/>
          <w:szCs w:val="21"/>
          <w:highlight w:val="none"/>
          <w:lang w:val="en-US" w:eastAsia="zh-CN"/>
        </w:rPr>
        <w:t xml:space="preserve">17楼</w:t>
      </w:r>
      <w:r/>
    </w:p>
    <w:p>
      <w:pPr>
        <w:ind w:firstLine="525"/>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张璐、</w:t>
      </w:r>
      <w:r>
        <w:rPr>
          <w:rFonts w:hint="eastAsia" w:ascii="宋体" w:hAnsi="宋体" w:eastAsia="宋体" w:cs="宋体"/>
          <w:color w:val="auto"/>
          <w:sz w:val="21"/>
          <w:szCs w:val="21"/>
          <w:highlight w:val="none"/>
        </w:rPr>
        <w:t xml:space="preserve">史平华</w:t>
      </w:r>
      <w:r>
        <w:rPr>
          <w:rFonts w:hint="eastAsia" w:ascii="宋体" w:hAnsi="宋体" w:cs="宋体"/>
          <w:color w:val="auto"/>
          <w:sz w:val="21"/>
          <w:szCs w:val="21"/>
          <w:highlight w:val="none"/>
          <w:lang w:val="en-US" w:eastAsia="zh-CN"/>
        </w:rPr>
        <w:t xml:space="preserve">、宗超</w:t>
      </w:r>
      <w:r/>
    </w:p>
    <w:p>
      <w:pPr>
        <w:ind w:firstLine="525"/>
        <w:spacing w:line="360" w:lineRule="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15605215397、</w:t>
      </w:r>
      <w:r>
        <w:rPr>
          <w:rFonts w:hint="eastAsia" w:ascii="宋体" w:hAnsi="宋体" w:eastAsia="宋体" w:cs="宋体"/>
          <w:color w:val="auto"/>
          <w:sz w:val="21"/>
          <w:szCs w:val="21"/>
          <w:highlight w:val="none"/>
        </w:rPr>
        <w:t xml:space="preserve">15951799162</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525"/>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张璐</w:t>
      </w:r>
      <w:r/>
    </w:p>
    <w:p>
      <w:pPr>
        <w:ind w:firstLine="525"/>
        <w:jc w:val="left"/>
        <w:spacing w:line="360" w:lineRule="auto"/>
        <w:rPr>
          <w:rFonts w:hint="eastAsia" w:ascii="宋体" w:hAnsi="宋体" w:cs="宋体"/>
          <w:bCs/>
          <w:color w:val="auto"/>
          <w:sz w:val="24"/>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eastAsia="zh-CN"/>
        </w:rPr>
        <w:t xml:space="preserve">：15605215397</w:t>
      </w:r>
      <w:r/>
    </w:p>
    <w:p>
      <w:pPr>
        <w:pStyle w:val="1149"/>
        <w:numPr>
          <w:ilvl w:val="0"/>
          <w:numId w:val="5"/>
        </w:numPr>
        <w:jc w:val="center"/>
        <w:rPr>
          <w:rFonts w:ascii="Microsoft New Tai Lue" w:hAnsi="Microsoft New Tai Lue" w:cs="Microsoft New Tai Lue"/>
          <w:color w:val="auto"/>
          <w:highlight w:val="none"/>
        </w:rPr>
      </w:pPr>
      <w:r/>
      <w:bookmarkStart w:id="21" w:name="_Toc513029209"/>
      <w:r/>
      <w:bookmarkStart w:id="22" w:name="_Toc14577347"/>
      <w:r/>
      <w:bookmarkStart w:id="23" w:name="_Toc61149549"/>
      <w:r>
        <w:rPr>
          <w:rFonts w:hint="eastAsia" w:ascii="宋体" w:hAnsi="宋体" w:eastAsia="宋体" w:cs="宋体"/>
          <w:bCs/>
          <w:color w:val="auto"/>
          <w:szCs w:val="44"/>
          <w:highlight w:val="none"/>
        </w:rPr>
        <w:br w:type="page" w:clear="all"/>
      </w:r>
      <w:bookmarkEnd w:id="21"/>
      <w:r/>
      <w:bookmarkEnd w:id="22"/>
      <w:r/>
      <w:bookmarkEnd w:id="23"/>
      <w:r/>
      <w:bookmarkStart w:id="24" w:name="_Toc107246212"/>
      <w:r/>
      <w:bookmarkStart w:id="25" w:name="_Toc5272"/>
      <w:r>
        <w:rPr>
          <w:rFonts w:hint="eastAsia" w:ascii="宋体" w:hAnsi="宋体" w:eastAsia="宋体" w:cs="宋体"/>
          <w:color w:val="auto"/>
          <w:sz w:val="44"/>
          <w:szCs w:val="44"/>
          <w:highlight w:val="none"/>
        </w:rPr>
        <w:t xml:space="preserve">供应商须知</w:t>
      </w:r>
      <w:bookmarkEnd w:id="24"/>
      <w:r/>
      <w:bookmarkEnd w:id="25"/>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35"/>
        <w:gridCol w:w="4982"/>
      </w:tblGrid>
      <w:tr>
        <w:trPr>
          <w:jc w:val="center"/>
        </w:trPr>
        <w:tc>
          <w:tcPr>
            <w:tcW w:w="675" w:type="dxa"/>
            <w:vAlign w:val="center"/>
            <w:textDirection w:val="lrTb"/>
            <w:noWrap w:val="false"/>
          </w:tcPr>
          <w:p>
            <w:pPr>
              <w:pStyle w:val="1249"/>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2835" w:type="dxa"/>
            <w:vAlign w:val="center"/>
            <w:textDirection w:val="lrTb"/>
            <w:noWrap w:val="false"/>
          </w:tcPr>
          <w:p>
            <w:pPr>
              <w:pStyle w:val="1249"/>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249"/>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val="en-US" w:eastAsia="zh-CN"/>
              </w:rPr>
              <w:t xml:space="preserve">江苏省肿瘤医院</w:t>
            </w:r>
            <w:r/>
          </w:p>
          <w:p>
            <w:pP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 江苏省南京市百子亭42号         </w:t>
            </w:r>
            <w:r/>
          </w:p>
          <w:p>
            <w:pP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康老师          </w:t>
            </w:r>
            <w:r/>
          </w:p>
          <w:p>
            <w:pPr>
              <w:pStyle w:val="1250"/>
              <w:spacing w:line="360" w:lineRule="auto"/>
              <w:rPr>
                <w:rFonts w:hint="eastAsia" w:cs="Microsoft New Tai Lue"/>
                <w:color w:val="auto"/>
                <w:szCs w:val="21"/>
                <w:highlight w:val="none"/>
              </w:rPr>
            </w:pPr>
            <w:r>
              <w:rPr>
                <w:rFonts w:hint="eastAsia" w:ascii="宋体" w:hAnsi="宋体" w:eastAsia="宋体" w:cs="宋体"/>
                <w:color w:val="auto"/>
                <w:sz w:val="21"/>
                <w:szCs w:val="21"/>
                <w:highlight w:val="none"/>
              </w:rPr>
              <w:t xml:space="preserve">电 话：025-83283339    </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250"/>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rPr>
              <w:t xml:space="preserve">江苏省招标中心有限公司</w:t>
            </w:r>
            <w:r/>
          </w:p>
          <w:p>
            <w:pPr>
              <w:pStyle w:val="1250"/>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color w:val="auto"/>
                <w:sz w:val="21"/>
                <w:szCs w:val="21"/>
                <w:highlight w:val="none"/>
                <w:lang w:val="en-US"/>
              </w:rPr>
              <w:t xml:space="preserve">江苏省</w:t>
            </w:r>
            <w:r>
              <w:rPr>
                <w:rFonts w:hint="eastAsia"/>
                <w:color w:val="auto"/>
                <w:sz w:val="21"/>
                <w:szCs w:val="21"/>
                <w:highlight w:val="none"/>
              </w:rPr>
              <w:t xml:space="preserve">南京市鼓楼区郑和中路118号</w:t>
            </w:r>
            <w:r/>
          </w:p>
          <w:p>
            <w:pPr>
              <w:pStyle w:val="1250"/>
              <w:spacing w:before="160" w:line="276"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联系人：</w:t>
            </w:r>
            <w:r>
              <w:rPr>
                <w:rFonts w:hint="eastAsia"/>
                <w:color w:val="auto"/>
                <w:sz w:val="21"/>
                <w:szCs w:val="21"/>
                <w:highlight w:val="none"/>
                <w:lang w:val="en-US" w:eastAsia="zh-CN" w:bidi="ar-SA"/>
              </w:rPr>
              <w:t xml:space="preserve">张璐</w:t>
            </w:r>
            <w:r/>
          </w:p>
          <w:p>
            <w:pPr>
              <w:pStyle w:val="1250"/>
              <w:spacing w:before="160" w:line="276" w:lineRule="auto"/>
              <w:rPr>
                <w:rFonts w:eastAsia="宋体" w:cs="Microsoft New Tai Lue"/>
                <w:color w:val="auto"/>
                <w:sz w:val="21"/>
                <w:szCs w:val="21"/>
                <w:highlight w:val="none"/>
                <w:lang w:val="en-US" w:eastAsia="zh-CN"/>
              </w:rPr>
            </w:pPr>
            <w:r>
              <w:rPr>
                <w:rFonts w:hint="eastAsia"/>
                <w:color w:val="auto"/>
                <w:sz w:val="21"/>
                <w:szCs w:val="21"/>
                <w:highlight w:val="none"/>
                <w:lang w:val="en-US" w:bidi="ar-SA"/>
              </w:rPr>
              <w:t xml:space="preserve">电话：</w:t>
            </w:r>
            <w:r>
              <w:rPr>
                <w:rFonts w:hint="eastAsia"/>
                <w:color w:val="auto"/>
                <w:sz w:val="21"/>
                <w:szCs w:val="21"/>
                <w:highlight w:val="none"/>
              </w:rPr>
              <w:t xml:space="preserve">1</w:t>
            </w:r>
            <w:r>
              <w:rPr>
                <w:rFonts w:hint="eastAsia"/>
                <w:color w:val="auto"/>
                <w:sz w:val="21"/>
                <w:szCs w:val="21"/>
                <w:highlight w:val="none"/>
                <w:lang w:val="en-US"/>
              </w:rPr>
              <w:t xml:space="preserve">5</w:t>
            </w:r>
            <w:r>
              <w:rPr>
                <w:rFonts w:hint="eastAsia"/>
                <w:color w:val="auto"/>
                <w:sz w:val="21"/>
                <w:szCs w:val="21"/>
                <w:highlight w:val="none"/>
                <w:lang w:val="en-US" w:eastAsia="zh-CN"/>
              </w:rPr>
              <w:t xml:space="preserve">605215397</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2835" w:type="dxa"/>
            <w:vAlign w:val="center"/>
            <w:textDirection w:val="lrTb"/>
            <w:noWrap w:val="false"/>
          </w:tcPr>
          <w:p>
            <w:pPr>
              <w:pStyle w:val="1249"/>
              <w:jc w:val="left"/>
              <w:rPr>
                <w:rFonts w:hAnsi="宋体" w:cs="Microsoft New Tai Lue"/>
                <w:color w:val="auto"/>
                <w:sz w:val="21"/>
                <w:highlight w:val="none"/>
              </w:rPr>
            </w:pPr>
            <w:r>
              <w:rPr>
                <w:rFonts w:hAnsi="宋体" w:cs="Microsoft New Tai Lue"/>
                <w:color w:val="auto"/>
                <w:sz w:val="21"/>
                <w:highlight w:val="none"/>
              </w:rPr>
              <w:t xml:space="preserve">本项目执行的采购政策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磋商文件第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竞争性磋商公告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不组织</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t xml:space="preserve">磋商</w:t>
            </w:r>
            <w:r>
              <w:rPr>
                <w:rFonts w:hAnsi="宋体" w:cs="Microsoft New Tai Lue"/>
                <w:color w:val="auto"/>
                <w:sz w:val="21"/>
                <w:highlight w:val="none"/>
              </w:rPr>
              <w:t xml:space="preserve">前答疑会</w:t>
            </w:r>
            <w:r/>
          </w:p>
        </w:tc>
        <w:tc>
          <w:tcPr>
            <w:tcW w:w="4982" w:type="dxa"/>
            <w:vAlign w:val="center"/>
            <w:textDirection w:val="lrTb"/>
            <w:noWrap w:val="false"/>
          </w:tcPr>
          <w:p>
            <w:pPr>
              <w:pStyle w:val="1250"/>
              <w:spacing w:before="160"/>
              <w:rPr>
                <w:rFonts w:cs="Segoe UI Symbol"/>
                <w:bCs/>
                <w:color w:val="auto"/>
                <w:szCs w:val="21"/>
                <w:highlight w:val="none"/>
              </w:rPr>
            </w:pPr>
            <w:r>
              <w:rPr>
                <w:rFonts w:hint="eastAsia" w:cs="Times New Roman"/>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联合体</w:t>
            </w:r>
            <w:r>
              <w:rPr>
                <w:rFonts w:hint="eastAsia" w:hAnsi="宋体" w:cs="Microsoft New Tai Lue"/>
                <w:color w:val="auto"/>
                <w:sz w:val="21"/>
                <w:highlight w:val="none"/>
              </w:rPr>
              <w:t xml:space="preserve">磋商</w:t>
            </w:r>
            <w:r/>
          </w:p>
        </w:tc>
        <w:tc>
          <w:tcPr>
            <w:tcW w:w="4982" w:type="dxa"/>
            <w:vAlign w:val="center"/>
            <w:textDirection w:val="lrTb"/>
            <w:noWrap w:val="false"/>
          </w:tcPr>
          <w:p>
            <w:pPr>
              <w:spacing w:before="156" w:line="276" w:lineRule="auto"/>
              <w:rPr>
                <w:rFonts w:ascii="宋体" w:hAnsi="宋体" w:cs="Microsoft New Tai Lue"/>
                <w:color w:val="auto"/>
                <w:szCs w:val="21"/>
                <w:highlight w:val="none"/>
              </w:rPr>
            </w:pPr>
            <w:r>
              <w:rPr>
                <w:rFonts w:ascii="宋体" w:hAnsi="宋体" w:cs="Microsoft New Tai Lue"/>
                <w:bCs/>
                <w:color w:val="auto"/>
                <w:szCs w:val="21"/>
                <w:highlight w:val="none"/>
              </w:rPr>
              <w:t xml:space="preserve">接受</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line="276" w:lineRule="auto"/>
              <w:rPr>
                <w:rFonts w:ascii="宋体" w:hAnsi="宋体"/>
                <w:color w:val="auto"/>
                <w:szCs w:val="21"/>
                <w:highlight w:val="none"/>
              </w:rPr>
            </w:pP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eastAsia="宋体" w:cs="Microsoft New Tai Lue"/>
                <w:color w:val="auto"/>
                <w:szCs w:val="21"/>
                <w:highlight w:val="none"/>
                <w:lang w:val="en-US" w:eastAsia="zh-CN"/>
              </w:rPr>
            </w:pPr>
            <w:r>
              <w:rPr>
                <w:rFonts w:hint="eastAsia" w:ascii="宋体" w:hAnsi="宋体" w:cs="Microsoft New Tai Lue"/>
                <w:color w:val="auto"/>
                <w:szCs w:val="21"/>
                <w:highlight w:val="none"/>
                <w:lang w:val="en-US" w:eastAsia="zh-CN"/>
              </w:rPr>
              <w:t xml:space="preserve">本项目无需提供样品</w:t>
            </w:r>
            <w:r/>
          </w:p>
        </w:tc>
      </w:tr>
      <w:tr>
        <w:trPr>
          <w:jc w:val="center"/>
          <w:trHeight w:val="734"/>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本次采购不接受进口产品</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2835" w:type="dxa"/>
            <w:vAlign w:val="center"/>
            <w:textDirection w:val="lrTb"/>
            <w:noWrap w:val="false"/>
          </w:tcPr>
          <w:p>
            <w:pPr>
              <w:pStyle w:val="1249"/>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磋商文件第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竞争性磋商公告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249"/>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磋商文件第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竞争性磋商公告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详见磋商文件第一章《</w:t>
            </w:r>
            <w:r>
              <w:rPr>
                <w:rFonts w:hint="eastAsia" w:ascii="宋体" w:hAnsi="宋体" w:cs="Microsoft New Tai Lue"/>
                <w:color w:val="auto"/>
                <w:szCs w:val="21"/>
                <w:highlight w:val="none"/>
              </w:rPr>
              <w:t xml:space="preserve">竞争性磋商公告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报价</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报价的其他要求：无</w:t>
            </w:r>
            <w:r/>
          </w:p>
        </w:tc>
      </w:tr>
      <w:tr>
        <w:trPr>
          <w:jc w:val="center"/>
          <w:trHeight w:val="656"/>
        </w:trPr>
        <w:tc>
          <w:tcPr>
            <w:tcW w:w="675" w:type="dxa"/>
            <w:vAlign w:val="center"/>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响应</w:t>
            </w:r>
            <w:r>
              <w:rPr>
                <w:rFonts w:hAnsi="宋体" w:cs="Microsoft New Tai Lue"/>
                <w:color w:val="auto"/>
                <w:sz w:val="21"/>
                <w:highlight w:val="none"/>
              </w:rPr>
              <w:t xml:space="preserve">有效期</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自提交响应文件的截止之日起算_</w:t>
            </w:r>
            <w:r>
              <w:rPr>
                <w:rFonts w:hint="eastAsia" w:hAnsi="宋体" w:cs="Microsoft New Tai Lue"/>
                <w:bCs/>
                <w:color w:val="auto"/>
                <w:sz w:val="21"/>
                <w:highlight w:val="none"/>
                <w:u w:val="single"/>
              </w:rPr>
              <w:t xml:space="preserve">90</w:t>
            </w:r>
            <w:r>
              <w:rPr>
                <w:rFonts w:hint="eastAsia" w:hAnsi="宋体" w:cs="Microsoft New Tai Lue"/>
                <w:bCs/>
                <w:color w:val="auto"/>
                <w:sz w:val="21"/>
                <w:highlight w:val="none"/>
              </w:rPr>
              <w:t xml:space="preserve">_日历天</w:t>
            </w:r>
            <w:r/>
          </w:p>
        </w:tc>
      </w:tr>
      <w:tr>
        <w:trPr>
          <w:jc w:val="center"/>
          <w:trHeight w:val="69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磋商</w:t>
            </w:r>
            <w:r>
              <w:rPr>
                <w:rFonts w:hAnsi="宋体" w:cs="Microsoft New Tai Lue"/>
                <w:color w:val="auto"/>
                <w:sz w:val="21"/>
                <w:highlight w:val="none"/>
              </w:rPr>
              <w:t xml:space="preserve">保证金</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2835" w:type="dxa"/>
            <w:vAlign w:val="center"/>
            <w:textDirection w:val="lrTb"/>
            <w:noWrap w:val="false"/>
          </w:tcPr>
          <w:p>
            <w:pPr>
              <w:pStyle w:val="1249"/>
              <w:jc w:val="left"/>
              <w:spacing w:line="360" w:lineRule="auto"/>
              <w:rPr>
                <w:rFonts w:hint="default" w:hAnsi="宋体" w:eastAsia="宋体" w:cs="Microsoft New Tai Lue"/>
                <w:color w:val="auto"/>
                <w:sz w:val="21"/>
                <w:highlight w:val="none"/>
                <w:lang w:val="en-US" w:eastAsia="zh-CN"/>
              </w:rPr>
            </w:pPr>
            <w:r>
              <w:rPr>
                <w:rFonts w:hint="eastAsia" w:hAnsi="宋体" w:cs="Microsoft New Tai Lue"/>
                <w:color w:val="auto"/>
                <w:sz w:val="21"/>
                <w:highlight w:val="none"/>
                <w:lang w:val="en-US" w:eastAsia="zh-CN"/>
              </w:rPr>
              <w:t xml:space="preserve">投标文件的递交</w:t>
            </w:r>
            <w:r/>
          </w:p>
        </w:tc>
        <w:tc>
          <w:tcPr>
            <w:tcW w:w="4982" w:type="dxa"/>
            <w:vAlign w:val="center"/>
            <w:textDirection w:val="lrTb"/>
            <w:noWrap w:val="false"/>
          </w:tcPr>
          <w:p>
            <w:pPr>
              <w:pStyle w:val="1249"/>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vMerge w:val="restart"/>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2835" w:type="dxa"/>
            <w:vAlign w:val="center"/>
            <w:vMerge w:val="restart"/>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响应文件</w:t>
            </w:r>
            <w:r>
              <w:rPr>
                <w:rFonts w:hint="eastAsia" w:hAnsi="宋体" w:cs="Microsoft New Tai Lue"/>
                <w:color w:val="auto"/>
                <w:sz w:val="21"/>
                <w:highlight w:val="none"/>
              </w:rPr>
              <w:t xml:space="preserve">的</w:t>
            </w:r>
            <w:r>
              <w:rPr>
                <w:rFonts w:hAnsi="宋体" w:cs="Microsoft New Tai Lue"/>
                <w:color w:val="auto"/>
                <w:sz w:val="21"/>
                <w:highlight w:val="none"/>
              </w:rPr>
              <w:t xml:space="preserve">密封</w:t>
            </w:r>
            <w:r>
              <w:rPr>
                <w:rFonts w:hint="eastAsia" w:hAnsi="宋体" w:cs="Microsoft New Tai Lue"/>
                <w:color w:val="auto"/>
                <w:sz w:val="21"/>
                <w:highlight w:val="none"/>
              </w:rPr>
              <w:t xml:space="preserve">和</w:t>
            </w:r>
            <w:r>
              <w:rPr>
                <w:rFonts w:hAnsi="宋体" w:cs="Microsoft New Tai Lue"/>
                <w:color w:val="auto"/>
                <w:sz w:val="21"/>
                <w:highlight w:val="none"/>
              </w:rPr>
              <w:t xml:space="preserve">标记</w:t>
            </w:r>
            <w:r/>
          </w:p>
        </w:tc>
        <w:tc>
          <w:tcPr>
            <w:tcW w:w="4982" w:type="dxa"/>
            <w:vAlign w:val="center"/>
            <w:textDirection w:val="lrTb"/>
            <w:noWrap w:val="false"/>
          </w:tcPr>
          <w:p>
            <w:pPr>
              <w:spacing w:before="156" w:line="360" w:lineRule="auto"/>
              <w:rPr>
                <w:rFonts w:hint="eastAsia" w:ascii="宋体" w:hAnsi="宋体" w:cs="Microsoft New Tai Lue"/>
                <w:b/>
                <w:bCs/>
                <w:color w:val="auto"/>
                <w:szCs w:val="21"/>
                <w:highlight w:val="none"/>
              </w:rPr>
            </w:pPr>
            <w:r>
              <w:rPr>
                <w:rFonts w:ascii="宋体" w:hAnsi="宋体" w:cs="Microsoft New Tai Lue"/>
                <w:b/>
                <w:bCs/>
                <w:color w:val="auto"/>
                <w:szCs w:val="21"/>
                <w:highlight w:val="none"/>
              </w:rPr>
              <w:t xml:space="preserve">全部响应文件（包括正本、副本及电子版文件）均应密封，否则</w:t>
            </w:r>
            <w:r>
              <w:rPr>
                <w:rFonts w:hint="eastAsia" w:ascii="宋体" w:hAnsi="宋体" w:cs="Microsoft New Tai Lue"/>
                <w:b/>
                <w:bCs/>
                <w:color w:val="auto"/>
                <w:szCs w:val="21"/>
                <w:highlight w:val="none"/>
              </w:rPr>
              <w:t xml:space="preserve">响应</w:t>
            </w:r>
            <w:r>
              <w:rPr>
                <w:rFonts w:ascii="宋体" w:hAnsi="宋体" w:cs="Microsoft New Tai Lue"/>
                <w:b/>
                <w:bCs/>
                <w:color w:val="auto"/>
                <w:szCs w:val="21"/>
                <w:highlight w:val="none"/>
              </w:rPr>
              <w:t xml:space="preserve">将被拒绝。(</w:t>
            </w:r>
            <w:r>
              <w:rPr>
                <w:rFonts w:ascii="宋体" w:hAnsi="宋体" w:cs="Microsoft New Tai Lue"/>
                <w:b/>
                <w:bCs/>
                <w:color w:val="auto"/>
                <w:szCs w:val="21"/>
                <w:highlight w:val="none"/>
              </w:rPr>
              <w:t xml:space="preserve">不适用</w:t>
            </w:r>
            <w:r>
              <w:rPr>
                <w:rFonts w:ascii="宋体" w:hAnsi="宋体" w:cs="Microsoft New Tai Lue"/>
                <w:b/>
                <w:bCs/>
                <w:color w:val="auto"/>
                <w:szCs w:val="21"/>
                <w:highlight w:val="none"/>
              </w:rPr>
              <w:t xml:space="preserve">）</w:t>
            </w:r>
            <w:r/>
          </w:p>
        </w:tc>
      </w:tr>
      <w:tr>
        <w:trPr>
          <w:jc w:val="center"/>
          <w:trHeight w:val="656"/>
        </w:trPr>
        <w:tc>
          <w:tcPr>
            <w:tcW w:w="675" w:type="dxa"/>
            <w:vAlign w:val="center"/>
            <w:vMerge w:val="continue"/>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密封包装上</w:t>
            </w:r>
            <w:r>
              <w:rPr>
                <w:rFonts w:ascii="宋体" w:hAnsi="宋体" w:cs="Microsoft New Tai Lue"/>
                <w:bCs/>
                <w:color w:val="auto"/>
                <w:szCs w:val="21"/>
                <w:highlight w:val="none"/>
              </w:rPr>
              <w:t xml:space="preserve">应注明：</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项目编号：</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本文件于 年 月 日 点 分（响应文件截止时间）前不得开启。</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供应商名称：（公章）</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地址、邮编：</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联系人及联系方式：</w:t>
            </w:r>
            <w:r/>
          </w:p>
          <w:p>
            <w:pPr>
              <w:spacing w:before="156" w:line="360" w:lineRule="auto"/>
              <w:rPr>
                <w:rFonts w:hint="eastAsia" w:ascii="宋体" w:hAnsi="宋体" w:cs="Microsoft New Tai Lue"/>
                <w:color w:val="auto"/>
                <w:highlight w:val="none"/>
              </w:rPr>
            </w:pPr>
            <w:r>
              <w:rPr>
                <w:rStyle w:val="1215"/>
                <w:rFonts w:hint="eastAsia" w:ascii="宋体" w:hAnsi="宋体"/>
                <w:color w:val="auto"/>
                <w:highlight w:val="none"/>
              </w:rPr>
              <w:t xml:space="preserve">（</w:t>
            </w:r>
            <w:r>
              <w:rPr>
                <w:rStyle w:val="1215"/>
                <w:rFonts w:hint="eastAsia" w:ascii="宋体" w:hAnsi="宋体"/>
                <w:color w:val="auto"/>
                <w:highlight w:val="none"/>
              </w:rPr>
              <w:t xml:space="preserve">不适用</w:t>
            </w:r>
            <w:r>
              <w:rPr>
                <w:rStyle w:val="1215"/>
                <w:rFonts w:hint="eastAsia" w:ascii="宋体" w:hAnsi="宋体"/>
                <w:color w:val="auto"/>
                <w:highlight w:val="none"/>
              </w:rPr>
              <w:t xml:space="preserve">）</w:t>
            </w:r>
            <w:r>
              <w:rPr>
                <w:rStyle w:val="1215"/>
                <w:rFonts w:hint="eastAsia" w:ascii="宋体" w:hAnsi="宋体"/>
                <w:color w:val="auto"/>
                <w:highlight w:val="none"/>
              </w:rPr>
            </w:r>
            <w:r>
              <w:rPr>
                <w:rStyle w:val="1215"/>
                <w:rFonts w:hint="eastAsia" w:ascii="宋体" w:hAnsi="宋体"/>
                <w:color w:val="auto"/>
                <w:highlight w:val="none"/>
              </w:rP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提交响应文件的截止时间、地点</w:t>
            </w:r>
            <w:r/>
          </w:p>
        </w:tc>
        <w:tc>
          <w:tcPr>
            <w:tcW w:w="4982"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详见磋商文件第一章《</w:t>
            </w:r>
            <w:r>
              <w:rPr>
                <w:rFonts w:hint="eastAsia" w:hAnsi="宋体" w:cs="Microsoft New Tai Lue"/>
                <w:color w:val="auto"/>
                <w:sz w:val="21"/>
                <w:highlight w:val="none"/>
              </w:rPr>
              <w:t xml:space="preserve">竞争性磋商公告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19</w:t>
            </w:r>
            <w:r/>
          </w:p>
        </w:tc>
        <w:tc>
          <w:tcPr>
            <w:tcW w:w="2835" w:type="dxa"/>
            <w:vAlign w:val="center"/>
            <w:textDirection w:val="lrTb"/>
            <w:noWrap w:val="false"/>
          </w:tcPr>
          <w:p>
            <w:pPr>
              <w:pStyle w:val="1249"/>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供应商自行查询信用记录，如实提供《无不良信用记录承诺》并加盖供应商公章。联合体参加磋商的，所有联合体成员均须加盖公章。本项目信用记录查询截止时点为</w:t>
            </w:r>
            <w:r>
              <w:rPr>
                <w:rFonts w:hint="eastAsia" w:hAnsi="宋体" w:cs="Microsoft New Tai Lue"/>
                <w:bCs/>
                <w:color w:val="auto"/>
                <w:sz w:val="21"/>
                <w:highlight w:val="none"/>
                <w:u w:val="single"/>
              </w:rPr>
              <w:t xml:space="preserve">响应文件开启之前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t xml:space="preserve">磋商小组</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3人</w:t>
            </w:r>
            <w:r>
              <w:rPr>
                <w:rFonts w:hint="eastAsia" w:hAnsi="宋体" w:cs="Microsoft New Tai Lue"/>
                <w:bCs/>
                <w:color w:val="auto"/>
                <w:sz w:val="21"/>
                <w:highlight w:val="none"/>
                <w:lang w:val="en-US" w:eastAsia="zh-CN"/>
              </w:rPr>
              <w:t xml:space="preserve">及</w:t>
            </w:r>
            <w:r>
              <w:rPr>
                <w:rFonts w:hint="eastAsia" w:hAnsi="宋体" w:cs="Microsoft New Tai Lue"/>
                <w:bCs/>
                <w:color w:val="auto"/>
                <w:sz w:val="21"/>
                <w:highlight w:val="none"/>
              </w:rPr>
              <w:t xml:space="preserve">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ascii="宋体" w:hAnsi="宋体" w:eastAsia="宋体"/>
                <w:color w:val="auto"/>
                <w:highlight w:val="none"/>
              </w:rPr>
              <w:t xml:space="preserve">江苏政府采购网（</w:t>
            </w:r>
            <w:r>
              <w:rPr>
                <w:rFonts w:hint="eastAsia" w:ascii="宋体" w:hAnsi="宋体"/>
                <w:color w:val="auto"/>
                <w:highlight w:val="none"/>
              </w:rPr>
              <w:t xml:space="preserve">http://www.ccgp-jiangsu.gov.cn/</w:t>
            </w:r>
            <w:r>
              <w:rPr>
                <w:rFonts w:hint="eastAsia" w:ascii="宋体" w:hAnsi="宋体" w:eastAsia="宋体"/>
                <w:color w:val="auto"/>
                <w:highlight w:val="none"/>
              </w:rPr>
              <w:t xml:space="preserve">）</w:t>
            </w:r>
            <w:r/>
          </w:p>
        </w:tc>
      </w:tr>
      <w:tr>
        <w:trPr>
          <w:jc w:val="center"/>
          <w:trHeight w:val="922"/>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249"/>
              <w:jc w:val="left"/>
              <w:rPr>
                <w:rFonts w:hAnsi="宋体" w:cs="Microsoft New Tai Lue"/>
                <w:bCs/>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249"/>
              <w:spacing w:line="360" w:lineRule="auto"/>
              <w:rPr>
                <w:rFonts w:hAnsi="宋体" w:cs="Microsoft New Tai Lue"/>
                <w:bCs/>
                <w:color w:val="auto"/>
                <w:highlight w:val="none"/>
              </w:rPr>
            </w:pPr>
            <w:r>
              <w:rPr>
                <w:rFonts w:hAnsi="宋体" w:cs="Microsoft New Tai Lue"/>
                <w:bCs/>
                <w:color w:val="auto"/>
                <w:sz w:val="21"/>
                <w:highlight w:val="none"/>
              </w:rPr>
              <w:t xml:space="preserve">不要求提供</w:t>
            </w:r>
            <w:r/>
          </w:p>
        </w:tc>
      </w:tr>
      <w:tr>
        <w:trPr>
          <w:jc w:val="center"/>
          <w:trHeight w:val="218"/>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2835" w:type="dxa"/>
            <w:vAlign w:val="center"/>
            <w:textDirection w:val="lrTb"/>
            <w:noWrap w:val="false"/>
          </w:tcPr>
          <w:p>
            <w:pPr>
              <w:ind w:left="-533" w:firstLine="533"/>
              <w:jc w:val="left"/>
              <w:spacing w:before="156" w:line="276" w:lineRule="auto"/>
              <w:rPr>
                <w:rFonts w:ascii="宋体" w:hAnsi="宋体"/>
                <w:color w:val="auto"/>
                <w:szCs w:val="21"/>
                <w:highlight w:val="none"/>
              </w:rPr>
            </w:pPr>
            <w:r>
              <w:rPr>
                <w:rFonts w:ascii="宋体" w:hAnsi="宋体"/>
                <w:color w:val="auto"/>
                <w:szCs w:val="21"/>
                <w:highlight w:val="none"/>
              </w:rPr>
              <w:t xml:space="preserve">供应商对磋商文件的</w:t>
            </w:r>
            <w:r/>
          </w:p>
          <w:p>
            <w:pPr>
              <w:pStyle w:val="1249"/>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spacing w:line="360" w:lineRule="auto"/>
              <w:rPr>
                <w:rFonts w:ascii="宋体" w:hAnsi="宋体" w:cs="Microsoft New Tai Lue"/>
                <w:color w:val="auto"/>
                <w:szCs w:val="21"/>
                <w:highlight w:val="none"/>
              </w:rPr>
            </w:pPr>
            <w:r>
              <w:rPr>
                <w:rFonts w:hint="eastAsia" w:ascii="宋体" w:hAnsi="宋体" w:cs="宋体"/>
                <w:bCs/>
                <w:color w:val="auto"/>
                <w:highlight w:val="none"/>
              </w:rPr>
              <w:t xml:space="preserve">形式：以书面形式（盖章扫描件及WPS兼容格式文件发至</w:t>
            </w:r>
            <w:r>
              <w:rPr>
                <w:rFonts w:hint="eastAsia" w:ascii="宋体" w:hAnsi="宋体" w:cs="宋体"/>
                <w:bCs/>
                <w:color w:val="auto"/>
                <w:highlight w:val="none"/>
                <w:u w:val="single"/>
                <w:lang w:val="en-US" w:eastAsia="zh-CN"/>
              </w:rPr>
              <w:t xml:space="preserve">1471877175</w:t>
            </w:r>
            <w:r>
              <w:rPr>
                <w:rFonts w:hint="eastAsia" w:ascii="宋体" w:hAnsi="宋体" w:cs="宋体"/>
                <w:bCs/>
                <w:color w:val="auto"/>
                <w:highlight w:val="none"/>
                <w:u w:val="single"/>
              </w:rPr>
              <w:t xml:space="preserve">@qq.com </w:t>
            </w:r>
            <w:r>
              <w:rPr>
                <w:rFonts w:hint="eastAsia" w:ascii="宋体" w:hAnsi="宋体" w:cs="宋体"/>
                <w:bCs/>
                <w:color w:val="auto"/>
                <w:highlight w:val="none"/>
              </w:rPr>
              <w:t xml:space="preserve">邮箱）通知采购人或采购代理机构。</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对磋商文件提出</w:t>
            </w:r>
            <w:r>
              <w:rPr>
                <w:rFonts w:hint="eastAsia" w:ascii="宋体" w:hAnsi="宋体" w:cs="Microsoft New Tai Lue"/>
                <w:color w:val="auto"/>
                <w:szCs w:val="21"/>
                <w:highlight w:val="none"/>
              </w:rPr>
              <w:t xml:space="preserve">的</w:t>
            </w:r>
            <w:r/>
          </w:p>
          <w:p>
            <w:pPr>
              <w:pStyle w:val="1249"/>
              <w:jc w:val="left"/>
              <w:rPr>
                <w:rFonts w:hAnsi="宋体" w:cs="Microsoft New Tai Lue"/>
                <w:color w:val="auto"/>
                <w:sz w:val="21"/>
                <w:highlight w:val="none"/>
              </w:rPr>
            </w:pPr>
            <w:r>
              <w:rPr>
                <w:rFonts w:hAnsi="宋体" w:cs="Microsoft New Tai Lue"/>
                <w:color w:val="auto"/>
                <w:highlight w:val="none"/>
              </w:rPr>
              <w:t xml:space="preserve">质疑</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宋体"/>
                <w:bCs/>
                <w:color w:val="auto"/>
                <w:sz w:val="21"/>
                <w:highlight w:val="none"/>
              </w:rPr>
              <w:t xml:space="preserve">形式</w:t>
            </w:r>
            <w:r>
              <w:rPr>
                <w:rFonts w:hint="eastAsia" w:hAnsi="宋体" w:cs="宋体"/>
                <w:bCs/>
                <w:color w:val="auto"/>
                <w:sz w:val="21"/>
                <w:highlight w:val="none"/>
              </w:rPr>
              <w:t xml:space="preserve">：</w:t>
            </w:r>
            <w:r>
              <w:rPr>
                <w:rFonts w:hint="eastAsia" w:hAnsi="宋体" w:cs="宋体"/>
                <w:bCs/>
                <w:color w:val="auto"/>
                <w:sz w:val="21"/>
                <w:highlight w:val="none"/>
              </w:rPr>
              <w:t xml:space="preserve">以书面形式通知采购人或采购代理机构。如采用邮件形式（盖章扫描件及WPS兼容格式文件发至</w:t>
            </w:r>
            <w:r>
              <w:rPr>
                <w:rFonts w:hint="eastAsia" w:hAnsi="宋体" w:cs="宋体"/>
                <w:bCs/>
                <w:color w:val="auto"/>
                <w:sz w:val="21"/>
                <w:highlight w:val="none"/>
                <w:u w:val="single"/>
                <w:lang w:val="en-US" w:eastAsia="zh-CN"/>
              </w:rPr>
              <w:t xml:space="preserve">1471877175</w:t>
            </w:r>
            <w:r>
              <w:rPr>
                <w:rFonts w:hint="eastAsia" w:hAnsi="宋体" w:cs="宋体"/>
                <w:bCs/>
                <w:color w:val="auto"/>
                <w:sz w:val="21"/>
                <w:highlight w:val="none"/>
                <w:u w:val="single"/>
              </w:rPr>
              <w:t xml:space="preserve">@qq.com</w:t>
            </w:r>
            <w:r>
              <w:rPr>
                <w:rFonts w:hint="eastAsia" w:hAnsi="宋体" w:cs="宋体"/>
                <w:bCs/>
                <w:color w:val="auto"/>
                <w:sz w:val="21"/>
                <w:highlight w:val="none"/>
              </w:rPr>
              <w:t xml:space="preserve">_邮箱）通知，采购人或采购代理机构将以邮件形式进行答复。</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代理服务费</w:t>
            </w:r>
            <w:r/>
          </w:p>
        </w:tc>
        <w:tc>
          <w:tcPr>
            <w:tcW w:w="4982" w:type="dxa"/>
            <w:vAlign w:val="center"/>
            <w:textDirection w:val="lrTb"/>
            <w:noWrap w:val="false"/>
          </w:tcPr>
          <w:p>
            <w:pPr>
              <w:pStyle w:val="1177"/>
              <w:spacing w:line="360" w:lineRule="auto"/>
              <w:rPr>
                <w:rFonts w:hAnsi="宋体" w:eastAsia="宋体" w:cs="Microsoft New Tai Lue"/>
                <w:bCs/>
                <w:color w:val="auto"/>
                <w:highlight w:val="none"/>
                <w:lang w:val="en-US" w:eastAsia="zh-CN"/>
              </w:rPr>
            </w:pPr>
            <w:r>
              <w:rPr>
                <w:rFonts w:hAnsi="宋体" w:eastAsia="宋体" w:cs="Microsoft New Tai Lue"/>
                <w:bCs/>
                <w:color w:val="auto"/>
                <w:highlight w:val="none"/>
                <w:lang w:val="en-US" w:eastAsia="zh-CN"/>
              </w:rPr>
              <w:t xml:space="preserve">中标人在领取内，按计价格(2002)1980号文服务类的47%，向采购代理机构支付代理服务费。采购代理机构在收到代理服务费后向成交供应商开具等额的服务费发票。</w:t>
            </w:r>
            <w:r/>
          </w:p>
        </w:tc>
      </w:tr>
      <w:tr>
        <w:trPr>
          <w:jc w:val="center"/>
          <w:trHeight w:val="656"/>
        </w:trPr>
        <w:tc>
          <w:tcPr>
            <w:tcW w:w="675" w:type="dxa"/>
            <w:vAlign w:val="center"/>
            <w:vMerge w:val="restart"/>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2835" w:type="dxa"/>
            <w:vAlign w:val="center"/>
            <w:vMerge w:val="restart"/>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1177"/>
              <w:spacing w:line="360" w:lineRule="auto"/>
              <w:rPr>
                <w:rFonts w:hint="eastAsia" w:hAnsi="宋体" w:cs="Microsoft New Tai Lue"/>
                <w:bCs/>
                <w:color w:val="auto"/>
                <w:sz w:val="21"/>
                <w:szCs w:val="21"/>
                <w:highlight w:val="none"/>
                <w:lang w:val="en-US" w:eastAsia="zh-CN"/>
              </w:rPr>
            </w:pPr>
            <w:r>
              <w:rPr>
                <w:rFonts w:hint="eastAsia" w:hAnsi="宋体" w:cs="Microsoft New Tai Lue"/>
                <w:color w:val="auto"/>
                <w:highlight w:val="none"/>
                <w:lang w:val="en-US" w:eastAsia="zh-CN"/>
              </w:rPr>
              <w:t xml:space="preserve">采购项目类型：服务</w:t>
            </w:r>
            <w:r/>
          </w:p>
        </w:tc>
      </w:tr>
      <w:tr>
        <w:trPr>
          <w:jc w:val="center"/>
          <w:trHeight w:val="656"/>
        </w:trPr>
        <w:tc>
          <w:tcPr>
            <w:tcW w:w="675" w:type="dxa"/>
            <w:vAlign w:val="top"/>
            <w:vMerge w:val="continue"/>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r>
            <w:r/>
          </w:p>
        </w:tc>
        <w:tc>
          <w:tcPr>
            <w:tcW w:w="2835" w:type="dxa"/>
            <w:vAlign w:val="top"/>
            <w:vMerge w:val="continue"/>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spacing w:line="360" w:lineRule="auto"/>
              <w:rPr>
                <w:rFonts w:hint="eastAsia" w:hAnsi="宋体" w:cs="Microsoft New Tai Lue"/>
                <w:bCs/>
                <w:color w:val="auto"/>
                <w:sz w:val="21"/>
                <w:szCs w:val="21"/>
                <w:highlight w:val="none"/>
                <w:lang w:val="en-US" w:eastAsia="zh-CN"/>
              </w:rPr>
            </w:pPr>
            <w:r>
              <w:rPr>
                <w:rFonts w:hint="eastAsia"/>
                <w:color w:val="auto"/>
                <w:highlight w:val="none"/>
                <w:lang w:val="en-US" w:eastAsia="zh-CN"/>
              </w:rPr>
              <w:t xml:space="preserve">标的对应的中小企业划分标准所属行业：</w:t>
            </w:r>
            <w:r>
              <w:rPr>
                <w:rFonts w:hint="eastAsia" w:ascii="宋体" w:hAnsi="宋体" w:cs="宋体"/>
                <w:b/>
                <w:bCs/>
                <w:color w:val="auto"/>
                <w:szCs w:val="21"/>
                <w:highlight w:val="none"/>
              </w:rPr>
              <w:t xml:space="preserve">租赁和商务服务业</w:t>
            </w:r>
            <w:r/>
          </w:p>
        </w:tc>
      </w:tr>
      <w:tr>
        <w:trPr>
          <w:jc w:val="center"/>
          <w:trHeight w:val="656"/>
        </w:trPr>
        <w:tc>
          <w:tcPr>
            <w:tcW w:w="675" w:type="dxa"/>
            <w:vAlign w:val="top"/>
            <w:vMerge w:val="continue"/>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r>
            <w:r/>
          </w:p>
        </w:tc>
        <w:tc>
          <w:tcPr>
            <w:tcW w:w="2835" w:type="dxa"/>
            <w:vAlign w:val="top"/>
            <w:vMerge w:val="continue"/>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1249"/>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top"/>
            <w:vMerge w:val="continue"/>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r>
            <w:r/>
          </w:p>
        </w:tc>
        <w:tc>
          <w:tcPr>
            <w:tcW w:w="2835" w:type="dxa"/>
            <w:vAlign w:val="top"/>
            <w:vMerge w:val="continue"/>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异常低价处理：</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（一）采购评审中出现下列情形之一的，评审委员会应当启动异常低价投标（响应）审查程序：</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1.投标（响应）报价低于全部通过符合性审查投标人投标（响应）报价平均值50%的，即投标（响应）报价&lt;全部通过符合性审查投标人投标（响应）报价平均值×50%；</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2.投标（响应）报价低于通过符合性审查的次低报价投标人投标（响应）报价50%的，即投标（响应）报价&lt;通过符合性审查的次低报价投标人投标（响应）报价×50%；</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4.评审委员会基于专业判断，认为投标人报价过低，有可能影响产品质量或者不能诚信履约的其他情形。</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二）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pStyle w:val="1249"/>
              <w:spacing w:line="360" w:lineRule="auto"/>
              <w:rPr>
                <w:rFonts w:hint="eastAsia" w:hAnsi="宋体" w:cs="Microsoft New Tai Lue"/>
                <w:b/>
                <w:bCs w:val="0"/>
                <w:color w:val="auto"/>
                <w:sz w:val="21"/>
                <w:highlight w:val="none"/>
              </w:rPr>
            </w:pPr>
            <w:r>
              <w:rPr>
                <w:rFonts w:hint="eastAsia" w:hAnsi="宋体" w:cs="Microsoft New Tai Lue"/>
                <w:b w:val="0"/>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177"/>
        <w:spacing w:line="360" w:lineRule="auto"/>
        <w:rPr>
          <w:rFonts w:ascii="Microsoft New Tai Lue" w:hAnsi="Microsoft New Tai Lue" w:cs="Microsoft New Tai Lue"/>
          <w:b/>
          <w:bCs/>
          <w:color w:val="auto"/>
          <w:spacing w:val="100"/>
          <w:sz w:val="72"/>
          <w:highlight w:val="none"/>
        </w:rPr>
        <w:sectPr>
          <w:footerReference w:type="default" r:id="rId13"/>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bCs/>
          <w:color w:val="auto"/>
          <w:spacing w:val="100"/>
          <w:sz w:val="72"/>
          <w:highlight w:val="none"/>
        </w:rPr>
      </w:r>
      <w:r/>
    </w:p>
    <w:p>
      <w:pPr>
        <w:pStyle w:val="1204"/>
        <w:rPr>
          <w:rFonts w:ascii="Microsoft New Tai Lue" w:hAnsi="Microsoft New Tai Lue" w:cs="Microsoft New Tai Lue"/>
          <w:color w:val="auto"/>
          <w:highlight w:val="none"/>
        </w:rPr>
      </w:pPr>
      <w:r/>
      <w:bookmarkStart w:id="26" w:name="_Toc104560837"/>
      <w:r/>
      <w:bookmarkStart w:id="27" w:name="_Toc100905199"/>
      <w:r/>
      <w:bookmarkStart w:id="28" w:name="_Toc107246213"/>
      <w:r/>
      <w:bookmarkStart w:id="29" w:name="_Toc11319"/>
      <w:r/>
      <w:bookmarkStart w:id="30" w:name="_Toc103848526"/>
      <w:r>
        <w:rPr>
          <w:rFonts w:ascii="Microsoft New Tai Lue" w:hAnsi="Microsoft New Tai Lue" w:cs="Microsoft New Tai Lue"/>
          <w:color w:val="auto"/>
          <w:highlight w:val="none"/>
        </w:rPr>
        <w:t xml:space="preserve">供应商须知</w:t>
      </w:r>
      <w:bookmarkEnd w:id="26"/>
      <w:r/>
      <w:bookmarkEnd w:id="27"/>
      <w:r/>
      <w:bookmarkEnd w:id="28"/>
      <w:r/>
      <w:bookmarkEnd w:id="29"/>
      <w:r/>
      <w:bookmarkEnd w:id="30"/>
      <w:r/>
      <w:r/>
    </w:p>
    <w:p>
      <w:pPr>
        <w:pStyle w:val="1149"/>
        <w:ind w:right="210"/>
        <w:spacing w:line="360" w:lineRule="auto"/>
        <w:rPr>
          <w:rFonts w:ascii="Microsoft New Tai Lue" w:hAnsi="Microsoft New Tai Lue" w:cs="Microsoft New Tai Lue"/>
          <w:color w:val="auto"/>
          <w:highlight w:val="none"/>
        </w:rPr>
      </w:pPr>
      <w:r/>
      <w:bookmarkStart w:id="31" w:name="_Toc80264706"/>
      <w:r/>
      <w:bookmarkStart w:id="32" w:name="_Toc29572"/>
      <w:r/>
      <w:bookmarkStart w:id="33" w:name="_Toc107246214"/>
      <w:r>
        <w:rPr>
          <w:rFonts w:ascii="Microsoft New Tai Lue" w:hAnsi="Microsoft New Tai Lue" w:cs="Microsoft New Tai Lue"/>
          <w:color w:val="auto"/>
          <w:highlight w:val="none"/>
        </w:rPr>
        <w:t xml:space="preserve">一．</w:t>
      </w:r>
      <w:bookmarkEnd w:id="31"/>
      <w:r>
        <w:rPr>
          <w:rFonts w:ascii="Microsoft New Tai Lue" w:hAnsi="Microsoft New Tai Lue" w:cs="Microsoft New Tai Lue"/>
          <w:color w:val="auto"/>
          <w:highlight w:val="none"/>
        </w:rPr>
        <w:t xml:space="preserve">总则</w:t>
      </w:r>
      <w:bookmarkEnd w:id="32"/>
      <w:r/>
      <w:bookmarkEnd w:id="33"/>
      <w:r/>
      <w:r/>
    </w:p>
    <w:p>
      <w:pPr>
        <w:pStyle w:val="1149"/>
        <w:ind w:right="210"/>
        <w:spacing w:line="360" w:lineRule="auto"/>
        <w:rPr>
          <w:rFonts w:ascii="Microsoft New Tai Lue" w:hAnsi="Microsoft New Tai Lue" w:cs="Microsoft New Tai Lue"/>
          <w:color w:val="auto"/>
          <w:highlight w:val="none"/>
        </w:rPr>
      </w:pPr>
      <w:r/>
      <w:bookmarkStart w:id="34" w:name="_Toc104560839"/>
      <w:r/>
      <w:bookmarkStart w:id="35" w:name="_Toc213"/>
      <w:r/>
      <w:bookmarkStart w:id="36" w:name="_Toc100905201"/>
      <w:r/>
      <w:bookmarkStart w:id="37" w:name="_Toc107246215"/>
      <w:r/>
      <w:bookmarkStart w:id="38" w:name="_Toc96347862"/>
      <w:r/>
      <w:bookmarkStart w:id="39" w:name="_Toc103848528"/>
      <w:r>
        <w:rPr>
          <w:rFonts w:ascii="Microsoft New Tai Lue" w:hAnsi="Microsoft New Tai Lue" w:cs="Microsoft New Tai Lue"/>
          <w:color w:val="auto"/>
          <w:highlight w:val="none"/>
        </w:rPr>
        <w:t xml:space="preserve">1.采购方式</w:t>
      </w:r>
      <w:bookmarkEnd w:id="34"/>
      <w:r/>
      <w:bookmarkEnd w:id="35"/>
      <w:r/>
      <w:bookmarkEnd w:id="36"/>
      <w:r/>
      <w:bookmarkEnd w:id="37"/>
      <w:r/>
      <w:bookmarkEnd w:id="38"/>
      <w:r/>
      <w:bookmarkEnd w:id="39"/>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采取</w:t>
      </w:r>
      <w:r>
        <w:rPr>
          <w:rFonts w:hint="eastAsia" w:ascii="Microsoft New Tai Lue" w:hAnsi="Microsoft New Tai Lue" w:cs="Microsoft New Tai Lue"/>
          <w:color w:val="auto"/>
          <w:szCs w:val="21"/>
          <w:highlight w:val="none"/>
        </w:rPr>
        <w:t xml:space="preserve">竞争性磋商采购</w:t>
      </w:r>
      <w:r>
        <w:rPr>
          <w:rFonts w:ascii="Microsoft New Tai Lue" w:hAnsi="Microsoft New Tai Lue" w:cs="Microsoft New Tai Lue"/>
          <w:color w:val="auto"/>
          <w:szCs w:val="21"/>
          <w:highlight w:val="none"/>
        </w:rPr>
        <w:t xml:space="preserve">方式，本磋商文件仅适用于</w:t>
      </w:r>
      <w:r>
        <w:rPr>
          <w:rFonts w:hint="eastAsia" w:ascii="Microsoft New Tai Lue" w:hAnsi="Microsoft New Tai Lue" w:cs="Microsoft New Tai Lue"/>
          <w:color w:val="auto"/>
          <w:szCs w:val="21"/>
          <w:highlight w:val="none"/>
        </w:rPr>
        <w:t xml:space="preserve">竞争性磋商公告</w:t>
      </w:r>
      <w:r>
        <w:rPr>
          <w:rFonts w:ascii="Microsoft New Tai Lue" w:hAnsi="Microsoft New Tai Lue" w:cs="Microsoft New Tai Lue"/>
          <w:color w:val="auto"/>
          <w:szCs w:val="21"/>
          <w:highlight w:val="none"/>
        </w:rPr>
        <w:t xml:space="preserve">中所述项目。</w:t>
      </w:r>
      <w:r/>
    </w:p>
    <w:p>
      <w:pPr>
        <w:pStyle w:val="1149"/>
        <w:ind w:right="210"/>
        <w:spacing w:line="360" w:lineRule="auto"/>
        <w:rPr>
          <w:rFonts w:ascii="Microsoft New Tai Lue" w:hAnsi="Microsoft New Tai Lue" w:cs="Microsoft New Tai Lue"/>
          <w:color w:val="auto"/>
          <w:highlight w:val="none"/>
        </w:rPr>
      </w:pPr>
      <w:r/>
      <w:bookmarkStart w:id="40" w:name="_Toc104560840"/>
      <w:r/>
      <w:bookmarkStart w:id="41" w:name="_Toc107246216"/>
      <w:r/>
      <w:bookmarkStart w:id="42" w:name="_Toc96347863"/>
      <w:r/>
      <w:bookmarkStart w:id="43" w:name="_Toc103848529"/>
      <w:r/>
      <w:bookmarkStart w:id="44" w:name="_Toc17958"/>
      <w:r/>
      <w:bookmarkStart w:id="45" w:name="_Toc100905202"/>
      <w:r>
        <w:rPr>
          <w:rFonts w:ascii="Microsoft New Tai Lue" w:hAnsi="Microsoft New Tai Lue" w:cs="Microsoft New Tai Lue"/>
          <w:color w:val="auto"/>
          <w:highlight w:val="none"/>
        </w:rPr>
        <w:t xml:space="preserve">2.定义</w:t>
      </w:r>
      <w:bookmarkEnd w:id="40"/>
      <w:r/>
      <w:bookmarkEnd w:id="41"/>
      <w:r/>
      <w:bookmarkEnd w:id="42"/>
      <w:r/>
      <w:bookmarkEnd w:id="43"/>
      <w:r/>
      <w:bookmarkEnd w:id="44"/>
      <w:r/>
      <w:bookmarkEnd w:id="45"/>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成交供应商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w:t>
      </w:r>
      <w:r>
        <w:rPr>
          <w:rFonts w:hint="eastAsia" w:ascii="Microsoft New Tai Lue" w:hAnsi="Microsoft New Tai Lue" w:cs="Microsoft New Tai Lue"/>
          <w:color w:val="auto"/>
          <w:szCs w:val="21"/>
          <w:highlight w:val="none"/>
        </w:rPr>
        <w:t xml:space="preserve">响应</w:t>
      </w:r>
      <w:r>
        <w:rPr>
          <w:rFonts w:ascii="Microsoft New Tai Lue" w:hAnsi="Microsoft New Tai Lue" w:cs="Microsoft New Tai Lue"/>
          <w:color w:val="auto"/>
          <w:szCs w:val="21"/>
          <w:highlight w:val="none"/>
        </w:rPr>
        <w:t xml:space="preserve">过程中获得采购项目合同签订资格的供应商。成交供应商是由专家经过评审后推荐并经采购人确认的。</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“评审专家”</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1149"/>
        <w:ind w:right="210"/>
        <w:spacing w:line="360" w:lineRule="auto"/>
        <w:rPr>
          <w:rFonts w:ascii="Microsoft New Tai Lue" w:hAnsi="Microsoft New Tai Lue" w:cs="Microsoft New Tai Lue"/>
          <w:color w:val="auto"/>
          <w:highlight w:val="none"/>
        </w:rPr>
      </w:pPr>
      <w:r/>
      <w:bookmarkStart w:id="46" w:name="_Toc103848530"/>
      <w:r/>
      <w:bookmarkStart w:id="47" w:name="_Toc96347864"/>
      <w:r/>
      <w:bookmarkStart w:id="48" w:name="_Toc100905203"/>
      <w:r/>
      <w:bookmarkStart w:id="49" w:name="_Toc104560841"/>
      <w:r/>
      <w:bookmarkStart w:id="50" w:name="_Toc107246217"/>
      <w:r/>
      <w:bookmarkStart w:id="51" w:name="_Toc10646"/>
      <w:r>
        <w:rPr>
          <w:rFonts w:ascii="Microsoft New Tai Lue" w:hAnsi="Microsoft New Tai Lue" w:cs="Microsoft New Tai Lue"/>
          <w:color w:val="auto"/>
          <w:highlight w:val="none"/>
        </w:rPr>
        <w:t xml:space="preserve">3.适用法律</w:t>
      </w:r>
      <w:bookmarkEnd w:id="46"/>
      <w:r/>
      <w:bookmarkEnd w:id="47"/>
      <w:r/>
      <w:bookmarkEnd w:id="48"/>
      <w:r/>
      <w:bookmarkEnd w:id="49"/>
      <w:r/>
      <w:bookmarkEnd w:id="50"/>
      <w:r/>
      <w:bookmarkEnd w:id="51"/>
      <w:r/>
      <w:r/>
    </w:p>
    <w:p>
      <w:pPr>
        <w:ind w:firstLine="420"/>
        <w:spacing w:before="143" w:line="360" w:lineRule="auto"/>
        <w:rPr>
          <w:rFonts w:ascii="Microsoft New Tai Lue" w:hAnsi="Microsoft New Tai Lue" w:cs="Microsoft New Tai Lue"/>
          <w:color w:val="auto"/>
          <w:szCs w:val="21"/>
          <w:highlight w:val="none"/>
        </w:rPr>
      </w:pPr>
      <w:r/>
      <w:bookmarkStart w:id="52" w:name="_Toc100905204"/>
      <w:r>
        <w:rPr>
          <w:rFonts w:ascii="Microsoft New Tai Lue" w:hAnsi="Microsoft New Tai Lue" w:cs="Microsoft New Tai Lue"/>
          <w:color w:val="auto"/>
          <w:szCs w:val="21"/>
          <w:highlight w:val="none"/>
        </w:rPr>
        <w:t xml:space="preserve">3.1本次</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适用《中华人民共和国</w:t>
      </w:r>
      <w:r>
        <w:rPr>
          <w:rFonts w:hint="eastAsia" w:ascii="Microsoft New Tai Lue" w:hAnsi="Microsoft New Tai Lue" w:cs="Microsoft New Tai Lue"/>
          <w:color w:val="auto"/>
          <w:szCs w:val="21"/>
          <w:highlight w:val="none"/>
          <w:lang w:val="en-US" w:eastAsia="zh-CN"/>
        </w:rPr>
        <w:t xml:space="preserve">政府采购法</w:t>
      </w:r>
      <w:r>
        <w:rPr>
          <w:rFonts w:ascii="Microsoft New Tai Lue" w:hAnsi="Microsoft New Tai Lue" w:cs="Microsoft New Tai Lue"/>
          <w:color w:val="auto"/>
          <w:szCs w:val="21"/>
          <w:highlight w:val="none"/>
        </w:rPr>
        <w:t xml:space="preserve">》等法律、行政法规、部门规章和规范性文件。</w:t>
      </w:r>
      <w:r/>
    </w:p>
    <w:p>
      <w:pPr>
        <w:pStyle w:val="1149"/>
        <w:ind w:right="210"/>
        <w:spacing w:line="360" w:lineRule="auto"/>
        <w:rPr>
          <w:rFonts w:hint="eastAsia" w:ascii="Microsoft New Tai Lue" w:hAnsi="Microsoft New Tai Lue" w:cs="Microsoft New Tai Lue"/>
          <w:color w:val="auto"/>
          <w:szCs w:val="21"/>
          <w:highlight w:val="none"/>
        </w:rPr>
      </w:pPr>
      <w:r/>
      <w:bookmarkStart w:id="53" w:name="_Toc103848531"/>
      <w:r/>
      <w:bookmarkStart w:id="54" w:name="_Toc13203"/>
      <w:r/>
      <w:bookmarkStart w:id="55" w:name="_Toc107246218"/>
      <w:r/>
      <w:bookmarkStart w:id="56" w:name="_Toc104560842"/>
      <w:r>
        <w:rPr>
          <w:rFonts w:ascii="Microsoft New Tai Lue" w:hAnsi="Microsoft New Tai Lue" w:cs="Microsoft New Tai Lue"/>
          <w:color w:val="auto"/>
          <w:highlight w:val="none"/>
        </w:rPr>
        <w:t xml:space="preserve">4.</w:t>
      </w:r>
      <w:bookmarkEnd w:id="53"/>
      <w:r>
        <w:rPr>
          <w:rFonts w:hint="eastAsia" w:ascii="Microsoft New Tai Lue" w:hAnsi="Microsoft New Tai Lue" w:cs="Microsoft New Tai Lue"/>
          <w:color w:val="auto"/>
          <w:highlight w:val="none"/>
        </w:rPr>
        <w:t xml:space="preserve">采购政策</w:t>
      </w:r>
      <w:bookmarkEnd w:id="54"/>
      <w:r/>
      <w:bookmarkEnd w:id="55"/>
      <w:r/>
      <w:bookmarkEnd w:id="56"/>
      <w:r/>
      <w:bookmarkEnd w:id="52"/>
      <w:r/>
      <w:r/>
    </w:p>
    <w:p>
      <w:pPr>
        <w:pStyle w:val="1149"/>
        <w:ind w:right="210"/>
        <w:spacing w:line="360" w:lineRule="auto"/>
        <w:rPr>
          <w:rFonts w:ascii="Microsoft New Tai Lue" w:hAnsi="Microsoft New Tai Lue" w:cs="Microsoft New Tai Lue"/>
          <w:color w:val="auto"/>
          <w:highlight w:val="none"/>
        </w:rPr>
      </w:pPr>
      <w:r/>
      <w:bookmarkStart w:id="57" w:name="_Toc104560843"/>
      <w:r/>
      <w:bookmarkStart w:id="58" w:name="_Toc19810"/>
      <w:r/>
      <w:bookmarkStart w:id="59" w:name="_Toc107246219"/>
      <w:r/>
      <w:bookmarkStart w:id="60" w:name="_Toc96347865"/>
      <w:r/>
      <w:bookmarkStart w:id="61" w:name="_Toc103848532"/>
      <w:r/>
      <w:bookmarkStart w:id="62" w:name="_Toc100905205"/>
      <w:r>
        <w:rPr>
          <w:rFonts w:ascii="Microsoft New Tai Lue" w:hAnsi="Microsoft New Tai Lue" w:cs="Microsoft New Tai Lue"/>
          <w:color w:val="auto"/>
          <w:highlight w:val="none"/>
        </w:rPr>
        <w:t xml:space="preserve">5.相关费用</w:t>
      </w:r>
      <w:bookmarkEnd w:id="57"/>
      <w:r/>
      <w:bookmarkEnd w:id="58"/>
      <w:r/>
      <w:bookmarkEnd w:id="59"/>
      <w:r/>
      <w:bookmarkEnd w:id="60"/>
      <w:r/>
      <w:bookmarkEnd w:id="61"/>
      <w:r/>
      <w:bookmarkEnd w:id="62"/>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3" w:name="_Toc80264707"/>
      <w:r>
        <w:rPr>
          <w:rFonts w:ascii="Microsoft New Tai Lue" w:hAnsi="Microsoft New Tai Lue" w:cs="Microsoft New Tai Lue"/>
          <w:color w:val="auto"/>
          <w:szCs w:val="21"/>
          <w:highlight w:val="none"/>
        </w:rPr>
        <w:t xml:space="preserve">参加</w:t>
      </w:r>
      <w:r>
        <w:rPr>
          <w:rFonts w:hint="eastAsia" w:ascii="Microsoft New Tai Lue" w:hAnsi="Microsoft New Tai Lue" w:cs="Microsoft New Tai Lue"/>
          <w:color w:val="auto"/>
          <w:szCs w:val="21"/>
          <w:highlight w:val="none"/>
        </w:rPr>
        <w:t xml:space="preserve">磋商活动的供应商</w:t>
      </w:r>
      <w:r>
        <w:rPr>
          <w:rFonts w:ascii="Microsoft New Tai Lue" w:hAnsi="Microsoft New Tai Lue" w:cs="Microsoft New Tai Lue"/>
          <w:color w:val="auto"/>
          <w:szCs w:val="21"/>
          <w:highlight w:val="none"/>
        </w:rPr>
        <w:t xml:space="preserve">应自行承担所有与参加</w:t>
      </w:r>
      <w:r>
        <w:rPr>
          <w:rFonts w:hint="eastAsia" w:ascii="Microsoft New Tai Lue" w:hAnsi="Microsoft New Tai Lue" w:cs="Microsoft New Tai Lue"/>
          <w:color w:val="auto"/>
          <w:szCs w:val="21"/>
          <w:highlight w:val="none"/>
        </w:rPr>
        <w:t xml:space="preserve">磋商</w:t>
      </w:r>
      <w:r>
        <w:rPr>
          <w:rFonts w:ascii="Microsoft New Tai Lue" w:hAnsi="Microsoft New Tai Lue" w:cs="Microsoft New Tai Lue"/>
          <w:color w:val="auto"/>
          <w:szCs w:val="21"/>
          <w:highlight w:val="none"/>
        </w:rPr>
        <w:t xml:space="preserve">有关的费用。</w:t>
      </w:r>
      <w:r/>
    </w:p>
    <w:p>
      <w:pPr>
        <w:pStyle w:val="1149"/>
        <w:ind w:right="210"/>
        <w:spacing w:line="360" w:lineRule="auto"/>
        <w:rPr>
          <w:rFonts w:ascii="Microsoft New Tai Lue" w:hAnsi="Microsoft New Tai Lue" w:cs="Microsoft New Tai Lue"/>
          <w:color w:val="auto"/>
          <w:highlight w:val="none"/>
        </w:rPr>
      </w:pPr>
      <w:r/>
      <w:bookmarkStart w:id="64" w:name="_Toc100905206"/>
      <w:r/>
      <w:bookmarkStart w:id="65" w:name="_Toc104560844"/>
      <w:r/>
      <w:bookmarkStart w:id="66" w:name="_Toc6797"/>
      <w:r/>
      <w:bookmarkStart w:id="67" w:name="_Toc96347866"/>
      <w:r/>
      <w:bookmarkStart w:id="68" w:name="_Toc107246220"/>
      <w:r/>
      <w:bookmarkStart w:id="69" w:name="_Toc103848533"/>
      <w:r>
        <w:rPr>
          <w:rFonts w:ascii="Microsoft New Tai Lue" w:hAnsi="Microsoft New Tai Lue" w:cs="Microsoft New Tai Lue"/>
          <w:color w:val="auto"/>
          <w:highlight w:val="none"/>
        </w:rPr>
        <w:t xml:space="preserve">6.保密</w:t>
      </w:r>
      <w:bookmarkEnd w:id="64"/>
      <w:r/>
      <w:bookmarkEnd w:id="65"/>
      <w:r/>
      <w:bookmarkEnd w:id="66"/>
      <w:r/>
      <w:bookmarkEnd w:id="67"/>
      <w:r/>
      <w:bookmarkEnd w:id="68"/>
      <w:r/>
      <w:bookmarkEnd w:id="69"/>
      <w:r/>
      <w:r/>
    </w:p>
    <w:p>
      <w:pPr>
        <w:ind w:firstLine="420"/>
        <w:spacing w:before="143" w:line="360" w:lineRule="auto"/>
        <w:rPr>
          <w:rFonts w:ascii="Microsoft New Tai Lue" w:hAnsi="Microsoft New Tai Lue" w:cs="Microsoft New Tai Lue"/>
          <w:color w:val="auto"/>
          <w:szCs w:val="21"/>
          <w:highlight w:val="none"/>
        </w:rPr>
      </w:pPr>
      <w:r/>
      <w:bookmarkStart w:id="70" w:name="_Toc96347867"/>
      <w:r/>
      <w:bookmarkStart w:id="71" w:name="_Toc100905207"/>
      <w:r>
        <w:rPr>
          <w:rFonts w:ascii="Microsoft New Tai Lue" w:hAnsi="Microsoft New Tai Lue" w:cs="Microsoft New Tai Lue"/>
          <w:color w:val="auto"/>
          <w:szCs w:val="21"/>
          <w:highlight w:val="none"/>
        </w:rPr>
        <w:t xml:space="preserve">6.1本磋商文件所包含的信息属于保密信息，</w:t>
      </w:r>
      <w:r>
        <w:rPr>
          <w:rFonts w:hint="eastAsia" w:ascii="Microsoft New Tai Lue" w:hAnsi="Microsoft New Tai Lue" w:cs="Microsoft New Tai Lue"/>
          <w:color w:val="auto"/>
          <w:szCs w:val="21"/>
          <w:highlight w:val="none"/>
        </w:rPr>
        <w:t xml:space="preserve">采购方应当按照相关法律法规的规定组织开展竞争性磋商，并采取必要措施，保证磋商在严格保密的情况下进行。任何单位和个人不得非法干预、影响磋商过程和结果。</w:t>
      </w:r>
      <w:r>
        <w:rPr>
          <w:rFonts w:ascii="Microsoft New Tai Lue" w:hAnsi="Microsoft New Tai Lue" w:cs="Microsoft New Tai Lue"/>
          <w:color w:val="auto"/>
          <w:szCs w:val="21"/>
          <w:highlight w:val="none"/>
        </w:rPr>
        <w:t xml:space="preserve">获取磋商文件的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被视为无条件对本磋商文件的内容负有保密义务。</w:t>
      </w:r>
      <w:r/>
    </w:p>
    <w:p>
      <w:pPr>
        <w:pStyle w:val="1149"/>
        <w:ind w:right="210"/>
        <w:spacing w:line="360" w:lineRule="auto"/>
        <w:rPr>
          <w:rFonts w:ascii="Microsoft New Tai Lue" w:hAnsi="Microsoft New Tai Lue" w:cs="Microsoft New Tai Lue"/>
          <w:color w:val="auto"/>
          <w:highlight w:val="none"/>
        </w:rPr>
      </w:pPr>
      <w:r/>
      <w:bookmarkStart w:id="72" w:name="_Toc23922"/>
      <w:r/>
      <w:bookmarkStart w:id="73" w:name="_Toc103848534"/>
      <w:r/>
      <w:bookmarkStart w:id="74" w:name="_Toc104560845"/>
      <w:r/>
      <w:bookmarkStart w:id="75" w:name="_Toc107246221"/>
      <w:r>
        <w:rPr>
          <w:rFonts w:ascii="Microsoft New Tai Lue" w:hAnsi="Microsoft New Tai Lue" w:cs="Microsoft New Tai Lue"/>
          <w:color w:val="auto"/>
          <w:highlight w:val="none"/>
        </w:rPr>
        <w:t xml:space="preserve">7.语言文字、计量单位</w:t>
      </w:r>
      <w:bookmarkEnd w:id="70"/>
      <w:r/>
      <w:bookmarkEnd w:id="71"/>
      <w:r/>
      <w:bookmarkEnd w:id="72"/>
      <w:r/>
      <w:bookmarkEnd w:id="73"/>
      <w:r/>
      <w:bookmarkEnd w:id="74"/>
      <w:r/>
      <w:bookmarkEnd w:id="75"/>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w:t>
      </w:r>
      <w:r>
        <w:rPr>
          <w:rFonts w:hint="eastAsia" w:ascii="Microsoft New Tai Lue" w:hAnsi="Microsoft New Tai Lue" w:cs="Microsoft New Tai Lue"/>
          <w:color w:val="auto"/>
          <w:szCs w:val="21"/>
          <w:highlight w:val="none"/>
        </w:rPr>
        <w:t xml:space="preserve">所有文件使用的语言文字为中文。相关当事人提供外文书证或者外国语视听资料的，应当附有中文译本，由翻译机构盖章或者翻译人员签名。</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7.2所有文件中的计量单位，除磋商文件有特殊要求外，应采用国家法定计量单位。</w:t>
      </w:r>
      <w:r/>
    </w:p>
    <w:p>
      <w:pPr>
        <w:pStyle w:val="1149"/>
        <w:ind w:right="210"/>
        <w:spacing w:line="360" w:lineRule="auto"/>
        <w:rPr>
          <w:rFonts w:ascii="Microsoft New Tai Lue" w:hAnsi="Microsoft New Tai Lue" w:cs="Microsoft New Tai Lue"/>
          <w:color w:val="auto"/>
          <w:highlight w:val="none"/>
        </w:rPr>
      </w:pPr>
      <w:r/>
      <w:bookmarkStart w:id="76" w:name="_Toc100905208"/>
      <w:r/>
      <w:bookmarkStart w:id="77" w:name="_Toc104560846"/>
      <w:r/>
      <w:bookmarkStart w:id="78" w:name="_Toc26370"/>
      <w:r/>
      <w:bookmarkStart w:id="79" w:name="_Toc103848535"/>
      <w:r/>
      <w:bookmarkStart w:id="80" w:name="_Toc107246222"/>
      <w:r/>
      <w:bookmarkStart w:id="81" w:name="_Toc96347868"/>
      <w:r>
        <w:rPr>
          <w:rFonts w:ascii="Microsoft New Tai Lue" w:hAnsi="Microsoft New Tai Lue" w:cs="Microsoft New Tai Lue"/>
          <w:color w:val="auto"/>
          <w:highlight w:val="none"/>
        </w:rPr>
        <w:t xml:space="preserve">8.现场考察</w:t>
      </w:r>
      <w:bookmarkEnd w:id="76"/>
      <w:r/>
      <w:bookmarkEnd w:id="77"/>
      <w:r/>
      <w:bookmarkEnd w:id="78"/>
      <w:r/>
      <w:bookmarkEnd w:id="79"/>
      <w:r/>
      <w:bookmarkEnd w:id="80"/>
      <w:r/>
      <w:bookmarkEnd w:id="81"/>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规定的时间、地点参加踏勘，以获得有关编制</w:t>
      </w:r>
      <w:r>
        <w:rPr>
          <w:rFonts w:hint="eastAsia"/>
          <w:color w:val="auto"/>
          <w:szCs w:val="21"/>
          <w:highlight w:val="none"/>
        </w:rPr>
        <w:t xml:space="preserve">响应文件</w:t>
      </w:r>
      <w:r>
        <w:rPr>
          <w:color w:val="auto"/>
          <w:szCs w:val="21"/>
          <w:highlight w:val="none"/>
        </w:rPr>
        <w:t xml:space="preserve">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响应文件</w:t>
      </w:r>
      <w:r>
        <w:rPr>
          <w:color w:val="auto"/>
          <w:szCs w:val="21"/>
          <w:highlight w:val="none"/>
        </w:rPr>
        <w:t xml:space="preserve">相关的</w:t>
      </w:r>
      <w:r>
        <w:rPr>
          <w:rFonts w:hint="eastAsia"/>
          <w:color w:val="auto"/>
          <w:szCs w:val="21"/>
          <w:highlight w:val="none"/>
        </w:rPr>
        <w:t xml:space="preserve">磋商</w:t>
      </w:r>
      <w:r>
        <w:rPr>
          <w:color w:val="auto"/>
          <w:szCs w:val="21"/>
          <w:highlight w:val="none"/>
        </w:rPr>
        <w:t xml:space="preserve">、签约、履约条件的，是供应商自身的风险，采购方对此不承担责任。</w:t>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磋商文件</w:t>
      </w:r>
      <w:r>
        <w:rPr>
          <w:color w:val="auto"/>
          <w:szCs w:val="21"/>
          <w:highlight w:val="none"/>
        </w:rPr>
        <w:t xml:space="preserve">不提供项目所在地的自然环境、气候条件、公用设施等情况，供应商被视为熟悉上述与履行合同有关的一切情况。</w:t>
      </w:r>
      <w:r/>
    </w:p>
    <w:p>
      <w:pPr>
        <w:pStyle w:val="1149"/>
        <w:ind w:right="210"/>
        <w:spacing w:line="360" w:lineRule="auto"/>
        <w:rPr>
          <w:color w:val="auto"/>
          <w:highlight w:val="none"/>
        </w:rPr>
      </w:pPr>
      <w:r/>
      <w:bookmarkStart w:id="82" w:name="_Toc102117275"/>
      <w:r/>
      <w:bookmarkStart w:id="83" w:name="_Toc8006"/>
      <w:r/>
      <w:bookmarkStart w:id="84" w:name="_Toc107246223"/>
      <w:r>
        <w:rPr>
          <w:color w:val="auto"/>
          <w:highlight w:val="none"/>
        </w:rPr>
        <w:t xml:space="preserve">9.</w:t>
      </w:r>
      <w:r>
        <w:rPr>
          <w:rFonts w:hint="eastAsia"/>
          <w:color w:val="auto"/>
          <w:highlight w:val="none"/>
        </w:rPr>
        <w:t xml:space="preserve">磋商前</w:t>
      </w:r>
      <w:r>
        <w:rPr>
          <w:color w:val="auto"/>
          <w:highlight w:val="none"/>
        </w:rPr>
        <w:t xml:space="preserve">答疑会</w:t>
      </w:r>
      <w:bookmarkEnd w:id="82"/>
      <w:r/>
      <w:bookmarkEnd w:id="83"/>
      <w:r/>
      <w:bookmarkEnd w:id="84"/>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规定召开</w:t>
      </w:r>
      <w:r>
        <w:rPr>
          <w:rFonts w:hint="eastAsia"/>
          <w:color w:val="auto"/>
          <w:szCs w:val="21"/>
          <w:highlight w:val="none"/>
        </w:rPr>
        <w:t xml:space="preserve">磋商前答疑会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规定的时间和地点召开</w:t>
      </w:r>
      <w:r>
        <w:rPr>
          <w:rFonts w:hint="eastAsia"/>
          <w:color w:val="auto"/>
          <w:szCs w:val="21"/>
          <w:highlight w:val="none"/>
        </w:rPr>
        <w:t xml:space="preserve">磋商前答疑会</w:t>
      </w:r>
      <w:r>
        <w:rPr>
          <w:color w:val="auto"/>
          <w:szCs w:val="21"/>
          <w:highlight w:val="none"/>
        </w:rPr>
        <w:t xml:space="preserve">，澄清供应商提出的询问。</w:t>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规定的时间和形式将提出的询问送达采购方，以便采购方在会议期间澄清，逾期的询问将不被接受。</w:t>
      </w:r>
      <w:r/>
    </w:p>
    <w:p>
      <w:pPr>
        <w:pStyle w:val="1149"/>
        <w:ind w:right="210"/>
        <w:spacing w:line="360" w:lineRule="auto"/>
        <w:rPr>
          <w:rFonts w:ascii="Microsoft New Tai Lue" w:hAnsi="Microsoft New Tai Lue" w:cs="Microsoft New Tai Lue"/>
          <w:color w:val="auto"/>
          <w:highlight w:val="none"/>
        </w:rPr>
      </w:pPr>
      <w:r/>
      <w:bookmarkStart w:id="85" w:name="_Toc100905210"/>
      <w:r/>
      <w:bookmarkStart w:id="86" w:name="_Toc104560847"/>
      <w:r/>
      <w:bookmarkStart w:id="87" w:name="_Toc107246224"/>
      <w:r/>
      <w:bookmarkStart w:id="88" w:name="_Toc103848536"/>
      <w:r/>
      <w:bookmarkStart w:id="89" w:name="_Toc21649"/>
      <w:r/>
      <w:bookmarkStart w:id="90" w:name="_Toc96347869"/>
      <w:r>
        <w:rPr>
          <w:rFonts w:ascii="Microsoft New Tai Lue" w:hAnsi="Microsoft New Tai Lue" w:cs="Microsoft New Tai Lue"/>
          <w:color w:val="auto"/>
          <w:szCs w:val="21"/>
          <w:highlight w:val="none"/>
        </w:rPr>
        <w:t xml:space="preserve">10.联合体</w:t>
      </w:r>
      <w:bookmarkEnd w:id="85"/>
      <w:r/>
      <w:bookmarkEnd w:id="86"/>
      <w:r/>
      <w:bookmarkEnd w:id="87"/>
      <w:r/>
      <w:bookmarkEnd w:id="88"/>
      <w:r>
        <w:rPr>
          <w:rFonts w:hint="eastAsia" w:ascii="Microsoft New Tai Lue" w:hAnsi="Microsoft New Tai Lue" w:cs="Microsoft New Tai Lue"/>
          <w:color w:val="auto"/>
          <w:szCs w:val="21"/>
          <w:highlight w:val="none"/>
        </w:rPr>
        <w:t xml:space="preserve">响应</w:t>
      </w:r>
      <w:bookmarkEnd w:id="89"/>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pStyle w:val="1149"/>
        <w:ind w:right="210"/>
        <w:spacing w:line="360" w:lineRule="auto"/>
        <w:rPr>
          <w:rFonts w:ascii="Microsoft New Tai Lue" w:hAnsi="Microsoft New Tai Lue" w:cs="Microsoft New Tai Lue"/>
          <w:color w:val="auto"/>
          <w:highlight w:val="none"/>
        </w:rPr>
      </w:pPr>
      <w:r/>
      <w:bookmarkStart w:id="91" w:name="_Toc104560848"/>
      <w:r/>
      <w:bookmarkStart w:id="92" w:name="_Toc107246225"/>
      <w:r/>
      <w:bookmarkStart w:id="93" w:name="_Toc103848537"/>
      <w:r/>
      <w:bookmarkStart w:id="94" w:name="_Toc100905213"/>
      <w:r/>
      <w:bookmarkStart w:id="95" w:name="_Toc17304"/>
      <w:r/>
      <w:bookmarkStart w:id="96" w:name="_Toc100905211"/>
      <w:r>
        <w:rPr>
          <w:rFonts w:ascii="Microsoft New Tai Lue" w:hAnsi="Microsoft New Tai Lue" w:cs="Microsoft New Tai Lue"/>
          <w:color w:val="auto"/>
          <w:highlight w:val="none"/>
        </w:rPr>
        <w:t xml:space="preserve">11.分包</w:t>
      </w:r>
      <w:bookmarkEnd w:id="91"/>
      <w:r/>
      <w:bookmarkEnd w:id="92"/>
      <w:r/>
      <w:bookmarkEnd w:id="93"/>
      <w:r/>
      <w:bookmarkEnd w:id="94"/>
      <w:r/>
      <w:bookmarkEnd w:id="95"/>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1149"/>
        <w:ind w:right="210"/>
        <w:spacing w:line="360" w:lineRule="auto"/>
        <w:rPr>
          <w:rFonts w:hint="eastAsia" w:ascii="Microsoft New Tai Lue" w:hAnsi="Microsoft New Tai Lue" w:cs="Microsoft New Tai Lue"/>
          <w:color w:val="auto"/>
          <w:highlight w:val="none"/>
        </w:rPr>
      </w:pPr>
      <w:r/>
      <w:bookmarkStart w:id="97" w:name="_Toc3648"/>
      <w:r/>
      <w:bookmarkStart w:id="98" w:name="_Toc107246226"/>
      <w:r/>
      <w:bookmarkStart w:id="99" w:name="_Toc104560849"/>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97"/>
      <w:r/>
      <w:bookmarkEnd w:id="98"/>
      <w:r/>
      <w:bookmarkEnd w:id="99"/>
      <w:r/>
      <w:r/>
    </w:p>
    <w:p>
      <w:pPr>
        <w:ind w:firstLine="420"/>
        <w:spacing w:before="143"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bookmarkEnd w:id="90"/>
      <w:r/>
      <w:bookmarkEnd w:id="96"/>
      <w:r/>
      <w:r/>
    </w:p>
    <w:p>
      <w:pPr>
        <w:pStyle w:val="1149"/>
        <w:ind w:right="210"/>
        <w:spacing w:line="360" w:lineRule="auto"/>
        <w:rPr>
          <w:rFonts w:ascii="Microsoft New Tai Lue" w:hAnsi="Microsoft New Tai Lue" w:cs="Microsoft New Tai Lue"/>
          <w:color w:val="auto"/>
          <w:highlight w:val="none"/>
        </w:rPr>
      </w:pPr>
      <w:r/>
      <w:bookmarkStart w:id="100" w:name="_Toc103848538"/>
      <w:r/>
      <w:bookmarkStart w:id="101" w:name="_Toc100905214"/>
      <w:r/>
      <w:bookmarkStart w:id="102" w:name="_Toc107246227"/>
      <w:r/>
      <w:bookmarkStart w:id="103" w:name="_Toc22978"/>
      <w:r/>
      <w:bookmarkStart w:id="104" w:name="_Toc104560850"/>
      <w:r>
        <w:rPr>
          <w:rFonts w:ascii="Microsoft New Tai Lue" w:hAnsi="Microsoft New Tai Lue" w:cs="Microsoft New Tai Lue"/>
          <w:color w:val="auto"/>
          <w:highlight w:val="none"/>
        </w:rPr>
        <w:t xml:space="preserve">13.采购进口产品</w:t>
      </w:r>
      <w:bookmarkEnd w:id="100"/>
      <w:r/>
      <w:bookmarkEnd w:id="101"/>
      <w:r/>
      <w:bookmarkEnd w:id="102"/>
      <w:r/>
      <w:bookmarkEnd w:id="103"/>
      <w:r/>
      <w:bookmarkEnd w:id="104"/>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pStyle w:val="1149"/>
        <w:ind w:right="210"/>
        <w:spacing w:line="360" w:lineRule="auto"/>
        <w:rPr>
          <w:rFonts w:hint="eastAsia" w:ascii="Microsoft New Tai Lue" w:hAnsi="Microsoft New Tai Lue" w:cs="Microsoft New Tai Lue"/>
          <w:color w:val="auto"/>
          <w:highlight w:val="none"/>
        </w:rPr>
      </w:pPr>
      <w:r/>
      <w:bookmarkStart w:id="105" w:name="_Toc107246228"/>
      <w:r/>
      <w:bookmarkStart w:id="106" w:name="_Toc23744"/>
      <w:r/>
      <w:bookmarkStart w:id="107" w:name="_Toc104560851"/>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105"/>
      <w:r/>
      <w:bookmarkEnd w:id="106"/>
      <w:r/>
      <w:bookmarkEnd w:id="107"/>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pStyle w:val="1149"/>
        <w:ind w:right="210"/>
        <w:spacing w:line="360" w:lineRule="auto"/>
        <w:rPr>
          <w:rFonts w:hint="eastAsia" w:ascii="Microsoft New Tai Lue" w:hAnsi="Microsoft New Tai Lue" w:cs="Microsoft New Tai Lue"/>
          <w:color w:val="auto"/>
          <w:highlight w:val="none"/>
        </w:rPr>
      </w:pPr>
      <w:r/>
      <w:bookmarkStart w:id="108" w:name="_Toc11113"/>
      <w:r/>
      <w:bookmarkStart w:id="109" w:name="_Toc107246229"/>
      <w:r/>
      <w:bookmarkStart w:id="110" w:name="_Toc104560852"/>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08"/>
      <w:r/>
      <w:bookmarkEnd w:id="109"/>
      <w:r/>
      <w:bookmarkEnd w:id="110"/>
      <w:r/>
      <w:r/>
    </w:p>
    <w:p>
      <w:pPr>
        <w:ind w:firstLine="420"/>
        <w:spacing w:before="143"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pStyle w:val="1149"/>
        <w:ind w:right="210"/>
        <w:spacing w:line="360" w:lineRule="auto"/>
        <w:rPr>
          <w:rFonts w:ascii="Microsoft New Tai Lue" w:hAnsi="Microsoft New Tai Lue" w:cs="Microsoft New Tai Lue"/>
          <w:color w:val="auto"/>
          <w:highlight w:val="none"/>
        </w:rPr>
      </w:pPr>
      <w:r/>
      <w:bookmarkStart w:id="111" w:name="_Toc107246230"/>
      <w:r/>
      <w:bookmarkStart w:id="112" w:name="_Toc24564"/>
      <w:r>
        <w:rPr>
          <w:rFonts w:ascii="Microsoft New Tai Lue" w:hAnsi="Microsoft New Tai Lue" w:cs="Microsoft New Tai Lue"/>
          <w:color w:val="auto"/>
          <w:highlight w:val="none"/>
        </w:rPr>
        <w:t xml:space="preserve">二．磋商文件</w:t>
      </w:r>
      <w:bookmarkEnd w:id="63"/>
      <w:r/>
      <w:bookmarkEnd w:id="111"/>
      <w:r/>
      <w:bookmarkEnd w:id="112"/>
      <w:r/>
      <w:r/>
    </w:p>
    <w:p>
      <w:pPr>
        <w:pStyle w:val="1149"/>
        <w:ind w:right="210"/>
        <w:spacing w:line="360" w:lineRule="auto"/>
        <w:rPr>
          <w:rFonts w:ascii="Microsoft New Tai Lue" w:hAnsi="Microsoft New Tai Lue" w:cs="Microsoft New Tai Lue"/>
          <w:color w:val="auto"/>
          <w:highlight w:val="none"/>
        </w:rPr>
      </w:pPr>
      <w:r/>
      <w:bookmarkStart w:id="113" w:name="_Toc107246231"/>
      <w:r/>
      <w:bookmarkStart w:id="114" w:name="_Toc96347871"/>
      <w:r/>
      <w:bookmarkStart w:id="115" w:name="_Toc10863"/>
      <w:r/>
      <w:bookmarkStart w:id="116" w:name="_Toc104560854"/>
      <w:r/>
      <w:bookmarkStart w:id="117" w:name="_Toc103848540"/>
      <w:r/>
      <w:bookmarkStart w:id="118" w:name="_Toc100905217"/>
      <w:r>
        <w:rPr>
          <w:rFonts w:ascii="Microsoft New Tai Lue" w:hAnsi="Microsoft New Tai Lue" w:cs="Microsoft New Tai Lue"/>
          <w:color w:val="auto"/>
          <w:highlight w:val="none"/>
        </w:rPr>
        <w:t xml:space="preserve">16.磋商文件的构成</w:t>
      </w:r>
      <w:bookmarkEnd w:id="113"/>
      <w:r/>
      <w:bookmarkEnd w:id="114"/>
      <w:r/>
      <w:bookmarkEnd w:id="115"/>
      <w:r/>
      <w:bookmarkEnd w:id="116"/>
      <w:r/>
      <w:bookmarkEnd w:id="117"/>
      <w:r/>
      <w:bookmarkEnd w:id="118"/>
      <w:r/>
      <w:r/>
    </w:p>
    <w:p>
      <w:pPr>
        <w:pStyle w:val="1249"/>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16.1磋商文件各章节的内容如下：</w:t>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竞争性磋商公告</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第二章：供应商须知</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第五章：评审方法与评审标准</w:t>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19" w:name="_Toc96347872"/>
      <w:r>
        <w:rPr>
          <w:rFonts w:hint="eastAsia" w:ascii="Microsoft New Tai Lue" w:hAnsi="Microsoft New Tai Lue" w:cs="Microsoft New Tai Lue"/>
          <w:color w:val="auto"/>
          <w:szCs w:val="21"/>
          <w:highlight w:val="none"/>
        </w:rPr>
        <w:t xml:space="preserve">响应文件格式</w:t>
      </w:r>
      <w:r/>
    </w:p>
    <w:p>
      <w:pPr>
        <w:ind w:firstLine="420"/>
        <w:spacing w:before="143"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磋商文件</w:t>
      </w:r>
      <w:r>
        <w:rPr>
          <w:color w:val="auto"/>
          <w:szCs w:val="21"/>
          <w:highlight w:val="none"/>
        </w:rPr>
        <w:t xml:space="preserve">所作的澄清、修改，构成</w:t>
      </w:r>
      <w:r>
        <w:rPr>
          <w:rFonts w:hint="eastAsia"/>
          <w:color w:val="auto"/>
          <w:szCs w:val="21"/>
          <w:highlight w:val="none"/>
        </w:rPr>
        <w:t xml:space="preserve">磋商文件</w:t>
      </w:r>
      <w:r>
        <w:rPr>
          <w:color w:val="auto"/>
          <w:szCs w:val="21"/>
          <w:highlight w:val="none"/>
        </w:rPr>
        <w:t xml:space="preserve">的组成部分。</w:t>
      </w:r>
      <w:r/>
    </w:p>
    <w:p>
      <w:pPr>
        <w:ind w:firstLine="422"/>
        <w:spacing w:before="143"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磋商文件成交注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磋商文件</w:t>
      </w:r>
      <w:r>
        <w:rPr>
          <w:color w:val="auto"/>
          <w:szCs w:val="21"/>
          <w:highlight w:val="none"/>
        </w:rPr>
        <w:t xml:space="preserve">的全部内容。如发现</w:t>
      </w:r>
      <w:r>
        <w:rPr>
          <w:rFonts w:hint="eastAsia"/>
          <w:color w:val="auto"/>
          <w:szCs w:val="21"/>
          <w:highlight w:val="none"/>
        </w:rPr>
        <w:t xml:space="preserve">磋商文件</w:t>
      </w:r>
      <w:r>
        <w:rPr>
          <w:color w:val="auto"/>
          <w:szCs w:val="21"/>
          <w:highlight w:val="none"/>
        </w:rPr>
        <w:t xml:space="preserve">内容不全，应及时向采购方提出，以便补齐。</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按照磋商文件要求编制响应文件。任何对磋商文件的忽略或误解，不能作为响应文件存在缺陷或瑕疵的理由，其风险由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磋商文件</w:t>
      </w:r>
      <w:r>
        <w:rPr>
          <w:rFonts w:ascii="Microsoft New Tai Lue" w:hAnsi="Microsoft New Tai Lue" w:cs="Microsoft New Tai Lue"/>
          <w:color w:val="auto"/>
          <w:szCs w:val="21"/>
          <w:highlight w:val="none"/>
        </w:rPr>
        <w:t xml:space="preserve">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磋商文件</w:t>
      </w:r>
      <w:r>
        <w:rPr>
          <w:rFonts w:ascii="Microsoft New Tai Lue" w:hAnsi="Microsoft New Tai Lue" w:cs="Microsoft New Tai Lue"/>
          <w:color w:val="auto"/>
          <w:szCs w:val="21"/>
          <w:highlight w:val="none"/>
        </w:rPr>
        <w:t xml:space="preserve">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19"/>
      <w:r/>
      <w:r/>
    </w:p>
    <w:p>
      <w:pPr>
        <w:pStyle w:val="1149"/>
        <w:ind w:right="210"/>
        <w:spacing w:line="360" w:lineRule="auto"/>
        <w:rPr>
          <w:rFonts w:ascii="Microsoft New Tai Lue" w:hAnsi="Microsoft New Tai Lue" w:cs="Microsoft New Tai Lue"/>
          <w:color w:val="auto"/>
          <w:highlight w:val="none"/>
        </w:rPr>
      </w:pPr>
      <w:r/>
      <w:bookmarkStart w:id="120" w:name="_Toc103848541"/>
      <w:r/>
      <w:bookmarkStart w:id="121" w:name="_Toc30106"/>
      <w:r/>
      <w:bookmarkStart w:id="122" w:name="_Toc96347873"/>
      <w:r/>
      <w:bookmarkStart w:id="123" w:name="_Toc107246232"/>
      <w:r/>
      <w:bookmarkStart w:id="124" w:name="_Toc104560855"/>
      <w:r/>
      <w:bookmarkStart w:id="125" w:name="_Toc100905218"/>
      <w:r>
        <w:rPr>
          <w:rFonts w:ascii="Microsoft New Tai Lue" w:hAnsi="Microsoft New Tai Lue" w:cs="Microsoft New Tai Lue"/>
          <w:color w:val="auto"/>
          <w:highlight w:val="none"/>
        </w:rPr>
        <w:t xml:space="preserve">17.磋商文件的澄清或者修改</w:t>
      </w:r>
      <w:bookmarkEnd w:id="120"/>
      <w:r/>
      <w:bookmarkEnd w:id="121"/>
      <w:r/>
      <w:bookmarkEnd w:id="122"/>
      <w:r/>
      <w:bookmarkEnd w:id="123"/>
      <w:r/>
      <w:bookmarkEnd w:id="124"/>
      <w:r/>
      <w:bookmarkEnd w:id="125"/>
      <w:r/>
      <w:r/>
    </w:p>
    <w:p>
      <w:pPr>
        <w:ind w:firstLine="420"/>
        <w:spacing w:before="143" w:line="360" w:lineRule="auto"/>
        <w:rPr>
          <w:rFonts w:hint="eastAsia" w:ascii="Microsoft New Tai Lue" w:hAnsi="Microsoft New Tai Lue" w:cs="Microsoft New Tai Lue"/>
          <w:color w:val="auto"/>
          <w:szCs w:val="21"/>
          <w:highlight w:val="none"/>
        </w:rPr>
      </w:pPr>
      <w:r/>
      <w:bookmarkStart w:id="126" w:name="_Toc100905219"/>
      <w:r>
        <w:rPr>
          <w:rFonts w:ascii="Microsoft New Tai Lue" w:hAnsi="Microsoft New Tai Lue" w:cs="Microsoft New Tai Lue"/>
          <w:color w:val="auto"/>
          <w:szCs w:val="21"/>
          <w:highlight w:val="none"/>
        </w:rPr>
        <w:t xml:space="preserve">17.1</w:t>
      </w:r>
      <w:r>
        <w:rPr>
          <w:rFonts w:hint="eastAsia" w:ascii="Microsoft New Tai Lue" w:hAnsi="Microsoft New Tai Lue" w:cs="Microsoft New Tai Lue"/>
          <w:color w:val="auto"/>
          <w:szCs w:val="21"/>
          <w:highlight w:val="none"/>
        </w:rPr>
        <w:t xml:space="preserve">提交首次响应文件截止之日前，</w:t>
      </w:r>
      <w:r>
        <w:rPr>
          <w:rFonts w:ascii="Microsoft New Tai Lue" w:hAnsi="Microsoft New Tai Lue" w:cs="Microsoft New Tai Lue"/>
          <w:color w:val="auto"/>
          <w:szCs w:val="21"/>
          <w:highlight w:val="none"/>
        </w:rPr>
        <w:t xml:space="preserve">采购方可以对已发出的磋商文件进行必要的澄清或者修改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澄清或者修改应当在原公告发布媒体上发布澄清公告。澄清或者修改的内容为磋商文件的组成部分</w:t>
      </w:r>
      <w:r>
        <w:rPr>
          <w:color w:val="auto"/>
          <w:szCs w:val="21"/>
          <w:highlight w:val="none"/>
        </w:rPr>
        <w:t xml:space="preserve">并具有法律效力，</w:t>
      </w:r>
      <w:r>
        <w:rPr>
          <w:rFonts w:hint="eastAsia"/>
          <w:color w:val="auto"/>
          <w:szCs w:val="21"/>
          <w:highlight w:val="none"/>
        </w:rPr>
        <w:t xml:space="preserve">磋商文件</w:t>
      </w:r>
      <w:r>
        <w:rPr>
          <w:color w:val="auto"/>
          <w:szCs w:val="21"/>
          <w:highlight w:val="none"/>
        </w:rPr>
        <w:t xml:space="preserve">、澄清或修改在同一内容表述上不一致的，以日期后者的为准。</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17.2澄清或者修改的内容可能影响响应文件编制的，采购方应当在</w:t>
      </w:r>
      <w:r>
        <w:rPr>
          <w:rFonts w:hint="eastAsia" w:ascii="Microsoft New Tai Lue" w:hAnsi="Microsoft New Tai Lue" w:cs="Microsoft New Tai Lue"/>
          <w:color w:val="auto"/>
          <w:szCs w:val="21"/>
          <w:highlight w:val="none"/>
        </w:rPr>
        <w:t xml:space="preserve">提交首次响应文件</w:t>
      </w:r>
      <w:r>
        <w:rPr>
          <w:rFonts w:ascii="Microsoft New Tai Lue" w:hAnsi="Microsoft New Tai Lue" w:cs="Microsoft New Tai Lue"/>
          <w:color w:val="auto"/>
          <w:szCs w:val="21"/>
          <w:highlight w:val="none"/>
        </w:rPr>
        <w:t xml:space="preserve">截止时间至少5日前，以书面形式通知所有获取</w:t>
      </w:r>
      <w:r>
        <w:rPr>
          <w:rFonts w:hint="eastAsia" w:ascii="Microsoft New Tai Lue" w:hAnsi="Microsoft New Tai Lue" w:cs="Microsoft New Tai Lue"/>
          <w:color w:val="auto"/>
          <w:szCs w:val="21"/>
          <w:highlight w:val="none"/>
        </w:rPr>
        <w:t xml:space="preserve">磋商</w:t>
      </w:r>
      <w:r>
        <w:rPr>
          <w:rFonts w:ascii="Microsoft New Tai Lue" w:hAnsi="Microsoft New Tai Lue" w:cs="Microsoft New Tai Lue"/>
          <w:color w:val="auto"/>
          <w:szCs w:val="21"/>
          <w:highlight w:val="none"/>
        </w:rPr>
        <w:t xml:space="preserve">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；不足5日的，采购方应当顺延提交</w:t>
      </w:r>
      <w:r>
        <w:rPr>
          <w:rFonts w:hint="eastAsia" w:ascii="Microsoft New Tai Lue" w:hAnsi="Microsoft New Tai Lue" w:cs="Microsoft New Tai Lue"/>
          <w:color w:val="auto"/>
          <w:szCs w:val="21"/>
          <w:highlight w:val="none"/>
        </w:rPr>
        <w:t xml:space="preserve">首次</w:t>
      </w:r>
      <w:r>
        <w:rPr>
          <w:rFonts w:ascii="Microsoft New Tai Lue" w:hAnsi="Microsoft New Tai Lue" w:cs="Microsoft New Tai Lue"/>
          <w:color w:val="auto"/>
          <w:szCs w:val="21"/>
          <w:highlight w:val="none"/>
        </w:rPr>
        <w:t xml:space="preserve">响应文件截止时间。</w:t>
      </w:r>
      <w:bookmarkEnd w:id="126"/>
      <w:r/>
      <w:r/>
    </w:p>
    <w:p>
      <w:pPr>
        <w:pStyle w:val="1149"/>
        <w:ind w:right="210"/>
        <w:spacing w:line="360" w:lineRule="auto"/>
        <w:rPr>
          <w:rFonts w:ascii="Microsoft New Tai Lue" w:hAnsi="Microsoft New Tai Lue" w:cs="Microsoft New Tai Lue"/>
          <w:color w:val="auto"/>
          <w:highlight w:val="none"/>
        </w:rPr>
      </w:pPr>
      <w:r/>
      <w:bookmarkStart w:id="127" w:name="_Toc107246233"/>
      <w:r/>
      <w:bookmarkStart w:id="128" w:name="_Toc11125"/>
      <w:r/>
      <w:bookmarkStart w:id="129" w:name="_Toc91836558"/>
      <w:r/>
      <w:bookmarkStart w:id="130" w:name="_Toc104560856"/>
      <w:r/>
      <w:bookmarkStart w:id="131" w:name="_Toc80264708"/>
      <w:r>
        <w:rPr>
          <w:rFonts w:ascii="Microsoft New Tai Lue" w:hAnsi="Microsoft New Tai Lue" w:cs="Microsoft New Tai Lue"/>
          <w:color w:val="auto"/>
          <w:highlight w:val="none"/>
        </w:rPr>
        <w:t xml:space="preserve">三．响应文件</w:t>
      </w:r>
      <w:bookmarkEnd w:id="127"/>
      <w:r/>
      <w:bookmarkEnd w:id="128"/>
      <w:r/>
      <w:bookmarkEnd w:id="129"/>
      <w:r/>
      <w:bookmarkEnd w:id="130"/>
      <w:r/>
      <w:r/>
    </w:p>
    <w:p>
      <w:pPr>
        <w:pStyle w:val="1149"/>
        <w:ind w:right="210"/>
        <w:spacing w:line="360" w:lineRule="auto"/>
        <w:rPr>
          <w:rFonts w:ascii="Microsoft New Tai Lue" w:hAnsi="Microsoft New Tai Lue" w:cs="Microsoft New Tai Lue"/>
          <w:color w:val="auto"/>
          <w:highlight w:val="none"/>
        </w:rPr>
      </w:pPr>
      <w:r/>
      <w:bookmarkStart w:id="132" w:name="_Toc104560857"/>
      <w:r/>
      <w:bookmarkStart w:id="133" w:name="_Toc15937"/>
      <w:r/>
      <w:bookmarkStart w:id="134" w:name="_Toc107246234"/>
      <w:r/>
      <w:bookmarkStart w:id="135" w:name="_Toc103848543"/>
      <w:r/>
      <w:bookmarkStart w:id="136" w:name="_Toc100905221"/>
      <w:r/>
      <w:bookmarkStart w:id="137" w:name="_Toc96347875"/>
      <w:r>
        <w:rPr>
          <w:rFonts w:ascii="Microsoft New Tai Lue" w:hAnsi="Microsoft New Tai Lue" w:cs="Microsoft New Tai Lue"/>
          <w:color w:val="auto"/>
          <w:highlight w:val="none"/>
        </w:rPr>
        <w:t xml:space="preserve">18.响应文件的组成</w:t>
      </w:r>
      <w:bookmarkEnd w:id="132"/>
      <w:r/>
      <w:bookmarkEnd w:id="133"/>
      <w:r/>
      <w:bookmarkEnd w:id="134"/>
      <w:r/>
      <w:bookmarkEnd w:id="135"/>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18.1响应文件由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格式见磋商文件第六章《</w:t>
      </w:r>
      <w:r>
        <w:rPr>
          <w:rFonts w:hint="eastAsia" w:ascii="Microsoft New Tai Lue" w:hAnsi="Microsoft New Tai Lue" w:cs="Microsoft New Tai Lue"/>
          <w:color w:val="auto"/>
          <w:szCs w:val="21"/>
          <w:highlight w:val="none"/>
        </w:rPr>
        <w:t xml:space="preserve">响应文件格式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43" w:line="360" w:lineRule="auto"/>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响应文件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（1）响应函</w:t>
      </w:r>
      <w:r>
        <w:rPr>
          <w:color w:val="auto"/>
          <w:szCs w:val="21"/>
          <w:highlight w:val="none"/>
        </w:rPr>
        <w:t xml:space="preserve">，格式见附件。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2</w:t>
      </w:r>
      <w:r>
        <w:rPr>
          <w:rFonts w:hint="eastAsia"/>
          <w:color w:val="auto"/>
          <w:szCs w:val="21"/>
          <w:highlight w:val="none"/>
        </w:rPr>
        <w:t xml:space="preserve">）法定代表人（单位负责人）身份证明</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）法定代表人（单位负责人）授权委托书（适用于法人/非法人），格式见附件。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（3</w:t>
      </w:r>
      <w:r>
        <w:rPr>
          <w:color w:val="auto"/>
          <w:szCs w:val="21"/>
          <w:highlight w:val="none"/>
        </w:rPr>
        <w:t xml:space="preserve">-2</w:t>
      </w:r>
      <w:r>
        <w:rPr>
          <w:rFonts w:hint="eastAsia"/>
          <w:color w:val="auto"/>
          <w:szCs w:val="21"/>
          <w:highlight w:val="none"/>
        </w:rPr>
        <w:t xml:space="preserve">）授权委托书（适用于自然人），格式见附件。</w:t>
      </w:r>
      <w:r/>
    </w:p>
    <w:p>
      <w:pPr>
        <w:ind w:firstLine="315"/>
        <w:jc w:val="left"/>
        <w:spacing w:line="360" w:lineRule="auto"/>
        <w:rPr>
          <w:rFonts w:hint="eastAsia"/>
          <w:color w:val="auto"/>
          <w:szCs w:val="21"/>
          <w:highlight w:val="none"/>
        </w:rPr>
      </w:pPr>
      <w:r>
        <w:rPr>
          <w:color w:val="auto"/>
          <w:szCs w:val="21"/>
          <w:highlight w:val="none"/>
        </w:rPr>
        <w:t xml:space="preserve">（4）</w:t>
      </w:r>
      <w:r>
        <w:rPr>
          <w:rFonts w:hint="eastAsia"/>
          <w:color w:val="auto"/>
          <w:szCs w:val="21"/>
          <w:highlight w:val="none"/>
        </w:rPr>
        <w:t xml:space="preserve">报价一览表</w:t>
      </w:r>
      <w:r>
        <w:rPr>
          <w:color w:val="auto"/>
          <w:szCs w:val="21"/>
          <w:highlight w:val="none"/>
        </w:rPr>
        <w:t xml:space="preserve">，格式见附件。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5</w:t>
      </w:r>
      <w:r>
        <w:rPr>
          <w:rFonts w:hint="eastAsia"/>
          <w:color w:val="auto"/>
          <w:szCs w:val="21"/>
          <w:highlight w:val="none"/>
        </w:rPr>
        <w:t xml:space="preserve">）商务条款偏离表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）供应商具备磋商资格的证明文件：</w:t>
      </w:r>
      <w:r/>
    </w:p>
    <w:p>
      <w:pPr>
        <w:ind w:firstLine="315"/>
        <w:jc w:val="left"/>
        <w:spacing w:line="360" w:lineRule="auto"/>
        <w:rPr>
          <w:color w:val="auto"/>
          <w:szCs w:val="21"/>
          <w:highlight w:val="none"/>
        </w:rPr>
      </w:pPr>
      <w:r>
        <w:rPr>
          <w:color w:val="auto"/>
          <w:szCs w:val="21"/>
          <w:highlight w:val="none"/>
        </w:rPr>
        <w:t xml:space="preserve">（6-1-1）</w:t>
      </w:r>
      <w:r>
        <w:rPr>
          <w:rFonts w:hint="eastAsia"/>
          <w:color w:val="auto"/>
          <w:szCs w:val="21"/>
          <w:highlight w:val="none"/>
        </w:rPr>
        <w:t xml:space="preserve">营业执照复印件或自然人的身份证明复印件</w:t>
      </w:r>
      <w:r>
        <w:rPr>
          <w:color w:val="auto"/>
          <w:szCs w:val="21"/>
          <w:highlight w:val="none"/>
        </w:rPr>
        <w:t xml:space="preserve">（或具有同等法律效力的证照）。</w:t>
      </w:r>
      <w:r/>
    </w:p>
    <w:p>
      <w:pPr>
        <w:ind w:firstLine="525"/>
        <w:jc w:val="left"/>
        <w:spacing w:line="360" w:lineRule="auto"/>
        <w:rPr>
          <w:color w:val="auto"/>
          <w:szCs w:val="21"/>
          <w:highlight w:val="none"/>
        </w:rPr>
      </w:pPr>
      <w:r>
        <w:rPr>
          <w:color w:val="auto"/>
          <w:szCs w:val="21"/>
          <w:highlight w:val="none"/>
        </w:rPr>
        <w:t xml:space="preserve">（a）</w:t>
      </w:r>
      <w:r>
        <w:rPr>
          <w:rFonts w:hint="eastAsia"/>
          <w:color w:val="auto"/>
          <w:szCs w:val="21"/>
          <w:highlight w:val="none"/>
        </w:rPr>
        <w:t xml:space="preserve">供应商为企业（包括合伙企业）的，应提供有效的“营业执照”。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w:t>
      </w:r>
      <w:r>
        <w:rPr>
          <w:rFonts w:hint="eastAsia"/>
          <w:color w:val="auto"/>
          <w:szCs w:val="21"/>
          <w:highlight w:val="none"/>
        </w:rPr>
        <w:t xml:space="preserve">供应商为事业单位的，应提供有效的“事业单位法人证书”。</w:t>
      </w:r>
      <w:r/>
    </w:p>
    <w:p>
      <w:pPr>
        <w:ind w:firstLine="525"/>
        <w:jc w:val="left"/>
        <w:spacing w:line="360" w:lineRule="auto"/>
        <w:rPr>
          <w:color w:val="auto"/>
          <w:szCs w:val="21"/>
          <w:highlight w:val="none"/>
        </w:rPr>
      </w:pPr>
      <w:r>
        <w:rPr>
          <w:rFonts w:hint="eastAsia"/>
          <w:color w:val="auto"/>
          <w:szCs w:val="21"/>
          <w:highlight w:val="none"/>
        </w:rPr>
        <w:t xml:space="preserve">（c）供应商是非企业机构的，应提供有效的“执业许可证”、“登记证书”等证明文件。</w:t>
      </w:r>
      <w:r/>
    </w:p>
    <w:p>
      <w:pPr>
        <w:ind w:firstLine="525"/>
        <w:jc w:val="left"/>
        <w:spacing w:line="360" w:lineRule="auto"/>
        <w:rPr>
          <w:color w:val="auto"/>
          <w:szCs w:val="21"/>
          <w:highlight w:val="none"/>
        </w:rPr>
      </w:pPr>
      <w:r>
        <w:rPr>
          <w:rFonts w:hint="eastAsia"/>
          <w:color w:val="auto"/>
          <w:szCs w:val="21"/>
          <w:highlight w:val="none"/>
        </w:rPr>
        <w:t xml:space="preserve">（d）供应商是个体工商户的，应提供有效的“个体工商户营业执照”。</w:t>
      </w:r>
      <w:r/>
    </w:p>
    <w:p>
      <w:pPr>
        <w:ind w:firstLine="525"/>
        <w:jc w:val="left"/>
        <w:spacing w:line="360" w:lineRule="auto"/>
        <w:rPr>
          <w:color w:val="auto"/>
          <w:szCs w:val="21"/>
          <w:highlight w:val="none"/>
        </w:rPr>
      </w:pPr>
      <w:r>
        <w:rPr>
          <w:rFonts w:hint="eastAsia"/>
          <w:color w:val="auto"/>
          <w:szCs w:val="21"/>
          <w:highlight w:val="none"/>
        </w:rPr>
        <w:t xml:space="preserve">（e）供应商是自然人的，应提供有效的自然人身份证明。</w:t>
      </w:r>
      <w:r/>
    </w:p>
    <w:p>
      <w:pPr>
        <w:ind w:firstLine="525"/>
        <w:jc w:val="left"/>
        <w:spacing w:line="360" w:lineRule="auto"/>
        <w:rPr>
          <w:color w:val="auto"/>
          <w:szCs w:val="21"/>
          <w:highlight w:val="none"/>
        </w:rPr>
      </w:pPr>
      <w:r>
        <w:rPr>
          <w:rFonts w:hint="eastAsia"/>
          <w:color w:val="auto"/>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6-1-2</w:t>
      </w:r>
      <w:r>
        <w:rPr>
          <w:rFonts w:hint="eastAsia"/>
          <w:color w:val="auto"/>
          <w:szCs w:val="21"/>
          <w:highlight w:val="none"/>
        </w:rPr>
        <w:t xml:space="preserve">）工商变更登记文件（如需），如发生了单位名称等变更的，需提供工商变更登记文件。</w:t>
      </w:r>
      <w:r/>
    </w:p>
    <w:p>
      <w:pPr>
        <w:ind w:firstLine="315"/>
        <w:jc w:val="left"/>
        <w:spacing w:line="360" w:lineRule="auto"/>
        <w:rPr>
          <w:color w:val="auto"/>
          <w:szCs w:val="21"/>
          <w:highlight w:val="none"/>
        </w:rPr>
      </w:pPr>
      <w:r>
        <w:rPr>
          <w:color w:val="auto"/>
          <w:szCs w:val="21"/>
          <w:highlight w:val="none"/>
        </w:rPr>
        <w:t xml:space="preserve">（6-2）财务报表。</w:t>
      </w:r>
      <w:r/>
    </w:p>
    <w:p>
      <w:pPr>
        <w:ind w:firstLine="315"/>
        <w:jc w:val="left"/>
        <w:spacing w:line="360" w:lineRule="auto"/>
        <w:rPr>
          <w:color w:val="auto"/>
          <w:szCs w:val="21"/>
          <w:highlight w:val="none"/>
        </w:rPr>
      </w:pPr>
      <w:r>
        <w:rPr>
          <w:color w:val="auto"/>
          <w:szCs w:val="21"/>
          <w:highlight w:val="none"/>
        </w:rPr>
        <w:t xml:space="preserve">（6-3）具有履行合同所必需的设备和专业技术能力的相关证明材料或承诺函，格式见附件。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（6-4）依法缴纳税收的相关材料。</w:t>
      </w:r>
      <w:r/>
    </w:p>
    <w:p>
      <w:pPr>
        <w:ind w:firstLine="315"/>
        <w:jc w:val="left"/>
        <w:spacing w:line="360" w:lineRule="auto"/>
        <w:rPr>
          <w:color w:val="auto"/>
          <w:szCs w:val="21"/>
          <w:highlight w:val="none"/>
        </w:rPr>
      </w:pPr>
      <w:r>
        <w:rPr>
          <w:color w:val="auto"/>
          <w:szCs w:val="21"/>
          <w:highlight w:val="none"/>
        </w:rPr>
        <w:t xml:space="preserve">（6-5）依法缴纳社会保障资金的相关材料。</w:t>
      </w:r>
      <w:r/>
    </w:p>
    <w:p>
      <w:pPr>
        <w:ind w:firstLine="315"/>
        <w:jc w:val="left"/>
        <w:spacing w:line="360" w:lineRule="auto"/>
        <w:rPr>
          <w:color w:val="auto"/>
          <w:szCs w:val="21"/>
          <w:highlight w:val="none"/>
        </w:rPr>
      </w:pPr>
      <w:r>
        <w:rPr>
          <w:color w:val="auto"/>
          <w:szCs w:val="21"/>
          <w:highlight w:val="none"/>
        </w:rPr>
        <w:t xml:space="preserve">（6-6）参加政府采购活动前三年内，在经营活动中没有重大违法记录，格式见附件。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）无不良信用记录承诺函（供应商自行查询适用）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）磋商文件要求的其它实质性资格资信证明文件</w:t>
      </w:r>
      <w:r>
        <w:rPr>
          <w:color w:val="auto"/>
          <w:szCs w:val="21"/>
          <w:highlight w:val="none"/>
        </w:rPr>
        <w:t xml:space="preserve">。</w:t>
      </w:r>
      <w:r/>
    </w:p>
    <w:p>
      <w:pPr>
        <w:ind w:firstLine="422"/>
        <w:spacing w:before="143"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响应文件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color w:val="auto"/>
          <w:szCs w:val="21"/>
          <w:highlight w:val="none"/>
        </w:rPr>
        <w:t xml:space="preserve">（1）技术方案或服务方案。</w:t>
      </w:r>
      <w:r/>
    </w:p>
    <w:p>
      <w:pPr>
        <w:ind w:firstLine="315"/>
        <w:jc w:val="left"/>
        <w:spacing w:line="360" w:lineRule="auto"/>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偏离表，格式见附件。</w:t>
      </w:r>
      <w:r/>
    </w:p>
    <w:p>
      <w:pPr>
        <w:ind w:firstLine="315"/>
        <w:jc w:val="left"/>
        <w:spacing w:line="360" w:lineRule="auto"/>
        <w:rPr>
          <w:color w:val="auto"/>
          <w:szCs w:val="21"/>
          <w:highlight w:val="none"/>
        </w:rPr>
      </w:pPr>
      <w:r>
        <w:rPr>
          <w:color w:val="auto"/>
          <w:szCs w:val="21"/>
          <w:highlight w:val="none"/>
        </w:rPr>
        <w:t xml:space="preserve">（3）供应商售后服务承诺</w:t>
      </w:r>
      <w:r>
        <w:rPr>
          <w:rFonts w:hint="eastAsia"/>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（4）用于本项目人员简历表，格式见附件</w:t>
      </w:r>
      <w:r>
        <w:rPr>
          <w:rFonts w:hint="eastAsia"/>
          <w:color w:val="auto"/>
          <w:szCs w:val="21"/>
          <w:highlight w:val="none"/>
        </w:rPr>
        <w:t xml:space="preserve">。</w:t>
      </w:r>
      <w:r/>
    </w:p>
    <w:p>
      <w:pPr>
        <w:ind w:firstLine="422"/>
        <w:spacing w:before="143" w:line="360" w:lineRule="auto"/>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18.4响应文件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18.4.1响应文件的其他部分由供应商根据编制响应文件需要提供的其他相关文件组成。</w:t>
      </w:r>
      <w:r/>
    </w:p>
    <w:p>
      <w:pPr>
        <w:pStyle w:val="1149"/>
        <w:ind w:right="210"/>
        <w:spacing w:line="360" w:lineRule="auto"/>
        <w:rPr>
          <w:rFonts w:ascii="Segoe UI Symbol" w:hAnsi="Segoe UI Symbol" w:cs="Segoe UI Symbol"/>
          <w:color w:val="auto"/>
          <w:szCs w:val="21"/>
          <w:highlight w:val="none"/>
        </w:rPr>
      </w:pPr>
      <w:r/>
      <w:bookmarkStart w:id="138" w:name="_Toc14711"/>
      <w:r/>
      <w:bookmarkStart w:id="139" w:name="_Toc107246235"/>
      <w:r/>
      <w:bookmarkStart w:id="140"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.响应文件编制的原则</w:t>
      </w:r>
      <w:bookmarkEnd w:id="138"/>
      <w:r/>
      <w:bookmarkEnd w:id="139"/>
      <w:r/>
      <w:bookmarkEnd w:id="140"/>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供应商</w:t>
      </w:r>
      <w:r>
        <w:rPr>
          <w:color w:val="auto"/>
          <w:szCs w:val="21"/>
          <w:highlight w:val="none"/>
        </w:rPr>
        <w:t xml:space="preserve">应在认真阅读</w:t>
      </w:r>
      <w:r>
        <w:rPr>
          <w:rFonts w:hint="eastAsia"/>
          <w:color w:val="auto"/>
          <w:szCs w:val="21"/>
          <w:highlight w:val="none"/>
        </w:rPr>
        <w:t xml:space="preserve">磋商文件</w:t>
      </w:r>
      <w:r>
        <w:rPr>
          <w:color w:val="auto"/>
          <w:szCs w:val="21"/>
          <w:highlight w:val="none"/>
        </w:rPr>
        <w:t xml:space="preserve">所有内容的基础上，按照</w:t>
      </w:r>
      <w:r>
        <w:rPr>
          <w:rFonts w:hint="eastAsia"/>
          <w:color w:val="auto"/>
          <w:szCs w:val="21"/>
          <w:highlight w:val="none"/>
        </w:rPr>
        <w:t xml:space="preserve">磋商文件</w:t>
      </w:r>
      <w:r>
        <w:rPr>
          <w:color w:val="auto"/>
          <w:szCs w:val="21"/>
          <w:highlight w:val="none"/>
        </w:rPr>
        <w:t xml:space="preserve">的要求编制完整的</w:t>
      </w:r>
      <w:r>
        <w:rPr>
          <w:rFonts w:hint="eastAsia"/>
          <w:color w:val="auto"/>
          <w:szCs w:val="21"/>
          <w:highlight w:val="none"/>
        </w:rPr>
        <w:t xml:space="preserve">响应文件</w:t>
      </w:r>
      <w:r>
        <w:rPr>
          <w:color w:val="auto"/>
          <w:szCs w:val="21"/>
          <w:highlight w:val="none"/>
        </w:rPr>
        <w:t xml:space="preserve">。</w:t>
      </w:r>
      <w:r>
        <w:rPr>
          <w:rFonts w:hint="eastAsia"/>
          <w:color w:val="auto"/>
          <w:szCs w:val="21"/>
          <w:highlight w:val="none"/>
        </w:rPr>
        <w:t xml:space="preserve">磋商文件</w:t>
      </w:r>
      <w:r>
        <w:rPr>
          <w:color w:val="auto"/>
          <w:szCs w:val="21"/>
          <w:highlight w:val="none"/>
        </w:rPr>
        <w:t xml:space="preserve">中对</w:t>
      </w:r>
      <w:r>
        <w:rPr>
          <w:rFonts w:hint="eastAsia"/>
          <w:color w:val="auto"/>
          <w:szCs w:val="21"/>
          <w:highlight w:val="none"/>
        </w:rPr>
        <w:t xml:space="preserve">响应文件</w:t>
      </w:r>
      <w:r>
        <w:rPr>
          <w:color w:val="auto"/>
          <w:szCs w:val="21"/>
          <w:highlight w:val="none"/>
        </w:rPr>
        <w:t xml:space="preserve">格式有要求的，</w:t>
      </w:r>
      <w:r>
        <w:rPr>
          <w:rFonts w:hint="eastAsia"/>
          <w:color w:val="auto"/>
          <w:szCs w:val="21"/>
          <w:highlight w:val="none"/>
        </w:rPr>
        <w:t xml:space="preserve">供应商</w:t>
      </w:r>
      <w:r>
        <w:rPr>
          <w:color w:val="auto"/>
          <w:szCs w:val="21"/>
          <w:highlight w:val="none"/>
        </w:rPr>
        <w:t xml:space="preserve">应按格式逐项填写内容。</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供应商</w:t>
      </w:r>
      <w:r>
        <w:rPr>
          <w:color w:val="auto"/>
          <w:szCs w:val="21"/>
          <w:highlight w:val="none"/>
        </w:rPr>
        <w:t xml:space="preserve">必须保证</w:t>
      </w:r>
      <w:r>
        <w:rPr>
          <w:rFonts w:hint="eastAsia"/>
          <w:color w:val="auto"/>
          <w:szCs w:val="21"/>
          <w:highlight w:val="none"/>
        </w:rPr>
        <w:t xml:space="preserve">响应文件</w:t>
      </w:r>
      <w:r>
        <w:rPr>
          <w:color w:val="auto"/>
          <w:szCs w:val="21"/>
          <w:highlight w:val="none"/>
        </w:rPr>
        <w:t xml:space="preserve">所提供的全部资料真实可靠。</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响应文件</w:t>
      </w:r>
      <w:r>
        <w:rPr>
          <w:color w:val="auto"/>
          <w:szCs w:val="21"/>
          <w:highlight w:val="none"/>
        </w:rPr>
        <w:t xml:space="preserve">须对</w:t>
      </w:r>
      <w:r>
        <w:rPr>
          <w:rFonts w:hint="eastAsia"/>
          <w:color w:val="auto"/>
          <w:szCs w:val="21"/>
          <w:highlight w:val="none"/>
        </w:rPr>
        <w:t xml:space="preserve">磋商文件</w:t>
      </w:r>
      <w:r>
        <w:rPr>
          <w:color w:val="auto"/>
          <w:szCs w:val="21"/>
          <w:highlight w:val="none"/>
        </w:rPr>
        <w:t xml:space="preserve">中的内容做出实质性和完整的响应。</w:t>
      </w:r>
      <w:r/>
    </w:p>
    <w:p>
      <w:pPr>
        <w:pStyle w:val="1149"/>
        <w:ind w:right="210"/>
        <w:spacing w:line="360" w:lineRule="auto"/>
        <w:rPr>
          <w:rFonts w:ascii="Segoe UI Symbol" w:hAnsi="Segoe UI Symbol" w:cs="Segoe UI Symbol"/>
          <w:color w:val="auto"/>
          <w:szCs w:val="21"/>
          <w:highlight w:val="none"/>
        </w:rPr>
      </w:pPr>
      <w:r/>
      <w:bookmarkStart w:id="141" w:name="_Toc31477"/>
      <w:r/>
      <w:bookmarkStart w:id="142"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.报价</w:t>
      </w:r>
      <w:bookmarkEnd w:id="141"/>
      <w:r/>
      <w:bookmarkEnd w:id="142"/>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20.1</w:t>
      </w:r>
      <w:r>
        <w:rPr>
          <w:rFonts w:hint="eastAsia" w:ascii="Microsoft New Tai Lue" w:hAnsi="Microsoft New Tai Lue" w:cs="Microsoft New Tai Lue"/>
          <w:bCs/>
          <w:color w:val="auto"/>
          <w:szCs w:val="21"/>
          <w:highlight w:val="none"/>
        </w:rPr>
        <w:t xml:space="preserve">除非采购文件另有规定，</w:t>
      </w:r>
      <w:r>
        <w:rPr>
          <w:rFonts w:hint="eastAsia"/>
          <w:color w:val="auto"/>
          <w:szCs w:val="21"/>
          <w:highlight w:val="none"/>
        </w:rPr>
        <w:t xml:space="preserve">所有响应均以人民币报价，</w:t>
      </w:r>
      <w:r>
        <w:rPr>
          <w:color w:val="auto"/>
          <w:szCs w:val="21"/>
          <w:highlight w:val="none"/>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20.2</w:t>
      </w:r>
      <w:r>
        <w:rPr>
          <w:rFonts w:ascii="Microsoft New Tai Lue" w:hAnsi="Microsoft New Tai Lue" w:cs="Microsoft New Tai Lue"/>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color w:val="auto"/>
          <w:szCs w:val="21"/>
          <w:highlight w:val="none"/>
        </w:rPr>
        <w:t xml:space="preserve">。</w:t>
      </w:r>
      <w:r/>
    </w:p>
    <w:p>
      <w:pPr>
        <w:ind w:firstLine="420"/>
        <w:spacing w:before="143" w:line="360" w:lineRule="auto"/>
        <w:rPr>
          <w:rFonts w:hint="eastAsia"/>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供应商的</w:t>
      </w:r>
      <w:r>
        <w:rPr>
          <w:color w:val="auto"/>
          <w:szCs w:val="21"/>
          <w:highlight w:val="none"/>
        </w:rPr>
        <w:t xml:space="preserve">报价应包括为完成本项目所发生的</w:t>
      </w:r>
      <w:r>
        <w:rPr>
          <w:rFonts w:hint="eastAsia"/>
          <w:color w:val="auto"/>
          <w:szCs w:val="21"/>
          <w:highlight w:val="none"/>
        </w:rPr>
        <w:t xml:space="preserve">所有</w:t>
      </w:r>
      <w:r>
        <w:rPr>
          <w:color w:val="auto"/>
          <w:szCs w:val="21"/>
          <w:highlight w:val="none"/>
        </w:rPr>
        <w:t xml:space="preserve">费用和税费，包括代垫费用（差旅费、住宿费、通讯费等）、增值税及其他附加税等杂项支出在内的</w:t>
      </w:r>
      <w:r>
        <w:rPr>
          <w:rFonts w:hint="eastAsia"/>
          <w:color w:val="auto"/>
          <w:szCs w:val="21"/>
          <w:highlight w:val="none"/>
        </w:rPr>
        <w:t xml:space="preserve">所有</w:t>
      </w:r>
      <w:r>
        <w:rPr>
          <w:color w:val="auto"/>
          <w:szCs w:val="21"/>
          <w:highlight w:val="none"/>
        </w:rPr>
        <w:t xml:space="preserve">费用和税费，</w:t>
      </w:r>
      <w:r>
        <w:rPr>
          <w:rFonts w:hint="eastAsia"/>
          <w:color w:val="auto"/>
          <w:szCs w:val="21"/>
          <w:highlight w:val="none"/>
        </w:rPr>
        <w:t xml:space="preserve">除磋商文件</w:t>
      </w:r>
      <w:r>
        <w:rPr>
          <w:color w:val="auto"/>
          <w:szCs w:val="21"/>
          <w:highlight w:val="none"/>
        </w:rPr>
        <w:t xml:space="preserve">规定外，采购人将不再支付报价以外的任何费用。</w:t>
      </w:r>
      <w:r>
        <w:rPr>
          <w:rFonts w:hint="eastAsia"/>
          <w:color w:val="auto"/>
          <w:szCs w:val="21"/>
          <w:highlight w:val="none"/>
        </w:rPr>
        <w:t xml:space="preserve">如发生错报、漏报等情形，都被视为供应商的让利行为。供应商</w:t>
      </w:r>
      <w:r>
        <w:rPr>
          <w:color w:val="auto"/>
          <w:szCs w:val="21"/>
          <w:highlight w:val="none"/>
        </w:rPr>
        <w:t xml:space="preserve">估算错误的</w:t>
      </w:r>
      <w:r>
        <w:rPr>
          <w:rFonts w:hint="eastAsia"/>
          <w:color w:val="auto"/>
          <w:szCs w:val="21"/>
          <w:highlight w:val="none"/>
        </w:rPr>
        <w:t xml:space="preserve">相关</w:t>
      </w:r>
      <w:r>
        <w:rPr>
          <w:color w:val="auto"/>
          <w:szCs w:val="21"/>
          <w:highlight w:val="none"/>
        </w:rPr>
        <w:t xml:space="preserve">风险</w:t>
      </w:r>
      <w:r>
        <w:rPr>
          <w:rFonts w:hint="eastAsia"/>
          <w:color w:val="auto"/>
          <w:szCs w:val="21"/>
          <w:highlight w:val="none"/>
        </w:rPr>
        <w:t xml:space="preserve">，</w:t>
      </w:r>
      <w:r>
        <w:rPr>
          <w:color w:val="auto"/>
          <w:szCs w:val="21"/>
          <w:highlight w:val="none"/>
        </w:rPr>
        <w:t xml:space="preserve">由</w:t>
      </w:r>
      <w:r>
        <w:rPr>
          <w:rFonts w:hint="eastAsia"/>
          <w:color w:val="auto"/>
          <w:szCs w:val="21"/>
          <w:highlight w:val="none"/>
        </w:rPr>
        <w:t xml:space="preserve">供应商</w:t>
      </w:r>
      <w:r>
        <w:rPr>
          <w:color w:val="auto"/>
          <w:szCs w:val="21"/>
          <w:highlight w:val="none"/>
        </w:rPr>
        <w:t xml:space="preserve">自行承担</w:t>
      </w:r>
      <w:r>
        <w:rPr>
          <w:rFonts w:hint="eastAsia"/>
          <w:color w:val="auto"/>
          <w:szCs w:val="21"/>
          <w:highlight w:val="none"/>
        </w:rPr>
        <w:t xml:space="preserve">。</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20.4</w:t>
      </w:r>
      <w:r>
        <w:rPr>
          <w:rFonts w:hint="eastAsia"/>
          <w:color w:val="auto"/>
          <w:szCs w:val="21"/>
          <w:highlight w:val="none"/>
        </w:rPr>
        <w:t xml:space="preserve">供应商</w:t>
      </w:r>
      <w:r>
        <w:rPr>
          <w:color w:val="auto"/>
          <w:szCs w:val="21"/>
          <w:highlight w:val="none"/>
        </w:rPr>
        <w:t xml:space="preserve">要按</w:t>
      </w:r>
      <w:r>
        <w:rPr>
          <w:rFonts w:hint="eastAsia"/>
          <w:color w:val="auto"/>
          <w:szCs w:val="21"/>
          <w:highlight w:val="none"/>
        </w:rPr>
        <w:t xml:space="preserve">初始报价一览表</w:t>
      </w:r>
      <w:r>
        <w:rPr>
          <w:color w:val="auto"/>
          <w:szCs w:val="21"/>
          <w:highlight w:val="none"/>
        </w:rPr>
        <w:t xml:space="preserve">的内容填写</w:t>
      </w:r>
      <w:r>
        <w:rPr>
          <w:rFonts w:hint="eastAsia"/>
          <w:color w:val="auto"/>
          <w:szCs w:val="21"/>
          <w:highlight w:val="none"/>
        </w:rPr>
        <w:t xml:space="preserve">磋商</w:t>
      </w:r>
      <w:r>
        <w:rPr>
          <w:color w:val="auto"/>
          <w:szCs w:val="21"/>
          <w:highlight w:val="none"/>
        </w:rPr>
        <w:t xml:space="preserve">报价及其它事项，并由法定代表人（单位负责人）或授权代表签署。</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20.5</w:t>
      </w:r>
      <w:r>
        <w:rPr>
          <w:color w:val="auto"/>
          <w:szCs w:val="21"/>
          <w:highlight w:val="none"/>
        </w:rPr>
        <w:t xml:space="preserve">报价的其他要求见</w:t>
      </w:r>
      <w:r>
        <w:rPr>
          <w:rFonts w:hint="eastAsia"/>
          <w:b/>
          <w:color w:val="auto"/>
          <w:szCs w:val="21"/>
          <w:highlight w:val="none"/>
        </w:rPr>
        <w:t xml:space="preserve">供应商</w:t>
      </w:r>
      <w:r>
        <w:rPr>
          <w:b/>
          <w:color w:val="auto"/>
          <w:szCs w:val="21"/>
          <w:highlight w:val="none"/>
        </w:rPr>
        <w:t xml:space="preserve">须知前附表</w:t>
      </w:r>
      <w:r>
        <w:rPr>
          <w:color w:val="auto"/>
          <w:szCs w:val="21"/>
          <w:highlight w:val="none"/>
        </w:rPr>
        <w:t xml:space="preserve">。</w:t>
      </w:r>
      <w:bookmarkEnd w:id="136"/>
      <w:r/>
      <w:bookmarkEnd w:id="137"/>
      <w:r/>
      <w:r/>
    </w:p>
    <w:p>
      <w:pPr>
        <w:pStyle w:val="1149"/>
        <w:ind w:right="210"/>
        <w:spacing w:line="360" w:lineRule="auto"/>
        <w:rPr>
          <w:rFonts w:ascii="Microsoft New Tai Lue" w:hAnsi="Microsoft New Tai Lue" w:cs="Microsoft New Tai Lue"/>
          <w:color w:val="auto"/>
          <w:highlight w:val="none"/>
        </w:rPr>
      </w:pPr>
      <w:r/>
      <w:bookmarkStart w:id="143" w:name="_Toc107246237"/>
      <w:r/>
      <w:bookmarkStart w:id="144" w:name="_Toc100905224"/>
      <w:r/>
      <w:bookmarkStart w:id="145" w:name="_Toc104560859"/>
      <w:r/>
      <w:bookmarkStart w:id="146" w:name="_Toc103848545"/>
      <w:r/>
      <w:bookmarkStart w:id="147" w:name="_Toc29515"/>
      <w:r/>
      <w:bookmarkStart w:id="148" w:name="_Toc100905223"/>
      <w:r/>
      <w:bookmarkStart w:id="149" w:name="_Toc103848544"/>
      <w:r/>
      <w:bookmarkStart w:id="150" w:name="_Toc96347878"/>
      <w:r>
        <w:rPr>
          <w:rFonts w:ascii="Microsoft New Tai Lue" w:hAnsi="Microsoft New Tai Lue" w:cs="Microsoft New Tai Lue"/>
          <w:color w:val="auto"/>
          <w:highlight w:val="none"/>
        </w:rPr>
        <w:t xml:space="preserve">21.响应有效期</w:t>
      </w:r>
      <w:bookmarkEnd w:id="143"/>
      <w:r/>
      <w:bookmarkEnd w:id="144"/>
      <w:r/>
      <w:bookmarkEnd w:id="145"/>
      <w:r/>
      <w:bookmarkEnd w:id="146"/>
      <w:r/>
      <w:bookmarkEnd w:id="147"/>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21.1响应有效期见</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w:t>
      </w:r>
      <w:r>
        <w:rPr>
          <w:rFonts w:hint="eastAsia" w:ascii="Microsoft New Tai Lue" w:hAnsi="Microsoft New Tai Lue" w:cs="Microsoft New Tai Lue"/>
          <w:bCs/>
          <w:color w:val="auto"/>
          <w:szCs w:val="21"/>
          <w:highlight w:val="none"/>
        </w:rPr>
        <w:t xml:space="preserve">响应</w:t>
      </w:r>
      <w:r>
        <w:rPr>
          <w:rFonts w:ascii="Microsoft New Tai Lue" w:hAnsi="Microsoft New Tai Lue" w:cs="Microsoft New Tai Lue"/>
          <w:bCs/>
          <w:color w:val="auto"/>
          <w:szCs w:val="21"/>
          <w:highlight w:val="none"/>
        </w:rPr>
        <w:t xml:space="preserve">截止之日起计算。</w:t>
      </w:r>
      <w:r>
        <w:rPr>
          <w:rFonts w:ascii="Microsoft New Tai Lue" w:hAnsi="Microsoft New Tai Lue" w:cs="Microsoft New Tai Lue"/>
          <w:b/>
          <w:bCs/>
          <w:color w:val="auto"/>
          <w:szCs w:val="21"/>
          <w:highlight w:val="none"/>
        </w:rPr>
        <w:t xml:space="preserve">响应有效期不足的，在评审时将其视为无效响应。</w:t>
      </w:r>
      <w:r/>
    </w:p>
    <w:p>
      <w:pPr>
        <w:pStyle w:val="1149"/>
        <w:ind w:right="210"/>
        <w:spacing w:line="360" w:lineRule="auto"/>
        <w:rPr>
          <w:rFonts w:ascii="Microsoft New Tai Lue" w:hAnsi="Microsoft New Tai Lue" w:cs="Microsoft New Tai Lue"/>
          <w:color w:val="auto"/>
          <w:highlight w:val="none"/>
        </w:rPr>
      </w:pPr>
      <w:r/>
      <w:bookmarkStart w:id="151" w:name="_Toc4424"/>
      <w:r/>
      <w:bookmarkStart w:id="152" w:name="_Toc104560860"/>
      <w:r/>
      <w:bookmarkStart w:id="153" w:name="_Toc107246238"/>
      <w:r>
        <w:rPr>
          <w:rFonts w:ascii="Microsoft New Tai Lue" w:hAnsi="Microsoft New Tai Lue" w:cs="Microsoft New Tai Lue"/>
          <w:color w:val="auto"/>
          <w:highlight w:val="none"/>
        </w:rPr>
        <w:t xml:space="preserve">22.磋商保证金</w:t>
      </w:r>
      <w:bookmarkEnd w:id="148"/>
      <w:r/>
      <w:bookmarkEnd w:id="149"/>
      <w:r/>
      <w:bookmarkEnd w:id="150"/>
      <w:r/>
      <w:bookmarkEnd w:id="151"/>
      <w:r/>
      <w:bookmarkEnd w:id="152"/>
      <w:r/>
      <w:bookmarkEnd w:id="153"/>
      <w:r/>
      <w:r/>
    </w:p>
    <w:p>
      <w:pPr>
        <w:ind w:firstLine="420"/>
        <w:spacing w:before="143" w:line="360" w:lineRule="auto"/>
        <w:rPr>
          <w:rFonts w:ascii="Microsoft New Tai Lue" w:hAnsi="Microsoft New Tai Lue" w:cs="Microsoft New Tai Lue"/>
          <w:bCs/>
          <w:color w:val="auto"/>
          <w:szCs w:val="21"/>
          <w:highlight w:val="none"/>
        </w:rPr>
      </w:pPr>
      <w:r/>
      <w:bookmarkStart w:id="154" w:name="_Toc420657357"/>
      <w:r/>
      <w:bookmarkStart w:id="155" w:name="_Toc519241651"/>
      <w:r/>
      <w:bookmarkStart w:id="156" w:name="_Toc96347879"/>
      <w:r/>
      <w:bookmarkStart w:id="157" w:name="_Toc466452044"/>
      <w:r/>
      <w:bookmarkStart w:id="158" w:name="_Toc68159552"/>
      <w:r/>
      <w:bookmarkStart w:id="159" w:name="_Toc420487862"/>
      <w:r>
        <w:rPr>
          <w:rFonts w:ascii="Microsoft New Tai Lue" w:hAnsi="Microsoft New Tai Lue" w:cs="Microsoft New Tai Lue"/>
          <w:bCs/>
          <w:color w:val="auto"/>
          <w:szCs w:val="21"/>
          <w:highlight w:val="none"/>
        </w:rPr>
        <w:t xml:space="preserve">22.1本项目是否交纳磋商保证金见</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供应商按照</w:t>
      </w:r>
      <w:r>
        <w:rPr>
          <w:rFonts w:ascii="Microsoft New Tai Lue" w:hAnsi="Microsoft New Tai Lue" w:cs="Microsoft New Tai Lue"/>
          <w:b/>
          <w:bCs/>
          <w:color w:val="auto"/>
          <w:szCs w:val="21"/>
          <w:highlight w:val="none"/>
        </w:rPr>
        <w:t xml:space="preserve">供应商须知前附表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规定的响应文件截止时间前，向采购方提交</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规定的磋商保证金(数额采用四舍五入，计算至元)。磋商保证金有效期应与</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规定的响应有效期一致。</w:t>
      </w:r>
      <w:r>
        <w:rPr>
          <w:rFonts w:hint="eastAsia" w:ascii="Segoe UI Symbol" w:hAnsi="Segoe UI Symbol" w:cs="Segoe UI Symbol"/>
          <w:b/>
          <w:color w:val="auto"/>
          <w:szCs w:val="21"/>
          <w:highlight w:val="none"/>
        </w:rPr>
        <w:t xml:space="preserve">供应商未按规定缴纳磋商保证金的或</w:t>
      </w:r>
      <w:r>
        <w:rPr>
          <w:rFonts w:hint="eastAsia" w:ascii="Microsoft New Tai Lue" w:hAnsi="Microsoft New Tai Lue" w:cs="Microsoft New Tai Lue"/>
          <w:b/>
          <w:bCs/>
          <w:color w:val="auto"/>
          <w:szCs w:val="21"/>
          <w:highlight w:val="none"/>
        </w:rPr>
        <w:t xml:space="preserve">由于到账时间晚于响应文件截止时间的，或者票据错误、印鉴不清等原因导致不能到账的，其响应无效。</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w:t>
      </w:r>
      <w:r>
        <w:rPr>
          <w:rFonts w:ascii="Microsoft New Tai Lue" w:hAnsi="Microsoft New Tai Lue" w:cs="Microsoft New Tai Lue"/>
          <w:b/>
          <w:bCs/>
          <w:color w:val="auto"/>
          <w:szCs w:val="21"/>
          <w:highlight w:val="none"/>
        </w:rPr>
        <w:t xml:space="preserve">联合体</w:t>
      </w:r>
      <w:r>
        <w:rPr>
          <w:rFonts w:hint="eastAsia" w:ascii="Microsoft New Tai Lue" w:hAnsi="Microsoft New Tai Lue" w:cs="Microsoft New Tai Lue"/>
          <w:b/>
          <w:bCs/>
          <w:color w:val="auto"/>
          <w:szCs w:val="21"/>
          <w:highlight w:val="none"/>
        </w:rPr>
        <w:t xml:space="preserve">响应</w:t>
      </w:r>
      <w:r>
        <w:rPr>
          <w:rFonts w:ascii="Microsoft New Tai Lue" w:hAnsi="Microsoft New Tai Lue" w:cs="Microsoft New Tai Lue"/>
          <w:b/>
          <w:bCs/>
          <w:color w:val="auto"/>
          <w:szCs w:val="21"/>
          <w:highlight w:val="none"/>
        </w:rPr>
        <w:t xml:space="preserve">的</w:t>
      </w:r>
      <w:r>
        <w:rPr>
          <w:rFonts w:ascii="Microsoft New Tai Lue" w:hAnsi="Microsoft New Tai Lue" w:cs="Microsoft New Tai Lue"/>
          <w:bCs/>
          <w:color w:val="auto"/>
          <w:szCs w:val="21"/>
          <w:highlight w:val="none"/>
        </w:rPr>
        <w:t xml:space="preserve">，可以由联合体中的一方或者共同提交磋商保证金。以一方名义提交磋商保证金的，对联合体各方均具有约束力。</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w:t>
      </w:r>
      <w:r>
        <w:rPr>
          <w:rFonts w:hint="eastAsia" w:ascii="Microsoft New Tai Lue" w:hAnsi="Microsoft New Tai Lue" w:cs="Microsoft New Tai Lue"/>
          <w:bCs/>
          <w:color w:val="auto"/>
          <w:szCs w:val="21"/>
          <w:highlight w:val="none"/>
        </w:rPr>
        <w:t xml:space="preserve">成交</w:t>
      </w:r>
      <w:r>
        <w:rPr>
          <w:rFonts w:ascii="Microsoft New Tai Lue" w:hAnsi="Microsoft New Tai Lue" w:cs="Microsoft New Tai Lue"/>
          <w:bCs/>
          <w:color w:val="auto"/>
          <w:szCs w:val="21"/>
          <w:highlight w:val="none"/>
        </w:rPr>
        <w:t xml:space="preserve">的供应商的磋商保证金，在成交通知书发出后5个工作日内退还，但因供应商自身原因导致无法及时退还的除外。</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22.5成交的供应商的磋商保证金，在政府采购合同签订后5个工作日内退还成交供应商。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22.6供应商有以下情形之一的，磋商保证金可以不予退还：</w:t>
      </w:r>
      <w:bookmarkEnd w:id="154"/>
      <w:r/>
      <w:bookmarkEnd w:id="155"/>
      <w:r/>
      <w:bookmarkEnd w:id="156"/>
      <w:r/>
      <w:bookmarkEnd w:id="157"/>
      <w:r/>
      <w:bookmarkEnd w:id="158"/>
      <w:r/>
      <w:bookmarkEnd w:id="159"/>
      <w:r/>
      <w:r/>
    </w:p>
    <w:p>
      <w:pPr>
        <w:ind w:firstLine="315"/>
        <w:jc w:val="left"/>
        <w:spacing w:line="360" w:lineRule="auto"/>
        <w:rPr>
          <w:color w:val="auto"/>
          <w:szCs w:val="21"/>
          <w:highlight w:val="none"/>
        </w:rPr>
      </w:pPr>
      <w:r/>
      <w:bookmarkStart w:id="160" w:name="_Toc96347880"/>
      <w:r/>
      <w:bookmarkStart w:id="161" w:name="_Toc103848546"/>
      <w:r/>
      <w:bookmarkStart w:id="162" w:name="_Toc100905225"/>
      <w:r/>
      <w:bookmarkStart w:id="163" w:name="_Toc104560861"/>
      <w:r>
        <w:rPr>
          <w:color w:val="auto"/>
          <w:szCs w:val="21"/>
          <w:highlight w:val="none"/>
        </w:rPr>
        <w:t xml:space="preserve">（1）</w:t>
      </w:r>
      <w:r>
        <w:rPr>
          <w:rFonts w:hint="eastAsia"/>
          <w:color w:val="auto"/>
          <w:szCs w:val="21"/>
          <w:highlight w:val="none"/>
        </w:rPr>
        <w:t xml:space="preserve">供应商在磋商文件规定的响应有效期内撤销其响应文件；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供应商在响应文件中提供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（3）供应商在本次采购活动中存在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成交供应商</w:t>
      </w:r>
      <w:r>
        <w:rPr>
          <w:color w:val="auto"/>
          <w:szCs w:val="21"/>
          <w:highlight w:val="none"/>
        </w:rPr>
        <w:t xml:space="preserve">未能按规定交纳采购代理服务费；</w:t>
      </w:r>
      <w:r/>
    </w:p>
    <w:p>
      <w:pPr>
        <w:ind w:firstLine="315"/>
        <w:jc w:val="left"/>
        <w:spacing w:line="360" w:lineRule="auto"/>
        <w:rPr>
          <w:rFonts w:hint="eastAsia"/>
          <w:color w:val="auto"/>
          <w:szCs w:val="21"/>
          <w:highlight w:val="none"/>
        </w:rPr>
      </w:pPr>
      <w:r>
        <w:rPr>
          <w:color w:val="auto"/>
          <w:szCs w:val="21"/>
          <w:highlight w:val="none"/>
        </w:rPr>
        <w:t xml:space="preserve">（5）</w:t>
      </w:r>
      <w:r>
        <w:rPr>
          <w:rFonts w:hint="eastAsia"/>
          <w:color w:val="auto"/>
          <w:szCs w:val="21"/>
          <w:highlight w:val="none"/>
        </w:rPr>
        <w:t xml:space="preserve">成交供应商</w:t>
      </w:r>
      <w:r>
        <w:rPr>
          <w:color w:val="auto"/>
          <w:szCs w:val="21"/>
          <w:highlight w:val="none"/>
        </w:rPr>
        <w:t xml:space="preserve">在收到</w:t>
      </w:r>
      <w:r>
        <w:rPr>
          <w:rFonts w:hint="eastAsia"/>
          <w:color w:val="auto"/>
          <w:szCs w:val="21"/>
          <w:highlight w:val="none"/>
        </w:rPr>
        <w:t xml:space="preserve">成交</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磋商文件</w:t>
      </w:r>
      <w:r>
        <w:rPr>
          <w:color w:val="auto"/>
          <w:szCs w:val="21"/>
          <w:highlight w:val="none"/>
        </w:rPr>
        <w:t xml:space="preserve">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磋商文件</w:t>
      </w:r>
      <w:r>
        <w:rPr>
          <w:color w:val="auto"/>
          <w:szCs w:val="21"/>
          <w:highlight w:val="none"/>
        </w:rPr>
        <w:t xml:space="preserve">规定的其他可以不予退还</w:t>
      </w:r>
      <w:r>
        <w:rPr>
          <w:rFonts w:hint="eastAsia"/>
          <w:color w:val="auto"/>
          <w:szCs w:val="21"/>
          <w:highlight w:val="none"/>
        </w:rPr>
        <w:t xml:space="preserve">磋商保证金</w:t>
      </w:r>
      <w:r>
        <w:rPr>
          <w:color w:val="auto"/>
          <w:szCs w:val="21"/>
          <w:highlight w:val="none"/>
        </w:rPr>
        <w:t xml:space="preserve">的情形。</w:t>
      </w:r>
      <w:r/>
    </w:p>
    <w:p>
      <w:pPr>
        <w:pStyle w:val="1149"/>
        <w:ind w:right="210"/>
        <w:spacing w:line="360" w:lineRule="auto"/>
        <w:rPr>
          <w:rFonts w:ascii="Microsoft New Tai Lue" w:hAnsi="Microsoft New Tai Lue" w:cs="Microsoft New Tai Lue"/>
          <w:color w:val="auto"/>
          <w:highlight w:val="none"/>
        </w:rPr>
      </w:pPr>
      <w:r/>
      <w:bookmarkStart w:id="164" w:name="_Toc10756"/>
      <w:r/>
      <w:bookmarkStart w:id="165" w:name="_Toc107246239"/>
      <w:r>
        <w:rPr>
          <w:rFonts w:ascii="Microsoft New Tai Lue" w:hAnsi="Microsoft New Tai Lue" w:cs="Microsoft New Tai Lue"/>
          <w:color w:val="auto"/>
          <w:highlight w:val="none"/>
        </w:rPr>
        <w:t xml:space="preserve">23.响应文件的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60"/>
      <w:r/>
      <w:bookmarkEnd w:id="161"/>
      <w:r/>
      <w:bookmarkEnd w:id="162"/>
      <w:r/>
      <w:bookmarkEnd w:id="163"/>
      <w:r/>
      <w:bookmarkEnd w:id="164"/>
      <w:r/>
      <w:bookmarkEnd w:id="165"/>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23.1供应商应严格按照</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要求的份数准备响应文件。纸质文件的正本和副本应装订成册。正本和副本的封面应注明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2"/>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响应文件的正本需打印或用不退色墨水书写，副本可为正本文件的复印件</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本项目无副本）</w:t>
      </w:r>
      <w:r>
        <w:rPr>
          <w:rFonts w:hint="eastAsia" w:ascii="Microsoft New Tai Lue" w:hAnsi="Microsoft New Tai Lue" w:cs="Microsoft New Tai Lue"/>
          <w:bCs/>
          <w:color w:val="auto"/>
          <w:szCs w:val="21"/>
          <w:highlight w:val="none"/>
        </w:rPr>
        <w:t xml:space="preserve">，电子文档应为正本的扫描件。</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供应商</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ascii="Microsoft New Tai Lue" w:hAnsi="Microsoft New Tai Lue" w:cs="Microsoft New Tai Lue"/>
          <w:b/>
          <w:bCs w:val="0"/>
          <w:color w:val="auto"/>
          <w:szCs w:val="21"/>
          <w:highlight w:val="none"/>
        </w:rPr>
        <w:t xml:space="preserve">“法定代表人授权书”</w:t>
      </w:r>
      <w:r>
        <w:rPr>
          <w:rFonts w:ascii="Microsoft New Tai Lue" w:hAnsi="Microsoft New Tai Lue" w:cs="Microsoft New Tai Lue"/>
          <w:b/>
          <w:bCs/>
          <w:color w:val="auto"/>
          <w:szCs w:val="21"/>
          <w:highlight w:val="none"/>
        </w:rPr>
        <w:t xml:space="preserve">（原件，由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w:t>
      </w:r>
      <w:r>
        <w:rPr>
          <w:rFonts w:hint="eastAsia" w:ascii="Microsoft New Tai Lue" w:hAnsi="Microsoft New Tai Lue" w:cs="Microsoft New Tai Lue"/>
          <w:b/>
          <w:bCs/>
          <w:color w:val="auto"/>
          <w:szCs w:val="21"/>
          <w:highlight w:val="none"/>
        </w:rPr>
        <w:t xml:space="preserve">响应</w:t>
      </w:r>
      <w:r>
        <w:rPr>
          <w:rFonts w:ascii="Microsoft New Tai Lue" w:hAnsi="Microsoft New Tai Lue" w:cs="Microsoft New Tai Lue"/>
          <w:b/>
          <w:bCs/>
          <w:color w:val="auto"/>
          <w:szCs w:val="21"/>
          <w:highlight w:val="none"/>
        </w:rPr>
        <w:t xml:space="preserve">。授权书原件须放入正本响应文件中。</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23.3响应文件规定盖章的地方，应盖单位公章（文件中的单位盖章、印章、公章等处均仅指与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，如供应商为自然人可不加盖公章，仅由本人签字）。</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除</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对错处做必要修改外，响应文件不得行间插字、涂改或增删。如有修改错漏处，必须由法定代表人或其授权代表签字或盖章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rFonts w:hint="eastAsia"/>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5</w:t>
      </w:r>
      <w:r>
        <w:rPr>
          <w:rFonts w:hint="eastAsia"/>
          <w:color w:val="auto"/>
          <w:szCs w:val="21"/>
          <w:highlight w:val="none"/>
        </w:rPr>
        <w:t xml:space="preserve">响应文件建议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响应文件</w:t>
      </w:r>
      <w:r>
        <w:rPr>
          <w:color w:val="auto"/>
          <w:szCs w:val="21"/>
          <w:highlight w:val="none"/>
        </w:rPr>
        <w:t xml:space="preserve">须逐页编制页码并插入目录，便于采购人查阅文件。为节约纸张，建议尽量双面打印并装订成册。</w:t>
      </w:r>
      <w:r/>
    </w:p>
    <w:p>
      <w:pPr>
        <w:pStyle w:val="1149"/>
        <w:ind w:right="210"/>
        <w:spacing w:line="360" w:lineRule="auto"/>
        <w:rPr>
          <w:rFonts w:ascii="Microsoft New Tai Lue" w:hAnsi="Microsoft New Tai Lue" w:cs="Microsoft New Tai Lue"/>
          <w:color w:val="auto"/>
          <w:highlight w:val="none"/>
        </w:rPr>
      </w:pPr>
      <w:r/>
      <w:bookmarkStart w:id="166" w:name="_Toc12448"/>
      <w:r/>
      <w:bookmarkStart w:id="167" w:name="_Toc107246240"/>
      <w:r>
        <w:rPr>
          <w:rFonts w:ascii="Microsoft New Tai Lue" w:hAnsi="Microsoft New Tai Lue" w:cs="Microsoft New Tai Lue"/>
          <w:color w:val="auto"/>
          <w:highlight w:val="none"/>
        </w:rPr>
        <w:t xml:space="preserve">四．响应文件的提交</w:t>
      </w:r>
      <w:bookmarkEnd w:id="166"/>
      <w:r/>
      <w:bookmarkEnd w:id="167"/>
      <w:r/>
      <w:r/>
    </w:p>
    <w:p>
      <w:pPr>
        <w:pStyle w:val="1149"/>
        <w:ind w:right="210"/>
        <w:spacing w:line="360" w:lineRule="auto"/>
        <w:rPr>
          <w:rFonts w:hint="default" w:ascii="Microsoft New Tai Lue" w:hAnsi="Microsoft New Tai Lue" w:eastAsia="楷体_GB2312" w:cs="Microsoft New Tai Lue"/>
          <w:color w:val="auto"/>
          <w:highlight w:val="none"/>
          <w:lang w:val="en-US" w:eastAsia="zh-CN"/>
        </w:rPr>
      </w:pPr>
      <w:r/>
      <w:bookmarkStart w:id="168" w:name="_Toc107246241"/>
      <w:r/>
      <w:bookmarkStart w:id="169" w:name="_Toc100905226"/>
      <w:r/>
      <w:bookmarkStart w:id="170" w:name="_Toc96347881"/>
      <w:r/>
      <w:bookmarkStart w:id="171" w:name="_Toc28558"/>
      <w:r/>
      <w:bookmarkStart w:id="172" w:name="_Toc104560863"/>
      <w:r/>
      <w:bookmarkStart w:id="173" w:name="_Toc103848548"/>
      <w:r>
        <w:rPr>
          <w:rFonts w:ascii="Microsoft New Tai Lue" w:hAnsi="Microsoft New Tai Lue" w:cs="Microsoft New Tai Lue"/>
          <w:color w:val="auto"/>
          <w:highlight w:val="none"/>
        </w:rPr>
        <w:t xml:space="preserve">24.响应文件的密封和标记</w:t>
      </w:r>
      <w:bookmarkEnd w:id="168"/>
      <w:r/>
      <w:bookmarkEnd w:id="169"/>
      <w:r/>
      <w:bookmarkEnd w:id="170"/>
      <w:r/>
      <w:bookmarkEnd w:id="171"/>
      <w:r/>
      <w:bookmarkEnd w:id="172"/>
      <w:r/>
      <w:bookmarkEnd w:id="173"/>
      <w:r>
        <w:rPr>
          <w:rFonts w:hint="eastAsia" w:ascii="Microsoft New Tai Lue" w:hAnsi="Microsoft New Tai Lue" w:cs="Microsoft New Tai Lue"/>
          <w:color w:val="auto"/>
          <w:highlight w:val="none"/>
          <w:lang w:eastAsia="zh-CN"/>
        </w:rPr>
        <w:t xml:space="preserve">（</w:t>
      </w:r>
      <w:r>
        <w:rPr>
          <w:rFonts w:hint="eastAsia" w:ascii="Microsoft New Tai Lue" w:hAnsi="Microsoft New Tai Lue" w:cs="Microsoft New Tai Lue"/>
          <w:color w:val="auto"/>
          <w:highlight w:val="none"/>
          <w:lang w:val="en-US" w:eastAsia="zh-CN"/>
        </w:rPr>
        <w:t xml:space="preserve">不适用）</w:t>
      </w:r>
      <w:r/>
    </w:p>
    <w:p>
      <w:pPr>
        <w:ind w:firstLine="420"/>
        <w:jc w:val="left"/>
        <w:spacing w:line="360" w:lineRule="auto"/>
        <w:rPr>
          <w:color w:val="auto"/>
          <w:szCs w:val="21"/>
          <w:highlight w:val="none"/>
        </w:rPr>
      </w:pPr>
      <w:r/>
      <w:bookmarkStart w:id="174" w:name="_Toc38933357"/>
      <w:r/>
      <w:bookmarkStart w:id="175" w:name="_Toc91399404"/>
      <w:r/>
      <w:bookmarkStart w:id="176" w:name="_Toc5042"/>
      <w:r/>
      <w:bookmarkStart w:id="177" w:name="_Toc51928343"/>
      <w:r/>
      <w:bookmarkStart w:id="178" w:name="_Toc40202948"/>
      <w:r/>
      <w:bookmarkStart w:id="179" w:name="_Toc19963"/>
      <w:r/>
      <w:bookmarkStart w:id="180" w:name="_Toc97561941"/>
      <w:r/>
      <w:bookmarkStart w:id="181" w:name="_Toc50528805"/>
      <w:r/>
      <w:bookmarkStart w:id="182" w:name="_Toc46960670"/>
      <w:r/>
      <w:bookmarkStart w:id="183" w:name="_Toc46939510"/>
      <w:r/>
      <w:bookmarkStart w:id="184" w:name="_Toc38931800"/>
      <w:r/>
      <w:bookmarkStart w:id="185" w:name="_Toc469850063"/>
      <w:r/>
      <w:bookmarkStart w:id="186" w:name="_Toc11464"/>
      <w:r/>
      <w:bookmarkStart w:id="187" w:name="_Toc11952"/>
      <w:r/>
      <w:bookmarkStart w:id="188" w:name="_Toc96347882"/>
      <w:r/>
      <w:bookmarkStart w:id="189" w:name="_Toc38931614"/>
      <w:r/>
      <w:bookmarkStart w:id="190" w:name="_Toc100905227"/>
      <w:r/>
      <w:bookmarkStart w:id="191" w:name="_Toc4536"/>
      <w:r/>
      <w:bookmarkStart w:id="192" w:name="_Toc89586904"/>
      <w:r/>
      <w:bookmarkStart w:id="193" w:name="_Toc48151397"/>
      <w:r/>
      <w:bookmarkStart w:id="194" w:name="_Toc46219699"/>
      <w:r/>
      <w:bookmarkStart w:id="195" w:name="_Toc103848549"/>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响应文件</w:t>
      </w:r>
      <w:r>
        <w:rPr>
          <w:color w:val="auto"/>
          <w:szCs w:val="21"/>
          <w:highlight w:val="none"/>
        </w:rPr>
        <w:t xml:space="preserve">的正本、副本以及电子文档均应密封送达</w:t>
      </w:r>
      <w:r>
        <w:rPr>
          <w:rFonts w:hint="eastAsia"/>
          <w:color w:val="auto"/>
          <w:szCs w:val="21"/>
          <w:highlight w:val="none"/>
        </w:rPr>
        <w:t xml:space="preserve">磋商</w:t>
      </w:r>
      <w:r>
        <w:rPr>
          <w:color w:val="auto"/>
          <w:szCs w:val="21"/>
          <w:highlight w:val="none"/>
        </w:rPr>
        <w:t xml:space="preserve">地点，密封包装上按照</w:t>
      </w:r>
      <w:r>
        <w:rPr>
          <w:rFonts w:hint="eastAsia"/>
          <w:b/>
          <w:color w:val="auto"/>
          <w:szCs w:val="21"/>
          <w:highlight w:val="none"/>
        </w:rPr>
        <w:t xml:space="preserve">供应商</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响应文件</w:t>
      </w:r>
      <w:r>
        <w:rPr>
          <w:b/>
          <w:color w:val="auto"/>
          <w:szCs w:val="21"/>
          <w:highlight w:val="none"/>
        </w:rPr>
        <w:t xml:space="preserve">，将被拒绝。</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96" w:name="_Toc104560864"/>
      <w:r>
        <w:rPr>
          <w:rFonts w:ascii="Microsoft New Tai Lue" w:hAnsi="Microsoft New Tai Lue" w:cs="Microsoft New Tai Lue"/>
          <w:bCs/>
          <w:color w:val="auto"/>
          <w:szCs w:val="21"/>
          <w:highlight w:val="none"/>
        </w:rPr>
        <w:t xml:space="preserve">4</w:t>
      </w:r>
      <w:r>
        <w:rPr>
          <w:rFonts w:hint="eastAsia" w:ascii="Microsoft New Tai Lue" w:hAnsi="Microsoft New Tai Lue" w:cs="Microsoft New Tai Lue"/>
          <w:bCs/>
          <w:color w:val="auto"/>
          <w:szCs w:val="21"/>
          <w:highlight w:val="none"/>
        </w:rPr>
        <w:t xml:space="preserve">磋商开始</w:t>
      </w:r>
      <w:r>
        <w:rPr>
          <w:rFonts w:ascii="Microsoft New Tai Lue" w:hAnsi="Microsoft New Tai Lue" w:cs="Microsoft New Tai Lue"/>
          <w:bCs/>
          <w:color w:val="auto"/>
          <w:szCs w:val="21"/>
          <w:highlight w:val="none"/>
        </w:rPr>
        <w:t xml:space="preserve">后，不论</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成交与否，响应文件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1149"/>
        <w:ind w:right="210"/>
        <w:spacing w:line="360" w:lineRule="auto"/>
        <w:rPr>
          <w:rFonts w:ascii="Microsoft New Tai Lue" w:hAnsi="Microsoft New Tai Lue" w:cs="Microsoft New Tai Lue"/>
          <w:color w:val="auto"/>
          <w:highlight w:val="none"/>
        </w:rPr>
      </w:pPr>
      <w:r/>
      <w:bookmarkStart w:id="197" w:name="_Toc10991"/>
      <w:r/>
      <w:bookmarkStart w:id="198" w:name="_Toc107246242"/>
      <w:r>
        <w:rPr>
          <w:rFonts w:ascii="Microsoft New Tai Lue" w:hAnsi="Microsoft New Tai Lue" w:cs="Microsoft New Tai Lue"/>
          <w:color w:val="auto"/>
          <w:highlight w:val="none"/>
        </w:rPr>
        <w:t xml:space="preserve">25.</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Microsoft New Tai Lue" w:hAnsi="Microsoft New Tai Lue" w:cs="Microsoft New Tai Lue"/>
          <w:color w:val="auto"/>
          <w:highlight w:val="none"/>
        </w:rPr>
        <w:t xml:space="preserve">响应文件截止时间</w:t>
      </w:r>
      <w:bookmarkEnd w:id="197"/>
      <w:r/>
      <w:bookmarkEnd w:id="198"/>
      <w:r/>
      <w:r/>
    </w:p>
    <w:p>
      <w:pPr>
        <w:ind w:firstLine="420"/>
        <w:spacing w:before="143" w:line="360" w:lineRule="auto"/>
        <w:rPr>
          <w:rFonts w:ascii="Microsoft New Tai Lue" w:hAnsi="Microsoft New Tai Lue" w:cs="Microsoft New Tai Lue"/>
          <w:bCs/>
          <w:color w:val="auto"/>
          <w:szCs w:val="21"/>
          <w:highlight w:val="none"/>
        </w:rPr>
      </w:pPr>
      <w:r/>
      <w:bookmarkStart w:id="199" w:name="_Toc96347883"/>
      <w:r>
        <w:rPr>
          <w:rFonts w:ascii="Microsoft New Tai Lue" w:hAnsi="Microsoft New Tai Lue" w:cs="Microsoft New Tai Lue"/>
          <w:bCs/>
          <w:color w:val="auto"/>
          <w:szCs w:val="21"/>
          <w:highlight w:val="none"/>
        </w:rPr>
        <w:t xml:space="preserve">25.1响应文件应在</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w:t>
      </w:r>
      <w:r>
        <w:rPr>
          <w:rFonts w:hint="eastAsia" w:ascii="Microsoft New Tai Lue" w:hAnsi="Microsoft New Tai Lue" w:cs="Microsoft New Tai Lue"/>
          <w:bCs/>
          <w:color w:val="auto"/>
          <w:szCs w:val="21"/>
          <w:highlight w:val="none"/>
        </w:rPr>
        <w:t xml:space="preserve">提交响应文件</w:t>
      </w:r>
      <w:r>
        <w:rPr>
          <w:rFonts w:ascii="Microsoft New Tai Lue" w:hAnsi="Microsoft New Tai Lue" w:cs="Microsoft New Tai Lue"/>
          <w:bCs/>
          <w:color w:val="auto"/>
          <w:szCs w:val="21"/>
          <w:highlight w:val="none"/>
        </w:rPr>
        <w:t xml:space="preserve">截止时间之前密封送到</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指定的地点。</w:t>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w:t>
      </w:r>
      <w:r>
        <w:rPr>
          <w:rFonts w:hint="eastAsia" w:ascii="Microsoft New Tai Lue" w:hAnsi="Microsoft New Tai Lue" w:cs="Microsoft New Tai Lue"/>
          <w:b/>
          <w:bCs/>
          <w:color w:val="auto"/>
          <w:szCs w:val="21"/>
          <w:highlight w:val="none"/>
        </w:rPr>
        <w:t xml:space="preserve">响应文件</w:t>
      </w:r>
      <w:r>
        <w:rPr>
          <w:rFonts w:ascii="Microsoft New Tai Lue" w:hAnsi="Microsoft New Tai Lue" w:cs="Microsoft New Tai Lue"/>
          <w:b/>
          <w:bCs/>
          <w:color w:val="auto"/>
          <w:szCs w:val="21"/>
          <w:highlight w:val="none"/>
        </w:rPr>
        <w:t xml:space="preserve">截止时间后收到的任何响应文件。</w:t>
      </w:r>
      <w:r/>
    </w:p>
    <w:p>
      <w:pPr>
        <w:pStyle w:val="1149"/>
        <w:ind w:right="210"/>
        <w:spacing w:line="360" w:lineRule="auto"/>
        <w:rPr>
          <w:rFonts w:ascii="Microsoft New Tai Lue" w:hAnsi="Microsoft New Tai Lue" w:cs="Microsoft New Tai Lue"/>
          <w:color w:val="auto"/>
          <w:highlight w:val="none"/>
        </w:rPr>
      </w:pPr>
      <w:r/>
      <w:bookmarkStart w:id="200" w:name="_Toc32505"/>
      <w:r/>
      <w:bookmarkStart w:id="201" w:name="_Toc100905228"/>
      <w:r/>
      <w:bookmarkStart w:id="202" w:name="_Toc107246243"/>
      <w:r/>
      <w:bookmarkStart w:id="203" w:name="_Toc103848550"/>
      <w:r/>
      <w:bookmarkStart w:id="204" w:name="_Toc104560865"/>
      <w:r>
        <w:rPr>
          <w:rFonts w:ascii="Microsoft New Tai Lue" w:hAnsi="Microsoft New Tai Lue" w:cs="Microsoft New Tai Lue"/>
          <w:color w:val="auto"/>
          <w:highlight w:val="none"/>
        </w:rPr>
        <w:t xml:space="preserve">26.响应文件的修改和撤回</w:t>
      </w:r>
      <w:bookmarkEnd w:id="199"/>
      <w:r/>
      <w:bookmarkEnd w:id="200"/>
      <w:r/>
      <w:bookmarkEnd w:id="201"/>
      <w:r/>
      <w:bookmarkEnd w:id="202"/>
      <w:r/>
      <w:bookmarkEnd w:id="203"/>
      <w:r/>
      <w:bookmarkEnd w:id="204"/>
      <w:r/>
      <w:bookmarkEnd w:id="131"/>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供应商应当在磋商文件要求的截止时间前，将响应文件密封送达指定地点。在截止时间后送达的响应文件为无效文件，采购方或者磋商小组应当拒收。</w:t>
      </w:r>
      <w:r/>
    </w:p>
    <w:p>
      <w:pPr>
        <w:ind w:firstLine="420"/>
        <w:spacing w:before="143"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6.2</w:t>
      </w:r>
      <w:r>
        <w:rPr>
          <w:rFonts w:hint="eastAsia" w:ascii="Microsoft New Tai Lue" w:hAnsi="Microsoft New Tai Lue" w:cs="Microsoft New Tai Lue"/>
          <w:bCs/>
          <w:color w:val="auto"/>
          <w:szCs w:val="21"/>
          <w:highlight w:val="none"/>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26.3</w:t>
      </w:r>
      <w:r>
        <w:rPr>
          <w:rFonts w:hint="eastAsia"/>
          <w:color w:val="auto"/>
          <w:szCs w:val="21"/>
          <w:highlight w:val="none"/>
        </w:rPr>
        <w:t xml:space="preserve">供应商</w:t>
      </w:r>
      <w:r>
        <w:rPr>
          <w:color w:val="auto"/>
          <w:szCs w:val="21"/>
          <w:highlight w:val="none"/>
        </w:rPr>
        <w:t xml:space="preserve">对</w:t>
      </w:r>
      <w:r>
        <w:rPr>
          <w:rFonts w:hint="eastAsia"/>
          <w:color w:val="auto"/>
          <w:szCs w:val="21"/>
          <w:highlight w:val="none"/>
        </w:rPr>
        <w:t xml:space="preserve">响应文件</w:t>
      </w:r>
      <w:r>
        <w:rPr>
          <w:color w:val="auto"/>
          <w:szCs w:val="21"/>
          <w:highlight w:val="none"/>
        </w:rPr>
        <w:t xml:space="preserve">的补充、修改的内容应当按照磋商文件要求签署、盖章、密封后，作为</w:t>
      </w:r>
      <w:r>
        <w:rPr>
          <w:rFonts w:hint="eastAsia"/>
          <w:color w:val="auto"/>
          <w:szCs w:val="21"/>
          <w:highlight w:val="none"/>
        </w:rPr>
        <w:t xml:space="preserve">响应文件</w:t>
      </w:r>
      <w:r>
        <w:rPr>
          <w:color w:val="auto"/>
          <w:szCs w:val="21"/>
          <w:highlight w:val="none"/>
        </w:rPr>
        <w:t xml:space="preserve">的组成部分。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w:t>
      </w:r>
      <w:r>
        <w:rPr>
          <w:rFonts w:hint="eastAsia" w:ascii="Microsoft New Tai Lue" w:hAnsi="Microsoft New Tai Lue" w:cs="Microsoft New Tai Lue"/>
          <w:bCs/>
          <w:color w:val="auto"/>
          <w:szCs w:val="21"/>
          <w:highlight w:val="none"/>
        </w:rPr>
        <w:t xml:space="preserve">提交</w:t>
      </w:r>
      <w:r>
        <w:rPr>
          <w:rFonts w:ascii="Microsoft New Tai Lue" w:hAnsi="Microsoft New Tai Lue" w:cs="Microsoft New Tai Lue"/>
          <w:bCs/>
          <w:color w:val="auto"/>
          <w:szCs w:val="21"/>
          <w:highlight w:val="none"/>
        </w:rPr>
        <w:t xml:space="preserve">响应文件截止时间之后，</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不得对其响应文件作任何修改。</w:t>
      </w:r>
      <w:r/>
    </w:p>
    <w:p>
      <w:pPr>
        <w:pStyle w:val="1149"/>
        <w:ind w:right="210"/>
        <w:spacing w:line="360" w:lineRule="auto"/>
        <w:rPr>
          <w:rFonts w:ascii="Microsoft New Tai Lue" w:hAnsi="Microsoft New Tai Lue" w:cs="Microsoft New Tai Lue"/>
          <w:color w:val="auto"/>
          <w:highlight w:val="none"/>
        </w:rPr>
      </w:pPr>
      <w:r/>
      <w:bookmarkStart w:id="205" w:name="_Toc25671"/>
      <w:r/>
      <w:bookmarkStart w:id="206" w:name="_Toc107246244"/>
      <w:r/>
      <w:bookmarkStart w:id="207" w:name="_Toc103848551"/>
      <w:r/>
      <w:bookmarkStart w:id="208" w:name="_Toc104560866"/>
      <w:r>
        <w:rPr>
          <w:rFonts w:ascii="Microsoft New Tai Lue" w:hAnsi="Microsoft New Tai Lue" w:cs="Microsoft New Tai Lue"/>
          <w:color w:val="auto"/>
          <w:highlight w:val="none"/>
        </w:rPr>
        <w:t xml:space="preserve">27.诚实信用</w:t>
      </w:r>
      <w:bookmarkEnd w:id="205"/>
      <w:r/>
      <w:bookmarkEnd w:id="206"/>
      <w:r/>
      <w:bookmarkEnd w:id="207"/>
      <w:r/>
      <w:bookmarkEnd w:id="208"/>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27.2在评审过程中发现供应商有上述情形的，</w:t>
      </w:r>
      <w:r>
        <w:rPr>
          <w:rFonts w:ascii="Microsoft New Tai Lue" w:hAnsi="Microsoft New Tai Lue" w:cs="Microsoft New Tai Lue"/>
          <w:b/>
          <w:bCs/>
          <w:color w:val="auto"/>
          <w:szCs w:val="21"/>
          <w:highlight w:val="none"/>
        </w:rPr>
        <w:t xml:space="preserve">磋商小组应当认定其</w:t>
      </w:r>
      <w:r>
        <w:rPr>
          <w:rFonts w:hint="eastAsia" w:ascii="Microsoft New Tai Lue" w:hAnsi="Microsoft New Tai Lue" w:cs="Microsoft New Tai Lue"/>
          <w:b/>
          <w:bCs/>
          <w:color w:val="auto"/>
          <w:szCs w:val="21"/>
          <w:highlight w:val="none"/>
        </w:rPr>
        <w:t xml:space="preserve">响应</w:t>
      </w:r>
      <w:r>
        <w:rPr>
          <w:rFonts w:ascii="Microsoft New Tai Lue" w:hAnsi="Microsoft New Tai Lue" w:cs="Microsoft New Tai Lue"/>
          <w:b/>
          <w:bCs/>
          <w:color w:val="auto"/>
          <w:szCs w:val="21"/>
          <w:highlight w:val="none"/>
        </w:rPr>
        <w:t xml:space="preserve">无效</w:t>
      </w:r>
      <w:r>
        <w:rPr>
          <w:rFonts w:ascii="Microsoft New Tai Lue" w:hAnsi="Microsoft New Tai Lue" w:cs="Microsoft New Tai Lue"/>
          <w:bCs/>
          <w:color w:val="auto"/>
          <w:szCs w:val="21"/>
          <w:highlight w:val="none"/>
        </w:rPr>
        <w:t xml:space="preserve">，并书面报告本级财政部门。</w:t>
      </w:r>
      <w:r/>
    </w:p>
    <w:p>
      <w:pPr>
        <w:pStyle w:val="1149"/>
        <w:ind w:right="210"/>
        <w:spacing w:line="360" w:lineRule="auto"/>
        <w:rPr>
          <w:rFonts w:hint="eastAsia" w:ascii="Microsoft New Tai Lue" w:hAnsi="Microsoft New Tai Lue" w:cs="Microsoft New Tai Lue"/>
          <w:color w:val="auto"/>
          <w:highlight w:val="none"/>
        </w:rPr>
      </w:pPr>
      <w:r/>
      <w:bookmarkStart w:id="209" w:name="_Toc107246245"/>
      <w:r/>
      <w:bookmarkStart w:id="210" w:name="_Toc29772"/>
      <w:r>
        <w:rPr>
          <w:rFonts w:ascii="Microsoft New Tai Lue" w:hAnsi="Microsoft New Tai Lue" w:cs="Microsoft New Tai Lue"/>
          <w:color w:val="auto"/>
          <w:highlight w:val="none"/>
        </w:rPr>
        <w:t xml:space="preserve">五．</w:t>
      </w:r>
      <w:r>
        <w:rPr>
          <w:rFonts w:hint="eastAsia" w:ascii="Microsoft New Tai Lue" w:hAnsi="Microsoft New Tai Lue" w:cs="Microsoft New Tai Lue"/>
          <w:color w:val="auto"/>
          <w:highlight w:val="none"/>
        </w:rPr>
        <w:t xml:space="preserve">开启</w:t>
      </w:r>
      <w:r>
        <w:rPr>
          <w:rFonts w:ascii="Microsoft New Tai Lue" w:hAnsi="Microsoft New Tai Lue" w:cs="Microsoft New Tai Lue"/>
          <w:color w:val="auto"/>
          <w:highlight w:val="none"/>
        </w:rPr>
        <w:t xml:space="preserve">和</w:t>
      </w:r>
      <w:bookmarkEnd w:id="209"/>
      <w:r/>
      <w:bookmarkStart w:id="211" w:name="_Toc96347885"/>
      <w:r>
        <w:rPr>
          <w:rFonts w:hint="eastAsia" w:ascii="Microsoft New Tai Lue" w:hAnsi="Microsoft New Tai Lue" w:cs="Microsoft New Tai Lue"/>
          <w:color w:val="auto"/>
          <w:highlight w:val="none"/>
        </w:rPr>
        <w:t xml:space="preserve">评审</w:t>
      </w:r>
      <w:bookmarkEnd w:id="210"/>
      <w:r/>
      <w:r/>
    </w:p>
    <w:p>
      <w:pPr>
        <w:pStyle w:val="1149"/>
        <w:ind w:right="210"/>
        <w:spacing w:line="360" w:lineRule="auto"/>
        <w:rPr>
          <w:rFonts w:hint="eastAsia" w:ascii="Microsoft New Tai Lue" w:hAnsi="Microsoft New Tai Lue" w:cs="Microsoft New Tai Lue"/>
          <w:color w:val="auto"/>
          <w:highlight w:val="none"/>
        </w:rPr>
      </w:pPr>
      <w:r/>
      <w:bookmarkStart w:id="212" w:name="_Toc107246246"/>
      <w:r/>
      <w:bookmarkStart w:id="213" w:name="_Toc103848553"/>
      <w:r/>
      <w:bookmarkStart w:id="214" w:name="_Toc104560868"/>
      <w:r/>
      <w:bookmarkStart w:id="215" w:name="_Toc100905230"/>
      <w:r/>
      <w:bookmarkStart w:id="216" w:name="_Toc6113"/>
      <w:r>
        <w:rPr>
          <w:rFonts w:ascii="Microsoft New Tai Lue" w:hAnsi="Microsoft New Tai Lue" w:cs="Microsoft New Tai Lue"/>
          <w:color w:val="auto"/>
          <w:highlight w:val="none"/>
        </w:rPr>
        <w:t xml:space="preserve">28.</w:t>
      </w:r>
      <w:bookmarkEnd w:id="211"/>
      <w:r/>
      <w:bookmarkEnd w:id="212"/>
      <w:r/>
      <w:bookmarkEnd w:id="213"/>
      <w:r/>
      <w:bookmarkEnd w:id="214"/>
      <w:r/>
      <w:bookmarkEnd w:id="215"/>
      <w:r>
        <w:rPr>
          <w:rFonts w:hint="eastAsia" w:ascii="Microsoft New Tai Lue" w:hAnsi="Microsoft New Tai Lue" w:cs="Microsoft New Tai Lue"/>
          <w:color w:val="auto"/>
          <w:highlight w:val="none"/>
        </w:rPr>
        <w:t xml:space="preserve">开启</w:t>
      </w:r>
      <w:bookmarkEnd w:id="216"/>
      <w:r/>
      <w:r/>
    </w:p>
    <w:p>
      <w:pPr>
        <w:ind w:firstLine="420"/>
        <w:spacing w:before="143" w:line="360" w:lineRule="auto"/>
        <w:rPr>
          <w:rFonts w:ascii="Microsoft New Tai Lue" w:hAnsi="Microsoft New Tai Lue" w:cs="Microsoft New Tai Lue"/>
          <w:bCs/>
          <w:color w:val="auto"/>
          <w:szCs w:val="21"/>
          <w:highlight w:val="none"/>
        </w:rPr>
      </w:pPr>
      <w:r/>
      <w:bookmarkStart w:id="217" w:name="_Toc96347886"/>
      <w:r>
        <w:rPr>
          <w:rFonts w:ascii="Microsoft New Tai Lue" w:hAnsi="Microsoft New Tai Lue" w:cs="Microsoft New Tai Lue"/>
          <w:bCs/>
          <w:color w:val="auto"/>
          <w:szCs w:val="21"/>
          <w:highlight w:val="none"/>
        </w:rPr>
        <w:t xml:space="preserve">28.1</w:t>
      </w:r>
      <w:r>
        <w:rPr>
          <w:rFonts w:hint="eastAsia" w:ascii="Microsoft New Tai Lue" w:hAnsi="Microsoft New Tai Lue" w:cs="Microsoft New Tai Lue"/>
          <w:bCs/>
          <w:color w:val="auto"/>
          <w:szCs w:val="21"/>
          <w:highlight w:val="none"/>
        </w:rPr>
        <w:t xml:space="preserve">磋商开始时，采购代理机构将组织查验响应文件的密封情况，确认无误后拆封响应文件。</w:t>
      </w:r>
      <w:bookmarkEnd w:id="217"/>
      <w:r/>
      <w:r/>
    </w:p>
    <w:p>
      <w:pPr>
        <w:ind w:firstLine="420"/>
        <w:spacing w:before="143" w:line="360" w:lineRule="auto"/>
        <w:rPr>
          <w:rFonts w:ascii="Microsoft New Tai Lue" w:hAnsi="Microsoft New Tai Lue" w:cs="Microsoft New Tai Lue"/>
          <w:bCs/>
          <w:color w:val="auto"/>
          <w:szCs w:val="21"/>
          <w:highlight w:val="none"/>
        </w:rPr>
      </w:pPr>
      <w:r/>
      <w:bookmarkStart w:id="218" w:name="_Toc100905231"/>
      <w:r>
        <w:rPr>
          <w:rFonts w:ascii="Microsoft New Tai Lue" w:hAnsi="Microsoft New Tai Lue" w:cs="Microsoft New Tai Lue"/>
          <w:bCs/>
          <w:color w:val="auto"/>
          <w:szCs w:val="21"/>
          <w:highlight w:val="none"/>
        </w:rPr>
        <w:t xml:space="preserve">28.2供应商代表认为采购方相关工作人员有需要回避的情形的，</w:t>
      </w:r>
      <w:r>
        <w:rPr>
          <w:rFonts w:hint="eastAsia" w:ascii="Microsoft New Tai Lue" w:hAnsi="Microsoft New Tai Lue" w:cs="Microsoft New Tai Lue"/>
          <w:bCs/>
          <w:color w:val="auto"/>
          <w:szCs w:val="21"/>
          <w:highlight w:val="none"/>
        </w:rPr>
        <w:t xml:space="preserve">可以向采购方书面提出</w:t>
      </w:r>
      <w:r>
        <w:rPr>
          <w:rFonts w:ascii="Microsoft New Tai Lue" w:hAnsi="Microsoft New Tai Lue" w:cs="Microsoft New Tai Lue"/>
          <w:bCs/>
          <w:color w:val="auto"/>
          <w:szCs w:val="21"/>
          <w:highlight w:val="none"/>
        </w:rPr>
        <w:t xml:space="preserve">回避申请。采购方对供应商代表提出的回避申请及时处理。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w:t>
      </w:r>
      <w:r>
        <w:rPr>
          <w:rFonts w:hint="eastAsia" w:ascii="Microsoft New Tai Lue" w:hAnsi="Microsoft New Tai Lue" w:cs="Microsoft New Tai Lue"/>
          <w:bCs/>
          <w:color w:val="auto"/>
          <w:szCs w:val="21"/>
          <w:highlight w:val="none"/>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20"/>
        <w:spacing w:before="143" w:line="360" w:lineRule="auto"/>
        <w:rPr>
          <w:rFonts w:ascii="Microsoft New Tai Lue" w:hAnsi="Microsoft New Tai Lue" w:cs="Microsoft New Tai Lue"/>
          <w:bCs/>
          <w:color w:val="auto"/>
          <w:szCs w:val="21"/>
          <w:highlight w:val="none"/>
        </w:rPr>
      </w:pPr>
      <w:r/>
      <w:bookmarkStart w:id="219" w:name="_Toc520356165"/>
      <w:r>
        <w:rPr>
          <w:rFonts w:ascii="Microsoft New Tai Lue" w:hAnsi="Microsoft New Tai Lue" w:cs="Microsoft New Tai Lue"/>
          <w:bCs/>
          <w:color w:val="auto"/>
          <w:szCs w:val="21"/>
          <w:highlight w:val="none"/>
        </w:rPr>
        <w:t xml:space="preserve">28.4本项目不公开报价。</w:t>
      </w:r>
      <w:bookmarkEnd w:id="219"/>
      <w:r/>
      <w:bookmarkStart w:id="220" w:name="_Toc104560870"/>
      <w:r/>
      <w:bookmarkStart w:id="221" w:name="_Toc103848555"/>
      <w:r/>
      <w:bookmarkStart w:id="222" w:name="_Toc107246249"/>
      <w:r/>
      <w:bookmarkEnd w:id="220"/>
      <w:r/>
      <w:bookmarkEnd w:id="221"/>
      <w:r/>
      <w:bookmarkEnd w:id="222"/>
      <w:r/>
      <w:r/>
    </w:p>
    <w:p>
      <w:pPr>
        <w:pStyle w:val="1149"/>
        <w:ind w:right="210"/>
        <w:spacing w:line="360" w:lineRule="auto"/>
        <w:rPr>
          <w:rFonts w:ascii="Microsoft New Tai Lue" w:hAnsi="Microsoft New Tai Lue" w:cs="Microsoft New Tai Lue"/>
          <w:color w:val="auto"/>
          <w:highlight w:val="none"/>
        </w:rPr>
      </w:pPr>
      <w:r/>
      <w:bookmarkStart w:id="223" w:name="_Toc14305"/>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磋商小组</w:t>
      </w:r>
      <w:bookmarkEnd w:id="223"/>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29.1</w:t>
      </w:r>
      <w:r>
        <w:rPr>
          <w:rFonts w:hint="eastAsia" w:ascii="Microsoft New Tai Lue" w:hAnsi="Microsoft New Tai Lue" w:cs="Microsoft New Tai Lue"/>
          <w:bCs/>
          <w:color w:val="auto"/>
          <w:szCs w:val="21"/>
          <w:highlight w:val="none"/>
        </w:rPr>
        <w:t xml:space="preserve">磋商小组成员组成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供应商须知前附表</w:t>
      </w:r>
      <w:r>
        <w:rPr>
          <w:rFonts w:hint="eastAsia" w:ascii="Microsoft New Tai Lue" w:hAnsi="Microsoft New Tai Lue" w:cs="Microsoft New Tai Lue"/>
          <w:bCs/>
          <w:color w:val="auto"/>
          <w:szCs w:val="21"/>
          <w:highlight w:val="none"/>
        </w:rPr>
        <w:t xml:space="preserve">，负责具体评审事务，并独立履行职责。</w:t>
      </w:r>
      <w:bookmarkStart w:id="224" w:name="_Toc104560871"/>
      <w:r/>
      <w:bookmarkStart w:id="225" w:name="_Toc103848556"/>
      <w:r/>
      <w:bookmarkStart w:id="226" w:name="_Toc107246250"/>
      <w:r/>
      <w:r/>
    </w:p>
    <w:p>
      <w:pPr>
        <w:pStyle w:val="1149"/>
        <w:ind w:right="210"/>
        <w:spacing w:line="360" w:lineRule="auto"/>
        <w:rPr>
          <w:rFonts w:hint="eastAsia" w:ascii="Microsoft New Tai Lue" w:hAnsi="Microsoft New Tai Lue" w:cs="Microsoft New Tai Lue"/>
          <w:color w:val="auto"/>
          <w:highlight w:val="none"/>
        </w:rPr>
      </w:pPr>
      <w:r/>
      <w:bookmarkStart w:id="227" w:name="_Toc26262"/>
      <w:r>
        <w:rPr>
          <w:rFonts w:hint="eastAsia" w:ascii="Microsoft New Tai Lue" w:hAnsi="Microsoft New Tai Lue" w:cs="Microsoft New Tai Lue"/>
          <w:color w:val="auto"/>
          <w:highlight w:val="none"/>
        </w:rPr>
        <w:t xml:space="preserve">30.资格性审查</w:t>
      </w:r>
      <w:bookmarkEnd w:id="227"/>
      <w:r/>
      <w:r/>
    </w:p>
    <w:p>
      <w:pPr>
        <w:ind w:firstLine="420"/>
        <w:spacing w:before="143"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30.1响应文件的资格性检查。项目开启仪式结束后，采购人或采购代理机构应依法对供应商的资格进行审查。资格审查合格的供应商不足3家的，不进行评审。</w:t>
      </w:r>
      <w:r/>
    </w:p>
    <w:p>
      <w:pPr>
        <w:ind w:firstLine="422"/>
        <w:spacing w:before="143"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hint="eastAsia" w:ascii="Microsoft New Tai Lue" w:hAnsi="Microsoft New Tai Lue" w:cs="Microsoft New Tai Lue"/>
          <w:b/>
          <w:color w:val="auto"/>
          <w:szCs w:val="21"/>
          <w:highlight w:val="none"/>
        </w:rPr>
        <w:t xml:space="preserve">30.2供应商不具备磋商文件规定的供应商资格条件的，应在资格审查时按照无效响应处理。</w:t>
      </w:r>
      <w:r/>
    </w:p>
    <w:p>
      <w:pPr>
        <w:pStyle w:val="1149"/>
        <w:ind w:right="210"/>
        <w:spacing w:line="360" w:lineRule="auto"/>
        <w:rPr>
          <w:rFonts w:hint="eastAsia" w:ascii="Microsoft New Tai Lue" w:hAnsi="Microsoft New Tai Lue" w:cs="Microsoft New Tai Lue"/>
          <w:color w:val="auto"/>
          <w:highlight w:val="none"/>
        </w:rPr>
      </w:pPr>
      <w:r/>
      <w:bookmarkStart w:id="228" w:name="_Toc24972"/>
      <w:r>
        <w:rPr>
          <w:rFonts w:ascii="Microsoft New Tai Lue" w:hAnsi="Microsoft New Tai Lue" w:cs="Microsoft New Tai Lue"/>
          <w:color w:val="auto"/>
          <w:highlight w:val="none"/>
        </w:rPr>
        <w:t xml:space="preserve">3</w:t>
      </w:r>
      <w:bookmarkEnd w:id="224"/>
      <w:r/>
      <w:bookmarkEnd w:id="225"/>
      <w:r>
        <w:rPr>
          <w:rFonts w:ascii="Microsoft New Tai Lue" w:hAnsi="Microsoft New Tai Lue" w:cs="Microsoft New Tai Lue"/>
          <w:color w:val="auto"/>
          <w:highlight w:val="none"/>
        </w:rPr>
        <w:t xml:space="preserve">1.</w:t>
      </w:r>
      <w:r>
        <w:rPr>
          <w:rFonts w:hint="eastAsia" w:ascii="Microsoft New Tai Lue" w:hAnsi="Microsoft New Tai Lue" w:cs="Microsoft New Tai Lue"/>
          <w:color w:val="auto"/>
          <w:highlight w:val="none"/>
        </w:rPr>
        <w:t xml:space="preserve">符合性审查</w:t>
      </w:r>
      <w:bookmarkEnd w:id="226"/>
      <w:r/>
      <w:bookmarkEnd w:id="228"/>
      <w:r>
        <w:rPr>
          <w:rFonts w:ascii="Microsoft New Tai Lue" w:hAnsi="Microsoft New Tai Lue" w:cs="Microsoft New Tai Lue"/>
          <w:color w:val="auto"/>
          <w:highlight w:val="none"/>
        </w:rPr>
        <w:t xml:space="preserve"> </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31.1响应文件的符合性审查。</w:t>
      </w:r>
      <w:r>
        <w:rPr>
          <w:rFonts w:hint="eastAsia" w:ascii="Microsoft New Tai Lue" w:hAnsi="Microsoft New Tai Lue" w:cs="Microsoft New Tai Lue"/>
          <w:bCs/>
          <w:color w:val="auto"/>
          <w:szCs w:val="21"/>
          <w:highlight w:val="none"/>
        </w:rPr>
        <w:t xml:space="preserve">磋商小组</w:t>
      </w:r>
      <w:r>
        <w:rPr>
          <w:rFonts w:ascii="Microsoft New Tai Lue" w:hAnsi="Microsoft New Tai Lue" w:cs="Microsoft New Tai Lue"/>
          <w:bCs/>
          <w:color w:val="auto"/>
          <w:szCs w:val="21"/>
          <w:highlight w:val="none"/>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color w:val="auto"/>
          <w:szCs w:val="21"/>
          <w:highlight w:val="none"/>
        </w:rPr>
        <w:t xml:space="preserve">响应</w:t>
      </w:r>
      <w:r>
        <w:rPr>
          <w:rFonts w:ascii="Microsoft New Tai Lue" w:hAnsi="Microsoft New Tai Lue" w:cs="Microsoft New Tai Lue"/>
          <w:bCs/>
          <w:color w:val="auto"/>
          <w:szCs w:val="21"/>
          <w:highlight w:val="none"/>
        </w:rPr>
        <w:t xml:space="preserve">应该是与磋商文件要求的全部实质性条款、条件和规格相符，没有重大偏离或保留的</w:t>
      </w:r>
      <w:r>
        <w:rPr>
          <w:rFonts w:hint="eastAsia" w:ascii="Microsoft New Tai Lue" w:hAnsi="Microsoft New Tai Lue" w:cs="Microsoft New Tai Lue"/>
          <w:bCs/>
          <w:color w:val="auto"/>
          <w:szCs w:val="21"/>
          <w:highlight w:val="none"/>
        </w:rPr>
        <w:t xml:space="preserve">响应</w:t>
      </w:r>
      <w:r>
        <w:rPr>
          <w:rFonts w:ascii="Microsoft New Tai Lue" w:hAnsi="Microsoft New Tai Lue" w:cs="Microsoft New Tai Lue"/>
          <w:bCs/>
          <w:color w:val="auto"/>
          <w:szCs w:val="21"/>
          <w:highlight w:val="none"/>
        </w:rPr>
        <w:t xml:space="preserve">。</w:t>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31.2如果响应文件没有响应</w:t>
      </w:r>
      <w:r>
        <w:rPr>
          <w:rFonts w:hint="eastAsia" w:ascii="Microsoft New Tai Lue" w:hAnsi="Microsoft New Tai Lue" w:cs="Microsoft New Tai Lue"/>
          <w:b/>
          <w:bCs/>
          <w:color w:val="auto"/>
          <w:szCs w:val="21"/>
          <w:highlight w:val="none"/>
        </w:rPr>
        <w:t xml:space="preserve">磋商文件实质性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磋商小组</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供应商</w:t>
      </w:r>
      <w:r>
        <w:rPr>
          <w:rFonts w:ascii="Microsoft New Tai Lue" w:hAnsi="Microsoft New Tai Lue" w:cs="Microsoft New Tai Lue"/>
          <w:b/>
          <w:bCs/>
          <w:color w:val="auto"/>
          <w:szCs w:val="21"/>
          <w:highlight w:val="none"/>
        </w:rPr>
        <w:t xml:space="preserve">不得通过修改或撤销不合要求的偏离或保留而使其</w:t>
      </w:r>
      <w:r>
        <w:rPr>
          <w:rFonts w:hint="eastAsia" w:ascii="Microsoft New Tai Lue" w:hAnsi="Microsoft New Tai Lue" w:cs="Microsoft New Tai Lue"/>
          <w:b/>
          <w:bCs/>
          <w:color w:val="auto"/>
          <w:szCs w:val="21"/>
          <w:highlight w:val="none"/>
        </w:rPr>
        <w:t xml:space="preserve">响应文件</w:t>
      </w:r>
      <w:r>
        <w:rPr>
          <w:rFonts w:ascii="Microsoft New Tai Lue" w:hAnsi="Microsoft New Tai Lue" w:cs="Microsoft New Tai Lue"/>
          <w:b/>
          <w:bCs/>
          <w:color w:val="auto"/>
          <w:szCs w:val="21"/>
          <w:highlight w:val="none"/>
        </w:rPr>
        <w:t xml:space="preserve">成为实质性响应</w:t>
      </w:r>
      <w:r>
        <w:rPr>
          <w:rFonts w:hint="eastAsia" w:ascii="Microsoft New Tai Lue" w:hAnsi="Microsoft New Tai Lue" w:cs="Microsoft New Tai Lue"/>
          <w:b/>
          <w:bCs/>
          <w:color w:val="auto"/>
          <w:szCs w:val="21"/>
          <w:highlight w:val="none"/>
        </w:rPr>
        <w:t xml:space="preserve">的文件</w:t>
      </w:r>
      <w:r>
        <w:rPr>
          <w:rFonts w:ascii="Microsoft New Tai Lue" w:hAnsi="Microsoft New Tai Lue" w:cs="Microsoft New Tai Lue"/>
          <w:b/>
          <w:bCs/>
          <w:color w:val="auto"/>
          <w:szCs w:val="21"/>
          <w:highlight w:val="none"/>
        </w:rPr>
        <w:t xml:space="preserve">。</w:t>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31.3响应文件有下列情况之一的，在符合性检查时按照无效响应处理：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（1）未按照磋商文件规定要求签署、盖章的；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bCs/>
          <w:color w:val="auto"/>
          <w:szCs w:val="21"/>
          <w:highlight w:val="none"/>
        </w:rPr>
        <w:t xml:space="preserve">最后</w:t>
      </w:r>
      <w:r>
        <w:rPr>
          <w:rFonts w:ascii="Microsoft New Tai Lue" w:hAnsi="Microsoft New Tai Lue" w:cs="Microsoft New Tai Lue"/>
          <w:color w:val="auto"/>
          <w:szCs w:val="21"/>
          <w:highlight w:val="none"/>
        </w:rPr>
        <w:t xml:space="preserve">报价超过磋商文件中规定的预算金额或者最高限价的；</w:t>
      </w:r>
      <w:r/>
    </w:p>
    <w:p>
      <w:pPr>
        <w:ind w:firstLine="315"/>
        <w:jc w:val="left"/>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（3）响应文件中承诺的响应有效期不满足磋商文件中载明的响应有效期的；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未按照磋商文件规定提交磋商保证金的；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（5）响应文件含有采购人不能接受的附加条件的；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（6）响应文件不符合磋商文件中规定的其它实质性要求的；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（7）现行法律、法规、规章和磋商文件规定的其他无效情形。</w:t>
      </w:r>
      <w:bookmarkEnd w:id="218"/>
      <w:r/>
      <w:r/>
    </w:p>
    <w:p>
      <w:pPr>
        <w:pStyle w:val="1149"/>
        <w:ind w:right="210"/>
        <w:spacing w:line="360" w:lineRule="auto"/>
        <w:rPr>
          <w:rFonts w:ascii="Microsoft New Tai Lue" w:hAnsi="Microsoft New Tai Lue" w:cs="Microsoft New Tai Lue"/>
          <w:color w:val="auto"/>
          <w:highlight w:val="none"/>
        </w:rPr>
      </w:pPr>
      <w:r/>
      <w:bookmarkStart w:id="229" w:name="_Toc104560872"/>
      <w:r/>
      <w:bookmarkStart w:id="230" w:name="_Toc471"/>
      <w:r/>
      <w:bookmarkStart w:id="231" w:name="_Toc103848557"/>
      <w:r/>
      <w:bookmarkStart w:id="232" w:name="_Toc107246251"/>
      <w:r>
        <w:rPr>
          <w:rFonts w:ascii="Microsoft New Tai Lue" w:hAnsi="Microsoft New Tai Lue" w:cs="Microsoft New Tai Lue"/>
          <w:color w:val="auto"/>
          <w:highlight w:val="none"/>
        </w:rPr>
        <w:t xml:space="preserve">32.响应文件澄清</w:t>
      </w:r>
      <w:bookmarkEnd w:id="229"/>
      <w:r/>
      <w:bookmarkEnd w:id="230"/>
      <w:r/>
      <w:bookmarkEnd w:id="231"/>
      <w:r/>
      <w:bookmarkEnd w:id="232"/>
      <w:r/>
      <w:r/>
    </w:p>
    <w:p>
      <w:pPr>
        <w:ind w:firstLine="420"/>
        <w:jc w:val="left"/>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2.1</w:t>
      </w:r>
      <w:r>
        <w:rPr>
          <w:rFonts w:hint="eastAsia" w:ascii="Microsoft New Tai Lue" w:hAnsi="Microsoft New Tai Lue" w:cs="Microsoft New Tai Lue"/>
          <w:color w:val="auto"/>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color w:val="auto"/>
          <w:szCs w:val="21"/>
          <w:highlight w:val="none"/>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1149"/>
        <w:ind w:right="210"/>
        <w:spacing w:line="360" w:lineRule="auto"/>
        <w:rPr>
          <w:rFonts w:hint="eastAsia" w:ascii="Microsoft New Tai Lue" w:hAnsi="Microsoft New Tai Lue" w:cs="Microsoft New Tai Lue"/>
          <w:color w:val="auto"/>
          <w:highlight w:val="none"/>
        </w:rPr>
      </w:pPr>
      <w:r/>
      <w:bookmarkStart w:id="233" w:name="_Toc14884"/>
      <w:r>
        <w:rPr>
          <w:rFonts w:ascii="Microsoft New Tai Lue" w:hAnsi="Microsoft New Tai Lue" w:cs="Microsoft New Tai Lue"/>
          <w:color w:val="auto"/>
          <w:highlight w:val="none"/>
        </w:rPr>
        <w:t xml:space="preserve">33.</w:t>
      </w:r>
      <w:r>
        <w:rPr>
          <w:rFonts w:hint="eastAsia" w:ascii="Microsoft New Tai Lue" w:hAnsi="Microsoft New Tai Lue" w:cs="Microsoft New Tai Lue"/>
          <w:color w:val="auto"/>
          <w:highlight w:val="none"/>
        </w:rPr>
        <w:t xml:space="preserve">磋商</w:t>
      </w:r>
      <w:bookmarkEnd w:id="233"/>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33.1</w:t>
      </w:r>
      <w:r>
        <w:rPr>
          <w:rFonts w:hint="eastAsia" w:ascii="Microsoft New Tai Lue" w:hAnsi="Microsoft New Tai Lue" w:cs="Microsoft New Tai Lue"/>
          <w:bCs/>
          <w:color w:val="auto"/>
          <w:szCs w:val="21"/>
          <w:highlight w:val="none"/>
        </w:rPr>
        <w:t xml:space="preserve">对于通过资格性和符合性审查的供应商，磋商小组所有成员将集中与单一供应商分别进行磋商。</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33.2</w:t>
      </w:r>
      <w:r>
        <w:rPr>
          <w:rFonts w:hint="eastAsia" w:ascii="Microsoft New Tai Lue" w:hAnsi="Microsoft New Tai Lue" w:cs="Microsoft New Tai Lue"/>
          <w:bCs/>
          <w:color w:val="auto"/>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33.3</w:t>
      </w:r>
      <w:r>
        <w:rPr>
          <w:rFonts w:hint="eastAsia" w:ascii="Microsoft New Tai Lue" w:hAnsi="Microsoft New Tai Lue" w:cs="Microsoft New Tai Lue"/>
          <w:bCs/>
          <w:color w:val="auto"/>
          <w:szCs w:val="21"/>
          <w:highlight w:val="none"/>
        </w:rPr>
        <w:t xml:space="preserve">对磋商文件作出的实质性变动是磋商文件的有效组成部分，磋商小组应当及时以书面形式同时通知所有参加磋商的供应商。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33.4</w:t>
      </w:r>
      <w:r>
        <w:rPr>
          <w:rFonts w:hint="eastAsia" w:ascii="Microsoft New Tai Lue" w:hAnsi="Microsoft New Tai Lue" w:cs="Microsoft New Tai Lue"/>
          <w:bCs/>
          <w:color w:val="auto"/>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149"/>
        <w:ind w:right="210"/>
        <w:spacing w:line="360" w:lineRule="auto"/>
        <w:rPr>
          <w:rFonts w:ascii="Microsoft New Tai Lue" w:hAnsi="Microsoft New Tai Lue" w:cs="Microsoft New Tai Lue"/>
          <w:color w:val="auto"/>
          <w:highlight w:val="none"/>
        </w:rPr>
      </w:pPr>
      <w:r/>
      <w:bookmarkStart w:id="234" w:name="_Toc8097"/>
      <w:r>
        <w:rPr>
          <w:rFonts w:hint="eastAsia" w:ascii="Microsoft New Tai Lue" w:hAnsi="Microsoft New Tai Lue" w:cs="Microsoft New Tai Lue"/>
          <w:color w:val="auto"/>
          <w:highlight w:val="none"/>
        </w:rPr>
        <w:t xml:space="preserve">3</w:t>
      </w:r>
      <w:r>
        <w:rPr>
          <w:rFonts w:ascii="Microsoft New Tai Lue" w:hAnsi="Microsoft New Tai Lue" w:cs="Microsoft New Tai Lue"/>
          <w:color w:val="auto"/>
          <w:highlight w:val="none"/>
        </w:rPr>
        <w:t xml:space="preserve">4.</w:t>
      </w:r>
      <w:r>
        <w:rPr>
          <w:rFonts w:hint="eastAsia" w:ascii="Microsoft New Tai Lue" w:hAnsi="Microsoft New Tai Lue" w:cs="Microsoft New Tai Lue"/>
          <w:color w:val="auto"/>
          <w:highlight w:val="none"/>
        </w:rPr>
        <w:t xml:space="preserve">最后报价</w:t>
      </w:r>
      <w:bookmarkEnd w:id="234"/>
      <w:r/>
      <w:r/>
    </w:p>
    <w:p>
      <w:pPr>
        <w:ind w:firstLine="420"/>
        <w:spacing w:before="143"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w:t>
      </w:r>
      <w:r>
        <w:rPr>
          <w:rFonts w:ascii="Microsoft New Tai Lue" w:hAnsi="Microsoft New Tai Lue" w:cs="Microsoft New Tai Lue"/>
          <w:bCs/>
          <w:color w:val="auto"/>
          <w:szCs w:val="21"/>
          <w:highlight w:val="none"/>
        </w:rPr>
        <w:t xml:space="preserve">4.1</w:t>
      </w:r>
      <w:r>
        <w:rPr>
          <w:rFonts w:hint="eastAsia" w:ascii="Microsoft New Tai Lue" w:hAnsi="Microsoft New Tai Lue" w:cs="Microsoft New Tai Lue"/>
          <w:bCs/>
          <w:color w:val="auto"/>
          <w:szCs w:val="21"/>
          <w:highlight w:val="none"/>
        </w:rPr>
        <w:t xml:space="preserve">磋商文件能够详细列明采购标的的技术、服务要求的，磋商结束后，磋商小组将要求所有供应商在规定时间内提交最后报价。</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34.2</w:t>
      </w:r>
      <w:r>
        <w:rPr>
          <w:rFonts w:hint="eastAsia" w:ascii="Microsoft New Tai Lue" w:hAnsi="Microsoft New Tai Lue" w:cs="Microsoft New Tai Lue"/>
          <w:bCs/>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34.3</w:t>
      </w:r>
      <w:r>
        <w:rPr>
          <w:rFonts w:hint="eastAsia" w:ascii="Microsoft New Tai Lue" w:hAnsi="Microsoft New Tai Lue" w:cs="Microsoft New Tai Lue"/>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before="143"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w:t>
      </w:r>
      <w:r>
        <w:rPr>
          <w:rFonts w:ascii="Microsoft New Tai Lue" w:hAnsi="Microsoft New Tai Lue" w:cs="Microsoft New Tai Lue"/>
          <w:bCs/>
          <w:color w:val="auto"/>
          <w:szCs w:val="21"/>
          <w:highlight w:val="none"/>
        </w:rPr>
        <w:t xml:space="preserve">4.4</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ascii="Microsoft New Tai Lue" w:hAnsi="Microsoft New Tai Lue" w:cs="Microsoft New Tai Lue"/>
          <w:bCs/>
          <w:color w:val="auto"/>
          <w:szCs w:val="21"/>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1149"/>
        <w:ind w:right="210"/>
        <w:spacing w:line="360" w:lineRule="auto"/>
        <w:rPr>
          <w:rFonts w:hint="eastAsia" w:ascii="Microsoft New Tai Lue" w:hAnsi="Microsoft New Tai Lue" w:cs="Microsoft New Tai Lue"/>
          <w:color w:val="auto"/>
          <w:highlight w:val="none"/>
        </w:rPr>
      </w:pPr>
      <w:r/>
      <w:bookmarkStart w:id="235" w:name="_Toc107246252"/>
      <w:r/>
      <w:bookmarkStart w:id="236" w:name="_Toc30246"/>
      <w:r>
        <w:rPr>
          <w:rFonts w:ascii="Microsoft New Tai Lue" w:hAnsi="Microsoft New Tai Lue" w:cs="Microsoft New Tai Lue"/>
          <w:color w:val="auto"/>
          <w:highlight w:val="none"/>
        </w:rPr>
        <w:t xml:space="preserve">35.</w:t>
      </w:r>
      <w:bookmarkEnd w:id="235"/>
      <w:r>
        <w:rPr>
          <w:rFonts w:hint="eastAsia" w:ascii="Microsoft New Tai Lue" w:hAnsi="Microsoft New Tai Lue" w:cs="Microsoft New Tai Lue"/>
          <w:color w:val="auto"/>
          <w:highlight w:val="none"/>
        </w:rPr>
        <w:t xml:space="preserve">最后报价修正</w:t>
      </w:r>
      <w:bookmarkEnd w:id="236"/>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w:t>
      </w:r>
      <w:r>
        <w:rPr>
          <w:rFonts w:hint="eastAsia" w:ascii="Microsoft New Tai Lue" w:hAnsi="Microsoft New Tai Lue" w:cs="Microsoft New Tai Lue"/>
          <w:color w:val="auto"/>
          <w:szCs w:val="21"/>
          <w:highlight w:val="none"/>
        </w:rPr>
        <w:t xml:space="preserve">最后</w:t>
      </w:r>
      <w:r>
        <w:rPr>
          <w:rFonts w:ascii="Microsoft New Tai Lue" w:hAnsi="Microsoft New Tai Lue" w:cs="Microsoft New Tai Lue"/>
          <w:color w:val="auto"/>
          <w:szCs w:val="21"/>
          <w:highlight w:val="none"/>
        </w:rPr>
        <w:t xml:space="preserve">报价出现前后不一致的，除磋商文件另有规定外，按照下列规定修正：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（2）单价金额小数点或者百分比有明显错位的，以报价一览表的总价为准，并修改单价；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同时出现两种以上不一致的，按照前款规定的顺序修正。修正后的报价按照上述规定经供应商确认后产生约束力，供应商不确认的，其</w:t>
      </w:r>
      <w:r>
        <w:rPr>
          <w:rFonts w:hint="eastAsia" w:ascii="Microsoft New Tai Lue" w:hAnsi="Microsoft New Tai Lue" w:cs="Microsoft New Tai Lue"/>
          <w:color w:val="auto"/>
          <w:szCs w:val="21"/>
          <w:highlight w:val="none"/>
        </w:rPr>
        <w:t xml:space="preserve">响应</w:t>
      </w:r>
      <w:r>
        <w:rPr>
          <w:rFonts w:ascii="Microsoft New Tai Lue" w:hAnsi="Microsoft New Tai Lue" w:cs="Microsoft New Tai Lue"/>
          <w:color w:val="auto"/>
          <w:szCs w:val="21"/>
          <w:highlight w:val="none"/>
        </w:rPr>
        <w:t xml:space="preserve">无效。</w:t>
      </w:r>
      <w:r/>
    </w:p>
    <w:p>
      <w:pPr>
        <w:pStyle w:val="1149"/>
        <w:ind w:right="210"/>
        <w:spacing w:line="360" w:lineRule="auto"/>
        <w:rPr>
          <w:rFonts w:ascii="Microsoft New Tai Lue" w:hAnsi="Microsoft New Tai Lue" w:cs="Microsoft New Tai Lue"/>
          <w:color w:val="auto"/>
          <w:highlight w:val="none"/>
        </w:rPr>
      </w:pPr>
      <w:r/>
      <w:bookmarkStart w:id="237" w:name="_Toc103848559"/>
      <w:r/>
      <w:bookmarkStart w:id="238" w:name="_Toc107246254"/>
      <w:r/>
      <w:bookmarkStart w:id="239" w:name="_Toc104560874"/>
      <w:r/>
      <w:bookmarkStart w:id="240" w:name="_Toc1813"/>
      <w:r>
        <w:rPr>
          <w:rFonts w:ascii="Microsoft New Tai Lue" w:hAnsi="Microsoft New Tai Lue" w:cs="Microsoft New Tai Lue"/>
          <w:color w:val="auto"/>
          <w:highlight w:val="none"/>
        </w:rPr>
        <w:t xml:space="preserve">36</w:t>
      </w:r>
      <w:bookmarkEnd w:id="237"/>
      <w:r/>
      <w:bookmarkEnd w:id="238"/>
      <w:r/>
      <w:bookmarkEnd w:id="239"/>
      <w:r>
        <w:rPr>
          <w:rFonts w:ascii="Microsoft New Tai Lue" w:hAnsi="Microsoft New Tai Lue" w:cs="Microsoft New Tai Lue"/>
          <w:color w:val="auto"/>
          <w:highlight w:val="none"/>
        </w:rPr>
        <w:t xml:space="preserve">.</w:t>
      </w:r>
      <w:r>
        <w:rPr>
          <w:rFonts w:hint="eastAsia" w:ascii="Microsoft New Tai Lue" w:hAnsi="Microsoft New Tai Lue" w:cs="Microsoft New Tai Lue"/>
          <w:color w:val="auto"/>
          <w:highlight w:val="none"/>
        </w:rPr>
        <w:t xml:space="preserve">评审方法和评审标准</w:t>
      </w:r>
      <w:bookmarkEnd w:id="240"/>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6.1</w:t>
      </w:r>
      <w:r>
        <w:rPr>
          <w:rFonts w:hint="eastAsia" w:ascii="Microsoft New Tai Lue" w:hAnsi="Microsoft New Tai Lue" w:cs="Microsoft New Tai Lue"/>
          <w:color w:val="auto"/>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36.2磋商小组应当按照磋商文件中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评审</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评审</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w:t>
      </w:r>
      <w:bookmarkStart w:id="241" w:name="_Toc107246255"/>
      <w:r>
        <w:rPr>
          <w:rFonts w:hint="eastAsia" w:ascii="Microsoft New Tai Lue" w:hAnsi="Microsoft New Tai Lue" w:cs="Microsoft New Tai Lue"/>
          <w:color w:val="auto"/>
          <w:szCs w:val="21"/>
          <w:highlight w:val="none"/>
        </w:rPr>
        <w:t xml:space="preserve">对每份响应文件及其补充文件进行评审，确定成交候选供应商。</w:t>
      </w:r>
      <w:r/>
    </w:p>
    <w:p>
      <w:pPr>
        <w:ind w:firstLine="420"/>
        <w:jc w:val="left"/>
        <w:spacing w:line="360" w:lineRule="auto"/>
        <w:rPr>
          <w:rFonts w:hint="eastAsia" w:ascii="仿宋_GB2312" w:hAnsi="仿宋" w:eastAsia="仿宋_GB2312"/>
          <w:color w:val="auto"/>
          <w:highlight w:val="none"/>
        </w:rPr>
      </w:pPr>
      <w:r>
        <w:rPr>
          <w:rFonts w:ascii="Microsoft New Tai Lue" w:hAnsi="Microsoft New Tai Lue" w:cs="Microsoft New Tai Lue"/>
          <w:color w:val="auto"/>
          <w:szCs w:val="21"/>
          <w:highlight w:val="none"/>
        </w:rPr>
        <w:t xml:space="preserve">36</w:t>
      </w:r>
      <w:r>
        <w:rPr>
          <w:rFonts w:hint="eastAsia" w:ascii="Microsoft New Tai Lue" w:hAnsi="Microsoft New Tai Lue" w:cs="Microsoft New Tai Lue"/>
          <w:color w:val="auto"/>
          <w:szCs w:val="21"/>
          <w:highlight w:val="none"/>
        </w:rPr>
        <w:t xml:space="preserve">.3 磋商文件没有规定的评审标准不作为评审依据。</w:t>
      </w:r>
      <w:r/>
    </w:p>
    <w:p>
      <w:pPr>
        <w:ind w:firstLine="420"/>
        <w:jc w:val="left"/>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6.4</w:t>
      </w:r>
      <w:r>
        <w:rPr>
          <w:rFonts w:hint="eastAsia" w:ascii="Microsoft New Tai Lue" w:hAnsi="Microsoft New Tai Lue" w:cs="Microsoft New Tai Lue"/>
          <w:color w:val="auto"/>
          <w:szCs w:val="21"/>
          <w:highlight w:val="none"/>
        </w:rPr>
        <w:t xml:space="preserve">评审时，磋商小组各成员应当独立对每个有效响应的文件进行评价、打分，然后汇总每个供应商每项评分因素的得分。</w:t>
      </w:r>
      <w:bookmarkEnd w:id="241"/>
      <w:r/>
      <w:r/>
    </w:p>
    <w:p>
      <w:pPr>
        <w:pStyle w:val="1149"/>
        <w:ind w:right="210"/>
        <w:spacing w:line="360" w:lineRule="auto"/>
        <w:tabs>
          <w:tab w:val="left" w:pos="5882" w:leader="none"/>
        </w:tabs>
        <w:rPr>
          <w:rFonts w:ascii="Microsoft New Tai Lue" w:hAnsi="Microsoft New Tai Lue" w:cs="Microsoft New Tai Lue"/>
          <w:color w:val="auto"/>
          <w:highlight w:val="none"/>
        </w:rPr>
      </w:pPr>
      <w:r/>
      <w:bookmarkStart w:id="242" w:name="_Toc104560876"/>
      <w:r/>
      <w:bookmarkStart w:id="243" w:name="_Toc23169"/>
      <w:r/>
      <w:bookmarkStart w:id="244" w:name="_Toc107246256"/>
      <w:r/>
      <w:bookmarkStart w:id="245" w:name="_Toc103848561"/>
      <w:r>
        <w:rPr>
          <w:rFonts w:ascii="Microsoft New Tai Lue" w:hAnsi="Microsoft New Tai Lue" w:cs="Microsoft New Tai Lue"/>
          <w:color w:val="auto"/>
          <w:highlight w:val="none"/>
        </w:rPr>
        <w:t xml:space="preserve">37.评审过程的保密</w:t>
      </w:r>
      <w:bookmarkEnd w:id="242"/>
      <w:r/>
      <w:bookmarkEnd w:id="243"/>
      <w:r/>
      <w:bookmarkEnd w:id="244"/>
      <w:r/>
      <w:bookmarkEnd w:id="245"/>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磋商小组成员名单在评审结果公示前应当保密。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措施，保证评审在严格保密的情况下进行。</w:t>
      </w:r>
      <w:r/>
    </w:p>
    <w:p>
      <w:pPr>
        <w:ind w:firstLine="315"/>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37.3</w:t>
      </w:r>
      <w:r>
        <w:rPr>
          <w:rFonts w:hint="eastAsia" w:ascii="Microsoft New Tai Lue" w:hAnsi="Microsoft New Tai Lue" w:cs="Microsoft New Tai Lue"/>
          <w:color w:val="auto"/>
          <w:szCs w:val="21"/>
          <w:highlight w:val="none"/>
        </w:rPr>
        <w:t xml:space="preserve">有关人员对评审情况以及在评审过程中获悉的国家秘密、商业秘密负有保密责任。</w:t>
      </w:r>
      <w:r/>
    </w:p>
    <w:p>
      <w:pPr>
        <w:pStyle w:val="1149"/>
        <w:ind w:right="210"/>
        <w:spacing w:line="360" w:lineRule="auto"/>
        <w:rPr>
          <w:rFonts w:ascii="Microsoft New Tai Lue" w:hAnsi="Microsoft New Tai Lue" w:cs="Microsoft New Tai Lue"/>
          <w:color w:val="auto"/>
          <w:highlight w:val="none"/>
        </w:rPr>
      </w:pPr>
      <w:r/>
      <w:bookmarkStart w:id="246" w:name="_Toc107246257"/>
      <w:r/>
      <w:bookmarkStart w:id="247" w:name="_Toc17028"/>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确定成交</w:t>
      </w:r>
      <w:bookmarkEnd w:id="246"/>
      <w:r/>
      <w:bookmarkEnd w:id="247"/>
      <w:r/>
      <w:r/>
    </w:p>
    <w:p>
      <w:pPr>
        <w:pStyle w:val="1149"/>
        <w:ind w:right="210"/>
        <w:spacing w:line="360" w:lineRule="auto"/>
        <w:rPr>
          <w:rFonts w:ascii="Microsoft New Tai Lue" w:hAnsi="Microsoft New Tai Lue" w:cs="Microsoft New Tai Lue"/>
          <w:color w:val="auto"/>
          <w:highlight w:val="none"/>
        </w:rPr>
      </w:pPr>
      <w:r/>
      <w:bookmarkStart w:id="248" w:name="_Toc104560878"/>
      <w:r/>
      <w:bookmarkStart w:id="249" w:name="_Toc103848563"/>
      <w:r/>
      <w:bookmarkStart w:id="250" w:name="_Toc107246258"/>
      <w:r/>
      <w:bookmarkStart w:id="251" w:name="_Toc17624"/>
      <w:r>
        <w:rPr>
          <w:rFonts w:ascii="Microsoft New Tai Lue" w:hAnsi="Microsoft New Tai Lue" w:cs="Microsoft New Tai Lue"/>
          <w:color w:val="auto"/>
          <w:highlight w:val="none"/>
        </w:rPr>
        <w:t xml:space="preserve">38.</w:t>
      </w:r>
      <w:bookmarkEnd w:id="248"/>
      <w:r/>
      <w:bookmarkEnd w:id="249"/>
      <w:r>
        <w:rPr>
          <w:rFonts w:hint="eastAsia" w:ascii="Microsoft New Tai Lue" w:hAnsi="Microsoft New Tai Lue" w:cs="Microsoft New Tai Lue"/>
          <w:color w:val="auto"/>
          <w:highlight w:val="none"/>
        </w:rPr>
        <w:t xml:space="preserve">推荐</w:t>
      </w:r>
      <w:r>
        <w:rPr>
          <w:rFonts w:ascii="Microsoft New Tai Lue" w:hAnsi="Microsoft New Tai Lue" w:cs="Microsoft New Tai Lue"/>
          <w:color w:val="auto"/>
          <w:highlight w:val="none"/>
        </w:rPr>
        <w:t xml:space="preserve">成交</w:t>
      </w:r>
      <w:bookmarkEnd w:id="250"/>
      <w:r>
        <w:rPr>
          <w:rFonts w:hint="eastAsia" w:ascii="Microsoft New Tai Lue" w:hAnsi="Microsoft New Tai Lue" w:cs="Microsoft New Tai Lue"/>
          <w:color w:val="auto"/>
          <w:highlight w:val="none"/>
        </w:rPr>
        <w:t xml:space="preserve">候选供应商</w:t>
      </w:r>
      <w:bookmarkEnd w:id="251"/>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8.1</w:t>
      </w:r>
      <w:r>
        <w:rPr>
          <w:rFonts w:hint="eastAsia" w:ascii="Microsoft New Tai Lue" w:hAnsi="Microsoft New Tai Lue" w:cs="Microsoft New Tai Lue"/>
          <w:color w:val="auto"/>
          <w:szCs w:val="21"/>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149"/>
        <w:ind w:right="210"/>
        <w:spacing w:line="360" w:lineRule="auto"/>
        <w:rPr>
          <w:rFonts w:ascii="Microsoft New Tai Lue" w:hAnsi="Microsoft New Tai Lue" w:cs="Microsoft New Tai Lue"/>
          <w:color w:val="auto"/>
          <w:highlight w:val="none"/>
        </w:rPr>
      </w:pPr>
      <w:r/>
      <w:bookmarkStart w:id="252" w:name="_Toc107246259"/>
      <w:r/>
      <w:bookmarkStart w:id="253" w:name="_Toc103848564"/>
      <w:r/>
      <w:bookmarkStart w:id="254" w:name="_Toc104560879"/>
      <w:r/>
      <w:bookmarkStart w:id="255" w:name="_Toc11063"/>
      <w:r>
        <w:rPr>
          <w:rFonts w:ascii="Microsoft New Tai Lue" w:hAnsi="Microsoft New Tai Lue" w:cs="Microsoft New Tai Lue"/>
          <w:color w:val="auto"/>
          <w:highlight w:val="none"/>
        </w:rPr>
        <w:t xml:space="preserve">39.</w:t>
      </w:r>
      <w:bookmarkEnd w:id="252"/>
      <w:r/>
      <w:bookmarkEnd w:id="253"/>
      <w:r/>
      <w:bookmarkEnd w:id="254"/>
      <w:r>
        <w:rPr>
          <w:rFonts w:hint="eastAsia" w:ascii="Microsoft New Tai Lue" w:hAnsi="Microsoft New Tai Lue" w:cs="Microsoft New Tai Lue"/>
          <w:color w:val="auto"/>
          <w:highlight w:val="none"/>
        </w:rPr>
        <w:t xml:space="preserve">确定成交供应商</w:t>
      </w:r>
      <w:bookmarkEnd w:id="255"/>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w:t>
      </w:r>
      <w:r>
        <w:rPr>
          <w:rFonts w:hint="eastAsia" w:ascii="Microsoft New Tai Lue" w:hAnsi="Microsoft New Tai Lue" w:cs="Microsoft New Tai Lue"/>
          <w:color w:val="auto"/>
          <w:szCs w:val="21"/>
          <w:highlight w:val="none"/>
        </w:rPr>
        <w:t xml:space="preserve">采购人确定成交供应商后，采购代理机构应将成交结果通知所有的供应商，并向成交供应商发出成交通知。</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39.2</w:t>
      </w:r>
      <w:r>
        <w:rPr>
          <w:rFonts w:hint="eastAsia" w:ascii="Microsoft New Tai Lue" w:hAnsi="Microsoft New Tai Lue" w:cs="Microsoft New Tai Lue"/>
          <w:color w:val="auto"/>
          <w:szCs w:val="21"/>
          <w:highlight w:val="none"/>
        </w:rPr>
        <w:t xml:space="preserve">成交供应商收到成交通知书后，须立即以书面形式回复采购代理机构，确认成交通知书已收到，并同意接受。</w:t>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39.3</w:t>
      </w:r>
      <w:r>
        <w:rPr>
          <w:rFonts w:hint="eastAsia" w:ascii="Microsoft New Tai Lue" w:hAnsi="Microsoft New Tai Lue" w:cs="Microsoft New Tai Lue"/>
          <w:color w:val="auto"/>
          <w:szCs w:val="21"/>
          <w:highlight w:val="none"/>
        </w:rPr>
        <w:t xml:space="preserve">发出成交通知书的同时，</w:t>
      </w:r>
      <w:r>
        <w:rPr>
          <w:rFonts w:ascii="Microsoft New Tai Lue" w:hAnsi="Microsoft New Tai Lue" w:cs="Microsoft New Tai Lue"/>
          <w:color w:val="auto"/>
          <w:szCs w:val="21"/>
          <w:highlight w:val="none"/>
        </w:rPr>
        <w:t xml:space="preserve">采购代理机构将在</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规定的公告媒体上发布</w:t>
      </w:r>
      <w:r>
        <w:rPr>
          <w:rFonts w:ascii="Microsoft New Tai Lue" w:hAnsi="Microsoft New Tai Lue" w:cs="Microsoft New Tai Lue"/>
          <w:color w:val="auto"/>
          <w:szCs w:val="21"/>
          <w:highlight w:val="none"/>
        </w:rPr>
        <w:t xml:space="preserve">成交公告</w:t>
      </w:r>
      <w:r>
        <w:rPr>
          <w:rFonts w:hint="eastAsia" w:ascii="Microsoft New Tai Lue" w:hAnsi="Microsoft New Tai Lue" w:cs="Microsoft New Tai Lue"/>
          <w:color w:val="auto"/>
          <w:szCs w:val="21"/>
          <w:highlight w:val="none"/>
        </w:rPr>
        <w:t xml:space="preserve">，并将磋商文件随成交结果同时公告。</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39.4成交通知书将是合同的组成部分。对采购人和成交供应商均具有法律效力。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w:t>
      </w:r>
      <w:bookmarkStart w:id="256" w:name="_Toc104560875"/>
      <w:r/>
      <w:bookmarkStart w:id="257" w:name="_Toc103848560"/>
      <w:r>
        <w:rPr>
          <w:rFonts w:ascii="Microsoft New Tai Lue" w:hAnsi="Microsoft New Tai Lue" w:cs="Microsoft New Tai Lue"/>
          <w:color w:val="auto"/>
          <w:szCs w:val="21"/>
          <w:highlight w:val="none"/>
        </w:rPr>
        <w:t xml:space="preserve">5成交通知书发出后</w:t>
      </w:r>
      <w:r>
        <w:rPr>
          <w:rFonts w:hint="eastAsia" w:ascii="Microsoft New Tai Lue" w:hAnsi="Microsoft New Tai Lue" w:cs="Microsoft New Tai Lue"/>
          <w:color w:val="auto"/>
          <w:szCs w:val="21"/>
          <w:highlight w:val="none"/>
        </w:rPr>
        <w:t xml:space="preserve">，成交供应商无正当理由不得放弃成交，否则将依法承担法律责任。</w:t>
      </w:r>
      <w:r/>
    </w:p>
    <w:p>
      <w:pPr>
        <w:pStyle w:val="1149"/>
        <w:ind w:right="210"/>
        <w:spacing w:line="360" w:lineRule="auto"/>
        <w:rPr>
          <w:rFonts w:hint="eastAsia" w:ascii="Microsoft New Tai Lue" w:hAnsi="Microsoft New Tai Lue" w:cs="Microsoft New Tai Lue"/>
          <w:color w:val="auto"/>
          <w:highlight w:val="none"/>
        </w:rPr>
      </w:pPr>
      <w:r/>
      <w:bookmarkStart w:id="258" w:name="_Toc107246260"/>
      <w:r/>
      <w:bookmarkStart w:id="259" w:name="_Toc6840"/>
      <w:r>
        <w:rPr>
          <w:rFonts w:ascii="Microsoft New Tai Lue" w:hAnsi="Microsoft New Tai Lue" w:cs="Microsoft New Tai Lue"/>
          <w:color w:val="auto"/>
          <w:highlight w:val="none"/>
        </w:rPr>
        <w:t xml:space="preserve">40.</w:t>
      </w:r>
      <w:bookmarkEnd w:id="256"/>
      <w:r/>
      <w:bookmarkEnd w:id="257"/>
      <w:r/>
      <w:bookmarkEnd w:id="258"/>
      <w:r>
        <w:rPr>
          <w:rFonts w:hint="eastAsia" w:ascii="Microsoft New Tai Lue" w:hAnsi="Microsoft New Tai Lue" w:cs="Microsoft New Tai Lue"/>
          <w:color w:val="auto"/>
          <w:highlight w:val="none"/>
        </w:rPr>
        <w:t xml:space="preserve">终止竞争性磋商采购活动</w:t>
      </w:r>
      <w:bookmarkEnd w:id="259"/>
      <w:r/>
      <w:r/>
    </w:p>
    <w:p>
      <w:pPr>
        <w:ind w:firstLine="315"/>
        <w:jc w:val="left"/>
        <w:spacing w:line="360" w:lineRule="auto"/>
        <w:rPr>
          <w:rFonts w:ascii="Microsoft New Tai Lue" w:hAnsi="Microsoft New Tai Lue" w:cs="Microsoft New Tai Lue"/>
          <w:color w:val="auto"/>
          <w:szCs w:val="21"/>
          <w:highlight w:val="none"/>
        </w:rPr>
      </w:pPr>
      <w:r>
        <w:rPr>
          <w:rFonts w:ascii="Segoe UI Symbol" w:hAnsi="Segoe UI Symbol" w:cs="Segoe UI Symbol"/>
          <w:color w:val="auto"/>
          <w:szCs w:val="21"/>
          <w:highlight w:val="none"/>
        </w:rPr>
        <w:t xml:space="preserve">4</w:t>
      </w:r>
      <w:r>
        <w:rPr>
          <w:rFonts w:ascii="Microsoft New Tai Lue" w:hAnsi="Microsoft New Tai Lue" w:cs="Microsoft New Tai Lue"/>
          <w:color w:val="auto"/>
          <w:szCs w:val="21"/>
          <w:highlight w:val="none"/>
        </w:rPr>
        <w:t xml:space="preserve">0</w:t>
      </w:r>
      <w:r>
        <w:rPr>
          <w:rFonts w:hint="eastAsia" w:ascii="Microsoft New Tai Lue" w:hAnsi="Microsoft New Tai Lue" w:cs="Microsoft New Tai Lue"/>
          <w:color w:val="auto"/>
          <w:szCs w:val="21"/>
          <w:highlight w:val="none"/>
        </w:rPr>
        <w:t xml:space="preserve">.1出现下列情形之一的，采购人或者采购代理机构应当终止竞争性磋商采购活动，发布项目终止公告并说明原因，重新开展采购活动：</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（1）因情况变化，不再符合规定的竞争性磋商采购方式适用情形的；</w:t>
      </w:r>
      <w:r/>
    </w:p>
    <w:p>
      <w:pPr>
        <w:ind w:firstLine="315"/>
        <w:jc w:val="left"/>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（3）除本磋商文件规定的特殊情形外，在采购过程中符合要求的供应商或者报价未超过采购预算的供应商不足3家的。</w:t>
      </w:r>
      <w:r/>
    </w:p>
    <w:p>
      <w:pPr>
        <w:ind w:firstLine="315"/>
        <w:jc w:val="left"/>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40.2</w:t>
      </w:r>
      <w:r>
        <w:rPr>
          <w:rFonts w:hint="eastAsia" w:ascii="Microsoft New Tai Lue" w:hAnsi="Microsoft New Tai Lue" w:cs="Microsoft New Tai Lue"/>
          <w:color w:val="auto"/>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149"/>
        <w:ind w:right="210"/>
        <w:spacing w:line="360" w:lineRule="auto"/>
        <w:rPr>
          <w:rFonts w:ascii="Microsoft New Tai Lue" w:hAnsi="Microsoft New Tai Lue" w:cs="Microsoft New Tai Lue"/>
          <w:color w:val="auto"/>
          <w:highlight w:val="none"/>
        </w:rPr>
      </w:pPr>
      <w:r/>
      <w:bookmarkStart w:id="260" w:name="_Toc103848565"/>
      <w:r/>
      <w:bookmarkStart w:id="261" w:name="_Toc104560880"/>
      <w:r/>
      <w:bookmarkStart w:id="262" w:name="_Toc25670"/>
      <w:r/>
      <w:bookmarkStart w:id="263" w:name="_Toc107246261"/>
      <w:r/>
      <w:bookmarkStart w:id="264" w:name="_Toc16938553"/>
      <w:r/>
      <w:bookmarkStart w:id="265" w:name="_Toc20823309"/>
      <w:r/>
      <w:bookmarkStart w:id="266" w:name="_Toc513029237"/>
      <w:r>
        <w:rPr>
          <w:rFonts w:ascii="Microsoft New Tai Lue" w:hAnsi="Microsoft New Tai Lue" w:cs="Microsoft New Tai Lue"/>
          <w:color w:val="auto"/>
          <w:highlight w:val="none"/>
        </w:rPr>
        <w:t xml:space="preserve">41.签订合同</w:t>
      </w:r>
      <w:bookmarkEnd w:id="260"/>
      <w:r/>
      <w:bookmarkEnd w:id="261"/>
      <w:r/>
      <w:bookmarkEnd w:id="262"/>
      <w:r/>
      <w:bookmarkEnd w:id="263"/>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41.2成交供应商</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按照评审报告推荐的成交候选人名单排序，确定下一候选人为成交供应商，</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。未经采购人同意，成交供应商也不得采用分包的形式履行合同，否则采购人有权终止合同。转包或分包造成采购人损失的，成交供应商应承担相应赔偿责任。</w:t>
      </w:r>
      <w:r/>
    </w:p>
    <w:p>
      <w:pPr>
        <w:pStyle w:val="1149"/>
        <w:ind w:right="210"/>
        <w:spacing w:line="360" w:lineRule="auto"/>
        <w:rPr>
          <w:rFonts w:ascii="Microsoft New Tai Lue" w:hAnsi="Microsoft New Tai Lue" w:cs="Microsoft New Tai Lue"/>
          <w:color w:val="auto"/>
          <w:szCs w:val="21"/>
          <w:highlight w:val="none"/>
        </w:rPr>
      </w:pPr>
      <w:r/>
      <w:bookmarkStart w:id="267" w:name="_Toc104560881"/>
      <w:r/>
      <w:bookmarkStart w:id="268" w:name="_Toc103848567"/>
      <w:r/>
      <w:bookmarkStart w:id="269" w:name="_Toc32661"/>
      <w:r/>
      <w:bookmarkStart w:id="270" w:name="_Toc107246262"/>
      <w:r>
        <w:rPr>
          <w:rFonts w:ascii="Microsoft New Tai Lue" w:hAnsi="Microsoft New Tai Lue" w:cs="Microsoft New Tai Lue"/>
          <w:color w:val="auto"/>
          <w:szCs w:val="21"/>
          <w:highlight w:val="none"/>
        </w:rPr>
        <w:t xml:space="preserve">42.履约保证金</w:t>
      </w:r>
      <w:bookmarkEnd w:id="267"/>
      <w:r/>
      <w:bookmarkEnd w:id="268"/>
      <w:r/>
      <w:bookmarkEnd w:id="269"/>
      <w:r/>
      <w:bookmarkEnd w:id="270"/>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42.1本项目是否缴纳履约保证金见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42.3成交供应商没有按照</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的规定提交履约保证金的，视为放弃成交，其磋商保证金不予退还。</w:t>
      </w:r>
      <w:bookmarkEnd w:id="264"/>
      <w:r/>
      <w:bookmarkEnd w:id="265"/>
      <w:r/>
      <w:bookmarkEnd w:id="266"/>
      <w:r/>
      <w:r/>
    </w:p>
    <w:p>
      <w:pPr>
        <w:pStyle w:val="1149"/>
        <w:ind w:right="210"/>
        <w:spacing w:line="360" w:lineRule="auto"/>
        <w:rPr>
          <w:rFonts w:hint="eastAsia" w:ascii="Microsoft New Tai Lue" w:hAnsi="Microsoft New Tai Lue" w:cs="Microsoft New Tai Lue"/>
          <w:color w:val="auto"/>
          <w:highlight w:val="none"/>
        </w:rPr>
      </w:pPr>
      <w:r/>
      <w:bookmarkStart w:id="271" w:name="_Toc17709"/>
      <w:r/>
      <w:bookmarkStart w:id="272" w:name="_Toc107246263"/>
      <w:r>
        <w:rPr>
          <w:rFonts w:ascii="Microsoft New Tai Lue" w:hAnsi="Microsoft New Tai Lue" w:cs="Microsoft New Tai Lue"/>
          <w:color w:val="auto"/>
          <w:highlight w:val="none"/>
        </w:rPr>
        <w:t xml:space="preserve">七．</w:t>
      </w:r>
      <w:bookmarkStart w:id="273" w:name="_Toc103848569"/>
      <w:r>
        <w:rPr>
          <w:rFonts w:hint="eastAsia" w:ascii="Microsoft New Tai Lue" w:hAnsi="Microsoft New Tai Lue" w:cs="Microsoft New Tai Lue"/>
          <w:color w:val="auto"/>
          <w:highlight w:val="none"/>
        </w:rPr>
        <w:t xml:space="preserve">询问与质疑</w:t>
      </w:r>
      <w:bookmarkEnd w:id="271"/>
      <w:r/>
      <w:bookmarkEnd w:id="272"/>
      <w:r/>
      <w:bookmarkEnd w:id="273"/>
      <w:r/>
      <w:r/>
    </w:p>
    <w:p>
      <w:pPr>
        <w:pStyle w:val="1149"/>
        <w:ind w:right="210"/>
        <w:spacing w:line="360" w:lineRule="auto"/>
        <w:rPr>
          <w:rFonts w:ascii="Microsoft New Tai Lue" w:hAnsi="Microsoft New Tai Lue" w:cs="Microsoft New Tai Lue"/>
          <w:color w:val="auto"/>
          <w:szCs w:val="21"/>
          <w:highlight w:val="none"/>
        </w:rPr>
      </w:pPr>
      <w:r/>
      <w:bookmarkStart w:id="274" w:name="_Toc104560883"/>
      <w:r/>
      <w:bookmarkStart w:id="275" w:name="_Toc28551"/>
      <w:r/>
      <w:bookmarkStart w:id="276" w:name="_Toc107246264"/>
      <w:r/>
      <w:bookmarkStart w:id="277" w:name="_Toc102117305"/>
      <w:r>
        <w:rPr>
          <w:rFonts w:ascii="Microsoft New Tai Lue" w:hAnsi="Microsoft New Tai Lue" w:cs="Microsoft New Tai Lue"/>
          <w:color w:val="auto"/>
          <w:szCs w:val="21"/>
          <w:highlight w:val="none"/>
        </w:rPr>
        <w:t xml:space="preserve">43.询问</w:t>
      </w:r>
      <w:bookmarkEnd w:id="274"/>
      <w:r/>
      <w:bookmarkEnd w:id="275"/>
      <w:r/>
      <w:bookmarkEnd w:id="276"/>
      <w:r/>
      <w:bookmarkEnd w:id="27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供应商</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43.2采购方对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1149"/>
        <w:ind w:right="210"/>
        <w:spacing w:line="360" w:lineRule="auto"/>
        <w:rPr>
          <w:rFonts w:ascii="Microsoft New Tai Lue" w:hAnsi="Microsoft New Tai Lue" w:cs="Microsoft New Tai Lue"/>
          <w:color w:val="auto"/>
          <w:szCs w:val="21"/>
          <w:highlight w:val="none"/>
        </w:rPr>
      </w:pPr>
      <w:r/>
      <w:bookmarkStart w:id="278" w:name="_Toc31236"/>
      <w:r/>
      <w:bookmarkStart w:id="279" w:name="_Toc102117306"/>
      <w:r/>
      <w:bookmarkStart w:id="280" w:name="_Toc104560884"/>
      <w:r/>
      <w:bookmarkStart w:id="281" w:name="_Toc107246265"/>
      <w:r>
        <w:rPr>
          <w:rFonts w:ascii="Microsoft New Tai Lue" w:hAnsi="Microsoft New Tai Lue" w:cs="Microsoft New Tai Lue"/>
          <w:color w:val="auto"/>
          <w:szCs w:val="21"/>
          <w:highlight w:val="none"/>
        </w:rPr>
        <w:t xml:space="preserve">44.质疑</w:t>
      </w:r>
      <w:bookmarkEnd w:id="278"/>
      <w:r/>
      <w:bookmarkEnd w:id="279"/>
      <w:r/>
      <w:bookmarkEnd w:id="280"/>
      <w:r/>
      <w:bookmarkEnd w:id="28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44.1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认为磋商文件、采购过程和成交结果使自己的权益受到损害的，可以在知道或者应知其权益受到损害之日起7个工作日内，以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供应商</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的要求向采购方提出质疑。采购方以书面形式答复质疑供应商，但答复的内容不涉及商业秘密。</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44</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响应</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44.</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w:t>
      </w:r>
      <w:r/>
    </w:p>
    <w:p>
      <w:pPr>
        <w:pStyle w:val="1149"/>
        <w:ind w:right="210"/>
        <w:spacing w:line="360" w:lineRule="auto"/>
        <w:rPr>
          <w:rFonts w:hint="eastAsia" w:ascii="Microsoft New Tai Lue" w:hAnsi="Microsoft New Tai Lue" w:cs="Microsoft New Tai Lue"/>
          <w:color w:val="auto"/>
          <w:highlight w:val="none"/>
        </w:rPr>
      </w:pPr>
      <w:r/>
      <w:bookmarkStart w:id="282" w:name="_Toc3360"/>
      <w:r/>
      <w:bookmarkStart w:id="283" w:name="_Toc107246266"/>
      <w:r>
        <w:rPr>
          <w:rFonts w:ascii="Microsoft New Tai Lue" w:hAnsi="Microsoft New Tai Lue" w:cs="Microsoft New Tai Lue"/>
          <w:color w:val="auto"/>
          <w:highlight w:val="none"/>
        </w:rPr>
        <w:t xml:space="preserve">八．其他</w:t>
      </w:r>
      <w:bookmarkEnd w:id="282"/>
      <w:r/>
      <w:bookmarkEnd w:id="283"/>
      <w:r/>
      <w:r/>
    </w:p>
    <w:p>
      <w:pPr>
        <w:pStyle w:val="1149"/>
        <w:ind w:right="210"/>
        <w:spacing w:line="360" w:lineRule="auto"/>
        <w:rPr>
          <w:rFonts w:ascii="Microsoft New Tai Lue" w:hAnsi="Microsoft New Tai Lue" w:cs="Microsoft New Tai Lue"/>
          <w:color w:val="auto"/>
          <w:szCs w:val="21"/>
          <w:highlight w:val="none"/>
        </w:rPr>
      </w:pPr>
      <w:r/>
      <w:bookmarkStart w:id="284" w:name="_Toc104560886"/>
      <w:r/>
      <w:bookmarkStart w:id="285" w:name="_Toc3717"/>
      <w:r/>
      <w:bookmarkStart w:id="286" w:name="_Toc107246267"/>
      <w:r/>
      <w:bookmarkStart w:id="287" w:name="_Toc103848572"/>
      <w:r>
        <w:rPr>
          <w:rFonts w:ascii="Microsoft New Tai Lue" w:hAnsi="Microsoft New Tai Lue" w:cs="Microsoft New Tai Lue"/>
          <w:color w:val="auto"/>
          <w:szCs w:val="21"/>
          <w:highlight w:val="none"/>
        </w:rPr>
        <w:t xml:space="preserve">45.</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代理服务费</w:t>
      </w:r>
      <w:bookmarkEnd w:id="284"/>
      <w:r/>
      <w:bookmarkEnd w:id="285"/>
      <w:r/>
      <w:bookmarkEnd w:id="286"/>
      <w:r/>
      <w:bookmarkEnd w:id="28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45.1</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代理服务费及相关要求见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pStyle w:val="1149"/>
        <w:ind w:right="210"/>
        <w:spacing w:line="360" w:lineRule="auto"/>
        <w:rPr>
          <w:rFonts w:ascii="Microsoft New Tai Lue" w:hAnsi="Microsoft New Tai Lue" w:cs="Microsoft New Tai Lue"/>
          <w:color w:val="auto"/>
          <w:szCs w:val="21"/>
          <w:highlight w:val="none"/>
        </w:rPr>
      </w:pPr>
      <w:r/>
      <w:bookmarkStart w:id="288" w:name="_Toc103848573"/>
      <w:r/>
      <w:bookmarkStart w:id="289" w:name="_Toc8920"/>
      <w:r/>
      <w:bookmarkStart w:id="290" w:name="_Toc104560887"/>
      <w:r/>
      <w:bookmarkStart w:id="291" w:name="_Toc107246268"/>
      <w:r>
        <w:rPr>
          <w:rFonts w:ascii="Microsoft New Tai Lue" w:hAnsi="Microsoft New Tai Lue" w:cs="Microsoft New Tai Lue"/>
          <w:color w:val="auto"/>
          <w:szCs w:val="21"/>
          <w:highlight w:val="none"/>
        </w:rPr>
        <w:t xml:space="preserve">46.其他规定</w:t>
      </w:r>
      <w:bookmarkEnd w:id="288"/>
      <w:r/>
      <w:bookmarkEnd w:id="289"/>
      <w:r/>
      <w:bookmarkEnd w:id="290"/>
      <w:r/>
      <w:bookmarkEnd w:id="29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46.1响应文件的其他规定见</w:t>
      </w:r>
      <w:r>
        <w:rPr>
          <w:rFonts w:ascii="Microsoft New Tai Lue" w:hAnsi="Microsoft New Tai Lue" w:cs="Microsoft New Tai Lue"/>
          <w:b/>
          <w:color w:val="auto"/>
          <w:szCs w:val="21"/>
          <w:highlight w:val="none"/>
        </w:rPr>
        <w:t xml:space="preserve">供应商须知前附</w:t>
      </w:r>
      <w:r>
        <w:rPr>
          <w:rFonts w:ascii="Microsoft New Tai Lue" w:hAnsi="Microsoft New Tai Lue" w:cs="Microsoft New Tai Lue"/>
          <w:color w:val="auto"/>
          <w:szCs w:val="21"/>
          <w:highlight w:val="none"/>
        </w:rPr>
        <w:t xml:space="preserve">表。</w:t>
      </w:r>
      <w:r/>
    </w:p>
    <w:p>
      <w:pPr>
        <w:pStyle w:val="1149"/>
        <w:ind w:right="210"/>
        <w:spacing w:line="360" w:lineRule="auto"/>
        <w:rPr>
          <w:rFonts w:ascii="Microsoft New Tai Lue" w:hAnsi="Microsoft New Tai Lue" w:cs="Microsoft New Tai Lue"/>
          <w:color w:val="auto"/>
          <w:szCs w:val="21"/>
          <w:highlight w:val="none"/>
        </w:rPr>
      </w:pPr>
      <w:r/>
      <w:bookmarkStart w:id="292" w:name="_Toc587"/>
      <w:r/>
      <w:bookmarkStart w:id="293" w:name="_Toc103848574"/>
      <w:r/>
      <w:bookmarkStart w:id="294" w:name="_Toc104560888"/>
      <w:r/>
      <w:bookmarkStart w:id="295" w:name="_Toc107246269"/>
      <w:r>
        <w:rPr>
          <w:rFonts w:ascii="Microsoft New Tai Lue" w:hAnsi="Microsoft New Tai Lue" w:cs="Microsoft New Tai Lue"/>
          <w:color w:val="auto"/>
          <w:szCs w:val="21"/>
          <w:highlight w:val="none"/>
        </w:rPr>
        <w:t xml:space="preserve">47.文件解释权</w:t>
      </w:r>
      <w:bookmarkEnd w:id="292"/>
      <w:r/>
      <w:bookmarkEnd w:id="293"/>
      <w:r/>
      <w:bookmarkEnd w:id="294"/>
      <w:r/>
      <w:bookmarkEnd w:id="295"/>
      <w:r/>
      <w:r/>
    </w:p>
    <w:p>
      <w:pPr>
        <w:ind w:firstLine="525"/>
        <w:spacing w:line="360" w:lineRule="auto"/>
        <w:rPr>
          <w:rFonts w:hint="eastAsia" w:hAnsi="宋体" w:cs="宋体"/>
          <w:bCs/>
          <w:color w:val="auto"/>
          <w:sz w:val="24"/>
          <w:highlight w:val="none"/>
        </w:rPr>
      </w:pPr>
      <w:r>
        <w:rPr>
          <w:rFonts w:ascii="Microsoft New Tai Lue" w:hAnsi="Microsoft New Tai Lue" w:cs="Microsoft New Tai Lue"/>
          <w:color w:val="auto"/>
          <w:szCs w:val="21"/>
          <w:highlight w:val="none"/>
        </w:rPr>
        <w:t xml:space="preserve">47.1本磋商文件的</w:t>
      </w:r>
      <w:r>
        <w:rPr>
          <w:rFonts w:hint="eastAsia" w:ascii="Microsoft New Tai Lue" w:hAnsi="Microsoft New Tai Lue" w:cs="Microsoft New Tai Lue"/>
          <w:color w:val="auto"/>
          <w:szCs w:val="21"/>
          <w:highlight w:val="none"/>
        </w:rPr>
        <w:t xml:space="preserve">由</w:t>
      </w:r>
      <w:r>
        <w:rPr>
          <w:rFonts w:ascii="Microsoft New Tai Lue" w:hAnsi="Microsoft New Tai Lue" w:cs="Microsoft New Tai Lue"/>
          <w:color w:val="auto"/>
          <w:szCs w:val="21"/>
          <w:highlight w:val="none"/>
        </w:rPr>
        <w:t xml:space="preserve">采购人（或采购代理机构）</w:t>
      </w:r>
      <w:r>
        <w:rPr>
          <w:rFonts w:hint="eastAsia" w:ascii="Microsoft New Tai Lue" w:hAnsi="Microsoft New Tai Lue" w:cs="Microsoft New Tai Lue"/>
          <w:color w:val="auto"/>
          <w:szCs w:val="21"/>
          <w:highlight w:val="none"/>
        </w:rPr>
        <w:t xml:space="preserve">负责解释</w:t>
      </w:r>
      <w:r>
        <w:rPr>
          <w:rFonts w:ascii="Microsoft New Tai Lue" w:hAnsi="Microsoft New Tai Lue" w:cs="Microsoft New Tai Lue"/>
          <w:color w:val="auto"/>
          <w:szCs w:val="21"/>
          <w:highlight w:val="none"/>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r>
      <w:r/>
    </w:p>
    <w:p>
      <w:pPr>
        <w:pStyle w:val="1204"/>
        <w:rPr>
          <w:rFonts w:ascii="Microsoft New Tai Lue" w:hAnsi="Microsoft New Tai Lue" w:cs="Microsoft New Tai Lue"/>
          <w:color w:val="auto"/>
          <w:highlight w:val="none"/>
        </w:rPr>
      </w:pPr>
      <w:r>
        <w:rPr>
          <w:rFonts w:hint="eastAsia" w:ascii="宋体" w:hAnsi="宋体" w:eastAsia="宋体" w:cs="宋体"/>
          <w:color w:val="auto"/>
          <w:sz w:val="24"/>
          <w:szCs w:val="24"/>
          <w:highlight w:val="none"/>
        </w:rPr>
        <w:br w:type="page" w:clear="all"/>
      </w:r>
      <w:bookmarkStart w:id="296" w:name="_Toc107246270"/>
      <w:r/>
      <w:bookmarkStart w:id="297" w:name="_Toc7386"/>
      <w:r>
        <w:rPr>
          <w:rFonts w:ascii="Microsoft New Tai Lue" w:hAnsi="Microsoft New Tai Lue" w:cs="Microsoft New Tai Lue"/>
          <w:color w:val="auto"/>
          <w:highlight w:val="none"/>
        </w:rPr>
        <w:t xml:space="preserve">第三章 政府采购合同条款及格式</w:t>
      </w:r>
      <w:bookmarkEnd w:id="296"/>
      <w:r/>
      <w:r/>
    </w:p>
    <w:p>
      <w:pPr>
        <w:spacing w:line="360" w:lineRule="auto"/>
        <w:rPr>
          <w:rFonts w:hint="eastAsia" w:hAnsi="宋体" w:cs="宋体"/>
          <w:bCs/>
          <w:color w:val="auto"/>
          <w:sz w:val="32"/>
          <w:szCs w:val="32"/>
          <w:highlight w:val="none"/>
        </w:rPr>
      </w:pPr>
      <w:r>
        <w:rPr>
          <w:rFonts w:ascii="Microsoft New Tai Lue" w:hAnsi="Microsoft New Tai Lue" w:cs="Microsoft New Tai Lue"/>
          <w:color w:val="auto"/>
          <w:sz w:val="22"/>
          <w:szCs w:val="28"/>
          <w:highlight w:val="none"/>
        </w:rPr>
        <w:tab/>
      </w:r>
      <w:bookmarkEnd w:id="297"/>
      <w:r/>
      <w:r/>
    </w:p>
    <w:p>
      <w:pPr>
        <w:ind w:firstLine="420"/>
        <w:jc w:val="center"/>
        <w:rPr>
          <w:rFonts w:hint="eastAsia" w:ascii="宋体" w:hAnsi="宋体" w:eastAsia="宋体" w:cs="宋体"/>
          <w:color w:val="auto"/>
          <w:sz w:val="22"/>
          <w:szCs w:val="22"/>
          <w:highlight w:val="none"/>
          <w:lang w:val="zh-CN"/>
        </w:rPr>
      </w:pPr>
      <w:r>
        <w:rPr>
          <w:rFonts w:hint="eastAsia" w:hAnsi="宋体" w:cs="宋体"/>
          <w:bCs/>
          <w:color w:val="auto"/>
          <w:sz w:val="28"/>
          <w:szCs w:val="28"/>
          <w:highlight w:val="none"/>
        </w:rPr>
        <w:t xml:space="preserve"> </w:t>
      </w:r>
      <w:r>
        <w:rPr>
          <w:rFonts w:hint="eastAsia" w:ascii="宋体" w:hAnsi="宋体" w:eastAsia="宋体" w:cs="宋体"/>
          <w:color w:val="auto"/>
          <w:sz w:val="22"/>
          <w:szCs w:val="22"/>
          <w:highlight w:val="none"/>
          <w:lang w:val="zh-CN"/>
        </w:rPr>
        <w:t xml:space="preserve"> （此合同格式及主要条款作为签订正式合同时的参考，以最终签订的合同为准）</w:t>
      </w:r>
      <w:r/>
    </w:p>
    <w:p>
      <w:pPr>
        <w:ind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采购人：江苏省肿瘤医院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注册地址：南京市百子亭42号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供应方：XX保险公司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XX保险公司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经纪人：江泰保险经纪股份有限公司江苏营业部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注册地址：南京市秦淮区中山南路189号11层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国务院关于保险业改革发展的若干意见》（国发[2006]23号）、《国务院关于加快发展现代保险服务业的若干意见》（国发[2014]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通过</w:t>
      </w:r>
      <w:r>
        <w:rPr>
          <w:rFonts w:hint="eastAsia" w:ascii="宋体" w:hAnsi="宋体" w:eastAsia="宋体" w:cs="宋体"/>
          <w:color w:val="auto"/>
          <w:szCs w:val="21"/>
          <w:highlight w:val="none"/>
          <w:lang w:val="en-US" w:eastAsia="zh-CN"/>
        </w:rPr>
        <w:t xml:space="preserve">竞争性磋商</w:t>
      </w:r>
      <w:r>
        <w:rPr>
          <w:rFonts w:hint="eastAsia" w:ascii="宋体" w:hAnsi="宋体" w:eastAsia="宋体" w:cs="宋体"/>
          <w:color w:val="auto"/>
          <w:szCs w:val="21"/>
          <w:highlight w:val="none"/>
        </w:rPr>
        <w:t xml:space="preserve">的方式确定供应方为</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医疗责任保险承保人。现按照相关采购文件要求，双方就本产品运作达成以下协议，以兹共同遵守。</w:t>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298" w:name="_Toc21212"/>
      <w:r/>
      <w:bookmarkStart w:id="299" w:name="_Toc18364"/>
      <w:r>
        <w:rPr>
          <w:rFonts w:hint="eastAsia" w:ascii="宋体" w:hAnsi="宋体" w:eastAsia="宋体" w:cs="宋体"/>
          <w:b/>
          <w:bCs/>
          <w:color w:val="auto"/>
          <w:sz w:val="21"/>
          <w:szCs w:val="21"/>
          <w:highlight w:val="none"/>
          <w:lang w:val="en-US" w:eastAsia="zh-CN" w:bidi="ar-SA"/>
        </w:rPr>
        <w:t xml:space="preserve">第一部分 定义或释义</w:t>
      </w:r>
      <w:bookmarkEnd w:id="298"/>
      <w:r/>
      <w:bookmarkEnd w:id="299"/>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0" w:name="_Toc75"/>
      <w:r>
        <w:rPr>
          <w:rFonts w:hint="eastAsia" w:ascii="宋体" w:hAnsi="宋体" w:eastAsia="宋体" w:cs="宋体"/>
          <w:b/>
          <w:color w:val="auto"/>
          <w:sz w:val="21"/>
          <w:szCs w:val="21"/>
          <w:highlight w:val="none"/>
          <w:lang w:val="en-US" w:eastAsia="zh-CN" w:bidi="ar-SA"/>
        </w:rPr>
        <w:t xml:space="preserve">医疗责任保险产品</w:t>
      </w:r>
      <w:bookmarkEnd w:id="300"/>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本协议所称医疗责任保险产品，是指具备标准的保险条款和保险费率机制，并经国家金融监督管理总局或其省一级派出机构审批或者备案的医疗责任险保险产品，通常在某个行政区域市场中通过采购形式产生。</w:t>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1" w:name="_Toc21796"/>
      <w:r>
        <w:rPr>
          <w:rFonts w:hint="eastAsia" w:ascii="宋体" w:hAnsi="宋体" w:eastAsia="宋体" w:cs="宋体"/>
          <w:b/>
          <w:color w:val="auto"/>
          <w:sz w:val="21"/>
          <w:szCs w:val="21"/>
          <w:highlight w:val="none"/>
          <w:lang w:val="en-US" w:eastAsia="zh-CN" w:bidi="ar-SA"/>
        </w:rPr>
        <w:t xml:space="preserve">投保人</w:t>
      </w:r>
      <w:bookmarkEnd w:id="30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本协议所称投保人，指</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w:t>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2" w:name="_Toc8922"/>
      <w:r>
        <w:rPr>
          <w:rFonts w:hint="eastAsia" w:ascii="宋体" w:hAnsi="宋体" w:eastAsia="宋体" w:cs="宋体"/>
          <w:b/>
          <w:color w:val="auto"/>
          <w:sz w:val="21"/>
          <w:szCs w:val="21"/>
          <w:highlight w:val="none"/>
          <w:lang w:val="en-US" w:eastAsia="zh-CN" w:bidi="ar-SA"/>
        </w:rPr>
        <w:t xml:space="preserve">供应方</w:t>
      </w:r>
      <w:bookmarkEnd w:id="30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本协议所称供应方，是指参与本产品承保的保险公司成员统称。</w:t>
      </w:r>
      <w:bookmarkStart w:id="303" w:name="_Toc152993061"/>
      <w:r/>
      <w:bookmarkEnd w:id="303"/>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4" w:name="_Toc27110"/>
      <w:r>
        <w:rPr>
          <w:rFonts w:hint="eastAsia" w:ascii="宋体" w:hAnsi="宋体" w:eastAsia="宋体" w:cs="宋体"/>
          <w:b/>
          <w:color w:val="auto"/>
          <w:sz w:val="21"/>
          <w:szCs w:val="21"/>
          <w:highlight w:val="none"/>
          <w:lang w:val="en-US" w:eastAsia="zh-CN" w:bidi="ar-SA"/>
        </w:rPr>
        <w:t xml:space="preserve">保险经纪人</w:t>
      </w:r>
      <w:bookmarkEnd w:id="30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本协议所称保险经纪人，是指为本产品的投保人与保险人订立保险合同提供中介服务的江泰保险经纪股份有限公司江苏营业部。</w:t>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5" w:name="_Toc1383"/>
      <w:r>
        <w:rPr>
          <w:rFonts w:hint="eastAsia" w:ascii="宋体" w:hAnsi="宋体" w:eastAsia="宋体" w:cs="宋体"/>
          <w:b/>
          <w:color w:val="auto"/>
          <w:sz w:val="21"/>
          <w:szCs w:val="21"/>
          <w:highlight w:val="none"/>
          <w:lang w:val="en-US" w:eastAsia="zh-CN" w:bidi="ar-SA"/>
        </w:rPr>
        <w:t xml:space="preserve">医疗风险分担机制</w:t>
      </w:r>
      <w:bookmarkEnd w:id="30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医疗风险分担机制，是指根据《中华人民共和国卫生健康促进法》、《中华人民共和国医师法》等法律法规为依据，提升社会大众对于医疗风险的客观认知，推动医疗机构、医务人员、患者对医疗风险进行识别，并鼓励采取科学、有效的方式，对医疗风险进行管理或转移，共同承担医疗风险。</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06" w:name="_Toc7527"/>
      <w:r/>
      <w:bookmarkStart w:id="307" w:name="_Toc30011"/>
      <w:r>
        <w:rPr>
          <w:rFonts w:hint="eastAsia" w:ascii="宋体" w:hAnsi="宋体" w:eastAsia="宋体" w:cs="宋体"/>
          <w:b/>
          <w:bCs/>
          <w:color w:val="auto"/>
          <w:sz w:val="21"/>
          <w:szCs w:val="21"/>
          <w:highlight w:val="none"/>
          <w:lang w:val="en-US" w:eastAsia="zh-CN" w:bidi="ar-SA"/>
        </w:rPr>
        <w:t xml:space="preserve">第二部分 权利与义务</w:t>
      </w:r>
      <w:bookmarkEnd w:id="306"/>
      <w:r/>
      <w:bookmarkEnd w:id="307"/>
      <w:r/>
      <w:r/>
    </w:p>
    <w:p>
      <w:pPr>
        <w:numPr>
          <w:ilvl w:val="0"/>
          <w:numId w:val="7"/>
        </w:num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采购人的权利和义务</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1、如实、准确、完整地向乙方提供与保险合同事项相关的信息与资料；</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2、在乙方提供保险服务过程中给予必要的协助； </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3、当保险标的风险性质、风险状况发生重大变化或发生任何可能引起保险索赔事件时，应及时通知供应方和经纪人；</w:t>
      </w:r>
      <w:r/>
    </w:p>
    <w:p>
      <w:pPr>
        <w:ind w:firstLine="444"/>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4、对乙方提供的保险合同有知情权、选择权和决定权；</w:t>
      </w:r>
      <w:r/>
    </w:p>
    <w:p>
      <w:pPr>
        <w:ind w:firstLine="422"/>
        <w:spacing w:line="360" w:lineRule="auto"/>
        <w:tabs>
          <w:tab w:val="left" w:pos="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二、供应方的权利和义务</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负责本产品保险条款的报备，对保险产品满足采购需求及合法合规性承担相应责任；</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组织供应方其他成员订立承保协议，按照保险合同及本协议的约定承保出单、保费划转、保险理赔等事宜；承保协议约定内容不得违背本协议，不得损害本协议其他各方及被保险人的利益，并报工作领导小组备案执行；</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代表供应方其他成员与经纪人讨论制定本产品的相关工作标准；</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配合经纪人建立案管中心；</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按照本协议约定，向经纪人支付保险经纪佣金；</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配合经纪人依据市场需求做好保险产品的优化调整工作；</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认可赔处中心出具的案件评估意见，以及“南京市（区）医疗纠纷调解组织”出具的调解协议书；</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配合经纪人对案件进行有效管理；</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按照本协议要求完成与经纪人业务系统对接工作；</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协助经纪人进行风险防范和风险管理等相关工作；</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完善服务质量，根据经纪人提出的意见、建议及时进行相应的整改，并将整改措施和效果告知经纪人。</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供应方出单公司的权利义务：</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1、出具保单及全额保费发票，提供保单信息查询服务。</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2、有收取供应方其他成员份额保费发票的权利和向其他成员及时拨付保费的义务。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3、发生保险事故支付赔款时，负责在本协议约定的期限内代表供应方全额代付赔款至被保险人指定账户。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4、代表供应方成员统一提供处理日常承保、理赔、培训、纠纷防范等服务工作，并根据经纪人的要求协调供应方成员提供承诺的相关服务。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5、本协议中出单公司为首承公司。</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相关法律、法规赋予供应方的其他权利和义务。</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三、经纪人的权利和义务</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受采购人委托，负责工作计划的落实；</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负责保障“医疗责任保险赔偿处理中心”（以下简称“赔处中心”）的日常运营，包括费用保障、后勤保障、驻点服务网络、队伍建设、对外宣传、网络信息技术支持以及运营风险控制；</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负责保障案件管理中心的日常运营，包括费用保障、后勤保障、队伍建设等；</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通过风险管控服务，协助医院加强安全管理、促进医疗服务质量提升，防范医疗风险，减少医疗纠纷；</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联合供应方对案件进行有效管理；</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推动建立双方的协调沟通机制，协调解决本产品运行过程中遇到的疑难问题，提高运作效率；</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按照本协议约定，向供应方收取保险经纪佣金；</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根据医疗机构的风险转移需求，不断优化和改进本产品，并与供应方共同做好保险产品的动态调整工作；</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监督供应方的保险服务质量，对供应方进行工作考评，维护投保人、被保险人的保险权益；</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（十一）相关法律、法规赋予经纪人的其他权利和义务。</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08" w:name="_Toc23371"/>
      <w:r/>
      <w:bookmarkStart w:id="309" w:name="_Toc25286"/>
      <w:r>
        <w:rPr>
          <w:rFonts w:hint="eastAsia" w:ascii="宋体" w:hAnsi="宋体" w:eastAsia="宋体" w:cs="宋体"/>
          <w:b/>
          <w:bCs/>
          <w:color w:val="auto"/>
          <w:sz w:val="21"/>
          <w:szCs w:val="21"/>
          <w:highlight w:val="none"/>
          <w:lang w:val="en-US" w:eastAsia="zh-CN" w:bidi="ar-SA"/>
        </w:rPr>
        <w:t xml:space="preserve">第三部分 工作机制</w:t>
      </w:r>
      <w:bookmarkEnd w:id="308"/>
      <w:r/>
      <w:bookmarkEnd w:id="309"/>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0" w:name="_Toc31564"/>
      <w:r>
        <w:rPr>
          <w:rFonts w:hint="eastAsia" w:ascii="宋体" w:hAnsi="宋体" w:eastAsia="宋体" w:cs="宋体"/>
          <w:b/>
          <w:bCs/>
          <w:color w:val="auto"/>
          <w:szCs w:val="21"/>
          <w:highlight w:val="none"/>
        </w:rPr>
        <w:t xml:space="preserve">本项目领导小组</w:t>
      </w:r>
      <w:bookmarkEnd w:id="31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本项目领导小组由三方相关领导共同组成，领导小组人员建立联席会议制度，定期召开联席会议，协调解决工作中存在的问题，落实各项具体工作</w:t>
      </w:r>
      <w:r>
        <w:rPr>
          <w:rFonts w:hint="eastAsia" w:ascii="宋体" w:hAnsi="宋体" w:eastAsia="宋体" w:cs="宋体"/>
          <w:bCs/>
          <w:color w:val="auto"/>
          <w:szCs w:val="21"/>
          <w:highlight w:val="none"/>
        </w:rPr>
        <w:t xml:space="preserve">。</w:t>
      </w:r>
      <w:r/>
    </w:p>
    <w:p>
      <w:pPr>
        <w:numPr>
          <w:ilvl w:val="0"/>
          <w:numId w:val="11"/>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领导小组人员名单如下：</w:t>
      </w:r>
      <w:r/>
    </w:p>
    <w:tbl>
      <w:tblPr>
        <w:tblStyle w:val="977"/>
        <w:tblW w:w="4999" w:type="pct"/>
        <w:jc w:val="center"/>
        <w:tblLayout w:type="autofit"/>
        <w:tblCellMar>
          <w:left w:w="15" w:type="dxa"/>
          <w:top w:w="15" w:type="dxa"/>
          <w:right w:w="15" w:type="dxa"/>
          <w:bottom w:w="15" w:type="dxa"/>
        </w:tblCellMar>
        <w:tblLook w:val="04A0" w:firstRow="1" w:lastRow="0" w:firstColumn="1" w:lastColumn="0" w:noHBand="0" w:noVBand="1"/>
      </w:tblPr>
      <w:tblGrid>
        <w:gridCol w:w="1189"/>
        <w:gridCol w:w="1906"/>
        <w:gridCol w:w="3657"/>
        <w:gridCol w:w="2727"/>
      </w:tblGrid>
      <w:tr>
        <w:trPr>
          <w:jc w:val="center"/>
          <w:trHeight w:val="283"/>
        </w:trPr>
        <w:tc>
          <w:tcPr>
            <w:shd w:val="clear" w:color="auto" w:fill="d9d9d9"/>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组长</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副组长</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1"/>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工作职责</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至少每半年召开一次联席会议，通报工作情况，及时解决工作中遇到的困难和问题；</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负责重大事项的决策及协调处理；</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负责制订案件管理规则，确保案件数据的一致性</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负责运作机制的决策。</w:t>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1" w:name="_Toc26994"/>
      <w:r>
        <w:rPr>
          <w:rFonts w:hint="eastAsia" w:ascii="宋体" w:hAnsi="宋体" w:eastAsia="宋体" w:cs="宋体"/>
          <w:b/>
          <w:bCs/>
          <w:color w:val="auto"/>
          <w:szCs w:val="21"/>
          <w:highlight w:val="none"/>
        </w:rPr>
        <w:t xml:space="preserve">工作小组</w:t>
      </w:r>
      <w:bookmarkEnd w:id="311"/>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工作小组成员包括</w:t>
      </w:r>
      <w:r>
        <w:rPr>
          <w:rFonts w:hint="eastAsia" w:ascii="宋体" w:hAnsi="宋体" w:eastAsia="宋体" w:cs="宋体"/>
          <w:color w:val="auto"/>
          <w:szCs w:val="21"/>
          <w:highlight w:val="none"/>
        </w:rPr>
        <w:t xml:space="preserve">三方</w:t>
      </w:r>
      <w:r>
        <w:rPr>
          <w:rFonts w:hint="eastAsia" w:ascii="宋体" w:hAnsi="宋体" w:eastAsia="宋体" w:cs="宋体"/>
          <w:bCs/>
          <w:color w:val="auto"/>
          <w:szCs w:val="21"/>
          <w:highlight w:val="none"/>
        </w:rPr>
        <w:t xml:space="preserve">相关人员。工作小组人员名单如下：</w:t>
      </w:r>
      <w:r/>
    </w:p>
    <w:p>
      <w:pPr>
        <w:numPr>
          <w:ilvl w:val="0"/>
          <w:numId w:val="1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tbl>
      <w:tblPr>
        <w:tblStyle w:val="97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164"/>
        <w:gridCol w:w="1458"/>
        <w:gridCol w:w="1897"/>
        <w:gridCol w:w="2769"/>
        <w:gridCol w:w="2191"/>
      </w:tblGrid>
      <w:tr>
        <w:trPr>
          <w:jc w:val="center"/>
          <w:trHeight w:val="283"/>
        </w:trPr>
        <w:tc>
          <w:tcPr>
            <w:shd w:val="clear" w:color="auto" w:fill="d9d9d9"/>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shd w:val="clear" w:color="auto" w:fill="d9d9d9"/>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职责分工</w:t>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副组长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工作内容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工作小组在经纪人设立工作办公室，工作小组具体工作内容包括：</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接受各方对工作中主要问题的反馈，协商处理办法；</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组织工作领导小组相关会议和活动；</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配合做好案件管理工作；</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配合、协助领导小组的工作。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如上述人员变更调整，需以联席会议确定报经纪人备案进行变更。</w:t>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2" w:name="_Toc20337"/>
      <w:r>
        <w:rPr>
          <w:rFonts w:hint="eastAsia" w:ascii="宋体" w:hAnsi="宋体" w:eastAsia="宋体" w:cs="宋体"/>
          <w:b/>
          <w:bCs/>
          <w:color w:val="auto"/>
          <w:szCs w:val="21"/>
          <w:highlight w:val="none"/>
        </w:rPr>
        <w:t xml:space="preserve">赔偿处理中心</w:t>
      </w:r>
      <w:bookmarkEnd w:id="31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中心成员包括双方</w:t>
      </w:r>
      <w:r>
        <w:rPr>
          <w:rFonts w:hint="eastAsia" w:ascii="宋体" w:hAnsi="宋体" w:eastAsia="宋体" w:cs="宋体"/>
          <w:bCs/>
          <w:color w:val="auto"/>
          <w:szCs w:val="21"/>
          <w:highlight w:val="none"/>
        </w:rPr>
        <w:t xml:space="preserve">相关人员名单如下：</w:t>
      </w:r>
      <w:r/>
    </w:p>
    <w:p>
      <w:pPr>
        <w:numPr>
          <w:ilvl w:val="0"/>
          <w:numId w:val="15"/>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tbl>
      <w:tblPr>
        <w:tblStyle w:val="97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610"/>
        <w:gridCol w:w="1013"/>
        <w:gridCol w:w="1896"/>
        <w:gridCol w:w="2768"/>
        <w:gridCol w:w="2190"/>
      </w:tblGrid>
      <w:tr>
        <w:trPr>
          <w:jc w:val="center"/>
          <w:trHeight w:val="283"/>
        </w:trPr>
        <w:tc>
          <w:tcPr>
            <w:shd w:val="clear" w:color="auto" w:fill="d9d9d9"/>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shd w:val="clear" w:color="auto" w:fill="d9d9d9"/>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职责分工</w:t>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5"/>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工作内容</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做好纠纷调解工作，负责医责险案件从报案、评估、索赔、结案和总结分析；</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配合医院做好案件索赔工作全流程案件的管理；</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对医责险案件进行数据统计分析；</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案件各节点工作协调。</w:t>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3" w:name="_Toc31567"/>
      <w:r>
        <w:rPr>
          <w:rFonts w:hint="eastAsia" w:ascii="宋体" w:hAnsi="宋体" w:eastAsia="宋体" w:cs="宋体"/>
          <w:b/>
          <w:bCs/>
          <w:color w:val="auto"/>
          <w:szCs w:val="21"/>
          <w:highlight w:val="none"/>
        </w:rPr>
        <w:t xml:space="preserve">风险管理服务中心</w:t>
      </w:r>
      <w:bookmarkEnd w:id="313"/>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风险管理服务中心成员由</w:t>
      </w:r>
      <w:r>
        <w:rPr>
          <w:rFonts w:hint="eastAsia" w:ascii="宋体" w:hAnsi="宋体" w:eastAsia="宋体" w:cs="宋体"/>
          <w:bCs/>
          <w:color w:val="auto"/>
          <w:szCs w:val="21"/>
          <w:highlight w:val="none"/>
        </w:rPr>
        <w:t xml:space="preserve">经纪人相关人员组成，</w:t>
      </w:r>
      <w:r>
        <w:rPr>
          <w:rFonts w:hint="eastAsia" w:ascii="宋体" w:hAnsi="宋体" w:eastAsia="宋体" w:cs="宋体"/>
          <w:color w:val="auto"/>
          <w:szCs w:val="21"/>
          <w:highlight w:val="none"/>
        </w:rPr>
        <w:t xml:space="preserve">风险管理服务中心</w:t>
      </w:r>
      <w:r>
        <w:rPr>
          <w:rFonts w:hint="eastAsia" w:ascii="宋体" w:hAnsi="宋体" w:eastAsia="宋体" w:cs="宋体"/>
          <w:bCs/>
          <w:color w:val="auto"/>
          <w:szCs w:val="21"/>
          <w:highlight w:val="none"/>
        </w:rPr>
        <w:t xml:space="preserve">名单如下：</w:t>
      </w:r>
      <w:r/>
    </w:p>
    <w:p>
      <w:pPr>
        <w:numPr>
          <w:ilvl w:val="0"/>
          <w:numId w:val="17"/>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tbl>
      <w:tblPr>
        <w:tblStyle w:val="97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164"/>
        <w:gridCol w:w="1458"/>
        <w:gridCol w:w="1897"/>
        <w:gridCol w:w="2769"/>
        <w:gridCol w:w="2191"/>
      </w:tblGrid>
      <w:tr>
        <w:trPr>
          <w:jc w:val="center"/>
          <w:trHeight w:val="283"/>
        </w:trPr>
        <w:tc>
          <w:tcPr>
            <w:shd w:val="clear" w:color="auto" w:fill="d9d9d9"/>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shd w:val="clear" w:color="auto" w:fill="d9d9d9"/>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职责分工</w:t>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副组长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7"/>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工作内容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风险管理服务中心</w:t>
      </w:r>
      <w:r>
        <w:rPr>
          <w:rFonts w:hint="eastAsia" w:ascii="宋体" w:hAnsi="宋体" w:eastAsia="宋体" w:cs="宋体"/>
          <w:bCs/>
          <w:color w:val="auto"/>
          <w:szCs w:val="21"/>
          <w:highlight w:val="none"/>
        </w:rPr>
        <w:t xml:space="preserve">在经纪人设立办公室，主要工作内容包括：</w:t>
      </w:r>
      <w:r/>
    </w:p>
    <w:p>
      <w:pPr>
        <w:numPr>
          <w:ilvl w:val="0"/>
          <w:numId w:val="1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协助医疗机构加强安全管理、促进医疗服务质量提升；</w:t>
      </w:r>
      <w:r/>
    </w:p>
    <w:p>
      <w:pPr>
        <w:numPr>
          <w:ilvl w:val="0"/>
          <w:numId w:val="1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配合医疗机构防范医疗风险，减少医疗纠纷；</w:t>
      </w:r>
      <w:r/>
    </w:p>
    <w:p>
      <w:pPr>
        <w:numPr>
          <w:ilvl w:val="0"/>
          <w:numId w:val="1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配合、协助工作领导小组的工作。</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14" w:name="_Toc20631"/>
      <w:r/>
      <w:bookmarkStart w:id="315" w:name="_Toc32572"/>
      <w:r>
        <w:rPr>
          <w:rFonts w:hint="eastAsia" w:ascii="宋体" w:hAnsi="宋体" w:eastAsia="宋体" w:cs="宋体"/>
          <w:b/>
          <w:bCs/>
          <w:color w:val="auto"/>
          <w:sz w:val="21"/>
          <w:szCs w:val="21"/>
          <w:highlight w:val="none"/>
          <w:lang w:val="en-US" w:eastAsia="zh-CN" w:bidi="ar-SA"/>
        </w:rPr>
        <w:t xml:space="preserve">第四部分 </w:t>
      </w:r>
      <w:bookmarkEnd w:id="314"/>
      <w:r/>
      <w:bookmarkEnd w:id="315"/>
      <w:r/>
      <w:bookmarkStart w:id="316" w:name="_Toc742"/>
      <w:r/>
      <w:bookmarkStart w:id="317" w:name="_Toc8754"/>
      <w:r>
        <w:rPr>
          <w:rFonts w:hint="eastAsia" w:ascii="宋体" w:hAnsi="宋体" w:eastAsia="宋体" w:cs="宋体"/>
          <w:b/>
          <w:bCs/>
          <w:color w:val="auto"/>
          <w:sz w:val="21"/>
          <w:szCs w:val="21"/>
          <w:highlight w:val="none"/>
          <w:lang w:val="en-US" w:eastAsia="zh-CN" w:bidi="ar-SA"/>
        </w:rPr>
        <w:t xml:space="preserve">人民调解与案件处理</w:t>
      </w:r>
      <w:bookmarkEnd w:id="316"/>
      <w:r/>
      <w:bookmarkEnd w:id="317"/>
      <w:r/>
      <w:r/>
    </w:p>
    <w:p>
      <w:pPr>
        <w:numPr>
          <w:ilvl w:val="0"/>
          <w:numId w:val="19"/>
        </w:numPr>
        <w:ind w:firstLine="422"/>
        <w:jc w:val="left"/>
        <w:spacing w:line="360" w:lineRule="auto"/>
        <w:rPr>
          <w:rFonts w:hint="eastAsia" w:ascii="宋体" w:hAnsi="宋体" w:eastAsia="宋体" w:cs="宋体"/>
          <w:b/>
          <w:bCs/>
          <w:color w:val="auto"/>
          <w:szCs w:val="21"/>
          <w:highlight w:val="none"/>
        </w:rPr>
      </w:pPr>
      <w:r/>
      <w:bookmarkStart w:id="318" w:name="_Toc10613"/>
      <w:r>
        <w:rPr>
          <w:rFonts w:hint="eastAsia" w:ascii="宋体" w:hAnsi="宋体" w:eastAsia="宋体" w:cs="宋体"/>
          <w:b/>
          <w:bCs/>
          <w:color w:val="auto"/>
          <w:szCs w:val="21"/>
          <w:highlight w:val="none"/>
        </w:rPr>
        <w:t xml:space="preserve">人民调解</w:t>
      </w:r>
      <w:bookmarkEnd w:id="318"/>
      <w:r/>
      <w:r/>
    </w:p>
    <w:p>
      <w:pPr>
        <w:numPr>
          <w:ilvl w:val="0"/>
          <w:numId w:val="20"/>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人民调解组织</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经纪人负责依照《人民调解法》等相关法律法规的规定，协助当地医疗纠纷调解组织工作开展。</w:t>
      </w:r>
      <w:r/>
    </w:p>
    <w:p>
      <w:pPr>
        <w:numPr>
          <w:ilvl w:val="0"/>
          <w:numId w:val="20"/>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运行机制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负责保障“南京地区医疗责任保险赔偿处理中心”的日常运营，包括费用保障、后勤保障、驻点服务网络、队伍建设、对外宣传、网络信息技术支持以及运营风险控制。经纪人依照相关法律法规聘用服务人员，建立和完善纠纷调处程序，接受社会各界监督。</w:t>
      </w:r>
      <w:r/>
    </w:p>
    <w:p>
      <w:pPr>
        <w:numPr>
          <w:ilvl w:val="0"/>
          <w:numId w:val="19"/>
        </w:numPr>
        <w:ind w:firstLine="422"/>
        <w:jc w:val="left"/>
        <w:spacing w:line="360" w:lineRule="auto"/>
        <w:rPr>
          <w:rFonts w:hint="eastAsia" w:ascii="宋体" w:hAnsi="宋体" w:eastAsia="宋体" w:cs="宋体"/>
          <w:b/>
          <w:bCs/>
          <w:color w:val="auto"/>
          <w:szCs w:val="21"/>
          <w:highlight w:val="none"/>
        </w:rPr>
      </w:pPr>
      <w:r/>
      <w:bookmarkStart w:id="319" w:name="_Toc6713"/>
      <w:r>
        <w:rPr>
          <w:rFonts w:hint="eastAsia" w:ascii="宋体" w:hAnsi="宋体" w:eastAsia="宋体" w:cs="宋体"/>
          <w:b/>
          <w:bCs/>
          <w:color w:val="auto"/>
          <w:szCs w:val="21"/>
          <w:highlight w:val="none"/>
        </w:rPr>
        <w:t xml:space="preserve">案件处理</w:t>
      </w:r>
      <w:bookmarkEnd w:id="319"/>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接报案</w:t>
      </w:r>
      <w:r/>
    </w:p>
    <w:p>
      <w:pPr>
        <w:numPr>
          <w:ilvl w:val="0"/>
          <w:numId w:val="22"/>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被保险人</w:t>
      </w:r>
      <w:r>
        <w:rPr>
          <w:rFonts w:hint="eastAsia" w:ascii="宋体" w:hAnsi="宋体" w:eastAsia="宋体" w:cs="宋体"/>
          <w:bCs/>
          <w:color w:val="auto"/>
          <w:szCs w:val="21"/>
          <w:highlight w:val="none"/>
        </w:rPr>
        <w:t xml:space="preserve">通过</w:t>
      </w:r>
      <w:r>
        <w:rPr>
          <w:rFonts w:hint="eastAsia" w:ascii="宋体" w:hAnsi="宋体" w:eastAsia="宋体" w:cs="宋体"/>
          <w:color w:val="auto"/>
          <w:szCs w:val="21"/>
          <w:highlight w:val="none"/>
        </w:rPr>
        <w:t xml:space="preserve">经纪人</w:t>
      </w:r>
      <w:r>
        <w:rPr>
          <w:rFonts w:hint="eastAsia" w:ascii="宋体" w:hAnsi="宋体" w:eastAsia="宋体" w:cs="宋体"/>
          <w:bCs/>
          <w:color w:val="auto"/>
          <w:szCs w:val="21"/>
          <w:highlight w:val="none"/>
        </w:rPr>
        <w:t xml:space="preserve">报案的，</w:t>
      </w:r>
      <w:r>
        <w:rPr>
          <w:rFonts w:hint="eastAsia" w:ascii="宋体" w:hAnsi="宋体" w:eastAsia="宋体" w:cs="宋体"/>
          <w:color w:val="auto"/>
          <w:szCs w:val="21"/>
          <w:highlight w:val="none"/>
        </w:rPr>
        <w:t xml:space="preserve">经纪人</w:t>
      </w:r>
      <w:r>
        <w:rPr>
          <w:rFonts w:hint="eastAsia" w:ascii="宋体" w:hAnsi="宋体" w:eastAsia="宋体" w:cs="宋体"/>
          <w:bCs/>
          <w:color w:val="auto"/>
          <w:szCs w:val="21"/>
          <w:highlight w:val="none"/>
        </w:rPr>
        <w:t xml:space="preserve">应及时向供应方出单公司转报案。</w:t>
      </w:r>
      <w:r/>
    </w:p>
    <w:p>
      <w:pPr>
        <w:numPr>
          <w:ilvl w:val="0"/>
          <w:numId w:val="22"/>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被保险人</w:t>
      </w:r>
      <w:r>
        <w:rPr>
          <w:rFonts w:hint="eastAsia" w:ascii="宋体" w:hAnsi="宋体" w:eastAsia="宋体" w:cs="宋体"/>
          <w:bCs/>
          <w:color w:val="auto"/>
          <w:szCs w:val="21"/>
          <w:highlight w:val="none"/>
        </w:rPr>
        <w:t xml:space="preserve">向供应方报案的，供应方应及时将报案信息反馈至</w:t>
      </w:r>
      <w:r>
        <w:rPr>
          <w:rFonts w:hint="eastAsia" w:ascii="宋体" w:hAnsi="宋体" w:eastAsia="宋体" w:cs="宋体"/>
          <w:color w:val="auto"/>
          <w:szCs w:val="21"/>
          <w:highlight w:val="none"/>
        </w:rPr>
        <w:t xml:space="preserve">案管中心</w:t>
      </w:r>
      <w:r>
        <w:rPr>
          <w:rFonts w:hint="eastAsia" w:ascii="宋体" w:hAnsi="宋体" w:eastAsia="宋体" w:cs="宋体"/>
          <w:bCs/>
          <w:color w:val="auto"/>
          <w:szCs w:val="21"/>
          <w:highlight w:val="none"/>
        </w:rPr>
        <w:t xml:space="preserve">。</w:t>
      </w:r>
      <w:r/>
    </w:p>
    <w:p>
      <w:pPr>
        <w:numPr>
          <w:ilvl w:val="0"/>
          <w:numId w:val="22"/>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以下情况，供应方应视同为及时报案：</w:t>
      </w:r>
      <w:r/>
    </w:p>
    <w:p>
      <w:pPr>
        <w:numPr>
          <w:ilvl w:val="0"/>
          <w:numId w:val="2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对于可从公共媒体包括电视台、权威互联网站等其他途径已经及时知道或者应当及时知道保险事故发生的；</w:t>
      </w:r>
      <w:r/>
    </w:p>
    <w:p>
      <w:pPr>
        <w:numPr>
          <w:ilvl w:val="0"/>
          <w:numId w:val="2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如因不可抗力因素无法及时报案，供应方认可被保险人及案管中心事后出具的书面说明，并视同为及时报案予以受理；</w:t>
      </w:r>
      <w:r/>
    </w:p>
    <w:p>
      <w:pPr>
        <w:numPr>
          <w:ilvl w:val="0"/>
          <w:numId w:val="2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供应方认可被保险人说明合理原因的未及时报案。</w:t>
      </w:r>
      <w:r/>
    </w:p>
    <w:p>
      <w:pPr>
        <w:numPr>
          <w:ilvl w:val="0"/>
          <w:numId w:val="22"/>
        </w:num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接转报案标准</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案件符合下列标准之一的，经纪人协助被保险人向供应方出单公司转报案：</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患方向被保险人提交了书面的赔偿请求材料或者有患方签字请求经济赔偿的纠纷事故调查笔录，被保险人向经纪人提交正式书面报案申请的纠纷案件；</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医疗纠纷已被医调委受理，进入程序的调解案件；</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被保险人收到法院传票并报案的诉讼案件。</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行政调解案件、自主协商案件、仲裁案件。</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不符合以上转报案标准的案件，经纪人应与供应方沟通明确并达成一致，确保案件信息一致。</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理赔服务</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供应方应为参与本产品的被保险人提供本协议约定的理赔服务，履行《医疗责任保险保险案件赔偿处理办法》的相关规定，《医疗责任保险保险案件赔偿处理办法》详见附件。</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供应方认可本协议约定或联席会议决议通过的赔偿标准、索赔材料范围，并据此进行理赔和赔款摊回工作。</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供应方在本协议约定时限内完成赔款划付和赔款摊回工作，保证本产品的顺利进行。</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供应方出单公司不得以以往已决案件由于供应方共同承保人尚未支付应摊回赔款而拒绝支付新结案的赔款支付。</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确定患者残疾级别，出具伤残等级认定意见，供应方不再索要患者残疾程度证明。</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赔偿依据</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供应方认可并执行案管中心出具的《案件评估意见》和《赔款支付通知书》，将符合本协议相关约定的医患双方自行和解协议书、</w:t>
      </w:r>
      <w:r>
        <w:rPr>
          <w:rFonts w:hint="eastAsia" w:ascii="宋体" w:hAnsi="宋体" w:eastAsia="宋体" w:cs="宋体"/>
          <w:bCs/>
          <w:color w:val="auto"/>
          <w:szCs w:val="21"/>
          <w:highlight w:val="none"/>
        </w:rPr>
        <w:t xml:space="preserve">医疗纠纷调解组织</w:t>
      </w:r>
      <w:r>
        <w:rPr>
          <w:rFonts w:hint="eastAsia" w:ascii="宋体" w:hAnsi="宋体" w:eastAsia="宋体" w:cs="宋体"/>
          <w:color w:val="auto"/>
          <w:szCs w:val="21"/>
          <w:highlight w:val="none"/>
        </w:rPr>
        <w:t xml:space="preserve">主持签订的调解协议书、卫生行政部门出具的行政调解书、人民法院出具的民事调解书或判决书作为供应方赔偿的依据。</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赔款支付注意事项</w:t>
      </w:r>
      <w:r/>
    </w:p>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供应方出单公司不得以需要征询供应方共同承保人意见为由影响支付赔款时效。</w:t>
      </w:r>
      <w:r/>
    </w:p>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供应方同意，除另有约定外，供应方出单公司在接到案管中心出具的《医疗责任保险赔款支付通知书》及按照协议约定收集的索赔材料后，按照以下时限向被保险人、受益人或第三者支付赔款：</w:t>
      </w:r>
      <w:r/>
    </w:p>
    <w:tbl>
      <w:tblPr>
        <w:tblStyle w:val="97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081"/>
        <w:gridCol w:w="5630"/>
        <w:gridCol w:w="2954"/>
      </w:tblGrid>
      <w:tr>
        <w:trPr>
          <w:jc w:val="center"/>
          <w:trHeight w:val="377"/>
        </w:trPr>
        <w:tc>
          <w:tcPr>
            <w:shd w:val="clear" w:color="auto" w:fill="d9d9d9"/>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赔款金额</w:t>
            </w:r>
            <w:r/>
          </w:p>
        </w:tc>
        <w:tc>
          <w:tcPr>
            <w:shd w:val="clear" w:color="auto" w:fill="d9d9d9"/>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赔付时效</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赔款金额≤RMB5000元</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3个工作日内支付</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RMB5000元＜赔款金额≤RMB50000元</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5个工作日内支付</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RMB50000元＜赔款金额</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10个工作日内支付</w:t>
            </w:r>
            <w:r/>
          </w:p>
        </w:tc>
      </w:tr>
    </w:tbl>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供应方首承公司每月初的前5个工作日与</w:t>
      </w:r>
      <w:r>
        <w:rPr>
          <w:rFonts w:hint="eastAsia" w:ascii="宋体" w:hAnsi="宋体" w:eastAsia="宋体" w:cs="宋体"/>
          <w:color w:val="auto"/>
          <w:szCs w:val="21"/>
          <w:highlight w:val="none"/>
        </w:rPr>
        <w:t xml:space="preserve">经纪人</w:t>
      </w:r>
      <w:r>
        <w:rPr>
          <w:rFonts w:hint="eastAsia" w:ascii="宋体" w:hAnsi="宋体" w:eastAsia="宋体" w:cs="宋体"/>
          <w:bCs/>
          <w:color w:val="auto"/>
          <w:szCs w:val="21"/>
          <w:highlight w:val="none"/>
        </w:rPr>
        <w:t xml:space="preserve">核对本产品案件处理情况，就具体案件数量、已赔款金额、未决金额、索赔材料等内容进行沟通，双方以书面形式确认。</w:t>
      </w:r>
      <w:r/>
    </w:p>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如供应方首承公司未按约定时间支付赔款，则应按照实际拖延天数向相关的被保险人支付违约金，违约金为未结清款项数额的日利率万分之五。</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绿色通道</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属于保险责任事故的医疗纠纷且协议金额在20,000元（含）以下的案件，医疗机构可采用简易程序处理，自行与患者达成调解赔偿协议，医院每一保险年度采用本程序处理的案件赔偿总额按照年缴保费的5%作为自行处理的累计赔偿额。</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结案与销案标准</w:t>
      </w:r>
      <w:r/>
    </w:p>
    <w:p>
      <w:pPr>
        <w:numPr>
          <w:ilvl w:val="0"/>
          <w:numId w:val="27"/>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结案标准</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符合下列标准的，经纪人应当通知供应方做结案处理：</w:t>
      </w:r>
      <w:r/>
    </w:p>
    <w:p>
      <w:pPr>
        <w:numPr>
          <w:ilvl w:val="0"/>
          <w:numId w:val="28"/>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已达到年度保单的赔偿限额或事故损失小于免赔额，且供应方出具拒赔通知的；</w:t>
      </w:r>
      <w:r/>
    </w:p>
    <w:p>
      <w:pPr>
        <w:numPr>
          <w:ilvl w:val="0"/>
          <w:numId w:val="28"/>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正常支付赔款的。</w:t>
      </w:r>
      <w:r/>
    </w:p>
    <w:p>
      <w:pPr>
        <w:numPr>
          <w:ilvl w:val="0"/>
          <w:numId w:val="27"/>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销案标准</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符合下列标准的，经纪人应当通知供应方做销案处理：</w:t>
      </w:r>
      <w:r/>
    </w:p>
    <w:p>
      <w:pPr>
        <w:numPr>
          <w:ilvl w:val="0"/>
          <w:numId w:val="29"/>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被保险人报错案或重复报案，经纪人协助被保险人上传书面说明材料的；</w:t>
      </w:r>
      <w:r/>
    </w:p>
    <w:p>
      <w:pPr>
        <w:numPr>
          <w:ilvl w:val="0"/>
          <w:numId w:val="29"/>
        </w:numPr>
        <w:ind w:firstLine="420"/>
        <w:spacing w:line="360" w:lineRule="auto"/>
        <w:widowControl/>
        <w:tabs>
          <w:tab w:val="left" w:pos="0" w:leader="none"/>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被保险人超过六个月仍未提交索赔材料的；</w:t>
      </w:r>
      <w:r/>
    </w:p>
    <w:p>
      <w:pPr>
        <w:numPr>
          <w:ilvl w:val="0"/>
          <w:numId w:val="29"/>
        </w:numPr>
        <w:ind w:firstLine="420"/>
        <w:spacing w:line="360" w:lineRule="auto"/>
        <w:widowControl/>
        <w:tabs>
          <w:tab w:val="left" w:pos="0" w:leader="none"/>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供应方接到经纪人书面通知的。</w:t>
      </w:r>
      <w:r/>
    </w:p>
    <w:p>
      <w:pPr>
        <w:numPr>
          <w:ilvl w:val="0"/>
          <w:numId w:val="27"/>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零结案标准</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符合下列标准的，经纪人应当通知供应方做零结案处理：</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调解案件，经专家评估和调解，认定被保险人无责，上传被保险人或患者签字同意的无责终结通知书的；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诉讼案件，经法院判决被保险人无需承担赔偿责任的，上传法院判决文书的；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已向供应方报案且供应方已立案的非调解中、诉讼中的纠纷类案件，被保险人超2年无法联系到患方、实际未承担赔偿责任、无法提交索赔资料的；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经协调被保险人放弃向供应方索赔，且有被保险人确认的电话录音（号码原则上应为被保险人报案来电号码）或被保险人提交书面材料的；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供应方接到经纪人书面通知的。</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案件重开</w:t>
      </w:r>
      <w:r/>
    </w:p>
    <w:p>
      <w:pPr>
        <w:ind w:firstLine="420"/>
        <w:spacing w:line="360" w:lineRule="auto"/>
        <w:widowControl/>
        <w:tabs>
          <w:tab w:val="left" w:pos="0" w:leader="none"/>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供应方已做销案处理的案件，在不违反相关法律法规的前提下，被保险人保留此类案件后续索赔的权利。对于患者再次向被保险人提出索赔的，供应方同意进行案件重开处理。供应方不得以超出索赔时限为由拒绝重开。</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20" w:name="_Toc31112"/>
      <w:r/>
      <w:bookmarkStart w:id="321" w:name="_Toc16312"/>
      <w:r>
        <w:rPr>
          <w:rFonts w:hint="eastAsia" w:ascii="宋体" w:hAnsi="宋体" w:eastAsia="宋体" w:cs="宋体"/>
          <w:b/>
          <w:bCs/>
          <w:color w:val="auto"/>
          <w:sz w:val="21"/>
          <w:szCs w:val="21"/>
          <w:highlight w:val="none"/>
          <w:lang w:val="en-US" w:eastAsia="zh-CN" w:bidi="ar-SA"/>
        </w:rPr>
        <w:t xml:space="preserve">第五部分 保险供应服务</w:t>
      </w:r>
      <w:bookmarkEnd w:id="320"/>
      <w:r/>
      <w:bookmarkEnd w:id="321"/>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供应方应为</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提供以下服务，包括成立专项服务人员工作小组、提供防灾防损、定期提供理赔统计报表等相关理赔服务、内部服务指导范本和内部培训的实施等内容。</w:t>
      </w:r>
      <w:r/>
    </w:p>
    <w:p>
      <w:pPr>
        <w:ind w:firstLine="422"/>
        <w:spacing w:line="360" w:lineRule="auto"/>
        <w:rPr>
          <w:rFonts w:hint="eastAsia" w:ascii="宋体" w:hAnsi="宋体" w:eastAsia="宋体" w:cs="宋体"/>
          <w:b/>
          <w:color w:val="auto"/>
          <w:szCs w:val="21"/>
          <w:highlight w:val="none"/>
        </w:rPr>
      </w:pPr>
      <w:r/>
      <w:bookmarkStart w:id="322" w:name="_Toc1416"/>
      <w:r>
        <w:rPr>
          <w:rFonts w:hint="eastAsia" w:ascii="宋体" w:hAnsi="宋体" w:eastAsia="宋体" w:cs="宋体"/>
          <w:b/>
          <w:color w:val="auto"/>
          <w:szCs w:val="21"/>
          <w:highlight w:val="none"/>
        </w:rPr>
        <w:t xml:space="preserve">一、供应方设立服务工作小组</w:t>
      </w:r>
      <w:bookmarkEnd w:id="32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供应方南京属地公司应成立</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医疗责任保险专项领导小组和专项工作小组。</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（一）专项领导小组的设立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项领导小组在保险协议签署后投入管理运作，负责协议中各项内容的组织、实施及总体管理。小组主要成员包括组长、日常联系人和组员，小组组长由供应方南京市分公司负责管理本产品的高级管理人员担任，负责参与决策工作中的要事；日常联系人为负责本产品推行的部门级领导担任，其所在部门应为本产品执行及管理单位；组员至少应有2人为南京市分公司负责本产品的部门人员（含负责销售的主管人员），至少应有1人为南京市分公司核赔部门人员，至少应有1人为南京市分公司数据信息部门人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（二）专项工作小组的设立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项工作小组应在当地本产品启动前成立，负责落实本产品承保、理赔及其他各项服务工作。小组组长1名，由供应方各区分支机构相关领导担任，负责组织实施本产品各项服务工作；日常联系人1名，负责按照本协议的有关内容为各被保险人提供日常沟通协调、培训、反馈等各项具体服务工作。</w:t>
      </w:r>
      <w:r/>
    </w:p>
    <w:p>
      <w:pPr>
        <w:ind w:firstLine="422"/>
        <w:spacing w:line="360" w:lineRule="auto"/>
        <w:rPr>
          <w:rFonts w:hint="eastAsia" w:ascii="宋体" w:hAnsi="宋体" w:eastAsia="宋体" w:cs="宋体"/>
          <w:b/>
          <w:bCs/>
          <w:color w:val="auto"/>
          <w:szCs w:val="21"/>
          <w:highlight w:val="none"/>
        </w:rPr>
      </w:pPr>
      <w:r/>
      <w:bookmarkStart w:id="323" w:name="_Toc30752"/>
      <w:r>
        <w:rPr>
          <w:rFonts w:hint="eastAsia" w:ascii="宋体" w:hAnsi="宋体" w:eastAsia="宋体" w:cs="宋体"/>
          <w:b/>
          <w:bCs/>
          <w:color w:val="auto"/>
          <w:szCs w:val="21"/>
          <w:highlight w:val="none"/>
        </w:rPr>
        <w:t xml:space="preserve">二、供应方服务小组工作职责</w:t>
      </w:r>
      <w:bookmarkEnd w:id="32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（一）领导小组工作职责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日常联系人职责为：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1.协助</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医疗责任保险专项领导小组组长/副组长工作，负责组织实施与总体管理各项工作；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2.负责参加经纪人组织召开的会议，向供应方传达会议精神，并依据会议精神和要求协调公司资源，合理安排行动；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3.负责与经纪人沟通协调，提交有关报告；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4.负责组织供应方的培训、宣贯工作，并邀请经纪人的人员参加；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5.专项领导小组人员发生变动，应在五个工作日内通知经纪人；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6.负责推进本协议约定的各项服务工作、配合性工作，并落实到位；</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7.负责配合经纪人做好案件管理工作。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（二）专项工作组工作职责：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1.在保险协议签署后投入运行和管理，负责协议中各项内容的组织、实施；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2.专项工作小组负责人参加公司组织的内部培训，并落实培训中的具体工作；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3.接受各方对工作中主要问题的反馈，协商且执行达成一致意见的处理办法；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4.参与较大及以上医疗纠纷案件的协调处理；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5.负责与经纪人之间的沟通与协调，提交有关报告、数据、材料等；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医疗责任保险有关服务工作、配合性工作的推进；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7.配合经纪人在既定的案件管理规则下，做好接转报案、案件处置、结案、销案、案件重开等工作，建立案件核对和清理机制，确保案件处理时效与案件数据一致性，加强案件管理；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8.日常联系人发生变动，须立即通知对应的经纪人。</w:t>
      </w:r>
      <w:r/>
    </w:p>
    <w:p>
      <w:pPr>
        <w:ind w:firstLine="422"/>
        <w:spacing w:line="360" w:lineRule="auto"/>
        <w:rPr>
          <w:rFonts w:hint="eastAsia" w:ascii="宋体" w:hAnsi="宋体" w:eastAsia="宋体" w:cs="宋体"/>
          <w:b/>
          <w:bCs/>
          <w:color w:val="auto"/>
          <w:szCs w:val="21"/>
          <w:highlight w:val="none"/>
        </w:rPr>
      </w:pPr>
      <w:r/>
      <w:bookmarkStart w:id="324" w:name="_Toc24430"/>
      <w:r>
        <w:rPr>
          <w:rFonts w:hint="eastAsia" w:ascii="宋体" w:hAnsi="宋体" w:eastAsia="宋体" w:cs="宋体"/>
          <w:b/>
          <w:color w:val="auto"/>
          <w:szCs w:val="21"/>
          <w:highlight w:val="none"/>
        </w:rPr>
        <w:t xml:space="preserve">三、供应方保险服务工作内容</w:t>
      </w:r>
      <w:bookmarkEnd w:id="32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（一）定期提供理赔统计报表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按照案管中心规定的格式要求，供应方南京属地公司应于每月15日前向案管中心及经纪人提供负责的案件截至上月末的保险赔案统计报表的电子版本。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（二）内部培训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供应方应本着更好推动本产品的原则，定期和不定期举办内部培训，并形成一种常态机制。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（三）独立核算体系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建立本项目独立核算体系，实行对本项目的统一核算、统一考核的独立核算管理体制，以避免出现供应方因赔付率不理想而可能产生的服务不积极、甚至拒绝销售本产品的情况。对此供应方应提供具体的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1.对可能影响本项目推进积极性的业务考核体系给予最大程度的宽松政策；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2.对经纪人提供最大程度的灵活政策和工作配合，共同推动本项目。</w:t>
      </w:r>
      <w:r/>
    </w:p>
    <w:p>
      <w:pPr>
        <w:ind w:firstLine="422"/>
        <w:spacing w:line="360" w:lineRule="auto"/>
        <w:rPr>
          <w:rFonts w:hint="eastAsia" w:ascii="宋体" w:hAnsi="宋体" w:eastAsia="宋体" w:cs="宋体"/>
          <w:b/>
          <w:color w:val="auto"/>
          <w:szCs w:val="21"/>
          <w:highlight w:val="none"/>
        </w:rPr>
      </w:pPr>
      <w:r/>
      <w:bookmarkStart w:id="325" w:name="_Toc2742"/>
      <w:r>
        <w:rPr>
          <w:rFonts w:hint="eastAsia" w:ascii="宋体" w:hAnsi="宋体" w:eastAsia="宋体" w:cs="宋体"/>
          <w:b/>
          <w:color w:val="auto"/>
          <w:szCs w:val="21"/>
          <w:highlight w:val="none"/>
        </w:rPr>
        <w:t xml:space="preserve">四、供应方医疗责任保险理赔服务</w:t>
      </w:r>
      <w:bookmarkEnd w:id="32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供应方应为医院提供本协议约定的理赔服务。</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（一）推荐专人加入医疗责任保险案管中心、医疗纠纷评估会议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1.供应方应推荐符合业务工作要求的专业理赔人员加入案管中心，参与案管中心采用自行和解简易案件处理赔案过程中的</w:t>
      </w:r>
      <w:r>
        <w:rPr>
          <w:rFonts w:hint="eastAsia" w:ascii="宋体" w:hAnsi="宋体" w:eastAsia="宋体" w:cs="宋体"/>
          <w:bCs/>
          <w:color w:val="auto"/>
          <w:szCs w:val="21"/>
          <w:highlight w:val="none"/>
        </w:rPr>
        <w:t xml:space="preserve">赔偿处理相关</w:t>
      </w:r>
      <w:r>
        <w:rPr>
          <w:rFonts w:hint="eastAsia" w:ascii="宋体" w:hAnsi="宋体" w:eastAsia="宋体" w:cs="宋体"/>
          <w:color w:val="auto"/>
          <w:szCs w:val="21"/>
          <w:highlight w:val="none"/>
        </w:rPr>
        <w:t xml:space="preserve">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3.供应方应推荐符合业务工作要求的专业人员参与医疗安全与风险预防服务，积极参与并协调供应方内部资源支持经纪人开展医疗机构医疗风险防范相关工作。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（二）指定专人负责医疗责任保险理赔服务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供应方应指定专人负责区域内的理赔事宜，全力配合案管中心工作。理赔服务人员应不少于1人，如发生人员变动应在五个工作日内通知经纪人。</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（三）报案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经纪人提供接报案及转报案服务，供应方提供接报案服务，接受经纪人的转报案。被保险人直接向供应方报案，供应方在受理案件后需及时转报案件。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以下情况，供应方应视同为及时报案：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1.对于可从公共媒体包括电视台、权威互联网站等其他途径已经及时知道或者应当及时知道保险事故发生的；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2.如因不可抗力因素无法及时报案，供应方认可被保险人及医疗责任保险赔偿处理中心事后出具的书面说明，并视同为及时报案予以受理；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3.供应方认可并受理经纪人报案提供的报案信息，包括被保险人说明原因的未及时报案；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4.对于做销案处理的案件，如出险患方在法律规定的索赔时效期间内向被保险人提出索赔的，供应方接受重新立案。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（四）责任界定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供应方应认可医疗责任保险</w:t>
      </w:r>
      <w:r>
        <w:rPr>
          <w:rFonts w:hint="eastAsia" w:ascii="宋体" w:hAnsi="宋体" w:eastAsia="宋体" w:cs="宋体"/>
          <w:bCs/>
          <w:color w:val="auto"/>
          <w:szCs w:val="21"/>
          <w:highlight w:val="none"/>
        </w:rPr>
        <w:t xml:space="preserve">自行和解、第三方调解、司法诉讼、行政调解的</w:t>
      </w:r>
      <w:r>
        <w:rPr>
          <w:rFonts w:hint="eastAsia" w:ascii="宋体" w:hAnsi="宋体" w:eastAsia="宋体" w:cs="宋体"/>
          <w:color w:val="auto"/>
          <w:szCs w:val="21"/>
          <w:highlight w:val="none"/>
        </w:rPr>
        <w:t xml:space="preserve">结果。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（五）核定损失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1.供应方应认可</w:t>
      </w:r>
      <w:r>
        <w:rPr>
          <w:rFonts w:hint="eastAsia" w:ascii="宋体" w:hAnsi="宋体" w:eastAsia="宋体" w:cs="宋体"/>
          <w:bCs/>
          <w:color w:val="auto"/>
          <w:szCs w:val="21"/>
          <w:highlight w:val="none"/>
        </w:rPr>
        <w:t xml:space="preserve">自行和解、第三方调解、司法诉讼、行政调解的</w:t>
      </w:r>
      <w:r>
        <w:rPr>
          <w:rFonts w:hint="eastAsia" w:ascii="宋体" w:hAnsi="宋体" w:eastAsia="宋体" w:cs="宋体"/>
          <w:color w:val="auto"/>
          <w:szCs w:val="21"/>
          <w:highlight w:val="none"/>
        </w:rPr>
        <w:t xml:space="preserve">结果并依据此结果进行赔偿。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2.经各级人民法院诉讼的案件，供应方应主动申请参与诉讼。</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（六）赔款支付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1.供应方同意，在收到案管中心出具的《保险事故赔偿金额确定书》后在协议约定的时间内向医疗机构或者患者支付赔款。供应方不得以需要按照供应方自身赔款支付流程为由影响支付赔款时效。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2.供应方未按约定时间支付赔款，则应按照实际拖延天数向医疗机构或者患者支付违约金，违约金为应付赔款金额按实际违约天数所计算的利息（利率按1年期银行存款利率计）。</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（七）沟通案件处理情况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每月初的前5个工作日同经纪人核对医院的案件处理情况，就具体案件数量、已赔款金额、未决金额、索赔材料等内容进行沟通，双方以书面形式确认。供应方每周打印一次理赔计算书，并将本周结案信息汇总，统一递交经纪人。</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（八）自行和解简易案件处理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收到赔偿处理中心发出的《医患自行和解协议书》或通过医疗纠纷调解组织签订《调解协议书》以及索赔申请、相关理赔单证后，应按照上述《医患自行和解协议书》或《调解协议书》中确定的金额于3个工作日内向医疗机构或者患者支付赔款。</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（九）制定专属</w:t>
      </w:r>
      <w:r>
        <w:rPr>
          <w:rFonts w:hint="eastAsia" w:ascii="宋体" w:hAnsi="宋体" w:eastAsia="宋体" w:cs="宋体"/>
          <w:b/>
          <w:bCs/>
          <w:color w:val="auto"/>
          <w:szCs w:val="21"/>
          <w:highlight w:val="none"/>
        </w:rPr>
        <w:t xml:space="preserve">《保险案件赔偿处理办法》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供应方提供本协议约定的理赔服务，履行《保险案件赔偿处理办法》的相关规定，严格执行。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（十）案件管理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遵循统一的接转报案标准、结案标准，按照案件分类管理原则，配合经纪人做好案件管理工作，保证理赔时效及结案率。</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26" w:name="_Toc18101"/>
      <w:r/>
      <w:bookmarkStart w:id="327" w:name="_Toc1095"/>
      <w:r>
        <w:rPr>
          <w:rFonts w:hint="eastAsia" w:ascii="宋体" w:hAnsi="宋体" w:eastAsia="宋体" w:cs="宋体"/>
          <w:b/>
          <w:bCs/>
          <w:color w:val="auto"/>
          <w:sz w:val="21"/>
          <w:szCs w:val="21"/>
          <w:highlight w:val="none"/>
          <w:lang w:val="en-US" w:eastAsia="zh-CN" w:bidi="ar-SA"/>
        </w:rPr>
        <w:t xml:space="preserve">第七部分 通用条款</w:t>
      </w:r>
      <w:bookmarkEnd w:id="326"/>
      <w:r/>
      <w:bookmarkEnd w:id="327"/>
      <w:r/>
      <w:r/>
    </w:p>
    <w:p>
      <w:pPr>
        <w:ind w:firstLine="422"/>
        <w:spacing w:line="360" w:lineRule="auto"/>
        <w:rPr>
          <w:rFonts w:hint="eastAsia" w:ascii="宋体" w:hAnsi="宋体" w:eastAsia="宋体" w:cs="宋体"/>
          <w:b/>
          <w:color w:val="auto"/>
          <w:szCs w:val="21"/>
          <w:highlight w:val="none"/>
        </w:rPr>
      </w:pPr>
      <w:r/>
      <w:bookmarkStart w:id="328" w:name="_Toc18772"/>
      <w:r>
        <w:rPr>
          <w:rFonts w:hint="eastAsia" w:ascii="宋体" w:hAnsi="宋体" w:eastAsia="宋体" w:cs="宋体"/>
          <w:b/>
          <w:color w:val="auto"/>
          <w:szCs w:val="21"/>
          <w:highlight w:val="none"/>
        </w:rPr>
        <w:t xml:space="preserve">一、信息安全与保密条款</w:t>
      </w:r>
      <w:bookmarkEnd w:id="328"/>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（一）在本协议中，“保密信息”是指任何属于披露方所拥有的、保密的与商业或</w:t>
      </w:r>
      <w:r>
        <w:rPr>
          <w:rFonts w:hint="eastAsia" w:ascii="宋体" w:hAnsi="宋体" w:eastAsia="宋体" w:cs="宋体"/>
          <w:bCs/>
          <w:color w:val="auto"/>
          <w:szCs w:val="21"/>
          <w:highlight w:val="none"/>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除了上述，各方可以将保密信息（a）披露给具有管辖的法院或者其他政府机关或者法律规定的，（b）基于“必须知晓”的前提，在保密的基础上，披露给律师、会计师。另外，可以将保密信息披露给依据其法定职权应当知晓相关事项的政府或监管当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（五）经纪人通过供应方网络平台开展互联网保险业务的，双方另行签署具体业务合作协议，且经纪人网络平台应具备下列条件：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1、具有互联网行业主管部门颁发的许可证或者在互联网行业主管部门完成网站备案，且网站接入地在中华人民共和国境内；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2、具有安全可靠的互联网运营系统和信息安全管理体系，实现与供应方应用系统的有效隔离，可以通过供应方或第三方的信息安全检测；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3、最近两年未受到互联网行业主管部门、工商行政管理部门等政府部门的重大行政处罚，未被国家金融监督管理总局列入保险行业禁止合作清单；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4、国家金融监督管理总局规定的其他条件。</w:t>
      </w:r>
      <w:r/>
    </w:p>
    <w:p>
      <w:pPr>
        <w:ind w:firstLine="422"/>
        <w:spacing w:line="360" w:lineRule="auto"/>
        <w:rPr>
          <w:rFonts w:hint="eastAsia" w:ascii="宋体" w:hAnsi="宋体" w:eastAsia="宋体" w:cs="宋体"/>
          <w:b/>
          <w:color w:val="auto"/>
          <w:szCs w:val="21"/>
          <w:highlight w:val="none"/>
        </w:rPr>
      </w:pPr>
      <w:r/>
      <w:bookmarkStart w:id="329" w:name="_Toc18942"/>
      <w:r>
        <w:rPr>
          <w:rFonts w:hint="eastAsia" w:ascii="宋体" w:hAnsi="宋体" w:eastAsia="宋体" w:cs="宋体"/>
          <w:b/>
          <w:color w:val="auto"/>
          <w:szCs w:val="21"/>
          <w:highlight w:val="none"/>
        </w:rPr>
        <w:t xml:space="preserve">二、反虚假宣传条款</w:t>
      </w:r>
      <w:bookmarkEnd w:id="329"/>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eastAsia="宋体" w:cs="宋体"/>
          <w:bCs/>
          <w:color w:val="auto"/>
          <w:szCs w:val="21"/>
          <w:highlight w:val="none"/>
        </w:rPr>
        <w:t xml:space="preserve">围内进行真实、合理的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422"/>
        <w:spacing w:line="360" w:lineRule="auto"/>
        <w:rPr>
          <w:rFonts w:hint="eastAsia" w:ascii="宋体" w:hAnsi="宋体" w:eastAsia="宋体" w:cs="宋体"/>
          <w:b/>
          <w:color w:val="auto"/>
          <w:szCs w:val="21"/>
          <w:highlight w:val="none"/>
        </w:rPr>
      </w:pPr>
      <w:r/>
      <w:bookmarkStart w:id="330" w:name="_Toc23390"/>
      <w:r>
        <w:rPr>
          <w:rFonts w:hint="eastAsia" w:ascii="宋体" w:hAnsi="宋体" w:eastAsia="宋体" w:cs="宋体"/>
          <w:b/>
          <w:color w:val="auto"/>
          <w:szCs w:val="21"/>
          <w:highlight w:val="none"/>
        </w:rPr>
        <w:t xml:space="preserve">三、反商业贿赂条款</w:t>
      </w:r>
      <w:bookmarkEnd w:id="33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反商业贿赂条款与本合同其它条款具有同等法律效力，合同当事人均同意签订并遵守如下反商业贿赂条款：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（一）双方都清楚并愿意严格遵守中华人民共和国反商业贿赂的法律规定，双方都清楚任何形式的贿赂和贪渎行为都将触犯法律，并将受到法律的严惩。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供应方或经纪人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（三）严格禁止双方经办人员的任何商业贿赂行为。双方方经办人发生本条第二款所列示的任何一种行为，都是违反各方公司制度的，都将受到各方公司制度和国家法律的惩处。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（五）如因一方或一方经办人违反上述第二款、第三款、第四款之规定，给对方造成损失的，应承担损害赔偿责任。</w:t>
      </w:r>
      <w:r/>
    </w:p>
    <w:p>
      <w:pPr>
        <w:ind w:firstLine="422"/>
        <w:spacing w:line="360" w:lineRule="auto"/>
        <w:rPr>
          <w:rFonts w:hint="eastAsia" w:ascii="宋体" w:hAnsi="宋体" w:eastAsia="宋体" w:cs="宋体"/>
          <w:color w:val="auto"/>
          <w:szCs w:val="21"/>
          <w:highlight w:val="none"/>
        </w:rPr>
      </w:pPr>
      <w:r/>
      <w:bookmarkStart w:id="331" w:name="_Toc9814"/>
      <w:r>
        <w:rPr>
          <w:rFonts w:hint="eastAsia" w:ascii="宋体" w:hAnsi="宋体" w:eastAsia="宋体" w:cs="宋体"/>
          <w:b/>
          <w:color w:val="auto"/>
          <w:szCs w:val="21"/>
          <w:highlight w:val="none"/>
        </w:rPr>
        <w:t xml:space="preserve">四、反洗钱条款</w:t>
      </w:r>
      <w:bookmarkEnd w:id="33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等法律及监管规定的要求，相互提供必要的协助，采取有效的客户身份识别措施，共同推进反洗钱方面的合作，并就反洗钱方面达成如下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（一）双方应按照反洗钱法律法规要求，分别建立各自的反洗钱内控制度，落实客户身份识别、客户身份资料和交易记录保存、大额和可疑交易识别和报送等相关监管要求。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（二）双方应依法按照相关法律、法规、监管规定对客户进行有效的身份识别，并留存相关资料。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（三）双方应按照《中国人民银行关于加强反洗钱客户身份识别有关工作的通知》（银发[2017]235号）规定，开展非自然人客户“受益所有人”识别工作。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双方应按照人民银行的有关规定依法履行大额、可疑交易的报告义务，双方积极协助对方对大额、可疑交易的调查，并依法在必要时向对方提供国家权力机关调查所需的客户资料信息。经纪人发现客户交易行为可疑，或者发现有利用供应方保单洗钱的迹象的，经纪人应当及时通知供应方。若供应方发现经纪人拓展或者维护的客户具有洗钱嫌疑，经纪人应当根据供应方要求，尽力帮助供应方获取客户的相关资料和信息，以便供应方履行向监管机构报送反洗钱可疑交易的法律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5、双方应做好客户信息保密工作，必要时向对方提供用于监管机构反洗钱检查要求的客户资料，共同作好反洗钱工作，尽到应尽职责。</w:t>
      </w:r>
      <w:r/>
    </w:p>
    <w:p>
      <w:pPr>
        <w:ind w:firstLine="422"/>
        <w:spacing w:line="360" w:lineRule="auto"/>
        <w:rPr>
          <w:rFonts w:hint="eastAsia" w:ascii="宋体" w:hAnsi="宋体" w:eastAsia="宋体" w:cs="宋体"/>
          <w:b/>
          <w:color w:val="auto"/>
          <w:szCs w:val="21"/>
          <w:highlight w:val="none"/>
        </w:rPr>
      </w:pPr>
      <w:r/>
      <w:bookmarkStart w:id="332" w:name="_Toc23696"/>
      <w:r>
        <w:rPr>
          <w:rFonts w:hint="eastAsia" w:ascii="宋体" w:hAnsi="宋体" w:eastAsia="宋体" w:cs="宋体"/>
          <w:b/>
          <w:color w:val="auto"/>
          <w:szCs w:val="21"/>
          <w:highlight w:val="none"/>
        </w:rPr>
        <w:t xml:space="preserve">五、法律责任</w:t>
      </w:r>
      <w:bookmarkEnd w:id="33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若发生违约情形，违约方依法依约承担其相应法律责任后，除非守约方同意终止本协议的，本协议仍须继续履行。</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33" w:name="_Toc30511"/>
      <w:r/>
      <w:bookmarkStart w:id="334" w:name="_Toc26445"/>
      <w:r>
        <w:rPr>
          <w:rFonts w:hint="eastAsia" w:ascii="宋体" w:hAnsi="宋体" w:eastAsia="宋体" w:cs="宋体"/>
          <w:b/>
          <w:bCs/>
          <w:color w:val="auto"/>
          <w:sz w:val="21"/>
          <w:szCs w:val="21"/>
          <w:highlight w:val="none"/>
          <w:lang w:val="en-US" w:eastAsia="zh-CN" w:bidi="ar-SA"/>
        </w:rPr>
        <w:t xml:space="preserve">第八部分 服务质量考评</w:t>
      </w:r>
      <w:bookmarkEnd w:id="333"/>
      <w:r/>
      <w:bookmarkEnd w:id="334"/>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服务质量考评是指采购人和经纪人依据保险合同、供应方所签订的相关协议及其他相关文件，对供应方在服务质量进行评价，建立考评档案，定期发布结果信息，由工作领导小组依据评价结果提出处理意见。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一、服务质量考评实行统一管理、实时评价，江泰保险经纪负责服务质量评价体系建设，评价制度制订、修订，负责服务质量评价的动态管理，建立考评档案，发布考评结果情况信息，对违约的协议方进行通报。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二、履约评价</w:t>
      </w:r>
      <w:r/>
    </w:p>
    <w:p>
      <w:pPr>
        <w:numPr>
          <w:ilvl w:val="0"/>
          <w:numId w:val="31"/>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考评档案包括建立基本信息和确定履约服务等级两部分内容。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原始履约服务分数为100分，若有违约项，扣除相应分数，剩余分数进行评级。等级按评分分为四个级别，即：</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A级（履约服务好）、B级（履约服务较好）；</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C级（履约服务一般）、D级（履约服务差）。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A：严格履行保险合同与采购协议，服务质量、服务体系健全并全部得到落实。评分为90分及以上。</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B：基本履行保险合同与采购协议内容，服务质量、服务体系健全并基本得到落实。评分为70分至89分。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C：尚能遵守保险合同与采购协议及承诺。评分为60分至69分。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D：不履行保险合同与采购协议、承诺，服务内容、服务质量无法得到保证。评分为60分以下。</w:t>
      </w:r>
      <w:r/>
    </w:p>
    <w:p>
      <w:pPr>
        <w:numPr>
          <w:ilvl w:val="0"/>
          <w:numId w:val="31"/>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履约服务评价为D级的列入采购人供应商谨慎合作企业名录。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三、凡履约服务评价期内协议方各成员单位有下列情况之一，并经</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确认的，每次扣除5分：</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未在约定的时间内向医院提供保单、发票的；</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未在约定的时间内支付保险经纪费（佣金）的；</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未在约定的时间内完成共保体保费划分的；</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未在约定的时间内分摊赔款的。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四、凡履约服务评价期内有下列情况之一，并经</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确认的，每次扣除5分：</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无正当理由拒绝被保险人投保的；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为不符合退保条件的被保险人办理退保的；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故意提供虚假的业务数据及资料的；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无正当理由未按约定支付赔款或拒付赔款的；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未按照合同约定向企业提供防灾防损服务的；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接到医疗机构报案未按照约定时间到达现场的；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对超出保险合同与采购协议所约定的保障范围进行理赔的；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不能及时协助医疗机构完成投保，造成保险合同倒签；</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不按照采购协议与保险合同约定，使用法律费用的；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在案件处理过程中弄虚作假。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五、凡履约服务评价期内保险公司有下列情况之一，并经</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确认的，每次扣除10分：</w:t>
      </w:r>
      <w:r/>
    </w:p>
    <w:p>
      <w:pPr>
        <w:numPr>
          <w:ilvl w:val="0"/>
          <w:numId w:val="34"/>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在理赔过程中索要超出采购协议约定的理赔材料；</w:t>
      </w:r>
      <w:r/>
    </w:p>
    <w:p>
      <w:pPr>
        <w:numPr>
          <w:ilvl w:val="0"/>
          <w:numId w:val="34"/>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未按约定完成本产品电子商务系统对接的；</w:t>
      </w:r>
      <w:r/>
    </w:p>
    <w:p>
      <w:pPr>
        <w:numPr>
          <w:ilvl w:val="0"/>
          <w:numId w:val="34"/>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采购协议期未结束，擅自退出共保体的。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六、罚则处理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江泰保险经纪定期将违约处理情况通报，并组织医院对评分为D级供应方进行约谈，出现两次及以上约谈的供应方将取消服务资格，同时通报给当地保险监督管理部门以及相关保险行业协会。</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35" w:name="_Toc10075"/>
      <w:r/>
      <w:bookmarkStart w:id="336" w:name="_Toc2551"/>
      <w:r>
        <w:rPr>
          <w:rFonts w:hint="eastAsia" w:ascii="宋体" w:hAnsi="宋体" w:eastAsia="宋体" w:cs="宋体"/>
          <w:b/>
          <w:bCs/>
          <w:color w:val="auto"/>
          <w:sz w:val="21"/>
          <w:szCs w:val="21"/>
          <w:highlight w:val="none"/>
          <w:lang w:val="en-US" w:eastAsia="zh-CN" w:bidi="ar-SA"/>
        </w:rPr>
        <w:t xml:space="preserve">第九部分 协议相关内容</w:t>
      </w:r>
      <w:bookmarkEnd w:id="335"/>
      <w:r/>
      <w:bookmarkEnd w:id="336"/>
      <w:r/>
      <w:r/>
    </w:p>
    <w:p>
      <w:pPr>
        <w:numPr>
          <w:ilvl w:val="0"/>
          <w:numId w:val="35"/>
        </w:numPr>
        <w:spacing w:line="360" w:lineRule="auto"/>
        <w:widowControl/>
        <w:rPr>
          <w:rFonts w:hint="eastAsia" w:ascii="宋体" w:hAnsi="宋体" w:eastAsia="宋体" w:cs="宋体"/>
          <w:color w:val="auto"/>
          <w:szCs w:val="21"/>
          <w:highlight w:val="none"/>
        </w:rPr>
      </w:pPr>
      <w:r/>
      <w:bookmarkStart w:id="337" w:name="_Toc12015"/>
      <w:r>
        <w:rPr>
          <w:rFonts w:hint="eastAsia" w:ascii="宋体" w:hAnsi="宋体" w:eastAsia="宋体" w:cs="宋体"/>
          <w:color w:val="auto"/>
          <w:szCs w:val="21"/>
          <w:highlight w:val="none"/>
        </w:rPr>
        <w:t xml:space="preserve">协议的构成文件</w:t>
      </w:r>
      <w:bookmarkEnd w:id="337"/>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下列文件均作为本协议的有效组成部分：</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根据本协议另行制定的其他制度、文件以及联席会议备忘录；</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批单；</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本协议的补充协议；</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本协议文本；</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保险单；</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响应补充文件；</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如上述文件之间存在矛盾或不一致之处，除有明确约定之外，以排序在前的文件规定的内容为准。</w:t>
      </w:r>
      <w:r/>
    </w:p>
    <w:p>
      <w:pPr>
        <w:numPr>
          <w:ilvl w:val="0"/>
          <w:numId w:val="35"/>
        </w:numPr>
        <w:spacing w:line="360" w:lineRule="auto"/>
        <w:widowControl/>
        <w:rPr>
          <w:rFonts w:hint="eastAsia" w:ascii="宋体" w:hAnsi="宋体" w:eastAsia="宋体" w:cs="宋体"/>
          <w:color w:val="auto"/>
          <w:szCs w:val="21"/>
          <w:highlight w:val="none"/>
        </w:rPr>
      </w:pPr>
      <w:r/>
      <w:bookmarkStart w:id="338" w:name="_Toc18268"/>
      <w:r>
        <w:rPr>
          <w:rFonts w:hint="eastAsia" w:ascii="宋体" w:hAnsi="宋体" w:eastAsia="宋体" w:cs="宋体"/>
          <w:color w:val="auto"/>
          <w:szCs w:val="21"/>
          <w:highlight w:val="none"/>
        </w:rPr>
        <w:t xml:space="preserve">协议的生效</w:t>
      </w:r>
      <w:bookmarkEnd w:id="338"/>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本协议自202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rPr>
        <w:t xml:space="preserve">年  月  日起正式生效，有效期2年，适用于本产品期内的全部保险单，并在各保险单有效期内持续有效。如果该类保单到期后存在遗留问题，则本协议将持续有效，至保单涉及各项遗留事宜最终处理完毕时为止。</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39" w:name="_Toc19013"/>
      <w:r>
        <w:rPr>
          <w:rFonts w:hint="eastAsia" w:ascii="宋体" w:hAnsi="宋体" w:eastAsia="宋体" w:cs="宋体"/>
          <w:b/>
          <w:bCs/>
          <w:color w:val="auto"/>
          <w:szCs w:val="21"/>
          <w:highlight w:val="none"/>
        </w:rPr>
        <w:t xml:space="preserve">协议的终止与续签</w:t>
      </w:r>
      <w:bookmarkEnd w:id="339"/>
      <w:r/>
      <w:r/>
    </w:p>
    <w:p>
      <w:pPr>
        <w:numPr>
          <w:ilvl w:val="0"/>
          <w:numId w:val="37"/>
        </w:num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产品续转</w:t>
      </w:r>
      <w:r/>
    </w:p>
    <w:p>
      <w:pPr>
        <w:numPr>
          <w:ilvl w:val="0"/>
          <w:numId w:val="38"/>
        </w:num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到期后，未到期的保险单不因本协议到期而全部失效或部分失效。各参与方仍须按照已到期的采购协议、补充协议及保险合同的约定，继续承担相应的权利义务及保险责任，直至保险单涉及各项遗留事宜最终处理完毕时为止。</w:t>
      </w:r>
      <w:r/>
    </w:p>
    <w:p>
      <w:pPr>
        <w:numPr>
          <w:ilvl w:val="0"/>
          <w:numId w:val="38"/>
        </w:num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本协议到期前3个月内，经纪人通过服务质量考评同意与供应方或部分供应方继续按照本协议合作的，可由经纪人牵头，组织和召集，双方共同召开联席会议，确定采购协议续签事宜及工作流程。</w:t>
      </w:r>
      <w:r/>
    </w:p>
    <w:p>
      <w:pPr>
        <w:numPr>
          <w:ilvl w:val="0"/>
          <w:numId w:val="38"/>
        </w:num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本协议到期前3个月内，经纪人通过服务质量考评，需要重新选择供应方的。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经纪人负责开展并落实保险采购工作。保险采购后，在采购协议签署阶段，经纪人应组织已到期采购协议的供应方成员及拟签署的采购协议成员召开联席会议。联席会议中，经纪人负责促成产品各方尤其是承保就承保、理赔及相关费用衔接问题进行确认，形成联席会议备忘录，经各参会方签字确认并备案。</w:t>
      </w:r>
      <w:r/>
    </w:p>
    <w:p>
      <w:pPr>
        <w:numPr>
          <w:ilvl w:val="0"/>
          <w:numId w:val="37"/>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其他注意事项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续转过程中，医疗机构续保视为连续投保，追溯期不因供应方承保主体变更而中断。除另有约定外，续保的医疗机构适用新协议中关于续保的约定，如医疗机构续保时按照新协议继续适用赔付率调整因子，按照新协议继续享有追溯期等保障；</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涉及下一期新协议的续保问题，可在新协议中具体明确，具体施行以新协议约定为准。</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40" w:name="_Toc4074"/>
      <w:r>
        <w:rPr>
          <w:rFonts w:hint="eastAsia" w:ascii="宋体" w:hAnsi="宋体" w:eastAsia="宋体" w:cs="宋体"/>
          <w:b/>
          <w:bCs/>
          <w:color w:val="auto"/>
          <w:szCs w:val="21"/>
          <w:highlight w:val="none"/>
        </w:rPr>
        <w:t xml:space="preserve">协议的争议处理</w:t>
      </w:r>
      <w:bookmarkEnd w:id="340"/>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本协议在履行过程中发生争议的，由各方友好协商解决，协商仍不能解决的，可向协议签约地具有管辖权的人民法院提起诉讼。</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本协议部分条款在履行过程中发生争议向人民法院提起诉讼解决的，不影响本协议其它条款的执行与效力。</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41" w:name="_Toc31500"/>
      <w:r>
        <w:rPr>
          <w:rFonts w:hint="eastAsia" w:ascii="宋体" w:hAnsi="宋体" w:eastAsia="宋体" w:cs="宋体"/>
          <w:b/>
          <w:bCs/>
          <w:color w:val="auto"/>
          <w:szCs w:val="21"/>
          <w:highlight w:val="none"/>
        </w:rPr>
        <w:t xml:space="preserve">协议的变更与解除</w:t>
      </w:r>
      <w:bookmarkEnd w:id="341"/>
      <w:r>
        <w:rPr>
          <w:rFonts w:hint="eastAsia" w:ascii="宋体" w:hAnsi="宋体" w:eastAsia="宋体" w:cs="宋体"/>
          <w:b/>
          <w:bCs/>
          <w:color w:val="auto"/>
          <w:szCs w:val="21"/>
          <w:highlight w:val="none"/>
        </w:rPr>
        <w:tab/>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在本协议正常履行期间，协议内容的任何修改、变更、解除，必须经协议各方一致同意。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numPr>
          <w:ilvl w:val="0"/>
          <w:numId w:val="35"/>
        </w:numPr>
        <w:ind w:firstLine="422"/>
        <w:jc w:val="left"/>
        <w:spacing w:line="360" w:lineRule="auto"/>
        <w:widowControl/>
        <w:rPr>
          <w:rFonts w:hint="eastAsia" w:ascii="宋体" w:hAnsi="宋体" w:eastAsia="宋体" w:cs="宋体"/>
          <w:b/>
          <w:bCs/>
          <w:color w:val="auto"/>
          <w:szCs w:val="21"/>
          <w:highlight w:val="none"/>
        </w:rPr>
      </w:pPr>
      <w:r/>
      <w:bookmarkStart w:id="342" w:name="_Toc20455"/>
      <w:r>
        <w:rPr>
          <w:rFonts w:hint="eastAsia" w:ascii="宋体" w:hAnsi="宋体" w:eastAsia="宋体" w:cs="宋体"/>
          <w:b/>
          <w:bCs/>
          <w:color w:val="auto"/>
          <w:szCs w:val="21"/>
          <w:highlight w:val="none"/>
        </w:rPr>
        <w:t xml:space="preserve">违约责任</w:t>
      </w:r>
      <w:bookmarkEnd w:id="342"/>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若发生违约情形，违约方依法依约承担其相应法律责任后，除非守约方同意终止本协议的，本协议仍须继续履行。</w:t>
      </w:r>
      <w:r/>
    </w:p>
    <w:p>
      <w:pPr>
        <w:ind w:firstLine="420"/>
        <w:spacing w:line="360" w:lineRule="auto"/>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本协议最终解释权归经纪人所有。</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43" w:name="_Toc28485"/>
      <w:r>
        <w:rPr>
          <w:rFonts w:hint="eastAsia" w:ascii="宋体" w:hAnsi="宋体" w:eastAsia="宋体" w:cs="宋体"/>
          <w:b/>
          <w:bCs/>
          <w:color w:val="auto"/>
          <w:szCs w:val="21"/>
          <w:highlight w:val="none"/>
        </w:rPr>
        <w:t xml:space="preserve">协议份数</w:t>
      </w:r>
      <w:bookmarkEnd w:id="34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本合同正本X份、副本X份，采购人和经纪人持正本壹份、副本壹份；供应方各持正本壹份、副本壹份。</w:t>
      </w:r>
      <w:r/>
    </w:p>
    <w:p>
      <w:pPr>
        <w:pStyle w:val="1204"/>
        <w:jc w:val="center"/>
        <w:rPr>
          <w:rFonts w:ascii="Microsoft New Tai Lue" w:hAnsi="Microsoft New Tai Lue" w:cs="Microsoft New Tai Lue"/>
          <w:color w:val="auto"/>
          <w:sz w:val="24"/>
          <w:highlight w:val="none"/>
          <w:lang w:val="zh-CN"/>
        </w:rPr>
      </w:pPr>
      <w:r>
        <w:rPr>
          <w:rFonts w:hint="eastAsia" w:ascii="宋体" w:hAnsi="宋体" w:eastAsia="宋体" w:cs="宋体"/>
          <w:color w:val="auto"/>
          <w:sz w:val="24"/>
          <w:szCs w:val="24"/>
          <w:highlight w:val="none"/>
        </w:rPr>
        <w:br w:type="page" w:clear="all"/>
      </w:r>
      <w:bookmarkStart w:id="344" w:name="_Toc107246271"/>
      <w:r/>
      <w:bookmarkStart w:id="345" w:name="_Toc91836564"/>
      <w:r/>
      <w:bookmarkStart w:id="346" w:name="_Toc14312"/>
      <w:r/>
      <w:bookmarkStart w:id="347" w:name="_Toc26554097"/>
      <w:r/>
      <w:bookmarkStart w:id="348" w:name="_Toc23828480"/>
      <w:r/>
      <w:bookmarkStart w:id="349" w:name="_Toc61149622"/>
      <w:r>
        <w:rPr>
          <w:rFonts w:ascii="Microsoft New Tai Lue" w:hAnsi="Microsoft New Tai Lue" w:cs="Microsoft New Tai Lue"/>
          <w:color w:val="auto"/>
          <w:highlight w:val="none"/>
        </w:rPr>
        <w:t xml:space="preserve">第四章 采购需求</w:t>
      </w:r>
      <w:bookmarkEnd w:id="344"/>
      <w:r/>
      <w:bookmarkEnd w:id="345"/>
      <w:r/>
      <w:r/>
    </w:p>
    <w:p>
      <w:pPr>
        <w:ind w:firstLine="422"/>
        <w:jc w:val="left"/>
        <w:keepLines w:val="0"/>
        <w:keepNext w:val="0"/>
        <w:pageBreakBefore w:val="0"/>
        <w:spacing w:line="360" w:lineRule="auto"/>
        <w:widowControl w:val="off"/>
        <w:rPr>
          <w:rFonts w:hint="eastAsia"/>
          <w:color w:val="auto"/>
          <w:highlight w:val="none"/>
        </w:rPr>
      </w:pPr>
      <w:r>
        <w:rPr>
          <w:rFonts w:hint="eastAsia"/>
          <w:b/>
          <w:bCs/>
          <w:color w:val="auto"/>
          <w:highlight w:val="none"/>
        </w:rPr>
        <w:t xml:space="preserve">一、</w:t>
      </w:r>
      <w:r>
        <w:rPr>
          <w:rFonts w:hint="eastAsia"/>
          <w:b/>
          <w:bCs/>
          <w:color w:val="auto"/>
          <w:highlight w:val="none"/>
          <w:lang w:val="en-US" w:eastAsia="zh-CN"/>
        </w:rPr>
        <w:t xml:space="preserve">项目名称：</w:t>
      </w:r>
      <w:r>
        <w:rPr>
          <w:rFonts w:hint="eastAsia"/>
          <w:color w:val="auto"/>
          <w:highlight w:val="none"/>
          <w:lang w:val="en-US" w:eastAsia="zh-CN"/>
        </w:rPr>
        <w:t xml:space="preserve">江苏省肿瘤医院医疗责任保险服务项目</w:t>
      </w:r>
      <w:r/>
    </w:p>
    <w:p>
      <w:pPr>
        <w:ind w:firstLine="422"/>
        <w:jc w:val="left"/>
        <w:keepLines w:val="0"/>
        <w:keepNext w:val="0"/>
        <w:pageBreakBefore w:val="0"/>
        <w:spacing w:line="360" w:lineRule="auto"/>
        <w:widowControl w:val="off"/>
        <w:rPr>
          <w:rFonts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二</w:t>
      </w:r>
      <w:r>
        <w:rPr>
          <w:rFonts w:hint="eastAsia" w:ascii="Times New Roman" w:hAnsi="Times New Roman" w:eastAsia="宋体" w:cs="Times New Roman"/>
          <w:b/>
          <w:bCs/>
          <w:color w:val="auto"/>
          <w:highlight w:val="none"/>
        </w:rPr>
        <w:t xml:space="preserve">、</w:t>
      </w:r>
      <w:r>
        <w:rPr>
          <w:rFonts w:hint="eastAsia" w:ascii="Times New Roman" w:hAnsi="Times New Roman" w:eastAsia="宋体" w:cs="Times New Roman"/>
          <w:b/>
          <w:bCs/>
          <w:color w:val="auto"/>
          <w:highlight w:val="none"/>
          <w:lang w:val="en-US" w:eastAsia="zh-CN"/>
        </w:rPr>
        <w:t xml:space="preserve">项目简介：</w:t>
      </w:r>
      <w:r/>
    </w:p>
    <w:p>
      <w:pPr>
        <w:ind w:firstLine="420"/>
        <w:jc w:val="left"/>
        <w:keepLines w:val="0"/>
        <w:keepNext w:val="0"/>
        <w:pageBreakBefore w:val="0"/>
        <w:spacing w:line="360" w:lineRule="auto"/>
        <w:widowControl w:val="off"/>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项目内容：江苏省肿瘤医院(南京医科大学附属肿瘤医院、江苏省癌症中心),前身系1960年成立的江苏医院，1973年更名为江苏省肿瘤防治研究所，1991年增名江苏省肿瘤医院,2011年成为南京医科大学附属肿瘤医院，2019年挂牌成立江苏省癌症中心，2022年荣获国家卫生健康委医院管理研究所“公立医院高质量发展医疗服务能力提升项目”第一批基地单位、公立医院高质量发展省级试点单位和江苏省研究型医院，2023年获江苏省高水平医院建设单位。</w:t>
      </w:r>
      <w:r/>
    </w:p>
    <w:p>
      <w:pPr>
        <w:ind w:firstLine="420"/>
        <w:jc w:val="left"/>
        <w:keepLines w:val="0"/>
        <w:keepNext w:val="0"/>
        <w:pageBreakBefore w:val="0"/>
        <w:spacing w:line="360" w:lineRule="auto"/>
        <w:widowControl w:val="off"/>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lang w:val="en-US" w:eastAsia="zh-CN"/>
        </w:rPr>
        <w:t xml:space="preserve">2</w:t>
      </w:r>
      <w:r>
        <w:rPr>
          <w:rFonts w:hint="eastAsia" w:ascii="Times New Roman" w:hAnsi="Times New Roman" w:eastAsia="宋体" w:cs="Times New Roman"/>
          <w:b w:val="0"/>
          <w:bCs w:val="0"/>
          <w:color w:val="auto"/>
          <w:highlight w:val="none"/>
        </w:rPr>
        <w:t xml:space="preserve">、项目保险经纪人：江泰保险经纪股份有限公司江苏营业部。</w:t>
      </w:r>
      <w:r/>
    </w:p>
    <w:p>
      <w:pPr>
        <w:ind w:firstLine="420"/>
        <w:jc w:val="left"/>
        <w:keepLines w:val="0"/>
        <w:keepNext w:val="0"/>
        <w:pageBreakBefore w:val="0"/>
        <w:spacing w:line="360" w:lineRule="auto"/>
        <w:widowControl w:val="off"/>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rPr>
        <w:t xml:space="preserve">医院部分医疗数据情况（仅供分项报价参考）。</w:t>
      </w:r>
      <w:r/>
    </w:p>
    <w:tbl>
      <w:tblPr>
        <w:tblStyle w:val="977"/>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2531"/>
        <w:gridCol w:w="978"/>
        <w:gridCol w:w="1687"/>
        <w:gridCol w:w="1543"/>
        <w:gridCol w:w="1351"/>
        <w:gridCol w:w="1567"/>
      </w:tblGrid>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bidi="ar"/>
              </w:rPr>
              <w:t xml:space="preserve">年度</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等级</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医院类型</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总诊疗人次数</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出院人数</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住院手术人次数</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2023年</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三级</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甲等</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肿瘤</w:t>
            </w:r>
            <w:r>
              <w:rPr>
                <w:rFonts w:hint="eastAsia" w:ascii="宋体" w:hAnsi="宋体" w:eastAsia="宋体" w:cs="宋体"/>
                <w:color w:val="auto"/>
                <w:szCs w:val="21"/>
                <w:highlight w:val="none"/>
                <w:lang w:bidi="ar"/>
              </w:rPr>
              <w:t xml:space="preserve">医院</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479778</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34705</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15422</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2024年</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三级</w:t>
            </w:r>
            <w:r/>
          </w:p>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甲等</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bidi="ar"/>
              </w:rPr>
              <w:t xml:space="preserve">肿瘤</w:t>
            </w:r>
            <w:r>
              <w:rPr>
                <w:rFonts w:hint="eastAsia" w:ascii="宋体" w:hAnsi="宋体" w:eastAsia="宋体" w:cs="宋体"/>
                <w:color w:val="auto"/>
                <w:szCs w:val="21"/>
                <w:highlight w:val="none"/>
                <w:lang w:bidi="ar"/>
              </w:rPr>
              <w:t xml:space="preserve">医院</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517287</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32513</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13386</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color w:val="auto"/>
                <w:highlight w:val="none"/>
                <w:lang w:val="en-US" w:eastAsia="zh-CN"/>
              </w:rPr>
              <w:t xml:space="preserve">2025年</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三级</w:t>
            </w:r>
            <w:r/>
          </w:p>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甲等</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肿瘤医院</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525207</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34804</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13663</w:t>
            </w:r>
            <w:r/>
          </w:p>
        </w:tc>
      </w:tr>
    </w:tbl>
    <w:p>
      <w:pPr>
        <w:ind w:firstLine="422"/>
        <w:jc w:val="left"/>
        <w:keepLines w:val="0"/>
        <w:keepNext w:val="0"/>
        <w:pageBreakBefore w:val="0"/>
        <w:spacing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ind w:firstLine="480"/>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、医疗责任保险方案 </w:t>
      </w:r>
      <w:r/>
    </w:p>
    <w:tbl>
      <w:tblPr>
        <w:tblStyle w:val="977"/>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96"/>
        <w:gridCol w:w="7371"/>
      </w:tblGrid>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目</w:t>
            </w:r>
            <w:r/>
          </w:p>
        </w:tc>
        <w:tc>
          <w:tcPr>
            <w:shd w:val="clear" w:color="auto" w:fill="ffffff"/>
            <w:tcW w:w="737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内  容</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投/被保险人名称</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江苏省肿瘤医院</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投/被保险人地址</w:t>
            </w:r>
            <w:r/>
          </w:p>
        </w:tc>
        <w:tc>
          <w:tcPr>
            <w:shd w:val="clear" w:color="auto" w:fill="ffffff"/>
            <w:tcW w:w="7371" w:type="dxa"/>
            <w:vAlign w:val="center"/>
            <w:textDirection w:val="lrTb"/>
            <w:noWrap w:val="false"/>
          </w:tcPr>
          <w:p>
            <w:pPr>
              <w:jc w:val="left"/>
              <w:spacing w:line="360" w:lineRule="auto"/>
              <w:rPr>
                <w:rFonts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南京市百子亭42号</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保险经纪人</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江泰保险经纪股份有限公司江苏营业部</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保险经纪人地址</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南京市中山南路189号11层</w:t>
            </w:r>
            <w:r/>
          </w:p>
        </w:tc>
      </w:tr>
      <w:tr>
        <w:trPr>
          <w:trHeight w:val="90"/>
        </w:trPr>
        <w:tc>
          <w:tcPr>
            <w:tcW w:w="229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赔偿限额</w:t>
            </w:r>
            <w:r/>
          </w:p>
        </w:tc>
        <w:tc>
          <w:tcPr>
            <w:tcW w:w="7371" w:type="dxa"/>
            <w:vAlign w:val="center"/>
            <w:textDirection w:val="lrTb"/>
            <w:noWrap/>
          </w:tcPr>
          <w:tbl>
            <w:tblPr>
              <w:tblStyle w:val="977"/>
              <w:tblW w:w="7497"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87"/>
              <w:gridCol w:w="2210"/>
            </w:tblGrid>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累计责任患者赔偿限额</w:t>
                  </w:r>
                  <w:r/>
                </w:p>
              </w:tc>
              <w:tc>
                <w:tcPr>
                  <w:tcW w:w="2210" w:type="dxa"/>
                  <w:vAlign w:val="center"/>
                  <w:textDirection w:val="lrTb"/>
                  <w:noWrap/>
                </w:tcPr>
                <w:p>
                  <w:pPr>
                    <w:jc w:val="center"/>
                    <w:keepLines w:val="0"/>
                    <w:keepNext w:val="0"/>
                    <w:spacing w:line="360" w:lineRule="auto"/>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2100000元</w:t>
                  </w:r>
                  <w:r/>
                </w:p>
              </w:tc>
            </w:tr>
            <w:tr>
              <w:trPr>
                <w:trHeight w:val="90"/>
              </w:trPr>
              <w:tc>
                <w:tcPr>
                  <w:tcW w:w="5287" w:type="dxa"/>
                  <w:vAlign w:val="center"/>
                  <w:textDirection w:val="lrTb"/>
                  <w:noWrap/>
                </w:tcPr>
                <w:p>
                  <w:pPr>
                    <w:jc w:val="center"/>
                    <w:keepLines w:val="0"/>
                    <w:keepNext w:val="0"/>
                    <w:spacing w:line="360" w:lineRule="auto"/>
                    <w:widowControl/>
                    <w:rPr>
                      <w:rFonts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累计法律费用赔偿限额</w:t>
                  </w:r>
                  <w:r/>
                </w:p>
              </w:tc>
              <w:tc>
                <w:tcPr>
                  <w:tcW w:w="2210" w:type="dxa"/>
                  <w:vAlign w:val="center"/>
                  <w:textDirection w:val="lrTb"/>
                  <w:noWrap/>
                </w:tcPr>
                <w:p>
                  <w:pPr>
                    <w:jc w:val="center"/>
                    <w:keepLines w:val="0"/>
                    <w:keepNext w:val="0"/>
                    <w:spacing w:line="360" w:lineRule="auto"/>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210000元</w:t>
                  </w:r>
                  <w:r/>
                </w:p>
              </w:tc>
            </w:tr>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每次事故患者赔偿限额</w:t>
                  </w:r>
                  <w:r/>
                </w:p>
              </w:tc>
              <w:tc>
                <w:tcPr>
                  <w:tcW w:w="22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500000元</w:t>
                  </w:r>
                  <w:r/>
                </w:p>
              </w:tc>
            </w:tr>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每次事故每位患者赔偿限额</w:t>
                  </w:r>
                  <w:r/>
                </w:p>
              </w:tc>
              <w:tc>
                <w:tcPr>
                  <w:tcW w:w="22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400000元</w:t>
                  </w:r>
                  <w:r/>
                </w:p>
              </w:tc>
            </w:tr>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每次事故</w:t>
                  </w:r>
                  <w:r>
                    <w:rPr>
                      <w:rFonts w:hint="eastAsia" w:ascii="宋体" w:hAnsi="宋体" w:eastAsia="宋体" w:cs="宋体"/>
                      <w:b/>
                      <w:bCs/>
                      <w:i w:val="0"/>
                      <w:iCs w:val="0"/>
                      <w:color w:val="auto"/>
                      <w:sz w:val="21"/>
                      <w:szCs w:val="21"/>
                      <w:highlight w:val="none"/>
                      <w:u w:val="none"/>
                      <w:lang w:val="en-US" w:eastAsia="zh-CN" w:bidi="ar"/>
                    </w:rPr>
                    <w:t xml:space="preserve">每位患者</w:t>
                  </w:r>
                  <w:r>
                    <w:rPr>
                      <w:rFonts w:hint="eastAsia" w:ascii="宋体" w:hAnsi="宋体" w:eastAsia="宋体" w:cs="宋体"/>
                      <w:b/>
                      <w:bCs/>
                      <w:i w:val="0"/>
                      <w:iCs w:val="0"/>
                      <w:color w:val="auto"/>
                      <w:sz w:val="22"/>
                      <w:szCs w:val="22"/>
                      <w:highlight w:val="none"/>
                      <w:u w:val="none"/>
                      <w:lang w:val="en-US" w:eastAsia="zh-CN" w:bidi="ar"/>
                    </w:rPr>
                    <w:t xml:space="preserve">精神抚慰金</w:t>
                  </w:r>
                  <w:r/>
                </w:p>
              </w:tc>
              <w:tc>
                <w:tcPr>
                  <w:tcW w:w="22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50000元</w:t>
                  </w:r>
                  <w:r/>
                </w:p>
              </w:tc>
            </w:tr>
          </w:tbl>
          <w:p>
            <w:pPr>
              <w:jc w:val="left"/>
              <w:keepLines w:val="0"/>
              <w:keepNext w:val="0"/>
              <w:spacing w:line="360" w:lineRule="auto"/>
              <w:widowControl/>
              <w:rPr>
                <w:rFonts w:ascii="宋体" w:hAnsi="宋体" w:eastAsia="宋体" w:cs="宋体"/>
                <w:i w:val="0"/>
                <w:iCs w:val="0"/>
                <w:color w:val="auto"/>
                <w:sz w:val="22"/>
                <w:szCs w:val="22"/>
                <w:highlight w:val="none"/>
                <w:u w:val="none"/>
                <w:lang w:val="en-US"/>
              </w:rPr>
              <w:suppressLineNumbers w:val="0"/>
            </w:pPr>
            <w:r>
              <w:rPr>
                <w:rFonts w:ascii="宋体" w:hAnsi="宋体" w:eastAsia="宋体" w:cs="宋体"/>
                <w:i w:val="0"/>
                <w:iCs w:val="0"/>
                <w:color w:val="auto"/>
                <w:sz w:val="22"/>
                <w:szCs w:val="22"/>
                <w:highlight w:val="none"/>
                <w:u w:val="none"/>
                <w:lang w:val="en-US"/>
              </w:rPr>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免赔额</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基本条款</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医疗责任保险条款</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保险期限</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自20XX年XX月XX日0时起至20XX年XX月XX日24时止，以北京时间为准。</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承保基础</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期内索赔式</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追溯期</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首次投保追溯期设定：首次投保本保险无追溯期；</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连续投保追溯期设定：连续投保本保险的，追溯期从保险期限起始日向前计算，最长不超过3年，且不早于连续投保本保险的第一张保险单的追溯期的起始日；</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如果投保人断保后再次投保的，追溯期需重新计算，即追溯期至多仅追溯至重新投保后第一张保险单追溯期的起始日，且最长不超过3年。</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发现期</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本保险合同的保险期限到期时，若投保人未续保，被保险人将自动获得自保险期限到期日第二天起30天的免费发现期。</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司法管辖</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中华人民共和国司法管辖（不包括港、澳、台地区法律）</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保费支付</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在收到正式保单和发票后，在60日内一次性付清。</w:t>
            </w:r>
            <w:r/>
          </w:p>
        </w:tc>
      </w:tr>
      <w:tr>
        <w:trPr>
          <w:trHeight w:val="1582"/>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附加条款</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（1）附加医疗产品责任保险条款</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（2）附加外部医务人员医疗责任保险条款</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（3）附加精神损害赔偿责任保险条款（每次事故每位患者精神损害抚慰金责任限额：5万元，本限额包含在每次事故每位患者责任限额内）</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（4）错误和遗漏条款</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（5）违反条件条款</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效力约定</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在本保险合同中，格式条款与非格式条款不一致的，应当采用非格式条款。</w:t>
            </w:r>
            <w:r/>
          </w:p>
        </w:tc>
      </w:tr>
    </w:tbl>
    <w:p>
      <w:pPr>
        <w:jc w:val="center"/>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r>
      <w:r/>
    </w:p>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医疗机构医疗责任保险条款</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 </w:t>
      </w:r>
      <w:r>
        <w:rPr>
          <w:rFonts w:hint="eastAsia" w:ascii="宋体" w:hAnsi="宋体" w:eastAsia="宋体" w:cs="宋体"/>
          <w:color w:val="auto"/>
          <w:szCs w:val="21"/>
          <w:highlight w:val="none"/>
          <w:lang w:bidi="ar"/>
        </w:rPr>
        <w:t xml:space="preserve">本保险合同由保险条款、投保单、保险单以及批单组成。凡涉及本保险合同的约定，均应采用书面形式。</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 </w:t>
      </w:r>
      <w:r>
        <w:rPr>
          <w:rFonts w:hint="eastAsia" w:ascii="宋体" w:hAnsi="宋体" w:eastAsia="宋体" w:cs="宋体"/>
          <w:color w:val="auto"/>
          <w:szCs w:val="21"/>
          <w:highlight w:val="none"/>
          <w:lang w:bidi="ar"/>
        </w:rPr>
        <w:t xml:space="preserve">凡依法设立的医疗机构均可作为本保险合同的被保险人。</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第三条 </w:t>
      </w:r>
      <w:r>
        <w:rPr>
          <w:rFonts w:hint="eastAsia" w:ascii="宋体" w:hAnsi="宋体" w:eastAsia="宋体" w:cs="宋体"/>
          <w:color w:val="auto"/>
          <w:szCs w:val="21"/>
          <w:highlight w:val="none"/>
          <w:lang w:bidi="ar"/>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（一）患者在诊疗活动中受到损害，被保险人或者其医务人员有过错的；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（二）医务人员有下列情形，造成患者损害的：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（三）医务人员在诊疗活动中未尽到与当时的医疗水平相应的诊疗义务，造成患者损害的。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第四条 </w:t>
      </w:r>
      <w:r>
        <w:rPr>
          <w:rFonts w:hint="eastAsia" w:ascii="宋体" w:hAnsi="宋体" w:eastAsia="宋体" w:cs="宋体"/>
          <w:color w:val="auto"/>
          <w:szCs w:val="21"/>
          <w:highlight w:val="none"/>
          <w:lang w:bidi="ar"/>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责任免除</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第五条 下列原因造成的损失、费用和责任，保险人不负责赔偿：</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（一）被保险人的故意行为</w:t>
      </w:r>
      <w:r>
        <w:rPr>
          <w:rFonts w:hint="eastAsia" w:ascii="宋体" w:hAnsi="宋体" w:eastAsia="宋体" w:cs="宋体"/>
          <w:color w:val="auto"/>
          <w:szCs w:val="21"/>
          <w:highlight w:val="none"/>
          <w:lang w:bidi="ar"/>
        </w:rPr>
        <w:t xml:space="preserve">，但被保险人或者其医务人员在紧急情况下对患者实施的符合相关诊疗规范的约束、隔离等保护性医疗措施不在此限；</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（二）战争、敌对行为、军事行动、武装冲突、恐怖活动、罢工、骚乱、暴动、盗窃、抢劫；</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（三）核反应、核子辐射和放射性污染</w:t>
      </w:r>
      <w:r>
        <w:rPr>
          <w:rFonts w:hint="eastAsia" w:ascii="宋体" w:hAnsi="宋体" w:eastAsia="宋体" w:cs="宋体"/>
          <w:color w:val="auto"/>
          <w:szCs w:val="21"/>
          <w:highlight w:val="none"/>
          <w:lang w:bidi="ar"/>
        </w:rPr>
        <w:t xml:space="preserve">，但被保险人或者其医务人员使用放射器材、放射性药物进行治疗的不在此限</w:t>
      </w:r>
      <w:r>
        <w:rPr>
          <w:rFonts w:hint="eastAsia" w:ascii="宋体" w:hAnsi="宋体" w:eastAsia="宋体" w:cs="宋体"/>
          <w:b/>
          <w:bCs/>
          <w:color w:val="auto"/>
          <w:szCs w:val="21"/>
          <w:highlight w:val="none"/>
          <w:lang w:bidi="ar"/>
        </w:rPr>
        <w:t xml:space="preserve">；</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（四）地震、雷击、暴雨、洪水等自然灾害；</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（五）火灾、爆炸等非诊疗活动为直接原因产生的意外事故。</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第六条 下列情形造成的损失、费用和责任，保险人不负责赔偿：</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（一）被保险人或者其医务人员从事与其资格不符的诊疗活动或者未经国家有关部门认定合格的被保险人的医务人员进行诊疗活动的；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（二）被保险人或者其医务人员从事未经国家有关部门许可的诊疗活动的；</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（三）被保险人或者其医务人员被吊销执业许可证或者被取消执业资格后以及受停业、停职处分期间仍继续进行诊疗活动的；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（四）被保险人或其医务人员使用伪劣药品、医疗器械或输入不合格血液的；</w:t>
      </w:r>
      <w:r/>
    </w:p>
    <w:p>
      <w:pPr>
        <w:ind w:firstLine="422"/>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color w:val="auto"/>
          <w:szCs w:val="21"/>
          <w:highlight w:val="none"/>
        </w:rPr>
        <w:t xml:space="preserve">（五）被保险人或其医务人员使用未经国家有关部门批准使用的药品、消毒产品和医疗器械</w:t>
      </w:r>
      <w:r>
        <w:rPr>
          <w:rFonts w:hint="eastAsia" w:ascii="宋体" w:hAnsi="宋体" w:eastAsia="宋体" w:cs="宋体"/>
          <w:b/>
          <w:bCs/>
          <w:color w:val="auto"/>
          <w:szCs w:val="21"/>
          <w:highlight w:val="none"/>
          <w:lang w:bidi="ar"/>
        </w:rPr>
        <w:t xml:space="preserve">或者未使用卫生行政部门指定血站提供的血液的；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（六）被保险人的医务人员受酒精、毒品、管制药物的影响的状态下进行诊疗活动的；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（七）被保险人或者其医务人员在正当的诊断、治疗范围外使用麻醉药品、医疗用毒性药品、精神药品和放射性药品的；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（八）被保险人或者其医务人员进行不以治疗为目的的医疗美容诊疗活动的；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（九）被保险人或者其医务人员从事临床试验活动的；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（十）患者或者其近亲属不配合被保险人进行符合诊疗规范的诊疗，造成患者人身损害，且被保险人或者其医务人员没有过错的；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（十一）被保险人的医务人员在其他医疗机构进行诊疗活动的；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（十二）因被保险人的公共设施存在缺陷，或者被保险人或者其雇员对医疗机构内的公共设施管理不善或者操作、维护不当，或者被保险人提供的食品引发食物中毒或者其他食源性疾病的。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第七条 下列损失、费用和责任，保险人也不负责赔偿：</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（一）被保险人的医务人员人身损害</w:t>
      </w:r>
      <w:r>
        <w:rPr>
          <w:rFonts w:hint="eastAsia" w:ascii="宋体" w:hAnsi="宋体" w:eastAsia="宋体" w:cs="宋体"/>
          <w:color w:val="auto"/>
          <w:szCs w:val="21"/>
          <w:highlight w:val="none"/>
          <w:lang w:bidi="ar"/>
        </w:rPr>
        <w:t xml:space="preserve">，但其以患者身份接受诊疗时受到人身损害的不在此限；</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（二）被保险人应当承担的合同责任，</w:t>
      </w:r>
      <w:r>
        <w:rPr>
          <w:rFonts w:hint="eastAsia" w:ascii="宋体" w:hAnsi="宋体" w:eastAsia="宋体" w:cs="宋体"/>
          <w:color w:val="auto"/>
          <w:szCs w:val="21"/>
          <w:highlight w:val="none"/>
          <w:lang w:bidi="ar"/>
        </w:rPr>
        <w:t xml:space="preserve">但无合同存在时被保险人依法仍应承担的经济赔偿责任不在此限；</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（三）任何财产损失；</w:t>
      </w:r>
      <w:r/>
    </w:p>
    <w:p>
      <w:pPr>
        <w:ind w:firstLine="422"/>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（四）</w:t>
      </w:r>
      <w:r>
        <w:rPr>
          <w:rFonts w:hint="eastAsia" w:ascii="宋体" w:hAnsi="宋体" w:eastAsia="宋体" w:cs="宋体"/>
          <w:b/>
          <w:color w:val="auto"/>
          <w:szCs w:val="21"/>
          <w:highlight w:val="none"/>
          <w:lang w:bidi="ar"/>
        </w:rPr>
        <w:t xml:space="preserve">精神损害赔偿</w:t>
      </w:r>
      <w:r>
        <w:rPr>
          <w:rFonts w:hint="eastAsia" w:ascii="宋体" w:hAnsi="宋体" w:eastAsia="宋体" w:cs="宋体"/>
          <w:b/>
          <w:bCs/>
          <w:color w:val="auto"/>
          <w:szCs w:val="21"/>
          <w:highlight w:val="none"/>
          <w:lang w:bidi="ar"/>
        </w:rPr>
        <w:t xml:space="preserve">；</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（五）罚款、罚金或者惩罚性赔款；</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（六）应由患方承担的相关费用；</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（七）保险单中载明的应由被保险人自行承担的免赔额。</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责任限额与免赔额（率）</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第八条 </w:t>
      </w:r>
      <w:r>
        <w:rPr>
          <w:rFonts w:hint="eastAsia" w:ascii="宋体" w:hAnsi="宋体" w:eastAsia="宋体" w:cs="宋体"/>
          <w:color w:val="auto"/>
          <w:szCs w:val="21"/>
          <w:highlight w:val="none"/>
          <w:lang w:bidi="ar"/>
        </w:rPr>
        <w:t xml:space="preserve">除另有约定外，责任限额包括累计责任限额、每次事故责任限额、每次事故每位患者责任限额、每次事故每位患者施救费用责任限额、每次事故法律费用责任限额、累计法律费用责任限额。责任限额由投保人与保险人协商确定，并在保险合同中列明。</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第九条 </w:t>
      </w:r>
      <w:r>
        <w:rPr>
          <w:rFonts w:hint="eastAsia" w:ascii="宋体" w:hAnsi="宋体" w:eastAsia="宋体" w:cs="宋体"/>
          <w:color w:val="auto"/>
          <w:szCs w:val="21"/>
          <w:highlight w:val="none"/>
          <w:lang w:bidi="ar"/>
        </w:rPr>
        <w:t xml:space="preserve">免赔额（率）由投保人与保险人在签订保险合同时协商确定，并在保险合同中载明。</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保险期间</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第十条 </w:t>
      </w:r>
      <w:r>
        <w:rPr>
          <w:rFonts w:hint="eastAsia" w:ascii="宋体" w:hAnsi="宋体" w:eastAsia="宋体" w:cs="宋体"/>
          <w:color w:val="auto"/>
          <w:szCs w:val="21"/>
          <w:highlight w:val="none"/>
          <w:lang w:bidi="ar"/>
        </w:rPr>
        <w:t xml:space="preserve">除另有约定外，保险期间为一年，以保险单列明的起讫时间为准。</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保险人义务</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第十一条 </w:t>
      </w:r>
      <w:r>
        <w:rPr>
          <w:rFonts w:hint="eastAsia" w:ascii="宋体" w:hAnsi="宋体" w:eastAsia="宋体" w:cs="宋体"/>
          <w:color w:val="auto"/>
          <w:szCs w:val="21"/>
          <w:highlight w:val="none"/>
          <w:lang w:bidi="ar"/>
        </w:rPr>
        <w:t xml:space="preserve">本保险合同成立后，保险人应当及时向投保人签发保险单或者其他保险凭证。</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第十二条 </w:t>
      </w:r>
      <w:r>
        <w:rPr>
          <w:rFonts w:hint="eastAsia" w:ascii="宋体" w:hAnsi="宋体" w:eastAsia="宋体" w:cs="宋体"/>
          <w:color w:val="auto"/>
          <w:szCs w:val="21"/>
          <w:highlight w:val="none"/>
          <w:lang w:bidi="ar"/>
        </w:rPr>
        <w:t xml:space="preserve">保险事故发生后，被保险人提供的有关索赔的证明和资料不完整的，保险人应当及时一次性通知投保人、被保险人补充提供。</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第十三条 </w:t>
      </w:r>
      <w:r>
        <w:rPr>
          <w:rFonts w:hint="eastAsia" w:ascii="宋体" w:hAnsi="宋体" w:eastAsia="宋体" w:cs="宋体"/>
          <w:color w:val="auto"/>
          <w:szCs w:val="21"/>
          <w:highlight w:val="none"/>
          <w:lang w:bidi="ar"/>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保险人按照前款的规定做出核定后，对不属于保险责任的，应当自做出核定之日起三日内向被保险人发出拒绝赔偿保险金通知书，并说明理由。</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第十四条 </w:t>
      </w:r>
      <w:r>
        <w:rPr>
          <w:rFonts w:hint="eastAsia" w:ascii="宋体" w:hAnsi="宋体" w:eastAsia="宋体" w:cs="宋体"/>
          <w:color w:val="auto"/>
          <w:szCs w:val="21"/>
          <w:highlight w:val="none"/>
          <w:lang w:bidi="ar"/>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第十五条</w:t>
      </w:r>
      <w:r>
        <w:rPr>
          <w:rFonts w:hint="eastAsia" w:ascii="宋体" w:hAnsi="宋体" w:eastAsia="宋体" w:cs="宋体"/>
          <w:color w:val="auto"/>
          <w:szCs w:val="21"/>
          <w:highlight w:val="none"/>
          <w:lang w:bidi="ar"/>
        </w:rPr>
        <w:t xml:space="preserve"> 被保险人给患者造成损害，被保险人对患者应负的赔偿责任确定的，根据被保险人的请求，保险人应当直接向患者及其他赔偿权利人支付赔款。</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被保险人怠于提出索赔的，患者及其他赔偿权利人有权根据本保险合同就其应获赔偿部分直接向保险人请求赔偿保险金。</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被保险人给患者造成损害，被保险人未向该患者及其他赔偿权利人赔偿的，保险人不得向被保险人赔偿保险金。</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投保人/被保险人义务</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第十六条 </w:t>
      </w:r>
      <w:r>
        <w:rPr>
          <w:rFonts w:hint="eastAsia" w:ascii="宋体" w:hAnsi="宋体" w:eastAsia="宋体" w:cs="宋体"/>
          <w:color w:val="auto"/>
          <w:szCs w:val="21"/>
          <w:highlight w:val="none"/>
          <w:lang w:bidi="ar"/>
        </w:rPr>
        <w:t xml:space="preserve">订立保险合同，保险人就保险标的或者被保险人的有关情况提出询问的，投保人应当如实告知，并如实填写投保单。</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投保人故意或者因重大过失未履行前款规定的如实告知义务，足以影响保险人决定是否同意承保或者提高保险费率的，保险人有权解除保险合同。</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前款规定的合同解除权，自保险人知道有解除事由之日起，超过三十日不行使而消灭。发生保险事故的，保险人应当承担赔偿保险金的责任。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投保人故意不履行如实告知义务的，保险人对于合同解除前发生的保险事故，不承担赔偿保险金的责任，并不退还保险费。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投保人因重大过失未履行如实告知义务，对保险事故的发生有严重影响的，保险人对于合同解除前发生的保险事故，不承担赔偿保险金的责任，但应当退还保险费。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保险人在合同订立时已经知道投保人未如实告知的情况的，保险人不得解除合同；发生保险事故的，保险人应当承担赔偿保险金的责任。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第十七条 </w:t>
      </w:r>
      <w:r>
        <w:rPr>
          <w:rFonts w:hint="eastAsia" w:ascii="宋体" w:hAnsi="宋体" w:eastAsia="宋体" w:cs="宋体"/>
          <w:color w:val="auto"/>
          <w:szCs w:val="21"/>
          <w:highlight w:val="none"/>
          <w:lang w:bidi="ar"/>
        </w:rPr>
        <w:t xml:space="preserve">投保人应按照保险合同的约定缴纳保险费。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第十八条 </w:t>
      </w:r>
      <w:r>
        <w:rPr>
          <w:rFonts w:hint="eastAsia" w:ascii="宋体" w:hAnsi="宋体" w:eastAsia="宋体" w:cs="宋体"/>
          <w:color w:val="auto"/>
          <w:szCs w:val="21"/>
          <w:highlight w:val="none"/>
          <w:lang w:bidi="ar"/>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第十九条 </w:t>
      </w:r>
      <w:r>
        <w:rPr>
          <w:rFonts w:hint="eastAsia" w:ascii="宋体" w:hAnsi="宋体" w:eastAsia="宋体" w:cs="宋体"/>
          <w:color w:val="auto"/>
          <w:szCs w:val="21"/>
          <w:highlight w:val="none"/>
          <w:lang w:bidi="ar"/>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投保人、被保险人未按照约定履行上述安全义务的，保险人有权要求增加保险费或者解除合同。</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第二十条 </w:t>
      </w:r>
      <w:r>
        <w:rPr>
          <w:rFonts w:hint="eastAsia" w:ascii="宋体" w:hAnsi="宋体" w:eastAsia="宋体" w:cs="宋体"/>
          <w:color w:val="auto"/>
          <w:szCs w:val="21"/>
          <w:highlight w:val="none"/>
          <w:lang w:bidi="ar"/>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被保险人未履行前款约定的通知义务的，因保险标的的危险程度显著增加而发生的保险事故，保险人不承担赔偿保险金的责任。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第二十一条 </w:t>
      </w:r>
      <w:r>
        <w:rPr>
          <w:rFonts w:hint="eastAsia" w:ascii="宋体" w:hAnsi="宋体" w:eastAsia="宋体" w:cs="宋体"/>
          <w:color w:val="auto"/>
          <w:szCs w:val="21"/>
          <w:highlight w:val="none"/>
          <w:lang w:bidi="ar"/>
        </w:rPr>
        <w:t xml:space="preserve">保险事故发生时，被保险人应当：</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（一）尽力采取必要的措施，防止或者减少损失；</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eastAsia="宋体" w:cs="宋体"/>
          <w:b/>
          <w:bCs/>
          <w:color w:val="auto"/>
          <w:szCs w:val="21"/>
          <w:highlight w:val="none"/>
          <w:lang w:bidi="ar"/>
        </w:rPr>
        <w:t xml:space="preserve">故意或者因重大过失未及时通知，致使保险事故的性质、原因、损失程度等难以确定的，保险人对无法确定的部分，不承担赔偿责任，</w:t>
      </w:r>
      <w:r>
        <w:rPr>
          <w:rFonts w:hint="eastAsia" w:ascii="宋体" w:hAnsi="宋体" w:eastAsia="宋体" w:cs="宋体"/>
          <w:color w:val="auto"/>
          <w:szCs w:val="21"/>
          <w:highlight w:val="none"/>
          <w:lang w:bidi="ar"/>
        </w:rPr>
        <w:t xml:space="preserve">但保险人通过其他途径已经及时知道或者应当及时知道保险事故发生的除外。</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第二十二条 </w:t>
      </w:r>
      <w:r>
        <w:rPr>
          <w:rFonts w:hint="eastAsia" w:ascii="宋体" w:hAnsi="宋体" w:eastAsia="宋体" w:cs="宋体"/>
          <w:color w:val="auto"/>
          <w:szCs w:val="21"/>
          <w:highlight w:val="none"/>
          <w:lang w:bidi="ar"/>
        </w:rPr>
        <w:t xml:space="preserve">发生保险责任范围内的损失，应由有关责任方负责赔偿的，被保险人应行使或者保留向该责任方请求赔偿的权利。</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保险事故发生后，保险人未赔偿保险金之前，被保险人放弃对有关责任方请求赔偿的权利的，保险人不承担赔偿责任。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保险人向被保险人赔偿保险金后，被保险人未经保险人同意放弃对有关责任方请求赔偿的权利的，该行为无效。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在保险人向有关责任方行使代位请求赔偿权利时，被保险人应当向保险人提供必要的文件和其所知道的有关情况。</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由于被保险人的故意或者重大过失致使保险人不能行使代位请求赔偿的权利的，保险人可以扣减或者要求返还相应的保险金。</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第二十四条 </w:t>
      </w:r>
      <w:r>
        <w:rPr>
          <w:rFonts w:hint="eastAsia" w:ascii="宋体" w:hAnsi="宋体" w:eastAsia="宋体" w:cs="宋体"/>
          <w:color w:val="auto"/>
          <w:szCs w:val="21"/>
          <w:highlight w:val="none"/>
          <w:lang w:bidi="ar"/>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对因未及时提供上述通知或者必要协助导致扩大的损失，保险人不承担赔偿责任。</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赔偿处理</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第二十五条 </w:t>
      </w:r>
      <w:r>
        <w:rPr>
          <w:rFonts w:hint="eastAsia" w:ascii="宋体" w:hAnsi="宋体" w:eastAsia="宋体" w:cs="宋体"/>
          <w:color w:val="auto"/>
          <w:szCs w:val="21"/>
          <w:highlight w:val="none"/>
          <w:lang w:bidi="ar"/>
        </w:rPr>
        <w:t xml:space="preserve">发生保险事故后，保险人的赔偿金额以按照下列方式之一确定的被保险人的经济赔偿责任为依据：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（一）在医疗纠纷调解组织主持调解下被保险人与患方达成的调解协议；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（二）人民法院判决、调解；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（三）仲裁机构裁决、调解；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（四）卫生健康行政部门的调解；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（五）保险人认可的其它方式。</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第二十六条 </w:t>
      </w:r>
      <w:r>
        <w:rPr>
          <w:rFonts w:hint="eastAsia" w:ascii="宋体" w:hAnsi="宋体" w:eastAsia="宋体" w:cs="宋体"/>
          <w:color w:val="auto"/>
          <w:szCs w:val="21"/>
          <w:highlight w:val="none"/>
          <w:lang w:bidi="ar"/>
        </w:rPr>
        <w:t xml:space="preserve">被保险人向保险人请求赔偿时，应提交下列单证材料：</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（一）索赔申请书（含事故情况说明）；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（二）相关医务人员的资格和执业证明、医疗机构与医务人员的关系证明；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（三）患者病历资料；患者死亡或者残疾的，提供相关机构或者部门出具的死亡证明或者残疾程度证明；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（四）医疗纠纷调解组织出具的调解协议书、人民法院判决书、人民法院调解书、卫生健康行政部门出具的调解书、仲裁裁决书、仲裁调解书；</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（五）医疗费发票或者可以证明医疗费的其他材料以及依照本保险合同第二十七条应当由被保险人承担的其他费用的证明材料；</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（六）其他被保险人所能提供的与确认保险事故的性质、原因、损失程度等有关的证明和资料。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第二十七条 </w:t>
      </w:r>
      <w:r>
        <w:rPr>
          <w:rFonts w:hint="eastAsia" w:ascii="宋体" w:hAnsi="宋体" w:eastAsia="宋体" w:cs="宋体"/>
          <w:color w:val="auto"/>
          <w:szCs w:val="21"/>
          <w:highlight w:val="none"/>
          <w:lang w:bidi="ar"/>
        </w:rPr>
        <w:t xml:space="preserve">发生本保险合同第三条约定的保险事故，保险人按照法律规定计算下列赔偿项目并结合被保险人的过错程度在本保险合同列明的责任限额内进行赔偿：</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（一）造成人身损害的，包括医疗费、护理费、交通费、营养费、住院伙食补助费等为治疗和康复支出的合理费用，以及因误工减少的收入；</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造成残疾的，还包括辅助器具费和残疾赔偿金，残疾等级按照《人体损伤致残程度分级》（最高人民法院、最高人民检察院、公安部、国家安全部、司法部2016年4月18日发布，司法部实施通知文号为司发通〔2016〕48号）确定；</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（三）造成死亡的，还包括赔偿丧葬费和死亡赔偿金。</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第二十八条 </w:t>
      </w:r>
      <w:r>
        <w:rPr>
          <w:rFonts w:hint="eastAsia" w:ascii="宋体" w:hAnsi="宋体" w:eastAsia="宋体" w:cs="宋体"/>
          <w:color w:val="auto"/>
          <w:szCs w:val="21"/>
          <w:highlight w:val="none"/>
        </w:rPr>
        <w:t xml:space="preserve">保险人对每次事故的赔偿金额不超过每次事故责任限额；保险人对多次事故的累计赔偿金额不超过累计责任限额。</w:t>
      </w:r>
      <w:r/>
    </w:p>
    <w:p>
      <w:pPr>
        <w:ind w:firstLine="422"/>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第二十九条 </w:t>
      </w:r>
      <w:r>
        <w:rPr>
          <w:rFonts w:hint="eastAsia" w:ascii="宋体" w:hAnsi="宋体" w:eastAsia="宋体" w:cs="宋体"/>
          <w:color w:val="auto"/>
          <w:szCs w:val="21"/>
          <w:highlight w:val="none"/>
          <w:lang w:bidi="ar"/>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第三十条 </w:t>
      </w:r>
      <w:r>
        <w:rPr>
          <w:rFonts w:hint="eastAsia" w:ascii="宋体" w:hAnsi="宋体" w:eastAsia="宋体" w:cs="宋体"/>
          <w:color w:val="auto"/>
          <w:szCs w:val="21"/>
          <w:highlight w:val="none"/>
          <w:lang w:bidi="ar"/>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被保险人已经从有关责任方取得赔偿的，保险人赔偿保险金时，可以相应扣减被保险人已从有关责任方取得的赔偿金额。</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第三十一条 </w:t>
      </w:r>
      <w:r>
        <w:rPr>
          <w:rFonts w:hint="eastAsia" w:ascii="宋体" w:hAnsi="宋体" w:eastAsia="宋体" w:cs="宋体"/>
          <w:color w:val="auto"/>
          <w:szCs w:val="21"/>
          <w:highlight w:val="none"/>
          <w:lang w:bidi="ar"/>
        </w:rPr>
        <w:t xml:space="preserve">本保险合同保险期间到期时，若投保人未续保，被保险人将自动获得自保险期间到期日第二天起保险合同约定的免费发现期。</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第三十二条 </w:t>
      </w:r>
      <w:r>
        <w:rPr>
          <w:rFonts w:hint="eastAsia" w:ascii="宋体" w:hAnsi="宋体" w:eastAsia="宋体" w:cs="宋体"/>
          <w:color w:val="auto"/>
          <w:szCs w:val="21"/>
          <w:highlight w:val="none"/>
          <w:lang w:bidi="ar"/>
        </w:rPr>
        <w:t xml:space="preserve">发生保险事故时，如存在重复保险，则保险人按照本保险合同的责任限额与所有有关保险合同项下的责任限额总和的比例承担赔偿责任。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第三十三条 </w:t>
      </w:r>
      <w:r>
        <w:rPr>
          <w:rFonts w:hint="eastAsia" w:ascii="宋体" w:hAnsi="宋体" w:eastAsia="宋体" w:cs="宋体"/>
          <w:color w:val="auto"/>
          <w:szCs w:val="21"/>
          <w:highlight w:val="none"/>
          <w:lang w:bidi="ar"/>
        </w:rPr>
        <w:t xml:space="preserve">被保险人向保险人请求赔偿保险金的诉讼时效期间为三年，自其知道或者应当知道保险事故发生之日起计算。</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争议处理和法律适用</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第三十四条 </w:t>
      </w:r>
      <w:r>
        <w:rPr>
          <w:rFonts w:hint="eastAsia" w:ascii="宋体" w:hAnsi="宋体" w:eastAsia="宋体" w:cs="宋体"/>
          <w:color w:val="auto"/>
          <w:szCs w:val="21"/>
          <w:highlight w:val="none"/>
          <w:lang w:bidi="ar"/>
        </w:rPr>
        <w:t xml:space="preserve">因履行本合同发生的争议，由当事人协商解决。当事人协商不成的，可依法向人民法院起诉。</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第三十五条 </w:t>
      </w:r>
      <w:r>
        <w:rPr>
          <w:rFonts w:hint="eastAsia" w:ascii="宋体" w:hAnsi="宋体" w:eastAsia="宋体" w:cs="宋体"/>
          <w:color w:val="auto"/>
          <w:szCs w:val="21"/>
          <w:highlight w:val="none"/>
          <w:lang w:bidi="ar"/>
        </w:rPr>
        <w:t xml:space="preserve">本保险合同的争议处理适用中华人民共和国法律。</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其他事项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第三十六条 </w:t>
      </w:r>
      <w:r>
        <w:rPr>
          <w:rFonts w:hint="eastAsia" w:ascii="宋体" w:hAnsi="宋体" w:eastAsia="宋体" w:cs="宋体"/>
          <w:color w:val="auto"/>
          <w:szCs w:val="21"/>
          <w:highlight w:val="none"/>
          <w:lang w:bidi="ar"/>
        </w:rPr>
        <w:t xml:space="preserve">除本保险合同约定外，本保险合同成立后，保险人不得解除本保险合同。</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第三十七条 </w:t>
      </w:r>
      <w:r>
        <w:rPr>
          <w:rFonts w:hint="eastAsia" w:ascii="宋体" w:hAnsi="宋体" w:eastAsia="宋体" w:cs="宋体"/>
          <w:color w:val="auto"/>
          <w:szCs w:val="21"/>
          <w:highlight w:val="none"/>
          <w:lang w:bidi="ar"/>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释义</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除非另有约定，本保险合同中有关名词的释义如下：</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1.追溯期：</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2.医务人员：</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是指在被保险医疗机构执业的经过国家有关部门考核、批准或者承认，取得相应资格的各级各类卫生技术人员。</w:t>
      </w:r>
      <w:r>
        <w:rPr>
          <w:rFonts w:hint="eastAsia" w:ascii="宋体" w:hAnsi="宋体" w:eastAsia="宋体" w:cs="宋体"/>
          <w:color w:val="auto"/>
          <w:szCs w:val="21"/>
          <w:highlight w:val="none"/>
        </w:rPr>
        <w:t xml:space="preserve">在本保险合同中，卫生技术人员也包括医疗管理人员、外聘医务人员、进修生、</w:t>
      </w:r>
      <w:r>
        <w:rPr>
          <w:rFonts w:hint="eastAsia" w:ascii="宋体" w:hAnsi="宋体" w:eastAsia="宋体" w:cs="宋体"/>
          <w:color w:val="auto"/>
          <w:szCs w:val="21"/>
          <w:highlight w:val="none"/>
          <w:lang w:bidi="ar"/>
        </w:rPr>
        <w:t xml:space="preserve">按照《医学教育临床实践管理暂行规定》(卫办科教发[2008]45号)在临床带教教师或者指导医务人员指导下进行诊疗活动的医学生、试用期医学毕业生。</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3.诊疗活动：</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4.患者：</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指接受诊疗活动的个人。</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5.特殊检查、特殊治疗：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是指具有下列情形之一的诊断、治疗活动：</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（一）有一定危险性，可能产生不良后果的检查和治疗；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（二）由于患者体质特殊或者病情危笃，可能对患者产生不良后果和危险的检查和治疗；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（三）收费可能对患者造成较大经济负担的检查和治疗。</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6.医疗美容：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是指运用手术、药物、医疗器械以及其他具有创伤性或者侵入性的医学技术方法对人的容貌和人体各部位形态进行的修复与再塑。</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7.医疗纠纷调解组织：</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是指本保险合同保险人认可的医疗纠纷调解组织。主要负责为被保险人提供医疗纠纷案件调解服务。</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8.发现期：</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9.未满期保险费：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是指保险人应退还的剩余保险期间的保险费，未满期保险费按照以下公式计算：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未满期保险费=保险费×（合同解除之日与保险期间截止日期间天数/保险期间天数）×（累计责任限额－累计赔偿金额）/累计责任限额</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累计赔偿金额=已决赔款金额+未决赔款金额</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未决赔款是指赔偿处理中心确定的案件估损金额。如投保人对未决赔款金额有异议，则保险人在未决案件赔偿结案后再向投保人退还未满期保险费。</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医疗机构医疗责任保险附加条款</w:t>
      </w:r>
      <w:r/>
    </w:p>
    <w:p>
      <w:pPr>
        <w:ind w:firstLine="422"/>
        <w:jc w:val="left"/>
        <w:spacing w:line="360" w:lineRule="auto"/>
        <w:rPr>
          <w:rFonts w:hint="eastAsia" w:ascii="宋体" w:hAnsi="宋体" w:eastAsia="宋体" w:cs="宋体"/>
          <w:b/>
          <w:color w:val="auto"/>
          <w:szCs w:val="21"/>
          <w:highlight w:val="none"/>
          <w:lang w:val="zh-CN" w:bidi="zh-CN"/>
        </w:rPr>
      </w:pPr>
      <w:r>
        <w:rPr>
          <w:rFonts w:hint="eastAsia" w:ascii="宋体" w:hAnsi="宋体" w:eastAsia="宋体" w:cs="宋体"/>
          <w:b/>
          <w:bCs/>
          <w:color w:val="auto"/>
          <w:szCs w:val="21"/>
          <w:highlight w:val="none"/>
          <w:lang w:bidi="zh-CN"/>
        </w:rPr>
        <w:t xml:space="preserve">1、</w:t>
      </w:r>
      <w:r>
        <w:rPr>
          <w:rFonts w:hint="eastAsia" w:ascii="宋体" w:hAnsi="宋体" w:eastAsia="宋体" w:cs="宋体"/>
          <w:b/>
          <w:color w:val="auto"/>
          <w:szCs w:val="21"/>
          <w:highlight w:val="none"/>
          <w:lang w:val="zh-CN" w:bidi="zh-CN"/>
        </w:rPr>
        <w:t xml:space="preserve">附加医疗产品责任保险条款</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w:t>
      </w:r>
      <w:r>
        <w:rPr>
          <w:rFonts w:hint="eastAsia" w:ascii="宋体" w:hAnsi="宋体" w:eastAsia="宋体" w:cs="宋体"/>
          <w:color w:val="auto"/>
          <w:szCs w:val="21"/>
          <w:highlight w:val="none"/>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w:t>
      </w:r>
      <w:r>
        <w:rPr>
          <w:rFonts w:hint="eastAsia" w:ascii="宋体" w:hAnsi="宋体" w:eastAsia="宋体" w:cs="宋体"/>
          <w:color w:val="auto"/>
          <w:szCs w:val="21"/>
          <w:highlight w:val="none"/>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保险责任</w:t>
      </w:r>
      <w:r/>
    </w:p>
    <w:p>
      <w:pPr>
        <w:ind w:firstLine="422"/>
        <w:jc w:val="left"/>
        <w:spacing w:line="360" w:lineRule="auto"/>
        <w:rPr>
          <w:rFonts w:hint="eastAsia"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 xml:space="preserve">第三条</w:t>
      </w:r>
      <w:r>
        <w:rPr>
          <w:rFonts w:hint="eastAsia" w:ascii="宋体" w:hAnsi="宋体" w:eastAsia="宋体" w:cs="宋体"/>
          <w:color w:val="auto"/>
          <w:szCs w:val="21"/>
          <w:highlight w:val="none"/>
          <w:lang w:bidi="ar"/>
        </w:rPr>
        <w:t xml:space="preserve"> 在保险单中列明的保险期间或者追溯期内，被保险人或者其医务人员在从事与其资格相符的诊疗活动中，因药品、消毒产品、医疗器械的缺陷或者输入不合格的血液造成患者受到人身损害，患者或者其近亲属或者其代理人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责任免除</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color w:val="auto"/>
          <w:szCs w:val="21"/>
          <w:highlight w:val="none"/>
        </w:rPr>
        <w:t xml:space="preserve">第四条 </w:t>
      </w:r>
      <w:r>
        <w:rPr>
          <w:rFonts w:hint="eastAsia" w:ascii="宋体" w:hAnsi="宋体" w:eastAsia="宋体" w:cs="宋体"/>
          <w:b/>
          <w:bCs/>
          <w:color w:val="auto"/>
          <w:szCs w:val="21"/>
          <w:highlight w:val="none"/>
          <w:lang w:bidi="ar"/>
        </w:rPr>
        <w:t xml:space="preserve">被保险人或者其医务人员使用未经国家有关部门批准使用的药品、消毒产品和医疗器械的，或者未使用卫生行政部门指定血站提供的血液的，造成的损失、费用和责任，保险人不负责赔偿。</w:t>
      </w:r>
      <w:r/>
    </w:p>
    <w:p>
      <w:pPr>
        <w:ind w:firstLine="422"/>
        <w:jc w:val="left"/>
        <w:spacing w:line="360" w:lineRule="auto"/>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bidi="zh-CN"/>
        </w:rPr>
        <w:t xml:space="preserve">2、</w:t>
      </w:r>
      <w:r>
        <w:rPr>
          <w:rFonts w:hint="eastAsia" w:ascii="宋体" w:hAnsi="宋体" w:eastAsia="宋体" w:cs="宋体"/>
          <w:b/>
          <w:color w:val="auto"/>
          <w:szCs w:val="21"/>
          <w:highlight w:val="none"/>
          <w:lang w:val="zh-CN" w:bidi="zh-CN"/>
        </w:rPr>
        <w:t xml:space="preserve">附加外</w:t>
      </w:r>
      <w:r>
        <w:rPr>
          <w:rFonts w:hint="eastAsia" w:ascii="宋体" w:hAnsi="宋体" w:eastAsia="宋体" w:cs="宋体"/>
          <w:b/>
          <w:color w:val="auto"/>
          <w:szCs w:val="21"/>
          <w:highlight w:val="none"/>
          <w:lang w:bidi="zh-CN"/>
        </w:rPr>
        <w:t xml:space="preserve">部</w:t>
      </w:r>
      <w:r>
        <w:rPr>
          <w:rFonts w:hint="eastAsia" w:ascii="宋体" w:hAnsi="宋体" w:eastAsia="宋体" w:cs="宋体"/>
          <w:b/>
          <w:color w:val="auto"/>
          <w:szCs w:val="21"/>
          <w:highlight w:val="none"/>
          <w:lang w:val="zh-CN" w:bidi="zh-CN"/>
        </w:rPr>
        <w:t xml:space="preserve">医务人员医疗责任保险条款</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w:t>
      </w:r>
      <w:r>
        <w:rPr>
          <w:rFonts w:hint="eastAsia" w:ascii="宋体" w:hAnsi="宋体" w:eastAsia="宋体" w:cs="宋体"/>
          <w:color w:val="auto"/>
          <w:szCs w:val="21"/>
          <w:highlight w:val="none"/>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w:t>
      </w:r>
      <w:r>
        <w:rPr>
          <w:rFonts w:hint="eastAsia" w:ascii="宋体" w:hAnsi="宋体" w:eastAsia="宋体" w:cs="宋体"/>
          <w:color w:val="auto"/>
          <w:szCs w:val="21"/>
          <w:highlight w:val="none"/>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保险责任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第三条 </w:t>
      </w:r>
      <w:r>
        <w:rPr>
          <w:rFonts w:hint="eastAsia" w:ascii="宋体" w:hAnsi="宋体" w:eastAsia="宋体" w:cs="宋体"/>
          <w:color w:val="auto"/>
          <w:szCs w:val="21"/>
          <w:highlight w:val="none"/>
        </w:rPr>
        <w:t xml:space="preserve">本保险合同承保的医务人员包括</w:t>
      </w:r>
      <w:r>
        <w:rPr>
          <w:rFonts w:hint="eastAsia" w:ascii="宋体" w:hAnsi="宋体" w:eastAsia="宋体" w:cs="宋体"/>
          <w:color w:val="auto"/>
          <w:szCs w:val="21"/>
          <w:highlight w:val="none"/>
          <w:lang w:bidi="ar"/>
        </w:rPr>
        <w:t xml:space="preserve">外请会诊医务人员、符</w:t>
      </w:r>
      <w:r>
        <w:rPr>
          <w:rFonts w:hint="eastAsia" w:ascii="宋体" w:hAnsi="宋体" w:eastAsia="宋体" w:cs="宋体"/>
          <w:color w:val="auto"/>
          <w:szCs w:val="21"/>
          <w:highlight w:val="none"/>
          <w:lang w:bidi="ar"/>
        </w:rPr>
        <w:t xml:space="preserve">合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rPr>
          <w:rFonts w:hint="eastAsia" w:ascii="宋体" w:hAnsi="宋体" w:eastAsia="宋体" w:cs="宋体"/>
          <w:b/>
          <w:color w:val="auto"/>
          <w:szCs w:val="21"/>
          <w:highlight w:val="none"/>
        </w:rPr>
        <w:t xml:space="preserve">。</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责任免除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（一）医务人员从事与其资格不符的诊疗护理活动造成的损失、费用和责任，保险人不负责赔偿；</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（二）医务人员的会诊费用，保险人不负责赔偿；</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（三）未经被保险人正式批准，被保险人的医务人员或者患方自行外请的医务人员造成的损失、费用和责任，保险人不负责赔偿。</w:t>
      </w:r>
      <w:r/>
    </w:p>
    <w:p>
      <w:pPr>
        <w:ind w:firstLine="422"/>
        <w:jc w:val="left"/>
        <w:spacing w:line="360" w:lineRule="auto"/>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bidi="zh-CN"/>
        </w:rPr>
        <w:t xml:space="preserve">3</w:t>
      </w:r>
      <w:r>
        <w:rPr>
          <w:rFonts w:hint="eastAsia" w:ascii="宋体" w:hAnsi="宋体" w:eastAsia="宋体" w:cs="宋体"/>
          <w:b/>
          <w:color w:val="auto"/>
          <w:szCs w:val="21"/>
          <w:highlight w:val="none"/>
          <w:lang w:val="zh-CN" w:bidi="zh-CN"/>
        </w:rPr>
        <w:t xml:space="preserve">、附加精神损害赔偿责任保险条款</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附加精神损害赔偿责任保险条款</w:t>
      </w:r>
      <w:r/>
    </w:p>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w:t>
      </w:r>
      <w:r>
        <w:rPr>
          <w:rFonts w:hint="eastAsia" w:ascii="宋体" w:hAnsi="宋体" w:eastAsia="宋体" w:cs="宋体"/>
          <w:color w:val="auto"/>
          <w:szCs w:val="21"/>
          <w:highlight w:val="none"/>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w:t>
      </w:r>
      <w:r>
        <w:rPr>
          <w:rFonts w:hint="eastAsia" w:ascii="宋体" w:hAnsi="宋体" w:eastAsia="宋体" w:cs="宋体"/>
          <w:color w:val="auto"/>
          <w:szCs w:val="21"/>
          <w:highlight w:val="none"/>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保险责任</w:t>
      </w:r>
      <w:r/>
    </w:p>
    <w:p>
      <w:pPr>
        <w:ind w:firstLine="422"/>
        <w:spacing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第三条 </w:t>
      </w:r>
      <w:r>
        <w:rPr>
          <w:rFonts w:hint="eastAsia" w:ascii="宋体" w:hAnsi="宋体" w:eastAsia="宋体" w:cs="宋体"/>
          <w:color w:val="auto"/>
          <w:szCs w:val="21"/>
          <w:highlight w:val="none"/>
          <w:lang w:bidi="ar"/>
        </w:rPr>
        <w:t xml:space="preserve">在保险单中列明的保险期间或者追溯期内，被保险人或者其医务人员在从事与其资格相符的诊疗活动中，发生下列情形，患者或者其近亲属或者其代理人在保险期间内首次向被保险人提出</w:t>
      </w:r>
      <w:r>
        <w:rPr>
          <w:rFonts w:hint="eastAsia" w:ascii="宋体" w:hAnsi="宋体" w:eastAsia="宋体" w:cs="宋体"/>
          <w:color w:val="auto"/>
          <w:szCs w:val="21"/>
          <w:highlight w:val="none"/>
        </w:rPr>
        <w:t xml:space="preserve">精神损害赔偿请求，</w:t>
      </w:r>
      <w:r>
        <w:rPr>
          <w:rFonts w:hint="eastAsia" w:ascii="宋体" w:hAnsi="宋体" w:eastAsia="宋体" w:cs="宋体"/>
          <w:color w:val="auto"/>
          <w:szCs w:val="21"/>
          <w:highlight w:val="none"/>
          <w:lang w:bidi="ar"/>
        </w:rPr>
        <w:t xml:space="preserve">依照中华人民共和国法律（不包括香港、澳门、台湾地区法律，下同）应由被保险人承担的</w:t>
      </w:r>
      <w:r>
        <w:rPr>
          <w:rFonts w:hint="eastAsia" w:ascii="宋体" w:hAnsi="宋体" w:eastAsia="宋体" w:cs="宋体"/>
          <w:color w:val="auto"/>
          <w:szCs w:val="21"/>
          <w:highlight w:val="none"/>
        </w:rPr>
        <w:t xml:space="preserve">精神损害</w:t>
      </w:r>
      <w:r>
        <w:rPr>
          <w:rFonts w:hint="eastAsia" w:ascii="宋体" w:hAnsi="宋体" w:eastAsia="宋体" w:cs="宋体"/>
          <w:color w:val="auto"/>
          <w:szCs w:val="21"/>
          <w:highlight w:val="none"/>
          <w:lang w:bidi="ar"/>
        </w:rPr>
        <w:t xml:space="preserve">赔偿责任，保险人按照本保险合同的约定负责赔偿</w:t>
      </w:r>
      <w:r>
        <w:rPr>
          <w:rFonts w:hint="eastAsia" w:ascii="宋体" w:hAnsi="宋体" w:eastAsia="宋体" w:cs="宋体"/>
          <w:color w:val="auto"/>
          <w:szCs w:val="21"/>
          <w:highlight w:val="none"/>
        </w:rPr>
        <w:t xml:space="preserve">。</w:t>
      </w:r>
      <w:r/>
    </w:p>
    <w:p>
      <w:pPr>
        <w:ind w:firstLine="422"/>
        <w:jc w:val="left"/>
        <w:spacing w:line="360" w:lineRule="auto"/>
        <w:rPr>
          <w:rFonts w:hint="eastAsia" w:ascii="宋体" w:hAnsi="宋体" w:eastAsia="宋体" w:cs="宋体"/>
          <w:b/>
          <w:color w:val="auto"/>
          <w:szCs w:val="21"/>
          <w:highlight w:val="none"/>
          <w:lang w:bidi="zh-CN"/>
        </w:rPr>
      </w:pPr>
      <w:r>
        <w:rPr>
          <w:rFonts w:hint="eastAsia" w:ascii="宋体" w:hAnsi="宋体" w:eastAsia="宋体" w:cs="宋体"/>
          <w:b/>
          <w:color w:val="auto"/>
          <w:szCs w:val="21"/>
          <w:highlight w:val="none"/>
          <w:lang w:bidi="zh-CN"/>
        </w:rPr>
        <w:t xml:space="preserve">4、错误和遗漏条款</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兹经双方同意，本保险项下的赔偿责任不因被保险人非故意地延迟、错误或遗漏向保险人申报有关变更或其它有关信息而被拒负，一旦被保险人明白其疏忽或遗漏应在合理的时间内尽快向本公司申报，并根据保险人要求支付自风险增加之日起的适当的附加保险费。</w:t>
      </w:r>
      <w:r/>
    </w:p>
    <w:p>
      <w:pPr>
        <w:ind w:firstLine="422"/>
        <w:jc w:val="left"/>
        <w:spacing w:line="360" w:lineRule="auto"/>
        <w:rPr>
          <w:rFonts w:hint="eastAsia" w:ascii="宋体" w:hAnsi="宋体" w:eastAsia="宋体" w:cs="宋体"/>
          <w:b/>
          <w:color w:val="auto"/>
          <w:szCs w:val="21"/>
          <w:highlight w:val="none"/>
          <w:lang w:bidi="zh-CN"/>
        </w:rPr>
      </w:pPr>
      <w:r>
        <w:rPr>
          <w:rFonts w:hint="eastAsia" w:ascii="宋体" w:hAnsi="宋体" w:eastAsia="宋体" w:cs="宋体"/>
          <w:b/>
          <w:color w:val="auto"/>
          <w:szCs w:val="21"/>
          <w:highlight w:val="none"/>
          <w:lang w:bidi="zh-CN"/>
        </w:rPr>
        <w:t xml:space="preserve">5、违反条件条款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医疗责任保险费率规章</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1、保险费计算公式</w:t>
      </w:r>
      <w:r/>
    </w:p>
    <w:p>
      <w:pPr>
        <w:ind w:firstLine="422"/>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（一）首次投保保险费计算公式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主险保险费 = （诊疗人次数 * 诊疗人次数基础保险费率 + 出院人数 * 出院人数基础保险费率 + 住院病人手术人次数 * 住院病人手术人次数基础保险费率）</w:t>
      </w:r>
      <w:r/>
    </w:p>
    <w:p>
      <w:pPr>
        <w:ind w:firstLine="422"/>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（二）续保保险费计算公式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续保保险费 = （诊疗人次数 * 诊疗人次数基础保险费率 + 出院人数 * 出院人数基础保险费率 + 住院病人手术人次数 * 住院病人手术人次数基础保险费率）</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2、基础保险费率</w:t>
      </w:r>
      <w:r/>
    </w:p>
    <w:tbl>
      <w:tblPr>
        <w:tblStyle w:val="9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2303"/>
        <w:gridCol w:w="1941"/>
        <w:gridCol w:w="2954"/>
      </w:tblGrid>
      <w:tr>
        <w:trPr>
          <w:jc w:val="center"/>
          <w:trHeight w:val="340"/>
        </w:trPr>
        <w:tc>
          <w:tcPr>
            <w:shd w:val="clear" w:color="auto" w:fill="f3f3f3"/>
            <w:tcW w:w="127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医疗机构等级</w:t>
            </w:r>
            <w:r/>
          </w:p>
        </w:tc>
        <w:tc>
          <w:tcPr>
            <w:shd w:val="clear" w:color="auto" w:fill="f3f3f3"/>
            <w:tcW w:w="119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诊疗人次数</w:t>
            </w:r>
            <w:r/>
          </w:p>
        </w:tc>
        <w:tc>
          <w:tcPr>
            <w:shd w:val="clear" w:color="auto" w:fill="f3f3f3"/>
            <w:tcW w:w="1004"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出院人数</w:t>
            </w:r>
            <w:r/>
          </w:p>
        </w:tc>
        <w:tc>
          <w:tcPr>
            <w:shd w:val="clear" w:color="auto" w:fill="f3f3f3"/>
            <w:tcW w:w="152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住院病人手术人次数</w:t>
            </w:r>
            <w:r/>
          </w:p>
        </w:tc>
      </w:tr>
      <w:tr>
        <w:trPr>
          <w:jc w:val="center"/>
          <w:trHeight w:val="340"/>
        </w:trPr>
        <w:tc>
          <w:tcPr>
            <w:tcW w:w="127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三级医院</w:t>
            </w:r>
            <w:r/>
          </w:p>
        </w:tc>
        <w:tc>
          <w:tcPr>
            <w:tcW w:w="119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元/人次</w:t>
            </w:r>
            <w:r/>
          </w:p>
        </w:tc>
        <w:tc>
          <w:tcPr>
            <w:tcW w:w="100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w:t>
            </w:r>
            <w:r/>
          </w:p>
        </w:tc>
        <w:tc>
          <w:tcPr>
            <w:tcW w:w="15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元/人次</w:t>
            </w:r>
            <w:r/>
          </w:p>
        </w:tc>
      </w:tr>
    </w:tbl>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诊疗人次数：指上年度所有诊疗工作的总人次数（包括互联网诊疗），统计界定原则为：①按挂号数统计，包括门诊、急诊、出诊、预约诊疗、单项健康检查、健康咨询指导（不含健康讲座）人次。患者1次就诊多次挂号,按实际诊疗次数统计,不包括根据医嘱进行的各项检查、治疗、处置工作量以及免疫接种、健康管理服务人次数；②未挂号就诊、本单位职工就诊及外出诊（不含外出会诊）不收取挂号费的，按实际诊疗人次统计。</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出院人数：指上年度内所有住院后出院的人数。包括医嘱离院、医嘱转其他医疗机构、非医嘱离院、死亡及其他人数，不含家庭病床撤床人数。统计界定原则：①“死亡”：包括已办住院手续后死亡、未办住院手续而实际上已收容入院的死亡者。②“其他”：指正常分娩和未产出院、未治和住院经检查无病出院、无并发症的人工流产或绝育手术出院者。</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3.住院病人手术人次数：指上年度有正规手术单或麻醉单施行手术的住院病人总数 (包括产科手术病人数)。同一病人本次在院就诊期间患有同一疾病或不同疾病施行多次手术者,按实际施行的手术次数统计。</w:t>
      </w:r>
      <w:r/>
    </w:p>
    <w:p>
      <w:pPr>
        <w:ind w:firstLine="422"/>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三、医疗责任保险案件赔偿处理办法 </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总则</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为保护医疗机构、患者和供应方成员的合法权益，特制订本办法。</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赔偿处理中心</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江泰保险经纪股份有限公司江苏营业部（以下简称江泰保险经纪）设立医疗责任保险案件管理中心（以下简称案管中心），案管中心下设医疗责任保险赔偿处理中心（以下简称赔处中心）负责</w:t>
      </w:r>
      <w:r>
        <w:rPr>
          <w:rFonts w:hint="eastAsia" w:ascii="宋体" w:hAnsi="宋体" w:eastAsia="宋体" w:cs="宋体"/>
          <w:bCs/>
          <w:color w:val="auto"/>
          <w:szCs w:val="21"/>
          <w:highlight w:val="none"/>
          <w:lang w:eastAsia="zh-CN"/>
        </w:rPr>
        <w:t xml:space="preserve">江苏省肿瘤医院</w:t>
      </w:r>
      <w:r>
        <w:rPr>
          <w:rFonts w:hint="eastAsia" w:ascii="宋体" w:hAnsi="宋体" w:eastAsia="宋体" w:cs="宋体"/>
          <w:bCs/>
          <w:color w:val="auto"/>
          <w:szCs w:val="21"/>
          <w:highlight w:val="none"/>
        </w:rPr>
        <w:t xml:space="preserve">医疗责任保险案件的赔偿处理相关事宜。</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供应方首承公司和江泰保险经纪分别指定授权代表参加赔处中心相关工作。供应方首承公司授权代表应当具有不低于保单约定的每次事故赔偿限额的案件审批权限，并提供公司签章的授权文件。</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职责：负责各类案件的保险索赔工作；协商确定保险公司理赔需要的材料及核赔规则；接收案件评估岗、诉讼管理岗收集整理的保险案件索赔材料；与保险公司理赔人员进行对接，按时完成报案、索赔、结案相关工作，并保留书面证明材料；按照时效要求催促保险公司及时完成理赔工作；定期与保险公司对接案件未决及已决数据，并出具保险案件数据分析报告；保险案件索赔的其他工作。</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赔处中心应当遵循公正、公平、客观、科学的原则，依据事实和相关法律、法规、诊疗护理规范、保险合同等，对案件的定性、定责、定损、定赔进行审查，及时完成案件处理。</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供应方首承公司应指定专人负责本项目的理赔事宜，全力配合赔处中心的工作，如发生人员变动应及时通知经纪人。首承公司的授权代表应按时与江泰保险经纪就各类案件赔偿处理意见进行会商。</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赔处中心形成的预审意见、风险提示函等相关文件，由江泰保险经纪签章确认。</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赔偿处理流程</w:t>
      </w:r>
      <w:r/>
    </w:p>
    <w:p>
      <w:pPr>
        <w:numPr>
          <w:ilvl w:val="0"/>
          <w:numId w:val="41"/>
        </w:num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医疗纠纷纠纷处理途径</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根据国家相关法律法规，医疗纠纷可以通过以下途径进行处理：自行和解、第三方调解、司法诉讼、行政调解和仲裁案件。</w:t>
      </w:r>
      <w:r/>
    </w:p>
    <w:p>
      <w:pPr>
        <w:numPr>
          <w:ilvl w:val="0"/>
          <w:numId w:val="41"/>
        </w:num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接转报案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患者或其近亲属或其代理人首次向医疗机构提出赔偿请求的时间（即索赔时间）为保险出险时间，此时间以下列三个时间中发生在前的为准，保险人有权对出险时间进行核实。</w:t>
      </w:r>
      <w:r/>
    </w:p>
    <w:p>
      <w:pPr>
        <w:numPr>
          <w:ilvl w:val="0"/>
          <w:numId w:val="42"/>
        </w:numPr>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医疗机构出具的投诉登记材料中所载的患方在首次向医疗机构沟通或投诉过程中明确提出索赔要求的时间；</w:t>
      </w:r>
      <w:r/>
    </w:p>
    <w:p>
      <w:pPr>
        <w:numPr>
          <w:ilvl w:val="0"/>
          <w:numId w:val="42"/>
        </w:numPr>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或患方提出或同意通过医疗纠纷调解解决纠纷的时间；</w:t>
      </w:r>
      <w:r/>
    </w:p>
    <w:p>
      <w:pPr>
        <w:numPr>
          <w:ilvl w:val="0"/>
          <w:numId w:val="42"/>
        </w:numPr>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或患方向医疗机构提起诉讼的时间。</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江泰保险经纪电话中心设立400-616-8811专线电话，7*24小时全年不间断受理医疗责任保险的报案。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赔处中心应协助医疗机构向赔处中心进行报案，赔处中心向供应方进行转报案。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江泰保险经纪与供应方需严格遵守接转报案标准。赔处中心接到报案后，及时向供应方首承公司转报案。如果医疗纠纷处理途径为第三方调解的，赔处中心应向相应的医疗纠纷调解组织转报案件信息。</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医疗机构向首承公司直接报案的，供应方首承公司应将报案信息及时反馈至赔处中心。</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医疗机构向医疗纠纷调解组织直接报案的，医疗纠纷调解组织应将报案信息转至赔处中心，由赔处中心完成向供应方进行转报案。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供应方首承公司受理报案后，需第一时间向报案人提供报案编号，同时反馈给赔处中心。</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医疗机构、赔处中心、首承公司按照本办法完成接转报案工作。</w:t>
      </w:r>
      <w:r/>
    </w:p>
    <w:p>
      <w:pPr>
        <w:numPr>
          <w:ilvl w:val="0"/>
          <w:numId w:val="41"/>
        </w:num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案件处理</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除约定可采用简易程序处理的案件外，其它案件处理均应完成定性、定责、定损、定赔。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（一）定性，指对医疗机构的诊疗护理活动是否存在过错，以及该过错与患者的损害后果之间是否存在关联性进行判定；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（二）定责，指经定性判定为医疗机构的过错与患者损害后果之间存在因果关系的案件，对医疗机构为患者所受损害所应承担的责任程度进行判定；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（三）定损，指对因诊疗活动中的过错给患者所造成的经济损失产品进行确定；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（四）定赔，指依据相关法律规定，对患者经济损失产品赔偿金额进行计算。</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办法所称预审会，是指赔处中心根据相应的法律法规，由医学专家、法律专家对医疗纠纷案件进行性质认定、责任认定和赔偿损失认定的会议。预审会应邀请供应方代表参加，供应方经邀请未参加预审会议，视其同意预审会结果。</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办法所称合议会，是指医疗机构、供应方对赔偿处理意见提出重大异议的案件、或有重大社会影响力的案件、或重大疑难案件，赔处中心组织相关人员进行合议。合议会成员由医学专家、法律专家、江泰保险经纪风控人员、供应方首承公司的技术人员、医疗纠纷调解组织专业人员组成，可邀请卫生行政部门及司法部门有关人员参加，合议会形成的结果由所有参会成员签字确认。</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第四节 自行和解简易程序</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超过规定权限的，医疗机构在规定金额及限额内采用自行和解简易程序处理的，应当及时通知赔处中心，赔处中心根据医疗机构要求提供预审意见或赔偿处理意见，并负责协助参保医疗机构向患方收集案件相关材料。</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医患双方达成和解，签订医患自行和解协议书或通过医疗机构所在地医疗纠纷调解组织签订调解协议书。</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赔处中心应当在和解协议生效之日起3个工作日内完成案件的登记、核实、归档，并将索赔材料提交首承公司，首承公司在《采购协议》约定的时效内向医疗机构或者患者支付赔款。</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第五节 第三方调解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赔处中心应跟踪、记录参保医疗机构医疗纠纷第三方调解案件受理情况。与医疗纠纷调解组织就医疗纠纷处理情况保持有效沟通。</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赔处中心对于医疗纠纷调解组织不受理或终结调解的案件，应当在1个工作日内与医疗机构取得联系，告知医疗机构后续处理相关注意事项，并全程跟进。</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属于保险责任的医疗纠纷案件，由赔处中心组织专家对医疗纠纷案件进行专业评估，或组织召开医疗责任保险案件预审会对医疗纠纷案件进行专业评估，再交由医疗纠纷调解组织调解。无论采取何种方式进行评估，均需要出具《医疗责任保险案件专家评估意见书》。</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责任保险案件专家评估意见书》经医疗机构认可提供赔偿处理意见，医疗纠纷调解组织根据《医疗责任保险案件专家评估意见书》，进行调解并促成医患双方达成《调解协议书》。供应方认可调解结果并按照相关约定进行理赔。</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赔处中心应当在医患双方签订调解协议后3个工作日内将索赔材料提交首承公司，首承公司在《采购协议》约定的时效内向医疗机构或者患者支付赔款。</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第六节 司法诉讼及行政调解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医疗机构在收到法院诉讼传票后1个工作日内，应将法院传票及原告诉状扫描件发至赔处中心。</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协助医疗机构在处理医疗诉讼案件使用合作律师、自聘法律顾问时，代理律师的选定需经供应方首承公司书面或电子邮件确认。若医疗机构无合作律师或自聘法律顾问，赔处中心可以协调供应方首承公司指定代理律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赔处中心应协助督促代理律师在收到诉讼材料及相关病历资料后，于法院开庭前3个工作日完成书面应诉方案。应诉方案应当征询医疗机构和供应方首承公司的意见，取得同意后方可在诉讼中发表。</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当法院决定案件需要进行司法鉴定时，代理律师应及时通知医疗机构、供应方首承公司与赔处中心，各方应重视并共同做好司法鉴定前的准备工作。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鉴定机构出具鉴定意见后，赔处中心应当及时组织医疗机构、供应方首承公司进行讨论，医疗机构、供应方首承公司对鉴定意见有异议的，应当在法庭审理时申请鉴定人出庭质证。</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医疗机构及其代理律师收到人民法院一审判决书，应在1个工作日内转交赔处中心及首承公司。医疗机构及供应方首承公司在收到判决书之日起3个工作日内沟通协商确认是否上诉。</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不需上诉的案件及终审结案案件，赔处中心提供赔偿处理意见，并在判决书生效之日起5个工作日内将索赔材料提交首承公司，供应方首承公司在《采购协议》约定的时效内向医疗机构或者患者支付赔款。</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在选择司法调解途径前及达成司法调解协议前，应当就拟达成调解协议的内容征得供应方首承公司书面或电子邮件同意。供应方首承公司应当在司法调解达成一致意见前，与赔处中心协商并出具赔偿处理意见，医疗机构根据赔偿处理意见，参与司法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医疗纠纷案件通过行政调解途径进行处理的，其处理流程参照司法调解流程。</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应当征求且已经征求供应方首承公司意见，但供应方首承公司在规定时间内未反馈的，视为同意；应当征求但没有征求供应方首承公司意见，供应方首承公司有权对于司法诉讼及行政调解的处理结果提出不同意见。</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案件通过司法诉讼或行政调解途径解决过程中，当事人申请撤回诉讼或行政调解的，后向医疗纠纷调解组织申请第三方调解，医疗纠纷调解组织可以受理。其处理流程参照第三方调解。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医疗机构、赔处中心、供应方首承公司按照本办法《诉讼案件操作细则》，完成诉讼案件处置工作。</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案件索赔材料清单</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赔处中心应本着实事求是的原则，尊重客观事实，协助医疗机构收集并整理索赔资料。供应方首承公司及供应方成员不得以以往的工作习惯及理赔标准，对于索赔材料提出额外的要求。</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供应方首承公司应当依据下列单证进行保险赔偿，不再要求当事人提交其他单证。</w:t>
      </w:r>
      <w:r>
        <w:rPr>
          <w:rFonts w:hint="eastAsia" w:ascii="宋体" w:hAnsi="宋体" w:eastAsia="宋体" w:cs="宋体"/>
          <w:bCs/>
          <w:color w:val="auto"/>
          <w:szCs w:val="21"/>
          <w:highlight w:val="none"/>
        </w:rPr>
        <w:tab/>
      </w:r>
      <w:r/>
    </w:p>
    <w:tbl>
      <w:tblPr>
        <w:tblStyle w:val="977"/>
        <w:tblW w:w="0" w:type="auto"/>
        <w:jc w:val="center"/>
        <w:tblLayout w:type="autofit"/>
        <w:tblCellMar>
          <w:left w:w="10" w:type="dxa"/>
          <w:top w:w="10" w:type="dxa"/>
          <w:right w:w="10" w:type="dxa"/>
          <w:bottom w:w="0" w:type="dxa"/>
        </w:tblCellMar>
        <w:tblLook w:val="04A0" w:firstRow="1" w:lastRow="0" w:firstColumn="1" w:lastColumn="0" w:noHBand="0" w:noVBand="1"/>
      </w:tblPr>
      <w:tblGrid>
        <w:gridCol w:w="421"/>
        <w:gridCol w:w="4266"/>
        <w:gridCol w:w="804"/>
        <w:gridCol w:w="995"/>
        <w:gridCol w:w="995"/>
        <w:gridCol w:w="995"/>
        <w:gridCol w:w="995"/>
      </w:tblGrid>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索赔单证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自行和解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第三方调解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司法诉讼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司法调解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行政调解</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索赔申请书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医疗纠纷调解组织主持签订的医疗纠纷调解协议书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案件预审会决定书或合议会决议书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医疗技术鉴定意见书、司法过错鉴定意见书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开庭传票、司法判决书等诉讼相关文件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损失及赔偿金额计算所需单证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赔款支付通知书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案管中心认为其它有必要的单证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bl>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损失及赔偿金额计算所需单证包括：患方身份证明材料、患者的死亡证明、患者伤残等级证明、误工费及收入证明材料、医疗费用证明材料、护理费用证明材料、患者病历资料复印件、其他费用材料。</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损害赔偿项目及标准</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在《中华人民共和国民法典》及《最高人民法院关于审理人身损害赔偿案件适用法律若干问题的解释》的基础上，医疗责任保险案件涉及的医疗损害赔偿项目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w:t>
      </w:r>
      <w:r>
        <w:rPr>
          <w:rFonts w:hint="eastAsia" w:ascii="宋体" w:hAnsi="宋体" w:eastAsia="宋体" w:cs="宋体"/>
          <w:color w:val="auto"/>
          <w:szCs w:val="21"/>
          <w:highlight w:val="none"/>
        </w:rPr>
        <w:t xml:space="preserve">、交通费、住宿费、住院伙食补助费、必要的营养费、残疾辅助器具费、康复费、护理费、后续治疗费、丧葬费、精神损害抚慰金等</w:t>
      </w:r>
      <w:r>
        <w:rPr>
          <w:rFonts w:hint="eastAsia" w:ascii="宋体" w:hAnsi="宋体" w:eastAsia="宋体" w:cs="宋体"/>
          <w:bCs/>
          <w:color w:val="auto"/>
          <w:szCs w:val="21"/>
          <w:highlight w:val="none"/>
          <w:lang w:bidi="ar"/>
        </w:rPr>
        <w:t xml:space="preserve">。依照本办法《损害赔偿项目及标准细则》确定。</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按照本办法《损害赔偿项目及标准细则》约定计算的损失金额，供应方应当予以认可。</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其他事项</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发生保险事故，医疗机构在保险事故中承担的责任大小，分为全部责任、主要责任、同等责任、次要责任、轻微责任及无责，赔偿比例对应分别为91%-100%、61%-90%、41%-60%、21%-40%、20%以下以及无责任。</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对于第三方侵权（如交通事故等）合并发生医疗责任保险案件，赔偿主体除医疗机构外尚有其他主体的，医疗纠纷调解组织召开案件</w:t>
      </w:r>
      <w:r>
        <w:rPr>
          <w:rFonts w:hint="eastAsia" w:ascii="宋体" w:hAnsi="宋体" w:eastAsia="宋体" w:cs="宋体"/>
          <w:bCs/>
          <w:color w:val="auto"/>
          <w:szCs w:val="21"/>
          <w:highlight w:val="none"/>
        </w:rPr>
        <w:t xml:space="preserve">预审会</w:t>
      </w:r>
      <w:r>
        <w:rPr>
          <w:rFonts w:hint="eastAsia" w:ascii="宋体" w:hAnsi="宋体" w:eastAsia="宋体" w:cs="宋体"/>
          <w:bCs/>
          <w:color w:val="auto"/>
          <w:szCs w:val="21"/>
          <w:highlight w:val="none"/>
          <w:lang w:bidi="ar"/>
        </w:rPr>
        <w:t xml:space="preserve">时，由专家对患者外伤入院时的不良预后风险及医疗机构的医疗过错责任进行评估。供应方应按照</w:t>
      </w:r>
      <w:r>
        <w:rPr>
          <w:rFonts w:hint="eastAsia" w:ascii="宋体" w:hAnsi="宋体" w:eastAsia="宋体" w:cs="宋体"/>
          <w:bCs/>
          <w:color w:val="auto"/>
          <w:szCs w:val="21"/>
          <w:highlight w:val="none"/>
        </w:rPr>
        <w:t xml:space="preserve">《医疗责任保险案件专家评估意见书》</w:t>
      </w:r>
      <w:r>
        <w:rPr>
          <w:rFonts w:hint="eastAsia" w:ascii="宋体" w:hAnsi="宋体" w:eastAsia="宋体" w:cs="宋体"/>
          <w:bCs/>
          <w:color w:val="auto"/>
          <w:szCs w:val="21"/>
          <w:highlight w:val="none"/>
          <w:lang w:bidi="ar"/>
        </w:rPr>
        <w:t xml:space="preserve">意见，承担相应的赔偿责任，认可或出具相应的分割单，同时不得以要求患者先行处理第三方侵权事件为由拒绝赔偿或拖延赔偿。</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附则</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参与医疗责任保险案件赔偿处理的各方应当严格遵守本办法规定，如有违反，应当及时纠正，拒不纠正的视为构成对本产品的实质违约，本产品领导小组有权根据相应规定进行处理。</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本办法由《采购协议》各方共同负责制订、修改、解释。</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本办法自采购协议签订之日起施行。</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赔偿处理办法细则：</w:t>
      </w:r>
      <w:r>
        <w:rPr>
          <w:rFonts w:hint="eastAsia" w:ascii="宋体" w:hAnsi="宋体" w:eastAsia="宋体" w:cs="宋体"/>
          <w:bCs/>
          <w:color w:val="auto"/>
          <w:szCs w:val="21"/>
          <w:highlight w:val="none"/>
        </w:rPr>
        <w:t xml:space="preserve">《诉讼案件操作细则》</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赔偿处理办法细则：《损害赔偿项目及标准细则》</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赔偿处理办法细则：《诉讼案件操作细则》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1、报案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赔处中心应了解并跟进医疗机构诉讼案件处理情况，提醒医疗机构在收到法院诉讼传票后1个工作日内，将法院传票及原告诉状扫描件发至赔处中心。</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赔处中心应与医疗机构建立定期案件处理沟通机制，至少每个月与医疗机构保持沟通。保单到期前，赔处中心应将所有案件向供应方报案或备案。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2、应诉前</w:t>
      </w:r>
      <w:r/>
    </w:p>
    <w:p>
      <w:pPr>
        <w:numPr>
          <w:ilvl w:val="0"/>
          <w:numId w:val="4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代理律师选定</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疗机构在处理医疗诉讼案件使用合作律师、自聘法律顾问时，赔处中心需协助医疗机构与首承公司沟通，经首承公司书面确认后及时反馈医疗机构。规定时间内，首承公司未反馈的，视为同意。若医疗机构无合作律师或自聘法律顾问，赔处中心可以协调首承公司指定代理律师。</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赔处中心协助医疗机构向首承公司确认的内容，包括但不限于诉讼费、鉴定费、取证费、公证费、律师费、质证费及其他相关费用标准等。</w:t>
      </w:r>
      <w:r/>
    </w:p>
    <w:p>
      <w:pPr>
        <w:numPr>
          <w:ilvl w:val="0"/>
          <w:numId w:val="43"/>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诉前准备</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协调首承公司、代理律师与医疗机构，在法院开庭前就应诉工作进行沟通。属于调解转诉讼的案件，应提前与代理律师沟通医学专家评估意见，索赔材料清单等。如案件存在以下情况的，赔处中心应告知代理律师提请法院一并处理：</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1.诉讼前已产生的尸检费、鉴定费；</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2.原告（患者）存在医疗欠费；</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3.医疗机构先行垫付的医疗费或其他费用。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3、应诉中</w:t>
      </w:r>
      <w:r/>
    </w:p>
    <w:p>
      <w:pPr>
        <w:numPr>
          <w:ilvl w:val="0"/>
          <w:numId w:val="44"/>
        </w:numPr>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关注庭前调解</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与法院建立诉调对接机制的机构，要主动与法院沟通，建议法院在征得医患双方同意的前提下，委托医疗纠纷调解组织进行调解，调解过程可以请法院共同参与；如果法院单独进行调解，且医疗机构同意通过庭前调解的方式处理的，赔处中心应提前将赔付要求及医疗损害责任认定情况与医疗机构进行沟通，建议通过过错鉴定程序或者参考医疗纠纷调解组织专家评估意见，在此基础上依据专业鉴定或者评估意见进行调解；否则存在超出责任认定范围的赔偿，供应方不予理赔的风险。</w:t>
      </w:r>
      <w:r/>
    </w:p>
    <w:p>
      <w:pPr>
        <w:numPr>
          <w:ilvl w:val="0"/>
          <w:numId w:val="44"/>
        </w:numPr>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关注案件审理进程</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要及时与医院沟通，获悉法院启动对案件进行司法或者过错鉴定时，应告知首承公司，并协调医疗机构做好鉴定前材料准备工作，提醒代理律师与医疗机构应当积极参与鉴定，要选择医疗机构和患者都认可且相对客观公正的鉴定机构进行鉴定，提醒医疗机构和代理律师在鉴定过程中要主动与鉴定机构沟通诊疗情况及过程。</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要与医疗机构和代理律师保持沟通，获悉鉴定意见出具后，立即通知首承公司。如果医疗机构对鉴定意见存在异议的，建议医疗机构和代理律师在法庭审理时申请鉴定人出庭质证。如果首承公司认为鉴定结果存在明显问题且通过书面形式明确表示不认可鉴定意见的，考虑保险条款中有关于“被保险人获悉可能发生诉讼、仲裁时，应及时以书面形式通知保险人；对因未及时提供上述通知或必要协助导致扩大的损失，保险人不承担赔偿责任”约定，赔处中心要做好沟通协调工作，引导医疗机构和代理律师，在法庭审理时申请鉴定人出庭质证。</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4、应诉后</w:t>
      </w:r>
      <w:r/>
    </w:p>
    <w:p>
      <w:pPr>
        <w:numPr>
          <w:ilvl w:val="0"/>
          <w:numId w:val="45"/>
        </w:numPr>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上诉</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赔处中心获悉医疗机构签收法院一审判决文书后2个工作日内，应协调医疗机构与首承公司商议是否上诉。首承公司应评估案件二审风险，并结合医疗机构的意见，提出是否上诉的建议。</w:t>
      </w:r>
      <w:r/>
    </w:p>
    <w:p>
      <w:pPr>
        <w:numPr>
          <w:ilvl w:val="0"/>
          <w:numId w:val="45"/>
        </w:numPr>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协助索赔</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对于医疗机构最终确定不上诉的案件或终审案件，赔处中心应协助医疗机构向首承公司进行索赔，督促首承公司按照采购协议的约定，及时完成案件赔付工作，避免后续产生强制执行费等问题。</w:t>
      </w:r>
      <w:r/>
    </w:p>
    <w:p>
      <w:pPr>
        <w:numPr>
          <w:ilvl w:val="0"/>
          <w:numId w:val="45"/>
        </w:numPr>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索赔材料收集及注意事项</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赔处中心应及时提醒医疗机构、代理律师在诉讼案件结案前，及时准确收集相关索赔材料，结案后及时将案件索赔资料整理完毕并提交。在索赔资料收集时，应注意以下事项：</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1.医疗机构索赔材料。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医疗机构可以将相关证照彩色扫描件向赔处中心进行报备，若此前已报备过的，无需重复提交。医疗机构主体材料原则上每一年度报备一次。</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2.患方索赔材料。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赔处中心应告知医疗机构和代理律师，在案件审理过程中，主动向法院索要当事人身份、户籍资料复印件等相关材料。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3.法律费用索赔材料。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法律费用如由医疗机构先行垫付的，在索赔资料收集阶段，医疗机构应提供缴纳相关法律费用的发票原件或复印件。若涉及鉴定的，需提供鉴定报告原件或复印件。</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4.其他索赔材料。</w:t>
      </w:r>
      <w:r/>
    </w:p>
    <w:p>
      <w:pPr>
        <w:ind w:firstLine="420"/>
        <w:jc w:val="left"/>
        <w:spacing w:line="360" w:lineRule="auto"/>
        <w:widowControl/>
        <w:rPr>
          <w:rFonts w:hint="eastAsia" w:ascii="宋体" w:hAnsi="宋体" w:eastAsia="宋体" w:cs="宋体"/>
          <w:bCs/>
          <w:color w:val="auto"/>
          <w:szCs w:val="21"/>
          <w:highlight w:val="none"/>
          <w:lang w:bidi="ar"/>
        </w:rPr>
      </w:pPr>
      <w:r>
        <w:rPr>
          <w:rFonts w:hint="eastAsia" w:ascii="宋体" w:hAnsi="宋体" w:eastAsia="宋体" w:cs="宋体"/>
          <w:color w:val="auto"/>
          <w:szCs w:val="21"/>
          <w:highlight w:val="none"/>
        </w:rPr>
        <w:t xml:space="preserve">其他索赔材料包括但不限于传票、判决书等诉讼相关文件，以及采购协议约定的其他索赔材料。</w:t>
      </w:r>
      <w:r/>
    </w:p>
    <w:p>
      <w:pPr>
        <w:jc w:val="center"/>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赔偿处理办法细则：《损害赔偿项目及标准细则》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1、关于患者误工期的确定，按照下列标准执行。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（一）误工期起止时间的认定应当与医疗过错起止时间的认定相一致；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（二）因医疗过错致使患者疾病治疗发生迁延的住院时间，应当计入误工期；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（三）因医疗过错致使患者病休的合理时间，应当计入误工期；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患者因医疗损害构成残疾并持续误工的，误工期计算至定残日前一天；由于伤情变化，实际发生两次或两次以上伤残评定并持续误工的，误工期计算至案件处理中被采信的定残结果的定残日前一天（本处包含医疗纠纷调解组织对患者的伤残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（五）患方无法提供医疗机构开具的医学休假诊断证明的，误工期应当结合患者年龄、体质等因素，参考《人身损害误工期、护理期、营养期评定规范》（GA/T 1193-2014），在标准范围内进行综合评定（本标准中的误工期已包含住院期间的误工期）；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（六）患者在医疗过错前属无劳动能力者、未成年人、在校学生或已退休人员（未继续工作）的，不予计算误工费；对于产妇未造成产假迁延后果的，不应计算误工费。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2、关于患者误工费的计算，按照下列标准执行。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（一）患者有固定收入的，应当按照其实际减少的损失计算误工费赔偿，其误工费=误工期间应得收入－务工期间实际收入。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（二）患者无固定收入，但能证明其最近三年的平均收入状况的，其误工费=误工时间（天）×最近三年的平均收入水平（元/天）。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（三）患者无固定收入，且不能证明其最近三年的平均收入状况的，参照与患者相同或者相近行业上一年度职工平均工资计算，其误工费=误工时间（天）×相同、相近行业的上一年职工平均工资（天/元）。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1.相同或相近行业判断标准如下：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（1）产业分类标准；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（2）同一产业内的社会评价标准；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（3）以省为判断标准。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相同或相近行业职工平均工资标准以本省高级人民法院每年公布的关于适用《最高人民法院关于审理人身损害赔偿案件适用法律若干问题的解释》有关赔偿产品的费用标准为准，或以本省统计局发布的最新的国民经济和社会发展统计公报及统计年鉴中的相关统计数据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（四）患者无固定收入、不能证明其最近三年的平均收入状况，且不能确定其所属行业情况的，按本省统计局所发布的最新的城镇职工最低工资标准计算。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3、患者因医疗过错导致损害，符合下列条件之一的，应当给付患者护理费。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（一）患者护理级别在二级护理以上（含本数）；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（二）医疗机构医嘱载明需陪护的；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（三）按照《人身损害误工期、护理期、营养期评定规范》（GA/T 1193-2014）规定需计算患者护理期的；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（四）经专业评定，患者因医疗损害确需护理的（本处包含医疗纠纷调解组织对患者护理依赖程度的专业评定）；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（五）其他应当给付患者护理费的情形。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4、关于患者护理期的确定，按照下列标准执行。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（一）住院期间患者护理期的计算，其起止时间的认定应当与医疗过错起止时间的认定相一致；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（二）患者护理期的计算，结合其年龄、体质等因素，可以参考《人身损害误工期、护理期、营养期评定规范》（GA/T 1193-2014），在标准范围内进行综合评定（本标准中的护理期已包含住院期间的护理期）；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护理期应当计算至患者恢复生活自理能力时止；患者因医疗损害致残而不能恢复生活自理能力的，据其年龄、健康状况等方面确定护理期限，最长不超过20年。患者是否需要护理，根据其护理依赖程度来确定，可参照《人身损害护理依赖程度评定》（GB/T 31147-2014）相关标准。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5、关于患者护理费的计算，按照下列标准执行。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（一）护理人员有固定收入的，按其实际减少的收入计算(参照误工费相关计算标准）；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（二）护理人员无固定收入但能证明其最近三年的平均收入状况的，以其最近三年的平均收入来计算(参照误工费相关计算标准）；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（三）护理人员没有收入或雇佣护工的，参照当地护工从事同等级别护理的劳务报酬标准计算，但每日护理费应在国家统计局发布的最新服务业日工资标准内。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（四）医患双方已达成调解协议，患者出院后在护理期限尚未届满前死亡的，已支付的护理费中尚未经过的护理期限的护理费不退还。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6、患者营养费的认定，应当注意下列事项。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（一）给付营养费应当根据患者的损害或伤残的具体情况；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（二）给付营养费应当参照医疗机构意见；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（三）无医疗机构意见，根据患者损害情况确需加强营养的，营养期的认定结合患者年龄、体质等因素，参照《人身损害误工期、护理期、营养期评定规范》（GA/T 1193-2014），在标准范围内进行综合评定（本标准中的营养期已包含住院期间的营养期）。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7、患者营养费的赔偿计算，按照下列标准执行。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（一）患者提供了购买营养品的票据的，参考其损害后果、伤残情况、当地消费水平及司法判决实践等因素合理确定赔付金额；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（二）患者未提供购买营养品的票据的，根据医疗机构的建议酌情考虑，可按照当地城镇居民日平均生活费标准的40%-60%进行计算。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当地对营养费的赔偿计算有相关规定或标准的，参照当地规定或标准。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8、患者住院伙食补助费的计算，按照下列标准执行。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（二）患者住院伙食补助费的赔偿期以医疗机构责任范围内的住院天数为限。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住院伙食补助费标准参照本省国家机关一般工作人员出差伙食补助费标准计算，住院伙食补助费=住院天数×本省国家机关一般工作人员伙食补助费标准。国家机关一般工作人员出差伙食补助费标准按照财政部发布的《中央和国家机关差旅费管理办法》的相关规定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9、患方精神损害抚慰金的赔偿，应当注意下列事项。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（一）医疗损害致患者死亡、伤残的，可以给付精神损害抚慰金。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（二）医疗损害致患者其他严重后果的，可以给付精神损害抚慰金，其他严重后果的情形包括但不限于：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1.胎死宫内的；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2.损害后果对患者造成职业妨害、严重影响其劳动就业；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3.给患者造成严重身体或精神损伤或巨大痛苦等。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（三）精神损害抚慰金的赔偿数额，应当综合考虑医疗损害的过错程度、所造成后果的严重性、医疗损害的行为方式和当地平均生活水平等因素，酌情确定。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当地对精神损害赔偿有相关规定或标准的，参照当地规定或标准。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10、患者医疗费的计算，应当注意下列事项。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（一）患者主张医疗费的赔偿，应当提供医疗费的相关证明材料。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医疗费的赔偿以其因医疗损害的发生而额外支出的医疗费用为准，应当剔除其治疗原发病的费用。由于医疗损害导致原发病加重或发生相关并发症需要合并治疗，无法明确区分的，可以不剔除医疗损害发生后原发病的治疗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根据医疗证明（2-3家不低于当事医疗机构级别的当地医疗机构所出具）或者专业评定、鉴定意见确定后续治疗必然发生的费用，包括因器官功能恢复训练所必要的康复费、适当的整容费以及其他后续治疗费，可以与已经发生的医疗费一并予以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（四）患者医疗费已经医保、新农合、补充医疗保险等报销的，以报销后的医疗费为基础计算医疗费赔偿金额。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11、患者被扶养人生活费给付情况的认定，应当注意以下事项。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（一）患者因医疗损害造成死亡或伤残，且伤残等级在1级至6级（含本数）范围内的，给付被扶养人生活费；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（二）患者因医疗损害造成的伤残等级低于6级（不含本数）的，原则上不考虑被扶养人生活费，但伤残后果造成职业妨害、严重影响其劳动就业的，可以给付被扶养人生活费；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（三）被扶养人有多个扶养人的，赔偿义务人只赔偿患者依法应当负担的部分，且患方应当提供被扶养人身份证明及关系证明文件；被抚养人为成年人的，还应当提供其无劳动能力又无其他生活来源的证明。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12、患者被抚养人生活费的计算方式，按照下列标准执行。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（一）不满18周岁的被抚养人生活费＝本省城镇居民人均消费性支出×（18－实际年龄）÷对被抚养人承担抚养义务的人数；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（二）18～60周岁被抚养人无劳动能力又无其他生活来源的生活费＝本省城镇居民人均消费性支出×20年÷对被抚养人承担抚养义务的人数；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（三）60～75周岁被抚养人无劳动能力又无其他生活来源的生活费＝本省城镇居民人均消费性支出×［20－（实际年龄－60）］年÷对被抚养人承担抚养义务的人数；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（四）75周岁以上被抚养人无劳动能力又无其他生活来源的生活费＝本省城镇居民人均消费性支出×5年÷对被抚养人承担抚养义务的人数。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被抚养人有数人时，赔偿义务承担的年赔偿总额≤城镇居民人均消费性支出。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13、死亡赔偿金、残疾赔偿金及被扶养人生活费按照城镇相关标准进行计算。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生保险责任第三条范围内的保险事故，参保医疗机构在保险事故中承担的责任大小，分为全部责任、主要责任、同等责任、次要责任、轻微责任及无责，赔偿比例对应分别为91%-100%、61%-90%、41%-60%、21%-40%、20%以下以及零责任。</w:t>
      </w:r>
      <w:r/>
    </w:p>
    <w:p>
      <w:pPr>
        <w:numPr>
          <w:ilvl w:val="0"/>
          <w:numId w:val="46"/>
        </w:numPr>
        <w:ind w:firstLine="480"/>
        <w:jc w:val="left"/>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医疗责任保险相关工作流程</w:t>
      </w:r>
      <w:r/>
    </w:p>
    <w:p>
      <w:pPr>
        <w:jc w:val="center"/>
        <w:spacing w:after="120" w:line="360" w:lineRule="auto"/>
        <w:widowControl w:val="off"/>
        <w:rPr>
          <w:rFonts w:hint="eastAsia" w:ascii="宋体" w:hAnsi="宋体" w:eastAsia="宋体" w:cs="宋体"/>
          <w:b/>
          <w:bCs/>
          <w:color w:val="auto"/>
          <w:sz w:val="21"/>
          <w:szCs w:val="21"/>
          <w:highlight w:val="none"/>
          <w:lang w:val="en-US" w:eastAsia="zh-CN" w:bidi="ar-SA"/>
        </w:rPr>
      </w:pPr>
      <w:r/>
      <w:bookmarkStart w:id="350" w:name="_Toc23884"/>
      <w:r>
        <w:rPr>
          <w:rFonts w:hint="eastAsia" w:ascii="宋体" w:hAnsi="宋体" w:eastAsia="宋体" w:cs="宋体"/>
          <w:b/>
          <w:bCs/>
          <w:color w:val="auto"/>
          <w:sz w:val="21"/>
          <w:szCs w:val="21"/>
          <w:highlight w:val="none"/>
          <w:lang w:val="en-US" w:eastAsia="zh-CN" w:bidi="ar-SA"/>
        </w:rPr>
        <w:t xml:space="preserve">第一部分 医疗责任保险相关工作流程</w:t>
      </w:r>
      <w:bookmarkEnd w:id="350"/>
      <w:r/>
      <w:r/>
    </w:p>
    <w:p>
      <w:pPr>
        <w:ind w:firstLine="420"/>
        <w:spacing w:line="360" w:lineRule="auto"/>
        <w:rPr>
          <w:rFonts w:hint="eastAsia" w:ascii="宋体" w:hAnsi="宋体" w:eastAsia="宋体" w:cs="宋体"/>
          <w:color w:val="auto"/>
          <w:szCs w:val="21"/>
          <w:highlight w:val="none"/>
        </w:rPr>
      </w:pPr>
      <w:r/>
      <w:bookmarkStart w:id="351" w:name="_Toc2852"/>
      <w:r>
        <w:rPr>
          <w:rFonts w:hint="eastAsia" w:ascii="宋体" w:hAnsi="宋体" w:eastAsia="宋体" w:cs="宋体"/>
          <w:color w:val="auto"/>
          <w:szCs w:val="21"/>
          <w:highlight w:val="none"/>
        </w:rPr>
        <w:t xml:space="preserve">1、填写投保信息</w:t>
      </w:r>
      <w:bookmarkEnd w:id="351"/>
      <w:r/>
      <w:r/>
    </w:p>
    <w:p>
      <w:pPr>
        <w:ind w:firstLine="420"/>
        <w:spacing w:line="360" w:lineRule="auto"/>
        <w:rPr>
          <w:rFonts w:hint="eastAsia" w:ascii="宋体" w:hAnsi="宋体" w:eastAsia="宋体" w:cs="宋体"/>
          <w:color w:val="auto"/>
          <w:szCs w:val="21"/>
          <w:highlight w:val="none"/>
        </w:rPr>
      </w:pPr>
      <w:r/>
      <w:bookmarkStart w:id="352" w:name="_Toc29674"/>
      <w:r>
        <w:rPr>
          <w:rFonts w:hint="eastAsia" w:ascii="宋体" w:hAnsi="宋体" w:eastAsia="宋体" w:cs="宋体"/>
          <w:color w:val="auto"/>
          <w:szCs w:val="21"/>
          <w:highlight w:val="none"/>
        </w:rPr>
        <w:t xml:space="preserve">现场投保</w:t>
      </w:r>
      <w:bookmarkEnd w:id="352"/>
      <w:r>
        <w:rPr>
          <w:rFonts w:hint="eastAsia" w:ascii="宋体" w:hAnsi="宋体" w:eastAsia="宋体" w:cs="宋体"/>
          <w:color w:val="auto"/>
          <w:szCs w:val="21"/>
          <w:highlight w:val="none"/>
        </w:rPr>
        <w:t xml:space="preserve">：江泰保险经纪客户经理向医院进行保险产品说明并告知保险合同的基本内容，协助填写投保单信息。医疗机构在投保单、事业单位法人证、执业许可证复印件上加盖公章后提交给江泰公司经纪。经纪人将投保单信息录入卫健网。</w:t>
      </w:r>
      <w:r/>
    </w:p>
    <w:p>
      <w:pPr>
        <w:ind w:firstLine="420"/>
        <w:spacing w:line="360" w:lineRule="auto"/>
        <w:rPr>
          <w:rFonts w:hint="eastAsia" w:ascii="宋体" w:hAnsi="宋体" w:eastAsia="宋体" w:cs="宋体"/>
          <w:color w:val="auto"/>
          <w:szCs w:val="21"/>
          <w:highlight w:val="none"/>
        </w:rPr>
      </w:pPr>
      <w:r/>
      <w:bookmarkStart w:id="353" w:name="_Toc6764"/>
      <w:r>
        <w:rPr>
          <w:rFonts w:hint="eastAsia" w:ascii="宋体" w:hAnsi="宋体" w:eastAsia="宋体" w:cs="宋体"/>
          <w:color w:val="auto"/>
          <w:szCs w:val="21"/>
          <w:highlight w:val="none"/>
        </w:rPr>
        <w:t xml:space="preserve">2、支付保险费</w:t>
      </w:r>
      <w:bookmarkEnd w:id="35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医院将保险费以转账/汇款/支票的方式划付/供应方</w:t>
      </w:r>
      <w:r>
        <w:rPr>
          <w:rFonts w:hint="eastAsia" w:ascii="宋体" w:hAnsi="宋体" w:eastAsia="宋体" w:cs="宋体"/>
          <w:bCs/>
          <w:color w:val="auto"/>
          <w:szCs w:val="21"/>
          <w:highlight w:val="none"/>
        </w:rPr>
        <w:t xml:space="preserve">出单公司</w:t>
      </w:r>
      <w:r>
        <w:rPr>
          <w:rFonts w:hint="eastAsia" w:ascii="宋体" w:hAnsi="宋体" w:eastAsia="宋体" w:cs="宋体"/>
          <w:color w:val="auto"/>
          <w:szCs w:val="21"/>
          <w:highlight w:val="none"/>
        </w:rPr>
        <w:t xml:space="preserve">指定的统一保险费专收帐户。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账户信息如下：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账户名：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 </w:t>
      </w:r>
      <w:r/>
    </w:p>
    <w:p>
      <w:pPr>
        <w:ind w:firstLine="420"/>
        <w:spacing w:line="360" w:lineRule="auto"/>
        <w:rPr>
          <w:rFonts w:hint="eastAsia" w:ascii="宋体" w:hAnsi="宋体" w:eastAsia="宋体" w:cs="宋体"/>
          <w:color w:val="auto"/>
          <w:szCs w:val="21"/>
          <w:highlight w:val="none"/>
        </w:rPr>
      </w:pPr>
      <w:r/>
      <w:bookmarkStart w:id="354" w:name="_Toc29428"/>
      <w:r>
        <w:rPr>
          <w:rFonts w:hint="eastAsia" w:ascii="宋体" w:hAnsi="宋体" w:eastAsia="宋体" w:cs="宋体"/>
          <w:color w:val="auto"/>
          <w:szCs w:val="21"/>
          <w:highlight w:val="none"/>
        </w:rPr>
        <w:t xml:space="preserve">3、出具保险单电子版</w:t>
      </w:r>
      <w:bookmarkEnd w:id="35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供应方在收到保费后生成保险单电子版，将保险单电子版以数据报文的形式返回卫健网，卫健网系统自动将保险单电子版发送至江泰公司邮箱或江泰公司登录卫健网下载。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如果存在报文发送不成功时，供应方应及时补发。</w:t>
      </w:r>
      <w:r/>
    </w:p>
    <w:p>
      <w:pPr>
        <w:ind w:firstLine="420"/>
        <w:spacing w:line="360" w:lineRule="auto"/>
        <w:rPr>
          <w:rFonts w:hint="eastAsia" w:ascii="宋体" w:hAnsi="宋体" w:eastAsia="宋体" w:cs="宋体"/>
          <w:color w:val="auto"/>
          <w:szCs w:val="21"/>
          <w:highlight w:val="none"/>
        </w:rPr>
      </w:pPr>
      <w:r/>
      <w:bookmarkStart w:id="355" w:name="_Toc6306"/>
      <w:r>
        <w:rPr>
          <w:rFonts w:hint="eastAsia" w:ascii="宋体" w:hAnsi="宋体" w:eastAsia="宋体" w:cs="宋体"/>
          <w:color w:val="auto"/>
          <w:szCs w:val="21"/>
          <w:highlight w:val="none"/>
        </w:rPr>
        <w:t xml:space="preserve">4、审核保险单</w:t>
      </w:r>
      <w:bookmarkEnd w:id="35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江泰保险经纪审核供应方发送的保险单电子版，审核无误后，向医疗机构注册邮箱发送保险单电子版，同时向医疗机构投保联系人预留手机发送出单成功的信息。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审核保险单发现有错误的立即通知供应方，供应方应在2个工作日内重新出单或出具批单。保单修改期间，发生的保险事故，供应方承担保险责任。</w:t>
      </w:r>
      <w:r/>
    </w:p>
    <w:p>
      <w:pPr>
        <w:ind w:firstLine="420"/>
        <w:spacing w:line="360" w:lineRule="auto"/>
        <w:rPr>
          <w:rFonts w:hint="eastAsia" w:ascii="宋体" w:hAnsi="宋体" w:eastAsia="宋体" w:cs="宋体"/>
          <w:color w:val="auto"/>
          <w:szCs w:val="21"/>
          <w:highlight w:val="none"/>
        </w:rPr>
      </w:pPr>
      <w:r/>
      <w:bookmarkStart w:id="356" w:name="_Toc8055"/>
      <w:r>
        <w:rPr>
          <w:rFonts w:hint="eastAsia" w:ascii="宋体" w:hAnsi="宋体" w:eastAsia="宋体" w:cs="宋体"/>
          <w:color w:val="auto"/>
          <w:szCs w:val="21"/>
          <w:highlight w:val="none"/>
        </w:rPr>
        <w:t xml:space="preserve">5、递送保险单和保费发票</w:t>
      </w:r>
      <w:bookmarkEnd w:id="35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供应方收到出单指示后，应于2个工作日内完成纸质保险单出单，并将保险单、全额保险费发票送达江泰保险经纪。并于两个工作日内将保险单、全额保险费发票递送给医院。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供应方出具的纸质保单与电子保单所载订立保险合同的时间等信息应完全一致。</w:t>
      </w:r>
      <w:r/>
    </w:p>
    <w:p>
      <w:pPr>
        <w:jc w:val="center"/>
        <w:spacing w:after="120" w:line="360" w:lineRule="auto"/>
        <w:widowControl w:val="off"/>
        <w:rPr>
          <w:rFonts w:hint="eastAsia" w:ascii="宋体" w:hAnsi="宋体" w:eastAsia="宋体" w:cs="宋体"/>
          <w:b/>
          <w:bCs/>
          <w:color w:val="auto"/>
          <w:sz w:val="21"/>
          <w:szCs w:val="21"/>
          <w:highlight w:val="none"/>
          <w:lang w:val="en-US" w:eastAsia="zh-CN" w:bidi="ar-SA"/>
        </w:rPr>
      </w:pPr>
      <w:r/>
      <w:bookmarkStart w:id="357" w:name="_Toc21068"/>
      <w:r>
        <w:rPr>
          <w:rFonts w:hint="eastAsia" w:ascii="宋体" w:hAnsi="宋体" w:eastAsia="宋体" w:cs="宋体"/>
          <w:b/>
          <w:bCs/>
          <w:color w:val="auto"/>
          <w:sz w:val="21"/>
          <w:szCs w:val="21"/>
          <w:highlight w:val="none"/>
          <w:lang w:val="en-US" w:eastAsia="zh-CN" w:bidi="ar-SA"/>
        </w:rPr>
        <w:t xml:space="preserve">第二部分 医疗责任保险系统对接流程</w:t>
      </w:r>
      <w:bookmarkEnd w:id="357"/>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认可江泰保险经纪为本产品投保、批改、查询、业务结算、网上对账、赔案处理等开发的业务系统（卫健网）,并确保供应方出单公司核心业务系统与经纪人业务系统（卫健网）实现“一对一”对接。供应方同意使用经纪人开发的网上业务对账功能，要求出单公司及出发票公司登录卫健网及时录入、查询、更新保费到账信息、开具发票信息、保费划转信息、共保体内保单信息、佣金发票信息、佣金结算、赔款分摊等信息。</w:t>
      </w:r>
      <w:r/>
    </w:p>
    <w:p>
      <w:pPr>
        <w:ind w:firstLine="420"/>
        <w:spacing w:line="360" w:lineRule="auto"/>
        <w:rPr>
          <w:rFonts w:hint="eastAsia" w:ascii="宋体" w:hAnsi="宋体" w:eastAsia="宋体" w:cs="宋体"/>
          <w:color w:val="auto"/>
          <w:szCs w:val="21"/>
          <w:highlight w:val="none"/>
        </w:rPr>
      </w:pPr>
      <w:r/>
      <w:bookmarkStart w:id="358" w:name="_Toc5892"/>
      <w:r>
        <w:rPr>
          <w:rFonts w:hint="eastAsia" w:ascii="宋体" w:hAnsi="宋体" w:eastAsia="宋体" w:cs="宋体"/>
          <w:color w:val="auto"/>
          <w:szCs w:val="21"/>
          <w:highlight w:val="none"/>
        </w:rPr>
        <w:t xml:space="preserve">1、系统对接方式</w:t>
      </w:r>
      <w:bookmarkEnd w:id="358"/>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江泰保险经纪负责承建、运营的医疗责任保险业务系统（卫健网）与供应方的业务系统之间采取xml报文格式为主、邮件为辅的方式进行数据交换。</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xml报文格式来进行的数据传输内容主要包括投保数据、供应方的保单数据、理赔数据、业务结算数据等内容。即在投保时由卫健网业务系统向供应方发送xml格式的投保数据，供应方接收投保数据，并发送数据接收回执；供应方出单公司在进行核保、承保完成时，由供应方出单公司的信息系统向卫健网业务系统返回保单号及电子保单或保单影印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作为辅助方式，卫健网业务系统通过邮件向供应方发送投保单数据，投保单数据作为邮件附件、以HTML格式进行发送。</w:t>
      </w:r>
      <w:r/>
    </w:p>
    <w:p>
      <w:pPr>
        <w:numPr>
          <w:ilvl w:val="0"/>
          <w:numId w:val="4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数据报文格式</w:t>
      </w:r>
      <w:r/>
    </w:p>
    <w:tbl>
      <w:tblPr>
        <w:tblStyle w:val="97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826"/>
        <w:gridCol w:w="1939"/>
        <w:gridCol w:w="6900"/>
      </w:tblGrid>
      <w:tr>
        <w:trPr>
          <w:jc w:val="center"/>
          <w:trHeight w:val="464"/>
        </w:trPr>
        <w:tc>
          <w:tcPr>
            <w:shd w:val="clear" w:color="auto" w:fill="d9d9d9"/>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shd w:val="clear" w:color="auto" w:fill="d9d9d9"/>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要求</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数据传输系统</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基于web service方式以约定的XML报文格式进行数据传输</w:t>
            </w:r>
            <w:r/>
          </w:p>
        </w:tc>
      </w:tr>
      <w:tr>
        <w:trPr>
          <w:jc w:val="center"/>
          <w:trHeight w:val="1371"/>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传输内容</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投保单信息（经纪人向供应方发送）、保单信息（供应方出单公司向经纪人发送）、批单申请信息（经纪人向供应方发送）、批单批复信息（供应方出单公司向经纪人发送）等</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数据报文格式</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经纪人制定、各方协商</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通信协议</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http/https</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数字签名</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具有合法的数字证书，对所传输数据进行数字签名和验签</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数据重发机制</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w:t>
            </w:r>
            <w:r/>
          </w:p>
        </w:tc>
      </w:tr>
      <w:tr>
        <w:trPr>
          <w:jc w:val="center"/>
          <w:trHeight w:val="91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数据发送频度</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经纪人实时向供应方发送；供应方出单公司接收投保数据后，及时向经纪人发送医疗机构投保单号、保单号、电子保单数据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数据接收频度</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经纪人实时接收，供应方实时接收</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网络电路形式</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互联网/专线</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系统自动核保</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w:t>
            </w:r>
            <w:r/>
          </w:p>
        </w:tc>
      </w:tr>
      <w:tr>
        <w:trPr>
          <w:jc w:val="center"/>
          <w:trHeight w:val="91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短信平台</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供应方在投保/承保成功后向经纪人、医疗机构发送投保单号、保单号的短信</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报文发送对象</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由经纪人向供应方各成员发送报文</w:t>
            </w:r>
            <w:r/>
          </w:p>
        </w:tc>
      </w:tr>
      <w:tr>
        <w:trPr>
          <w:jc w:val="center"/>
          <w:trHeight w:val="138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保费计算</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由经纪人计算供应方各成员保费，供应方各成员不再单独计算。供应方出单公司保费=总保费-供应方各成员保费。供应方各成员保费按约定比例计算。</w:t>
            </w:r>
            <w:r/>
          </w:p>
        </w:tc>
      </w:tr>
    </w:tbl>
    <w:p>
      <w:pPr>
        <w:numPr>
          <w:ilvl w:val="0"/>
          <w:numId w:val="4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邮件格式</w:t>
      </w:r>
      <w:r/>
    </w:p>
    <w:tbl>
      <w:tblPr>
        <w:tblStyle w:val="97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22"/>
        <w:gridCol w:w="2151"/>
        <w:gridCol w:w="5651"/>
        <w:gridCol w:w="1039"/>
      </w:tblGrid>
      <w:tr>
        <w:trPr>
          <w:jc w:val="center"/>
          <w:trHeight w:val="420"/>
        </w:trPr>
        <w:tc>
          <w:tcPr>
            <w:shd w:val="clear" w:color="auto" w:fill="d9d9d9"/>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shd w:val="clear" w:color="auto" w:fill="d9d9d9"/>
            <w:tcBorders>
              <w:top w:val="single" w:color="000000" w:sz="4" w:space="0"/>
              <w:left w:val="none" w:color="000000" w:sz="4" w:space="0"/>
              <w:bottom w:val="single" w:color="000000" w:sz="4" w:space="0"/>
              <w:right w:val="single" w:color="000000" w:sz="4" w:space="0"/>
            </w:tcBorders>
            <w:tcW w:w="29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要求</w:t>
            </w:r>
            <w:r/>
          </w:p>
        </w:tc>
        <w:tc>
          <w:tcPr>
            <w:shd w:val="clear" w:color="auto" w:fill="d9d9d9"/>
            <w:tcBorders>
              <w:top w:val="single" w:color="000000" w:sz="4" w:space="0"/>
              <w:left w:val="none" w:color="000000" w:sz="4" w:space="0"/>
              <w:bottom w:val="single" w:color="000000" w:sz="4" w:space="0"/>
              <w:right w:val="single" w:color="000000" w:sz="4" w:space="0"/>
            </w:tcBorders>
            <w:tcW w:w="5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1242"/>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经纪人提供的邮箱</w:t>
            </w:r>
            <w:r/>
          </w:p>
        </w:tc>
        <w:tc>
          <w:tcPr>
            <w:tcBorders>
              <w:top w:val="single" w:color="000000" w:sz="4" w:space="0"/>
              <w:left w:val="none" w:color="000000" w:sz="4" w:space="0"/>
              <w:bottom w:val="single" w:color="000000" w:sz="4" w:space="0"/>
              <w:right w:val="single" w:color="000000" w:sz="4" w:space="0"/>
            </w:tcBorders>
            <w:tcW w:w="2927"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为确保供应方及时收到有关投保信息，经纪人可为供应方出单公司、供应方各成员提供经纪人邮箱，即后缀为</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"mailto:@jiangtai.com"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@jiangtai.com</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的邮箱</w:t>
            </w:r>
            <w:r/>
          </w:p>
        </w:tc>
        <w:tc>
          <w:tcPr>
            <w:tcBorders>
              <w:top w:val="single" w:color="000000" w:sz="4" w:space="0"/>
              <w:left w:val="none" w:color="000000" w:sz="4" w:space="0"/>
              <w:bottom w:val="single" w:color="000000" w:sz="4" w:space="0"/>
              <w:right w:val="single" w:color="000000" w:sz="4" w:space="0"/>
            </w:tcBorders>
            <w:tcW w:w="538"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供应方自有邮箱</w:t>
            </w:r>
            <w:r/>
          </w:p>
        </w:tc>
        <w:tc>
          <w:tcPr>
            <w:tcBorders>
              <w:top w:val="single" w:color="000000" w:sz="4" w:space="0"/>
              <w:left w:val="none" w:color="000000" w:sz="4" w:space="0"/>
              <w:bottom w:val="single" w:color="000000" w:sz="4" w:space="0"/>
              <w:right w:val="single" w:color="000000" w:sz="4" w:space="0"/>
            </w:tcBorders>
            <w:tcW w:w="2927"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邮箱大小至少为2G，可收邮件附件大小至少为5M。</w:t>
            </w:r>
            <w:r/>
          </w:p>
        </w:tc>
        <w:tc>
          <w:tcPr>
            <w:tcBorders>
              <w:top w:val="single" w:color="000000" w:sz="4" w:space="0"/>
              <w:left w:val="none" w:color="000000" w:sz="4" w:space="0"/>
              <w:bottom w:val="single" w:color="000000" w:sz="4" w:space="0"/>
              <w:right w:val="single" w:color="000000" w:sz="4" w:space="0"/>
            </w:tcBorders>
            <w:tcW w:w="538"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bookmarkStart w:id="359" w:name="_Toc22438"/>
      <w:r>
        <w:rPr>
          <w:rFonts w:hint="eastAsia" w:ascii="宋体" w:hAnsi="宋体" w:eastAsia="宋体" w:cs="宋体"/>
          <w:color w:val="auto"/>
          <w:szCs w:val="21"/>
          <w:highlight w:val="none"/>
        </w:rPr>
        <w:t xml:space="preserve">2、数据交换范围</w:t>
      </w:r>
      <w:bookmarkEnd w:id="359"/>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投保信息录入完成后，由卫健网业务系统向供应方出单公司和供应方各成员发送xml格式的投保数据，但只接收供应方出单公司的数据接收回执，供应方各成员不必发送数据接收回执。</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若供应方出单公司未能及时收到投保信息的报文数据，由卫健网业务系统向供应方出单公司重发投保数据报文。若供应方各成员未能及时收到投保信息的报文数据，可登录卫健网业务系统实时查询投保数据。</w:t>
      </w:r>
      <w:r/>
    </w:p>
    <w:p>
      <w:pPr>
        <w:ind w:firstLine="420"/>
        <w:spacing w:line="360" w:lineRule="auto"/>
        <w:rPr>
          <w:rFonts w:hint="eastAsia" w:ascii="宋体" w:hAnsi="宋体" w:eastAsia="宋体" w:cs="宋体"/>
          <w:color w:val="auto"/>
          <w:szCs w:val="21"/>
          <w:highlight w:val="none"/>
        </w:rPr>
      </w:pPr>
      <w:r/>
      <w:bookmarkStart w:id="360" w:name="_Toc13838"/>
      <w:r>
        <w:rPr>
          <w:rFonts w:hint="eastAsia" w:ascii="宋体" w:hAnsi="宋体" w:eastAsia="宋体" w:cs="宋体"/>
          <w:color w:val="auto"/>
          <w:szCs w:val="21"/>
          <w:highlight w:val="none"/>
        </w:rPr>
        <w:t xml:space="preserve">3、数据交换的安全保障</w:t>
      </w:r>
      <w:bookmarkEnd w:id="360"/>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卫健网业务系统向供应方发送xml格式的报文数据时，使用专门的数字证书对所发送的数据进行数字证书加签，供应方使用相配套的数字证书对所接收的报文进行解签。</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条件具备时可考虑建立专线的方式进行数据交换。</w:t>
      </w:r>
      <w:r/>
    </w:p>
    <w:p>
      <w:pPr>
        <w:ind w:firstLine="420"/>
        <w:spacing w:line="360" w:lineRule="auto"/>
        <w:rPr>
          <w:rFonts w:hint="eastAsia" w:ascii="宋体" w:hAnsi="宋体" w:eastAsia="宋体" w:cs="宋体"/>
          <w:color w:val="auto"/>
          <w:szCs w:val="21"/>
          <w:highlight w:val="none"/>
        </w:rPr>
      </w:pPr>
      <w:r/>
      <w:bookmarkStart w:id="361" w:name="_Toc5085"/>
      <w:r>
        <w:rPr>
          <w:rFonts w:hint="eastAsia" w:ascii="宋体" w:hAnsi="宋体" w:eastAsia="宋体" w:cs="宋体"/>
          <w:color w:val="auto"/>
          <w:szCs w:val="21"/>
          <w:highlight w:val="none"/>
        </w:rPr>
        <w:t xml:space="preserve">4、防火墙设置</w:t>
      </w:r>
      <w:bookmarkEnd w:id="361"/>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江泰保险经纪与供应方因数据交换所需开放的防火墙原则上采取点对点的开放策略。</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江泰保险经纪目前的服务器IP、端口另行告知。</w:t>
      </w:r>
      <w:r/>
    </w:p>
    <w:p>
      <w:pPr>
        <w:ind w:firstLine="420"/>
        <w:spacing w:line="360" w:lineRule="auto"/>
        <w:rPr>
          <w:rFonts w:hint="eastAsia" w:ascii="宋体" w:hAnsi="宋体" w:eastAsia="宋体" w:cs="宋体"/>
          <w:color w:val="auto"/>
          <w:szCs w:val="21"/>
          <w:highlight w:val="none"/>
        </w:rPr>
      </w:pPr>
      <w:r/>
      <w:bookmarkStart w:id="362" w:name="_Toc16781"/>
      <w:r>
        <w:rPr>
          <w:rFonts w:hint="eastAsia" w:ascii="宋体" w:hAnsi="宋体" w:eastAsia="宋体" w:cs="宋体"/>
          <w:color w:val="auto"/>
          <w:szCs w:val="21"/>
          <w:highlight w:val="none"/>
        </w:rPr>
        <w:t xml:space="preserve">5、时间要求</w:t>
      </w:r>
      <w:bookmarkEnd w:id="362"/>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供应方各成员的信息系统、系统对接工作均须在采购协议签署之后X个月内完成开发、调试、上线，能够实现投产、在线出单。</w:t>
      </w:r>
      <w:r/>
    </w:p>
    <w:p>
      <w:pPr>
        <w:jc w:val="center"/>
        <w:spacing w:after="120" w:line="360" w:lineRule="auto"/>
        <w:widowControl w:val="off"/>
        <w:rPr>
          <w:rFonts w:hint="eastAsia" w:ascii="宋体" w:hAnsi="宋体" w:eastAsia="宋体" w:cs="宋体"/>
          <w:b/>
          <w:color w:val="auto"/>
          <w:sz w:val="21"/>
          <w:szCs w:val="21"/>
          <w:highlight w:val="none"/>
          <w:lang w:val="en-US" w:eastAsia="zh-CN" w:bidi="ar-SA"/>
        </w:rPr>
      </w:pPr>
      <w:r/>
      <w:bookmarkStart w:id="363" w:name="_Toc3225"/>
      <w:r>
        <w:rPr>
          <w:rFonts w:hint="eastAsia" w:ascii="宋体" w:hAnsi="宋体" w:eastAsia="宋体" w:cs="宋体"/>
          <w:b/>
          <w:bCs/>
          <w:color w:val="auto"/>
          <w:sz w:val="21"/>
          <w:szCs w:val="21"/>
          <w:highlight w:val="none"/>
          <w:lang w:val="en-US" w:eastAsia="zh-CN" w:bidi="ar-SA"/>
        </w:rPr>
        <w:t xml:space="preserve">第三部分 医疗责任保险佣金结算流程</w:t>
      </w:r>
      <w:bookmarkEnd w:id="36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1、医疗责任保险经纪佣金比例为：总保险费（含税）的18%；</w:t>
      </w:r>
      <w:r/>
    </w:p>
    <w:p>
      <w:pPr>
        <w:numPr>
          <w:ilvl w:val="0"/>
          <w:numId w:val="4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本产品保险经纪佣金比例以总保费（含增值税）为基数计算其中“总保费”是指保险单签单保费的“保险费合计”金额或保费增值税发票中“价税合计”金额；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如供应方因自身系统原因无法调整为上述佣金计算方式，则保险经纪佣金计算方法为：保费金额（不含增值税）×18%×（1+0.06）。</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1.本协议签署后，保险经纪佣金支付比例和支付方式不因其它因素而改变。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2.若供应方收到经纪费发票后，逾期未支付佣金，则自愿从应支付日起，每日按应付佣金额的0.5%加付佣金。</w:t>
      </w:r>
      <w:r/>
    </w:p>
    <w:p>
      <w:pPr>
        <w:ind w:firstLine="420"/>
        <w:spacing w:line="360" w:lineRule="auto"/>
        <w:rPr>
          <w:rFonts w:hint="eastAsia" w:ascii="宋体" w:hAnsi="宋体" w:eastAsia="宋体" w:cs="宋体"/>
          <w:color w:val="auto"/>
          <w:szCs w:val="21"/>
          <w:highlight w:val="none"/>
        </w:rPr>
      </w:pPr>
      <w:r/>
      <w:bookmarkStart w:id="364" w:name="_Toc29388"/>
      <w:r>
        <w:rPr>
          <w:rFonts w:hint="eastAsia" w:ascii="宋体" w:hAnsi="宋体" w:eastAsia="宋体" w:cs="宋体"/>
          <w:color w:val="auto"/>
          <w:szCs w:val="21"/>
          <w:highlight w:val="none"/>
        </w:rPr>
        <w:t xml:space="preserve">2、佣金结算流程</w:t>
      </w:r>
      <w:bookmarkEnd w:id="364"/>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江泰保险经纪在医院缴纳保费下个月10日（遇国家法定节假日顺延）前，将业务结算表（电子版表格）发送供应方。</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供应方于5日（遇国家法定节假日顺延）前将核对无误并签章的业务结算表（扫描件PDF）发送经纪人（未按时回复的视同同意按照结算表的数据支付佣金）。</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江泰保险经纪收到供应方发送的业务结算表后，向供应方开具付款事由为“经纪费”的保险中介服务统一发票。</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供应方在收到佣金发票后5日（遇国家法定节假日顺延）内，按发票金额将经纪佣金划入指定的经纪佣金结算账户。</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对于业务结算核对有异议的，供应方应就核对无异议部分先行向经纪公司支付佣金，后续核对工作双方必须在当月20日之前完成。当年的佣金于年底（每年的12月31日前）结清。</w:t>
      </w:r>
      <w:r/>
    </w:p>
    <w:p>
      <w:pPr>
        <w:ind w:firstLine="480"/>
        <w:jc w:val="left"/>
        <w:widowControl w:val="off"/>
        <w:rPr>
          <w:rFonts w:hint="eastAsia" w:ascii="Times New Roman" w:hAnsi="Times New Roman" w:eastAsia="宋体" w:cs="Times New Roman"/>
          <w:b/>
          <w:bCs/>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经纪佣金计算方法为：供应方应支付的佣金在计算过程中采取四舍五入的原则，如本产品最终采用多家保险公司共同承保的方式,计算方法为：供应方各成员所分配保费*佣金比例，计算结果保留两位小数。</w:t>
      </w:r>
      <w:r/>
    </w:p>
    <w:p>
      <w:pPr>
        <w:ind w:firstLine="422"/>
        <w:jc w:val="left"/>
        <w:keepLines w:val="0"/>
        <w:keepNext w:val="0"/>
        <w:pageBreakBefore w:val="0"/>
        <w:spacing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ind w:firstLine="422"/>
        <w:jc w:val="left"/>
        <w:keepLines w:val="0"/>
        <w:keepNext w:val="0"/>
        <w:pageBreakBefore w:val="0"/>
        <w:spacing w:line="360" w:lineRule="auto"/>
        <w:rPr>
          <w:rFonts w:ascii="宋体" w:hAnsi="宋体" w:eastAsia="Times New Roman"/>
          <w:color w:val="auto"/>
          <w:sz w:val="21"/>
          <w:szCs w:val="21"/>
          <w:highlight w:val="none"/>
        </w:rPr>
      </w:pPr>
      <w:r>
        <w:rPr>
          <w:rFonts w:hint="eastAsia" w:ascii="宋体" w:hAnsi="宋体" w:cs="宋体"/>
          <w:b/>
          <w:bCs/>
          <w:color w:val="auto"/>
          <w:sz w:val="21"/>
          <w:szCs w:val="21"/>
          <w:highlight w:val="none"/>
        </w:rPr>
        <w:t xml:space="preserve">三、商务</w:t>
      </w:r>
      <w:r>
        <w:rPr>
          <w:rFonts w:hint="eastAsia" w:ascii="宋体" w:hAnsi="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rPr>
        <w:t xml:space="preserve">需求</w:t>
      </w:r>
      <w:r/>
    </w:p>
    <w:p>
      <w:pPr>
        <w:ind w:firstLine="450"/>
        <w:jc w:val="left"/>
        <w:keepLines w:val="0"/>
        <w:keepNext w:val="0"/>
        <w:pageBreakBefore w:val="0"/>
        <w:spacing w:line="360" w:lineRule="auto"/>
        <w:widowControl/>
        <w:rPr>
          <w:rFonts w:ascii="宋体" w:hAnsi="宋体" w:eastAsia="宋体" w:cs="宋体"/>
          <w:b/>
          <w:bCs/>
          <w:color w:val="auto"/>
          <w:spacing w:val="7"/>
          <w:sz w:val="21"/>
          <w:szCs w:val="21"/>
          <w:highlight w:val="none"/>
          <w:lang w:val="en-US" w:eastAsia="zh-CN"/>
        </w:rPr>
      </w:pPr>
      <w:r>
        <w:rPr>
          <w:rFonts w:ascii="宋体" w:hAnsi="宋体" w:cs="宋体"/>
          <w:b/>
          <w:bCs/>
          <w:color w:val="auto"/>
          <w:spacing w:val="7"/>
          <w:sz w:val="21"/>
          <w:szCs w:val="21"/>
          <w:highlight w:val="none"/>
        </w:rPr>
        <w:t xml:space="preserve">1</w:t>
      </w:r>
      <w:r>
        <w:rPr>
          <w:rFonts w:hint="eastAsia" w:ascii="宋体" w:hAnsi="宋体" w:cs="宋体"/>
          <w:b/>
          <w:bCs/>
          <w:color w:val="auto"/>
          <w:spacing w:val="7"/>
          <w:sz w:val="21"/>
          <w:szCs w:val="21"/>
          <w:highlight w:val="none"/>
          <w:lang w:eastAsia="zh-CN"/>
        </w:rPr>
        <w:t xml:space="preserve">、</w:t>
      </w:r>
      <w:r>
        <w:rPr>
          <w:rFonts w:ascii="宋体" w:hAnsi="宋体" w:cs="宋体"/>
          <w:b/>
          <w:bCs/>
          <w:color w:val="auto"/>
          <w:spacing w:val="7"/>
          <w:sz w:val="21"/>
          <w:szCs w:val="21"/>
          <w:highlight w:val="none"/>
        </w:rPr>
        <w:t xml:space="preserve">服务期限</w:t>
      </w:r>
      <w:r>
        <w:rPr>
          <w:rFonts w:hint="eastAsia" w:ascii="宋体" w:hAnsi="宋体" w:cs="宋体"/>
          <w:b/>
          <w:bCs/>
          <w:color w:val="auto"/>
          <w:spacing w:val="7"/>
          <w:sz w:val="21"/>
          <w:szCs w:val="21"/>
          <w:highlight w:val="none"/>
          <w:lang w:eastAsia="zh-CN"/>
        </w:rPr>
        <w:t xml:space="preserve">：</w:t>
      </w:r>
      <w:r>
        <w:rPr>
          <w:rFonts w:hint="eastAsia" w:ascii="宋体" w:hAnsi="宋体" w:cs="宋体"/>
          <w:b/>
          <w:bCs/>
          <w:color w:val="auto"/>
          <w:spacing w:val="7"/>
          <w:sz w:val="21"/>
          <w:szCs w:val="21"/>
          <w:highlight w:val="none"/>
          <w:lang w:val="en-US" w:eastAsia="zh-CN"/>
        </w:rPr>
        <w:t xml:space="preserve">一年</w:t>
      </w:r>
      <w:r/>
    </w:p>
    <w:p>
      <w:pPr>
        <w:ind w:firstLine="450"/>
        <w:jc w:val="left"/>
        <w:keepLines w:val="0"/>
        <w:keepNext w:val="0"/>
        <w:pageBreakBefore w:val="0"/>
        <w:spacing w:line="360" w:lineRule="auto"/>
        <w:widowControl/>
        <w:rPr>
          <w:rFonts w:ascii="宋体" w:hAnsi="宋体" w:cs="宋体"/>
          <w:b/>
          <w:bCs/>
          <w:color w:val="auto"/>
          <w:spacing w:val="7"/>
          <w:sz w:val="21"/>
          <w:szCs w:val="21"/>
          <w:highlight w:val="none"/>
          <w:lang w:val="en-US"/>
        </w:rPr>
      </w:pPr>
      <w:r>
        <w:rPr>
          <w:rFonts w:ascii="宋体" w:hAnsi="宋体" w:cs="宋体"/>
          <w:b/>
          <w:bCs/>
          <w:color w:val="auto"/>
          <w:spacing w:val="7"/>
          <w:sz w:val="21"/>
          <w:szCs w:val="21"/>
          <w:highlight w:val="none"/>
        </w:rPr>
        <w:t xml:space="preserve">2</w:t>
      </w:r>
      <w:r>
        <w:rPr>
          <w:rFonts w:hint="eastAsia" w:ascii="宋体" w:hAnsi="宋体" w:cs="宋体"/>
          <w:b/>
          <w:bCs/>
          <w:color w:val="auto"/>
          <w:spacing w:val="7"/>
          <w:sz w:val="21"/>
          <w:szCs w:val="21"/>
          <w:highlight w:val="none"/>
          <w:lang w:eastAsia="zh-CN"/>
        </w:rPr>
        <w:t xml:space="preserve">、</w:t>
      </w:r>
      <w:r>
        <w:rPr>
          <w:rFonts w:hint="eastAsia" w:ascii="宋体" w:hAnsi="宋体" w:cs="宋体"/>
          <w:b/>
          <w:bCs/>
          <w:color w:val="auto"/>
          <w:spacing w:val="7"/>
          <w:sz w:val="21"/>
          <w:szCs w:val="21"/>
          <w:highlight w:val="none"/>
          <w:lang w:val="en-US" w:eastAsia="zh-CN"/>
        </w:rPr>
        <w:t xml:space="preserve">付款方式：</w:t>
      </w:r>
      <w:r>
        <w:rPr>
          <w:rFonts w:hint="eastAsia" w:ascii="宋体" w:hAnsi="宋体" w:eastAsia="宋体" w:cs="宋体"/>
          <w:i w:val="0"/>
          <w:iCs w:val="0"/>
          <w:color w:val="auto"/>
          <w:sz w:val="21"/>
          <w:szCs w:val="21"/>
          <w:highlight w:val="none"/>
          <w:u w:val="none"/>
          <w:lang w:val="en-US" w:eastAsia="zh-CN" w:bidi="ar"/>
        </w:rPr>
        <w:t xml:space="preserve">在收到正式保单和发票后，在60日内一次性付清。</w:t>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bookmarkEnd w:id="346"/>
      <w:r/>
      <w:r/>
    </w:p>
    <w:p>
      <w:pPr>
        <w:ind w:firstLine="0"/>
        <w:jc w:val="center"/>
        <w:keepNext w:val="0"/>
        <w:spacing w:line="276" w:lineRule="auto"/>
        <w:rPr>
          <w:rFonts w:hint="eastAsia" w:ascii="宋体" w:hAnsi="宋体" w:eastAsia="宋体" w:cs="宋体"/>
          <w:b/>
          <w:color w:val="auto"/>
          <w:sz w:val="36"/>
          <w:szCs w:val="36"/>
          <w:highlight w:val="none"/>
        </w:rPr>
      </w:pPr>
      <w:r/>
      <w:bookmarkStart w:id="365" w:name="_Toc9785"/>
      <w:r/>
      <w:r/>
    </w:p>
    <w:p>
      <w:pPr>
        <w:pStyle w:val="1204"/>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br w:type="page" w:clear="all"/>
      </w:r>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评审方法和评审标准</w:t>
      </w:r>
      <w:bookmarkEnd w:id="365"/>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一、评</w:t>
      </w:r>
      <w:r>
        <w:rPr>
          <w:rFonts w:hint="eastAsia" w:ascii="宋体" w:hAnsi="宋体" w:cs="宋体"/>
          <w:bCs/>
          <w:color w:val="auto"/>
          <w:szCs w:val="21"/>
          <w:highlight w:val="none"/>
          <w:lang w:val="en-US" w:eastAsia="zh-CN"/>
        </w:rPr>
        <w:t xml:space="preserve">审</w:t>
      </w:r>
      <w:r>
        <w:rPr>
          <w:rFonts w:hint="eastAsia" w:ascii="宋体" w:hAnsi="宋体" w:cs="宋体"/>
          <w:bCs/>
          <w:color w:val="auto"/>
          <w:szCs w:val="21"/>
          <w:highlight w:val="none"/>
        </w:rPr>
        <w:t xml:space="preserve">方法</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磋商小组将对确定为实质性响应磋商文件要求的响应文件进行评价和比较，评审采用综合评分法。评标结果按评审后得分由高到低顺序排列。响应文件满足磋商文件全部实质性要求，且综合得分最高的供应商将作为排名第一的成交候选人。</w:t>
      </w:r>
      <w:r>
        <w:rPr>
          <w:rFonts w:hint="eastAsia" w:ascii="宋体" w:hAnsi="宋体" w:cs="宋体"/>
          <w:color w:val="auto"/>
          <w:szCs w:val="21"/>
          <w:highlight w:val="none"/>
        </w:rPr>
        <w:t xml:space="preserve">评审得分相同的，按照最终报价由低到高的顺序推荐。评审得分且最终报价相同的，按照技术指标（服务内容）优劣顺序推荐。</w:t>
      </w:r>
      <w:r/>
    </w:p>
    <w:p>
      <w:pPr>
        <w:ind w:firstLine="420"/>
        <w:jc w:val="left"/>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22"/>
        <w:jc w:val="left"/>
        <w:keepLines w:val="0"/>
        <w:keepNext w:val="0"/>
        <w:pageBreakBefore w:val="0"/>
        <w:spacing w:line="360" w:lineRule="auto"/>
        <w:widowControl w:val="off"/>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p>
    <w:p>
      <w:pPr>
        <w:ind w:firstLine="420"/>
        <w:jc w:val="left"/>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二、评审标准</w:t>
      </w:r>
      <w:r/>
    </w:p>
    <w:p>
      <w:pPr>
        <w:ind w:firstLine="420"/>
        <w:jc w:val="left"/>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本项目采用综合评分法确定成交候选人。磋商小组将按下列评分办法和标准进行评分，总分值为100分。</w:t>
      </w:r>
      <w:r/>
    </w:p>
    <w:tbl>
      <w:tblPr>
        <w:tblStyle w:val="977"/>
        <w:tblW w:w="10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1324"/>
        <w:gridCol w:w="1391"/>
        <w:gridCol w:w="802"/>
        <w:gridCol w:w="6144"/>
      </w:tblGrid>
      <w:tr>
        <w:trPr>
          <w:jc w:val="center"/>
          <w:trHeight w:val="567"/>
        </w:trPr>
        <w:tc>
          <w:tcPr>
            <w:shd w:val="clear" w:color="auto" w:fill="e0e0e0"/>
            <w:tcW w:w="483"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序号</w:t>
            </w:r>
            <w:r/>
          </w:p>
        </w:tc>
        <w:tc>
          <w:tcPr>
            <w:shd w:val="clear" w:color="auto" w:fill="e0e0e0"/>
            <w:tcW w:w="1324"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评分项目</w:t>
            </w:r>
            <w:r/>
          </w:p>
        </w:tc>
        <w:tc>
          <w:tcPr>
            <w:shd w:val="clear" w:color="auto" w:fill="e0e0e0"/>
            <w:tcW w:w="1391"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基本要求</w:t>
            </w:r>
            <w:r/>
          </w:p>
        </w:tc>
        <w:tc>
          <w:tcPr>
            <w:shd w:val="clear" w:color="auto" w:fill="e0e0e0"/>
            <w:tcW w:w="802"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最高分值</w:t>
            </w:r>
            <w:r/>
          </w:p>
        </w:tc>
        <w:tc>
          <w:tcPr>
            <w:shd w:val="clear" w:color="auto" w:fill="e0e0e0"/>
            <w:tcW w:w="6144" w:type="dxa"/>
            <w:vAlign w:val="center"/>
            <w:textDirection w:val="lrTb"/>
            <w:noWrap w:val="false"/>
          </w:tcPr>
          <w:p>
            <w:pPr>
              <w:jc w:val="center"/>
              <w:spacing w:line="3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评审细则</w:t>
            </w:r>
            <w:r/>
          </w:p>
        </w:tc>
      </w:tr>
      <w:tr>
        <w:trPr>
          <w:jc w:val="center"/>
          <w:trHeight w:val="90"/>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1</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保险报价</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30</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保险</w:t>
            </w:r>
            <w:r>
              <w:rPr>
                <w:rFonts w:hint="eastAsia" w:ascii="宋体" w:hAnsi="宋体" w:eastAsia="宋体" w:cs="宋体"/>
                <w:bCs/>
                <w:color w:val="auto"/>
                <w:szCs w:val="21"/>
                <w:highlight w:val="none"/>
                <w:lang w:val="zh-CN"/>
              </w:rPr>
              <w:t xml:space="preserve">报价</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w:t>
            </w:r>
            <w:r/>
          </w:p>
        </w:tc>
        <w:tc>
          <w:tcPr>
            <w:tcW w:w="614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采用低价优先法计算，</w:t>
            </w:r>
            <w:r>
              <w:rPr>
                <w:rFonts w:hint="eastAsia" w:ascii="宋体" w:hAnsi="宋体" w:eastAsia="宋体" w:cs="宋体"/>
                <w:color w:val="auto"/>
                <w:szCs w:val="21"/>
                <w:highlight w:val="none"/>
              </w:rPr>
              <w:t xml:space="preserve">即满足招标文件要求且投标报价最低的投标报价为评标基准价</w:t>
            </w:r>
            <w:r>
              <w:rPr>
                <w:rFonts w:hint="eastAsia" w:ascii="宋体" w:hAnsi="宋体" w:eastAsia="宋体" w:cs="Times New Roman"/>
                <w:color w:val="auto"/>
                <w:szCs w:val="21"/>
                <w:highlight w:val="none"/>
              </w:rPr>
              <w:t xml:space="preserve">，其价格分为满分。本项目其他投标人的价格分统一按照下列公式计算：投标报价得分=(评标基准价/投标报价)×30（小数点保留两位）。</w:t>
            </w:r>
            <w:r/>
          </w:p>
          <w:p>
            <w:pPr>
              <w:jc w:val="left"/>
              <w:spacing w:line="32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注：按照1年的报价作为价格分计算基准。</w:t>
            </w:r>
            <w:r/>
          </w:p>
        </w:tc>
      </w:tr>
      <w:tr>
        <w:trPr>
          <w:jc w:val="center"/>
          <w:trHeight w:val="567"/>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2</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投标人资信</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风险综合评级</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6</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风险综合评级为A类的得6分，风险综合评级为B类的得4分，风险综合评级为C/D类的不得分。须提供最新C-ROSS偿二代监管信息系统截屏复印件或扫描件并加盖投标人公章，未提供不得分。</w:t>
            </w:r>
            <w:r/>
          </w:p>
        </w:tc>
      </w:tr>
      <w:tr>
        <w:trPr>
          <w:jc w:val="center"/>
          <w:trHeight w:val="90"/>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3</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承保</w:t>
            </w:r>
            <w:r>
              <w:rPr>
                <w:rFonts w:hint="eastAsia" w:ascii="宋体" w:hAnsi="宋体" w:eastAsia="宋体" w:cs="宋体"/>
                <w:bCs/>
                <w:color w:val="auto"/>
                <w:szCs w:val="21"/>
                <w:highlight w:val="none"/>
                <w:lang w:val="zh-CN"/>
              </w:rPr>
              <w:t xml:space="preserve">经验</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医责险</w:t>
            </w:r>
            <w:r>
              <w:rPr>
                <w:rFonts w:hint="eastAsia" w:ascii="宋体" w:hAnsi="宋体" w:eastAsia="宋体" w:cs="宋体"/>
                <w:bCs/>
                <w:color w:val="auto"/>
                <w:szCs w:val="21"/>
                <w:highlight w:val="none"/>
              </w:rPr>
              <w:t xml:space="preserve">承保</w:t>
            </w:r>
            <w:r>
              <w:rPr>
                <w:rFonts w:hint="eastAsia" w:ascii="宋体" w:hAnsi="宋体" w:eastAsia="宋体" w:cs="宋体"/>
                <w:bCs/>
                <w:color w:val="auto"/>
                <w:szCs w:val="21"/>
                <w:highlight w:val="none"/>
                <w:lang w:val="zh-CN"/>
              </w:rPr>
              <w:t xml:space="preserve">经验</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8</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根据投标人</w:t>
            </w:r>
            <w:r>
              <w:rPr>
                <w:rFonts w:hint="eastAsia" w:ascii="宋体" w:hAnsi="宋体" w:eastAsia="宋体" w:cs="宋体"/>
                <w:bCs/>
                <w:color w:val="auto"/>
                <w:szCs w:val="21"/>
                <w:highlight w:val="none"/>
              </w:rPr>
              <w:t xml:space="preserve">提供</w:t>
            </w:r>
            <w:r>
              <w:rPr>
                <w:rFonts w:hint="eastAsia" w:ascii="宋体" w:hAnsi="宋体" w:eastAsia="宋体" w:cs="宋体"/>
                <w:bCs/>
                <w:color w:val="auto"/>
                <w:szCs w:val="21"/>
                <w:highlight w:val="none"/>
                <w:lang w:val="en-US" w:eastAsia="zh-CN"/>
              </w:rPr>
              <w:t xml:space="preserve">的2023年</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lang w:val="en-US" w:eastAsia="zh-CN"/>
              </w:rPr>
              <w:t xml:space="preserve">月1日以</w:t>
            </w:r>
            <w:r>
              <w:rPr>
                <w:rFonts w:hint="eastAsia" w:ascii="宋体" w:hAnsi="宋体" w:eastAsia="宋体" w:cs="宋体"/>
                <w:bCs/>
                <w:color w:val="auto"/>
                <w:szCs w:val="21"/>
                <w:highlight w:val="none"/>
                <w:lang w:val="en-US" w:eastAsia="zh-CN"/>
              </w:rPr>
              <w:t xml:space="preserve">来类似承保业绩，</w:t>
            </w:r>
            <w:r>
              <w:rPr>
                <w:rFonts w:hint="eastAsia" w:ascii="宋体" w:hAnsi="宋体" w:eastAsia="宋体" w:cs="宋体"/>
                <w:bCs/>
                <w:color w:val="auto"/>
                <w:szCs w:val="21"/>
                <w:highlight w:val="none"/>
              </w:rPr>
              <w:t xml:space="preserve">每提供一个得</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分，满分</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jc w:val="left"/>
              <w:spacing w:line="32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注：同一</w:t>
            </w:r>
            <w:r>
              <w:rPr>
                <w:rFonts w:hint="eastAsia" w:ascii="宋体" w:hAnsi="宋体" w:eastAsia="宋体" w:cs="宋体"/>
                <w:bCs/>
                <w:color w:val="auto"/>
                <w:szCs w:val="21"/>
                <w:highlight w:val="none"/>
                <w:lang w:val="en-US" w:eastAsia="zh-CN"/>
              </w:rPr>
              <w:t xml:space="preserve">单位的</w:t>
            </w:r>
            <w:r>
              <w:rPr>
                <w:rFonts w:hint="eastAsia" w:ascii="宋体" w:hAnsi="宋体" w:eastAsia="宋体" w:cs="宋体"/>
                <w:bCs/>
                <w:color w:val="auto"/>
                <w:szCs w:val="21"/>
                <w:highlight w:val="none"/>
              </w:rPr>
              <w:t xml:space="preserve">承保经验仅可计算一次分数。</w:t>
            </w: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的总公司或其他分支机构承保经验均认可。每一承保经验均</w:t>
            </w:r>
            <w:r>
              <w:rPr>
                <w:rFonts w:hint="eastAsia" w:ascii="宋体" w:hAnsi="宋体" w:eastAsia="宋体" w:cs="宋体"/>
                <w:bCs/>
                <w:color w:val="auto"/>
                <w:szCs w:val="21"/>
                <w:highlight w:val="none"/>
                <w:lang w:val="en-US" w:eastAsia="zh-CN"/>
              </w:rPr>
              <w:t xml:space="preserve">须供应商</w:t>
            </w:r>
            <w:r>
              <w:rPr>
                <w:rFonts w:hint="eastAsia" w:ascii="宋体" w:hAnsi="宋体" w:eastAsia="宋体" w:cs="宋体"/>
                <w:bCs/>
                <w:color w:val="auto"/>
                <w:szCs w:val="21"/>
                <w:highlight w:val="none"/>
              </w:rPr>
              <w:t xml:space="preserve">出具的保险单复印件并加盖</w:t>
            </w: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公章，未提供不得分。</w:t>
            </w:r>
            <w:r/>
          </w:p>
        </w:tc>
      </w:tr>
      <w:tr>
        <w:trPr>
          <w:jc w:val="center"/>
          <w:trHeight w:val="2064"/>
        </w:trPr>
        <w:tc>
          <w:tcPr>
            <w:tcW w:w="483" w:type="dxa"/>
            <w:vAlign w:val="center"/>
            <w:vMerge w:val="restart"/>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1324" w:type="dxa"/>
            <w:vAlign w:val="center"/>
            <w:vMerge w:val="restart"/>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zh-CN"/>
              </w:rPr>
              <w:t xml:space="preserve">增值服务</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25</w:t>
            </w:r>
            <w:r>
              <w:rPr>
                <w:rFonts w:hint="eastAsia" w:ascii="宋体" w:hAnsi="宋体" w:eastAsia="宋体" w:cs="宋体"/>
                <w:bCs/>
                <w:color w:val="auto"/>
                <w:szCs w:val="21"/>
                <w:highlight w:val="none"/>
                <w:lang w:val="zh-CN"/>
              </w:rPr>
              <w:t xml:space="preserve">分）</w:t>
            </w:r>
            <w:r/>
          </w:p>
        </w:tc>
        <w:tc>
          <w:tcPr>
            <w:tcW w:w="1391" w:type="dxa"/>
            <w:vAlign w:val="center"/>
            <w:vMerge w:val="restart"/>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增值服务承诺和方案</w:t>
            </w:r>
            <w:r/>
          </w:p>
        </w:tc>
        <w:tc>
          <w:tcPr>
            <w:tcW w:w="802" w:type="dxa"/>
            <w:vAlign w:val="center"/>
            <w:vMerge w:val="restart"/>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25</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针对</w:t>
            </w:r>
            <w:r>
              <w:rPr>
                <w:rFonts w:hint="eastAsia" w:ascii="宋体" w:hAnsi="宋体" w:eastAsia="宋体" w:cs="宋体"/>
                <w:bCs/>
                <w:color w:val="auto"/>
                <w:szCs w:val="21"/>
                <w:highlight w:val="none"/>
              </w:rPr>
              <w:t xml:space="preserve">责任内容方面作出优惠承诺</w:t>
            </w:r>
            <w:r>
              <w:rPr>
                <w:rFonts w:hint="eastAsia" w:ascii="宋体" w:hAnsi="宋体" w:eastAsia="宋体" w:cs="宋体"/>
                <w:bCs/>
                <w:color w:val="auto"/>
                <w:szCs w:val="21"/>
                <w:highlight w:val="none"/>
                <w:lang w:val="en-US" w:eastAsia="zh-CN"/>
              </w:rPr>
              <w:t xml:space="preserve">和方案：</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内容详实有效，针对性强</w:t>
            </w:r>
            <w:r>
              <w:rPr>
                <w:rFonts w:hint="eastAsia" w:ascii="宋体" w:hAnsi="宋体" w:eastAsia="宋体" w:cs="宋体"/>
                <w:bCs/>
                <w:color w:val="auto"/>
                <w:szCs w:val="21"/>
                <w:highlight w:val="none"/>
                <w:lang w:eastAsia="zh-CN"/>
              </w:rPr>
              <w:t xml:space="preserve">的</w:t>
            </w:r>
            <w:r>
              <w:rPr>
                <w:rFonts w:hint="eastAsia" w:ascii="宋体" w:hAnsi="宋体" w:eastAsia="宋体" w:cs="宋体"/>
                <w:bCs/>
                <w:color w:val="auto"/>
                <w:szCs w:val="21"/>
                <w:highlight w:val="none"/>
                <w:lang w:val="en-US" w:eastAsia="zh-CN"/>
              </w:rPr>
              <w:t xml:space="preserve">得5分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强</w:t>
            </w:r>
            <w:r>
              <w:rPr>
                <w:rFonts w:hint="eastAsia" w:ascii="宋体" w:hAnsi="宋体" w:eastAsia="宋体" w:cs="宋体"/>
                <w:bCs/>
                <w:color w:val="auto"/>
                <w:szCs w:val="21"/>
                <w:highlight w:val="none"/>
                <w:lang w:val="en-US" w:eastAsia="zh-CN"/>
              </w:rPr>
              <w:t xml:space="preserve">的得3分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强</w:t>
            </w:r>
            <w:r>
              <w:rPr>
                <w:rFonts w:hint="eastAsia" w:ascii="宋体" w:hAnsi="宋体" w:eastAsia="宋体" w:cs="宋体"/>
                <w:bCs/>
                <w:color w:val="auto"/>
                <w:szCs w:val="21"/>
                <w:highlight w:val="none"/>
                <w:lang w:val="en-US" w:eastAsia="zh-CN"/>
              </w:rPr>
              <w:t xml:space="preserve">的得1分</w:t>
            </w:r>
            <w:r>
              <w:rPr>
                <w:rFonts w:hint="eastAsia" w:ascii="宋体" w:hAnsi="宋体" w:eastAsia="宋体" w:cs="宋体"/>
                <w:bCs/>
                <w:color w:val="auto"/>
                <w:szCs w:val="21"/>
                <w:highlight w:val="none"/>
              </w:rPr>
              <w:t xml:space="preserve">；</w:t>
            </w:r>
            <w:r/>
          </w:p>
          <w:p>
            <w:pPr>
              <w:jc w:val="left"/>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针对</w:t>
            </w:r>
            <w:r>
              <w:rPr>
                <w:rFonts w:hint="eastAsia" w:ascii="宋体" w:hAnsi="宋体" w:eastAsia="宋体" w:cs="宋体"/>
                <w:bCs/>
                <w:color w:val="auto"/>
                <w:szCs w:val="21"/>
                <w:highlight w:val="none"/>
              </w:rPr>
              <w:t xml:space="preserve">赔偿处理内容方面作出优惠承诺</w:t>
            </w:r>
            <w:r>
              <w:rPr>
                <w:rFonts w:hint="eastAsia" w:ascii="宋体" w:hAnsi="宋体" w:eastAsia="宋体" w:cs="宋体"/>
                <w:bCs/>
                <w:color w:val="auto"/>
                <w:szCs w:val="21"/>
                <w:highlight w:val="none"/>
                <w:lang w:val="en-US" w:eastAsia="zh-CN"/>
              </w:rPr>
              <w:t xml:space="preserve">和方案：</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内容详实有效，针对性强</w:t>
            </w:r>
            <w:r>
              <w:rPr>
                <w:rFonts w:hint="eastAsia" w:ascii="宋体" w:hAnsi="宋体" w:eastAsia="宋体" w:cs="宋体"/>
                <w:bCs/>
                <w:color w:val="auto"/>
                <w:szCs w:val="21"/>
                <w:highlight w:val="none"/>
                <w:lang w:eastAsia="zh-CN"/>
              </w:rPr>
              <w:t xml:space="preserve">的</w:t>
            </w:r>
            <w:r>
              <w:rPr>
                <w:rFonts w:hint="eastAsia" w:ascii="宋体" w:hAnsi="宋体" w:eastAsia="宋体" w:cs="宋体"/>
                <w:bCs/>
                <w:color w:val="auto"/>
                <w:szCs w:val="21"/>
                <w:highlight w:val="none"/>
                <w:lang w:val="en-US" w:eastAsia="zh-CN"/>
              </w:rPr>
              <w:t xml:space="preserve">得5分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较强的得3分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强</w:t>
            </w:r>
            <w:r>
              <w:rPr>
                <w:rFonts w:hint="eastAsia" w:ascii="宋体" w:hAnsi="宋体" w:eastAsia="宋体" w:cs="宋体"/>
                <w:bCs/>
                <w:color w:val="auto"/>
                <w:szCs w:val="21"/>
                <w:highlight w:val="none"/>
                <w:lang w:val="en-US" w:eastAsia="zh-CN"/>
              </w:rPr>
              <w:t xml:space="preserve">的得1分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供应商根据采购需求和合同条款等,针对责任限额方面作出优惠承诺和方案：</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内容详实有效，针对性强，限额金额高的得5分；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内容较详实有效，针对性较强，限额金额较高的得3分；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内容基本详实有效，针对性基本强，限额金额基本高的得1分；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供应商根据采购需求和合同条款等,针对赔偿处理方式作出优惠承诺和方案：</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内容详实有效，针对性强的得5分；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内容较详实有效，针对性较强的得3分；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内容基本详实有效，针对性基本强的得1分；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供应商根据采购需求和合同条款等,针对追溯期作出优惠承诺和方案：</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内容详实有效，针对性强，追溯期限长的得5分；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内容较详实有效，针对性较强，追溯期限较长的得3分；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内容基本详实有效，针对性基本强，追溯期限基本长的得1分；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567"/>
        </w:trPr>
        <w:tc>
          <w:tcPr>
            <w:tcW w:w="483"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服务团队</w:t>
            </w:r>
            <w:r/>
          </w:p>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服务团队</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针对本项目设立不少于</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人的服务团队，包括团队负责人理赔人员至少各1人，满足上述要求的得5分。理赔人员中具有全日制医学类专科及以上学历的或医学类中级及以上职称的，每有1人得1分，最高得3分。</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须提供劳动合同、上述人员学历或职称证书和</w:t>
            </w:r>
            <w:r>
              <w:rPr>
                <w:rFonts w:hint="eastAsia" w:ascii="宋体" w:hAnsi="宋体" w:eastAsia="宋体" w:cs="宋体"/>
                <w:b/>
                <w:color w:val="auto"/>
                <w:szCs w:val="21"/>
                <w:highlight w:val="none"/>
              </w:rPr>
              <w:t xml:space="preserve">近</w:t>
            </w:r>
            <w:r>
              <w:rPr>
                <w:rFonts w:hint="eastAsia" w:ascii="宋体" w:hAnsi="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个月</w:t>
            </w:r>
            <w:r>
              <w:rPr>
                <w:rFonts w:hint="eastAsia" w:ascii="宋体" w:hAnsi="宋体" w:cs="宋体"/>
                <w:b/>
                <w:color w:val="auto"/>
                <w:szCs w:val="21"/>
                <w:highlight w:val="none"/>
                <w:lang w:val="en-US" w:eastAsia="zh-CN"/>
              </w:rPr>
              <w:t xml:space="preserve">任意一个月</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202</w:t>
            </w:r>
            <w:r>
              <w:rPr>
                <w:rFonts w:hint="eastAsia" w:ascii="宋体" w:hAnsi="宋体" w:cs="宋体"/>
                <w:b/>
                <w:color w:val="auto"/>
                <w:szCs w:val="21"/>
                <w:highlight w:val="none"/>
                <w:lang w:val="en-US" w:eastAsia="zh-CN"/>
              </w:rPr>
              <w:t xml:space="preserve">6</w:t>
            </w:r>
            <w:r>
              <w:rPr>
                <w:rFonts w:hint="eastAsia" w:ascii="宋体" w:hAnsi="宋体" w:eastAsia="宋体" w:cs="宋体"/>
                <w:b/>
                <w:color w:val="auto"/>
                <w:szCs w:val="21"/>
                <w:highlight w:val="none"/>
                <w:lang w:val="en-US" w:eastAsia="zh-CN"/>
              </w:rPr>
              <w:t xml:space="preserve">年</w:t>
            </w:r>
            <w:r>
              <w:rPr>
                <w:rFonts w:hint="eastAsia" w:ascii="宋体" w:hAnsi="宋体" w:cs="宋体"/>
                <w:b/>
                <w:color w:val="auto"/>
                <w:szCs w:val="21"/>
                <w:highlight w:val="none"/>
                <w:lang w:val="en-US" w:eastAsia="zh-CN"/>
              </w:rPr>
              <w:t xml:space="preserve">04月（含）</w:t>
            </w:r>
            <w:r>
              <w:rPr>
                <w:rFonts w:hint="eastAsia" w:ascii="宋体" w:hAnsi="宋体" w:eastAsia="宋体" w:cs="宋体"/>
                <w:b/>
                <w:color w:val="auto"/>
                <w:szCs w:val="21"/>
                <w:highlight w:val="none"/>
                <w:lang w:val="en-US" w:eastAsia="zh-CN"/>
              </w:rPr>
              <w:t xml:space="preserve">以来）</w:t>
            </w:r>
            <w:r>
              <w:rPr>
                <w:rFonts w:hint="eastAsia" w:ascii="宋体" w:hAnsi="宋体" w:eastAsia="宋体" w:cs="宋体"/>
                <w:b/>
                <w:color w:val="auto"/>
                <w:szCs w:val="21"/>
                <w:highlight w:val="none"/>
              </w:rPr>
              <w:t xml:space="preserve">社保缴纳证明材料复印件并加盖投标人公章。</w:t>
            </w:r>
            <w:r/>
          </w:p>
        </w:tc>
      </w:tr>
      <w:tr>
        <w:trPr>
          <w:jc w:val="center"/>
          <w:trHeight w:val="567"/>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售后服务</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售后服务方案</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针对本项目提供全面完整的售后服务体系管理（包含但不限于服务响应时间承诺、服务措施、应急预案、事故预防服务方案、售后延续性服务等内容）</w:t>
            </w:r>
            <w:r>
              <w:rPr>
                <w:rFonts w:hint="eastAsia" w:ascii="宋体" w:hAnsi="宋体" w:eastAsia="宋体" w:cs="宋体"/>
                <w:bCs/>
                <w:color w:val="auto"/>
                <w:szCs w:val="21"/>
                <w:highlight w:val="none"/>
                <w:lang w:eastAsia="zh-CN"/>
              </w:rPr>
              <w:t xml:space="preserve">：</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内容详实，科学合理，切实可行，最大程度上满足采购人要求</w:t>
            </w:r>
            <w:r>
              <w:rPr>
                <w:rFonts w:hint="eastAsia" w:ascii="宋体" w:hAnsi="宋体" w:eastAsia="宋体" w:cs="宋体"/>
                <w:bCs/>
                <w:color w:val="auto"/>
                <w:szCs w:val="21"/>
                <w:highlight w:val="none"/>
                <w:lang w:val="en-US" w:eastAsia="zh-CN"/>
              </w:rPr>
              <w:t xml:space="preserve">的得8分：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详实，</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科学合理，</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切实可行，</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满足采购人要求</w:t>
            </w:r>
            <w:r>
              <w:rPr>
                <w:rFonts w:hint="eastAsia" w:ascii="宋体" w:hAnsi="宋体" w:eastAsia="宋体" w:cs="宋体"/>
                <w:bCs/>
                <w:color w:val="auto"/>
                <w:szCs w:val="21"/>
                <w:highlight w:val="none"/>
                <w:lang w:val="en-US" w:eastAsia="zh-CN"/>
              </w:rPr>
              <w:t xml:space="preserve">的得4分：</w:t>
            </w:r>
            <w:r/>
          </w:p>
          <w:p>
            <w:pPr>
              <w:jc w:val="left"/>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567"/>
        </w:trPr>
        <w:tc>
          <w:tcPr>
            <w:tcW w:w="483"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首席或独家承保</w:t>
            </w:r>
            <w:r/>
          </w:p>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（10分）</w:t>
            </w:r>
            <w:r/>
          </w:p>
        </w:tc>
        <w:tc>
          <w:tcPr>
            <w:tcW w:w="1391"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承诺首席或独家承保</w:t>
            </w:r>
            <w:r/>
          </w:p>
        </w:tc>
        <w:tc>
          <w:tcPr>
            <w:tcW w:w="802"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w:t>
            </w:r>
            <w:r/>
          </w:p>
        </w:tc>
        <w:tc>
          <w:tcPr>
            <w:tcW w:w="6144" w:type="dxa"/>
            <w:vAlign w:val="center"/>
            <w:textDirection w:val="lrTb"/>
            <w:noWrap w:val="false"/>
          </w:tcPr>
          <w:p>
            <w:pPr>
              <w:jc w:val="left"/>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供应商针对本项目承诺可以独家承保或者愿意作为本项目的首席服务单位，得10分，否则不得分。</w:t>
            </w:r>
            <w:r/>
          </w:p>
        </w:tc>
      </w:tr>
      <w:tr>
        <w:trPr>
          <w:jc w:val="center"/>
          <w:trHeight w:val="567"/>
        </w:trPr>
        <w:tc>
          <w:tcPr>
            <w:tcW w:w="483"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项目经理答辩（</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val="zh-CN"/>
              </w:rPr>
              <w:t xml:space="preserve">）</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项目经理答辩</w:t>
            </w:r>
            <w:r/>
          </w:p>
        </w:tc>
        <w:tc>
          <w:tcPr>
            <w:tcW w:w="802"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w:t>
            </w:r>
            <w:r/>
          </w:p>
        </w:tc>
        <w:tc>
          <w:tcPr>
            <w:tcW w:w="6144" w:type="dxa"/>
            <w:vAlign w:val="center"/>
            <w:textDirection w:val="lrTb"/>
            <w:noWrap w:val="false"/>
          </w:tcPr>
          <w:p>
            <w:pPr>
              <w:jc w:val="left"/>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拟派驻本项目的项目经理（项目负责人）针对增值服务进行阐述，阐述思路清晰、语言简练、表达流畅得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分；阐述基本思路清晰、语言基本简练、表达基本流畅得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分；阐述思路模糊、语言繁琐、表达不清得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分；没有阐述不得分。时长不超过5分钟，不包含评委提问时间。</w:t>
            </w:r>
            <w:r/>
          </w:p>
        </w:tc>
      </w:tr>
      <w:tr>
        <w:trPr>
          <w:jc w:val="center"/>
          <w:trHeight w:val="567"/>
        </w:trPr>
        <w:tc>
          <w:tcPr>
            <w:gridSpan w:val="3"/>
            <w:tcW w:w="3198"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合计</w:t>
            </w:r>
            <w:r/>
          </w:p>
        </w:tc>
        <w:tc>
          <w:tcPr>
            <w:gridSpan w:val="2"/>
            <w:tcW w:w="6946"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100</w:t>
            </w:r>
            <w:r/>
          </w:p>
        </w:tc>
      </w:tr>
    </w:tbl>
    <w:p>
      <w:pPr>
        <w:ind w:firstLine="420"/>
        <w:jc w:val="left"/>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的扣除，用扣除后的价格参加评审。本项目针对小微企业报价给予10%的加价，用加价后的价格参加评审。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ascii="宋体" w:hAnsi="宋体" w:eastAsia="宋体" w:cs="宋体"/>
          <w:bCs/>
          <w:color w:val="auto"/>
          <w:sz w:val="21"/>
          <w:szCs w:val="21"/>
          <w:highlight w:val="non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204"/>
        <w:jc w:val="center"/>
        <w:rPr>
          <w:rFonts w:hint="eastAsia" w:ascii="Microsoft New Tai Lue" w:hAnsi="Microsoft New Tai Lue" w:eastAsia="宋体" w:cs="Microsoft New Tai Lue"/>
          <w:color w:val="auto"/>
          <w:highlight w:val="none"/>
          <w:lang w:val="zh-CN"/>
        </w:rPr>
      </w:pPr>
      <w:r>
        <w:rPr>
          <w:rFonts w:hint="eastAsia" w:ascii="宋体" w:hAnsi="宋体" w:eastAsia="宋体" w:cs="宋体"/>
          <w:bCs w:val="0"/>
          <w:color w:val="auto"/>
          <w:szCs w:val="44"/>
          <w:highlight w:val="none"/>
        </w:rPr>
        <w:br w:type="page" w:clear="all"/>
      </w:r>
      <w:bookmarkStart w:id="366" w:name="_Toc24005"/>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六</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响应文件的组成和格式</w:t>
      </w:r>
      <w:bookmarkEnd w:id="366"/>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rPr>
          <w:rFonts w:hint="eastAsia"/>
          <w:color w:val="auto"/>
          <w:sz w:val="72"/>
          <w:szCs w:val="72"/>
          <w:highlight w:val="none"/>
        </w:rPr>
      </w:pPr>
      <w:r/>
      <w:bookmarkStart w:id="367" w:name="_Toc11481"/>
      <w:r/>
      <w:bookmarkStart w:id="368" w:name="_Toc11212"/>
      <w:r/>
      <w:bookmarkStart w:id="369" w:name="_Toc16222_WPSOffice_Level1"/>
      <w:r>
        <w:rPr>
          <w:rFonts w:hint="eastAsia"/>
          <w:color w:val="auto"/>
          <w:sz w:val="72"/>
          <w:szCs w:val="72"/>
          <w:highlight w:val="none"/>
        </w:rPr>
        <w:t xml:space="preserve">竞争性磋商响应文件</w:t>
      </w:r>
      <w:bookmarkEnd w:id="367"/>
      <w:r/>
      <w:bookmarkEnd w:id="368"/>
      <w:r/>
      <w:bookmarkEnd w:id="369"/>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rPr>
          <w:rFonts w:hint="eastAsia"/>
          <w:color w:val="auto"/>
          <w:sz w:val="36"/>
          <w:szCs w:val="36"/>
          <w:highlight w:val="none"/>
        </w:rPr>
      </w:pPr>
      <w:r/>
      <w:bookmarkStart w:id="370" w:name="_Toc9960"/>
      <w:r/>
      <w:bookmarkStart w:id="371" w:name="_Toc860_WPSOffice_Level1"/>
      <w:r/>
      <w:bookmarkStart w:id="372" w:name="_Toc4399"/>
      <w:r>
        <w:rPr>
          <w:rFonts w:hint="eastAsia"/>
          <w:color w:val="auto"/>
          <w:sz w:val="36"/>
          <w:szCs w:val="36"/>
          <w:highlight w:val="none"/>
        </w:rPr>
        <w:t xml:space="preserve">（正或副本）</w:t>
      </w:r>
      <w:bookmarkEnd w:id="370"/>
      <w:r/>
      <w:bookmarkEnd w:id="371"/>
      <w:r/>
      <w:bookmarkEnd w:id="372"/>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73" w:name="_Toc3600_WPSOffice_Level1"/>
      <w:r/>
      <w:bookmarkStart w:id="374" w:name="_Toc2658"/>
      <w:r/>
      <w:bookmarkStart w:id="375" w:name="_Toc27020"/>
      <w:r>
        <w:rPr>
          <w:rFonts w:hint="eastAsia"/>
          <w:b/>
          <w:bCs/>
          <w:color w:val="auto"/>
          <w:sz w:val="36"/>
          <w:szCs w:val="36"/>
          <w:highlight w:val="none"/>
        </w:rPr>
        <w:t xml:space="preserve">项 目 名 称：</w:t>
      </w:r>
      <w:bookmarkEnd w:id="373"/>
      <w:r/>
      <w:bookmarkEnd w:id="374"/>
      <w:r/>
      <w:bookmarkEnd w:id="375"/>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76" w:name="_Toc6936"/>
      <w:r/>
      <w:bookmarkStart w:id="377" w:name="_Toc6762"/>
      <w:r/>
      <w:bookmarkStart w:id="378" w:name="_Toc24086_WPSOffice_Level1"/>
      <w:r>
        <w:rPr>
          <w:rFonts w:hint="eastAsia"/>
          <w:b/>
          <w:bCs/>
          <w:color w:val="auto"/>
          <w:sz w:val="36"/>
          <w:szCs w:val="36"/>
          <w:highlight w:val="none"/>
        </w:rPr>
        <w:t xml:space="preserve">项 目 编 号：</w:t>
      </w:r>
      <w:bookmarkEnd w:id="376"/>
      <w:r/>
      <w:bookmarkEnd w:id="377"/>
      <w:r/>
      <w:bookmarkEnd w:id="378"/>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79" w:name="_Toc13881"/>
      <w:r/>
      <w:bookmarkStart w:id="380" w:name="_Toc270_WPSOffice_Level1"/>
      <w:r/>
      <w:bookmarkStart w:id="381" w:name="_Toc20573"/>
      <w:r>
        <w:rPr>
          <w:rFonts w:hint="eastAsia"/>
          <w:b/>
          <w:bCs/>
          <w:color w:val="auto"/>
          <w:sz w:val="36"/>
          <w:szCs w:val="36"/>
          <w:highlight w:val="none"/>
        </w:rPr>
        <w:t xml:space="preserve">磋商供应商名称：</w:t>
      </w:r>
      <w:bookmarkEnd w:id="379"/>
      <w:r/>
      <w:bookmarkEnd w:id="380"/>
      <w:r/>
      <w:bookmarkEnd w:id="381"/>
      <w:r>
        <w:rPr>
          <w:rFonts w:hint="eastAsia"/>
          <w:b/>
          <w:bCs/>
          <w:color w:val="auto"/>
          <w:sz w:val="36"/>
          <w:szCs w:val="36"/>
          <w:highlight w:val="none"/>
        </w:rPr>
        <w:t xml:space="preserve">               </w:t>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82" w:name="_Toc29882_WPSOffice_Level1"/>
      <w:r/>
      <w:bookmarkStart w:id="383" w:name="_Toc12689"/>
      <w:r/>
      <w:bookmarkStart w:id="384" w:name="_Toc16633"/>
      <w:r>
        <w:rPr>
          <w:rFonts w:hint="eastAsia"/>
          <w:b/>
          <w:bCs/>
          <w:color w:val="auto"/>
          <w:sz w:val="36"/>
          <w:szCs w:val="36"/>
          <w:highlight w:val="none"/>
        </w:rPr>
        <w:t xml:space="preserve">日       期：</w:t>
      </w:r>
      <w:bookmarkEnd w:id="382"/>
      <w:r/>
      <w:bookmarkEnd w:id="383"/>
      <w:r/>
      <w:bookmarkEnd w:id="384"/>
      <w:r/>
      <w:r/>
    </w:p>
    <w:p>
      <w:pPr>
        <w:pStyle w:val="1232"/>
        <w:ind w:firstLine="2464"/>
        <w:spacing w:line="24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r/>
    </w:p>
    <w:p>
      <w:pPr>
        <w:pStyle w:val="1177"/>
        <w:jc w:val="center"/>
        <w:spacing w:before="143" w:line="300" w:lineRule="exact"/>
        <w:rPr>
          <w:rFonts w:ascii="Microsoft New Tai Lue" w:hAnsi="Microsoft New Tai Lue" w:cs="Microsoft New Tai Lue"/>
          <w:color w:val="auto"/>
          <w:sz w:val="28"/>
          <w:szCs w:val="28"/>
          <w:highlight w:val="none"/>
        </w:rPr>
      </w:pPr>
      <w:r>
        <w:rPr>
          <w:rFonts w:hint="eastAsia" w:hAnsi="宋体" w:cs="宋体"/>
          <w:color w:val="auto"/>
          <w:highlight w:val="none"/>
        </w:rPr>
        <w:br w:type="page" w:clear="all"/>
      </w:r>
      <w:r>
        <w:rPr>
          <w:rFonts w:ascii="Microsoft New Tai Lue" w:hAnsi="Microsoft New Tai Lue" w:cs="Microsoft New Tai Lue"/>
          <w:b/>
          <w:bCs/>
          <w:color w:val="auto"/>
          <w:sz w:val="28"/>
          <w:szCs w:val="28"/>
          <w:highlight w:val="none"/>
        </w:rPr>
        <w:t xml:space="preserve">评审索引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：此表按照磋商文件中评分办法逐项填写）</w:t>
      </w:r>
      <w:r/>
    </w:p>
    <w:p>
      <w:pPr>
        <w:pStyle w:val="1174"/>
        <w:ind w:left="1260"/>
        <w:rPr>
          <w:rFonts w:hint="eastAsia"/>
          <w:color w:val="auto"/>
          <w:highlight w:val="none"/>
        </w:rPr>
      </w:pPr>
      <w:r>
        <w:rPr>
          <w:rFonts w:hint="eastAsia"/>
          <w:color w:val="auto"/>
          <w:highlight w:val="none"/>
        </w:rPr>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217"/>
              <w:ind w:left="420"/>
              <w:spacing w:line="265" w:lineRule="atLeast"/>
              <w:shd w:val="clear" w:color="auto" w:fill="ffffff"/>
              <w:rPr>
                <w:rFonts w:ascii="Microsoft New Tai Lue" w:hAnsi="Microsoft New Tai Lue" w:cs="Microsoft New Tai Lue"/>
                <w:b/>
                <w:color w:val="auto"/>
                <w:highlight w:val="none"/>
                <w:lang w:val="en-US"/>
              </w:rPr>
            </w:pPr>
            <w:r>
              <w:rPr>
                <w:rFonts w:ascii="Microsoft New Tai Lue" w:hAnsi="Microsoft New Tai Lue" w:cs="Microsoft New Tai Lue"/>
                <w:b/>
                <w:color w:val="auto"/>
                <w:highlight w:val="none"/>
                <w:lang w:val="en-US"/>
              </w:rPr>
              <w:t xml:space="preserve">评审项目</w:t>
            </w:r>
            <w:r/>
          </w:p>
        </w:tc>
        <w:tc>
          <w:tcPr>
            <w:tcW w:w="3177" w:type="dxa"/>
            <w:vAlign w:val="center"/>
            <w:textDirection w:val="lrTb"/>
            <w:noWrap w:val="false"/>
          </w:tcPr>
          <w:p>
            <w:pPr>
              <w:pStyle w:val="1217"/>
              <w:jc w:val="center"/>
              <w:spacing w:line="265" w:lineRule="atLeast"/>
              <w:shd w:val="clear" w:color="auto" w:fill="ffffff"/>
              <w:rPr>
                <w:rFonts w:ascii="Microsoft New Tai Lue" w:hAnsi="Microsoft New Tai Lue" w:cs="Microsoft New Tai Lue"/>
                <w:b/>
                <w:color w:val="auto"/>
                <w:highlight w:val="none"/>
                <w:lang w:val="en-US"/>
              </w:rPr>
            </w:pPr>
            <w:r>
              <w:rPr>
                <w:rFonts w:ascii="Microsoft New Tai Lue" w:hAnsi="Microsoft New Tai Lue" w:cs="Microsoft New Tai Lue"/>
                <w:b/>
                <w:color w:val="auto"/>
                <w:highlight w:val="none"/>
                <w:lang w:val="en-US"/>
              </w:rPr>
              <w:t xml:space="preserve">评</w:t>
            </w:r>
            <w:r>
              <w:rPr>
                <w:rFonts w:hint="eastAsia" w:ascii="Microsoft New Tai Lue" w:hAnsi="Microsoft New Tai Lue" w:cs="Microsoft New Tai Lue"/>
                <w:b/>
                <w:color w:val="auto"/>
                <w:highlight w:val="none"/>
                <w:lang w:val="en-US"/>
              </w:rPr>
              <w:t xml:space="preserve">审</w:t>
            </w:r>
            <w:r>
              <w:rPr>
                <w:rFonts w:ascii="Microsoft New Tai Lue" w:hAnsi="Microsoft New Tai Lue" w:cs="Microsoft New Tai Lue"/>
                <w:b/>
                <w:color w:val="auto"/>
                <w:highlight w:val="none"/>
                <w:lang w:val="en-US"/>
              </w:rPr>
              <w:t xml:space="preserve">要求</w:t>
            </w:r>
            <w:r/>
          </w:p>
        </w:tc>
        <w:tc>
          <w:tcPr>
            <w:tcW w:w="3513" w:type="dxa"/>
            <w:vAlign w:val="center"/>
            <w:textDirection w:val="lrTb"/>
            <w:noWrap w:val="false"/>
          </w:tcPr>
          <w:p>
            <w:pPr>
              <w:pStyle w:val="1217"/>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t xml:space="preserve">在响应文件中的页码位置</w:t>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bl>
    <w:p>
      <w:pPr>
        <w:pStyle w:val="1150"/>
        <w:jc w:val="left"/>
        <w:rPr>
          <w:rFonts w:hint="eastAsia" w:ascii="宋体" w:hAnsi="宋体" w:cs="宋体"/>
          <w:color w:val="auto"/>
          <w:sz w:val="24"/>
          <w:highlight w:val="none"/>
        </w:rPr>
      </w:pPr>
      <w:r>
        <w:rPr>
          <w:rFonts w:hint="eastAsia" w:ascii="宋体" w:hAnsi="宋体" w:cs="宋体"/>
          <w:b w:val="0"/>
          <w:bCs/>
          <w:color w:val="auto"/>
          <w:sz w:val="24"/>
          <w:highlight w:val="none"/>
        </w:rPr>
        <w:br w:type="page" w:clear="all"/>
      </w:r>
      <w:r>
        <w:rPr>
          <w:rFonts w:hint="eastAsia" w:ascii="宋体" w:hAnsi="宋体" w:eastAsia="宋体" w:cs="宋体"/>
          <w:b/>
          <w:bCs/>
          <w:color w:val="auto"/>
          <w:sz w:val="24"/>
          <w:highlight w:val="none"/>
        </w:rPr>
        <w:t xml:space="preserve">附件一、磋商申请及声明格式</w:t>
      </w:r>
      <w:r/>
    </w:p>
    <w:p>
      <w:pPr>
        <w:jc w:val="center"/>
        <w:spacing w:before="143"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 w:val="36"/>
          <w:szCs w:val="36"/>
          <w:highlight w:val="none"/>
        </w:rPr>
        <w:t xml:space="preserve">磋商申请及声明</w:t>
      </w:r>
      <w:r/>
    </w:p>
    <w:p>
      <w:pPr>
        <w:spacing w:line="440" w:lineRule="exact"/>
        <w:shd w:val="clear" w:color="auto" w:fill="ffffff"/>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lang w:eastAsia="zh-CN"/>
        </w:rPr>
        <w:t xml:space="preserve">江苏省肿瘤医院</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eastAsia="宋体" w:cs="宋体"/>
          <w:b w:val="0"/>
          <w:bCs w:val="0"/>
          <w:color w:val="auto"/>
          <w:szCs w:val="21"/>
          <w:highlight w:val="none"/>
          <w:u w:val="none"/>
          <w:lang w:eastAsia="zh-CN"/>
        </w:rPr>
        <w:t xml:space="preserve">（</w:t>
      </w:r>
      <w:r>
        <w:rPr>
          <w:rFonts w:hint="eastAsia" w:ascii="宋体" w:hAnsi="宋体" w:cs="宋体"/>
          <w:color w:val="auto"/>
          <w:szCs w:val="21"/>
          <w:highlight w:val="none"/>
        </w:rPr>
        <w:t xml:space="preserve">项目名称）</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(姓名和职务)代表供应商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（供应商名称），提交响应文件。</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我们的资格条件完全符合本次磋商要求</w:t>
      </w:r>
      <w:r>
        <w:rPr>
          <w:rFonts w:hint="eastAsia" w:ascii="宋体" w:hAnsi="宋体" w:cs="宋体"/>
          <w:color w:val="auto"/>
          <w:szCs w:val="21"/>
          <w:highlight w:val="none"/>
        </w:rPr>
        <w:t xml:space="preserve">，我们同意并向贵方提供了与投标有关的所有证据和资料。</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2、按磋商要求，我们的投标总报价为人民币（大写）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3、本项目服务期限为：</w:t>
      </w:r>
      <w:r>
        <w:rPr>
          <w:rFonts w:hint="eastAsia" w:ascii="宋体" w:hAnsi="宋体" w:cs="宋体"/>
          <w:color w:val="auto"/>
          <w:szCs w:val="21"/>
          <w:highlight w:val="none"/>
          <w:u w:val="single"/>
        </w:rPr>
        <w:t xml:space="preserve">  满足磋商文件要求  </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4、我们已详细审核全部磋商文件及其有效补充文件，我们放弃对磋商文件任何误解的权利，提交响应文件后，</w:t>
      </w:r>
      <w:r>
        <w:rPr>
          <w:rFonts w:hint="eastAsia" w:ascii="宋体" w:hAnsi="宋体" w:cs="宋体"/>
          <w:b/>
          <w:bCs/>
          <w:color w:val="auto"/>
          <w:szCs w:val="21"/>
          <w:highlight w:val="none"/>
        </w:rPr>
        <w:t xml:space="preserve">不对磋商文件本身提出质疑</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5、我们同意从规定的开标日期起遵循本响应文件，并在规定的投标有效期期满之前均具有约束力。</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6、一旦我方中标，我方将根据磋商文件的规定严格履行合同，并保证于承诺的时间完成项目的启动/集成、调试等服务，交付采购人验收、使用。</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7、我方决不提供虚假材料谋取中标、决不采取不正当手段诋毁、排挤其他供应商、决不与采购人、其它供应商或者采购人恶意串通、决不向采购人、采购人工作人员和评委进行商业贿赂、决不在采购过程中与采购人进行协商磋商、决不拒绝有关部门监督检查或提供虚假情况，如有违反，无条件接受贵方及相关管理部门的处罚。</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8、与本投标有关的正式联系方式为：</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固定电话：</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手机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供应商授权代表姓名（签字）：</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150"/>
        <w:jc w:val="both"/>
        <w:rPr>
          <w:rFonts w:hint="eastAsia" w:ascii="宋体" w:hAnsi="宋体" w:cs="宋体"/>
          <w:color w:val="auto"/>
          <w:sz w:val="24"/>
          <w:highlight w:val="none"/>
        </w:rPr>
      </w:pPr>
      <w:r>
        <w:rPr>
          <w:rFonts w:hint="eastAsia" w:ascii="宋体" w:hAnsi="宋体" w:eastAsia="宋体" w:cs="宋体"/>
          <w:b/>
          <w:bCs w:val="0"/>
          <w:color w:val="auto"/>
          <w:sz w:val="24"/>
          <w:szCs w:val="20"/>
          <w:highlight w:val="none"/>
          <w:lang w:val="en-US" w:eastAsia="zh-CN" w:bidi="ar-SA"/>
        </w:rPr>
        <w:t xml:space="preserve">附件</w:t>
      </w:r>
      <w:r>
        <w:rPr>
          <w:rFonts w:hint="eastAsia" w:ascii="宋体" w:hAnsi="宋体" w:eastAsia="宋体" w:cs="宋体"/>
          <w:b/>
          <w:bCs w:val="0"/>
          <w:color w:val="auto"/>
          <w:sz w:val="24"/>
          <w:szCs w:val="20"/>
          <w:highlight w:val="none"/>
          <w:lang w:val="en-US" w:eastAsia="zh-CN" w:bidi="ar-SA"/>
        </w:rPr>
        <w:t xml:space="preserve">二</w:t>
      </w:r>
      <w:r>
        <w:rPr>
          <w:rFonts w:hint="eastAsia" w:ascii="宋体" w:hAnsi="宋体" w:eastAsia="宋体" w:cs="宋体"/>
          <w:b/>
          <w:bCs w:val="0"/>
          <w:color w:val="auto"/>
          <w:sz w:val="24"/>
          <w:szCs w:val="20"/>
          <w:highlight w:val="none"/>
          <w:lang w:val="en-US" w:eastAsia="zh-CN" w:bidi="ar-SA"/>
        </w:rPr>
        <w:t xml:space="preserve">、</w:t>
      </w:r>
      <w:r>
        <w:rPr>
          <w:rFonts w:hint="eastAsia" w:ascii="宋体" w:hAnsi="宋体" w:eastAsia="宋体" w:cs="宋体"/>
          <w:b/>
          <w:bCs w:val="0"/>
          <w:color w:val="auto"/>
          <w:sz w:val="24"/>
          <w:szCs w:val="32"/>
          <w:highlight w:val="none"/>
          <w:lang w:val="en-US" w:eastAsia="zh-CN" w:bidi="ar-SA"/>
        </w:rPr>
        <w:t xml:space="preserve">法定代表人授权委托书</w:t>
      </w:r>
      <w:r/>
    </w:p>
    <w:p>
      <w:pPr>
        <w:ind w:firstLine="487"/>
        <w:jc w:val="center"/>
        <w:spacing w:before="156" w:after="156"/>
        <w:widowControl w:val="off"/>
        <w:rPr>
          <w:rFonts w:ascii="Times New Roman" w:hAnsi="Times New Roman" w:eastAsia="宋体" w:cs="Times New Roman"/>
          <w:b/>
          <w:bCs w:val="0"/>
          <w:color w:val="auto"/>
          <w:sz w:val="21"/>
          <w:szCs w:val="24"/>
          <w:highlight w:val="none"/>
          <w:lang w:val="en-US" w:eastAsia="zh-CN" w:bidi="ar-SA"/>
        </w:rPr>
        <w:outlineLvl w:val="1"/>
      </w:pPr>
      <w:r>
        <w:rPr>
          <w:rFonts w:hint="eastAsia" w:ascii="Times New Roman" w:hAnsi="Times New Roman" w:eastAsia="宋体" w:cs="Times New Roman"/>
          <w:b/>
          <w:bCs w:val="0"/>
          <w:color w:val="auto"/>
          <w:sz w:val="24"/>
          <w:szCs w:val="24"/>
          <w:highlight w:val="none"/>
          <w:lang w:val="en-US" w:eastAsia="zh-CN" w:bidi="ar-SA"/>
        </w:rPr>
        <w:t xml:space="preserve">法</w:t>
      </w:r>
      <w:r>
        <w:rPr>
          <w:rFonts w:ascii="Times New Roman" w:hAnsi="Times New Roman" w:eastAsia="宋体" w:cs="Times New Roman"/>
          <w:b/>
          <w:bCs w:val="0"/>
          <w:color w:val="auto"/>
          <w:sz w:val="24"/>
          <w:szCs w:val="24"/>
          <w:highlight w:val="none"/>
          <w:lang w:val="en-US" w:eastAsia="zh-CN" w:bidi="ar-SA"/>
        </w:rPr>
        <w:t xml:space="preserve">定代表人授权委托书（适用于法人/非法人）</w:t>
      </w:r>
      <w:r/>
    </w:p>
    <w:p>
      <w:pPr>
        <w:ind w:firstLine="420"/>
        <w:spacing w:line="3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本授权书声明：注册于</w:t>
      </w:r>
      <w:r>
        <w:rPr>
          <w:rFonts w:ascii="Times New Roman" w:hAnsi="Times New Roman" w:eastAsia="宋体" w:cs="Times New Roman"/>
          <w:color w:val="auto"/>
          <w:szCs w:val="21"/>
          <w:highlight w:val="none"/>
          <w:u w:val="single"/>
        </w:rPr>
        <w:t xml:space="preserve">（国家或地区的名称）</w:t>
      </w:r>
      <w:r>
        <w:rPr>
          <w:rFonts w:ascii="Times New Roman" w:hAnsi="Times New Roman" w:eastAsia="宋体" w:cs="Times New Roman"/>
          <w:color w:val="auto"/>
          <w:szCs w:val="21"/>
          <w:highlight w:val="none"/>
        </w:rPr>
        <w:t xml:space="preserve">的</w:t>
      </w:r>
      <w:r>
        <w:rPr>
          <w:rFonts w:ascii="Times New Roman" w:hAnsi="Times New Roman" w:eastAsia="宋体" w:cs="Times New Roman"/>
          <w:color w:val="auto"/>
          <w:szCs w:val="21"/>
          <w:highlight w:val="none"/>
          <w:u w:val="single"/>
        </w:rPr>
        <w:t xml:space="preserve">         （单位名称）      </w:t>
      </w:r>
      <w:r>
        <w:rPr>
          <w:rFonts w:ascii="Times New Roman" w:hAnsi="Times New Roman" w:eastAsia="宋体" w:cs="Times New Roman"/>
          <w:color w:val="auto"/>
          <w:szCs w:val="21"/>
          <w:highlight w:val="none"/>
        </w:rPr>
        <w:t xml:space="preserve">的在法定代表人（签字或盖章）处签字的</w:t>
      </w:r>
      <w:r>
        <w:rPr>
          <w:rFonts w:ascii="Times New Roman" w:hAnsi="Times New Roman" w:eastAsia="宋体" w:cs="Times New Roman"/>
          <w:color w:val="auto"/>
          <w:szCs w:val="21"/>
          <w:highlight w:val="none"/>
          <w:u w:val="single"/>
        </w:rPr>
        <w:t xml:space="preserve">   （法定代表人姓名、职务）   </w:t>
      </w:r>
      <w:r>
        <w:rPr>
          <w:rFonts w:ascii="Times New Roman" w:hAnsi="Times New Roman" w:eastAsia="宋体" w:cs="Times New Roman"/>
          <w:color w:val="auto"/>
          <w:szCs w:val="21"/>
          <w:highlight w:val="none"/>
        </w:rPr>
        <w:t xml:space="preserve">代表本单位授权 </w:t>
      </w:r>
      <w:r>
        <w:rPr>
          <w:rFonts w:ascii="Times New Roman" w:hAnsi="Times New Roman" w:eastAsia="宋体" w:cs="Times New Roman"/>
          <w:color w:val="auto"/>
          <w:szCs w:val="21"/>
          <w:highlight w:val="none"/>
          <w:u w:val="single"/>
        </w:rPr>
        <w:t xml:space="preserve">        （单位名称）      </w:t>
      </w:r>
      <w:r>
        <w:rPr>
          <w:rFonts w:ascii="Times New Roman" w:hAnsi="Times New Roman" w:eastAsia="宋体" w:cs="Times New Roman"/>
          <w:color w:val="auto"/>
          <w:szCs w:val="21"/>
          <w:highlight w:val="none"/>
        </w:rPr>
        <w:t xml:space="preserve">的在授权代表（签字）处签字的</w:t>
      </w:r>
      <w:r>
        <w:rPr>
          <w:rFonts w:ascii="Times New Roman" w:hAnsi="Times New Roman" w:eastAsia="宋体" w:cs="Times New Roman"/>
          <w:color w:val="auto"/>
          <w:szCs w:val="21"/>
          <w:highlight w:val="none"/>
          <w:u w:val="single"/>
        </w:rPr>
        <w:t xml:space="preserve">（授权代表的姓名、职务）（身份证号码：             ）</w:t>
      </w:r>
      <w:r>
        <w:rPr>
          <w:rFonts w:ascii="Times New Roman" w:hAnsi="Times New Roman" w:eastAsia="宋体" w:cs="Times New Roman"/>
          <w:color w:val="auto"/>
          <w:szCs w:val="21"/>
          <w:highlight w:val="none"/>
        </w:rPr>
        <w:t xml:space="preserve">为本单位的合法代理人，就</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项目（项目名称）（项目编号：</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w:t>
      </w:r>
      <w:r>
        <w:rPr>
          <w:rFonts w:ascii="Times New Roman" w:hAnsi="Times New Roman" w:eastAsia="宋体" w:cs="Times New Roman"/>
          <w:color w:val="auto"/>
          <w:szCs w:val="21"/>
          <w:highlight w:val="none"/>
        </w:rPr>
        <w:t xml:space="preserve">以本单位名义处理一切与之相关的事务，其后果由我单位承担。</w:t>
      </w:r>
      <w:r/>
    </w:p>
    <w:p>
      <w:pPr>
        <w:ind w:firstLine="420"/>
        <w:spacing w:line="30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代理人无转委托权，特此委托。</w:t>
      </w:r>
      <w:r/>
    </w:p>
    <w:p>
      <w:pPr>
        <w:ind w:firstLine="420"/>
        <w:spacing w:line="3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委托期限：自本授权委托书签署之日起至投标有效期届满之日止。</w:t>
      </w:r>
      <w:r/>
    </w:p>
    <w:p>
      <w:pPr>
        <w:ind w:firstLine="420"/>
        <w:spacing w:line="3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投标人名称（公章）：  </w:t>
      </w:r>
      <w:r>
        <w:rPr>
          <w:rFonts w:ascii="Times New Roman" w:hAnsi="Times New Roman" w:eastAsia="宋体" w:cs="Times New Roman"/>
          <w:color w:val="auto"/>
          <w:szCs w:val="21"/>
          <w:highlight w:val="none"/>
          <w:u w:val="single"/>
        </w:rPr>
        <w:t xml:space="preserve">                          </w:t>
      </w:r>
      <w:r/>
    </w:p>
    <w:p>
      <w:pPr>
        <w:ind w:firstLine="420"/>
        <w:spacing w:line="300" w:lineRule="exact"/>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法定代表人（签字或盖章）： </w:t>
      </w:r>
      <w:r>
        <w:rPr>
          <w:rFonts w:ascii="Times New Roman" w:hAnsi="Times New Roman" w:eastAsia="宋体" w:cs="Times New Roman"/>
          <w:color w:val="auto"/>
          <w:szCs w:val="21"/>
          <w:highlight w:val="none"/>
          <w:u w:val="single"/>
        </w:rPr>
        <w:t xml:space="preserve">                     </w:t>
      </w:r>
      <w:r/>
    </w:p>
    <w:p>
      <w:pPr>
        <w:ind w:firstLine="420"/>
        <w:jc w:val="both"/>
        <w:spacing w:after="156" w:line="30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  </w:t>
      </w:r>
      <w:r>
        <w:rPr>
          <w:rFonts w:ascii="Times New Roman" w:hAnsi="Times New Roman" w:eastAsia="宋体" w:cs="Times New Roman"/>
          <w:color w:val="auto"/>
          <w:sz w:val="21"/>
          <w:szCs w:val="21"/>
          <w:highlight w:val="none"/>
          <w:u w:val="single"/>
          <w:lang w:val="en-US" w:eastAsia="zh-CN" w:bidi="ar-SA"/>
        </w:rPr>
        <w:t xml:space="preserve">                                 </w:t>
      </w:r>
      <w:r/>
    </w:p>
    <w:p>
      <w:pPr>
        <w:ind w:firstLine="420"/>
        <w:spacing w:line="300" w:lineRule="exact"/>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授权代表（签字）：</w:t>
      </w:r>
      <w:r>
        <w:rPr>
          <w:rFonts w:ascii="Times New Roman" w:hAnsi="Times New Roman" w:eastAsia="宋体" w:cs="Times New Roman"/>
          <w:color w:val="auto"/>
          <w:szCs w:val="21"/>
          <w:highlight w:val="none"/>
          <w:u w:val="single"/>
        </w:rPr>
        <w:t xml:space="preserve">                            </w:t>
      </w:r>
      <w:r/>
    </w:p>
    <w:p>
      <w:pPr>
        <w:ind w:firstLine="420"/>
        <w:jc w:val="both"/>
        <w:spacing w:after="156" w:line="30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w:t>
      </w:r>
      <w:r>
        <w:rPr>
          <w:rFonts w:ascii="Times New Roman" w:hAnsi="Times New Roman" w:eastAsia="宋体" w:cs="Times New Roman"/>
          <w:color w:val="auto"/>
          <w:sz w:val="21"/>
          <w:szCs w:val="21"/>
          <w:highlight w:val="none"/>
          <w:u w:val="single"/>
          <w:lang w:val="en-US" w:eastAsia="zh-CN" w:bidi="ar-SA"/>
        </w:rPr>
        <w:t xml:space="preserve">                                   </w:t>
      </w:r>
      <w:r/>
    </w:p>
    <w:p>
      <w:pPr>
        <w:spacing w:line="48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附：法定代表人有效期内的</w:t>
      </w:r>
      <w:r>
        <w:rPr>
          <w:rFonts w:ascii="Times New Roman" w:hAnsi="Times New Roman" w:eastAsia="宋体" w:cs="Times New Roman"/>
          <w:color w:val="auto"/>
          <w:highlight w:val="none"/>
        </w:rPr>
        <w:t xml:space="preserve">身份证复印件（正反面）</w:t>
      </w:r>
      <w:r/>
    </w:p>
    <w:tbl>
      <w:tblPr>
        <w:tblStyle w:val="97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0" w:right="0" w:firstLine="485"/>
              <w:jc w:val="center"/>
              <w:keepLines w:val="0"/>
              <w:keepNext w:val="0"/>
              <w:spacing w:before="0" w:beforeAutospacing="0" w:after="156" w:afterAutospacing="0" w:line="300" w:lineRule="exact"/>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84" w:type="dxa"/>
            <w:vAlign w:val="top"/>
            <w:textDirection w:val="lrTb"/>
            <w:noWrap w:val="false"/>
          </w:tcPr>
          <w:p>
            <w:pPr>
              <w:ind w:left="0" w:right="0" w:firstLine="404"/>
              <w:jc w:val="left"/>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77" w:type="dxa"/>
            <w:vAlign w:val="center"/>
            <w:textDirection w:val="lrTb"/>
            <w:noWrap w:val="false"/>
          </w:tcPr>
          <w:p>
            <w:pPr>
              <w:ind w:left="0" w:right="0" w:firstLine="485"/>
              <w:jc w:val="center"/>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spacing w:line="48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授权代表有效期内的身份证复印件</w:t>
      </w:r>
      <w:r>
        <w:rPr>
          <w:rFonts w:ascii="Times New Roman" w:hAnsi="Times New Roman" w:eastAsia="宋体" w:cs="Times New Roman"/>
          <w:color w:val="auto"/>
          <w:highlight w:val="none"/>
        </w:rPr>
        <w:t xml:space="preserve">（正反面）</w:t>
      </w:r>
      <w:r/>
    </w:p>
    <w:tbl>
      <w:tblPr>
        <w:tblStyle w:val="977"/>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0" w:right="0" w:firstLine="485"/>
              <w:jc w:val="center"/>
              <w:keepLines w:val="0"/>
              <w:keepNext w:val="0"/>
              <w:spacing w:before="0" w:beforeAutospacing="0" w:after="156" w:afterAutospacing="0" w:line="300" w:lineRule="exact"/>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78" w:type="dxa"/>
            <w:vAlign w:val="top"/>
            <w:textDirection w:val="lrTb"/>
            <w:noWrap w:val="false"/>
          </w:tcPr>
          <w:p>
            <w:pPr>
              <w:ind w:left="0" w:right="0" w:firstLine="404"/>
              <w:jc w:val="left"/>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95" w:type="dxa"/>
            <w:vAlign w:val="center"/>
            <w:textDirection w:val="lrTb"/>
            <w:noWrap w:val="false"/>
          </w:tcPr>
          <w:p>
            <w:pPr>
              <w:ind w:left="0" w:right="0" w:firstLine="485"/>
              <w:jc w:val="center"/>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ind w:firstLine="426"/>
        <w:jc w:val="both"/>
        <w:spacing w:after="156" w:line="300" w:lineRule="exac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注： </w:t>
      </w:r>
      <w:r/>
    </w:p>
    <w:p>
      <w:pPr>
        <w:ind w:firstLine="426"/>
        <w:jc w:val="both"/>
        <w:spacing w:after="156" w:line="300" w:lineRule="exac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1.若供应商为分公司或分支机构等无法定代表人的机构（仅当招标文件注明允许分公司或分支机构等投标时），则本投标文件各法定代表人签字处的签署人可为单位负责人。</w:t>
      </w:r>
      <w:r/>
    </w:p>
    <w:p>
      <w:pPr>
        <w:ind w:firstLine="426"/>
        <w:jc w:val="both"/>
        <w:spacing w:after="156" w:line="300" w:lineRule="exac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2.若投标文件中签字之处均为法定代表人本人签署，则可不提供本《授权委托书》，但须提供《法定代表人（非法人单位负责人）身份证明》。</w:t>
      </w:r>
      <w:r/>
    </w:p>
    <w:p>
      <w:pPr>
        <w:ind w:firstLine="487"/>
        <w:jc w:val="center"/>
        <w:spacing w:before="156" w:after="156"/>
        <w:widowControl w:val="off"/>
        <w:rPr>
          <w:rFonts w:ascii="Times New Roman" w:hAnsi="Times New Roman" w:eastAsia="宋体" w:cs="Times New Roman"/>
          <w:b/>
          <w:bCs w:val="0"/>
          <w:color w:val="auto"/>
          <w:sz w:val="21"/>
          <w:szCs w:val="24"/>
          <w:highlight w:val="none"/>
          <w:lang w:val="en-US" w:eastAsia="zh-CN" w:bidi="ar-SA"/>
        </w:rPr>
        <w:outlineLvl w:val="1"/>
      </w:pPr>
      <w:r>
        <w:rPr>
          <w:rFonts w:ascii="Times New Roman" w:hAnsi="Times New Roman" w:eastAsia="宋体" w:cs="Times New Roman"/>
          <w:b/>
          <w:bCs w:val="0"/>
          <w:color w:val="auto"/>
          <w:sz w:val="24"/>
          <w:szCs w:val="24"/>
          <w:highlight w:val="none"/>
          <w:lang w:val="en-US" w:eastAsia="zh-CN" w:bidi="ar-SA"/>
        </w:rPr>
        <w:t xml:space="preserve">授权委托书（适用于自然人投标）</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20"/>
        <w:spacing w:line="46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本授权书声明：我</w:t>
      </w:r>
      <w:r>
        <w:rPr>
          <w:rFonts w:ascii="Times New Roman" w:hAnsi="Times New Roman" w:eastAsia="宋体" w:cs="Times New Roman"/>
          <w:color w:val="auto"/>
          <w:szCs w:val="21"/>
          <w:highlight w:val="none"/>
          <w:u w:val="single"/>
        </w:rPr>
        <w:t xml:space="preserve">    （姓名）    </w:t>
      </w:r>
      <w:r>
        <w:rPr>
          <w:rFonts w:ascii="Times New Roman" w:hAnsi="Times New Roman" w:eastAsia="宋体" w:cs="Times New Roman"/>
          <w:color w:val="auto"/>
          <w:szCs w:val="21"/>
          <w:highlight w:val="none"/>
        </w:rPr>
        <w:t xml:space="preserve">系自然人，现授权在授权代表（签字）处签字的</w:t>
      </w:r>
      <w:r>
        <w:rPr>
          <w:rFonts w:ascii="Times New Roman" w:hAnsi="Times New Roman" w:eastAsia="宋体" w:cs="Times New Roman"/>
          <w:color w:val="auto"/>
          <w:szCs w:val="21"/>
          <w:highlight w:val="none"/>
          <w:u w:val="single"/>
        </w:rPr>
        <w:t xml:space="preserve">（授权代表的姓名）（身份证号码：             ）</w:t>
      </w:r>
      <w:r>
        <w:rPr>
          <w:rFonts w:ascii="Times New Roman" w:hAnsi="Times New Roman" w:eastAsia="宋体" w:cs="Times New Roman"/>
          <w:color w:val="auto"/>
          <w:szCs w:val="21"/>
          <w:highlight w:val="none"/>
        </w:rPr>
        <w:t xml:space="preserve">为本人的合法代理人，就</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项目（项目名称）（项目编号：</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w:t>
      </w:r>
      <w:r>
        <w:rPr>
          <w:rFonts w:ascii="Times New Roman" w:hAnsi="Times New Roman" w:eastAsia="宋体" w:cs="Times New Roman"/>
          <w:color w:val="auto"/>
          <w:szCs w:val="21"/>
          <w:highlight w:val="none"/>
        </w:rPr>
        <w:t xml:space="preserve">，以本人名义处理一切与之相关的事务，其后果由我本人承担。</w:t>
      </w:r>
      <w:r/>
    </w:p>
    <w:p>
      <w:pPr>
        <w:ind w:firstLine="420"/>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代理人无转委托权，特此委托。</w:t>
      </w:r>
      <w:r/>
    </w:p>
    <w:p>
      <w:pPr>
        <w:ind w:firstLine="420"/>
        <w:spacing w:line="46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委托期限：自本授权委托书签署之日起至投标有效期届满之日止。</w:t>
      </w:r>
      <w:r/>
    </w:p>
    <w:p>
      <w:pPr>
        <w:ind w:firstLine="420"/>
        <w:spacing w:line="46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自然人姓名（签字）：  </w:t>
      </w:r>
      <w:r>
        <w:rPr>
          <w:rFonts w:ascii="Times New Roman" w:hAnsi="Times New Roman" w:eastAsia="宋体" w:cs="Times New Roman"/>
          <w:color w:val="auto"/>
          <w:szCs w:val="21"/>
          <w:highlight w:val="none"/>
          <w:u w:val="single"/>
        </w:rPr>
        <w:t xml:space="preserve">                          </w:t>
      </w:r>
      <w:r/>
    </w:p>
    <w:p>
      <w:pPr>
        <w:ind w:firstLine="420"/>
        <w:jc w:val="both"/>
        <w:spacing w:after="156" w:line="46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  </w:t>
      </w:r>
      <w:r>
        <w:rPr>
          <w:rFonts w:ascii="Times New Roman" w:hAnsi="Times New Roman" w:eastAsia="宋体" w:cs="Times New Roman"/>
          <w:color w:val="auto"/>
          <w:sz w:val="21"/>
          <w:szCs w:val="21"/>
          <w:highlight w:val="none"/>
          <w:u w:val="single"/>
          <w:lang w:val="en-US" w:eastAsia="zh-CN" w:bidi="ar-SA"/>
        </w:rPr>
        <w:t xml:space="preserve">                                 </w:t>
      </w:r>
      <w:r/>
    </w:p>
    <w:p>
      <w:pPr>
        <w:ind w:firstLine="420"/>
        <w:spacing w:line="460" w:lineRule="exact"/>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授权代表（签字）：</w:t>
      </w:r>
      <w:r>
        <w:rPr>
          <w:rFonts w:ascii="Times New Roman" w:hAnsi="Times New Roman" w:eastAsia="宋体" w:cs="Times New Roman"/>
          <w:color w:val="auto"/>
          <w:szCs w:val="21"/>
          <w:highlight w:val="none"/>
          <w:u w:val="single"/>
        </w:rPr>
        <w:t xml:space="preserve">                            </w:t>
      </w:r>
      <w:r/>
    </w:p>
    <w:p>
      <w:pPr>
        <w:ind w:firstLine="420"/>
        <w:jc w:val="both"/>
        <w:spacing w:after="156" w:line="46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w:t>
      </w:r>
      <w:r>
        <w:rPr>
          <w:rFonts w:ascii="Times New Roman" w:hAnsi="Times New Roman" w:eastAsia="宋体" w:cs="Times New Roman"/>
          <w:color w:val="auto"/>
          <w:sz w:val="21"/>
          <w:szCs w:val="21"/>
          <w:highlight w:val="none"/>
          <w:u w:val="single"/>
          <w:lang w:val="en-US" w:eastAsia="zh-CN" w:bidi="ar-SA"/>
        </w:rPr>
        <w:t xml:space="preserve">                                   </w:t>
      </w:r>
      <w:r/>
    </w:p>
    <w:p>
      <w:pPr>
        <w:spacing w:line="48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附：</w:t>
      </w:r>
      <w:r>
        <w:rPr>
          <w:rFonts w:ascii="Times New Roman" w:hAnsi="Times New Roman" w:eastAsia="宋体" w:cs="Times New Roman"/>
          <w:color w:val="auto"/>
          <w:highlight w:val="none"/>
        </w:rPr>
        <w:t xml:space="preserve">自然人</w:t>
      </w:r>
      <w:r>
        <w:rPr>
          <w:rFonts w:ascii="Times New Roman" w:hAnsi="Times New Roman" w:eastAsia="宋体" w:cs="Times New Roman"/>
          <w:color w:val="auto"/>
          <w:szCs w:val="21"/>
          <w:highlight w:val="none"/>
        </w:rPr>
        <w:t xml:space="preserve">有效期内的</w:t>
      </w:r>
      <w:r>
        <w:rPr>
          <w:rFonts w:ascii="Times New Roman" w:hAnsi="Times New Roman" w:eastAsia="宋体" w:cs="Times New Roman"/>
          <w:color w:val="auto"/>
          <w:highlight w:val="none"/>
        </w:rPr>
        <w:t xml:space="preserve">身份证复印件（正反面）</w:t>
      </w:r>
      <w:r/>
    </w:p>
    <w:tbl>
      <w:tblPr>
        <w:tblStyle w:val="97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0" w:right="0" w:firstLine="485"/>
              <w:jc w:val="center"/>
              <w:keepLines w:val="0"/>
              <w:keepNext w:val="0"/>
              <w:spacing w:before="0" w:beforeAutospacing="0" w:after="156" w:afterAutospacing="0"/>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84" w:type="dxa"/>
            <w:vAlign w:val="top"/>
            <w:textDirection w:val="lrTb"/>
            <w:noWrap w:val="false"/>
          </w:tcPr>
          <w:p>
            <w:pPr>
              <w:ind w:left="0" w:right="0" w:firstLine="404"/>
              <w:jc w:val="left"/>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77" w:type="dxa"/>
            <w:vAlign w:val="center"/>
            <w:textDirection w:val="lrTb"/>
            <w:noWrap w:val="false"/>
          </w:tcPr>
          <w:p>
            <w:pPr>
              <w:ind w:left="0" w:right="0" w:firstLine="485"/>
              <w:jc w:val="center"/>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jc w:val="both"/>
        <w:spacing w:after="156"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授权代表有效期内的身份证复印件（正反面）</w:t>
      </w:r>
      <w:r/>
    </w:p>
    <w:tbl>
      <w:tblPr>
        <w:tblStyle w:val="977"/>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0" w:right="0" w:firstLine="485"/>
              <w:jc w:val="center"/>
              <w:keepLines w:val="0"/>
              <w:keepNext w:val="0"/>
              <w:spacing w:before="0" w:beforeAutospacing="0" w:after="156" w:afterAutospacing="0"/>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78" w:type="dxa"/>
            <w:vAlign w:val="top"/>
            <w:textDirection w:val="lrTb"/>
            <w:noWrap w:val="false"/>
          </w:tcPr>
          <w:p>
            <w:pPr>
              <w:ind w:left="0" w:right="0" w:firstLine="404"/>
              <w:jc w:val="left"/>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95" w:type="dxa"/>
            <w:vAlign w:val="center"/>
            <w:textDirection w:val="lrTb"/>
            <w:noWrap w:val="false"/>
          </w:tcPr>
          <w:p>
            <w:pPr>
              <w:ind w:left="0" w:right="0" w:firstLine="485"/>
              <w:jc w:val="center"/>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ind w:firstLine="426"/>
        <w:jc w:val="both"/>
        <w:spacing w:after="156" w:line="240" w:lineRule="atLeas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注：若投标文件中签字之处均为投标自然人本人签署，则可不提供本《授权委托书》，但须提供自然人身份证复印件。</w:t>
      </w:r>
      <w:r/>
    </w:p>
    <w:p>
      <w:pPr>
        <w:pStyle w:val="1150"/>
        <w:jc w:val="both"/>
        <w:rPr>
          <w:rFonts w:hint="eastAsia" w:ascii="宋体" w:hAnsi="宋体" w:cs="宋体"/>
          <w:color w:val="auto"/>
          <w:sz w:val="24"/>
          <w:highlight w:val="none"/>
        </w:rPr>
      </w:pPr>
      <w:r>
        <w:rPr>
          <w:rFonts w:hint="eastAsia" w:ascii="宋体" w:hAnsi="宋体" w:cs="宋体"/>
          <w:b w:val="0"/>
          <w:bCs/>
          <w:color w:val="auto"/>
          <w:szCs w:val="21"/>
          <w:highlight w:val="none"/>
        </w:rPr>
        <w:br w:type="page" w:clear="all"/>
      </w:r>
      <w:r>
        <w:rPr>
          <w:rFonts w:hint="eastAsia" w:ascii="宋体" w:hAnsi="宋体" w:eastAsia="宋体" w:cs="宋体"/>
          <w:b/>
          <w:bCs w:val="0"/>
          <w:color w:val="auto"/>
          <w:sz w:val="24"/>
          <w:szCs w:val="20"/>
          <w:highlight w:val="none"/>
          <w:lang w:val="en-US" w:eastAsia="zh-CN" w:bidi="ar-SA"/>
        </w:rPr>
        <w:t xml:space="preserve">附件三、报价一览表</w:t>
      </w:r>
      <w:r/>
    </w:p>
    <w:p>
      <w:pPr>
        <w:jc w:val="center"/>
        <w:spacing w:line="440" w:lineRule="exact"/>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440" w:lineRule="exact"/>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初始报价一览表</w:t>
      </w:r>
      <w:r/>
    </w:p>
    <w:p>
      <w:pPr>
        <w:jc w:val="center"/>
        <w:spacing w:line="440" w:lineRule="exact"/>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r>
      <w:r/>
    </w:p>
    <w:tbl>
      <w:tblPr>
        <w:tblStyle w:val="977"/>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2"/>
        <w:gridCol w:w="3330"/>
        <w:gridCol w:w="1724"/>
        <w:gridCol w:w="2729"/>
      </w:tblGrid>
      <w:tr>
        <w:trPr>
          <w:trHeight w:val="907"/>
        </w:trPr>
        <w:tc>
          <w:tcPr>
            <w:gridSpan w:val="2"/>
            <w:tcW w:w="4932" w:type="dxa"/>
            <w:vAlign w:val="center"/>
            <w:textDirection w:val="lrTb"/>
            <w:noWrap w:val="false"/>
          </w:tcPr>
          <w:p>
            <w:pPr>
              <w:jc w:val="lef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项目名称：</w:t>
            </w:r>
            <w:r/>
          </w:p>
        </w:tc>
        <w:tc>
          <w:tcPr>
            <w:gridSpan w:val="2"/>
            <w:tcW w:w="445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r>
      <w:tr>
        <w:trPr>
          <w:trHeight w:val="907"/>
        </w:trPr>
        <w:tc>
          <w:tcPr>
            <w:tcW w:w="16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投标报价</w:t>
            </w:r>
            <w:r/>
          </w:p>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（元）</w:t>
            </w:r>
            <w:r/>
          </w:p>
        </w:tc>
        <w:tc>
          <w:tcPr>
            <w:gridSpan w:val="2"/>
            <w:tcW w:w="5054"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小写（人民币）：</w:t>
            </w:r>
            <w:r/>
          </w:p>
          <w:p>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大写：</w:t>
            </w:r>
            <w:r/>
          </w:p>
        </w:tc>
        <w:tc>
          <w:tcPr>
            <w:tcW w:w="2729"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备注：</w:t>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color w:val="auto"/>
          <w:szCs w:val="21"/>
          <w:highlight w:val="none"/>
          <w:lang w:val="zh-CN"/>
        </w:rPr>
      </w:r>
      <w:r/>
    </w:p>
    <w:p>
      <w:pPr>
        <w:tabs>
          <w:tab w:val="left" w:pos="6045" w:leader="none"/>
        </w:tabs>
        <w:rPr>
          <w:rFonts w:hAnsi="宋体" w:cs="宋体"/>
          <w:b/>
          <w:bCs/>
          <w:color w:val="auto"/>
          <w:highlight w:val="none"/>
        </w:rPr>
      </w:pPr>
      <w:r>
        <w:rPr>
          <w:rFonts w:hAnsi="宋体" w:cs="宋体"/>
          <w:b/>
          <w:bCs/>
          <w:color w:val="auto"/>
          <w:highlight w:val="none"/>
        </w:rPr>
      </w:r>
      <w:r/>
    </w:p>
    <w:p>
      <w:pPr>
        <w:numPr>
          <w:ilvl w:val="0"/>
          <w:numId w:val="0"/>
        </w:numPr>
        <w:jc w:val="righ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供应商全称（盖章）：</w:t>
      </w:r>
      <w:r/>
    </w:p>
    <w:p>
      <w:pPr>
        <w:jc w:val="right"/>
        <w:spacing w:line="360" w:lineRule="auto"/>
        <w:rPr>
          <w:rFonts w:hint="eastAsia" w:hAnsi="宋体" w:cs="宋体"/>
          <w:color w:val="auto"/>
          <w:szCs w:val="21"/>
          <w:highlight w:val="none"/>
        </w:rPr>
      </w:pPr>
      <w:r>
        <w:rPr>
          <w:rFonts w:hint="eastAsia" w:hAnsi="宋体" w:cs="宋体"/>
          <w:color w:val="auto"/>
          <w:szCs w:val="21"/>
          <w:highlight w:val="none"/>
        </w:rPr>
        <w:t xml:space="preserve">法人代表或授权代表（签字或盖章）：</w:t>
      </w:r>
      <w:r/>
    </w:p>
    <w:p>
      <w:pPr>
        <w:jc w:val="right"/>
        <w:spacing w:line="360" w:lineRule="auto"/>
        <w:rPr>
          <w:rFonts w:hint="eastAsia" w:hAnsi="宋体" w:cs="宋体"/>
          <w:bCs/>
          <w:i/>
          <w:iCs/>
          <w:color w:val="auto"/>
          <w:szCs w:val="21"/>
          <w:highlight w:val="none"/>
          <w:u w:val="single"/>
        </w:rPr>
      </w:pPr>
      <w:r>
        <w:rPr>
          <w:rFonts w:hint="eastAsia" w:hAnsi="宋体" w:cs="宋体"/>
          <w:color w:val="auto"/>
          <w:szCs w:val="21"/>
          <w:highlight w:val="none"/>
        </w:rPr>
        <w:t xml:space="preserve">日期：   </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年</w:t>
      </w:r>
      <w:r>
        <w:rPr>
          <w:rFonts w:hint="eastAsia" w:hAnsi="宋体" w:cs="宋体"/>
          <w:color w:val="auto"/>
          <w:szCs w:val="21"/>
          <w:highlight w:val="none"/>
          <w:u w:val="single"/>
        </w:rPr>
        <w:t xml:space="preserve"> </w:t>
      </w:r>
      <w:r>
        <w:rPr>
          <w:rFonts w:hint="eastAsia" w:hAnsi="宋体" w:cs="宋体"/>
          <w:color w:val="auto"/>
          <w:szCs w:val="21"/>
          <w:highlight w:val="none"/>
          <w:u w:val="single"/>
        </w:rPr>
        <w:tab/>
      </w:r>
      <w:r>
        <w:rPr>
          <w:rFonts w:hint="eastAsia" w:hAnsi="宋体" w:cs="宋体"/>
          <w:color w:val="auto"/>
          <w:szCs w:val="21"/>
          <w:highlight w:val="none"/>
          <w:u w:val="single"/>
        </w:rPr>
        <w:t xml:space="preserve"> </w:t>
      </w:r>
      <w:r>
        <w:rPr>
          <w:rFonts w:hint="eastAsia" w:hAnsi="宋体" w:cs="宋体"/>
          <w:color w:val="auto"/>
          <w:szCs w:val="21"/>
          <w:highlight w:val="none"/>
        </w:rPr>
        <w:t xml:space="preserve">月</w:t>
      </w:r>
      <w:r>
        <w:rPr>
          <w:rFonts w:hint="eastAsia" w:hAnsi="宋体" w:cs="宋体"/>
          <w:color w:val="auto"/>
          <w:szCs w:val="21"/>
          <w:highlight w:val="none"/>
          <w:u w:val="single"/>
        </w:rPr>
        <w:t xml:space="preserve">   </w:t>
      </w:r>
      <w:r>
        <w:rPr>
          <w:rFonts w:hint="eastAsia" w:hAnsi="宋体" w:cs="宋体"/>
          <w:color w:val="auto"/>
          <w:szCs w:val="21"/>
          <w:highlight w:val="none"/>
        </w:rPr>
        <w:t xml:space="preserve">日</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50"/>
        <w:jc w:val="both"/>
        <w:rPr>
          <w:rFonts w:ascii="宋体" w:hAnsi="宋体" w:eastAsia="宋体" w:cs="宋体"/>
          <w:color w:val="auto"/>
          <w:highlight w:val="none"/>
          <w:lang w:val="en-US" w:eastAsia="zh-CN"/>
        </w:rPr>
      </w:pPr>
      <w:r>
        <w:rPr>
          <w:rFonts w:hint="eastAsia" w:ascii="宋体" w:hAnsi="宋体" w:cs="宋体"/>
          <w:b w:val="0"/>
          <w:bCs/>
          <w:color w:val="auto"/>
          <w:szCs w:val="21"/>
          <w:highlight w:val="none"/>
        </w:rPr>
        <w:br w:type="page" w:clear="all"/>
      </w:r>
      <w:bookmarkStart w:id="385" w:name="_Toc107246280"/>
      <w:r>
        <w:rPr>
          <w:rFonts w:hint="eastAsia" w:ascii="宋体" w:hAnsi="宋体" w:eastAsia="宋体" w:cs="宋体"/>
          <w:b/>
          <w:bCs w:val="0"/>
          <w:color w:val="auto"/>
          <w:sz w:val="24"/>
          <w:szCs w:val="20"/>
          <w:highlight w:val="none"/>
          <w:lang w:val="en-US" w:eastAsia="zh-CN" w:bidi="ar-SA"/>
        </w:rPr>
        <w:t xml:space="preserve">附件四、</w:t>
      </w:r>
      <w:bookmarkEnd w:id="385"/>
      <w:r>
        <w:rPr>
          <w:rFonts w:hint="eastAsia" w:ascii="宋体" w:hAnsi="宋体" w:eastAsia="宋体" w:cs="宋体"/>
          <w:b/>
          <w:bCs w:val="0"/>
          <w:color w:val="auto"/>
          <w:sz w:val="24"/>
          <w:szCs w:val="20"/>
          <w:highlight w:val="none"/>
          <w:lang w:val="en-US" w:eastAsia="zh-CN" w:bidi="ar-SA"/>
        </w:rPr>
        <w:t xml:space="preserve">分项报价表</w:t>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jc w:val="center"/>
        <w:spacing w:line="360" w:lineRule="auto"/>
        <w:widowControl/>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分项报价表</w:t>
      </w:r>
      <w:r/>
    </w:p>
    <w:tbl>
      <w:tblPr>
        <w:tblStyle w:val="97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705"/>
        <w:gridCol w:w="1115"/>
        <w:gridCol w:w="4183"/>
      </w:tblGrid>
      <w:tr>
        <w:trPr>
          <w:jc w:val="center"/>
          <w:trHeight w:val="677"/>
        </w:trPr>
        <w:tc>
          <w:tcPr>
            <w:gridSpan w:val="2"/>
            <w:tcW w:w="4367" w:type="dxa"/>
            <w:vAlign w:val="center"/>
            <w:textDirection w:val="lrTb"/>
            <w:noWrap w:val="false"/>
          </w:tcPr>
          <w:p>
            <w:pPr>
              <w:jc w:val="left"/>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Cs w:val="21"/>
                <w:highlight w:val="none"/>
              </w:rPr>
              <w:t xml:space="preserve">项目名称：</w:t>
            </w:r>
            <w:r/>
          </w:p>
        </w:tc>
        <w:tc>
          <w:tcPr>
            <w:gridSpan w:val="2"/>
            <w:tcW w:w="5298"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项目编号：</w:t>
            </w:r>
            <w:r/>
          </w:p>
        </w:tc>
      </w:tr>
      <w:tr>
        <w:trPr>
          <w:jc w:val="center"/>
        </w:trPr>
        <w:tc>
          <w:tcPr>
            <w:tcW w:w="662" w:type="dxa"/>
            <w:vAlign w:val="center"/>
            <w:textDirection w:val="lrTb"/>
            <w:noWrap w:val="false"/>
          </w:tcPr>
          <w:p>
            <w:pPr>
              <w:jc w:val="center"/>
              <w:spacing w:line="360" w:lineRule="auto"/>
              <w:widowControl/>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tcW w:w="1596" w:type="dxa"/>
            <w:vAlign w:val="center"/>
            <w:textDirection w:val="lrTb"/>
            <w:noWrap w:val="false"/>
          </w:tcPr>
          <w:p>
            <w:pPr>
              <w:jc w:val="center"/>
              <w:spacing w:line="360" w:lineRule="auto"/>
              <w:widowControl/>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总诊疗人次数</w:t>
            </w:r>
            <w:r/>
          </w:p>
          <w:p>
            <w:pPr>
              <w:jc w:val="center"/>
              <w:spacing w:line="360" w:lineRule="auto"/>
              <w:widowControl/>
              <w:rPr>
                <w:rFonts w:hint="eastAsia" w:ascii="宋体" w:hAnsi="宋体" w:eastAsia="宋体" w:cs="宋体"/>
                <w:b/>
                <w:bCs/>
                <w:color w:val="auto"/>
                <w:sz w:val="21"/>
                <w:szCs w:val="21"/>
                <w:highlight w:val="none"/>
                <w:u w:val="none"/>
                <w:lang w:val="en-US" w:bidi="ar"/>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元/人次</w:t>
            </w:r>
            <w:r>
              <w:rPr>
                <w:rFonts w:hint="eastAsia" w:ascii="宋体" w:hAnsi="宋体" w:eastAsia="宋体" w:cs="宋体"/>
                <w:b/>
                <w:bCs w:val="0"/>
                <w:color w:val="auto"/>
                <w:sz w:val="21"/>
                <w:szCs w:val="21"/>
                <w:highlight w:val="none"/>
                <w:lang w:eastAsia="zh-CN"/>
              </w:rPr>
              <w:t xml:space="preserve">）</w:t>
            </w:r>
            <w:r/>
          </w:p>
        </w:tc>
        <w:tc>
          <w:tcPr>
            <w:tcW w:w="111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出院人数</w:t>
            </w:r>
            <w:r/>
          </w:p>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元/人</w:t>
            </w:r>
            <w:r>
              <w:rPr>
                <w:rFonts w:hint="eastAsia" w:ascii="宋体" w:hAnsi="宋体" w:eastAsia="宋体" w:cs="宋体"/>
                <w:b/>
                <w:bCs w:val="0"/>
                <w:color w:val="auto"/>
                <w:sz w:val="21"/>
                <w:szCs w:val="21"/>
                <w:highlight w:val="none"/>
                <w:lang w:eastAsia="zh-CN"/>
              </w:rPr>
              <w:t xml:space="preserve">）</w:t>
            </w:r>
            <w:r/>
          </w:p>
        </w:tc>
        <w:tc>
          <w:tcPr>
            <w:tcW w:w="162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住院手术人次数</w:t>
            </w:r>
            <w:r/>
          </w:p>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元/人次</w:t>
            </w:r>
            <w:r>
              <w:rPr>
                <w:rFonts w:hint="eastAsia" w:ascii="宋体" w:hAnsi="宋体" w:eastAsia="宋体" w:cs="宋体"/>
                <w:b/>
                <w:bCs w:val="0"/>
                <w:color w:val="auto"/>
                <w:sz w:val="21"/>
                <w:szCs w:val="21"/>
                <w:highlight w:val="none"/>
                <w:lang w:eastAsia="zh-CN"/>
              </w:rPr>
              <w:t xml:space="preserve">）</w:t>
            </w:r>
            <w:r/>
          </w:p>
        </w:tc>
      </w:tr>
      <w:tr>
        <w:trPr>
          <w:jc w:val="center"/>
        </w:trPr>
        <w:tc>
          <w:tcPr>
            <w:tcW w:w="66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分项报价</w:t>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1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0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说明：1、总诊疗人次数、出院人数、住院手术人次数的数值参考“</w:t>
      </w:r>
      <w:r>
        <w:rPr>
          <w:rFonts w:hint="eastAsia" w:ascii="宋体" w:hAnsi="宋体" w:eastAsia="宋体" w:cs="宋体"/>
          <w:color w:val="auto"/>
          <w:szCs w:val="21"/>
          <w:highlight w:val="none"/>
          <w:lang w:val="en-US" w:eastAsia="zh-CN"/>
        </w:rPr>
        <w:t xml:space="preserve">江苏省肿瘤</w:t>
      </w:r>
      <w:r>
        <w:rPr>
          <w:rFonts w:hint="eastAsia" w:ascii="宋体" w:hAnsi="宋体" w:eastAsia="宋体" w:cs="宋体"/>
          <w:color w:val="auto"/>
          <w:szCs w:val="21"/>
          <w:highlight w:val="none"/>
          <w:lang w:val="zh-CN"/>
        </w:rPr>
        <w:t xml:space="preserve">医院2023、</w:t>
      </w:r>
      <w:r>
        <w:rPr>
          <w:rFonts w:hint="eastAsia" w:ascii="宋体" w:hAnsi="宋体" w:eastAsia="宋体" w:cs="宋体"/>
          <w:color w:val="auto"/>
          <w:szCs w:val="21"/>
          <w:highlight w:val="none"/>
          <w:lang w:val="en-US" w:eastAsia="zh-CN"/>
        </w:rPr>
        <w:t xml:space="preserve">2024</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rPr>
        <w:t xml:space="preserve">0</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rPr>
        <w:t xml:space="preserve">5</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 xml:space="preserve">度部分医疗数据情况”对应表格数据。。</w:t>
      </w:r>
      <w:r/>
    </w:p>
    <w:p>
      <w:pPr>
        <w:ind w:firstLine="630"/>
        <w:jc w:val="left"/>
        <w:spacing w:line="300" w:lineRule="auto"/>
        <w:widowControl/>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2、在“</w:t>
      </w:r>
      <w:r>
        <w:rPr>
          <w:rFonts w:hint="eastAsia" w:ascii="宋体" w:hAnsi="宋体" w:eastAsia="宋体" w:cs="宋体"/>
          <w:color w:val="auto"/>
          <w:szCs w:val="21"/>
          <w:highlight w:val="none"/>
        </w:rPr>
        <w:t xml:space="preserve">是否属于小、微型企业的产品</w:t>
      </w:r>
      <w:r>
        <w:rPr>
          <w:rFonts w:hint="eastAsia" w:ascii="宋体" w:hAnsi="宋体" w:eastAsia="宋体" w:cs="宋体"/>
          <w:color w:val="auto"/>
          <w:szCs w:val="21"/>
          <w:highlight w:val="none"/>
          <w:lang w:val="zh-CN"/>
        </w:rPr>
        <w:t xml:space="preserve">”栏内，填写“是”或“否”</w:t>
      </w:r>
      <w:r>
        <w:rPr>
          <w:rFonts w:hint="eastAsia" w:ascii="宋体" w:hAnsi="宋体" w:eastAsia="宋体" w:cs="宋体"/>
          <w:color w:val="auto"/>
          <w:szCs w:val="21"/>
          <w:highlight w:val="none"/>
        </w:rPr>
        <w:t xml:space="preserve">，小型和微型企业是指供应商为小型或微型企业企业，且符合中小企业划分标准，服务全部由符合政策要求的中小企业承接。</w:t>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ind w:right="420"/>
        <w:spacing w:line="360" w:lineRule="auto"/>
        <w:rPr>
          <w:color w:val="auto"/>
          <w:highlight w:val="none"/>
          <w:u w:val="single"/>
        </w:rPr>
      </w:pPr>
      <w:r>
        <w:rPr>
          <w:rFonts w:hint="eastAsia" w:ascii="宋体" w:hAnsi="宋体" w:cs="宋体"/>
          <w:color w:val="auto"/>
          <w:szCs w:val="21"/>
          <w:highlight w:val="none"/>
          <w:lang w:val="en-US" w:eastAsia="zh-CN"/>
        </w:rPr>
        <w:t xml:space="preserve">供应商</w:t>
      </w:r>
      <w:r>
        <w:rPr>
          <w:color w:val="auto"/>
          <w:highlight w:val="none"/>
        </w:rPr>
        <w:t xml:space="preserve">名称（公章）：</w:t>
      </w:r>
      <w:r>
        <w:rPr>
          <w:color w:val="auto"/>
          <w:highlight w:val="none"/>
          <w:u w:val="single"/>
        </w:rPr>
        <w:t xml:space="preserve">                 </w:t>
      </w:r>
      <w:r/>
    </w:p>
    <w:p>
      <w:pPr>
        <w:jc w:val="left"/>
        <w:spacing w:line="360" w:lineRule="auto"/>
        <w:rPr>
          <w:color w:val="auto"/>
          <w:highlight w:val="none"/>
          <w:u w:val="single"/>
        </w:rPr>
      </w:pPr>
      <w:r>
        <w:rPr>
          <w:rFonts w:hint="eastAsia" w:hAnsi="宋体" w:cs="宋体"/>
          <w:color w:val="auto"/>
          <w:szCs w:val="21"/>
          <w:highlight w:val="none"/>
        </w:rPr>
        <w:t xml:space="preserve">法人代表或授权代表（签字或盖章）：</w:t>
      </w:r>
      <w:r/>
    </w:p>
    <w:p>
      <w:pPr>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1224"/>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before="50" w:after="5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jc w:val="left"/>
        <w:spacing w:before="50" w:after="5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150"/>
        <w:jc w:val="both"/>
        <w:rPr>
          <w:rFonts w:hint="eastAsia" w:ascii="宋体" w:hAnsi="宋体" w:eastAsia="宋体" w:cs="宋体"/>
          <w:b/>
          <w:bCs/>
          <w:color w:val="auto"/>
          <w:sz w:val="24"/>
          <w:szCs w:val="32"/>
          <w:highlight w:val="none"/>
          <w:lang w:val="en-US" w:eastAsia="zh-CN" w:bidi="ar-SA"/>
        </w:rPr>
      </w:pPr>
      <w:r>
        <w:rPr>
          <w:rFonts w:hint="eastAsia" w:ascii="宋体" w:hAnsi="宋体" w:cs="宋体"/>
          <w:b w:val="0"/>
          <w:bCs/>
          <w:color w:val="auto"/>
          <w:szCs w:val="21"/>
          <w:highlight w:val="none"/>
        </w:rPr>
        <w:br w:type="page" w:clear="all"/>
      </w:r>
      <w:r>
        <w:rPr>
          <w:rFonts w:hint="eastAsia" w:ascii="宋体" w:hAnsi="宋体" w:eastAsia="宋体" w:cs="宋体"/>
          <w:b/>
          <w:bCs/>
          <w:color w:val="auto"/>
          <w:sz w:val="24"/>
          <w:szCs w:val="32"/>
          <w:highlight w:val="none"/>
          <w:lang w:val="en-US" w:eastAsia="zh-CN" w:bidi="ar-SA"/>
        </w:rPr>
        <w:t xml:space="preserve">附件</w:t>
      </w:r>
      <w:r>
        <w:rPr>
          <w:rFonts w:hint="eastAsia" w:ascii="宋体" w:hAnsi="宋体" w:eastAsia="宋体" w:cs="宋体"/>
          <w:b/>
          <w:bCs/>
          <w:color w:val="auto"/>
          <w:sz w:val="24"/>
          <w:szCs w:val="32"/>
          <w:highlight w:val="none"/>
          <w:lang w:val="en-US" w:eastAsia="zh-CN" w:bidi="ar-SA"/>
        </w:rPr>
        <w:t xml:space="preserve">五</w:t>
      </w:r>
      <w:r>
        <w:rPr>
          <w:rFonts w:hint="eastAsia" w:ascii="宋体" w:hAnsi="宋体" w:eastAsia="宋体" w:cs="宋体"/>
          <w:b/>
          <w:bCs/>
          <w:color w:val="auto"/>
          <w:sz w:val="24"/>
          <w:szCs w:val="32"/>
          <w:highlight w:val="none"/>
          <w:lang w:val="en-US" w:eastAsia="zh-CN" w:bidi="ar-SA"/>
        </w:rPr>
        <w:t xml:space="preserve">、商务条款偏离表</w:t>
      </w:r>
      <w:r/>
    </w:p>
    <w:p>
      <w:pPr>
        <w:jc w:val="center"/>
        <w:rPr>
          <w:b/>
          <w:bCs/>
          <w:color w:val="auto"/>
          <w:sz w:val="28"/>
          <w:szCs w:val="28"/>
          <w:highlight w:val="none"/>
          <w:lang w:val="en-US" w:eastAsia="zh-CN"/>
        </w:rPr>
      </w:pPr>
      <w:r>
        <w:rPr>
          <w:b/>
          <w:bCs/>
          <w:color w:val="auto"/>
          <w:sz w:val="28"/>
          <w:szCs w:val="28"/>
          <w:highlight w:val="none"/>
          <w:lang w:val="en-US" w:eastAsia="zh-CN"/>
        </w:rPr>
        <w:t xml:space="preserve">商务条款偏离表</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项目名称：</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项目编号：</w:t>
      </w:r>
      <w:r/>
    </w:p>
    <w:tbl>
      <w:tblPr>
        <w:tblStyle w:val="977"/>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序号</w:t>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招标文件条目号</w:t>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招标文件的商务条款</w:t>
            </w:r>
            <w:r/>
          </w:p>
        </w:tc>
        <w:tc>
          <w:tcPr>
            <w:tcW w:w="1134" w:type="dxa"/>
            <w:vAlign w:val="top"/>
            <w:textDirection w:val="lrTb"/>
            <w:noWrap w:val="false"/>
          </w:tcPr>
          <w:p>
            <w:pPr>
              <w:ind w:left="0" w:right="0" w:firstLine="0"/>
              <w:jc w:val="center"/>
              <w:keepLines w:val="0"/>
              <w:keepNext w:val="0"/>
              <w:spacing w:before="0" w:beforeAutospacing="0" w:after="0" w:afterAutospacing="0" w:line="48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是否偏离</w:t>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偏离说明</w:t>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1"/>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9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14"/>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2"/>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07"/>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bl>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注：</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1. 投标人须根据招标文件商务条款要求填写此表，作为投标文件的组成部分。</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3. 偏离包括正、负偏离，正偏离指投标人的响应优于招标文件要求，负偏离指投标人的响应低于招标文件要求。</w:t>
      </w:r>
      <w:r/>
    </w:p>
    <w:p>
      <w:pPr>
        <w:ind w:firstLine="426"/>
        <w:jc w:val="both"/>
        <w:spacing w:after="156" w:line="36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4. 如投标人将此表空白，视为投标人无任何偏离。</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40"/>
        <w:jc w:val="right"/>
        <w:spacing w:line="360" w:lineRule="auto"/>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p>
      <w:pPr>
        <w:ind w:right="420" w:firstLine="3780"/>
        <w:spacing w:line="360" w:lineRule="auto"/>
        <w:rPr>
          <w:rFonts w:ascii="Times New Roman" w:hAnsi="Times New Roman" w:eastAsia="宋体" w:cs="Times New Roman"/>
          <w:color w:val="auto"/>
          <w:highlight w:val="none"/>
          <w:u w:val="single"/>
        </w:rPr>
      </w:pPr>
      <w:r>
        <w:rPr>
          <w:rFonts w:ascii="Times New Roman" w:hAnsi="Times New Roman" w:eastAsia="宋体" w:cs="Times New Roman"/>
          <w:color w:val="auto"/>
          <w:highlight w:val="none"/>
        </w:rPr>
        <w:t xml:space="preserve">投标人名称（公章）：</w:t>
      </w:r>
      <w:r>
        <w:rPr>
          <w:rFonts w:ascii="Times New Roman" w:hAnsi="Times New Roman" w:eastAsia="宋体" w:cs="Times New Roman"/>
          <w:color w:val="auto"/>
          <w:highlight w:val="none"/>
          <w:u w:val="single"/>
        </w:rPr>
        <w:t xml:space="preserve">                 </w:t>
      </w:r>
      <w:r/>
    </w:p>
    <w:p>
      <w:pPr>
        <w:ind w:firstLine="3780"/>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法定代表人</w:t>
      </w:r>
      <w:r/>
    </w:p>
    <w:p>
      <w:pPr>
        <w:ind w:firstLine="3780"/>
        <w:spacing w:line="360"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422"/>
        <w:jc w:val="left"/>
        <w:spacing w:line="360" w:lineRule="auto"/>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ab/>
      </w:r>
      <w:r>
        <w:rPr>
          <w:rFonts w:ascii="Times New Roman" w:hAnsi="Times New Roman" w:eastAsia="宋体" w:cs="Times New Roman"/>
          <w:b/>
          <w:bCs/>
          <w:color w:val="auto"/>
          <w:highlight w:val="none"/>
        </w:rPr>
        <w:t xml:space="preserve">                            </w:t>
      </w:r>
      <w:r>
        <w:rPr>
          <w:rFonts w:ascii="Times New Roman" w:hAnsi="Times New Roman" w:eastAsia="宋体" w:cs="Times New Roman"/>
          <w:color w:val="auto"/>
          <w:highlight w:val="none"/>
        </w:rPr>
        <w:t xml:space="preserve">日期：</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年</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月</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日</w:t>
      </w:r>
      <w:r/>
    </w:p>
    <w:p>
      <w:pPr>
        <w:pStyle w:val="1150"/>
        <w:jc w:val="both"/>
        <w:rPr>
          <w:rFonts w:hint="eastAsia" w:ascii="宋体" w:hAnsi="宋体" w:eastAsia="宋体" w:cs="宋体"/>
          <w:color w:val="auto"/>
          <w:sz w:val="24"/>
          <w:szCs w:val="24"/>
          <w:highlight w:val="none"/>
          <w:lang w:val="en-US" w:eastAsia="zh-CN"/>
        </w:rPr>
      </w:pPr>
      <w:r/>
      <w:bookmarkStart w:id="386" w:name="_Toc104560918"/>
      <w:r/>
      <w:bookmarkStart w:id="387" w:name="_Toc103848601"/>
      <w:r/>
      <w:bookmarkStart w:id="388" w:name="_Toc107246301"/>
      <w:r/>
      <w:bookmarkStart w:id="389" w:name="_Toc157071054"/>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、技术条款偏离表</w:t>
      </w:r>
      <w:r/>
    </w:p>
    <w:p>
      <w:pPr>
        <w:jc w:val="center"/>
        <w:rPr>
          <w:b/>
          <w:bCs/>
          <w:color w:val="auto"/>
          <w:sz w:val="24"/>
          <w:szCs w:val="24"/>
          <w:highlight w:val="none"/>
          <w:lang w:val="en-US" w:eastAsia="zh-CN"/>
        </w:rPr>
      </w:pPr>
      <w:r>
        <w:rPr>
          <w:b/>
          <w:bCs/>
          <w:color w:val="auto"/>
          <w:sz w:val="24"/>
          <w:szCs w:val="24"/>
          <w:highlight w:val="none"/>
          <w:lang w:val="en-US" w:eastAsia="zh-CN"/>
        </w:rPr>
        <w:t xml:space="preserve">技术条款偏离表</w:t>
      </w:r>
      <w:bookmarkEnd w:id="386"/>
      <w:r/>
      <w:bookmarkEnd w:id="387"/>
      <w:r/>
      <w:bookmarkEnd w:id="388"/>
      <w:r/>
      <w:bookmarkEnd w:id="389"/>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项目名称：</w:t>
      </w:r>
      <w:r>
        <w:rPr>
          <w:rFonts w:ascii="Times New Roman" w:hAnsi="Times New Roman" w:eastAsia="宋体" w:cs="Times New Roman"/>
          <w:color w:val="auto"/>
          <w:sz w:val="21"/>
          <w:szCs w:val="21"/>
          <w:highlight w:val="none"/>
          <w:lang w:val="en-US" w:eastAsia="zh-CN" w:bidi="ar-SA"/>
        </w:rPr>
        <w:tab/>
      </w:r>
      <w:r>
        <w:rPr>
          <w:rFonts w:ascii="Times New Roman" w:hAnsi="Times New Roman" w:eastAsia="宋体" w:cs="Times New Roman"/>
          <w:color w:val="auto"/>
          <w:sz w:val="21"/>
          <w:szCs w:val="21"/>
          <w:highlight w:val="none"/>
          <w:lang w:val="en-US" w:eastAsia="zh-CN" w:bidi="ar-SA"/>
        </w:rPr>
        <w:tab/>
      </w:r>
      <w:r>
        <w:rPr>
          <w:rFonts w:ascii="Times New Roman" w:hAnsi="Times New Roman" w:eastAsia="宋体" w:cs="Times New Roman"/>
          <w:color w:val="auto"/>
          <w:sz w:val="21"/>
          <w:szCs w:val="21"/>
          <w:highlight w:val="none"/>
          <w:lang w:val="en-US" w:eastAsia="zh-CN" w:bidi="ar-SA"/>
        </w:rPr>
        <w:tab/>
      </w:r>
      <w:r>
        <w:rPr>
          <w:rFonts w:ascii="Times New Roman" w:hAnsi="Times New Roman" w:eastAsia="宋体" w:cs="Times New Roman"/>
          <w:color w:val="auto"/>
          <w:sz w:val="21"/>
          <w:szCs w:val="21"/>
          <w:highlight w:val="none"/>
          <w:lang w:val="en-US" w:eastAsia="zh-CN" w:bidi="ar-SA"/>
        </w:rPr>
        <w:tab/>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项目编号：</w:t>
      </w:r>
      <w:r/>
    </w:p>
    <w:tbl>
      <w:tblPr>
        <w:tblStyle w:val="977"/>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897"/>
        <w:gridCol w:w="1881"/>
        <w:gridCol w:w="493"/>
        <w:gridCol w:w="709"/>
      </w:tblGrid>
      <w:tr>
        <w:trPr>
          <w:jc w:val="center"/>
          <w:trHeight w:val="635"/>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序号</w:t>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招标文件条目号</w:t>
            </w:r>
            <w:r/>
          </w:p>
        </w:tc>
        <w:tc>
          <w:tcPr>
            <w:tcW w:w="28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招标文件的技术条款</w:t>
            </w:r>
            <w:r/>
          </w:p>
        </w:tc>
        <w:tc>
          <w:tcPr>
            <w:tcW w:w="18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是否偏离</w:t>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偏离说明</w:t>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1"/>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9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14"/>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2"/>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07"/>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bl>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注：1. 投标人须根据招标文件商务条款要求填写此表，作为投标文件的组成部分。</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3. 偏离包括正、负偏离，正偏离指投标人的响应优于招标文件要求，负偏离指投标人的响应低于招标文件要求。</w:t>
      </w:r>
      <w:r/>
    </w:p>
    <w:p>
      <w:pPr>
        <w:ind w:firstLine="426"/>
        <w:jc w:val="both"/>
        <w:spacing w:after="156" w:line="360" w:lineRule="exact"/>
        <w:widowControl w:val="off"/>
        <w:rPr>
          <w:rFonts w:ascii="Calibri" w:hAnsi="Calibri" w:eastAsia="宋体" w:cs="Times New Roman"/>
          <w:color w:val="auto"/>
          <w:sz w:val="22"/>
          <w:szCs w:val="22"/>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4. 如投标人将此表空白，视为投标人无任何偏离。</w:t>
      </w:r>
      <w:r/>
    </w:p>
    <w:p>
      <w:pPr>
        <w:ind w:right="420" w:firstLine="3780"/>
        <w:spacing w:line="360" w:lineRule="auto"/>
        <w:rPr>
          <w:rFonts w:ascii="Times New Roman" w:hAnsi="Times New Roman" w:eastAsia="宋体" w:cs="Times New Roman"/>
          <w:color w:val="auto"/>
          <w:highlight w:val="none"/>
          <w:u w:val="single"/>
        </w:rPr>
      </w:pPr>
      <w:r>
        <w:rPr>
          <w:rFonts w:ascii="Times New Roman" w:hAnsi="Times New Roman" w:eastAsia="宋体" w:cs="Times New Roman"/>
          <w:color w:val="auto"/>
          <w:highlight w:val="none"/>
        </w:rPr>
        <w:t xml:space="preserve">投标人名称（公章）：</w:t>
      </w:r>
      <w:r>
        <w:rPr>
          <w:rFonts w:ascii="Times New Roman" w:hAnsi="Times New Roman" w:eastAsia="宋体" w:cs="Times New Roman"/>
          <w:color w:val="auto"/>
          <w:highlight w:val="none"/>
          <w:u w:val="single"/>
        </w:rPr>
        <w:t xml:space="preserve">                 </w:t>
      </w:r>
      <w:r/>
    </w:p>
    <w:p>
      <w:pPr>
        <w:ind w:firstLine="3780"/>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法定代表人</w:t>
      </w:r>
      <w:r/>
    </w:p>
    <w:p>
      <w:pPr>
        <w:ind w:firstLine="3780"/>
        <w:spacing w:line="360"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422"/>
        <w:jc w:val="left"/>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ab/>
      </w:r>
      <w:r>
        <w:rPr>
          <w:rFonts w:ascii="Times New Roman" w:hAnsi="Times New Roman" w:eastAsia="宋体" w:cs="Times New Roman"/>
          <w:b/>
          <w:bCs/>
          <w:color w:val="auto"/>
          <w:highlight w:val="none"/>
        </w:rPr>
        <w:t xml:space="preserve">                            </w:t>
      </w:r>
      <w:r>
        <w:rPr>
          <w:rFonts w:ascii="Times New Roman" w:hAnsi="Times New Roman" w:eastAsia="宋体" w:cs="Times New Roman"/>
          <w:color w:val="auto"/>
          <w:highlight w:val="none"/>
        </w:rPr>
        <w:t xml:space="preserve">日期：</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年</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月</w:t>
      </w:r>
      <w:r>
        <w:rPr>
          <w:rFonts w:ascii="Times New Roman" w:hAnsi="Times New Roman" w:eastAsia="宋体" w:cs="Times New Roman"/>
          <w:color w:val="auto"/>
          <w:highlight w:val="none"/>
          <w:u w:val="single"/>
        </w:rPr>
        <w:t xml:space="preserve">     </w:t>
      </w:r>
      <w:r/>
    </w:p>
    <w:p>
      <w:pPr>
        <w:ind w:firstLine="4320"/>
        <w:jc w:val="both"/>
        <w:spacing w:line="360" w:lineRule="auto"/>
        <w:widowControl w:val="off"/>
        <w:rPr>
          <w:rFonts w:ascii="Times New Roman" w:hAnsi="Times New Roman" w:eastAsia="宋体" w:cs="Times New Roman"/>
          <w:bCs/>
          <w:color w:val="auto"/>
          <w:sz w:val="24"/>
          <w:szCs w:val="20"/>
          <w:highlight w:val="none"/>
          <w:lang w:val="en-US" w:eastAsia="zh-CN" w:bidi="ar-SA"/>
        </w:rPr>
      </w:pPr>
      <w:r>
        <w:rPr>
          <w:rFonts w:ascii="Times New Roman" w:hAnsi="Times New Roman" w:eastAsia="宋体" w:cs="Times New Roman"/>
          <w:bCs/>
          <w:color w:val="auto"/>
          <w:sz w:val="24"/>
          <w:szCs w:val="20"/>
          <w:highlight w:val="none"/>
          <w:lang w:val="en-US" w:eastAsia="zh-CN" w:bidi="ar-SA"/>
        </w:rPr>
      </w:r>
      <w:r/>
    </w:p>
    <w:p>
      <w:pPr>
        <w:pStyle w:val="1150"/>
        <w:jc w:val="both"/>
        <w:rPr>
          <w:rFonts w:ascii="Times New Roman" w:hAnsi="Times New Roman" w:eastAsia="宋体" w:cs="Times New Roman"/>
          <w:b/>
          <w:bCs/>
          <w:color w:val="auto"/>
          <w:sz w:val="32"/>
          <w:szCs w:val="32"/>
          <w:highlight w:val="none"/>
          <w:lang w:val="en-US" w:eastAsia="zh-CN" w:bidi="ar-SA"/>
        </w:rPr>
      </w:pPr>
      <w:r>
        <w:rPr>
          <w:rFonts w:hint="eastAsia" w:ascii="宋体" w:hAnsi="宋体" w:eastAsia="宋体" w:cs="宋体"/>
          <w:color w:val="auto"/>
          <w:sz w:val="21"/>
          <w:szCs w:val="21"/>
          <w:highlight w:val="none"/>
          <w:lang w:val="zh-CN"/>
        </w:rPr>
        <w:br w:type="page" w:clear="all"/>
      </w:r>
      <w:bookmarkEnd w:id="347"/>
      <w:r/>
      <w:bookmarkEnd w:id="348"/>
      <w:r/>
      <w:bookmarkEnd w:id="349"/>
      <w:r>
        <w:rPr>
          <w:rFonts w:hint="eastAsia" w:ascii="宋体" w:hAnsi="宋体" w:eastAsia="宋体" w:cs="宋体"/>
          <w:b/>
          <w:bCs w:val="0"/>
          <w:color w:val="auto"/>
          <w:sz w:val="24"/>
          <w:szCs w:val="20"/>
          <w:highlight w:val="none"/>
          <w:lang w:val="en-US" w:eastAsia="zh-CN" w:bidi="ar-SA"/>
        </w:rPr>
        <w:t xml:space="preserve">附件</w:t>
      </w:r>
      <w:r>
        <w:rPr>
          <w:rFonts w:hint="eastAsia" w:ascii="宋体" w:hAnsi="宋体" w:eastAsia="宋体" w:cs="宋体"/>
          <w:b/>
          <w:bCs w:val="0"/>
          <w:color w:val="auto"/>
          <w:sz w:val="24"/>
          <w:szCs w:val="20"/>
          <w:highlight w:val="none"/>
          <w:lang w:val="en-US" w:eastAsia="zh-CN" w:bidi="ar-SA"/>
        </w:rPr>
        <w:t xml:space="preserve">七</w:t>
      </w:r>
      <w:r>
        <w:rPr>
          <w:rFonts w:hint="eastAsia" w:ascii="宋体" w:hAnsi="宋体" w:eastAsia="宋体" w:cs="宋体"/>
          <w:b/>
          <w:bCs w:val="0"/>
          <w:color w:val="auto"/>
          <w:sz w:val="24"/>
          <w:szCs w:val="20"/>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投标人具备投标资格的证明文件</w:t>
      </w:r>
      <w:r/>
    </w:p>
    <w:p>
      <w:pPr>
        <w:ind w:firstLine="487"/>
        <w:jc w:val="center"/>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bookmarkStart w:id="390" w:name="_Toc157071043"/>
      <w:r/>
      <w:bookmarkStart w:id="391" w:name="_Toc103848588"/>
      <w:r/>
      <w:bookmarkStart w:id="392" w:name="_Toc104560903"/>
      <w:r/>
      <w:bookmarkStart w:id="393" w:name="_Toc107246283"/>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-1-1）营业执照复印件或自然人的身份证明复印件</w:t>
      </w:r>
      <w:bookmarkEnd w:id="390"/>
      <w:r/>
      <w:bookmarkEnd w:id="391"/>
      <w:r/>
      <w:bookmarkEnd w:id="392"/>
      <w:r/>
      <w:bookmarkEnd w:id="393"/>
      <w:r/>
      <w:r/>
    </w:p>
    <w:p>
      <w:pPr>
        <w:ind w:firstLine="426"/>
        <w:spacing w:line="360" w:lineRule="auto"/>
        <w:rPr>
          <w:rFonts w:ascii="Times New Roman" w:hAnsi="Times New Roman" w:eastAsia="宋体" w:cs="Times New Roman"/>
          <w:b/>
          <w:bCs/>
          <w:color w:val="auto"/>
          <w:highlight w:val="none"/>
        </w:rPr>
      </w:pPr>
      <w:r/>
      <w:bookmarkStart w:id="394" w:name="_Hlk33717720"/>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注：投标人提供营业执照副本（或具有同等法律效力的证照）复印件。复印件应能清晰显示投标人名称。</w:t>
      </w:r>
      <w:bookmarkEnd w:id="394"/>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7"/>
        <w:jc w:val="center"/>
        <w:spacing w:before="156" w:after="156" w:line="240" w:lineRule="atLeast"/>
        <w:widowControl w:val="off"/>
        <w:rPr>
          <w:rFonts w:ascii="Times New Roman" w:hAnsi="Times New Roman" w:eastAsia="宋体" w:cs="Times New Roman"/>
          <w:b w:val="0"/>
          <w:bCs/>
          <w:color w:val="auto"/>
          <w:sz w:val="32"/>
          <w:szCs w:val="32"/>
          <w:highlight w:val="none"/>
          <w:lang w:val="en-US" w:eastAsia="zh-CN" w:bidi="ar-SA"/>
        </w:rPr>
        <w:outlineLvl w:val="0"/>
      </w:pPr>
      <w:r/>
      <w:bookmarkStart w:id="395" w:name="_Toc102117320"/>
      <w:r/>
      <w:bookmarkStart w:id="396" w:name="_Toc103848589"/>
      <w:r>
        <w:rPr>
          <w:rFonts w:ascii="Times New Roman" w:hAnsi="Times New Roman" w:eastAsia="宋体" w:cs="Times New Roman"/>
          <w:b/>
          <w:bCs w:val="0"/>
          <w:color w:val="auto"/>
          <w:sz w:val="24"/>
          <w:szCs w:val="24"/>
          <w:highlight w:val="none"/>
          <w:lang w:val="en-US" w:eastAsia="zh-CN" w:bidi="ar-SA"/>
        </w:rPr>
        <w:br w:type="page" w:clear="all"/>
      </w:r>
      <w:bookmarkStart w:id="397" w:name="_Toc157071044"/>
      <w:r/>
      <w:bookmarkStart w:id="398" w:name="_Toc107246284"/>
      <w:r/>
      <w:bookmarkStart w:id="399" w:name="_Toc104560904"/>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-1-2）工商变更登记文件（如需）</w:t>
      </w:r>
      <w:bookmarkEnd w:id="395"/>
      <w:r/>
      <w:bookmarkEnd w:id="396"/>
      <w:r/>
      <w:bookmarkEnd w:id="397"/>
      <w:r/>
      <w:bookmarkEnd w:id="398"/>
      <w:r/>
      <w:bookmarkEnd w:id="399"/>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注：如</w:t>
      </w:r>
      <w:r>
        <w:rPr>
          <w:rFonts w:ascii="Times New Roman" w:hAnsi="Times New Roman" w:eastAsia="宋体" w:cs="Times New Roman"/>
          <w:b/>
          <w:bCs/>
          <w:color w:val="auto"/>
          <w:sz w:val="22"/>
          <w:szCs w:val="22"/>
          <w:highlight w:val="none"/>
        </w:rPr>
        <w:t xml:space="preserve">投标人</w:t>
      </w:r>
      <w:r>
        <w:rPr>
          <w:rFonts w:ascii="Times New Roman" w:hAnsi="Times New Roman" w:eastAsia="宋体" w:cs="Times New Roman"/>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Times New Roman" w:hAnsi="Times New Roman" w:eastAsia="宋体" w:cs="Times New Roman"/>
          <w:b/>
          <w:color w:val="auto"/>
          <w:highlight w:val="none"/>
        </w:rPr>
      </w:pPr>
      <w:r>
        <w:rPr>
          <w:rFonts w:ascii="Times New Roman" w:hAnsi="Times New Roman" w:eastAsia="宋体" w:cs="Times New Roman"/>
          <w:color w:val="auto"/>
          <w:highlight w:val="none"/>
        </w:rPr>
        <w:br w:type="page" w:clear="all"/>
      </w:r>
      <w:bookmarkStart w:id="400" w:name="_Toc104560905"/>
      <w:r/>
      <w:bookmarkStart w:id="401" w:name="_Toc102117321"/>
      <w:r/>
      <w:bookmarkStart w:id="402" w:name="_Toc103848590"/>
      <w:r/>
      <w:bookmarkStart w:id="403" w:name="_Toc107246285"/>
      <w:r/>
      <w:r/>
    </w:p>
    <w:p>
      <w:pPr>
        <w:ind w:firstLine="487"/>
        <w:jc w:val="center"/>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bookmarkStart w:id="404" w:name="_Toc157071045"/>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-2）财务报表</w:t>
      </w:r>
      <w:bookmarkEnd w:id="400"/>
      <w:r/>
      <w:bookmarkEnd w:id="401"/>
      <w:r/>
      <w:bookmarkEnd w:id="402"/>
      <w:r/>
      <w:bookmarkEnd w:id="403"/>
      <w:r>
        <w:rPr>
          <w:rFonts w:ascii="Times New Roman" w:hAnsi="Times New Roman" w:eastAsia="宋体" w:cs="Times New Roman"/>
          <w:b/>
          <w:bCs w:val="0"/>
          <w:color w:val="auto"/>
          <w:sz w:val="24"/>
          <w:szCs w:val="24"/>
          <w:highlight w:val="none"/>
          <w:lang w:val="en-US" w:eastAsia="zh-CN" w:bidi="ar-SA"/>
        </w:rPr>
        <w:t xml:space="preserve">等证明文件</w:t>
      </w:r>
      <w:bookmarkEnd w:id="404"/>
      <w:r/>
      <w:r/>
    </w:p>
    <w:p>
      <w:pPr>
        <w:jc w:val="center"/>
        <w:spacing w:line="360" w:lineRule="auto"/>
        <w:rPr>
          <w:rFonts w:ascii="Times New Roman" w:hAnsi="Times New Roman" w:eastAsia="宋体" w:cs="Times New Roman"/>
          <w:b/>
          <w:bCs/>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en-US" w:eastAsia="zh-CN"/>
        </w:rPr>
        <w:t xml:space="preserve">根据招标</w:t>
      </w:r>
      <w:r>
        <w:rPr>
          <w:rFonts w:hint="eastAsia" w:ascii="宋体" w:hAnsi="宋体" w:eastAsia="宋体" w:cs="宋体"/>
          <w:b/>
          <w:bCs/>
          <w:color w:val="auto"/>
          <w:highlight w:val="none"/>
        </w:rPr>
        <w:t xml:space="preserve">公告的要求提供</w:t>
      </w:r>
      <w:r/>
    </w:p>
    <w:p>
      <w:pPr>
        <w:ind w:firstLine="487"/>
        <w:jc w:val="left"/>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bookmarkStart w:id="405" w:name="_Toc102117322"/>
      <w:r/>
      <w:bookmarkStart w:id="406" w:name="_Toc104560908"/>
      <w:r/>
      <w:bookmarkStart w:id="407" w:name="_Toc103848593"/>
      <w:r>
        <w:rPr>
          <w:rFonts w:ascii="Times New Roman" w:hAnsi="Times New Roman" w:eastAsia="宋体" w:cs="Times New Roman"/>
          <w:b/>
          <w:bCs w:val="0"/>
          <w:color w:val="auto"/>
          <w:sz w:val="24"/>
          <w:szCs w:val="24"/>
          <w:highlight w:val="none"/>
          <w:lang w:val="en-US" w:eastAsia="zh-CN" w:bidi="ar-SA"/>
        </w:rPr>
        <w:br w:type="page" w:clear="all"/>
      </w:r>
      <w:bookmarkStart w:id="408" w:name="_Toc107246286"/>
      <w:r/>
      <w:bookmarkStart w:id="409" w:name="_Toc157071046"/>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-3）具有履行合同所必需的设备和专业技术能力的相关证明材料或承诺函（提供承诺函原件）</w:t>
      </w:r>
      <w:bookmarkEnd w:id="405"/>
      <w:r/>
      <w:bookmarkEnd w:id="406"/>
      <w:r/>
      <w:bookmarkEnd w:id="407"/>
      <w:r/>
      <w:bookmarkEnd w:id="408"/>
      <w:r/>
      <w:bookmarkEnd w:id="40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892"/>
        <w:jc w:val="center"/>
        <w:spacing w:before="156" w:after="156" w:line="360" w:lineRule="auto"/>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r>
      <w:r/>
    </w:p>
    <w:p>
      <w:pPr>
        <w:ind w:firstLine="892"/>
        <w:jc w:val="center"/>
        <w:spacing w:before="156" w:after="156" w:line="360" w:lineRule="auto"/>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r>
      <w:r/>
    </w:p>
    <w:p>
      <w:pPr>
        <w:ind w:firstLine="889"/>
        <w:jc w:val="center"/>
        <w:spacing w:before="156" w:after="156"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44"/>
          <w:szCs w:val="44"/>
          <w:highlight w:val="none"/>
        </w:rPr>
        <w:t xml:space="preserve">承 诺 函</w:t>
      </w:r>
      <w:r/>
    </w:p>
    <w:p>
      <w:pPr>
        <w:ind w:firstLine="444"/>
        <w:jc w:val="left"/>
        <w:spacing w:before="156" w:after="156" w:line="360" w:lineRule="auto"/>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我单位郑重承诺：我单位具备履行本项采购合同所必需的设备和专业技术能力。</w:t>
      </w:r>
      <w:r/>
    </w:p>
    <w:p>
      <w:pPr>
        <w:ind w:firstLine="424"/>
        <w:jc w:val="left"/>
        <w:spacing w:before="156" w:after="156"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24"/>
        <w:jc w:val="left"/>
        <w:spacing w:before="156" w:after="156"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left="1260" w:firstLine="487"/>
        <w:jc w:val="both"/>
        <w:widowControl w:val="off"/>
        <w:rPr>
          <w:rFonts w:ascii="Times New Roman" w:hAnsi="Times New Roman" w:eastAsia="宋体" w:cs="Times New Roman"/>
          <w:b/>
          <w:color w:val="auto"/>
          <w:position w:val="-10"/>
          <w:sz w:val="24"/>
          <w:szCs w:val="20"/>
          <w:highlight w:val="none"/>
          <w:lang w:val="en-US" w:eastAsia="zh-CN" w:bidi="ar-SA"/>
        </w:rPr>
      </w:pPr>
      <w:r>
        <w:rPr>
          <w:rFonts w:ascii="Times New Roman" w:hAnsi="Times New Roman" w:eastAsia="宋体" w:cs="Times New Roman"/>
          <w:b/>
          <w:color w:val="auto"/>
          <w:position w:val="-10"/>
          <w:sz w:val="24"/>
          <w:szCs w:val="20"/>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left="1260" w:firstLine="487"/>
        <w:jc w:val="both"/>
        <w:widowControl w:val="off"/>
        <w:rPr>
          <w:rFonts w:ascii="Times New Roman" w:hAnsi="Times New Roman" w:eastAsia="宋体" w:cs="Times New Roman"/>
          <w:b/>
          <w:color w:val="auto"/>
          <w:position w:val="-10"/>
          <w:sz w:val="24"/>
          <w:szCs w:val="20"/>
          <w:highlight w:val="none"/>
          <w:lang w:val="en-US" w:eastAsia="zh-CN" w:bidi="ar-SA"/>
        </w:rPr>
      </w:pPr>
      <w:r>
        <w:rPr>
          <w:rFonts w:ascii="Times New Roman" w:hAnsi="Times New Roman" w:eastAsia="宋体" w:cs="Times New Roman"/>
          <w:b/>
          <w:color w:val="auto"/>
          <w:position w:val="-10"/>
          <w:sz w:val="24"/>
          <w:szCs w:val="20"/>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spacing w:line="276"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 xml:space="preserve">投标人名称（公章）：______________________</w:t>
      </w:r>
      <w:r/>
    </w:p>
    <w:p>
      <w:pPr>
        <w:spacing w:line="276"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spacing w:line="276" w:lineRule="auto"/>
        <w:rPr>
          <w:rFonts w:ascii="Times New Roman" w:hAnsi="Times New Roman" w:eastAsia="宋体" w:cs="Times New Roman"/>
          <w:color w:val="auto"/>
          <w:szCs w:val="21"/>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color w:val="auto"/>
          <w:szCs w:val="21"/>
          <w:highlight w:val="none"/>
        </w:rPr>
        <w:t xml:space="preserve">法定代表人</w:t>
      </w:r>
      <w:r/>
    </w:p>
    <w:p>
      <w:pPr>
        <w:ind w:firstLine="3780"/>
        <w:spacing w:line="276"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780"/>
        <w:spacing w:line="276"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u w:val="single"/>
        </w:rPr>
      </w:r>
      <w:r/>
    </w:p>
    <w:p>
      <w:pPr>
        <w:spacing w:line="276" w:lineRule="auto"/>
        <w:rPr>
          <w:rFonts w:ascii="Times New Roman" w:hAnsi="Times New Roman" w:eastAsia="宋体" w:cs="Times New Roman"/>
          <w:color w:val="auto"/>
          <w:highlight w:val="none"/>
        </w:rPr>
      </w:pPr>
      <w:r>
        <w:rPr>
          <w:rFonts w:ascii="Times New Roman" w:hAnsi="Times New Roman" w:eastAsia="宋体" w:cs="Times New Roman"/>
          <w:bCs/>
          <w:color w:val="auto"/>
          <w:highlight w:val="none"/>
        </w:rPr>
        <w:t xml:space="preserve">                                    日期：______年</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月</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日</w:t>
      </w:r>
      <w:r/>
    </w:p>
    <w:p>
      <w:pPr>
        <w:ind w:firstLine="487"/>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487"/>
        <w:jc w:val="center"/>
        <w:spacing w:before="156" w:after="156" w:line="240" w:lineRule="atLeast"/>
        <w:widowControl w:val="off"/>
        <w:rPr>
          <w:rFonts w:ascii="Times New Roman" w:hAnsi="Times New Roman" w:eastAsia="宋体" w:cs="Times New Roman"/>
          <w:b w:val="0"/>
          <w:bCs/>
          <w:color w:val="auto"/>
          <w:sz w:val="32"/>
          <w:szCs w:val="32"/>
          <w:highlight w:val="none"/>
          <w:lang w:val="en-US" w:eastAsia="zh-CN" w:bidi="ar-SA"/>
        </w:rPr>
        <w:outlineLvl w:val="0"/>
      </w:pPr>
      <w:r/>
      <w:bookmarkStart w:id="410" w:name="_Toc103848591"/>
      <w:r/>
      <w:bookmarkStart w:id="411" w:name="_Toc102117323"/>
      <w:r>
        <w:rPr>
          <w:rFonts w:ascii="Times New Roman" w:hAnsi="Times New Roman" w:eastAsia="宋体" w:cs="Times New Roman"/>
          <w:b/>
          <w:bCs w:val="0"/>
          <w:color w:val="auto"/>
          <w:sz w:val="24"/>
          <w:szCs w:val="24"/>
          <w:highlight w:val="none"/>
          <w:lang w:val="en-US" w:eastAsia="zh-CN" w:bidi="ar-SA"/>
        </w:rPr>
        <w:br w:type="page" w:clear="all"/>
      </w:r>
      <w:bookmarkStart w:id="412" w:name="_Toc107246287"/>
      <w:r/>
      <w:bookmarkStart w:id="413" w:name="_Toc104560906"/>
      <w:r/>
      <w:bookmarkStart w:id="414" w:name="_Toc157071047"/>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-4）依法缴纳税收的相关材料</w:t>
      </w:r>
      <w:bookmarkEnd w:id="410"/>
      <w:r/>
      <w:bookmarkEnd w:id="411"/>
      <w:r/>
      <w:bookmarkEnd w:id="412"/>
      <w:r/>
      <w:bookmarkEnd w:id="413"/>
      <w:r/>
      <w:bookmarkEnd w:id="414"/>
      <w:r/>
      <w:r/>
    </w:p>
    <w:p>
      <w:pPr>
        <w:ind w:firstLine="426"/>
        <w:jc w:val="center"/>
        <w:spacing w:line="360" w:lineRule="auto"/>
        <w:rPr>
          <w:rFonts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注：根据招标公告的要求提供</w:t>
      </w:r>
      <w:r/>
    </w:p>
    <w:p>
      <w:pPr>
        <w:ind w:firstLine="485"/>
        <w:jc w:val="center"/>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rPr>
          <w:rFonts w:ascii="Times New Roman" w:hAnsi="Times New Roman" w:eastAsia="宋体" w:cs="Times New Roman"/>
          <w:b w:val="0"/>
          <w:bCs/>
          <w:color w:val="auto"/>
          <w:sz w:val="24"/>
          <w:szCs w:val="32"/>
          <w:highlight w:val="none"/>
          <w:lang w:val="en-US" w:eastAsia="zh-CN" w:bidi="ar-SA"/>
        </w:rPr>
        <w:br w:type="page" w:clear="all"/>
      </w:r>
      <w:bookmarkStart w:id="415" w:name="_Toc102117324"/>
      <w:r/>
      <w:bookmarkStart w:id="416" w:name="_Toc103848592"/>
      <w:r/>
      <w:bookmarkStart w:id="417" w:name="_Toc157071048"/>
      <w:r/>
      <w:bookmarkStart w:id="418" w:name="_Toc104560907"/>
      <w:r/>
      <w:bookmarkStart w:id="419" w:name="_Toc107246288"/>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5）依法缴纳社会保障资金的相关材料</w:t>
      </w:r>
      <w:bookmarkEnd w:id="415"/>
      <w:r/>
      <w:bookmarkEnd w:id="416"/>
      <w:r/>
      <w:bookmarkEnd w:id="417"/>
      <w:r/>
      <w:bookmarkEnd w:id="418"/>
      <w:r/>
      <w:bookmarkEnd w:id="419"/>
      <w:r/>
      <w:r/>
    </w:p>
    <w:p>
      <w:pPr>
        <w:ind w:firstLine="426"/>
        <w:jc w:val="center"/>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w:t>
      </w:r>
      <w:r>
        <w:rPr>
          <w:rFonts w:hint="eastAsia" w:ascii="Times New Roman" w:hAnsi="Times New Roman" w:eastAsia="宋体" w:cs="Times New Roman"/>
          <w:b/>
          <w:bCs/>
          <w:color w:val="auto"/>
          <w:highlight w:val="none"/>
        </w:rPr>
        <w:t xml:space="preserve">根据招标公告的要求提供</w:t>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646"/>
        <w:jc w:val="center"/>
        <w:spacing w:before="156" w:after="156" w:line="240" w:lineRule="atLeast"/>
        <w:widowControl w:val="off"/>
        <w:rPr>
          <w:rFonts w:ascii="Times New Roman" w:hAnsi="Times New Roman" w:eastAsia="宋体" w:cs="Times New Roman"/>
          <w:b w:val="0"/>
          <w:bCs/>
          <w:color w:val="auto"/>
          <w:sz w:val="24"/>
          <w:szCs w:val="32"/>
          <w:highlight w:val="none"/>
          <w:lang w:val="en-US" w:eastAsia="zh-CN" w:bidi="ar-SA"/>
        </w:rPr>
        <w:outlineLvl w:val="0"/>
      </w:pPr>
      <w:r>
        <w:rPr>
          <w:rFonts w:ascii="Times New Roman" w:hAnsi="Times New Roman" w:eastAsia="宋体" w:cs="Times New Roman"/>
          <w:b w:val="0"/>
          <w:bCs w:val="0"/>
          <w:color w:val="auto"/>
          <w:sz w:val="32"/>
          <w:szCs w:val="32"/>
          <w:highlight w:val="none"/>
          <w:lang w:val="en-US" w:eastAsia="zh-CN" w:bidi="ar-SA"/>
        </w:rPr>
        <w:br w:type="page" w:clear="all"/>
      </w:r>
      <w:bookmarkStart w:id="420" w:name="_Toc102117325"/>
      <w:r/>
      <w:bookmarkStart w:id="421" w:name="_Toc107246289"/>
      <w:r/>
      <w:bookmarkStart w:id="422" w:name="_Toc104560909"/>
      <w:r/>
      <w:bookmarkStart w:id="423" w:name="_Toc103848594"/>
      <w:r/>
      <w:bookmarkStart w:id="424" w:name="_Toc157071049"/>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-6）没有重大违法记录的书面声明</w:t>
      </w:r>
      <w:bookmarkEnd w:id="420"/>
      <w:r/>
      <w:bookmarkEnd w:id="421"/>
      <w:r/>
      <w:bookmarkEnd w:id="422"/>
      <w:r/>
      <w:bookmarkEnd w:id="423"/>
      <w:r/>
      <w:bookmarkEnd w:id="424"/>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注：参加政府采购活动前3年内在经营活动中没有重大违法记录的书面声明（提供声明函原件）。</w:t>
      </w:r>
      <w:r/>
    </w:p>
    <w:p>
      <w:pPr>
        <w:ind w:firstLine="649"/>
        <w:jc w:val="cente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ind w:firstLine="649"/>
        <w:jc w:val="cente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ind w:firstLine="889"/>
        <w:jc w:val="center"/>
        <w:spacing w:line="360" w:lineRule="auto"/>
        <w:rPr>
          <w:rFonts w:ascii="Times New Roman" w:hAnsi="Times New Roman" w:eastAsia="宋体" w:cs="Times New Roman"/>
          <w:bCs/>
          <w:color w:val="auto"/>
          <w:sz w:val="44"/>
          <w:szCs w:val="44"/>
          <w:highlight w:val="none"/>
        </w:rPr>
      </w:pPr>
      <w:r>
        <w:rPr>
          <w:rFonts w:ascii="Times New Roman" w:hAnsi="Times New Roman" w:eastAsia="宋体" w:cs="Times New Roman"/>
          <w:bCs/>
          <w:color w:val="auto"/>
          <w:sz w:val="44"/>
          <w:szCs w:val="44"/>
          <w:highlight w:val="none"/>
        </w:rPr>
        <w:t xml:space="preserve">声  明</w:t>
      </w:r>
      <w:r/>
    </w:p>
    <w:p>
      <w:pPr>
        <w:ind w:firstLine="566"/>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w:t>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w:t>
      </w:r>
      <w:r/>
    </w:p>
    <w:p>
      <w:pPr>
        <w:ind w:firstLine="3990"/>
        <w:spacing w:line="360" w:lineRule="auto"/>
        <w:rPr>
          <w:rFonts w:ascii="Times New Roman" w:hAnsi="Times New Roman" w:eastAsia="宋体" w:cs="Times New Roman"/>
          <w:color w:val="auto"/>
          <w:szCs w:val="21"/>
          <w:highlight w:val="none"/>
          <w:u w:val="single"/>
        </w:rPr>
      </w:pPr>
      <w:r>
        <w:rPr>
          <w:rFonts w:ascii="Times New Roman" w:hAnsi="Times New Roman" w:eastAsia="宋体" w:cs="Times New Roman"/>
          <w:bCs/>
          <w:color w:val="auto"/>
          <w:highlight w:val="none"/>
        </w:rPr>
        <w:t xml:space="preserve">投标人名称（公章）：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rPr>
          <w:rFonts w:ascii="Times New Roman" w:hAnsi="Times New Roman" w:eastAsia="宋体" w:cs="Times New Roman"/>
          <w:color w:val="auto"/>
          <w:szCs w:val="21"/>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color w:val="auto"/>
          <w:szCs w:val="21"/>
          <w:highlight w:val="none"/>
        </w:rPr>
        <w:t xml:space="preserve">法定代表人</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u w:val="singl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日期：______年</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月</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日</w:t>
      </w:r>
      <w:r/>
    </w:p>
    <w:p>
      <w:pPr>
        <w:ind w:firstLine="646"/>
        <w:jc w:val="center"/>
        <w:spacing w:before="156" w:after="156" w:line="240" w:lineRule="atLeast"/>
        <w:widowControl w:val="off"/>
        <w:rPr>
          <w:rFonts w:ascii="Times New Roman" w:hAnsi="Times New Roman" w:eastAsia="宋体" w:cs="Times New Roman"/>
          <w:b w:val="0"/>
          <w:bCs/>
          <w:color w:val="auto"/>
          <w:sz w:val="24"/>
          <w:szCs w:val="24"/>
          <w:highlight w:val="none"/>
          <w:lang w:val="en-US" w:eastAsia="zh-CN" w:bidi="ar-SA"/>
        </w:rPr>
        <w:outlineLvl w:val="0"/>
      </w:pPr>
      <w:r>
        <w:rPr>
          <w:rFonts w:ascii="Times New Roman" w:hAnsi="Times New Roman" w:eastAsia="宋体" w:cs="Times New Roman"/>
          <w:b w:val="0"/>
          <w:bCs/>
          <w:color w:val="auto"/>
          <w:sz w:val="32"/>
          <w:szCs w:val="32"/>
          <w:highlight w:val="none"/>
          <w:lang w:val="en-US" w:eastAsia="zh-CN" w:bidi="ar-SA"/>
        </w:rPr>
        <w:br w:type="page" w:clear="all"/>
      </w:r>
      <w:bookmarkStart w:id="425" w:name="_Toc107246290"/>
      <w:r/>
      <w:bookmarkStart w:id="426" w:name="_Toc157071050"/>
      <w:r/>
      <w:bookmarkStart w:id="427" w:name="_Toc104560910"/>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-7）承诺函</w:t>
      </w:r>
      <w:bookmarkEnd w:id="425"/>
      <w:r/>
      <w:bookmarkEnd w:id="426"/>
      <w:r/>
      <w:bookmarkEnd w:id="427"/>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（一）本单位郑重承诺满足以下要求：</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1.投标人单位负责人为同一人或者存在直接控股、管理关系的不同投标人，不得同时参加本项目的采购活动。</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2.凡为采购项目提供整体设计、规范编制或者项目管理、监理、检测等服务的投标人，不得再参加本项目的采购活动。</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（二）本单位郑重承诺，我单位无以下不良信用记录情形：</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1.被人民法院列入失信被执行人；</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2.被税务部门列入重大税收违法失信主体；</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3.被政府采购监管部门列入政府采购严重违法失信行为记录名单；</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4.不符合《政府采购法》第二十二条规定的条件。</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ind w:firstLine="3990"/>
        <w:spacing w:line="360" w:lineRule="auto"/>
        <w:rPr>
          <w:rFonts w:ascii="Times New Roman" w:hAnsi="Times New Roman" w:eastAsia="宋体" w:cs="Times New Roman"/>
          <w:color w:val="auto"/>
          <w:szCs w:val="21"/>
          <w:highlight w:val="none"/>
          <w:u w:val="single"/>
        </w:rPr>
      </w:pPr>
      <w:r/>
      <w:bookmarkStart w:id="428" w:name="_Toc102117326"/>
      <w:r/>
      <w:bookmarkStart w:id="429" w:name="_Toc103848596"/>
      <w:r>
        <w:rPr>
          <w:rFonts w:ascii="Times New Roman" w:hAnsi="Times New Roman" w:eastAsia="宋体" w:cs="Times New Roman"/>
          <w:bCs/>
          <w:color w:val="auto"/>
          <w:highlight w:val="none"/>
        </w:rPr>
        <w:t xml:space="preserve">投标人名称（公章）：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rPr>
          <w:rFonts w:ascii="Times New Roman" w:hAnsi="Times New Roman" w:eastAsia="宋体" w:cs="Times New Roman"/>
          <w:color w:val="auto"/>
          <w:szCs w:val="21"/>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color w:val="auto"/>
          <w:szCs w:val="21"/>
          <w:highlight w:val="none"/>
        </w:rPr>
        <w:t xml:space="preserve">法定代表人</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u w:val="singl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日期：______年</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月</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日</w:t>
      </w:r>
      <w:r/>
    </w:p>
    <w:p>
      <w:pPr>
        <w:ind w:firstLine="487"/>
        <w:jc w:val="center"/>
        <w:spacing w:before="156" w:after="156"/>
        <w:widowControl w:val="off"/>
        <w:rPr>
          <w:rFonts w:ascii="Times New Roman" w:hAnsi="Times New Roman" w:eastAsia="宋体" w:cs="Times New Roman"/>
          <w:b/>
          <w:bCs w:val="0"/>
          <w:color w:val="auto"/>
          <w:sz w:val="24"/>
          <w:szCs w:val="24"/>
          <w:highlight w:val="none"/>
          <w:lang w:val="en-US" w:eastAsia="zh-CN" w:bidi="ar-SA"/>
        </w:rPr>
        <w:outlineLvl w:val="0"/>
      </w:pPr>
      <w:r>
        <w:rPr>
          <w:rFonts w:ascii="Times New Roman" w:hAnsi="Times New Roman" w:eastAsia="宋体" w:cs="Times New Roman"/>
          <w:b/>
          <w:bCs w:val="0"/>
          <w:color w:val="auto"/>
          <w:sz w:val="24"/>
          <w:szCs w:val="24"/>
          <w:highlight w:val="none"/>
          <w:lang w:val="en-US" w:eastAsia="zh-CN" w:bidi="ar-SA"/>
        </w:rPr>
        <w:br w:type="page" w:clear="all"/>
      </w:r>
      <w:bookmarkStart w:id="430" w:name="_Toc157071051"/>
      <w:r/>
      <w:bookmarkStart w:id="431" w:name="_Toc104560911"/>
      <w:r/>
      <w:bookmarkStart w:id="432" w:name="_Toc107246291"/>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-8）</w:t>
      </w:r>
      <w:bookmarkEnd w:id="428"/>
      <w:r>
        <w:rPr>
          <w:rFonts w:ascii="Times New Roman" w:hAnsi="Times New Roman" w:eastAsia="宋体" w:cs="Times New Roman"/>
          <w:b/>
          <w:bCs w:val="0"/>
          <w:color w:val="auto"/>
          <w:sz w:val="24"/>
          <w:szCs w:val="24"/>
          <w:highlight w:val="none"/>
          <w:lang w:val="en-US" w:eastAsia="zh-CN" w:bidi="ar-SA"/>
        </w:rPr>
        <w:t xml:space="preserve">招标文件要求的其它实质性资格资信证明文件</w:t>
      </w:r>
      <w:bookmarkEnd w:id="430"/>
      <w:r/>
      <w:bookmarkEnd w:id="431"/>
      <w:r/>
      <w:bookmarkEnd w:id="432"/>
      <w:r/>
      <w:r/>
    </w:p>
    <w:p>
      <w:pPr>
        <w:jc w:val="center"/>
        <w:spacing w:line="360" w:lineRule="auto"/>
        <w:rPr>
          <w:rFonts w:ascii="Times New Roman" w:hAnsi="Times New Roman" w:eastAsia="宋体" w:cs="Times New Roman"/>
          <w:bCs/>
          <w:color w:val="auto"/>
          <w:szCs w:val="21"/>
          <w:highlight w:val="none"/>
        </w:rPr>
      </w:pPr>
      <w:r/>
      <w:bookmarkStart w:id="433" w:name="_Toc107246292"/>
      <w:r>
        <w:rPr>
          <w:rFonts w:hint="eastAsia" w:ascii="Times New Roman" w:hAnsi="Times New Roman" w:eastAsia="宋体" w:cs="Times New Roman"/>
          <w:bCs/>
          <w:color w:val="auto"/>
          <w:szCs w:val="21"/>
          <w:highlight w:val="none"/>
        </w:rPr>
        <w:t xml:space="preserve">注：根据</w:t>
      </w:r>
      <w:r>
        <w:rPr>
          <w:rFonts w:hint="eastAsia" w:ascii="Times New Roman" w:hAnsi="Times New Roman" w:eastAsia="宋体" w:cs="Times New Roman"/>
          <w:bCs/>
          <w:color w:val="auto"/>
          <w:szCs w:val="21"/>
          <w:highlight w:val="none"/>
          <w:lang w:val="en-US" w:eastAsia="zh-CN"/>
        </w:rPr>
        <w:t xml:space="preserve">磋商</w:t>
      </w:r>
      <w:r>
        <w:rPr>
          <w:rFonts w:hint="eastAsia" w:ascii="Times New Roman" w:hAnsi="Times New Roman" w:eastAsia="宋体" w:cs="Times New Roman"/>
          <w:bCs/>
          <w:color w:val="auto"/>
          <w:szCs w:val="21"/>
          <w:highlight w:val="none"/>
        </w:rPr>
        <w:t xml:space="preserve">公告的要求提供以下证明材料：</w:t>
      </w:r>
      <w:r/>
    </w:p>
    <w:p>
      <w:pPr>
        <w:ind w:firstLine="420"/>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r>
      <w:bookmarkEnd w:id="433"/>
      <w:r/>
      <w:r/>
    </w:p>
    <w:p>
      <w:pPr>
        <w:ind w:firstLine="424"/>
        <w:jc w:val="both"/>
        <w:spacing w:line="360" w:lineRule="auto"/>
        <w:widowControl w:val="off"/>
        <w:rPr>
          <w:rStyle w:val="1205"/>
          <w:color w:val="auto"/>
          <w:highlight w:val="none"/>
          <w:lang w:val="en-US" w:eastAsia="zh-CN"/>
        </w:rPr>
      </w:pPr>
      <w:r/>
      <w:bookmarkStart w:id="434" w:name="_Toc104560912"/>
      <w:r/>
      <w:bookmarkStart w:id="435" w:name="_Toc107246293"/>
      <w:r>
        <w:rPr>
          <w:rFonts w:ascii="Times New Roman" w:hAnsi="Times New Roman" w:eastAsia="宋体" w:cs="Times New Roman"/>
          <w:bCs/>
          <w:color w:val="auto"/>
          <w:sz w:val="21"/>
          <w:szCs w:val="21"/>
          <w:highlight w:val="none"/>
          <w:lang w:val="en-US" w:eastAsia="zh-CN" w:bidi="ar-SA"/>
        </w:rPr>
        <w:br w:type="page" w:clear="all"/>
      </w:r>
      <w:bookmarkEnd w:id="429"/>
      <w:r/>
      <w:bookmarkEnd w:id="434"/>
      <w:r/>
      <w:bookmarkEnd w:id="435"/>
      <w:r>
        <w:rPr>
          <w:rFonts w:hint="eastAsia" w:ascii="Times New Roman" w:hAnsi="Times New Roman" w:eastAsia="宋体" w:cs="Times New Roman"/>
          <w:b/>
          <w:bCs w:val="0"/>
          <w:color w:val="auto"/>
          <w:sz w:val="24"/>
          <w:szCs w:val="24"/>
          <w:highlight w:val="none"/>
          <w:lang w:val="en-US" w:eastAsia="zh-CN" w:bidi="ar-SA"/>
        </w:rPr>
        <w:t xml:space="preserve">附件</w:t>
      </w:r>
      <w:r>
        <w:rPr>
          <w:rFonts w:hint="eastAsia" w:ascii="Times New Roman" w:hAnsi="Times New Roman" w:eastAsia="宋体" w:cs="Times New Roman"/>
          <w:b/>
          <w:bCs w:val="0"/>
          <w:color w:val="auto"/>
          <w:sz w:val="24"/>
          <w:szCs w:val="24"/>
          <w:highlight w:val="none"/>
          <w:lang w:val="en-US" w:eastAsia="zh-CN" w:bidi="ar-SA"/>
        </w:rPr>
        <w:t xml:space="preserve">八</w:t>
      </w:r>
      <w:r>
        <w:rPr>
          <w:rFonts w:hint="eastAsia" w:ascii="Times New Roman" w:hAnsi="Times New Roman" w:eastAsia="宋体" w:cs="Times New Roman"/>
          <w:b/>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医疗责任保险服务业绩表</w:t>
      </w:r>
      <w:r/>
    </w:p>
    <w:p>
      <w:pPr>
        <w:spacing w:line="440" w:lineRule="exact"/>
        <w:rPr>
          <w:rStyle w:val="1205"/>
          <w:color w:val="auto"/>
          <w:highlight w:val="none"/>
          <w:lang w:val="en-US" w:eastAsia="zh-CN"/>
        </w:rPr>
      </w:pPr>
      <w:r>
        <w:rPr>
          <w:color w:val="auto"/>
          <w:highlight w:val="none"/>
          <w:lang w:val="en-US" w:eastAsia="zh-CN"/>
        </w:rPr>
      </w:r>
      <w:r/>
    </w:p>
    <w:p>
      <w:pPr>
        <w:ind w:left="420" w:firstLine="0"/>
        <w:jc w:val="center"/>
        <w:spacing w:line="360" w:lineRule="auto"/>
        <w:shd w:val="clear" w:color="auto" w:fill="ffffff"/>
        <w:widowControl/>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医疗责任保险服务业绩表</w:t>
      </w:r>
      <w:r/>
    </w:p>
    <w:tbl>
      <w:tblPr>
        <w:tblStyle w:val="9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021"/>
        <w:gridCol w:w="1663"/>
        <w:gridCol w:w="1863"/>
        <w:gridCol w:w="2008"/>
        <w:gridCol w:w="1213"/>
      </w:tblGrid>
      <w:tr>
        <w:trPr>
          <w:jc w:val="center"/>
        </w:trPr>
        <w:tc>
          <w:tcPr>
            <w:shd w:val="clear" w:color="auto" w:fill="d9d9d9"/>
            <w:tcW w:w="463"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序号</w:t>
            </w:r>
            <w:r/>
          </w:p>
        </w:tc>
        <w:tc>
          <w:tcPr>
            <w:shd w:val="clear" w:color="auto" w:fill="d9d9d9"/>
            <w:tcW w:w="1045"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医院</w:t>
            </w:r>
            <w:r>
              <w:rPr>
                <w:rFonts w:hint="eastAsia" w:ascii="宋体" w:hAnsi="宋体" w:eastAsia="宋体" w:cs="宋体"/>
                <w:b/>
                <w:color w:val="auto"/>
                <w:szCs w:val="24"/>
                <w:highlight w:val="none"/>
              </w:rPr>
              <w:t xml:space="preserve">名称</w:t>
            </w:r>
            <w:r/>
          </w:p>
        </w:tc>
        <w:tc>
          <w:tcPr>
            <w:shd w:val="clear" w:color="auto" w:fill="d9d9d9"/>
            <w:tcW w:w="860"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医院等级</w:t>
            </w:r>
            <w:r/>
          </w:p>
        </w:tc>
        <w:tc>
          <w:tcPr>
            <w:shd w:val="clear" w:color="auto" w:fill="d9d9d9"/>
            <w:tcW w:w="963"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累计责任限额</w:t>
            </w:r>
            <w:r/>
          </w:p>
        </w:tc>
        <w:tc>
          <w:tcPr>
            <w:shd w:val="clear" w:color="auto" w:fill="d9d9d9"/>
            <w:tcW w:w="1038"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每人责任限额</w:t>
            </w:r>
            <w:r/>
          </w:p>
        </w:tc>
        <w:tc>
          <w:tcPr>
            <w:shd w:val="clear" w:color="auto" w:fill="d9d9d9"/>
            <w:tcW w:w="627"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保险费</w:t>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color w:val="auto"/>
          <w:szCs w:val="21"/>
          <w:highlight w:val="none"/>
          <w:lang w:val="zh-CN"/>
        </w:rPr>
        <w:t xml:space="preserve">说明：</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如果行、列数不够，请自行增加。</w:t>
      </w:r>
      <w:r/>
    </w:p>
    <w:p>
      <w:pPr>
        <w:ind w:firstLine="63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150"/>
        <w:jc w:val="both"/>
        <w:rPr>
          <w:rFonts w:ascii="宋体" w:hAnsi="宋体" w:eastAsia="宋体" w:cs="宋体"/>
          <w:b/>
          <w:bCs/>
          <w:color w:val="auto"/>
          <w:sz w:val="24"/>
          <w:szCs w:val="24"/>
          <w:highlight w:val="none"/>
          <w:lang w:val="en-US" w:eastAsia="zh-CN" w:bidi="ar-SA"/>
        </w:rPr>
      </w:pPr>
      <w:r>
        <w:rPr>
          <w:rFonts w:hint="eastAsia" w:ascii="宋体" w:hAnsi="宋体" w:cs="宋体"/>
          <w:bCs/>
          <w:color w:val="auto"/>
          <w:sz w:val="24"/>
          <w:highlight w:val="none"/>
        </w:rPr>
        <w:br w:type="page" w:clear="all"/>
      </w:r>
      <w:r>
        <w:rPr>
          <w:rFonts w:hint="eastAsia" w:ascii="宋体" w:hAnsi="宋体" w:eastAsia="宋体" w:cs="宋体"/>
          <w:b/>
          <w:bCs/>
          <w:color w:val="auto"/>
          <w:sz w:val="24"/>
          <w:szCs w:val="24"/>
          <w:highlight w:val="none"/>
          <w:lang w:val="en-US" w:eastAsia="zh-CN" w:bidi="ar-SA"/>
        </w:rPr>
        <w:t xml:space="preserve">附件</w:t>
      </w: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eastAsia="宋体" w:cs="宋体"/>
          <w:b/>
          <w:bCs/>
          <w:color w:val="auto"/>
          <w:sz w:val="24"/>
          <w:szCs w:val="24"/>
          <w:highlight w:val="none"/>
          <w:lang w:val="en-US" w:eastAsia="zh-CN" w:bidi="ar-SA"/>
        </w:rPr>
        <w:t xml:space="preserve">、本项目服务团队人员表</w:t>
      </w:r>
      <w:r/>
    </w:p>
    <w:p>
      <w:pPr>
        <w:ind w:firstLine="0"/>
        <w:jc w:val="center"/>
        <w:spacing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zh-CN"/>
        </w:rPr>
        <w:t xml:space="preserve">服务团队</w:t>
      </w:r>
      <w:r>
        <w:rPr>
          <w:rFonts w:hint="eastAsia" w:ascii="宋体" w:hAnsi="宋体" w:eastAsia="宋体" w:cs="宋体"/>
          <w:b/>
          <w:bCs/>
          <w:color w:val="auto"/>
          <w:sz w:val="28"/>
          <w:szCs w:val="28"/>
          <w:highlight w:val="none"/>
          <w:lang w:val="en-US" w:eastAsia="zh-CN"/>
        </w:rPr>
        <w:t xml:space="preserve">人员表</w:t>
      </w:r>
      <w:r/>
    </w:p>
    <w:tbl>
      <w:tblPr>
        <w:tblStyle w:val="97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94"/>
        <w:gridCol w:w="636"/>
        <w:gridCol w:w="734"/>
        <w:gridCol w:w="636"/>
        <w:gridCol w:w="636"/>
        <w:gridCol w:w="636"/>
        <w:gridCol w:w="5795"/>
      </w:tblGrid>
      <w:tr>
        <w:trPr>
          <w:jc w:val="center"/>
        </w:trPr>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本项目中职务</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姓名</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职务</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职责</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手机</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固话</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组长</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第三联系人</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副组长</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第二联系人</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vMerge w:val="restart"/>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成员</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第一联系人</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vMerge w:val="continue"/>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vMerge w:val="continue"/>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667" w:type="dxa"/>
            <w:vAlign w:val="center"/>
            <w:textDirection w:val="lrTb"/>
            <w:noWrap w:val="false"/>
          </w:tcPr>
          <w:p>
            <w:pPr>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第一联系人：</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                 email：传真：</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联系地址：邮编：</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第二联系人：</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姓名：email：传真：</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联系地址：邮编：</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第三联系人：</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                 email：传真：</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联系地址：邮编：</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项目第一、二、三联系人中至少有一人为投标人理赔部门的负责人，并负责总体协调本项目保险事故的理赔处理工作。</w:t>
            </w:r>
            <w:r/>
          </w:p>
        </w:tc>
      </w:tr>
    </w:tbl>
    <w:p>
      <w:pPr>
        <w:ind w:firstLine="420"/>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项目服务小组人员简历：</w:t>
      </w:r>
      <w:r/>
    </w:p>
    <w:tbl>
      <w:tblPr>
        <w:tblStyle w:val="97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90"/>
        <w:gridCol w:w="1129"/>
        <w:gridCol w:w="1321"/>
        <w:gridCol w:w="1854"/>
        <w:gridCol w:w="3177"/>
        <w:gridCol w:w="1192"/>
      </w:tblGrid>
      <w:tr>
        <w:trPr>
          <w:jc w:val="center"/>
          <w:trHeight w:val="361"/>
        </w:trPr>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姓名</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年龄</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专业资格</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从业年数及</w:t>
            </w:r>
            <w:r>
              <w:rPr>
                <w:rFonts w:hint="eastAsia" w:ascii="宋体" w:hAnsi="宋体" w:eastAsia="宋体" w:cs="宋体"/>
                <w:b/>
                <w:color w:val="auto"/>
                <w:sz w:val="21"/>
                <w:szCs w:val="21"/>
                <w:highlight w:val="none"/>
                <w:lang w:val="en-US" w:eastAsia="zh-CN"/>
              </w:rPr>
              <w:t xml:space="preserve">项目</w:t>
            </w:r>
            <w:r>
              <w:rPr>
                <w:rFonts w:hint="eastAsia" w:ascii="宋体" w:hAnsi="宋体" w:eastAsia="宋体" w:cs="宋体"/>
                <w:b/>
                <w:color w:val="auto"/>
                <w:sz w:val="21"/>
                <w:szCs w:val="21"/>
                <w:highlight w:val="none"/>
                <w:lang w:eastAsia="zh-CN"/>
              </w:rPr>
              <w:t xml:space="preserve">经验</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备注</w:t>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0"/>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left"/>
        <w:spacing w:before="64"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须提供劳动合同、上述人员学历或职称证书和近六个月任意一个月（2026年04月（含）以来）社保缴纳证明材料复印件并加盖投标人公章。</w:t>
      </w:r>
      <w:r>
        <w:rPr>
          <w:rFonts w:hint="eastAsia" w:ascii="宋体" w:hAnsi="宋体" w:eastAsia="宋体" w:cs="宋体"/>
          <w:color w:val="auto"/>
          <w:sz w:val="21"/>
          <w:szCs w:val="21"/>
          <w:highlight w:val="none"/>
        </w:rPr>
      </w:r>
      <w:r/>
    </w:p>
    <w:p>
      <w:pPr>
        <w:ind w:firstLine="63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如果行、列数不够，请自行增加。</w:t>
      </w:r>
      <w:r/>
    </w:p>
    <w:p>
      <w:pPr>
        <w:pStyle w:val="1150"/>
        <w:jc w:val="both"/>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 w:val="24"/>
          <w:szCs w:val="24"/>
          <w:highlight w:val="none"/>
          <w:lang w:val="en-US" w:eastAsia="zh-CN"/>
        </w:rPr>
        <w:t xml:space="preserve">附件</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w:t>
      </w:r>
      <w:r>
        <w:rPr>
          <w:rStyle w:val="1205"/>
          <w:rFonts w:hint="eastAsia" w:ascii="宋体" w:hAnsi="宋体" w:eastAsia="宋体" w:cs="宋体"/>
          <w:b/>
          <w:bCs/>
          <w:color w:val="auto"/>
          <w:sz w:val="24"/>
          <w:szCs w:val="24"/>
          <w:highlight w:val="none"/>
          <w:lang w:val="en-US" w:eastAsia="zh-CN"/>
        </w:rPr>
        <w:t xml:space="preserve">附件风险综合评级</w:t>
      </w:r>
      <w:r>
        <w:rPr>
          <w:b/>
          <w:bCs/>
        </w:rPr>
      </w:r>
      <w:r/>
    </w:p>
    <w:p>
      <w:pPr>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（提供总公司</w:t>
      </w:r>
      <w:r>
        <w:rPr>
          <w:rFonts w:hint="eastAsia" w:ascii="宋体" w:hAnsi="宋体" w:eastAsia="宋体" w:cs="宋体"/>
          <w:b/>
          <w:bCs/>
          <w:color w:val="auto"/>
          <w:szCs w:val="21"/>
          <w:highlight w:val="none"/>
          <w:lang w:val="en-US" w:eastAsia="zh-CN"/>
        </w:rPr>
        <w:t xml:space="preserve">最新</w:t>
      </w:r>
      <w:r>
        <w:rPr>
          <w:rFonts w:hint="eastAsia" w:ascii="宋体" w:hAnsi="宋体" w:eastAsia="宋体" w:cs="宋体"/>
          <w:b/>
          <w:bCs/>
          <w:color w:val="auto"/>
          <w:szCs w:val="21"/>
          <w:highlight w:val="none"/>
        </w:rPr>
        <w:t xml:space="preserve">C-ROSS偿二代监管信息系统风险综合评级结果的截屏复印件或扫描件并加盖投标人公章）</w:t>
      </w:r>
      <w:r/>
    </w:p>
    <w:p>
      <w:pPr>
        <w:ind w:firstLine="63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150"/>
        <w:jc w:val="left"/>
        <w:rPr>
          <w:color w:val="auto"/>
          <w:highlight w:val="none"/>
        </w:rPr>
      </w:pPr>
      <w:r>
        <w:rPr>
          <w:rFonts w:hint="eastAsia" w:ascii="Microsoft New Tai Lue" w:hAnsi="Microsoft New Tai Lue" w:cs="Microsoft New Tai Lue"/>
          <w:color w:val="auto"/>
          <w:highlight w:val="none"/>
        </w:rPr>
        <w:br w:type="page" w:clear="all"/>
      </w:r>
      <w:r>
        <w:rPr>
          <w:rFonts w:hint="eastAsia" w:ascii="宋体" w:hAnsi="宋体" w:eastAsia="宋体" w:cs="宋体"/>
          <w:b/>
          <w:bCs/>
          <w:color w:val="auto"/>
          <w:sz w:val="24"/>
          <w:szCs w:val="24"/>
          <w:highlight w:val="none"/>
          <w:lang w:val="en-US" w:eastAsia="zh-CN"/>
        </w:rPr>
        <w:t xml:space="preserve">附件</w:t>
      </w: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val="en-US" w:eastAsia="zh-CN"/>
        </w:rPr>
        <w:t xml:space="preserve">、增值服务承诺和方案</w:t>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请根据本招标文件中采购需求和合同条款中相关内容作出承诺及提出实质性增值服务：</w:t>
      </w:r>
      <w:r/>
    </w:p>
    <w:p>
      <w:pPr>
        <w:jc w:val="center"/>
        <w:rPr>
          <w:rFonts w:hint="eastAsia" w:ascii="宋体" w:hAnsi="宋体" w:eastAsia="宋体" w:cs="宋体"/>
          <w:b w:val="0"/>
          <w:bCs/>
          <w:color w:val="auto"/>
          <w:szCs w:val="24"/>
          <w:highlight w:val="none"/>
        </w:rPr>
      </w:pPr>
      <w:r>
        <w:rPr>
          <w:rFonts w:hint="eastAsia" w:ascii="宋体" w:hAnsi="宋体" w:eastAsia="宋体" w:cs="宋体"/>
          <w:b/>
          <w:bCs/>
          <w:color w:val="auto"/>
          <w:sz w:val="24"/>
          <w:szCs w:val="24"/>
          <w:highlight w:val="none"/>
          <w:lang w:val="en-US" w:eastAsia="zh-CN" w:bidi="ar-SA"/>
        </w:rPr>
        <w:t xml:space="preserve">承诺函</w:t>
      </w:r>
      <w:r/>
    </w:p>
    <w:p>
      <w:pPr>
        <w:ind w:firstLine="480"/>
        <w:spacing w:line="520" w:lineRule="exact"/>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 xml:space="preserve">我</w:t>
      </w:r>
      <w:r>
        <w:rPr>
          <w:rFonts w:hint="eastAsia" w:ascii="宋体" w:hAnsi="宋体" w:eastAsia="宋体" w:cs="宋体"/>
          <w:bCs/>
          <w:color w:val="auto"/>
          <w:szCs w:val="24"/>
          <w:highlight w:val="none"/>
          <w:lang w:val="en-US" w:eastAsia="zh-CN"/>
        </w:rPr>
        <w:t xml:space="preserve">公</w:t>
      </w:r>
      <w:r>
        <w:rPr>
          <w:rFonts w:hint="eastAsia" w:ascii="宋体" w:hAnsi="宋体" w:eastAsia="宋体" w:cs="宋体"/>
          <w:bCs/>
          <w:color w:val="auto"/>
          <w:szCs w:val="24"/>
          <w:highlight w:val="none"/>
        </w:rPr>
        <w:t xml:space="preserve">司完全响应招标文件中关于</w:t>
      </w:r>
      <w:r>
        <w:rPr>
          <w:rFonts w:hint="eastAsia" w:ascii="宋体" w:hAnsi="宋体" w:eastAsia="宋体" w:cs="宋体"/>
          <w:bCs/>
          <w:color w:val="auto"/>
          <w:szCs w:val="24"/>
          <w:highlight w:val="none"/>
          <w:lang w:val="en-US" w:eastAsia="zh-CN"/>
        </w:rPr>
        <w:t xml:space="preserve">江苏省</w:t>
      </w:r>
      <w:r>
        <w:rPr>
          <w:rFonts w:hint="eastAsia" w:ascii="宋体" w:hAnsi="宋体" w:eastAsia="宋体" w:cs="宋体"/>
          <w:color w:val="auto"/>
          <w:szCs w:val="24"/>
          <w:highlight w:val="none"/>
          <w:lang w:val="zh-CN"/>
        </w:rPr>
        <w:t xml:space="preserve">医院医疗责任保险</w:t>
      </w:r>
      <w:r>
        <w:rPr>
          <w:rFonts w:hint="eastAsia" w:ascii="宋体" w:hAnsi="宋体" w:eastAsia="宋体" w:cs="宋体"/>
          <w:color w:val="auto"/>
          <w:szCs w:val="24"/>
          <w:highlight w:val="none"/>
          <w:lang w:val="en-US" w:eastAsia="zh-CN"/>
        </w:rPr>
        <w:t xml:space="preserve">服务项目</w:t>
      </w:r>
      <w:r>
        <w:rPr>
          <w:rFonts w:hint="eastAsia" w:ascii="宋体" w:hAnsi="宋体" w:eastAsia="宋体" w:cs="宋体"/>
          <w:bCs/>
          <w:color w:val="auto"/>
          <w:szCs w:val="24"/>
          <w:highlight w:val="none"/>
        </w:rPr>
        <w:t xml:space="preserve">保险方案、赔偿处理办法</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合同主要条款等相关项目</w:t>
      </w:r>
      <w:r>
        <w:rPr>
          <w:rFonts w:hint="eastAsia" w:ascii="宋体" w:hAnsi="宋体" w:eastAsia="宋体" w:cs="宋体"/>
          <w:bCs/>
          <w:color w:val="auto"/>
          <w:szCs w:val="24"/>
          <w:highlight w:val="none"/>
        </w:rPr>
        <w:t xml:space="preserve">的全部内容</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同时提供如下增值服务：</w:t>
      </w:r>
      <w:r/>
    </w:p>
    <w:p>
      <w:pPr>
        <w:ind w:firstLine="480"/>
        <w:spacing w:line="520" w:lineRule="exact"/>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r>
      <w:r/>
    </w:p>
    <w:tbl>
      <w:tblPr>
        <w:tblStyle w:val="12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3683"/>
        <w:gridCol w:w="2960"/>
      </w:tblGrid>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bCs w:val="0"/>
                <w:i w:val="0"/>
                <w:iCs w:val="0"/>
                <w:color w:val="auto"/>
                <w:sz w:val="21"/>
                <w:szCs w:val="21"/>
                <w:highlight w:val="none"/>
                <w:u w:val="none"/>
                <w:vertAlign w:val="baseline"/>
                <w:lang w:val="en-US" w:eastAsia="zh-CN" w:bidi="ar-SA"/>
              </w:rPr>
            </w:pPr>
            <w:r>
              <w:rPr>
                <w:rFonts w:hint="eastAsia" w:ascii="宋体" w:hAnsi="宋体" w:eastAsia="宋体" w:cs="宋体"/>
                <w:b/>
                <w:bCs w:val="0"/>
                <w:i w:val="0"/>
                <w:iCs w:val="0"/>
                <w:color w:val="auto"/>
                <w:sz w:val="21"/>
                <w:szCs w:val="21"/>
                <w:highlight w:val="none"/>
                <w:u w:val="none"/>
                <w:vertAlign w:val="baseline"/>
                <w:lang w:val="en-US" w:eastAsia="zh-CN" w:bidi="ar-SA"/>
              </w:rPr>
              <w:t xml:space="preserve">序号</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bCs w:val="0"/>
                <w:i w:val="0"/>
                <w:iCs w:val="0"/>
                <w:color w:val="auto"/>
                <w:sz w:val="21"/>
                <w:szCs w:val="21"/>
                <w:highlight w:val="none"/>
                <w:u w:val="none"/>
                <w:vertAlign w:val="baseline"/>
                <w:lang w:val="en-US" w:eastAsia="zh-CN" w:bidi="ar-SA"/>
              </w:rPr>
            </w:pPr>
            <w:r>
              <w:rPr>
                <w:rFonts w:hint="eastAsia" w:ascii="宋体" w:hAnsi="宋体" w:eastAsia="宋体" w:cs="宋体"/>
                <w:b/>
                <w:bCs w:val="0"/>
                <w:i w:val="0"/>
                <w:iCs w:val="0"/>
                <w:color w:val="auto"/>
                <w:sz w:val="21"/>
                <w:szCs w:val="21"/>
                <w:highlight w:val="none"/>
                <w:u w:val="none"/>
                <w:vertAlign w:val="baseline"/>
                <w:lang w:val="en-US" w:eastAsia="zh-CN" w:bidi="ar-SA"/>
              </w:rPr>
              <w:t xml:space="preserve">增值服务项目</w:t>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bCs w:val="0"/>
                <w:i w:val="0"/>
                <w:iCs w:val="0"/>
                <w:color w:val="auto"/>
                <w:sz w:val="21"/>
                <w:szCs w:val="21"/>
                <w:highlight w:val="none"/>
                <w:u w:val="none"/>
                <w:vertAlign w:val="baseline"/>
                <w:lang w:val="en-US" w:eastAsia="zh-CN" w:bidi="ar-SA"/>
              </w:rPr>
            </w:pPr>
            <w:r>
              <w:rPr>
                <w:rFonts w:hint="eastAsia" w:ascii="宋体" w:hAnsi="宋体" w:eastAsia="宋体" w:cs="宋体"/>
                <w:b/>
                <w:bCs w:val="0"/>
                <w:i w:val="0"/>
                <w:iCs w:val="0"/>
                <w:color w:val="auto"/>
                <w:sz w:val="21"/>
                <w:szCs w:val="21"/>
                <w:highlight w:val="none"/>
                <w:u w:val="none"/>
                <w:vertAlign w:val="baseline"/>
                <w:lang w:val="en-US" w:eastAsia="zh-CN" w:bidi="ar-SA"/>
              </w:rPr>
              <w:t xml:space="preserve">具体增值优惠明细</w:t>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1</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2</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3</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4</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5</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（表格不够可扩展）</w:t>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bl>
    <w:p>
      <w:pPr>
        <w:ind w:firstLine="0"/>
        <w:jc w:val="both"/>
        <w:spacing w:after="120"/>
        <w:widowControl w:val="off"/>
        <w:rPr>
          <w:rFonts w:hint="eastAsia" w:ascii="宋体" w:hAnsi="宋体" w:eastAsia="宋体" w:cs="宋体"/>
          <w:b/>
          <w:i/>
          <w:iCs/>
          <w:color w:val="auto"/>
          <w:sz w:val="28"/>
          <w:szCs w:val="28"/>
          <w:highlight w:val="none"/>
          <w:u w:val="single"/>
          <w:lang w:val="en-US" w:eastAsia="zh-CN" w:bidi="ar-SA"/>
        </w:rPr>
      </w:pPr>
      <w:r>
        <w:rPr>
          <w:rFonts w:hint="eastAsia" w:ascii="宋体" w:hAnsi="宋体" w:eastAsia="宋体" w:cs="宋体"/>
          <w:b/>
          <w:i/>
          <w:iCs/>
          <w:color w:val="auto"/>
          <w:sz w:val="28"/>
          <w:szCs w:val="28"/>
          <w:highlight w:val="none"/>
          <w:u w:val="single"/>
          <w:lang w:val="en-US" w:eastAsia="zh-CN" w:bidi="ar-SA"/>
        </w:rPr>
      </w:r>
      <w:r/>
    </w:p>
    <w:p>
      <w:pPr>
        <w:ind w:firstLine="422"/>
        <w:spacing w:line="360" w:lineRule="auto"/>
        <w:widowControl/>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rPr>
        <w:t xml:space="preserve">投标人：（盖章）</w:t>
      </w:r>
      <w:r/>
    </w:p>
    <w:p>
      <w:pPr>
        <w:ind w:firstLine="422"/>
        <w:spacing w:line="360" w:lineRule="auto"/>
        <w:widowControl/>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rPr>
        <w:t xml:space="preserve">日期：</w:t>
      </w:r>
      <w:r/>
    </w:p>
    <w:p>
      <w:pPr>
        <w:pStyle w:val="1150"/>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szCs w:val="24"/>
          <w:highlight w:val="none"/>
          <w:lang w:val="en-US" w:eastAsia="zh-CN"/>
        </w:rPr>
        <w:t xml:space="preserve">附件十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zh-CN"/>
        </w:rPr>
        <w:t xml:space="preserve">、注册保险条款确认书</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致江苏省肿瘤医院</w:t>
      </w:r>
      <w:r>
        <w:rPr>
          <w:rFonts w:hint="eastAsia" w:ascii="宋体" w:hAnsi="宋体" w:eastAsia="宋体" w:cs="宋体"/>
          <w:b/>
          <w:bCs/>
          <w:color w:val="auto"/>
          <w:szCs w:val="21"/>
          <w:highlight w:val="none"/>
          <w:lang w:eastAsia="zh-CN"/>
        </w:rPr>
        <w:t xml:space="preserve">：</w:t>
      </w:r>
      <w:r/>
    </w:p>
    <w:p>
      <w:pPr>
        <w:ind w:firstLine="480"/>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我公司承诺，若成为本项目的承保公司，</w:t>
      </w:r>
      <w:bookmarkStart w:id="436" w:name="OLE_LINK24"/>
      <w:r>
        <w:rPr>
          <w:rFonts w:hint="eastAsia" w:ascii="宋体" w:hAnsi="宋体" w:eastAsia="宋体" w:cs="宋体"/>
          <w:bCs/>
          <w:color w:val="auto"/>
          <w:szCs w:val="21"/>
          <w:highlight w:val="none"/>
        </w:rPr>
        <w:t xml:space="preserve">将</w:t>
      </w:r>
      <w:bookmarkEnd w:id="436"/>
      <w:r>
        <w:rPr>
          <w:rFonts w:hint="eastAsia" w:ascii="宋体" w:hAnsi="宋体" w:eastAsia="宋体" w:cs="宋体"/>
          <w:bCs/>
          <w:color w:val="auto"/>
          <w:szCs w:val="21"/>
          <w:highlight w:val="none"/>
        </w:rPr>
        <w:t xml:space="preserve">严格遵守本项目</w:t>
      </w:r>
      <w:r>
        <w:rPr>
          <w:rFonts w:hint="eastAsia" w:ascii="宋体" w:hAnsi="宋体" w:eastAsia="宋体" w:cs="宋体"/>
          <w:bCs/>
          <w:color w:val="auto"/>
          <w:szCs w:val="21"/>
          <w:highlight w:val="none"/>
          <w:lang w:val="en-US" w:eastAsia="zh-CN"/>
        </w:rPr>
        <w:t xml:space="preserve">采购协议</w:t>
      </w:r>
      <w:r>
        <w:rPr>
          <w:rFonts w:hint="eastAsia" w:ascii="宋体" w:hAnsi="宋体" w:eastAsia="宋体" w:cs="宋体"/>
          <w:bCs/>
          <w:color w:val="auto"/>
          <w:szCs w:val="21"/>
          <w:highlight w:val="none"/>
        </w:rPr>
        <w:t xml:space="preserve">的约定，且在发布</w:t>
      </w:r>
      <w:r>
        <w:rPr>
          <w:rFonts w:hint="eastAsia" w:ascii="宋体" w:hAnsi="宋体" w:eastAsia="宋体" w:cs="宋体"/>
          <w:bCs/>
          <w:color w:val="auto"/>
          <w:szCs w:val="21"/>
          <w:highlight w:val="none"/>
          <w:lang w:val="en-US" w:eastAsia="zh-CN"/>
        </w:rPr>
        <w:t xml:space="preserve">中标</w:t>
      </w:r>
      <w:r>
        <w:rPr>
          <w:rFonts w:hint="eastAsia" w:ascii="宋体" w:hAnsi="宋体" w:eastAsia="宋体" w:cs="宋体"/>
          <w:bCs/>
          <w:color w:val="auto"/>
          <w:szCs w:val="21"/>
          <w:highlight w:val="none"/>
        </w:rPr>
        <w:t xml:space="preserve">公告次日起</w:t>
      </w:r>
      <w:r>
        <w:rPr>
          <w:rFonts w:hint="eastAsia" w:ascii="宋体" w:hAnsi="宋体" w:eastAsia="宋体" w:cs="宋体"/>
          <w:bCs/>
          <w:color w:val="auto"/>
          <w:szCs w:val="21"/>
          <w:highlight w:val="none"/>
          <w:lang w:val="en-US" w:eastAsia="zh-CN"/>
        </w:rPr>
        <w:t xml:space="preserve">20个工作日</w:t>
      </w:r>
      <w:r>
        <w:rPr>
          <w:rFonts w:hint="eastAsia" w:ascii="宋体" w:hAnsi="宋体" w:eastAsia="宋体" w:cs="宋体"/>
          <w:bCs/>
          <w:color w:val="auto"/>
          <w:szCs w:val="21"/>
          <w:highlight w:val="none"/>
        </w:rPr>
        <w:t xml:space="preserve">内向财产保险公司备案产品自主注册平台注册本项目的</w:t>
      </w:r>
      <w:r>
        <w:rPr>
          <w:rFonts w:hint="eastAsia" w:ascii="宋体" w:hAnsi="宋体" w:eastAsia="宋体" w:cs="宋体"/>
          <w:bCs/>
          <w:color w:val="auto"/>
          <w:szCs w:val="21"/>
          <w:highlight w:val="none"/>
          <w:lang w:val="en-US" w:eastAsia="zh-CN"/>
        </w:rPr>
        <w:t xml:space="preserve">医疗责任</w:t>
      </w:r>
      <w:r>
        <w:rPr>
          <w:rFonts w:hint="eastAsia" w:ascii="宋体" w:hAnsi="宋体" w:eastAsia="宋体" w:cs="宋体"/>
          <w:bCs/>
          <w:color w:val="auto"/>
          <w:szCs w:val="21"/>
          <w:highlight w:val="none"/>
        </w:rPr>
        <w:t xml:space="preserve">保险条款及费率</w:t>
      </w:r>
      <w:r>
        <w:rPr>
          <w:rFonts w:hint="eastAsia" w:ascii="宋体" w:hAnsi="宋体" w:eastAsia="宋体" w:cs="宋体"/>
          <w:bCs/>
          <w:color w:val="auto"/>
          <w:szCs w:val="21"/>
          <w:highlight w:val="none"/>
          <w:lang w:val="en-US" w:eastAsia="zh-CN"/>
        </w:rPr>
        <w:t xml:space="preserve">规章</w:t>
      </w:r>
      <w:r>
        <w:rPr>
          <w:rFonts w:hint="eastAsia" w:ascii="宋体" w:hAnsi="宋体" w:eastAsia="宋体" w:cs="宋体"/>
          <w:bCs/>
          <w:color w:val="auto"/>
          <w:szCs w:val="21"/>
          <w:highlight w:val="none"/>
        </w:rPr>
        <w:t xml:space="preserve">，并将注册材料发送至采购人。</w:t>
      </w:r>
      <w:r/>
    </w:p>
    <w:p>
      <w:pPr>
        <w:ind w:firstLine="480"/>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0"/>
        <w:spacing w:line="520" w:lineRule="exact"/>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zh-CN"/>
        </w:rPr>
        <w:t xml:space="preserve">名称（盖章）：</w:t>
      </w:r>
      <w:r>
        <w:rPr>
          <w:rFonts w:hint="eastAsia" w:ascii="宋体" w:hAnsi="宋体" w:eastAsia="宋体" w:cs="宋体"/>
          <w:b w:val="0"/>
          <w:bCs/>
          <w:color w:val="auto"/>
          <w:sz w:val="21"/>
          <w:szCs w:val="21"/>
          <w:highlight w:val="none"/>
          <w:u w:val="single"/>
          <w:lang w:val="zh-CN"/>
        </w:rPr>
        <w:t xml:space="preserve">                                                </w:t>
      </w:r>
      <w:r/>
    </w:p>
    <w:p>
      <w:pPr>
        <w:ind w:firstLine="480"/>
        <w:spacing w:line="52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1"/>
          <w:szCs w:val="21"/>
          <w:highlight w:val="none"/>
          <w:lang w:val="zh-CN" w:eastAsia="zh-CN"/>
        </w:rPr>
        <w:t xml:space="preserve">日期：</w:t>
      </w:r>
      <w:r>
        <w:rPr>
          <w:rFonts w:hint="eastAsia" w:ascii="宋体" w:hAnsi="宋体" w:eastAsia="宋体" w:cs="宋体"/>
          <w:b w:val="0"/>
          <w:bCs/>
          <w:color w:val="auto"/>
          <w:sz w:val="21"/>
          <w:szCs w:val="21"/>
          <w:highlight w:val="none"/>
          <w:u w:val="single"/>
          <w:lang w:val="zh-CN"/>
        </w:rPr>
        <w:t xml:space="preserve">      </w:t>
      </w:r>
      <w:r>
        <w:rPr>
          <w:rFonts w:hint="eastAsia" w:ascii="宋体" w:hAnsi="宋体" w:eastAsia="宋体" w:cs="宋体"/>
          <w:b w:val="0"/>
          <w:bCs/>
          <w:color w:val="auto"/>
          <w:sz w:val="24"/>
          <w:szCs w:val="24"/>
          <w:highlight w:val="none"/>
          <w:u w:val="single"/>
          <w:lang w:val="zh-CN"/>
        </w:rPr>
        <w:t xml:space="preserve">                        </w:t>
      </w:r>
      <w:r/>
    </w:p>
    <w:p>
      <w:pPr>
        <w:pStyle w:val="1150"/>
        <w:jc w:val="both"/>
        <w:rPr>
          <w:rStyle w:val="1157"/>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highlight w:val="none"/>
        </w:rPr>
        <w:br w:type="page" w:clear="all"/>
      </w:r>
      <w:r>
        <w:rPr>
          <w:rStyle w:val="1157"/>
          <w:rFonts w:hint="eastAsia" w:ascii="宋体" w:hAnsi="宋体" w:eastAsia="宋体" w:cs="宋体"/>
          <w:b/>
          <w:bCs/>
          <w:color w:val="auto"/>
          <w:sz w:val="24"/>
          <w:szCs w:val="24"/>
          <w:highlight w:val="none"/>
          <w:lang w:val="en-US" w:eastAsia="zh-CN"/>
        </w:rPr>
        <w:t xml:space="preserve">附件十</w:t>
      </w:r>
      <w:r>
        <w:rPr>
          <w:rStyle w:val="1157"/>
          <w:rFonts w:hint="eastAsia" w:ascii="宋体" w:hAnsi="宋体" w:eastAsia="宋体" w:cs="宋体"/>
          <w:b/>
          <w:bCs/>
          <w:color w:val="auto"/>
          <w:sz w:val="24"/>
          <w:szCs w:val="24"/>
          <w:highlight w:val="none"/>
          <w:lang w:val="en-US" w:eastAsia="zh-CN"/>
        </w:rPr>
        <w:t xml:space="preserve">三</w:t>
      </w:r>
      <w:r>
        <w:rPr>
          <w:rStyle w:val="1157"/>
          <w:rFonts w:hint="eastAsia" w:ascii="宋体" w:hAnsi="宋体" w:eastAsia="宋体" w:cs="宋体"/>
          <w:b/>
          <w:bCs/>
          <w:color w:val="auto"/>
          <w:sz w:val="24"/>
          <w:szCs w:val="24"/>
          <w:highlight w:val="none"/>
          <w:lang w:val="en-US" w:eastAsia="zh-CN"/>
        </w:rPr>
        <w:t xml:space="preserve">、服务方案</w:t>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br w:type="page" w:clear="all"/>
      </w:r>
      <w:r>
        <w:rPr>
          <w:rStyle w:val="1157"/>
          <w:rFonts w:hint="eastAsia" w:ascii="宋体" w:hAnsi="宋体" w:eastAsia="宋体" w:cs="宋体"/>
          <w:b/>
          <w:bCs/>
          <w:color w:val="auto"/>
          <w:sz w:val="24"/>
          <w:szCs w:val="24"/>
          <w:highlight w:val="none"/>
          <w:lang w:val="en-US" w:eastAsia="zh-CN"/>
        </w:rPr>
        <w:t xml:space="preserve">附件十</w:t>
      </w:r>
      <w:r>
        <w:rPr>
          <w:rStyle w:val="1157"/>
          <w:rFonts w:hint="eastAsia" w:ascii="宋体" w:hAnsi="宋体" w:eastAsia="宋体" w:cs="宋体"/>
          <w:b/>
          <w:bCs/>
          <w:color w:val="auto"/>
          <w:sz w:val="24"/>
          <w:szCs w:val="24"/>
          <w:highlight w:val="none"/>
          <w:lang w:val="en-US" w:eastAsia="zh-CN"/>
        </w:rPr>
        <w:t xml:space="preserve">四</w:t>
      </w:r>
      <w:r>
        <w:rPr>
          <w:rStyle w:val="1157"/>
          <w:rFonts w:hint="eastAsia" w:ascii="宋体" w:hAnsi="宋体" w:eastAsia="宋体" w:cs="宋体"/>
          <w:b/>
          <w:bCs/>
          <w:color w:val="auto"/>
          <w:sz w:val="24"/>
          <w:szCs w:val="24"/>
          <w:highlight w:val="none"/>
          <w:lang w:val="en-US" w:eastAsia="zh-CN"/>
        </w:rPr>
        <w:t xml:space="preserve">：售后服务承诺函</w:t>
      </w:r>
      <w:r/>
    </w:p>
    <w:p>
      <w:pPr>
        <w:jc w:val="center"/>
        <w:rPr>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t xml:space="preserve">（格式自拟）</w:t>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br w:type="page" w:clear="all"/>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t xml:space="preserve">附件十</w:t>
      </w:r>
      <w:r>
        <w:rPr>
          <w:rStyle w:val="1157"/>
          <w:rFonts w:hint="eastAsia" w:ascii="宋体" w:hAnsi="宋体" w:eastAsia="宋体" w:cs="宋体"/>
          <w:b/>
          <w:bCs/>
          <w:color w:val="auto"/>
          <w:sz w:val="24"/>
          <w:szCs w:val="24"/>
          <w:highlight w:val="none"/>
          <w:lang w:val="en-US" w:eastAsia="zh-CN"/>
        </w:rPr>
        <w:t xml:space="preserve">五</w:t>
      </w:r>
      <w:r>
        <w:rPr>
          <w:rStyle w:val="1157"/>
          <w:rFonts w:hint="eastAsia" w:ascii="宋体" w:hAnsi="宋体" w:eastAsia="宋体" w:cs="宋体"/>
          <w:b/>
          <w:bCs/>
          <w:color w:val="auto"/>
          <w:sz w:val="24"/>
          <w:szCs w:val="24"/>
          <w:highlight w:val="none"/>
          <w:lang w:val="en-US" w:eastAsia="zh-CN"/>
        </w:rPr>
        <w:t xml:space="preserve">：首席或独家承保函（如需）</w:t>
      </w:r>
      <w:r/>
    </w:p>
    <w:p>
      <w:pPr>
        <w:jc w:val="left"/>
        <w:rPr>
          <w:rFonts w:hint="eastAsia" w:ascii="宋体" w:hAnsi="宋体" w:eastAsia="宋体" w:cs="宋体"/>
          <w:b/>
          <w:bCs/>
          <w:color w:val="auto"/>
          <w:sz w:val="24"/>
          <w:szCs w:val="24"/>
          <w:highlight w:val="none"/>
          <w:lang w:val="en-US" w:eastAsia="zh-CN"/>
        </w:rPr>
      </w:pPr>
      <w:r>
        <w:rPr>
          <w:color w:val="auto"/>
          <w:highlight w:val="none"/>
        </w:rPr>
        <w:t xml:space="preserve">                                        </w:t>
      </w:r>
      <w:r>
        <w:rPr>
          <w:rStyle w:val="1157"/>
          <w:rFonts w:hint="eastAsia" w:ascii="宋体" w:hAnsi="宋体" w:eastAsia="宋体" w:cs="宋体"/>
          <w:b/>
          <w:bCs/>
          <w:color w:val="auto"/>
          <w:sz w:val="24"/>
          <w:szCs w:val="24"/>
          <w:highlight w:val="none"/>
          <w:lang w:val="en-US" w:eastAsia="zh-CN"/>
        </w:rPr>
        <w:t xml:space="preserve">（格式自拟）</w:t>
      </w:r>
      <w:r/>
    </w:p>
    <w:p>
      <w:pPr>
        <w:rPr>
          <w:color w:val="auto"/>
          <w:highlight w:val="none"/>
        </w:rPr>
      </w:pPr>
      <w:r>
        <w:rPr>
          <w:color w:val="auto"/>
          <w:highlight w:val="none"/>
        </w:rPr>
        <w:t xml:space="preserve">           </w:t>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t xml:space="preserve">                    </w:t>
      </w:r>
      <w:r>
        <w:rPr>
          <w:rStyle w:val="1157"/>
          <w:rFonts w:hint="eastAsia" w:ascii="宋体" w:hAnsi="宋体" w:eastAsia="宋体" w:cs="宋体"/>
          <w:b/>
          <w:bCs/>
          <w:color w:val="auto"/>
          <w:sz w:val="24"/>
          <w:szCs w:val="24"/>
          <w:highlight w:val="none"/>
          <w:lang w:val="en-US" w:eastAsia="zh-CN"/>
        </w:rPr>
        <w:br w:type="page" w:clear="all"/>
      </w:r>
      <w:r>
        <w:rPr>
          <w:rFonts w:hint="eastAsia" w:ascii="Times New Roman" w:hAnsi="Times New Roman" w:eastAsia="宋体" w:cs="Times New Roman"/>
          <w:color w:val="auto"/>
          <w:highlight w:val="none"/>
          <w:lang w:val="en-US" w:eastAsia="zh-CN"/>
        </w:rPr>
        <w:t xml:space="preserve">二</w:t>
      </w:r>
      <w:r>
        <w:rPr>
          <w:rFonts w:ascii="Times New Roman" w:hAnsi="Times New Roman" w:eastAsia="宋体" w:cs="Times New Roman"/>
          <w:color w:val="auto"/>
          <w:sz w:val="28"/>
          <w:szCs w:val="24"/>
          <w:highlight w:val="none"/>
        </w:rPr>
        <w:t xml:space="preserve">、其他部分</w:t>
      </w:r>
      <w:r/>
    </w:p>
    <w:p>
      <w:pPr>
        <w:jc w:val="center"/>
        <w:rPr>
          <w:rFonts w:ascii="Times New Roman" w:hAnsi="Times New Roman" w:eastAsia="宋体" w:cs="Times New Roman"/>
          <w:b/>
          <w:bCs w:val="0"/>
          <w:color w:val="auto"/>
          <w:sz w:val="24"/>
          <w:szCs w:val="24"/>
          <w:highlight w:val="none"/>
          <w:lang w:val="en-US" w:eastAsia="zh-CN" w:bidi="ar-SA"/>
        </w:rPr>
        <w:outlineLvl w:val="0"/>
      </w:pPr>
      <w:r/>
      <w:bookmarkStart w:id="437" w:name="_Toc157071060"/>
      <w:r/>
      <w:bookmarkStart w:id="438" w:name="_Toc103848608"/>
      <w:r/>
      <w:bookmarkStart w:id="439" w:name="_Toc107246308"/>
      <w:r/>
      <w:bookmarkStart w:id="440" w:name="_Toc104560925"/>
      <w:r/>
      <w:bookmarkStart w:id="441" w:name="_Toc100905295"/>
      <w:r/>
      <w:bookmarkStart w:id="442" w:name="_Toc104560924"/>
      <w:r/>
      <w:bookmarkStart w:id="443" w:name="_Toc107246307"/>
      <w:r/>
      <w:bookmarkStart w:id="444" w:name="_Toc103848607"/>
      <w:r/>
      <w:bookmarkStart w:id="445" w:name="_Toc107246306"/>
      <w:r/>
      <w:bookmarkStart w:id="446" w:name="_Toc104560923"/>
      <w:r/>
      <w:bookmarkStart w:id="447" w:name="_Toc103848606"/>
      <w:r>
        <w:rPr>
          <w:rFonts w:ascii="Times New Roman" w:hAnsi="Times New Roman" w:eastAsia="宋体" w:cs="Times New Roman"/>
          <w:b/>
          <w:bCs w:val="0"/>
          <w:color w:val="auto"/>
          <w:sz w:val="24"/>
          <w:szCs w:val="24"/>
          <w:highlight w:val="none"/>
          <w:lang w:val="en-US" w:eastAsia="zh-CN" w:bidi="ar-SA"/>
        </w:rPr>
        <w:t xml:space="preserve">（1）要求投标人提交的其他文件材料或证明材料</w:t>
      </w:r>
      <w:bookmarkEnd w:id="437"/>
      <w:r/>
      <w:bookmarkEnd w:id="438"/>
      <w:r/>
      <w:bookmarkEnd w:id="439"/>
      <w:r/>
      <w:bookmarkEnd w:id="440"/>
      <w:r/>
      <w:r/>
    </w:p>
    <w:p>
      <w:pPr>
        <w:ind w:left="1260" w:firstLine="487"/>
        <w:jc w:val="both"/>
        <w:widowControl w:val="off"/>
        <w:rPr>
          <w:rFonts w:ascii="Times New Roman" w:hAnsi="Times New Roman" w:eastAsia="宋体" w:cs="Times New Roman"/>
          <w:b/>
          <w:color w:val="auto"/>
          <w:position w:val="-10"/>
          <w:sz w:val="24"/>
          <w:szCs w:val="20"/>
          <w:highlight w:val="none"/>
          <w:lang w:val="en-US" w:eastAsia="zh-CN" w:bidi="ar-SA"/>
        </w:rPr>
      </w:pPr>
      <w:r>
        <w:rPr>
          <w:rFonts w:ascii="Times New Roman" w:hAnsi="Times New Roman" w:eastAsia="宋体" w:cs="Times New Roman"/>
          <w:b/>
          <w:color w:val="auto"/>
          <w:position w:val="-10"/>
          <w:sz w:val="24"/>
          <w:szCs w:val="20"/>
          <w:highlight w:val="none"/>
          <w:lang w:val="en-US" w:eastAsia="zh-CN" w:bidi="ar-SA"/>
        </w:rPr>
        <w:br w:type="page" w:clear="all"/>
      </w:r>
      <w:r/>
    </w:p>
    <w:p>
      <w:pPr>
        <w:ind w:firstLine="487"/>
        <w:jc w:val="center"/>
        <w:spacing w:before="156" w:after="156"/>
        <w:widowControl w:val="off"/>
        <w:rPr>
          <w:rFonts w:ascii="Times New Roman" w:hAnsi="Times New Roman" w:eastAsia="宋体" w:cs="Times New Roman"/>
          <w:b/>
          <w:bCs w:val="0"/>
          <w:color w:val="auto"/>
          <w:sz w:val="24"/>
          <w:szCs w:val="24"/>
          <w:highlight w:val="none"/>
          <w:lang w:val="en-US" w:eastAsia="zh-CN" w:bidi="ar-SA"/>
        </w:rPr>
        <w:outlineLvl w:val="0"/>
      </w:pPr>
      <w:r/>
      <w:bookmarkStart w:id="448" w:name="_Toc157071061"/>
      <w:r>
        <w:rPr>
          <w:rFonts w:ascii="Times New Roman" w:hAnsi="Times New Roman" w:eastAsia="宋体" w:cs="Times New Roman"/>
          <w:b/>
          <w:bCs w:val="0"/>
          <w:color w:val="auto"/>
          <w:sz w:val="24"/>
          <w:szCs w:val="24"/>
          <w:highlight w:val="none"/>
          <w:lang w:val="en-US" w:eastAsia="zh-CN" w:bidi="ar-SA"/>
        </w:rPr>
        <w:t xml:space="preserve">（2）投标人认为需提供的其他</w:t>
      </w:r>
      <w:bookmarkEnd w:id="441"/>
      <w:r>
        <w:rPr>
          <w:rFonts w:ascii="Times New Roman" w:hAnsi="Times New Roman" w:eastAsia="宋体" w:cs="Times New Roman"/>
          <w:b/>
          <w:bCs w:val="0"/>
          <w:color w:val="auto"/>
          <w:sz w:val="24"/>
          <w:szCs w:val="24"/>
          <w:highlight w:val="none"/>
          <w:lang w:val="en-US" w:eastAsia="zh-CN" w:bidi="ar-SA"/>
        </w:rPr>
        <w:t xml:space="preserve">文件或证明材料</w:t>
      </w:r>
      <w:bookmarkEnd w:id="442"/>
      <w:r/>
      <w:bookmarkEnd w:id="443"/>
      <w:r/>
      <w:bookmarkEnd w:id="444"/>
      <w:r/>
      <w:bookmarkEnd w:id="448"/>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br w:type="page" w:clear="all"/>
      </w:r>
      <w:r/>
    </w:p>
    <w:p>
      <w:pPr>
        <w:numPr>
          <w:ilvl w:val="0"/>
          <w:numId w:val="0"/>
        </w:numPr>
        <w:jc w:val="center"/>
        <w:spacing w:before="156" w:after="156"/>
        <w:widowControl w:val="off"/>
        <w:rPr>
          <w:rFonts w:ascii="Times New Roman" w:hAnsi="Times New Roman" w:eastAsia="宋体" w:cs="Times New Roman"/>
          <w:b/>
          <w:bCs w:val="0"/>
          <w:color w:val="auto"/>
          <w:sz w:val="24"/>
          <w:szCs w:val="24"/>
          <w:highlight w:val="none"/>
          <w:lang w:val="en-US" w:eastAsia="zh-CN" w:bidi="ar-SA"/>
        </w:rPr>
        <w:outlineLvl w:val="0"/>
      </w:pPr>
      <w:r/>
      <w:bookmarkStart w:id="449" w:name="_Toc157071062"/>
      <w:r>
        <w:rPr>
          <w:rFonts w:hint="eastAsia" w:ascii="Times New Roman" w:hAnsi="Times New Roman" w:eastAsia="宋体" w:cs="Times New Roman"/>
          <w:b/>
          <w:bCs w:val="0"/>
          <w:color w:val="auto"/>
          <w:sz w:val="24"/>
          <w:szCs w:val="24"/>
          <w:highlight w:val="none"/>
          <w:lang w:val="en-US" w:eastAsia="zh-CN" w:bidi="ar-SA"/>
        </w:rPr>
        <w:t xml:space="preserve">（3）</w:t>
      </w:r>
      <w:r>
        <w:rPr>
          <w:rFonts w:ascii="Times New Roman" w:hAnsi="Times New Roman" w:eastAsia="宋体" w:cs="Times New Roman"/>
          <w:b/>
          <w:bCs w:val="0"/>
          <w:color w:val="auto"/>
          <w:sz w:val="24"/>
          <w:szCs w:val="24"/>
          <w:highlight w:val="none"/>
          <w:lang w:val="en-US" w:eastAsia="zh-CN" w:bidi="ar-SA"/>
        </w:rPr>
        <w:t xml:space="preserve">提供符合政府采购政策的证明材料</w:t>
      </w:r>
      <w:bookmarkEnd w:id="445"/>
      <w:r/>
      <w:bookmarkEnd w:id="446"/>
      <w:r/>
      <w:bookmarkEnd w:id="447"/>
      <w:r/>
      <w:bookmarkEnd w:id="449"/>
      <w:r/>
      <w:r/>
    </w:p>
    <w:p>
      <w:pPr>
        <w:jc w:val="cente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lang w:val="en-US" w:eastAsia="zh-CN"/>
        </w:rPr>
        <w:t xml:space="preserve">   </w:t>
      </w:r>
      <w:r>
        <w:rPr>
          <w:rFonts w:hint="eastAsia" w:ascii="宋体" w:hAnsi="宋体" w:eastAsia="宋体" w:cs="宋体"/>
          <w:b/>
          <w:bCs/>
          <w:color w:val="auto"/>
          <w:sz w:val="28"/>
          <w:highlight w:val="none"/>
        </w:rPr>
        <w:t xml:space="preserve">中小企业声明函（工程、服务）</w:t>
      </w:r>
      <w:r/>
    </w:p>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jc w:val="left"/>
        <w:spacing w:line="360" w:lineRule="auto"/>
        <w:widowControl/>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ascii="Microsoft New Tai Lue" w:hAnsi="Microsoft New Tai Lue" w:eastAsia="宋体" w:cs="Microsoft New Tai Lue"/>
          <w:i/>
          <w:color w:val="auto"/>
          <w:spacing w:val="3"/>
          <w:sz w:val="24"/>
          <w:szCs w:val="24"/>
          <w:highlight w:val="none"/>
          <w:u w:val="single"/>
        </w:rPr>
        <w:t xml:space="preserve">（单位名称）</w:t>
      </w:r>
      <w:r>
        <w:rPr>
          <w:rFonts w:ascii="Microsoft New Tai Lue" w:hAnsi="Microsoft New Tai Lue" w:eastAsia="宋体" w:cs="Microsoft New Tai Lue"/>
          <w:color w:val="auto"/>
          <w:spacing w:val="3"/>
          <w:sz w:val="24"/>
          <w:szCs w:val="24"/>
          <w:highlight w:val="none"/>
        </w:rPr>
        <w:t xml:space="preserve">的</w:t>
      </w:r>
      <w:r>
        <w:rPr>
          <w:rFonts w:ascii="Microsoft New Tai Lue" w:hAnsi="Microsoft New Tai Lue" w:eastAsia="宋体" w:cs="Microsoft New Tai Lue"/>
          <w:i/>
          <w:color w:val="auto"/>
          <w:spacing w:val="3"/>
          <w:sz w:val="24"/>
          <w:szCs w:val="24"/>
          <w:highlight w:val="none"/>
          <w:u w:val="single"/>
        </w:rPr>
        <w:t xml:space="preserve">（项目名称）</w:t>
      </w:r>
      <w:r>
        <w:rPr>
          <w:rFonts w:hint="eastAsia" w:ascii="宋体" w:hAnsi="宋体" w:eastAsia="宋体" w:cs="宋体"/>
          <w:color w:val="auto"/>
          <w:sz w:val="24"/>
          <w:highlight w:val="none"/>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auto"/>
          <w:sz w:val="24"/>
          <w:highlight w:val="none"/>
          <w:lang w:bidi="ar"/>
        </w:rPr>
        <w:t xml:space="preserve"> </w:t>
      </w:r>
      <w:r/>
    </w:p>
    <w:p>
      <w:pPr>
        <w:ind w:left="120" w:right="207" w:firstLine="641"/>
        <w:spacing w:line="360" w:lineRule="auto"/>
        <w:rPr>
          <w:rFonts w:ascii="Microsoft New Tai Lue" w:hAnsi="Microsoft New Tai Lue" w:eastAsia="宋体" w:cs="Microsoft New Tai Lue"/>
          <w:color w:val="auto"/>
          <w:spacing w:val="3"/>
          <w:szCs w:val="21"/>
          <w:highlight w:val="none"/>
        </w:rPr>
      </w:pPr>
      <w:r>
        <w:rPr>
          <w:rFonts w:ascii="Microsoft New Tai Lue" w:hAnsi="Microsoft New Tai Lue" w:eastAsia="宋体" w:cs="Microsoft New Tai Lue"/>
          <w:color w:val="auto"/>
          <w:spacing w:val="3"/>
          <w:szCs w:val="21"/>
          <w:highlight w:val="none"/>
        </w:rPr>
        <w:t xml:space="preserve">1. </w:t>
      </w:r>
      <w:r>
        <w:rPr>
          <w:rFonts w:ascii="Microsoft New Tai Lue" w:hAnsi="Microsoft New Tai Lue" w:eastAsia="宋体" w:cs="Microsoft New Tai Lue"/>
          <w:i/>
          <w:color w:val="auto"/>
          <w:spacing w:val="3"/>
          <w:szCs w:val="21"/>
          <w:highlight w:val="none"/>
          <w:u w:val="single"/>
        </w:rPr>
        <w:t xml:space="preserve">（标的名称）</w:t>
      </w:r>
      <w:r>
        <w:rPr>
          <w:rFonts w:ascii="Microsoft New Tai Lue" w:hAnsi="Microsoft New Tai Lue" w:eastAsia="宋体" w:cs="Microsoft New Tai Lue"/>
          <w:color w:val="auto"/>
          <w:spacing w:val="3"/>
          <w:szCs w:val="21"/>
          <w:highlight w:val="none"/>
        </w:rPr>
        <w:t xml:space="preserve">，属于</w:t>
      </w:r>
      <w:r>
        <w:rPr>
          <w:rFonts w:hint="eastAsia" w:ascii="宋体" w:hAnsi="宋体" w:cs="宋体"/>
          <w:b/>
          <w:bCs/>
          <w:color w:val="auto"/>
          <w:szCs w:val="21"/>
          <w:highlight w:val="none"/>
          <w:u w:val="single"/>
        </w:rPr>
        <w:t xml:space="preserve">租赁和商务服务业</w:t>
      </w:r>
      <w:r>
        <w:rPr>
          <w:rFonts w:ascii="Microsoft New Tai Lue" w:hAnsi="Microsoft New Tai Lue" w:eastAsia="宋体" w:cs="Microsoft New Tai Lue"/>
          <w:i/>
          <w:color w:val="auto"/>
          <w:spacing w:val="3"/>
          <w:szCs w:val="21"/>
          <w:highlight w:val="none"/>
          <w:u w:val="single"/>
        </w:rPr>
        <w:t xml:space="preserve">（磋商文件中明确的所属行业）</w:t>
      </w:r>
      <w:r>
        <w:rPr>
          <w:rFonts w:ascii="Microsoft New Tai Lue" w:hAnsi="Microsoft New Tai Lue" w:eastAsia="宋体" w:cs="Microsoft New Tai Lue"/>
          <w:color w:val="auto"/>
          <w:spacing w:val="3"/>
          <w:szCs w:val="21"/>
          <w:highlight w:val="none"/>
        </w:rPr>
        <w:t xml:space="preserve">； 承建（承接）企业为</w:t>
      </w:r>
      <w:r>
        <w:rPr>
          <w:rFonts w:ascii="Microsoft New Tai Lue" w:hAnsi="Microsoft New Tai Lue" w:eastAsia="宋体" w:cs="Microsoft New Tai Lue"/>
          <w:i/>
          <w:color w:val="auto"/>
          <w:spacing w:val="3"/>
          <w:szCs w:val="21"/>
          <w:highlight w:val="none"/>
          <w:u w:val="single"/>
        </w:rPr>
        <w:t xml:space="preserve">（企业名称）</w:t>
      </w:r>
      <w:r>
        <w:rPr>
          <w:rFonts w:ascii="Microsoft New Tai Lue" w:hAnsi="Microsoft New Tai Lue" w:eastAsia="宋体" w:cs="Microsoft New Tai Lue"/>
          <w:color w:val="auto"/>
          <w:spacing w:val="3"/>
          <w:szCs w:val="21"/>
          <w:highlight w:val="none"/>
        </w:rPr>
        <w:t xml:space="preserve">，从业人员</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ascii="Microsoft New Tai Lue" w:hAnsi="Microsoft New Tai Lue" w:eastAsia="宋体" w:cs="Microsoft New Tai Lue"/>
          <w:color w:val="auto"/>
          <w:spacing w:val="3"/>
          <w:szCs w:val="21"/>
          <w:highlight w:val="none"/>
        </w:rPr>
        <w:t xml:space="preserve">人，营业收入为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万元，资产总额为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w:t>
      </w:r>
      <w:r>
        <w:rPr>
          <w:rFonts w:ascii="Microsoft New Tai Lue" w:hAnsi="Microsoft New Tai Lue" w:eastAsia="宋体" w:cs="Microsoft New Tai Lue"/>
          <w:color w:val="auto"/>
          <w:spacing w:val="3"/>
          <w:szCs w:val="21"/>
          <w:highlight w:val="none"/>
          <w:vertAlign w:val="superscript"/>
        </w:rPr>
        <w:t xml:space="preserve">1</w:t>
      </w:r>
      <w:r>
        <w:rPr>
          <w:rFonts w:ascii="Microsoft New Tai Lue" w:hAnsi="Microsoft New Tai Lue" w:eastAsia="宋体" w:cs="Microsoft New Tai Lue"/>
          <w:color w:val="auto"/>
          <w:spacing w:val="3"/>
          <w:szCs w:val="21"/>
          <w:highlight w:val="none"/>
        </w:rPr>
        <w:t xml:space="preserve">，属于</w:t>
      </w:r>
      <w:r>
        <w:rPr>
          <w:rFonts w:ascii="Microsoft New Tai Lue" w:hAnsi="Microsoft New Tai Lue" w:eastAsia="宋体" w:cs="Microsoft New Tai Lue"/>
          <w:i/>
          <w:color w:val="auto"/>
          <w:spacing w:val="3"/>
          <w:szCs w:val="21"/>
          <w:highlight w:val="none"/>
          <w:u w:val="single"/>
        </w:rPr>
        <w:t xml:space="preserve">（中型企业、 小型企业、微型企业）</w:t>
      </w:r>
      <w:r>
        <w:rPr>
          <w:rFonts w:ascii="Microsoft New Tai Lue" w:hAnsi="Microsoft New Tai Lue" w:eastAsia="宋体" w:cs="Microsoft New Tai Lue"/>
          <w:color w:val="auto"/>
          <w:spacing w:val="3"/>
          <w:szCs w:val="21"/>
          <w:highlight w:val="none"/>
        </w:rPr>
        <w:t xml:space="preserve">；</w:t>
      </w:r>
      <w:r/>
    </w:p>
    <w:p>
      <w:pPr>
        <w:ind w:left="120" w:right="207" w:firstLine="641"/>
        <w:spacing w:line="360" w:lineRule="auto"/>
        <w:rPr>
          <w:rFonts w:ascii="Microsoft New Tai Lue" w:hAnsi="Microsoft New Tai Lue" w:eastAsia="宋体" w:cs="Microsoft New Tai Lue"/>
          <w:color w:val="auto"/>
          <w:spacing w:val="3"/>
          <w:szCs w:val="21"/>
          <w:highlight w:val="none"/>
        </w:rPr>
      </w:pPr>
      <w:r>
        <w:rPr>
          <w:rFonts w:ascii="Microsoft New Tai Lue" w:hAnsi="Microsoft New Tai Lue" w:eastAsia="宋体" w:cs="Microsoft New Tai Lue"/>
          <w:color w:val="auto"/>
          <w:spacing w:val="3"/>
          <w:szCs w:val="21"/>
          <w:highlight w:val="none"/>
        </w:rPr>
        <w:t xml:space="preserve">2. </w:t>
      </w:r>
      <w:r>
        <w:rPr>
          <w:rFonts w:ascii="Microsoft New Tai Lue" w:hAnsi="Microsoft New Tai Lue" w:eastAsia="宋体" w:cs="Microsoft New Tai Lue"/>
          <w:i/>
          <w:color w:val="auto"/>
          <w:spacing w:val="3"/>
          <w:szCs w:val="21"/>
          <w:highlight w:val="none"/>
          <w:u w:val="single"/>
        </w:rPr>
        <w:t xml:space="preserve">（标的名称）</w:t>
      </w:r>
      <w:r>
        <w:rPr>
          <w:rFonts w:ascii="Microsoft New Tai Lue" w:hAnsi="Microsoft New Tai Lue" w:eastAsia="宋体" w:cs="Microsoft New Tai Lue"/>
          <w:color w:val="auto"/>
          <w:spacing w:val="3"/>
          <w:szCs w:val="21"/>
          <w:highlight w:val="none"/>
        </w:rPr>
        <w:t xml:space="preserve">，属于</w:t>
      </w:r>
      <w:r>
        <w:rPr>
          <w:rFonts w:ascii="Microsoft New Tai Lue" w:hAnsi="Microsoft New Tai Lue" w:eastAsia="宋体" w:cs="Microsoft New Tai Lue"/>
          <w:i/>
          <w:color w:val="auto"/>
          <w:spacing w:val="3"/>
          <w:szCs w:val="21"/>
          <w:highlight w:val="none"/>
          <w:u w:val="single"/>
        </w:rPr>
        <w:t xml:space="preserve">（磋商文件中明确的所属行业）</w:t>
      </w:r>
      <w:r>
        <w:rPr>
          <w:rFonts w:ascii="Microsoft New Tai Lue" w:hAnsi="Microsoft New Tai Lue" w:eastAsia="宋体" w:cs="Microsoft New Tai Lue"/>
          <w:color w:val="auto"/>
          <w:spacing w:val="3"/>
          <w:szCs w:val="21"/>
          <w:highlight w:val="none"/>
        </w:rPr>
        <w:t xml:space="preserve">； 承建（承接）企业为</w:t>
      </w:r>
      <w:r>
        <w:rPr>
          <w:rFonts w:ascii="Microsoft New Tai Lue" w:hAnsi="Microsoft New Tai Lue" w:eastAsia="宋体" w:cs="Microsoft New Tai Lue"/>
          <w:i/>
          <w:color w:val="auto"/>
          <w:spacing w:val="3"/>
          <w:szCs w:val="21"/>
          <w:highlight w:val="none"/>
          <w:u w:val="single"/>
        </w:rPr>
        <w:t xml:space="preserve">（企业名称）</w:t>
      </w:r>
      <w:r>
        <w:rPr>
          <w:rFonts w:ascii="Microsoft New Tai Lue" w:hAnsi="Microsoft New Tai Lue" w:eastAsia="宋体" w:cs="Microsoft New Tai Lue"/>
          <w:color w:val="auto"/>
          <w:spacing w:val="3"/>
          <w:szCs w:val="21"/>
          <w:highlight w:val="none"/>
        </w:rPr>
        <w:t xml:space="preserve">，从业人员</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ascii="Microsoft New Tai Lue" w:hAnsi="Microsoft New Tai Lue" w:eastAsia="宋体" w:cs="Microsoft New Tai Lue"/>
          <w:color w:val="auto"/>
          <w:spacing w:val="3"/>
          <w:szCs w:val="21"/>
          <w:highlight w:val="none"/>
        </w:rPr>
        <w:t xml:space="preserve">人，营业收入为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万元，资产总额为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万元，属于</w:t>
      </w:r>
      <w:r>
        <w:rPr>
          <w:rFonts w:ascii="Microsoft New Tai Lue" w:hAnsi="Microsoft New Tai Lue" w:eastAsia="宋体" w:cs="Microsoft New Tai Lue"/>
          <w:i/>
          <w:color w:val="auto"/>
          <w:spacing w:val="3"/>
          <w:szCs w:val="21"/>
          <w:highlight w:val="none"/>
          <w:u w:val="single"/>
        </w:rPr>
        <w:t xml:space="preserve">（中型企业、 小型企业、微型企业）</w:t>
      </w:r>
      <w:r>
        <w:rPr>
          <w:rFonts w:ascii="Microsoft New Tai Lue" w:hAnsi="Microsoft New Tai Lue" w:eastAsia="宋体" w:cs="Microsoft New Tai Lue"/>
          <w:color w:val="auto"/>
          <w:spacing w:val="3"/>
          <w:szCs w:val="21"/>
          <w:highlight w:val="none"/>
        </w:rPr>
        <w:t xml:space="preserve">；</w:t>
      </w:r>
      <w:r/>
    </w:p>
    <w:p>
      <w:pPr>
        <w:jc w:val="left"/>
        <w:widowControl/>
        <w:rPr>
          <w:rFonts w:ascii="Times New Roman" w:hAnsi="Times New Roman" w:eastAsia="宋体" w:cs="Times New Roman"/>
          <w:color w:val="auto"/>
          <w:highlight w:val="none"/>
        </w:rPr>
      </w:pPr>
      <w:r>
        <w:rPr>
          <w:rFonts w:hint="eastAsia" w:ascii="仿宋" w:hAnsi="仿宋" w:eastAsia="仿宋" w:cs="仿宋"/>
          <w:color w:val="auto"/>
          <w:sz w:val="31"/>
          <w:szCs w:val="31"/>
          <w:highlight w:val="none"/>
          <w:lang w:bidi="ar"/>
        </w:rPr>
        <w:t xml:space="preserve"> </w:t>
      </w:r>
      <w:r/>
    </w:p>
    <w:p>
      <w:pPr>
        <w:jc w:val="left"/>
        <w:widowControl/>
        <w:rPr>
          <w:rFonts w:ascii="Times New Roman" w:hAnsi="Times New Roman" w:eastAsia="宋体" w:cs="Times New Roman"/>
          <w:color w:val="auto"/>
          <w:highlight w:val="none"/>
        </w:rPr>
      </w:pPr>
      <w:r>
        <w:rPr>
          <w:rFonts w:hint="eastAsia" w:ascii="仿宋" w:hAnsi="仿宋" w:eastAsia="仿宋" w:cs="仿宋"/>
          <w:color w:val="auto"/>
          <w:sz w:val="31"/>
          <w:szCs w:val="31"/>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Times New Roman" w:hAnsi="Times New Roman" w:eastAsia="宋体" w:cs="Times New Roman"/>
          <w:color w:val="auto"/>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w:t>
      </w:r>
      <w:r>
        <w:rPr>
          <w:rFonts w:hint="eastAsia" w:ascii="仿宋" w:hAnsi="仿宋" w:eastAsia="仿宋" w:cs="仿宋"/>
          <w:color w:val="auto"/>
          <w:sz w:val="31"/>
          <w:szCs w:val="31"/>
          <w:highlight w:val="none"/>
          <w:lang w:bidi="ar"/>
        </w:rPr>
        <w:t xml:space="preserve"> </w:t>
      </w:r>
      <w:r/>
    </w:p>
    <w:p>
      <w:pPr>
        <w:jc w:val="left"/>
        <w:widowControl/>
        <w:rPr>
          <w:rFonts w:hint="eastAsia" w:ascii="仿宋" w:hAnsi="仿宋" w:eastAsia="仿宋" w:cs="仿宋"/>
          <w:color w:val="auto"/>
          <w:sz w:val="31"/>
          <w:szCs w:val="31"/>
          <w:highlight w:val="none"/>
          <w:lang w:bidi="ar"/>
        </w:rPr>
      </w:pPr>
      <w:r>
        <w:rPr>
          <w:rFonts w:hint="eastAsia" w:ascii="仿宋" w:hAnsi="仿宋" w:eastAsia="仿宋" w:cs="仿宋"/>
          <w:color w:val="auto"/>
          <w:sz w:val="31"/>
          <w:szCs w:val="31"/>
          <w:highlight w:val="none"/>
          <w:lang w:bidi="ar"/>
        </w:rPr>
      </w:r>
      <w:r/>
    </w:p>
    <w:p>
      <w:pPr>
        <w:jc w:val="left"/>
        <w:widowControl/>
        <w:rPr>
          <w:rFonts w:hint="eastAsia" w:ascii="仿宋" w:hAnsi="仿宋" w:eastAsia="仿宋" w:cs="仿宋"/>
          <w:color w:val="auto"/>
          <w:sz w:val="31"/>
          <w:szCs w:val="31"/>
          <w:highlight w:val="none"/>
          <w:lang w:bidi="ar"/>
        </w:rPr>
      </w:pPr>
      <w:r>
        <w:rPr>
          <w:rFonts w:hint="eastAsia" w:ascii="仿宋" w:hAnsi="仿宋" w:eastAsia="仿宋" w:cs="仿宋"/>
          <w:color w:val="auto"/>
          <w:sz w:val="31"/>
          <w:szCs w:val="31"/>
          <w:highlight w:val="none"/>
          <w:lang w:bidi="ar"/>
        </w:rPr>
      </w:r>
      <w:r/>
    </w:p>
    <w:p>
      <w:pPr>
        <w:ind w:firstLine="480"/>
        <w:jc w:val="center"/>
        <w:spacing w:line="360" w:lineRule="auto"/>
        <w:widowControl/>
        <w:rPr>
          <w:rFonts w:hint="eastAsia"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val="en-US" w:eastAsia="zh-CN" w:bidi="ar"/>
        </w:rPr>
        <w:t xml:space="preserve">               </w:t>
      </w:r>
      <w:r/>
    </w:p>
    <w:p>
      <w:pPr>
        <w:ind w:firstLine="480"/>
        <w:jc w:val="center"/>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val="en-US" w:eastAsia="zh-CN" w:bidi="ar"/>
        </w:rPr>
        <w:t xml:space="preserve">年</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val="en-US" w:eastAsia="zh-CN" w:bidi="ar"/>
        </w:rPr>
        <w:t xml:space="preserve">月</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val="en-US" w:eastAsia="zh-CN" w:bidi="ar"/>
        </w:rPr>
        <w:t xml:space="preserve">日</w:t>
      </w:r>
      <w:r>
        <w:rPr>
          <w:rFonts w:hint="eastAsia" w:ascii="宋体" w:hAnsi="宋体" w:eastAsia="宋体" w:cs="宋体"/>
          <w:color w:val="auto"/>
          <w:sz w:val="24"/>
          <w:highlight w:val="none"/>
          <w:lang w:bidi="ar"/>
        </w:rPr>
        <w:t xml:space="preserve"> </w:t>
      </w:r>
      <w:r/>
    </w:p>
    <w:p>
      <w:pPr>
        <w:jc w:val="left"/>
        <w:widowControl/>
        <w:rPr>
          <w:rFonts w:ascii="Times New Roman" w:hAnsi="Times New Roman" w:eastAsia="宋体" w:cs="Times New Roman"/>
          <w:color w:val="auto"/>
          <w:sz w:val="11"/>
          <w:szCs w:val="11"/>
          <w:highlight w:val="none"/>
          <w:lang w:bidi="ar"/>
        </w:rPr>
      </w:pPr>
      <w:r>
        <w:rPr>
          <w:rFonts w:ascii="Times New Roman" w:hAnsi="Times New Roman" w:eastAsia="宋体" w:cs="Times New Roman"/>
          <w:color w:val="auto"/>
          <w:sz w:val="11"/>
          <w:szCs w:val="11"/>
          <w:highlight w:val="none"/>
          <w:lang w:bidi="ar"/>
        </w:rPr>
      </w:r>
      <w:r/>
    </w:p>
    <w:p>
      <w:pPr>
        <w:jc w:val="left"/>
        <w:widowControl/>
        <w:rPr>
          <w:rFonts w:ascii="Times New Roman" w:hAnsi="Times New Roman" w:eastAsia="宋体" w:cs="Times New Roman"/>
          <w:color w:val="auto"/>
          <w:highlight w:val="none"/>
        </w:rPr>
      </w:pPr>
      <w:r>
        <w:rPr>
          <w:rFonts w:ascii="Times New Roman" w:hAnsi="Times New Roman" w:eastAsia="宋体" w:cs="Times New Roman"/>
          <w:color w:val="auto"/>
          <w:sz w:val="11"/>
          <w:szCs w:val="11"/>
          <w:highlight w:val="none"/>
          <w:lang w:bidi="ar"/>
        </w:rPr>
        <w:t xml:space="preserve">1 </w:t>
      </w:r>
      <w:r>
        <w:rPr>
          <w:rFonts w:hint="eastAsia" w:ascii="宋体" w:hAnsi="宋体" w:eastAsia="宋体" w:cs="宋体"/>
          <w:color w:val="auto"/>
          <w:sz w:val="18"/>
          <w:szCs w:val="18"/>
          <w:highlight w:val="none"/>
          <w:lang w:bidi="ar"/>
        </w:rPr>
        <w:t xml:space="preserve">从业人员、营业收入、资产总额填报上一年度数据，无上一年度数据的新成立企业可不填报。</w:t>
      </w:r>
      <w:r/>
    </w:p>
    <w:p>
      <w:pPr>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r>
      <w:r/>
    </w:p>
    <w:p>
      <w:pPr>
        <w:keepLines w:val="0"/>
        <w:keepNext w:val="0"/>
        <w:pageBreakBefore w:val="0"/>
        <w:widowControl w:val="off"/>
        <w:rPr>
          <w:rFonts w:ascii="Microsoft New Tai Lue" w:hAnsi="Microsoft New Tai Lue" w:eastAsia="宋体" w:cs="Microsoft New Tai Lue"/>
          <w:b/>
          <w:color w:val="auto"/>
          <w:szCs w:val="21"/>
          <w:highlight w:val="none"/>
        </w:rPr>
      </w:pPr>
      <w:r>
        <w:rPr>
          <w:rFonts w:ascii="Microsoft New Tai Lue" w:hAnsi="Microsoft New Tai Lue" w:eastAsia="宋体"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numPr>
          <w:ilvl w:val="0"/>
          <w:numId w:val="0"/>
        </w:numPr>
        <w:rPr>
          <w:rFonts w:ascii="Microsoft New Tai Lue" w:hAnsi="Microsoft New Tai Lue" w:eastAsia="宋体" w:cs="Microsoft New Tai Lue"/>
          <w:b/>
          <w:color w:val="auto"/>
          <w:szCs w:val="21"/>
          <w:highlight w:val="none"/>
        </w:rPr>
      </w:pPr>
      <w:r>
        <w:rPr>
          <w:rFonts w:ascii="Microsoft New Tai Lue" w:hAnsi="Microsoft New Tai Lue" w:eastAsia="宋体" w:cs="Microsoft New Tai Lue"/>
          <w:b/>
          <w:color w:val="auto"/>
          <w:szCs w:val="21"/>
          <w:highlight w:val="none"/>
        </w:rPr>
        <w:t xml:space="preserve">2.授权用</w:t>
      </w:r>
      <w:r>
        <w:rPr>
          <w:rFonts w:hint="eastAsia" w:ascii="Microsoft New Tai Lue" w:hAnsi="Microsoft New Tai Lue" w:eastAsia="宋体" w:cs="Microsoft New Tai Lue"/>
          <w:b/>
          <w:color w:val="auto"/>
          <w:szCs w:val="21"/>
          <w:highlight w:val="none"/>
        </w:rPr>
        <w:t xml:space="preserve">响应</w:t>
      </w:r>
      <w:r>
        <w:rPr>
          <w:rFonts w:ascii="Microsoft New Tai Lue" w:hAnsi="Microsoft New Tai Lue" w:eastAsia="宋体" w:cs="Microsoft New Tai Lue"/>
          <w:b/>
          <w:color w:val="auto"/>
          <w:szCs w:val="21"/>
          <w:highlight w:val="none"/>
        </w:rPr>
        <w:t xml:space="preserve">专用章的，与公章具有相同法律效力</w:t>
      </w:r>
      <w:r/>
    </w:p>
    <w:p>
      <w:pPr>
        <w:numPr>
          <w:ilvl w:val="0"/>
          <w:numId w:val="0"/>
        </w:numPr>
        <w:rPr>
          <w:color w:val="auto"/>
          <w:highlight w:val="none"/>
          <w:lang w:val="en-US" w:eastAsia="zh-CN"/>
        </w:rPr>
      </w:pPr>
      <w:r>
        <w:rPr>
          <w:rFonts w:ascii="Microsoft New Tai Lue" w:hAnsi="Microsoft New Tai Lue" w:eastAsia="宋体" w:cs="Microsoft New Tai Lue"/>
          <w:b/>
          <w:color w:val="auto"/>
          <w:szCs w:val="21"/>
          <w:highlight w:val="none"/>
        </w:rPr>
        <w:br w:type="page" w:clear="all"/>
      </w:r>
      <w:r/>
    </w:p>
    <w:p>
      <w:pPr>
        <w:ind w:left="0" w:firstLine="487"/>
        <w:jc w:val="center"/>
        <w:widowControl w:val="off"/>
        <w:rPr>
          <w:rFonts w:ascii="Times New Roman" w:hAnsi="Times New Roman" w:eastAsia="宋体" w:cs="Times New Roman"/>
          <w:b w:val="0"/>
          <w:color w:val="auto"/>
          <w:position w:val="-10"/>
          <w:sz w:val="24"/>
          <w:szCs w:val="24"/>
          <w:highlight w:val="none"/>
          <w:lang w:val="en-US" w:eastAsia="zh-CN" w:bidi="ar-SA"/>
        </w:rPr>
      </w:pPr>
      <w:r>
        <w:rPr>
          <w:rFonts w:ascii="Times New Roman" w:hAnsi="Times New Roman" w:eastAsia="宋体" w:cs="Times New Roman"/>
          <w:b/>
          <w:color w:val="auto"/>
          <w:position w:val="-10"/>
          <w:sz w:val="24"/>
          <w:szCs w:val="24"/>
          <w:highlight w:val="none"/>
          <w:lang w:val="en-US" w:eastAsia="zh-CN" w:bidi="ar-SA"/>
        </w:rPr>
        <w:t xml:space="preserve">监狱企业证明</w:t>
      </w:r>
      <w:r/>
    </w:p>
    <w:p>
      <w:pPr>
        <w:ind w:firstLine="482"/>
        <w:jc w:val="center"/>
        <w:spacing w:line="276" w:lineRule="auto"/>
        <w:widowControl w:val="off"/>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b/>
          <w:color w:val="auto"/>
          <w:sz w:val="24"/>
          <w:szCs w:val="24"/>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198"/>
        <w:jc w:val="center"/>
        <w:spacing w:line="360" w:lineRule="auto"/>
        <w:widowControl w:val="off"/>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b/>
          <w:color w:val="auto"/>
          <w:sz w:val="24"/>
          <w:szCs w:val="24"/>
          <w:highlight w:val="none"/>
          <w:lang w:val="en-US" w:eastAsia="zh-CN" w:bidi="ar-SA"/>
        </w:rPr>
        <w:br w:type="page" w:clear="all"/>
      </w:r>
      <w:r>
        <w:rPr>
          <w:rFonts w:ascii="Times New Roman" w:hAnsi="Times New Roman" w:eastAsia="宋体" w:cs="Times New Roman"/>
          <w:b/>
          <w:color w:val="auto"/>
          <w:sz w:val="24"/>
          <w:szCs w:val="24"/>
          <w:highlight w:val="none"/>
          <w:lang w:val="en-US" w:eastAsia="zh-CN" w:bidi="ar-SA"/>
        </w:rPr>
        <w:t xml:space="preserve">残疾人福利性单位声明函</w:t>
      </w:r>
      <w:r/>
    </w:p>
    <w:p>
      <w:pPr>
        <w:ind w:firstLine="633"/>
        <w:spacing w:line="276" w:lineRule="auto"/>
        <w:rPr>
          <w:rFonts w:ascii="Times New Roman" w:hAnsi="Times New Roman" w:eastAsia="宋体" w:cs="Times New Roman"/>
          <w:b/>
          <w:color w:val="auto"/>
          <w:spacing w:val="6"/>
          <w:sz w:val="30"/>
          <w:szCs w:val="30"/>
          <w:highlight w:val="none"/>
        </w:rPr>
      </w:pPr>
      <w:r>
        <w:rPr>
          <w:rFonts w:ascii="Times New Roman" w:hAnsi="Times New Roman" w:eastAsia="宋体" w:cs="Times New Roman"/>
          <w:b/>
          <w:color w:val="auto"/>
          <w:spacing w:val="6"/>
          <w:sz w:val="30"/>
          <w:szCs w:val="30"/>
          <w:highlight w:val="none"/>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本单位对上述声明的真实性负责。如有虚假，将依法承担相应责任。</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3769"/>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单位名称（盖章）：____________</w:t>
      </w:r>
      <w:r/>
    </w:p>
    <w:p>
      <w:pPr>
        <w:ind w:firstLine="3780"/>
        <w:jc w:val="left"/>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 xml:space="preserve">日期：</w:t>
      </w:r>
      <w:r>
        <w:rPr>
          <w:rFonts w:ascii="Times New Roman" w:hAnsi="Times New Roman" w:eastAsia="宋体" w:cs="Times New Roman"/>
          <w:bCs/>
          <w:color w:val="auto"/>
          <w:szCs w:val="21"/>
          <w:highlight w:val="none"/>
          <w:u w:val="single"/>
        </w:rPr>
        <w:tab/>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bCs/>
          <w:color w:val="auto"/>
          <w:szCs w:val="21"/>
          <w:highlight w:val="none"/>
        </w:rPr>
        <w:t xml:space="preserve">年</w:t>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bCs/>
          <w:color w:val="auto"/>
          <w:szCs w:val="21"/>
          <w:highlight w:val="none"/>
          <w:u w:val="single"/>
        </w:rPr>
        <w:tab/>
      </w:r>
      <w:r>
        <w:rPr>
          <w:rFonts w:ascii="Times New Roman" w:hAnsi="Times New Roman" w:eastAsia="宋体" w:cs="Times New Roman"/>
          <w:bCs/>
          <w:color w:val="auto"/>
          <w:szCs w:val="21"/>
          <w:highlight w:val="none"/>
        </w:rPr>
        <w:t xml:space="preserve">月</w:t>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bCs/>
          <w:color w:val="auto"/>
          <w:szCs w:val="21"/>
          <w:highlight w:val="none"/>
          <w:u w:val="single"/>
        </w:rPr>
        <w:tab/>
      </w:r>
      <w:r>
        <w:rPr>
          <w:rFonts w:ascii="Times New Roman" w:hAnsi="Times New Roman" w:eastAsia="宋体" w:cs="Times New Roman"/>
          <w:bCs/>
          <w:color w:val="auto"/>
          <w:szCs w:val="21"/>
          <w:highlight w:val="none"/>
        </w:rPr>
        <w:t xml:space="preserve">日</w:t>
      </w:r>
      <w:r/>
    </w:p>
    <w:p>
      <w:pPr>
        <w:ind w:firstLine="164"/>
        <w:jc w:val="center"/>
        <w:spacing w:line="360" w:lineRule="auto"/>
        <w:widowControl w:val="off"/>
        <w:rPr>
          <w:rFonts w:ascii="宋体" w:hAnsi="宋体" w:eastAsia="宋体" w:cs="宋体"/>
          <w:color w:val="auto"/>
          <w:highlight w:val="none"/>
          <w:lang w:val="en-US" w:eastAsia="zh-CN"/>
        </w:rPr>
      </w:pPr>
      <w:r>
        <w:rPr>
          <w:rFonts w:ascii="Times New Roman" w:hAnsi="Times New Roman" w:eastAsia="宋体" w:cs="Times New Roman"/>
          <w:color w:val="auto"/>
          <w:sz w:val="20"/>
          <w:szCs w:val="21"/>
          <w:highlight w:val="none"/>
          <w:lang w:val="en-US" w:eastAsia="zh-CN" w:bidi="ar-SA"/>
        </w:rPr>
        <w:t xml:space="preserve"> </w:t>
      </w:r>
      <w:r/>
    </w:p>
    <w:p>
      <w:pPr>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015" w:right="1196" w:bottom="868" w:left="125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小标宋_GBK">
    <w:panose1 w:val="020B0503020202020204"/>
  </w:font>
  <w:font w:name="方正黑体_GBK">
    <w:panose1 w:val="020B0503020202020204"/>
  </w:font>
  <w:font w:name="方正仿宋简体">
    <w:panose1 w:val="020B0503020202020204"/>
  </w:font>
  <w:font w:name="Book Antiqua">
    <w:panose1 w:val="02040602050305030304"/>
  </w:font>
  <w:font w:name="Tahoma">
    <w:panose1 w:val="020B0604030504040204"/>
  </w:font>
  <w:font w:name="Calibri">
    <w:panose1 w:val="020F0502020204030204"/>
  </w:font>
  <w:font w:name="等线 Light">
    <w:panose1 w:val="02010600030101010101"/>
  </w:font>
  <w:font w:name="仿宋">
    <w:panose1 w:val="02010609060101010101"/>
  </w:font>
  <w:font w:name="方正楷体_GBK">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fldChar w:fldCharType="begin"/>
    </w:r>
    <w:r>
      <w:instrText xml:space="preserve">PAGE \* MERGEFORMAT</w:instrText>
    </w:r>
    <w:r>
      <w:fldChar w:fldCharType="separate"/>
    </w:r>
    <w:r>
      <w:t xml:space="preserve">9</w:t>
    </w:r>
    <w:r>
      <w:fldChar w:fldCharType="end"/>
    </w:r>
    <w:r/>
  </w:p>
  <w:p>
    <w:pPr>
      <w:pStyle w:val="9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12"/>
      </w:rPr>
      <w:framePr w:wrap="around" w:vAnchor="text" w:hAnchor="margin" w:xAlign="center" w:y="1"/>
    </w:pPr>
    <w:r>
      <w:fldChar w:fldCharType="begin"/>
    </w:r>
    <w:r>
      <w:rPr>
        <w:rStyle w:val="1212"/>
      </w:rPr>
      <w:instrText xml:space="preserve">PAGE  </w:instrText>
    </w:r>
    <w:r>
      <w:fldChar w:fldCharType="separate"/>
    </w:r>
    <w:r>
      <w:rPr>
        <w:rStyle w:val="1212"/>
      </w:rPr>
      <w:t xml:space="preserve">1</w:t>
    </w:r>
    <w:r>
      <w:fldChar w:fldCharType="end"/>
    </w:r>
    <w:r/>
  </w:p>
  <w:p>
    <w:pPr>
      <w:pStyle w:val="11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-119380</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9.4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江苏省招标中心有限公司磋商采购文件</w:t>
    </w:r>
    <w:r/>
  </w:p>
  <w:p>
    <w:pPr>
      <w:pStyle w:val="1189"/>
    </w:pPr>
    <w:r>
      <w:rPr>
        <w:rFonts w:hint="eastAsia" w:ascii="宋体" w:hAnsi="宋体" w:cs="宋体"/>
        <w:color w:val="000000"/>
        <w:sz w:val="22"/>
        <w:szCs w:val="22"/>
      </w:rPr>
      <w:t xml:space="preserve">（</w:t>
    </w:r>
    <w:r>
      <w:rPr>
        <w:rFonts w:hint="eastAsia" w:ascii="宋体" w:hAnsi="宋体" w:eastAsia="宋体" w:cs="宋体"/>
        <w:color w:val="000000"/>
        <w:sz w:val="22"/>
        <w:szCs w:val="22"/>
        <w:lang w:eastAsia="zh-CN"/>
      </w:rPr>
      <w:t xml:space="preserve">江苏省肿瘤医院医疗责任保险服务项目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-119380</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7.9pt;mso-position-horizontal:absolute;mso-position-vertical-relative:text;margin-top:-9.4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江苏省招标中心有限公司磋商采购文件</w:t>
    </w:r>
    <w:r/>
  </w:p>
  <w:p>
    <w:pPr>
      <w:pStyle w:val="1189"/>
      <w:rPr>
        <w:color w:val="000000"/>
      </w:rPr>
    </w:pPr>
    <w:r>
      <w:rPr>
        <w:rFonts w:hint="eastAsia" w:ascii="宋体" w:hAnsi="宋体" w:cs="宋体"/>
        <w:color w:val="000000"/>
        <w:sz w:val="22"/>
        <w:szCs w:val="22"/>
      </w:rPr>
      <w:t xml:space="preserve">（</w:t>
    </w:r>
    <w:r>
      <w:rPr>
        <w:rFonts w:hint="eastAsia" w:ascii="宋体" w:hAnsi="宋体" w:eastAsia="宋体" w:cs="宋体"/>
        <w:b w:val="0"/>
        <w:color w:val="000000"/>
        <w:sz w:val="22"/>
        <w:szCs w:val="22"/>
        <w:highlight w:val="none"/>
        <w:lang w:eastAsia="zh-CN"/>
      </w:rPr>
      <w:t xml:space="preserve">江苏省肿瘤医院医疗责任保险服务项目</w:t>
    </w:r>
    <w:r>
      <w:rPr>
        <w:rFonts w:hint="eastAsia" w:ascii="宋体" w:hAnsi="宋体" w:cs="宋体"/>
        <w:color w:val="000000"/>
        <w:sz w:val="22"/>
        <w:szCs w:val="22"/>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100330</wp:posOffset>
              </wp:positionH>
              <wp:positionV relativeFrom="paragraph">
                <wp:posOffset>-119380</wp:posOffset>
              </wp:positionV>
              <wp:extent cx="433705" cy="4724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7.9pt;mso-position-horizontal:absolute;mso-position-vertical-relative:text;margin-top:-9.4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江苏省招标中心有限公司磋商采购文件</w:t>
    </w:r>
    <w:r/>
  </w:p>
  <w:p>
    <w:pPr>
      <w:pStyle w:val="118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江苏省肿瘤医院医疗责任保险服务项目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263"/>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2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pStyle w:val="1235"/>
      <w:isLgl w:val="false"/>
      <w:suff w:val="tab"/>
      <w:lvlText w:val="第%1章"/>
      <w:lvlJc w:val="left"/>
      <w:pPr>
        <w:ind w:left="9351" w:hanging="420"/>
      </w:pPr>
      <w:rPr>
        <w:rFonts w:hint="eastAsia" w:ascii="黑体" w:eastAsia="黑体"/>
        <w:b w:val="0"/>
        <w:sz w:val="36"/>
        <w:lang w:val="en-US"/>
      </w:rPr>
    </w:lvl>
    <w:lvl w:ilvl="1">
      <w:start w:val="1"/>
      <w:numFmt w:val="decimal"/>
      <w:pStyle w:val="122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2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22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259"/>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7"/>
  </w:num>
  <w:num w:numId="4">
    <w:abstractNumId w:val="13"/>
  </w:num>
  <w:num w:numId="5">
    <w:abstractNumId w:val="9"/>
  </w:num>
  <w:num w:numId="6">
    <w:abstractNumId w:val="23"/>
  </w:num>
  <w:num w:numId="7">
    <w:abstractNumId w:val="28"/>
  </w:num>
  <w:num w:numId="8">
    <w:abstractNumId w:val="43"/>
  </w:num>
  <w:num w:numId="9">
    <w:abstractNumId w:val="22"/>
  </w:num>
  <w:num w:numId="10">
    <w:abstractNumId w:val="5"/>
  </w:num>
  <w:num w:numId="11">
    <w:abstractNumId w:val="29"/>
  </w:num>
  <w:num w:numId="12">
    <w:abstractNumId w:val="38"/>
  </w:num>
  <w:num w:numId="13">
    <w:abstractNumId w:val="14"/>
  </w:num>
  <w:num w:numId="14">
    <w:abstractNumId w:val="34"/>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1"/>
  </w:num>
  <w:num w:numId="22">
    <w:abstractNumId w:val="24"/>
  </w:num>
  <w:num w:numId="23">
    <w:abstractNumId w:val="32"/>
  </w:num>
  <w:num w:numId="24">
    <w:abstractNumId w:val="8"/>
  </w:num>
  <w:num w:numId="25">
    <w:abstractNumId w:val="47"/>
  </w:num>
  <w:num w:numId="26">
    <w:abstractNumId w:val="45"/>
  </w:num>
  <w:num w:numId="27">
    <w:abstractNumId w:val="12"/>
  </w:num>
  <w:num w:numId="28">
    <w:abstractNumId w:val="42"/>
  </w:num>
  <w:num w:numId="29">
    <w:abstractNumId w:val="6"/>
  </w:num>
  <w:num w:numId="30">
    <w:abstractNumId w:val="31"/>
  </w:num>
  <w:num w:numId="31">
    <w:abstractNumId w:val="2"/>
  </w:num>
  <w:num w:numId="32">
    <w:abstractNumId w:val="36"/>
  </w:num>
  <w:num w:numId="33">
    <w:abstractNumId w:val="48"/>
  </w:num>
  <w:num w:numId="34">
    <w:abstractNumId w:val="0"/>
  </w:num>
  <w:num w:numId="35">
    <w:abstractNumId w:val="26"/>
  </w:num>
  <w:num w:numId="36">
    <w:abstractNumId w:val="35"/>
  </w:num>
  <w:num w:numId="37">
    <w:abstractNumId w:val="20"/>
  </w:num>
  <w:num w:numId="38">
    <w:abstractNumId w:val="18"/>
  </w:num>
  <w:num w:numId="39">
    <w:abstractNumId w:val="30"/>
  </w:num>
  <w:num w:numId="40">
    <w:abstractNumId w:val="46"/>
  </w:num>
  <w:num w:numId="41">
    <w:abstractNumId w:val="11"/>
  </w:num>
  <w:num w:numId="42">
    <w:abstractNumId w:val="4"/>
  </w:num>
  <w:num w:numId="43">
    <w:abstractNumId w:val="10"/>
  </w:num>
  <w:num w:numId="44">
    <w:abstractNumId w:val="39"/>
  </w:num>
  <w:num w:numId="45">
    <w:abstractNumId w:val="1"/>
  </w:num>
  <w:num w:numId="46">
    <w:abstractNumId w:val="25"/>
  </w:num>
  <w:num w:numId="47">
    <w:abstractNumId w:val="3"/>
  </w:num>
  <w:num w:numId="48">
    <w:abstractNumId w:val="40"/>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link w:val="12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name w:val="Heading 1"/>
    <w:basedOn w:val="966"/>
    <w:next w:val="966"/>
    <w:link w:val="1001"/>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66"/>
    <w:link w:val="1002"/>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03"/>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link w:val="1004"/>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05"/>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966"/>
    <w:next w:val="966"/>
    <w:link w:val="1006"/>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08"/>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09"/>
    <w:uiPriority w:val="9"/>
    <w:unhideWhenUsed/>
    <w:qFormat/>
    <w:pPr>
      <w:keepLines/>
      <w:keepNext/>
      <w:spacing w:before="320" w:after="200"/>
      <w:outlineLvl w:val="8"/>
    </w:pPr>
    <w:rPr>
      <w:rFonts w:ascii="Arial" w:hAnsi="Arial" w:eastAsia="Arial" w:cs="Arial"/>
      <w:i/>
      <w:iCs/>
      <w:sz w:val="21"/>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unhideWhenUsed/>
    <w:qFormat/>
    <w:pPr>
      <w:ind w:left="1701" w:right="0" w:firstLine="0"/>
      <w:spacing w:after="57"/>
    </w:pPr>
  </w:style>
  <w:style w:type="paragraph" w:styleId="979">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0">
    <w:name w:val="annotation text"/>
    <w:basedOn w:val="966"/>
    <w:uiPriority w:val="99"/>
    <w:semiHidden/>
    <w:unhideWhenUsed/>
    <w:qFormat/>
    <w:pPr>
      <w:jc w:val="left"/>
    </w:pPr>
  </w:style>
  <w:style w:type="paragraph" w:styleId="981">
    <w:name w:val="toc 5"/>
    <w:basedOn w:val="966"/>
    <w:next w:val="966"/>
    <w:uiPriority w:val="39"/>
    <w:unhideWhenUsed/>
    <w:qFormat/>
    <w:pPr>
      <w:ind w:left="1134" w:right="0" w:firstLine="0"/>
      <w:spacing w:after="57"/>
    </w:pPr>
  </w:style>
  <w:style w:type="paragraph" w:styleId="982">
    <w:name w:val="toc 3"/>
    <w:basedOn w:val="966"/>
    <w:next w:val="966"/>
    <w:uiPriority w:val="39"/>
    <w:unhideWhenUsed/>
    <w:qFormat/>
    <w:pPr>
      <w:ind w:left="567" w:right="0" w:firstLine="0"/>
      <w:spacing w:after="57"/>
    </w:pPr>
  </w:style>
  <w:style w:type="paragraph" w:styleId="983">
    <w:name w:val="Plain Text"/>
    <w:basedOn w:val="966"/>
    <w:uiPriority w:val="0"/>
    <w:qFormat/>
    <w:pPr>
      <w:ind w:firstLine="200"/>
      <w:spacing w:line="360" w:lineRule="auto"/>
    </w:pPr>
    <w:rPr>
      <w:rFonts w:ascii="宋体" w:hAnsi="Courier New"/>
      <w:sz w:val="20"/>
      <w:szCs w:val="20"/>
    </w:rPr>
  </w:style>
  <w:style w:type="paragraph" w:styleId="984">
    <w:name w:val="toc 8"/>
    <w:basedOn w:val="966"/>
    <w:next w:val="966"/>
    <w:uiPriority w:val="39"/>
    <w:unhideWhenUsed/>
    <w:qFormat/>
    <w:pPr>
      <w:ind w:left="1984" w:right="0" w:firstLine="0"/>
      <w:spacing w:after="57"/>
    </w:pPr>
  </w:style>
  <w:style w:type="paragraph" w:styleId="985">
    <w:name w:val="endnote text"/>
    <w:basedOn w:val="966"/>
    <w:link w:val="1147"/>
    <w:uiPriority w:val="99"/>
    <w:semiHidden/>
    <w:unhideWhenUsed/>
    <w:qFormat/>
    <w:pPr>
      <w:spacing w:after="0" w:line="240" w:lineRule="auto"/>
    </w:pPr>
    <w:rPr>
      <w:sz w:val="20"/>
    </w:rPr>
  </w:style>
  <w:style w:type="paragraph" w:styleId="986">
    <w:name w:val="Footer"/>
    <w:basedOn w:val="966"/>
    <w:link w:val="1020"/>
    <w:uiPriority w:val="99"/>
    <w:unhideWhenUsed/>
    <w:qFormat/>
    <w:pPr>
      <w:spacing w:after="0" w:line="240" w:lineRule="auto"/>
      <w:tabs>
        <w:tab w:val="center" w:pos="7143" w:leader="none"/>
        <w:tab w:val="right" w:pos="14287" w:leader="none"/>
      </w:tabs>
    </w:pPr>
  </w:style>
  <w:style w:type="paragraph" w:styleId="987">
    <w:name w:val="Header"/>
    <w:basedOn w:val="966"/>
    <w:link w:val="1018"/>
    <w:uiPriority w:val="99"/>
    <w:unhideWhenUsed/>
    <w:qFormat/>
    <w:pPr>
      <w:spacing w:after="0" w:line="240" w:lineRule="auto"/>
      <w:tabs>
        <w:tab w:val="center" w:pos="7143" w:leader="none"/>
        <w:tab w:val="right" w:pos="14287" w:leader="none"/>
      </w:tabs>
    </w:pPr>
  </w:style>
  <w:style w:type="paragraph" w:styleId="988">
    <w:name w:val="toc 1"/>
    <w:basedOn w:val="966"/>
    <w:next w:val="966"/>
    <w:uiPriority w:val="39"/>
    <w:unhideWhenUsed/>
    <w:qFormat/>
    <w:pPr>
      <w:ind w:left="0" w:right="0" w:firstLine="0"/>
      <w:spacing w:after="57"/>
    </w:pPr>
  </w:style>
  <w:style w:type="paragraph" w:styleId="989">
    <w:name w:val="toc 4"/>
    <w:basedOn w:val="966"/>
    <w:next w:val="966"/>
    <w:uiPriority w:val="39"/>
    <w:unhideWhenUsed/>
    <w:qFormat/>
    <w:pPr>
      <w:ind w:left="850" w:right="0" w:firstLine="0"/>
      <w:spacing w:after="57"/>
    </w:pPr>
  </w:style>
  <w:style w:type="paragraph" w:styleId="990">
    <w:name w:val="Subtitle"/>
    <w:basedOn w:val="966"/>
    <w:next w:val="966"/>
    <w:link w:val="1013"/>
    <w:uiPriority w:val="11"/>
    <w:qFormat/>
    <w:pPr>
      <w:spacing w:before="200" w:after="200"/>
    </w:pPr>
    <w:rPr>
      <w:sz w:val="24"/>
      <w:szCs w:val="24"/>
    </w:rPr>
  </w:style>
  <w:style w:type="paragraph" w:styleId="991">
    <w:name w:val="footnote text"/>
    <w:basedOn w:val="966"/>
    <w:link w:val="1146"/>
    <w:uiPriority w:val="99"/>
    <w:semiHidden/>
    <w:unhideWhenUsed/>
    <w:qFormat/>
    <w:pPr>
      <w:spacing w:after="40" w:line="240" w:lineRule="auto"/>
    </w:pPr>
    <w:rPr>
      <w:sz w:val="18"/>
    </w:rPr>
  </w:style>
  <w:style w:type="paragraph" w:styleId="992">
    <w:name w:val="toc 6"/>
    <w:basedOn w:val="966"/>
    <w:next w:val="966"/>
    <w:uiPriority w:val="39"/>
    <w:unhideWhenUsed/>
    <w:qFormat/>
    <w:pPr>
      <w:ind w:left="1417" w:right="0" w:firstLine="0"/>
      <w:spacing w:after="57"/>
    </w:pPr>
  </w:style>
  <w:style w:type="paragraph" w:styleId="993">
    <w:name w:val="table of figures"/>
    <w:basedOn w:val="966"/>
    <w:next w:val="966"/>
    <w:uiPriority w:val="99"/>
    <w:unhideWhenUsed/>
    <w:qFormat/>
    <w:pPr>
      <w:spacing w:after="0" w:afterAutospacing="0"/>
    </w:pPr>
  </w:style>
  <w:style w:type="paragraph" w:styleId="994">
    <w:name w:val="toc 2"/>
    <w:basedOn w:val="966"/>
    <w:next w:val="966"/>
    <w:uiPriority w:val="39"/>
    <w:unhideWhenUsed/>
    <w:qFormat/>
    <w:pPr>
      <w:ind w:left="283" w:right="0" w:firstLine="0"/>
      <w:spacing w:after="57"/>
    </w:pPr>
  </w:style>
  <w:style w:type="paragraph" w:styleId="995">
    <w:name w:val="toc 9"/>
    <w:basedOn w:val="966"/>
    <w:next w:val="966"/>
    <w:uiPriority w:val="39"/>
    <w:unhideWhenUsed/>
    <w:qFormat/>
    <w:pPr>
      <w:ind w:left="2268" w:right="0" w:firstLine="0"/>
      <w:spacing w:after="57"/>
    </w:pPr>
  </w:style>
  <w:style w:type="paragraph" w:styleId="996">
    <w:name w:val="Title"/>
    <w:basedOn w:val="966"/>
    <w:next w:val="966"/>
    <w:link w:val="1012"/>
    <w:uiPriority w:val="10"/>
    <w:qFormat/>
    <w:pPr>
      <w:contextualSpacing/>
      <w:spacing w:before="300" w:after="200"/>
    </w:pPr>
    <w:rPr>
      <w:sz w:val="48"/>
      <w:szCs w:val="48"/>
    </w:rPr>
  </w:style>
  <w:style w:type="table" w:styleId="9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endnote reference"/>
    <w:uiPriority w:val="99"/>
    <w:semiHidden/>
    <w:unhideWhenUsed/>
    <w:qFormat/>
    <w:rPr>
      <w:vertAlign w:val="superscript"/>
    </w:rPr>
  </w:style>
  <w:style w:type="character" w:styleId="999">
    <w:name w:val="Hyperlink"/>
    <w:uiPriority w:val="99"/>
    <w:unhideWhenUsed/>
    <w:qFormat/>
    <w:rPr>
      <w:color w:val="0000ff" w:themeColor="hyperlink"/>
      <w:u w:val="single"/>
      <w14:textFill>
        <w14:solidFill>
          <w14:schemeClr w14:val="hlink"/>
        </w14:solidFill>
      </w14:textFill>
    </w:rPr>
  </w:style>
  <w:style w:type="character" w:styleId="1000">
    <w:name w:val="footnote reference"/>
    <w:uiPriority w:val="99"/>
    <w:unhideWhenUsed/>
    <w:qFormat/>
    <w:rPr>
      <w:vertAlign w:val="superscript"/>
    </w:rPr>
  </w:style>
  <w:style w:type="character" w:styleId="1001" w:customStyle="1">
    <w:name w:val="Heading 1 Char"/>
    <w:link w:val="967"/>
    <w:uiPriority w:val="9"/>
    <w:qFormat/>
    <w:rPr>
      <w:rFonts w:ascii="Arial" w:hAnsi="Arial" w:eastAsia="Arial" w:cs="Arial"/>
      <w:sz w:val="40"/>
      <w:szCs w:val="40"/>
    </w:rPr>
  </w:style>
  <w:style w:type="character" w:styleId="1002" w:customStyle="1">
    <w:name w:val="Heading 2 Char"/>
    <w:link w:val="968"/>
    <w:uiPriority w:val="9"/>
    <w:qFormat/>
    <w:rPr>
      <w:rFonts w:ascii="Arial" w:hAnsi="Arial" w:eastAsia="Arial" w:cs="Arial"/>
      <w:sz w:val="34"/>
    </w:rPr>
  </w:style>
  <w:style w:type="character" w:styleId="1003" w:customStyle="1">
    <w:name w:val="Heading 3 Char"/>
    <w:link w:val="969"/>
    <w:uiPriority w:val="9"/>
    <w:qFormat/>
    <w:rPr>
      <w:rFonts w:ascii="Arial" w:hAnsi="Arial" w:eastAsia="Arial" w:cs="Arial"/>
      <w:sz w:val="30"/>
      <w:szCs w:val="30"/>
    </w:rPr>
  </w:style>
  <w:style w:type="character" w:styleId="1004" w:customStyle="1">
    <w:name w:val="Heading 4 Char"/>
    <w:link w:val="970"/>
    <w:uiPriority w:val="9"/>
    <w:qFormat/>
    <w:rPr>
      <w:rFonts w:ascii="Arial" w:hAnsi="Arial" w:eastAsia="Arial" w:cs="Arial"/>
      <w:b/>
      <w:bCs/>
      <w:sz w:val="26"/>
      <w:szCs w:val="26"/>
    </w:rPr>
  </w:style>
  <w:style w:type="character" w:styleId="1005" w:customStyle="1">
    <w:name w:val="Heading 5 Char"/>
    <w:link w:val="971"/>
    <w:uiPriority w:val="9"/>
    <w:qFormat/>
    <w:rPr>
      <w:rFonts w:ascii="Arial" w:hAnsi="Arial" w:eastAsia="Arial" w:cs="Arial"/>
      <w:b/>
      <w:bCs/>
      <w:sz w:val="24"/>
      <w:szCs w:val="24"/>
    </w:rPr>
  </w:style>
  <w:style w:type="character" w:styleId="1006" w:customStyle="1">
    <w:name w:val="Heading 6 Char"/>
    <w:link w:val="972"/>
    <w:uiPriority w:val="9"/>
    <w:qFormat/>
    <w:rPr>
      <w:rFonts w:ascii="Arial" w:hAnsi="Arial" w:eastAsia="Arial" w:cs="Arial"/>
      <w:b/>
      <w:bCs/>
      <w:sz w:val="22"/>
      <w:szCs w:val="22"/>
    </w:rPr>
  </w:style>
  <w:style w:type="character" w:styleId="1007" w:customStyle="1">
    <w:name w:val="Heading 7 Char"/>
    <w:link w:val="973"/>
    <w:uiPriority w:val="9"/>
    <w:qFormat/>
    <w:rPr>
      <w:rFonts w:ascii="Arial" w:hAnsi="Arial" w:eastAsia="Arial" w:cs="Arial"/>
      <w:b/>
      <w:bCs/>
      <w:i/>
      <w:iCs/>
      <w:sz w:val="22"/>
      <w:szCs w:val="22"/>
    </w:rPr>
  </w:style>
  <w:style w:type="character" w:styleId="1008" w:customStyle="1">
    <w:name w:val="Heading 8 Char"/>
    <w:link w:val="974"/>
    <w:uiPriority w:val="9"/>
    <w:qFormat/>
    <w:rPr>
      <w:rFonts w:ascii="Arial" w:hAnsi="Arial" w:eastAsia="Arial" w:cs="Arial"/>
      <w:i/>
      <w:iCs/>
      <w:sz w:val="22"/>
      <w:szCs w:val="22"/>
    </w:rPr>
  </w:style>
  <w:style w:type="character" w:styleId="1009" w:customStyle="1">
    <w:name w:val="Heading 9 Char"/>
    <w:link w:val="975"/>
    <w:uiPriority w:val="9"/>
    <w:qFormat/>
    <w:rPr>
      <w:rFonts w:ascii="Arial" w:hAnsi="Arial" w:eastAsia="Arial" w:cs="Arial"/>
      <w:i/>
      <w:iCs/>
      <w:sz w:val="21"/>
      <w:szCs w:val="21"/>
    </w:rPr>
  </w:style>
  <w:style w:type="paragraph" w:styleId="1010">
    <w:name w:val="List Paragraph"/>
    <w:basedOn w:val="966"/>
    <w:uiPriority w:val="34"/>
    <w:qFormat/>
    <w:pPr>
      <w:contextualSpacing/>
      <w:ind w:left="720"/>
    </w:pPr>
  </w:style>
  <w:style w:type="paragraph" w:styleId="1011">
    <w:name w:val="No Spacing"/>
    <w:uiPriority w:val="1"/>
    <w:qFormat/>
    <w:pPr>
      <w:spacing w:before="0" w:after="0" w:line="240" w:lineRule="auto"/>
    </w:pPr>
    <w:rPr>
      <w:rFonts w:hint="default" w:ascii="Times New Roman" w:hAnsi="Times New Roman" w:eastAsia="宋体" w:cs="Times New Roman"/>
    </w:rPr>
  </w:style>
  <w:style w:type="character" w:styleId="1012" w:customStyle="1">
    <w:name w:val="Title Char"/>
    <w:link w:val="996"/>
    <w:uiPriority w:val="10"/>
    <w:qFormat/>
    <w:rPr>
      <w:sz w:val="48"/>
      <w:szCs w:val="48"/>
    </w:rPr>
  </w:style>
  <w:style w:type="character" w:styleId="1013" w:customStyle="1">
    <w:name w:val="Subtitle Char"/>
    <w:link w:val="990"/>
    <w:uiPriority w:val="11"/>
    <w:qFormat/>
    <w:rPr>
      <w:sz w:val="24"/>
      <w:szCs w:val="24"/>
    </w:rPr>
  </w:style>
  <w:style w:type="paragraph" w:styleId="1014">
    <w:name w:val="Quote"/>
    <w:basedOn w:val="966"/>
    <w:next w:val="966"/>
    <w:link w:val="1015"/>
    <w:uiPriority w:val="29"/>
    <w:qFormat/>
    <w:pPr>
      <w:ind w:left="720" w:right="720"/>
    </w:pPr>
    <w:rPr>
      <w:i/>
    </w:rPr>
  </w:style>
  <w:style w:type="character" w:styleId="1015" w:customStyle="1">
    <w:name w:val="Quote Char"/>
    <w:link w:val="1014"/>
    <w:uiPriority w:val="29"/>
    <w:qFormat/>
    <w:rPr>
      <w:i/>
    </w:rPr>
  </w:style>
  <w:style w:type="paragraph" w:styleId="1016">
    <w:name w:val="Intense Quote"/>
    <w:basedOn w:val="966"/>
    <w:next w:val="966"/>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Header Char"/>
    <w:link w:val="987"/>
    <w:uiPriority w:val="99"/>
    <w:qFormat/>
  </w:style>
  <w:style w:type="character" w:styleId="1019" w:customStyle="1">
    <w:name w:val="Footer Char"/>
    <w:link w:val="986"/>
    <w:uiPriority w:val="99"/>
    <w:qFormat/>
  </w:style>
  <w:style w:type="character" w:styleId="1020" w:customStyle="1">
    <w:name w:val="Caption Char"/>
    <w:link w:val="986"/>
    <w:uiPriority w:val="99"/>
    <w:qFormat/>
  </w:style>
  <w:style w:type="table" w:styleId="10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Footnote Text Char"/>
    <w:link w:val="991"/>
    <w:uiPriority w:val="99"/>
    <w:qFormat/>
    <w:rPr>
      <w:sz w:val="18"/>
    </w:rPr>
  </w:style>
  <w:style w:type="character" w:styleId="1147" w:customStyle="1">
    <w:name w:val="Endnote Text Char"/>
    <w:link w:val="985"/>
    <w:uiPriority w:val="99"/>
    <w:qFormat/>
    <w:rPr>
      <w:sz w:val="20"/>
    </w:rPr>
  </w:style>
  <w:style w:type="paragraph" w:styleId="1148" w:customStyle="1">
    <w:name w:val="TOC Heading"/>
    <w:uiPriority w:val="39"/>
    <w:unhideWhenUsed/>
    <w:qFormat/>
    <w:rPr>
      <w:rFonts w:hint="default" w:ascii="Times New Roman" w:hAnsi="Times New Roman" w:eastAsia="宋体" w:cs="Times New Roman"/>
    </w:rPr>
  </w:style>
  <w:style w:type="paragraph" w:styleId="1149" w:customStyle="1">
    <w:name w:val="标题 11"/>
    <w:basedOn w:val="966"/>
    <w:next w:val="966"/>
    <w:link w:val="1156"/>
    <w:uiPriority w:val="0"/>
    <w:qFormat/>
    <w:pPr>
      <w:keepNext/>
      <w:outlineLvl w:val="0"/>
    </w:pPr>
    <w:rPr>
      <w:rFonts w:ascii="楷体_GB2312" w:eastAsia="楷体_GB2312"/>
      <w:sz w:val="28"/>
      <w:szCs w:val="20"/>
    </w:rPr>
  </w:style>
  <w:style w:type="paragraph" w:styleId="1150" w:customStyle="1">
    <w:name w:val="标题 21"/>
    <w:basedOn w:val="966"/>
    <w:next w:val="966"/>
    <w:link w:val="1157"/>
    <w:uiPriority w:val="0"/>
    <w:qFormat/>
    <w:pPr>
      <w:jc w:val="center"/>
      <w:keepLines/>
      <w:keepNext/>
      <w:spacing w:before="260" w:after="260" w:line="416" w:lineRule="auto"/>
      <w:outlineLvl w:val="1"/>
    </w:pPr>
    <w:rPr>
      <w:rFonts w:ascii="Arial" w:hAnsi="Arial" w:eastAsia="幼圆"/>
      <w:b/>
      <w:sz w:val="44"/>
      <w:szCs w:val="20"/>
    </w:rPr>
  </w:style>
  <w:style w:type="paragraph" w:styleId="1151" w:customStyle="1">
    <w:name w:val="标题 31"/>
    <w:basedOn w:val="966"/>
    <w:next w:val="966"/>
    <w:link w:val="1158"/>
    <w:uiPriority w:val="0"/>
    <w:qFormat/>
    <w:pPr>
      <w:keepLines/>
      <w:keepNext/>
      <w:spacing w:before="260" w:after="260" w:line="416" w:lineRule="auto"/>
      <w:outlineLvl w:val="2"/>
    </w:pPr>
    <w:rPr>
      <w:b/>
      <w:sz w:val="32"/>
      <w:szCs w:val="20"/>
    </w:rPr>
  </w:style>
  <w:style w:type="paragraph" w:styleId="1152" w:customStyle="1">
    <w:name w:val="标题 411"/>
    <w:basedOn w:val="966"/>
    <w:next w:val="966"/>
    <w:link w:val="1159"/>
    <w:uiPriority w:val="0"/>
    <w:qFormat/>
    <w:pPr>
      <w:keepLines/>
      <w:keepNext/>
      <w:spacing w:before="280" w:after="290" w:line="376" w:lineRule="auto"/>
      <w:outlineLvl w:val="3"/>
    </w:pPr>
    <w:rPr>
      <w:rFonts w:ascii="Arial" w:hAnsi="Arial" w:eastAsia="黑体"/>
      <w:b/>
      <w:bCs/>
      <w:sz w:val="28"/>
      <w:szCs w:val="28"/>
    </w:rPr>
  </w:style>
  <w:style w:type="paragraph" w:styleId="1153" w:customStyle="1">
    <w:name w:val="标题 51"/>
    <w:basedOn w:val="966"/>
    <w:next w:val="966"/>
    <w:link w:val="1160"/>
    <w:uiPriority w:val="0"/>
    <w:qFormat/>
    <w:pPr>
      <w:keepNext/>
      <w:outlineLvl w:val="4"/>
    </w:pPr>
    <w:rPr>
      <w:rFonts w:ascii="宋体" w:hAnsi="宋体"/>
      <w:b/>
      <w:bCs/>
      <w:sz w:val="20"/>
    </w:rPr>
  </w:style>
  <w:style w:type="character" w:styleId="1154" w:customStyle="1">
    <w:name w:val="默认段落字体1"/>
    <w:link w:val="966"/>
    <w:uiPriority w:val="1"/>
    <w:unhideWhenUsed/>
    <w:qFormat/>
  </w:style>
  <w:style w:type="table" w:styleId="1155" w:customStyle="1">
    <w:name w:val="普通表格1"/>
    <w:uiPriority w:val="99"/>
    <w:unhideWhenUsed/>
    <w:qFormat/>
    <w:tblPr/>
  </w:style>
  <w:style w:type="character" w:styleId="1156" w:customStyle="1">
    <w:name w:val="标题 1 Char"/>
    <w:link w:val="1149"/>
    <w:uiPriority w:val="0"/>
    <w:qFormat/>
    <w:rPr>
      <w:rFonts w:ascii="楷体_GB2312" w:hAnsi="Times New Roman" w:eastAsia="楷体_GB2312" w:cs="Times New Roman"/>
      <w:sz w:val="28"/>
      <w:szCs w:val="20"/>
    </w:rPr>
  </w:style>
  <w:style w:type="character" w:styleId="1157" w:customStyle="1">
    <w:name w:val="标题 2 Char"/>
    <w:link w:val="1150"/>
    <w:uiPriority w:val="0"/>
    <w:qFormat/>
    <w:rPr>
      <w:rFonts w:ascii="Arial" w:hAnsi="Arial" w:eastAsia="幼圆" w:cs="Times New Roman"/>
      <w:b/>
      <w:sz w:val="44"/>
      <w:szCs w:val="20"/>
    </w:rPr>
  </w:style>
  <w:style w:type="character" w:styleId="1158" w:customStyle="1">
    <w:name w:val="标题 3 Char"/>
    <w:link w:val="1151"/>
    <w:uiPriority w:val="0"/>
    <w:qFormat/>
    <w:rPr>
      <w:rFonts w:ascii="Times New Roman" w:hAnsi="Times New Roman" w:eastAsia="宋体" w:cs="Times New Roman"/>
      <w:b/>
      <w:sz w:val="32"/>
      <w:szCs w:val="20"/>
    </w:rPr>
  </w:style>
  <w:style w:type="character" w:styleId="1159" w:customStyle="1">
    <w:name w:val="标题 4 Char"/>
    <w:link w:val="1152"/>
    <w:uiPriority w:val="0"/>
    <w:qFormat/>
    <w:rPr>
      <w:rFonts w:ascii="Arial" w:hAnsi="Arial" w:eastAsia="黑体" w:cs="Times New Roman"/>
      <w:b/>
      <w:bCs/>
      <w:sz w:val="28"/>
      <w:szCs w:val="28"/>
    </w:rPr>
  </w:style>
  <w:style w:type="character" w:styleId="1160" w:customStyle="1">
    <w:name w:val="标题 5 Char"/>
    <w:link w:val="1153"/>
    <w:uiPriority w:val="0"/>
    <w:qFormat/>
    <w:rPr>
      <w:rFonts w:ascii="宋体" w:hAnsi="宋体" w:eastAsia="宋体" w:cs="Times New Roman"/>
      <w:b/>
      <w:bCs/>
      <w:szCs w:val="24"/>
    </w:rPr>
  </w:style>
  <w:style w:type="paragraph" w:styleId="1161" w:customStyle="1">
    <w:name w:val="目录 71"/>
    <w:basedOn w:val="966"/>
    <w:next w:val="966"/>
    <w:uiPriority w:val="0"/>
    <w:semiHidden/>
    <w:qFormat/>
    <w:pPr>
      <w:ind w:left="2520"/>
    </w:pPr>
  </w:style>
  <w:style w:type="paragraph" w:styleId="1162" w:customStyle="1">
    <w:name w:val="正文缩进1"/>
    <w:basedOn w:val="966"/>
    <w:link w:val="1163"/>
    <w:uiPriority w:val="0"/>
    <w:qFormat/>
    <w:pPr>
      <w:ind w:firstLine="420"/>
    </w:pPr>
    <w:rPr>
      <w:sz w:val="20"/>
      <w:szCs w:val="20"/>
    </w:rPr>
  </w:style>
  <w:style w:type="character" w:styleId="1163" w:customStyle="1">
    <w:name w:val="正文缩进 Char"/>
    <w:link w:val="1162"/>
    <w:uiPriority w:val="0"/>
    <w:qFormat/>
    <w:rPr>
      <w:rFonts w:ascii="Times New Roman" w:hAnsi="Times New Roman" w:eastAsia="宋体" w:cs="Times New Roman"/>
      <w:szCs w:val="20"/>
    </w:rPr>
  </w:style>
  <w:style w:type="paragraph" w:styleId="1164" w:customStyle="1">
    <w:name w:val="文档结构图1"/>
    <w:basedOn w:val="966"/>
    <w:link w:val="1165"/>
    <w:uiPriority w:val="0"/>
    <w:semiHidden/>
    <w:qFormat/>
    <w:pPr>
      <w:shd w:val="clear" w:color="auto" w:fill="000080"/>
    </w:pPr>
    <w:rPr>
      <w:sz w:val="20"/>
    </w:rPr>
  </w:style>
  <w:style w:type="character" w:styleId="1165" w:customStyle="1">
    <w:name w:val="文档结构图 Char"/>
    <w:link w:val="1164"/>
    <w:uiPriority w:val="0"/>
    <w:semiHidden/>
    <w:qFormat/>
    <w:rPr>
      <w:rFonts w:ascii="Times New Roman" w:hAnsi="Times New Roman" w:eastAsia="宋体" w:cs="Times New Roman"/>
      <w:szCs w:val="24"/>
      <w:shd w:val="clear" w:color="auto" w:fill="000080"/>
    </w:rPr>
  </w:style>
  <w:style w:type="paragraph" w:styleId="1166" w:customStyle="1">
    <w:name w:val="批注文字1"/>
    <w:basedOn w:val="966"/>
    <w:link w:val="1167"/>
    <w:uiPriority w:val="0"/>
    <w:qFormat/>
    <w:pPr>
      <w:jc w:val="left"/>
    </w:pPr>
    <w:rPr>
      <w:sz w:val="20"/>
    </w:rPr>
  </w:style>
  <w:style w:type="character" w:styleId="1167" w:customStyle="1">
    <w:name w:val="批注文字 Char"/>
    <w:link w:val="1166"/>
    <w:uiPriority w:val="0"/>
    <w:qFormat/>
    <w:rPr>
      <w:rFonts w:ascii="Times New Roman" w:hAnsi="Times New Roman" w:eastAsia="宋体" w:cs="Times New Roman"/>
      <w:szCs w:val="24"/>
    </w:rPr>
  </w:style>
  <w:style w:type="paragraph" w:styleId="1168" w:customStyle="1">
    <w:name w:val="正文文本 31"/>
    <w:basedOn w:val="966"/>
    <w:link w:val="1169"/>
    <w:uiPriority w:val="0"/>
    <w:qFormat/>
    <w:rPr>
      <w:rFonts w:ascii="仿宋_GB2312" w:hAnsi="Arial" w:eastAsia="仿宋_GB2312"/>
      <w:sz w:val="32"/>
      <w:szCs w:val="20"/>
    </w:rPr>
  </w:style>
  <w:style w:type="character" w:styleId="1169" w:customStyle="1">
    <w:name w:val="正文文本 3 Char"/>
    <w:link w:val="1168"/>
    <w:uiPriority w:val="0"/>
    <w:qFormat/>
    <w:rPr>
      <w:rFonts w:ascii="仿宋_GB2312" w:hAnsi="Arial" w:eastAsia="仿宋_GB2312" w:cs="Times New Roman"/>
      <w:sz w:val="32"/>
      <w:szCs w:val="20"/>
    </w:rPr>
  </w:style>
  <w:style w:type="paragraph" w:styleId="1170" w:customStyle="1">
    <w:name w:val="正文文本12"/>
    <w:basedOn w:val="966"/>
    <w:next w:val="966"/>
    <w:link w:val="1171"/>
    <w:uiPriority w:val="0"/>
    <w:qFormat/>
    <w:rPr>
      <w:rFonts w:ascii="楷体_GB2312" w:hAnsi="Arial" w:eastAsia="楷体_GB2312"/>
      <w:sz w:val="28"/>
      <w:szCs w:val="20"/>
    </w:rPr>
  </w:style>
  <w:style w:type="character" w:styleId="1171" w:customStyle="1">
    <w:name w:val="正文文本 Char"/>
    <w:link w:val="1170"/>
    <w:uiPriority w:val="0"/>
    <w:qFormat/>
    <w:rPr>
      <w:rFonts w:ascii="楷体_GB2312" w:hAnsi="Arial" w:eastAsia="楷体_GB2312" w:cs="Times New Roman"/>
      <w:sz w:val="28"/>
      <w:szCs w:val="20"/>
    </w:rPr>
  </w:style>
  <w:style w:type="paragraph" w:styleId="1172" w:customStyle="1">
    <w:name w:val="正文文本缩进1"/>
    <w:basedOn w:val="966"/>
    <w:link w:val="1173"/>
    <w:uiPriority w:val="0"/>
    <w:qFormat/>
    <w:pPr>
      <w:ind w:firstLine="645"/>
    </w:pPr>
    <w:rPr>
      <w:rFonts w:ascii="楷体_GB2312" w:eastAsia="楷体_GB2312"/>
      <w:sz w:val="32"/>
      <w:szCs w:val="20"/>
    </w:rPr>
  </w:style>
  <w:style w:type="character" w:styleId="1173" w:customStyle="1">
    <w:name w:val="正文文本缩进 Char"/>
    <w:link w:val="1172"/>
    <w:uiPriority w:val="0"/>
    <w:qFormat/>
    <w:rPr>
      <w:rFonts w:ascii="楷体_GB2312" w:hAnsi="Times New Roman" w:eastAsia="楷体_GB2312" w:cs="Times New Roman"/>
      <w:sz w:val="32"/>
      <w:szCs w:val="20"/>
    </w:rPr>
  </w:style>
  <w:style w:type="paragraph" w:styleId="1174" w:customStyle="1">
    <w:name w:val="索引 41"/>
    <w:basedOn w:val="966"/>
    <w:next w:val="966"/>
    <w:uiPriority w:val="99"/>
    <w:unhideWhenUsed/>
    <w:qFormat/>
    <w:pPr>
      <w:ind w:left="600"/>
    </w:pPr>
    <w:rPr>
      <w:rFonts w:ascii="宋体"/>
      <w:b/>
      <w:position w:val="-10"/>
      <w:sz w:val="24"/>
      <w:szCs w:val="20"/>
    </w:rPr>
  </w:style>
  <w:style w:type="paragraph" w:styleId="1175" w:customStyle="1">
    <w:name w:val="目录 51"/>
    <w:basedOn w:val="966"/>
    <w:next w:val="966"/>
    <w:uiPriority w:val="0"/>
    <w:semiHidden/>
    <w:qFormat/>
    <w:pPr>
      <w:ind w:left="1680"/>
    </w:pPr>
  </w:style>
  <w:style w:type="paragraph" w:styleId="1176" w:customStyle="1">
    <w:name w:val="目录 31"/>
    <w:basedOn w:val="966"/>
    <w:next w:val="96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177" w:customStyle="1">
    <w:name w:val="纯文本11"/>
    <w:basedOn w:val="966"/>
    <w:link w:val="1178"/>
    <w:uiPriority w:val="0"/>
    <w:qFormat/>
    <w:rPr>
      <w:rFonts w:ascii="宋体" w:hAnsi="Courier New"/>
      <w:sz w:val="20"/>
      <w:szCs w:val="20"/>
    </w:rPr>
  </w:style>
  <w:style w:type="character" w:styleId="1178" w:customStyle="1">
    <w:name w:val="纯文本 Char"/>
    <w:link w:val="1177"/>
    <w:uiPriority w:val="0"/>
    <w:qFormat/>
    <w:rPr>
      <w:rFonts w:ascii="宋体" w:hAnsi="Courier New" w:eastAsia="宋体" w:cs="Times New Roman"/>
      <w:szCs w:val="20"/>
    </w:rPr>
  </w:style>
  <w:style w:type="paragraph" w:styleId="1179" w:customStyle="1">
    <w:name w:val="目录 81"/>
    <w:basedOn w:val="966"/>
    <w:next w:val="966"/>
    <w:uiPriority w:val="0"/>
    <w:semiHidden/>
    <w:qFormat/>
    <w:pPr>
      <w:ind w:left="2940"/>
    </w:pPr>
  </w:style>
  <w:style w:type="paragraph" w:styleId="1180" w:customStyle="1">
    <w:name w:val="日期1"/>
    <w:basedOn w:val="966"/>
    <w:next w:val="966"/>
    <w:link w:val="1181"/>
    <w:uiPriority w:val="0"/>
    <w:qFormat/>
    <w:rPr>
      <w:sz w:val="24"/>
      <w:szCs w:val="20"/>
    </w:rPr>
  </w:style>
  <w:style w:type="character" w:styleId="1181" w:customStyle="1">
    <w:name w:val="日期 Char"/>
    <w:link w:val="1180"/>
    <w:uiPriority w:val="0"/>
    <w:qFormat/>
    <w:rPr>
      <w:rFonts w:ascii="Times New Roman" w:hAnsi="Times New Roman" w:eastAsia="宋体" w:cs="Times New Roman"/>
      <w:sz w:val="24"/>
      <w:szCs w:val="20"/>
    </w:rPr>
  </w:style>
  <w:style w:type="paragraph" w:styleId="1182" w:customStyle="1">
    <w:name w:val="正文文本缩进 21"/>
    <w:basedOn w:val="966"/>
    <w:link w:val="1183"/>
    <w:uiPriority w:val="0"/>
    <w:qFormat/>
    <w:pPr>
      <w:ind w:firstLine="560"/>
    </w:pPr>
    <w:rPr>
      <w:rFonts w:ascii="宋体" w:hAnsi="宋体"/>
      <w:sz w:val="28"/>
    </w:rPr>
  </w:style>
  <w:style w:type="character" w:styleId="1183" w:customStyle="1">
    <w:name w:val="正文文本缩进 2 Char"/>
    <w:link w:val="1182"/>
    <w:uiPriority w:val="0"/>
    <w:qFormat/>
    <w:rPr>
      <w:rFonts w:ascii="宋体" w:hAnsi="宋体" w:eastAsia="宋体" w:cs="Times New Roman"/>
      <w:sz w:val="28"/>
      <w:szCs w:val="24"/>
    </w:rPr>
  </w:style>
  <w:style w:type="paragraph" w:styleId="1184" w:customStyle="1">
    <w:name w:val="批注框文本1"/>
    <w:basedOn w:val="966"/>
    <w:link w:val="1185"/>
    <w:uiPriority w:val="0"/>
    <w:semiHidden/>
    <w:qFormat/>
    <w:rPr>
      <w:sz w:val="18"/>
      <w:szCs w:val="18"/>
    </w:rPr>
  </w:style>
  <w:style w:type="character" w:styleId="1185" w:customStyle="1">
    <w:name w:val="批注框文本 Char"/>
    <w:link w:val="1184"/>
    <w:uiPriority w:val="0"/>
    <w:semiHidden/>
    <w:qFormat/>
    <w:rPr>
      <w:rFonts w:ascii="Times New Roman" w:hAnsi="Times New Roman" w:eastAsia="宋体" w:cs="Times New Roman"/>
      <w:sz w:val="18"/>
      <w:szCs w:val="18"/>
    </w:rPr>
  </w:style>
  <w:style w:type="paragraph" w:styleId="1186" w:customStyle="1">
    <w:name w:val="页脚1"/>
    <w:basedOn w:val="966"/>
    <w:link w:val="1187"/>
    <w:uiPriority w:val="99"/>
    <w:qFormat/>
    <w:pPr>
      <w:jc w:val="left"/>
      <w:tabs>
        <w:tab w:val="center" w:pos="4153" w:leader="none"/>
        <w:tab w:val="right" w:pos="8306" w:leader="none"/>
      </w:tabs>
    </w:pPr>
    <w:rPr>
      <w:sz w:val="18"/>
      <w:szCs w:val="20"/>
    </w:rPr>
  </w:style>
  <w:style w:type="character" w:styleId="1187" w:customStyle="1">
    <w:name w:val="页脚 Char"/>
    <w:link w:val="1186"/>
    <w:uiPriority w:val="99"/>
    <w:qFormat/>
    <w:rPr>
      <w:rFonts w:ascii="Times New Roman" w:hAnsi="Times New Roman" w:eastAsia="宋体" w:cs="Times New Roman"/>
      <w:sz w:val="18"/>
      <w:szCs w:val="20"/>
    </w:rPr>
  </w:style>
  <w:style w:type="paragraph" w:styleId="1188" w:customStyle="1">
    <w:name w:val="寄信人地址1"/>
    <w:basedOn w:val="966"/>
    <w:uiPriority w:val="99"/>
    <w:unhideWhenUsed/>
    <w:qFormat/>
    <w:rPr>
      <w:rFonts w:ascii="Arial" w:hAnsi="Arial"/>
    </w:rPr>
  </w:style>
  <w:style w:type="paragraph" w:styleId="1189" w:customStyle="1">
    <w:name w:val="页眉1"/>
    <w:basedOn w:val="966"/>
    <w:link w:val="1190"/>
    <w:uiPriority w:val="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Char"/>
    <w:link w:val="1189"/>
    <w:uiPriority w:val="0"/>
    <w:qFormat/>
    <w:rPr>
      <w:rFonts w:ascii="Times New Roman" w:hAnsi="Times New Roman" w:eastAsia="宋体" w:cs="Times New Roman"/>
      <w:sz w:val="18"/>
      <w:szCs w:val="18"/>
    </w:rPr>
  </w:style>
  <w:style w:type="paragraph" w:styleId="1191" w:customStyle="1">
    <w:name w:val="目录 11"/>
    <w:basedOn w:val="966"/>
    <w:next w:val="96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192" w:customStyle="1">
    <w:name w:val="目录 41"/>
    <w:basedOn w:val="966"/>
    <w:next w:val="966"/>
    <w:uiPriority w:val="0"/>
    <w:semiHidden/>
    <w:qFormat/>
    <w:pPr>
      <w:ind w:left="1260"/>
    </w:pPr>
  </w:style>
  <w:style w:type="paragraph" w:styleId="1193" w:customStyle="1">
    <w:name w:val="目录 61"/>
    <w:basedOn w:val="966"/>
    <w:next w:val="966"/>
    <w:uiPriority w:val="0"/>
    <w:semiHidden/>
    <w:qFormat/>
    <w:pPr>
      <w:ind w:left="2100"/>
    </w:pPr>
  </w:style>
  <w:style w:type="paragraph" w:styleId="1194" w:customStyle="1">
    <w:name w:val="正文文本缩进 31"/>
    <w:basedOn w:val="966"/>
    <w:link w:val="1195"/>
    <w:uiPriority w:val="0"/>
    <w:qFormat/>
    <w:pPr>
      <w:ind w:firstLine="523"/>
    </w:pPr>
    <w:rPr>
      <w:rFonts w:ascii="仿宋_GB2312" w:hAnsi="宋体" w:eastAsia="仿宋_GB2312"/>
      <w:sz w:val="24"/>
    </w:rPr>
  </w:style>
  <w:style w:type="character" w:styleId="1195" w:customStyle="1">
    <w:name w:val="正文文本缩进 3 Char"/>
    <w:link w:val="1194"/>
    <w:uiPriority w:val="0"/>
    <w:qFormat/>
    <w:rPr>
      <w:rFonts w:ascii="仿宋_GB2312" w:hAnsi="宋体" w:eastAsia="仿宋_GB2312" w:cs="Times New Roman"/>
      <w:sz w:val="24"/>
      <w:szCs w:val="24"/>
    </w:rPr>
  </w:style>
  <w:style w:type="paragraph" w:styleId="1196" w:customStyle="1">
    <w:name w:val="目录 21"/>
    <w:basedOn w:val="966"/>
    <w:next w:val="966"/>
    <w:uiPriority w:val="0"/>
    <w:semiHidden/>
    <w:qFormat/>
    <w:pPr>
      <w:jc w:val="left"/>
      <w:spacing w:line="260" w:lineRule="exact"/>
      <w:tabs>
        <w:tab w:val="right" w:pos="9440" w:leader="dot"/>
      </w:tabs>
    </w:pPr>
    <w:rPr>
      <w:rFonts w:ascii="黑体" w:eastAsia="黑体"/>
      <w:b/>
      <w:bCs/>
      <w:smallCaps/>
      <w:sz w:val="18"/>
      <w:szCs w:val="44"/>
    </w:rPr>
  </w:style>
  <w:style w:type="paragraph" w:styleId="1197" w:customStyle="1">
    <w:name w:val="目录 91"/>
    <w:basedOn w:val="966"/>
    <w:next w:val="966"/>
    <w:uiPriority w:val="0"/>
    <w:semiHidden/>
    <w:qFormat/>
    <w:pPr>
      <w:ind w:left="3360"/>
    </w:pPr>
  </w:style>
  <w:style w:type="paragraph" w:styleId="1198" w:customStyle="1">
    <w:name w:val="正文文本 21"/>
    <w:basedOn w:val="966"/>
    <w:link w:val="1199"/>
    <w:uiPriority w:val="0"/>
    <w:qFormat/>
    <w:pPr>
      <w:jc w:val="center"/>
    </w:pPr>
    <w:rPr>
      <w:rFonts w:ascii="仿宋_GB2312" w:eastAsia="仿宋_GB2312"/>
      <w:sz w:val="44"/>
    </w:rPr>
  </w:style>
  <w:style w:type="character" w:styleId="1199" w:customStyle="1">
    <w:name w:val="正文文本 2 Char"/>
    <w:link w:val="1198"/>
    <w:uiPriority w:val="0"/>
    <w:qFormat/>
    <w:rPr>
      <w:rFonts w:ascii="仿宋_GB2312" w:hAnsi="Times New Roman" w:eastAsia="仿宋_GB2312" w:cs="Times New Roman"/>
      <w:sz w:val="44"/>
      <w:szCs w:val="24"/>
    </w:rPr>
  </w:style>
  <w:style w:type="paragraph" w:styleId="1200" w:customStyle="1">
    <w:name w:val="HTML 预设格式1"/>
    <w:basedOn w:val="966"/>
    <w:link w:val="12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1" w:customStyle="1">
    <w:name w:val="HTML 预设格式 Char"/>
    <w:link w:val="1200"/>
    <w:uiPriority w:val="0"/>
    <w:qFormat/>
    <w:rPr>
      <w:rFonts w:ascii="黑体" w:hAnsi="Courier New" w:eastAsia="黑体" w:cs="Courier New"/>
      <w:sz w:val="20"/>
      <w:szCs w:val="20"/>
    </w:rPr>
  </w:style>
  <w:style w:type="paragraph" w:styleId="1202" w:customStyle="1">
    <w:name w:val="普通(网站)1"/>
    <w:basedOn w:val="966"/>
    <w:uiPriority w:val="99"/>
    <w:unhideWhenUsed/>
    <w:qFormat/>
    <w:pPr>
      <w:jc w:val="left"/>
      <w:spacing w:before="100" w:beforeAutospacing="1" w:after="100" w:afterAutospacing="1"/>
      <w:widowControl/>
    </w:pPr>
    <w:rPr>
      <w:rFonts w:ascii="宋体" w:hAnsi="宋体" w:cs="宋体"/>
      <w:sz w:val="24"/>
    </w:rPr>
  </w:style>
  <w:style w:type="paragraph" w:styleId="1203" w:customStyle="1">
    <w:name w:val="索引 11"/>
    <w:basedOn w:val="966"/>
    <w:next w:val="966"/>
    <w:uiPriority w:val="0"/>
    <w:semiHidden/>
    <w:qFormat/>
    <w:rPr>
      <w:rFonts w:ascii="宋体" w:hAnsi="宋体"/>
      <w:szCs w:val="18"/>
    </w:rPr>
  </w:style>
  <w:style w:type="paragraph" w:styleId="1204" w:customStyle="1">
    <w:name w:val="标题11"/>
    <w:basedOn w:val="966"/>
    <w:next w:val="966"/>
    <w:link w:val="1205"/>
    <w:uiPriority w:val="0"/>
    <w:qFormat/>
    <w:pPr>
      <w:jc w:val="center"/>
      <w:spacing w:before="240" w:after="60"/>
      <w:outlineLvl w:val="0"/>
    </w:pPr>
    <w:rPr>
      <w:rFonts w:ascii="等线 Light" w:hAnsi="等线 Light" w:cs="Times New Roman"/>
      <w:b/>
      <w:bCs/>
      <w:sz w:val="32"/>
      <w:szCs w:val="32"/>
    </w:rPr>
  </w:style>
  <w:style w:type="character" w:styleId="1205" w:customStyle="1">
    <w:name w:val="标题 Char"/>
    <w:link w:val="1204"/>
    <w:uiPriority w:val="0"/>
    <w:qFormat/>
    <w:rPr>
      <w:rFonts w:ascii="等线 Light" w:hAnsi="等线 Light" w:cs="Times New Roman"/>
      <w:b/>
      <w:bCs/>
      <w:sz w:val="32"/>
      <w:szCs w:val="32"/>
    </w:rPr>
  </w:style>
  <w:style w:type="paragraph" w:styleId="1206" w:customStyle="1">
    <w:name w:val="批注主题1"/>
    <w:basedOn w:val="1166"/>
    <w:next w:val="1166"/>
    <w:link w:val="1207"/>
    <w:uiPriority w:val="0"/>
    <w:qFormat/>
    <w:rPr>
      <w:b/>
      <w:bCs/>
    </w:rPr>
  </w:style>
  <w:style w:type="character" w:styleId="1207" w:customStyle="1">
    <w:name w:val="批注主题 Char"/>
    <w:link w:val="1206"/>
    <w:uiPriority w:val="0"/>
    <w:qFormat/>
    <w:rPr>
      <w:rFonts w:ascii="Times New Roman" w:hAnsi="Times New Roman" w:eastAsia="宋体" w:cs="Times New Roman"/>
      <w:b/>
      <w:bCs/>
      <w:szCs w:val="24"/>
    </w:rPr>
  </w:style>
  <w:style w:type="paragraph" w:styleId="1208" w:customStyle="1">
    <w:name w:val="正文首行缩进1"/>
    <w:basedOn w:val="1170"/>
    <w:uiPriority w:val="0"/>
    <w:qFormat/>
    <w:pPr>
      <w:ind w:firstLine="100"/>
      <w:spacing w:after="120" w:line="240" w:lineRule="auto"/>
    </w:pPr>
    <w:rPr>
      <w:rFonts w:ascii="Times New Roman" w:hAnsi="Times New Roman" w:eastAsia="宋体"/>
      <w:sz w:val="21"/>
    </w:rPr>
  </w:style>
  <w:style w:type="paragraph" w:styleId="1209" w:customStyle="1">
    <w:name w:val="正文首行缩进 21"/>
    <w:basedOn w:val="1172"/>
    <w:uiPriority w:val="6"/>
    <w:qFormat/>
    <w:pPr>
      <w:ind w:firstLine="420"/>
    </w:pPr>
  </w:style>
  <w:style w:type="table" w:styleId="1210" w:customStyle="1">
    <w:name w:val="网格型1"/>
    <w:basedOn w:val="1155"/>
    <w:uiPriority w:val="0"/>
    <w:qFormat/>
    <w:pPr>
      <w:jc w:val="both"/>
      <w:widowControl w:val="off"/>
    </w:pPr>
    <w:rPr>
      <w:rFonts w:ascii="Times New Roman" w:hAnsi="Times New Roman" w:eastAsia="宋体" w:cs="Times New Roman"/>
      <w:sz w:val="20"/>
      <w:szCs w:val="20"/>
    </w:rPr>
    <w:tblPr/>
  </w:style>
  <w:style w:type="character" w:styleId="1211" w:customStyle="1">
    <w:name w:val="要点1"/>
    <w:link w:val="966"/>
    <w:uiPriority w:val="0"/>
    <w:qFormat/>
    <w:rPr>
      <w:b/>
      <w:bCs/>
    </w:rPr>
  </w:style>
  <w:style w:type="character" w:styleId="1212" w:customStyle="1">
    <w:name w:val="页码1"/>
    <w:link w:val="966"/>
    <w:uiPriority w:val="0"/>
    <w:qFormat/>
  </w:style>
  <w:style w:type="character" w:styleId="1213" w:customStyle="1">
    <w:name w:val="已访问的超链接1"/>
    <w:link w:val="966"/>
    <w:uiPriority w:val="0"/>
    <w:qFormat/>
    <w:rPr>
      <w:color w:val="800080"/>
      <w:u w:val="single"/>
    </w:rPr>
  </w:style>
  <w:style w:type="character" w:styleId="1214" w:customStyle="1">
    <w:name w:val="超链接1"/>
    <w:link w:val="966"/>
    <w:uiPriority w:val="0"/>
    <w:qFormat/>
    <w:rPr>
      <w:color w:val="0000ff"/>
      <w:u w:val="single"/>
    </w:rPr>
  </w:style>
  <w:style w:type="character" w:styleId="1215" w:customStyle="1">
    <w:name w:val="批注引用1"/>
    <w:link w:val="966"/>
    <w:uiPriority w:val="0"/>
    <w:qFormat/>
    <w:rPr>
      <w:sz w:val="21"/>
      <w:szCs w:val="21"/>
    </w:rPr>
  </w:style>
  <w:style w:type="character" w:styleId="1216" w:customStyle="1">
    <w:name w:val="列出段落 Char"/>
    <w:link w:val="1217"/>
    <w:uiPriority w:val="0"/>
    <w:qFormat/>
    <w:rPr>
      <w:rFonts w:ascii="Calibri" w:hAnsi="Calibri"/>
      <w:sz w:val="24"/>
      <w:szCs w:val="24"/>
      <w:lang w:eastAsia="en-US" w:bidi="en-US"/>
    </w:rPr>
  </w:style>
  <w:style w:type="paragraph" w:styleId="1217" w:customStyle="1">
    <w:name w:val="列出段落1"/>
    <w:basedOn w:val="966"/>
    <w:link w:val="1216"/>
    <w:uiPriority w:val="0"/>
    <w:qFormat/>
    <w:pPr>
      <w:contextualSpacing/>
      <w:ind w:left="720"/>
      <w:jc w:val="left"/>
      <w:widowControl/>
    </w:pPr>
    <w:rPr>
      <w:rFonts w:ascii="Calibri" w:hAnsi="Calibri"/>
      <w:sz w:val="24"/>
      <w:lang w:eastAsia="en-US" w:bidi="en-US"/>
    </w:rPr>
  </w:style>
  <w:style w:type="character" w:styleId="1218" w:customStyle="1">
    <w:name w:val="标题2 Char"/>
    <w:link w:val="966"/>
    <w:uiPriority w:val="0"/>
    <w:qFormat/>
    <w:rPr>
      <w:rFonts w:ascii="方正楷体_GBK" w:hAnsi="Book Antiqua" w:eastAsia="方正楷体_GBK"/>
      <w:sz w:val="32"/>
      <w:lang w:val="en-US" w:eastAsia="zh-CN" w:bidi="ar-SA"/>
    </w:rPr>
  </w:style>
  <w:style w:type="character" w:styleId="1219" w:customStyle="1">
    <w:name w:val="jj1"/>
    <w:link w:val="966"/>
    <w:uiPriority w:val="0"/>
    <w:qFormat/>
    <w:rPr>
      <w:sz w:val="20"/>
      <w:szCs w:val="20"/>
      <w:u w:val="none"/>
    </w:rPr>
  </w:style>
  <w:style w:type="character" w:styleId="1220" w:customStyle="1">
    <w:name w:val="NormalCharacter1"/>
    <w:link w:val="966"/>
    <w:uiPriority w:val="0"/>
    <w:semiHidden/>
    <w:qFormat/>
  </w:style>
  <w:style w:type="character" w:styleId="1221" w:customStyle="1">
    <w:name w:val="font11"/>
    <w:basedOn w:val="1154"/>
    <w:link w:val="966"/>
    <w:uiPriority w:val="0"/>
    <w:qFormat/>
    <w:rPr>
      <w:rFonts w:hint="eastAsia" w:ascii="宋体" w:hAnsi="宋体" w:eastAsia="宋体" w:cs="宋体"/>
      <w:b/>
      <w:color w:val="000000"/>
      <w:sz w:val="21"/>
      <w:szCs w:val="21"/>
      <w:u w:val="none"/>
    </w:rPr>
  </w:style>
  <w:style w:type="character" w:styleId="1222" w:customStyle="1">
    <w:name w:val="font01"/>
    <w:basedOn w:val="1154"/>
    <w:link w:val="966"/>
    <w:uiPriority w:val="0"/>
    <w:qFormat/>
    <w:rPr>
      <w:rFonts w:hint="eastAsia" w:ascii="宋体" w:hAnsi="宋体" w:eastAsia="宋体" w:cs="宋体"/>
      <w:color w:val="000000"/>
      <w:sz w:val="21"/>
      <w:szCs w:val="21"/>
      <w:u w:val="none"/>
    </w:rPr>
  </w:style>
  <w:style w:type="paragraph" w:styleId="1223" w:customStyle="1">
    <w:name w:val="标题2"/>
    <w:basedOn w:val="966"/>
    <w:next w:val="966"/>
    <w:uiPriority w:val="0"/>
    <w:qFormat/>
    <w:pPr>
      <w:jc w:val="center"/>
    </w:pPr>
    <w:rPr>
      <w:rFonts w:eastAsia="方正楷体_GBK"/>
    </w:rPr>
  </w:style>
  <w:style w:type="paragraph" w:styleId="1224" w:customStyle="1">
    <w:name w:val="首行缩进"/>
    <w:basedOn w:val="966"/>
    <w:uiPriority w:val="99"/>
    <w:qFormat/>
    <w:pPr>
      <w:ind w:firstLine="480"/>
      <w:jc w:val="left"/>
      <w:spacing w:line="360" w:lineRule="auto"/>
    </w:pPr>
    <w:rPr>
      <w:rFonts w:ascii="宋体" w:hAnsi="宋体"/>
      <w:sz w:val="24"/>
    </w:rPr>
  </w:style>
  <w:style w:type="paragraph" w:styleId="1225" w:customStyle="1">
    <w:name w:val="HTML 预先格式化"/>
    <w:basedOn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26" w:customStyle="1">
    <w:name w:val="第四级"/>
    <w:basedOn w:val="966"/>
    <w:next w:val="966"/>
    <w:uiPriority w:val="0"/>
    <w:qFormat/>
    <w:pPr>
      <w:numPr>
        <w:ilvl w:val="3"/>
        <w:numId w:val="1"/>
      </w:numPr>
      <w:spacing w:line="360" w:lineRule="auto"/>
    </w:pPr>
    <w:rPr>
      <w:rFonts w:ascii="宋体" w:hAnsi="宋体" w:eastAsia="仿宋"/>
      <w:sz w:val="28"/>
      <w:szCs w:val="21"/>
    </w:rPr>
  </w:style>
  <w:style w:type="paragraph" w:styleId="1227" w:customStyle="1">
    <w:name w:val="正文 1.1"/>
    <w:basedOn w:val="966"/>
    <w:next w:val="1228"/>
    <w:uiPriority w:val="0"/>
    <w:qFormat/>
    <w:pPr>
      <w:numPr>
        <w:ilvl w:val="1"/>
        <w:numId w:val="1"/>
      </w:numPr>
      <w:ind w:left="980" w:hanging="980"/>
      <w:spacing w:line="360" w:lineRule="auto"/>
      <w:outlineLvl w:val="1"/>
    </w:pPr>
    <w:rPr>
      <w:rFonts w:ascii="仿宋" w:hAnsi="仿宋" w:eastAsia="仿宋"/>
      <w:b/>
      <w:sz w:val="28"/>
      <w:szCs w:val="21"/>
    </w:rPr>
  </w:style>
  <w:style w:type="paragraph" w:styleId="1228" w:customStyle="1">
    <w:name w:val="正文 1.1.1"/>
    <w:basedOn w:val="966"/>
    <w:next w:val="966"/>
    <w:uiPriority w:val="0"/>
    <w:qFormat/>
    <w:pPr>
      <w:numPr>
        <w:ilvl w:val="2"/>
        <w:numId w:val="1"/>
      </w:numPr>
      <w:spacing w:line="360" w:lineRule="auto"/>
      <w:outlineLvl w:val="2"/>
    </w:pPr>
    <w:rPr>
      <w:rFonts w:ascii="宋体" w:hAnsi="宋体"/>
      <w:color w:val="000000"/>
      <w:sz w:val="28"/>
      <w:szCs w:val="21"/>
    </w:rPr>
  </w:style>
  <w:style w:type="paragraph" w:styleId="1229" w:customStyle="1">
    <w:name w:val="正文空2格  1."/>
    <w:basedOn w:val="966"/>
    <w:uiPriority w:val="0"/>
    <w:qFormat/>
    <w:pPr>
      <w:ind w:firstLine="480"/>
      <w:spacing w:line="360" w:lineRule="auto"/>
    </w:pPr>
    <w:rPr>
      <w:rFonts w:ascii="宋体" w:eastAsia="仿宋" w:cs="宋体"/>
      <w:sz w:val="28"/>
      <w:szCs w:val="20"/>
    </w:rPr>
  </w:style>
  <w:style w:type="paragraph" w:styleId="12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31"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paragraph" w:styleId="1232" w:customStyle="1">
    <w:name w:val="普通正文"/>
    <w:basedOn w:val="966"/>
    <w:uiPriority w:val="0"/>
    <w:qFormat/>
    <w:pPr>
      <w:ind w:firstLine="480"/>
      <w:jc w:val="left"/>
      <w:spacing w:before="120" w:after="120" w:line="360" w:lineRule="auto"/>
    </w:pPr>
    <w:rPr>
      <w:rFonts w:ascii="Arial" w:hAnsi="Arial"/>
      <w:sz w:val="24"/>
    </w:rPr>
  </w:style>
  <w:style w:type="paragraph" w:styleId="1233" w:customStyle="1">
    <w:name w:val="xl47"/>
    <w:basedOn w:val="9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34" w:customStyle="1">
    <w:name w:val="Coms Alinea"/>
    <w:uiPriority w:val="0"/>
    <w:qFormat/>
    <w:pPr>
      <w:widowControl w:val="off"/>
    </w:pPr>
    <w:rPr>
      <w:rFonts w:hint="default" w:ascii="Arial" w:hAnsi="Arial" w:eastAsia="宋体" w:cs="Arial"/>
      <w:lang w:val="en-US" w:eastAsia="zh-CN" w:bidi="ar-SA"/>
    </w:rPr>
  </w:style>
  <w:style w:type="paragraph" w:styleId="1235" w:customStyle="1">
    <w:name w:val="正文 第一章"/>
    <w:basedOn w:val="966"/>
    <w:next w:val="122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23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37" w:customStyle="1">
    <w:name w:val="Char Char Char Char1 Char Char Char"/>
    <w:basedOn w:val="1164"/>
    <w:uiPriority w:val="0"/>
    <w:qFormat/>
    <w:pPr>
      <w:spacing w:line="360" w:lineRule="auto"/>
    </w:pPr>
    <w:rPr>
      <w:rFonts w:ascii="Tahoma" w:hAnsi="Tahoma"/>
      <w:sz w:val="24"/>
    </w:rPr>
  </w:style>
  <w:style w:type="paragraph" w:styleId="1238" w:customStyle="1">
    <w:name w:val="默认段落字体 Para Char Char Char Char Char Char Char Char Char1 Char Char Char Char Char Char Char"/>
    <w:basedOn w:val="1164"/>
    <w:uiPriority w:val="0"/>
    <w:qFormat/>
    <w:rPr>
      <w:rFonts w:ascii="Tahoma" w:hAnsi="Tahoma"/>
      <w:sz w:val="24"/>
    </w:rPr>
  </w:style>
  <w:style w:type="paragraph" w:styleId="1239" w:customStyle="1">
    <w:name w:val="Char"/>
    <w:basedOn w:val="966"/>
    <w:uiPriority w:val="0"/>
    <w:qFormat/>
    <w:pPr>
      <w:ind w:firstLine="561"/>
      <w:jc w:val="left"/>
      <w:tabs>
        <w:tab w:val="left" w:pos="360" w:leader="none"/>
      </w:tabs>
    </w:pPr>
    <w:rPr>
      <w:i/>
      <w:sz w:val="24"/>
    </w:rPr>
  </w:style>
  <w:style w:type="paragraph" w:styleId="1240" w:customStyle="1">
    <w:name w:val="Char1"/>
    <w:basedOn w:val="966"/>
    <w:uiPriority w:val="0"/>
    <w:qFormat/>
    <w:rPr>
      <w:rFonts w:ascii="Tahoma" w:hAnsi="Tahoma"/>
      <w:sz w:val="24"/>
      <w:szCs w:val="20"/>
    </w:rPr>
  </w:style>
  <w:style w:type="paragraph" w:styleId="1241" w:customStyle="1">
    <w:name w:val="Char Char Char Char"/>
    <w:basedOn w:val="1164"/>
    <w:uiPriority w:val="0"/>
    <w:qFormat/>
    <w:pPr>
      <w:spacing w:line="360" w:lineRule="auto"/>
    </w:pPr>
    <w:rPr>
      <w:rFonts w:ascii="Tahoma" w:hAnsi="Tahoma"/>
      <w:sz w:val="24"/>
    </w:rPr>
  </w:style>
  <w:style w:type="paragraph" w:styleId="1242" w:customStyle="1">
    <w:name w:val="标题3"/>
    <w:basedOn w:val="966"/>
    <w:next w:val="966"/>
    <w:uiPriority w:val="0"/>
    <w:qFormat/>
    <w:rPr>
      <w:rFonts w:eastAsia="方正黑体_GBK"/>
    </w:rPr>
  </w:style>
  <w:style w:type="paragraph" w:styleId="1243" w:customStyle="1">
    <w:name w:val="标题1"/>
    <w:basedOn w:val="966"/>
    <w:next w:val="966"/>
    <w:uiPriority w:val="0"/>
    <w:qFormat/>
    <w:pPr>
      <w:jc w:val="center"/>
      <w:spacing w:line="700" w:lineRule="atLeast"/>
      <w:tabs>
        <w:tab w:val="left" w:pos="9193" w:leader="none"/>
        <w:tab w:val="left" w:pos="9827" w:leader="none"/>
      </w:tabs>
    </w:pPr>
    <w:rPr>
      <w:rFonts w:eastAsia="方正小标宋_GBK"/>
      <w:sz w:val="44"/>
    </w:rPr>
  </w:style>
  <w:style w:type="paragraph" w:styleId="1244" w:customStyle="1">
    <w:name w:val="Char Char Char Char1 Char Char"/>
    <w:basedOn w:val="966"/>
    <w:uiPriority w:val="0"/>
    <w:qFormat/>
    <w:pPr>
      <w:tabs>
        <w:tab w:val="left" w:pos="360" w:leader="none"/>
      </w:tabs>
    </w:pPr>
    <w:rPr>
      <w:sz w:val="24"/>
    </w:rPr>
  </w:style>
  <w:style w:type="paragraph" w:styleId="1245" w:customStyle="1">
    <w:name w:val="列出段落"/>
    <w:basedOn w:val="966"/>
    <w:uiPriority w:val="0"/>
    <w:qFormat/>
    <w:pPr>
      <w:ind w:firstLine="420"/>
    </w:pPr>
    <w:rPr>
      <w:rFonts w:ascii="Calibri" w:hAnsi="Calibri"/>
      <w:szCs w:val="22"/>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48" w:customStyle="1">
    <w:name w:val="BioQuote Tekst"/>
    <w:basedOn w:val="966"/>
    <w:uiPriority w:val="0"/>
    <w:qFormat/>
    <w:pPr>
      <w:ind w:right="-1"/>
    </w:pPr>
    <w:rPr>
      <w:rFonts w:ascii="Arial" w:hAnsi="Arial"/>
      <w:sz w:val="22"/>
      <w:szCs w:val="20"/>
      <w:lang w:eastAsia="en-US"/>
    </w:rPr>
  </w:style>
  <w:style w:type="paragraph" w:styleId="1249" w:customStyle="1">
    <w:name w:val="纯文本1"/>
    <w:basedOn w:val="966"/>
    <w:uiPriority w:val="0"/>
    <w:qFormat/>
    <w:rPr>
      <w:rFonts w:ascii="宋体" w:hAnsi="Courier New"/>
      <w:sz w:val="20"/>
      <w:szCs w:val="21"/>
    </w:rPr>
  </w:style>
  <w:style w:type="paragraph" w:styleId="1250" w:customStyle="1">
    <w:name w:val="Table Paragraph"/>
    <w:basedOn w:val="966"/>
    <w:uiPriority w:val="1"/>
    <w:qFormat/>
    <w:pPr>
      <w:jc w:val="left"/>
    </w:pPr>
    <w:rPr>
      <w:rFonts w:ascii="宋体" w:hAnsi="宋体" w:cs="宋体"/>
      <w:sz w:val="22"/>
      <w:szCs w:val="22"/>
      <w:lang w:val="zh-CN" w:bidi="zh-CN"/>
    </w:rPr>
  </w:style>
  <w:style w:type="paragraph" w:styleId="1251" w:customStyle="1">
    <w:name w:val="BodyText1"/>
    <w:basedOn w:val="966"/>
    <w:uiPriority w:val="0"/>
    <w:qFormat/>
    <w:pPr>
      <w:spacing w:after="120"/>
    </w:pPr>
    <w:rPr>
      <w:rFonts w:ascii="Calibri"/>
      <w:sz w:val="20"/>
    </w:rPr>
  </w:style>
  <w:style w:type="paragraph" w:styleId="1252" w:customStyle="1">
    <w:name w:val="修订"/>
    <w:uiPriority w:val="99"/>
    <w:unhideWhenUsed/>
    <w:qFormat/>
    <w:rPr>
      <w:rFonts w:hint="default" w:ascii="Times New Roman" w:hAnsi="Times New Roman" w:eastAsia="宋体" w:cs="Times New Roman"/>
      <w:sz w:val="21"/>
      <w:szCs w:val="24"/>
      <w:lang w:val="en-US" w:eastAsia="zh-CN" w:bidi="ar-SA"/>
    </w:rPr>
  </w:style>
  <w:style w:type="table" w:styleId="1253" w:customStyle="1">
    <w:name w:val="Table Normal"/>
    <w:uiPriority w:val="0"/>
    <w:unhideWhenUsed/>
    <w:qFormat/>
    <w:tblPr/>
  </w:style>
  <w:style w:type="character" w:styleId="1254" w:customStyle="1">
    <w:name w:val="font51"/>
    <w:basedOn w:val="1154"/>
    <w:link w:val="966"/>
    <w:uiPriority w:val="0"/>
    <w:qFormat/>
    <w:rPr>
      <w:rFonts w:ascii="宋体" w:hAnsi="宋体" w:eastAsia="宋体" w:cs="宋体"/>
      <w:color w:val="000000"/>
      <w:sz w:val="20"/>
      <w:szCs w:val="20"/>
      <w:u w:val="none"/>
    </w:rPr>
  </w:style>
  <w:style w:type="character" w:styleId="1255" w:customStyle="1">
    <w:name w:val="font21"/>
    <w:basedOn w:val="1154"/>
    <w:link w:val="966"/>
    <w:uiPriority w:val="0"/>
    <w:qFormat/>
    <w:rPr>
      <w:rFonts w:hint="eastAsia" w:ascii="宋体" w:hAnsi="宋体" w:eastAsia="宋体" w:cs="宋体"/>
      <w:color w:val="000000"/>
      <w:sz w:val="22"/>
      <w:szCs w:val="22"/>
      <w:u w:val="none"/>
    </w:rPr>
  </w:style>
  <w:style w:type="character" w:styleId="1256" w:customStyle="1">
    <w:name w:val="font61"/>
    <w:basedOn w:val="1154"/>
    <w:link w:val="966"/>
    <w:uiPriority w:val="0"/>
    <w:qFormat/>
    <w:rPr>
      <w:rFonts w:ascii="宋体" w:hAnsi="宋体" w:eastAsia="宋体" w:cs="宋体"/>
      <w:color w:val="000000"/>
      <w:sz w:val="12"/>
      <w:szCs w:val="12"/>
      <w:u w:val="none"/>
    </w:rPr>
  </w:style>
  <w:style w:type="paragraph" w:styleId="1257" w:customStyle="1">
    <w:name w:val="正文1"/>
    <w:basedOn w:val="1258"/>
    <w:next w:val="966"/>
    <w:uiPriority w:val="0"/>
    <w:qFormat/>
    <w:pPr>
      <w:contextualSpacing/>
      <w:ind w:firstLine="200"/>
      <w:spacing w:before="120" w:after="120" w:line="180" w:lineRule="auto"/>
      <w:tabs>
        <w:tab w:val="left" w:pos="1110" w:leader="none"/>
      </w:tabs>
    </w:pPr>
    <w:rPr>
      <w:rFonts w:ascii="Times New Roman" w:hAnsi="Times New Roman" w:eastAsia="方正仿宋简体" w:cs="Times New Roman"/>
      <w:sz w:val="21"/>
      <w:szCs w:val="21"/>
      <w:lang w:val="en-US" w:eastAsia="zh-CN" w:bidi="ar-SA"/>
    </w:rPr>
  </w:style>
  <w:style w:type="paragraph" w:styleId="1258" w:customStyle="1">
    <w:name w:val="样式1"/>
    <w:basedOn w:val="1149"/>
    <w:uiPriority w:val="0"/>
    <w:qFormat/>
    <w:pPr>
      <w:ind w:left="210" w:right="210"/>
    </w:pPr>
  </w:style>
  <w:style w:type="paragraph" w:styleId="1259" w:customStyle="1">
    <w:name w:val="标题 41"/>
    <w:basedOn w:val="966"/>
    <w:next w:val="966"/>
    <w:uiPriority w:val="0"/>
    <w:qFormat/>
    <w:pPr>
      <w:numPr>
        <w:ilvl w:val="3"/>
        <w:numId w:val="3"/>
      </w:numPr>
      <w:keepLines/>
      <w:keepNext/>
      <w:spacing w:before="280" w:after="290" w:line="376" w:lineRule="auto"/>
      <w:outlineLvl w:val="3"/>
    </w:pPr>
    <w:rPr>
      <w:rFonts w:ascii="Arial" w:hAnsi="Arial" w:eastAsia="黑体"/>
      <w:b/>
      <w:bCs/>
      <w:sz w:val="28"/>
      <w:szCs w:val="28"/>
    </w:rPr>
  </w:style>
  <w:style w:type="paragraph" w:styleId="1260" w:customStyle="1">
    <w:name w:val="Normal_9_0"/>
    <w:uiPriority w:val="0"/>
    <w:qFormat/>
    <w:rPr>
      <w:rFonts w:hint="default" w:ascii="Times New Roman" w:hAnsi="Times New Roman" w:eastAsia="Times New Roman" w:cs="Times New Roman"/>
      <w:sz w:val="24"/>
      <w:szCs w:val="24"/>
      <w:lang w:bidi="ar-SA"/>
    </w:rPr>
  </w:style>
  <w:style w:type="paragraph" w:styleId="1261" w:customStyle="1">
    <w:name w:val="正文文本11"/>
    <w:basedOn w:val="966"/>
    <w:uiPriority w:val="0"/>
    <w:qFormat/>
    <w:rPr>
      <w:rFonts w:ascii="楷体_GB2312" w:hAnsi="Arial" w:eastAsia="楷体_GB2312"/>
      <w:sz w:val="28"/>
      <w:szCs w:val="28"/>
    </w:rPr>
  </w:style>
  <w:style w:type="paragraph" w:styleId="1262" w:customStyle="1">
    <w:name w:val="正文文本1"/>
    <w:next w:val="966"/>
    <w:uiPriority w:val="0"/>
    <w:qFormat/>
    <w:pPr>
      <w:jc w:val="both"/>
      <w:widowControl w:val="off"/>
    </w:pPr>
    <w:rPr>
      <w:rFonts w:hint="default" w:ascii="楷体_GB2312" w:hAnsi="Arial" w:eastAsia="楷体_GB2312" w:cs="Times New Roman"/>
      <w:sz w:val="28"/>
      <w:szCs w:val="24"/>
      <w:lang w:val="en-US" w:eastAsia="zh-CN" w:bidi="ar-SA"/>
    </w:rPr>
  </w:style>
  <w:style w:type="paragraph" w:styleId="1263" w:customStyle="1">
    <w:name w:val="标题 5（有编号）（绿盟科技）"/>
    <w:next w:val="1264"/>
    <w:uiPriority w:val="0"/>
    <w:qFormat/>
    <w:pPr>
      <w:numPr>
        <w:ilvl w:val="4"/>
        <w:numId w:val="4"/>
      </w:numPr>
      <w:jc w:val="left"/>
      <w:keepLines/>
      <w:keepNext/>
      <w:spacing w:before="280" w:after="156" w:line="377" w:lineRule="auto"/>
      <w:widowControl w:val="off"/>
      <w:outlineLvl w:val="4"/>
    </w:pPr>
    <w:rPr>
      <w:rFonts w:hint="default" w:ascii="Arial" w:hAnsi="Arial" w:eastAsia="黑体" w:cs="Times New Roman"/>
      <w:b/>
      <w:sz w:val="24"/>
      <w:szCs w:val="28"/>
      <w:lang w:val="en-US" w:eastAsia="zh-CN" w:bidi="ar-SA"/>
    </w:rPr>
  </w:style>
  <w:style w:type="paragraph" w:styleId="1264" w:customStyle="1">
    <w:name w:val="正文（绿盟科技）"/>
    <w:uiPriority w:val="0"/>
    <w:qFormat/>
    <w:pPr>
      <w:spacing w:line="300" w:lineRule="auto"/>
    </w:pPr>
    <w:rPr>
      <w:rFonts w:hint="default" w:ascii="Arial" w:hAnsi="Arial" w:eastAsia="宋体" w:cs="黑体"/>
      <w:sz w:val="21"/>
      <w:szCs w:val="21"/>
      <w:lang w:val="en-US" w:eastAsia="zh-CN" w:bidi="ar-SA"/>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dc:creator>
  <cp:lastModifiedBy>黄锡芳</cp:lastModifiedBy>
  <cp:revision>10</cp:revision>
  <dcterms:created xsi:type="dcterms:W3CDTF">2020-10-12T06:04:00Z</dcterms:created>
  <dcterms:modified xsi:type="dcterms:W3CDTF">2026-10-22T03:46:18Z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72F036779BEF45D69F0E5761EAB19186_13</vt:lpwstr>
  </property>
  <property fmtid="{D5CDD505-2E9C-101B-9397-08002B2CF9AE}" pid="4" name="KSOTemplateDocerSaveRecord">
    <vt:lpwstr>eyJoZGlkIjoiOTc3M2Y5NzIzMDFlZjAyY2Q4Njk5ODkyYjFjNzBiNTQiLCJ1c2VySWQiOiIxNTYwNDAxOTY1In0=</vt:lpwstr>
  </property>
</Properties>
</file>