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ind w:firstLine="0"/>
        <w:rPr>
          <w:rFonts w:hint="eastAsia" w:eastAsia="黑体"/>
          <w:b/>
          <w:bCs/>
          <w:sz w:val="84"/>
        </w:rPr>
      </w:pPr>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ascii="方正黑体_GBK" w:hAnsi="方正黑体_GBK" w:eastAsia="方正黑体_GBK" w:cs="方正黑体_GBK"/>
          <w:b/>
          <w:color w:val="000000"/>
          <w:sz w:val="28"/>
          <w:szCs w:val="28"/>
        </w:rPr>
        <w:t xml:space="preserve"> </w:t>
      </w:r>
      <w:r/>
    </w:p>
    <w:p>
      <w:pPr>
        <w:pStyle w:val="1005"/>
        <w:ind w:firstLine="0"/>
        <w:jc w:val="center"/>
        <w:rPr>
          <w:rFonts w:hint="eastAsia" w:ascii="方正小标宋_GBK" w:hAnsi="方正小标宋_GBK" w:eastAsia="方正小标宋_GBK" w:cs="方正小标宋_GBK"/>
          <w:b w:val="0"/>
          <w:bCs w:val="0"/>
          <w:sz w:val="52"/>
          <w:szCs w:val="52"/>
        </w:rPr>
      </w:pPr>
      <w:r>
        <w:rPr>
          <w:rFonts w:hint="eastAsia" w:ascii="方正小标宋_GBK" w:hAnsi="方正小标宋_GBK" w:eastAsia="方正小标宋_GBK" w:cs="方正小标宋_GBK"/>
          <w:b w:val="0"/>
          <w:bCs w:val="0"/>
          <w:sz w:val="52"/>
          <w:szCs w:val="52"/>
        </w:rPr>
        <w:t xml:space="preserve">招　标　文　件</w:t>
      </w:r>
      <w:r/>
    </w:p>
    <w:p>
      <w:pPr>
        <w:pStyle w:val="1005"/>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项目名称：南京交通职业技术学院教务系统建设</w:t>
      </w:r>
      <w:r/>
    </w:p>
    <w:p>
      <w:pPr>
        <w:ind w:firstLine="560"/>
        <w:jc w:val="left"/>
        <w:keepLines w:val="0"/>
        <w:keepNext w:val="0"/>
        <w:pageBreakBefore w:val="0"/>
        <w:spacing w:before="120" w:after="120" w:line="40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hint="default" w:ascii="Times New Roman" w:hAnsi="Times New Roman" w:eastAsia="方正黑体_GBK" w:cs="Times New Roman"/>
          <w:b w:val="0"/>
          <w:bCs w:val="0"/>
          <w:color w:val="000000"/>
          <w:sz w:val="28"/>
          <w:szCs w:val="28"/>
        </w:rPr>
        <w:t xml:space="preserve">JSZC-320000-SCZX-G2026-0379</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p>
    <w:p>
      <w:pPr>
        <w:jc w:val="center"/>
        <w:rPr>
          <w:rFonts w:hint="eastAsia" w:ascii="Times New Roman" w:hAnsi="Times New Roman"/>
          <w:b/>
          <w:color w:val="ff0000"/>
          <w:sz w:val="28"/>
          <w:szCs w:val="28"/>
        </w:rPr>
      </w:pPr>
      <w:r>
        <w:rPr>
          <w:rFonts w:hint="eastAsia" w:ascii="Times New Roman" w:hAnsi="Times New Roman"/>
          <w:b/>
          <w:color w:val="ff0000"/>
          <w:sz w:val="28"/>
          <w:szCs w:val="28"/>
        </w:rPr>
      </w:r>
      <w:r/>
    </w:p>
    <w:p>
      <w:pPr>
        <w:pStyle w:val="1005"/>
        <w:ind w:firstLine="0"/>
        <w:spacing w:before="0" w:after="0"/>
        <w:rPr>
          <w:rFonts w:hint="eastAsia" w:ascii="宋体" w:hAnsi="宋体"/>
          <w:sz w:val="28"/>
          <w:szCs w:val="28"/>
        </w:rPr>
      </w:pPr>
      <w:r>
        <w:rPr>
          <w:rFonts w:hint="eastAsia" w:ascii="宋体" w:hAnsi="宋体"/>
          <w:sz w:val="28"/>
          <w:szCs w:val="28"/>
        </w:rPr>
      </w:r>
      <w:r/>
    </w:p>
    <w:p>
      <w:pPr>
        <w:pStyle w:val="1005"/>
        <w:ind w:firstLine="0"/>
        <w:spacing w:before="0" w:after="0"/>
        <w:rPr>
          <w:rFonts w:hint="eastAsia" w:ascii="宋体" w:hAnsi="宋体"/>
          <w:sz w:val="28"/>
          <w:szCs w:val="28"/>
        </w:rPr>
      </w:pPr>
      <w:r>
        <w:rPr>
          <w:rFonts w:hint="eastAsia" w:ascii="宋体" w:hAnsi="宋体"/>
          <w:sz w:val="28"/>
          <w:szCs w:val="28"/>
        </w:rPr>
      </w:r>
      <w:r/>
    </w:p>
    <w:p>
      <w:pPr>
        <w:pStyle w:val="1005"/>
        <w:ind w:firstLine="0"/>
        <w:spacing w:before="0" w:after="0"/>
        <w:rPr>
          <w:rFonts w:hint="eastAsia" w:ascii="宋体" w:hAnsi="宋体"/>
          <w:sz w:val="28"/>
          <w:szCs w:val="28"/>
        </w:rPr>
      </w:pPr>
      <w:r>
        <w:rPr>
          <w:rFonts w:hint="eastAsia" w:ascii="宋体" w:hAnsi="宋体"/>
          <w:sz w:val="28"/>
          <w:szCs w:val="28"/>
        </w:rPr>
      </w:r>
      <w:r/>
    </w:p>
    <w:p>
      <w:pPr>
        <w:pStyle w:val="1005"/>
        <w:ind w:firstLine="0"/>
        <w:spacing w:before="0" w:after="0"/>
        <w:rPr>
          <w:rFonts w:hint="eastAsia" w:ascii="宋体" w:hAnsi="宋体"/>
          <w:sz w:val="28"/>
          <w:szCs w:val="28"/>
        </w:rPr>
      </w:pPr>
      <w:r>
        <w:rPr>
          <w:rFonts w:hint="eastAsia" w:ascii="宋体" w:hAnsi="宋体"/>
          <w:sz w:val="28"/>
          <w:szCs w:val="28"/>
        </w:rPr>
      </w:r>
      <w:r/>
    </w:p>
    <w:p>
      <w:pPr>
        <w:pStyle w:val="1005"/>
        <w:ind w:firstLine="0"/>
        <w:spacing w:before="0" w:after="0"/>
        <w:rPr>
          <w:rFonts w:hint="eastAsia" w:ascii="宋体" w:hAnsi="宋体"/>
          <w:sz w:val="28"/>
          <w:szCs w:val="28"/>
        </w:rPr>
      </w:pPr>
      <w:r>
        <w:rPr>
          <w:rFonts w:hint="eastAsia" w:ascii="宋体" w:hAnsi="宋体"/>
          <w:sz w:val="28"/>
          <w:szCs w:val="28"/>
        </w:rPr>
      </w:r>
      <w:r/>
    </w:p>
    <w:p>
      <w:pPr>
        <w:pStyle w:val="1005"/>
        <w:ind w:firstLine="0"/>
        <w:spacing w:before="0" w:after="0"/>
        <w:rPr>
          <w:rFonts w:hint="eastAsia" w:ascii="宋体" w:hAnsi="宋体"/>
          <w:sz w:val="28"/>
          <w:szCs w:val="28"/>
        </w:rPr>
      </w:pPr>
      <w:r>
        <w:rPr>
          <w:rFonts w:hint="eastAsia" w:ascii="宋体" w:hAnsi="宋体"/>
          <w:sz w:val="28"/>
          <w:szCs w:val="28"/>
        </w:rPr>
      </w:r>
      <w:r/>
    </w:p>
    <w:p>
      <w:pPr>
        <w:pStyle w:val="1005"/>
        <w:ind w:firstLine="0"/>
        <w:spacing w:before="0" w:after="0"/>
        <w:rPr>
          <w:rFonts w:hint="eastAsia" w:ascii="宋体" w:hAnsi="宋体"/>
          <w:sz w:val="28"/>
          <w:szCs w:val="28"/>
        </w:rPr>
      </w:pPr>
      <w:r>
        <w:rPr>
          <w:rFonts w:hint="eastAsia" w:ascii="宋体" w:hAnsi="宋体"/>
          <w:sz w:val="28"/>
          <w:szCs w:val="28"/>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10</w:t>
      </w:r>
      <w:r>
        <w:rPr>
          <w:rFonts w:hint="eastAsia" w:ascii="方正黑体_GBK" w:hAnsi="方正黑体_GBK" w:eastAsia="方正黑体_GBK" w:cs="方正黑体_GBK"/>
          <w:b w:val="0"/>
          <w:bCs w:val="0"/>
          <w:color w:val="000000"/>
          <w:sz w:val="28"/>
          <w:szCs w:val="28"/>
        </w:rPr>
        <w:t xml:space="preserve">月</w:t>
      </w:r>
      <w:r/>
    </w:p>
    <w:p>
      <w:pPr>
        <w:pStyle w:val="1005"/>
        <w:ind w:firstLine="0"/>
        <w:rPr>
          <w:rFonts w:hint="eastAsia"/>
          <w:u w:val="single"/>
        </w:rPr>
      </w:pPr>
      <w:r>
        <w:rPr>
          <w:rFonts w:hint="eastAsia"/>
        </w:rPr>
        <w:t xml:space="preserve">                        </w:t>
      </w:r>
      <w:r/>
    </w:p>
    <w:p>
      <w:pPr>
        <w:pStyle w:val="1005"/>
        <w:ind w:firstLine="0"/>
        <w:jc w:val="center"/>
        <w:rPr>
          <w:rFonts w:hint="eastAsia"/>
        </w:rPr>
      </w:pPr>
      <w:r>
        <w:rPr>
          <w:rFonts w:hint="eastAsia"/>
        </w:rPr>
      </w:r>
      <w:r/>
    </w:p>
    <w:p>
      <w:pPr>
        <w:jc w:val="center"/>
        <w:spacing w:line="400" w:lineRule="exact"/>
        <w:rPr>
          <w:rFonts w:ascii="黑体" w:hAnsi="Arial" w:eastAsia="黑体"/>
          <w:b/>
          <w:sz w:val="28"/>
          <w:szCs w:val="28"/>
        </w:rPr>
        <w:outlineLvl w:val="0"/>
      </w:pPr>
      <w:r>
        <w:br w:type="page" w:clear="all"/>
      </w:r>
      <w:r>
        <w:rPr>
          <w:rFonts w:hint="eastAsia" w:ascii="方正黑体_GBK" w:hAnsi="方正黑体_GBK" w:eastAsia="方正黑体_GBK" w:cs="方正黑体_GBK"/>
          <w:bCs/>
          <w:color w:val="000000"/>
          <w:sz w:val="28"/>
          <w:szCs w:val="28"/>
        </w:rPr>
        <w:t xml:space="preserve">总  目  录</w:t>
      </w:r>
      <w:r/>
    </w:p>
    <w:p>
      <w:pP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投标邀请……………………………………3</w:t>
      </w:r>
      <w:r/>
    </w:p>
    <w:p>
      <w:pPr>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第二章 投标人须知…………………………………6</w:t>
      </w:r>
      <w:r/>
    </w:p>
    <w:p>
      <w:pPr>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 合同文本……………………………………17</w:t>
      </w:r>
      <w:r/>
    </w:p>
    <w:p>
      <w:pPr>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采购需求……………………………………21</w:t>
      </w:r>
      <w:r/>
    </w:p>
    <w:p>
      <w:pPr>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第五章 评标方法与评标标准………………………132</w:t>
      </w:r>
      <w:r/>
    </w:p>
    <w:p>
      <w:pPr>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投标文件格式………………………………138</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p>
    <w:p>
      <w:pPr>
        <w:ind w:firstLine="560"/>
        <w:spacing w:line="400" w:lineRule="exact"/>
        <w:rPr>
          <w:rFonts w:hint="eastAsia" w:ascii="仿宋" w:hAnsi="仿宋" w:eastAsia="仿宋" w:cs="方正仿宋_GBK"/>
          <w:color w:val="000000"/>
          <w:sz w:val="28"/>
          <w:szCs w:val="28"/>
        </w:rPr>
      </w:pPr>
      <w:r>
        <w:rPr>
          <w:rFonts w:hint="eastAsia" w:ascii="仿宋" w:hAnsi="仿宋" w:eastAsia="仿宋" w:cs="方正仿宋_GBK"/>
          <w:color w:val="000000"/>
          <w:sz w:val="28"/>
          <w:szCs w:val="28"/>
        </w:rPr>
        <w:t xml:space="preserve">受〔南京交通职业技术学院〕的委托，</w:t>
      </w:r>
      <w:r>
        <w:rPr>
          <w:rFonts w:hint="eastAsia" w:ascii="仿宋" w:hAnsi="仿宋" w:eastAsia="仿宋" w:cs="方正仿宋_GBK"/>
          <w:color w:val="000000"/>
          <w:sz w:val="28"/>
          <w:szCs w:val="28"/>
          <w:lang w:eastAsia="zh-CN"/>
        </w:rPr>
        <w:t xml:space="preserve">江苏省政府采购中心</w:t>
      </w:r>
      <w:r>
        <w:rPr>
          <w:rFonts w:hint="eastAsia" w:ascii="仿宋" w:hAnsi="仿宋" w:eastAsia="仿宋" w:cs="方正仿宋_GBK"/>
          <w:color w:val="000000"/>
          <w:sz w:val="28"/>
          <w:szCs w:val="28"/>
        </w:rPr>
        <w:t xml:space="preserve">就〔</w:t>
      </w:r>
      <w:r>
        <w:rPr>
          <w:rFonts w:hint="eastAsia" w:ascii="仿宋" w:hAnsi="仿宋" w:eastAsia="仿宋"/>
          <w:color w:val="000000"/>
          <w:sz w:val="28"/>
          <w:szCs w:val="28"/>
        </w:rPr>
        <w:t xml:space="preserve">南京交通职业技术学院教务系统建设</w:t>
      </w:r>
      <w:r>
        <w:rPr>
          <w:rFonts w:hint="eastAsia" w:ascii="仿宋" w:hAnsi="仿宋" w:eastAsia="仿宋" w:cs="方正仿宋_GBK"/>
          <w:color w:val="000000"/>
          <w:sz w:val="28"/>
          <w:szCs w:val="28"/>
        </w:rPr>
        <w:t xml:space="preserve">〕(</w:t>
      </w:r>
      <w:r>
        <w:rPr>
          <w:rFonts w:hint="default" w:ascii="Times New Roman" w:hAnsi="Times New Roman" w:eastAsia="方正黑体_GBK" w:cs="Times New Roman"/>
          <w:b w:val="0"/>
          <w:bCs w:val="0"/>
          <w:color w:val="000000"/>
          <w:sz w:val="28"/>
          <w:szCs w:val="28"/>
        </w:rPr>
        <w:t xml:space="preserve">JSZC-320000-SCZX-G2026-0379</w:t>
      </w:r>
      <w:r>
        <w:rPr>
          <w:rFonts w:hint="eastAsia" w:ascii="仿宋" w:hAnsi="仿宋" w:eastAsia="仿宋" w:cs="方正仿宋_GBK"/>
          <w:color w:val="000000"/>
          <w:sz w:val="28"/>
          <w:szCs w:val="28"/>
        </w:rPr>
        <w:t xml:space="preserve">)项目进行公开招标采购，欢迎符合条件的供应商投标。</w:t>
      </w:r>
      <w:r/>
    </w:p>
    <w:p>
      <w:pPr>
        <w:ind w:firstLine="560"/>
        <w:spacing w:line="400" w:lineRule="exact"/>
        <w:rPr>
          <w:rFonts w:hint="eastAsia" w:ascii="方正仿宋_GBK" w:hAnsi="方正仿宋_GBK" w:eastAsia="方正仿宋_GBK" w:cs="方正仿宋_GBK"/>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8"/>
          <w:szCs w:val="28"/>
        </w:rPr>
        <w:t xml:space="preserve">项目概况</w:t>
      </w:r>
      <w:r/>
    </w:p>
    <w:p>
      <w:pPr>
        <w:ind w:firstLine="560"/>
        <w:spacing w:line="400" w:lineRule="exact"/>
        <w:rPr>
          <w:rFonts w:hint="eastAsia" w:ascii="宋体" w:hAnsi="宋体"/>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8"/>
          <w:szCs w:val="28"/>
          <w:u w:val="single"/>
        </w:rPr>
        <w:t xml:space="preserve"> (</w:t>
      </w:r>
      <w:r>
        <w:rPr>
          <w:rFonts w:hint="eastAsia" w:ascii="仿宋" w:hAnsi="仿宋" w:eastAsia="仿宋" w:cs="方正仿宋_GBK"/>
          <w:sz w:val="28"/>
          <w:szCs w:val="28"/>
          <w:u w:val="single"/>
        </w:rPr>
        <w:t xml:space="preserve">南京交通职业技术学院教务系统建设</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ascii="方正仿宋_GBK" w:hAnsi="方正仿宋_GBK" w:eastAsia="方正仿宋_GBK" w:cs="方正仿宋_GBK"/>
          <w:bCs/>
          <w:color w:val="000000"/>
          <w:sz w:val="28"/>
          <w:szCs w:val="28"/>
        </w:rPr>
        <w:t xml:space="preserve">2026年</w:t>
      </w:r>
      <w:r>
        <w:rPr>
          <w:rFonts w:hint="eastAsia" w:ascii="方正仿宋_GBK" w:hAnsi="方正仿宋_GBK" w:eastAsia="方正仿宋_GBK" w:cs="方正仿宋_GBK"/>
          <w:bCs/>
          <w:color w:val="000000"/>
          <w:sz w:val="28"/>
          <w:szCs w:val="28"/>
        </w:rPr>
        <w:t xml:space="preserve">11月</w:t>
      </w:r>
      <w:r>
        <w:rPr>
          <w:rFonts w:hint="eastAsia" w:ascii="方正仿宋_GBK" w:hAnsi="方正仿宋_GBK" w:eastAsia="方正仿宋_GBK" w:cs="方正仿宋_GBK"/>
          <w:bCs/>
          <w:color w:val="000000"/>
          <w:sz w:val="28"/>
          <w:szCs w:val="28"/>
        </w:rPr>
        <w:t xml:space="preserve">12日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p>
    <w:p>
      <w:pPr>
        <w:jc w:val="left"/>
        <w:keepNext/>
        <w:spacing w:line="400" w:lineRule="exact"/>
        <w:rPr>
          <w:rFonts w:hint="eastAsia" w:ascii="方正黑体_GBK" w:hAnsi="方正黑体_GBK" w:eastAsia="方正黑体_GBK" w:cs="方正黑体_GBK"/>
          <w:color w:val="000000"/>
          <w:sz w:val="28"/>
          <w:szCs w:val="28"/>
        </w:rPr>
        <w:outlineLvl w:val="0"/>
      </w:pPr>
      <w:r/>
      <w:bookmarkStart w:id="6" w:name="_Toc35393790"/>
      <w:r/>
      <w:bookmarkStart w:id="7" w:name="_Toc28359002"/>
      <w:r/>
      <w:bookmarkStart w:id="8" w:name="_Toc38985263"/>
      <w:r/>
      <w:bookmarkStart w:id="9" w:name="_Toc28359079"/>
      <w:r/>
      <w:bookmarkStart w:id="10" w:name="_Toc35393621"/>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w:t>
      </w:r>
      <w:r>
        <w:rPr>
          <w:rFonts w:hint="default" w:ascii="Times New Roman" w:hAnsi="Times New Roman" w:eastAsia="方正黑体_GBK" w:cs="Times New Roman"/>
          <w:b w:val="0"/>
          <w:bCs w:val="0"/>
          <w:color w:val="000000"/>
          <w:sz w:val="28"/>
          <w:szCs w:val="28"/>
        </w:rPr>
        <w:t xml:space="preserve">JSZC-320000-SCZX-G2026-0379</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hint="eastAsia" w:ascii="仿宋" w:hAnsi="仿宋" w:eastAsia="仿宋"/>
          <w:color w:val="000000"/>
          <w:sz w:val="28"/>
          <w:szCs w:val="28"/>
        </w:rPr>
        <w:t xml:space="preserve">南京交通职业技术学院教务系统建设</w:t>
      </w:r>
      <w:bookmarkEnd w:id="11"/>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p>
    <w:tbl>
      <w:tblPr>
        <w:tblStyle w:val="92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textDirection w:val="lrTb"/>
            <w:noWrap w:val="false"/>
          </w:tcPr>
          <w:p>
            <w:pPr>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textDirection w:val="lrTb"/>
            <w:noWrap w:val="false"/>
          </w:tcPr>
          <w:p>
            <w:pPr>
              <w:ind w:firstLine="1120"/>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180</w:t>
            </w:r>
            <w:r/>
          </w:p>
        </w:tc>
      </w:tr>
    </w:tbl>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p>
    <w:tbl>
      <w:tblPr>
        <w:tblStyle w:val="92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180</w:t>
            </w:r>
            <w:r/>
          </w:p>
        </w:tc>
      </w:tr>
    </w:tbl>
    <w:p>
      <w:pPr>
        <w:ind w:firstLine="560"/>
        <w:spacing w:line="400" w:lineRule="exact"/>
        <w:rPr>
          <w:rFonts w:eastAsia="方正仿宋_GBK"/>
          <w:color w:val="000000"/>
          <w:sz w:val="28"/>
          <w:szCs w:val="28"/>
        </w:rPr>
      </w:pPr>
      <w:r/>
      <w:bookmarkStart w:id="12" w:name="_Toc38985264"/>
      <w:r/>
      <w:bookmarkStart w:id="13" w:name="_Toc28359080"/>
      <w:r/>
      <w:bookmarkStart w:id="14" w:name="_Toc35393622"/>
      <w:r/>
      <w:bookmarkStart w:id="15" w:name="_Toc28359003"/>
      <w:r/>
      <w:bookmarkStart w:id="16" w:name="_Toc35393791"/>
      <w:r>
        <w:rPr>
          <w:rFonts w:hint="eastAsia" w:ascii="方正仿宋_GBK" w:hAnsi="方正仿宋_GBK" w:eastAsia="方正仿宋_GBK" w:cs="方正仿宋_GBK"/>
          <w:sz w:val="28"/>
          <w:szCs w:val="28"/>
        </w:rPr>
        <w:t xml:space="preserve">5.采购需求(简介)：</w:t>
      </w:r>
      <w:r>
        <w:rPr>
          <w:rFonts w:hint="eastAsia" w:eastAsia="方正仿宋_GBK"/>
          <w:color w:val="000000"/>
          <w:sz w:val="28"/>
          <w:szCs w:val="28"/>
        </w:rPr>
        <w:t xml:space="preserve">本项目拟采购AI赋能教务系统，全面替换现有老旧教务系统，一体化建设涵盖教务全业务、AI智能排课、AI教务助手、国产化适配、数据迁移、多系统集成及运维保障的智慧教务体系。</w:t>
      </w:r>
      <w:r/>
    </w:p>
    <w:p>
      <w:pPr>
        <w:ind w:firstLine="560"/>
        <w:spacing w:line="400" w:lineRule="exact"/>
        <w:rPr>
          <w:rFonts w:hint="eastAsia" w:ascii="方正仿宋_GBK" w:hAnsi="方正仿宋_GBK" w:eastAsia="方正仿宋_GBK" w:cs="方正仿宋_GBK"/>
          <w:sz w:val="28"/>
          <w:szCs w:val="28"/>
          <w:u w:val="single"/>
        </w:rPr>
      </w:pPr>
      <w:r>
        <w:rPr>
          <w:rFonts w:hint="eastAsia" w:eastAsia="方正仿宋_GBK"/>
          <w:color w:val="000000"/>
          <w:sz w:val="28"/>
          <w:szCs w:val="28"/>
        </w:rPr>
        <w:t xml:space="preserve">主要内容包括：培养方案、教学安排（智能排课）、选课、学籍、排考、成绩、毕业审核、订单班、微专业、岗位实习、教研教改项目（含教研积分）、教学质量监控、实验室管理、师生服务门户及移动教务等全业务模块；系统须适配国产操作系统、数据库、中间件及国产CPU服务器；具备向本科层次拓展的兼容能力，支持本科层次培养方案、学位审查。（详细内容见本招标文件第四章）</w:t>
      </w:r>
      <w:r/>
    </w:p>
    <w:p>
      <w:pPr>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w:t>
      </w:r>
      <w:r>
        <w:rPr>
          <w:rFonts w:hint="eastAsia" w:eastAsia="方正仿宋_GBK"/>
          <w:color w:val="000000"/>
          <w:sz w:val="28"/>
          <w:szCs w:val="28"/>
        </w:rPr>
        <w:t xml:space="preserve">合同签订后180天。</w:t>
      </w:r>
      <w:r/>
    </w:p>
    <w:p>
      <w:pPr>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
    </w:p>
    <w:p>
      <w:pPr>
        <w:ind w:firstLine="560"/>
        <w:spacing w:line="400" w:lineRule="exact"/>
        <w:rPr>
          <w:rFonts w:hint="eastAsia" w:ascii="方正楷体_GBK" w:hAnsi="方正楷体_GBK" w:eastAsia="方正楷体_GBK" w:cs="方正楷体_GBK"/>
          <w:color w:val="000000"/>
          <w:sz w:val="28"/>
          <w:szCs w:val="28"/>
        </w:rPr>
      </w:pPr>
      <w:r/>
      <w:bookmarkStart w:id="17" w:name="_Toc38985265"/>
      <w:r/>
      <w:bookmarkStart w:id="18" w:name="_Toc28359081"/>
      <w:r/>
      <w:bookmarkStart w:id="19" w:name="_Toc35393792"/>
      <w:r/>
      <w:bookmarkStart w:id="20" w:name="_Toc35393623"/>
      <w:r/>
      <w:bookmarkStart w:id="21" w:name="_Toc28359004"/>
      <w:r>
        <w:rPr>
          <w:rFonts w:hint="eastAsia" w:ascii="方正楷体_GBK" w:hAnsi="方正楷体_GBK" w:eastAsia="方正楷体_GBK" w:cs="方正楷体_GBK"/>
          <w:color w:val="000000"/>
          <w:sz w:val="28"/>
          <w:szCs w:val="28"/>
        </w:rPr>
        <w:t xml:space="preserve">（一）通用资格要求</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Style w:val="92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Style w:val="92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w:t>
            </w:r>
            <w:r/>
          </w:p>
        </w:tc>
      </w:tr>
    </w:tbl>
    <w:p>
      <w:pPr>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bookmarkEnd w:id="17"/>
      <w:r/>
      <w:bookmarkEnd w:id="18"/>
      <w:r/>
      <w:bookmarkEnd w:id="19"/>
      <w:r/>
      <w:bookmarkEnd w:id="20"/>
      <w:r/>
      <w:bookmarkEnd w:id="21"/>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rPr>
          <w:highlight w:val="none"/>
        </w:rPr>
      </w:r>
      <w:bookmarkStart w:id="22" w:name="_Toc28359005"/>
      <w:r>
        <w:rPr>
          <w:highlight w:val="none"/>
        </w:rPr>
      </w:r>
      <w:bookmarkStart w:id="23" w:name="_Toc28359082"/>
      <w:r>
        <w:rPr>
          <w:highlight w:val="none"/>
        </w:rPr>
      </w:r>
      <w:bookmarkStart w:id="24" w:name="_Toc35393624"/>
      <w:r>
        <w:rPr>
          <w:highlight w:val="none"/>
        </w:rPr>
      </w:r>
      <w:bookmarkStart w:id="25" w:name="_Toc35393793"/>
      <w:r>
        <w:rPr>
          <w:highlight w:val="none"/>
        </w:rPr>
      </w:r>
      <w:bookmarkStart w:id="26" w:name="_Toc38985266"/>
      <w:r>
        <w:rPr>
          <w:highlight w:val="none"/>
        </w:rPr>
      </w:r>
      <w:bookmarkStart w:id="27" w:name="_Toc35393794"/>
      <w:r>
        <w:rPr>
          <w:highlight w:val="none"/>
        </w:rPr>
      </w:r>
      <w:bookmarkStart w:id="28" w:name="_Toc28359007"/>
      <w:r>
        <w:rPr>
          <w:highlight w:val="none"/>
        </w:rPr>
      </w:r>
      <w:bookmarkStart w:id="29" w:name="_Toc38985267"/>
      <w:r>
        <w:rPr>
          <w:highlight w:val="none"/>
        </w:rPr>
      </w:r>
      <w:bookmarkStart w:id="30" w:name="_Toc35393625"/>
      <w:r>
        <w:rPr>
          <w:highlight w:val="none"/>
        </w:rPr>
      </w:r>
      <w:bookmarkStart w:id="31" w:name="_Toc28359084"/>
      <w:r>
        <w:rPr>
          <w:rFonts w:hint="eastAsia" w:ascii="方正黑体_GBK" w:hAnsi="方正黑体_GBK" w:eastAsia="方正黑体_GBK" w:cs="方正黑体_GBK"/>
          <w:color w:val="000000"/>
          <w:sz w:val="28"/>
          <w:szCs w:val="28"/>
          <w:highlight w:val="none"/>
        </w:rPr>
        <w:t xml:space="preserve">四、提交投标文件</w:t>
      </w:r>
      <w:bookmarkEnd w:id="22"/>
      <w:r>
        <w:rPr>
          <w:highlight w:val="none"/>
        </w:rPr>
      </w:r>
      <w:bookmarkEnd w:id="23"/>
      <w:r>
        <w:rPr>
          <w:rFonts w:hint="eastAsia" w:ascii="方正黑体_GBK" w:hAnsi="方正黑体_GBK" w:eastAsia="方正黑体_GBK" w:cs="方正黑体_GBK"/>
          <w:color w:val="000000"/>
          <w:sz w:val="28"/>
          <w:szCs w:val="28"/>
          <w:highlight w:val="none"/>
        </w:rPr>
        <w:t xml:space="preserve">截止时间、开标时间和地点</w:t>
      </w:r>
      <w:bookmarkEnd w:id="24"/>
      <w:r>
        <w:rPr>
          <w:highlight w:val="none"/>
        </w:rPr>
      </w:r>
      <w:bookmarkEnd w:id="25"/>
      <w:r>
        <w:rPr>
          <w:highlight w:val="none"/>
        </w:rPr>
      </w:r>
      <w:bookmarkEnd w:id="26"/>
      <w:r>
        <w:rPr>
          <w:highlight w:val="none"/>
        </w:rPr>
      </w:r>
      <w:r/>
    </w:p>
    <w:p>
      <w:pPr>
        <w:ind w:firstLine="560"/>
        <w:spacing w:line="400" w:lineRule="exact"/>
        <w:rPr>
          <w:rFonts w:hint="eastAsia" w:ascii="宋体" w:hAnsi="宋体"/>
          <w:bCs/>
          <w:color w:val="000000"/>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rPr>
        <w:t xml:space="preserve">11</w:t>
      </w:r>
      <w:r>
        <w:rPr>
          <w:rFonts w:hint="eastAsia" w:ascii="方正仿宋_GBK" w:hAnsi="方正仿宋_GBK" w:eastAsia="方正仿宋_GBK" w:cs="方正仿宋_GBK"/>
          <w:bCs/>
          <w:color w:val="000000"/>
          <w:sz w:val="28"/>
          <w:szCs w:val="28"/>
          <w:highlight w:val="none"/>
        </w:rPr>
        <w:t xml:space="preserve">月</w:t>
      </w:r>
      <w:r>
        <w:rPr>
          <w:rFonts w:hint="eastAsia" w:ascii="方正仿宋_GBK" w:hAnsi="方正仿宋_GBK" w:eastAsia="方正仿宋_GBK" w:cs="方正仿宋_GBK"/>
          <w:bCs/>
          <w:color w:val="000000"/>
          <w:sz w:val="28"/>
          <w:szCs w:val="28"/>
          <w:highlight w:val="none"/>
        </w:rPr>
        <w:t xml:space="preserve">12日</w:t>
      </w:r>
      <w:r>
        <w:rPr>
          <w:rFonts w:hint="eastAsia" w:ascii="方正仿宋_GBK" w:hAnsi="方正仿宋_GBK" w:eastAsia="方正仿宋_GBK" w:cs="方正仿宋_GBK"/>
          <w:color w:val="000000"/>
          <w:sz w:val="28"/>
          <w:szCs w:val="28"/>
          <w:highlight w:val="none"/>
        </w:rPr>
        <w:t xml:space="preserve">9时</w:t>
      </w:r>
      <w:r>
        <w:rPr>
          <w:rFonts w:hint="eastAsia" w:ascii="方正仿宋_GBK" w:hAnsi="方正仿宋_GBK" w:eastAsia="方正仿宋_GBK" w:cs="方正仿宋_GBK"/>
          <w:bCs/>
          <w:color w:val="000000"/>
          <w:sz w:val="28"/>
          <w:szCs w:val="28"/>
          <w:highlight w:val="none"/>
        </w:rPr>
        <w:t xml:space="preserve">30分（北京时间）</w:t>
      </w:r>
      <w:r>
        <w:rPr>
          <w:rFonts w:hint="eastAsia" w:ascii="方正仿宋_GBK" w:hAnsi="方正仿宋_GBK" w:eastAsia="方正仿宋_GBK" w:cs="方正仿宋_GBK"/>
          <w:sz w:val="28"/>
          <w:szCs w:val="28"/>
          <w:highlight w:val="none"/>
        </w:rPr>
        <w:t xml:space="preserve">。</w:t>
      </w:r>
      <w:r>
        <w:rPr>
          <w:highlight w:val="none"/>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bookmarkEnd w:id="27"/>
      <w:r/>
      <w:bookmarkEnd w:id="28"/>
      <w:r/>
      <w:bookmarkEnd w:id="29"/>
      <w:r/>
      <w:bookmarkEnd w:id="30"/>
      <w:r/>
      <w:bookmarkEnd w:id="31"/>
      <w:r/>
      <w:r/>
    </w:p>
    <w:p>
      <w:pPr>
        <w:jc w:val="left"/>
        <w:keepNext/>
        <w:spacing w:line="400" w:lineRule="exact"/>
        <w:rPr>
          <w:rFonts w:hint="eastAsia" w:ascii="方正黑体_GBK" w:hAnsi="方正黑体_GBK" w:eastAsia="方正黑体_GBK" w:cs="方正黑体_GBK"/>
          <w:color w:val="000000"/>
          <w:sz w:val="28"/>
          <w:szCs w:val="28"/>
        </w:rPr>
        <w:outlineLvl w:val="0"/>
      </w:pPr>
      <w:r/>
      <w:bookmarkStart w:id="32" w:name="_Toc35393626"/>
      <w:r/>
      <w:bookmarkStart w:id="33" w:name="_Toc35393795"/>
      <w:r/>
      <w:bookmarkStart w:id="34" w:name="_Toc38985268"/>
      <w:r>
        <w:rPr>
          <w:rFonts w:hint="eastAsia" w:ascii="方正黑体_GBK" w:hAnsi="方正黑体_GBK" w:eastAsia="方正黑体_GBK" w:cs="方正黑体_GBK"/>
          <w:color w:val="000000"/>
          <w:sz w:val="28"/>
          <w:szCs w:val="28"/>
        </w:rPr>
        <w:t xml:space="preserve">五、公告期限</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bookmarkEnd w:id="32"/>
      <w:r/>
      <w:bookmarkEnd w:id="33"/>
      <w:r/>
      <w:bookmarkEnd w:id="34"/>
      <w:r/>
      <w:r/>
    </w:p>
    <w:p>
      <w:pPr>
        <w:jc w:val="left"/>
        <w:keepNext/>
        <w:spacing w:line="400" w:lineRule="exact"/>
        <w:rPr>
          <w:rFonts w:hint="eastAsia" w:ascii="方正黑体_GBK" w:hAnsi="方正黑体_GBK" w:eastAsia="方正黑体_GBK" w:cs="方正黑体_GBK"/>
          <w:color w:val="000000"/>
          <w:sz w:val="28"/>
          <w:szCs w:val="28"/>
        </w:rPr>
        <w:outlineLvl w:val="0"/>
      </w:pPr>
      <w:r/>
      <w:r/>
      <w:r/>
      <w:r/>
      <w:r/>
      <w:r>
        <w:rPr>
          <w:rFonts w:hint="eastAsia" w:ascii="方正黑体_GBK" w:hAnsi="方正黑体_GBK" w:eastAsia="方正黑体_GBK" w:cs="方正黑体_GBK"/>
          <w:color w:val="000000"/>
          <w:sz w:val="28"/>
          <w:szCs w:val="28"/>
        </w:rPr>
        <w:t xml:space="preserve">六、其他补充事宜</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七、本次招标联系方式</w:t>
      </w:r>
      <w:r/>
    </w:p>
    <w:p>
      <w:pPr>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ind w:firstLine="560"/>
        <w:jc w:val="left"/>
        <w:spacing w:line="400" w:lineRule="exact"/>
        <w:rPr>
          <w:rFonts w:hint="eastAsia" w:ascii="仿宋" w:hAnsi="仿宋" w:eastAsia="仿宋" w:cs="方正仿宋_GBK"/>
          <w:color w:val="000000"/>
          <w:sz w:val="28"/>
          <w:szCs w:val="28"/>
        </w:rPr>
      </w:pPr>
      <w:r/>
      <w:bookmarkStart w:id="40" w:name="_Toc28359086"/>
      <w:r/>
      <w:bookmarkStart w:id="41" w:name="_Toc28359009"/>
      <w:r>
        <w:rPr>
          <w:rFonts w:hint="eastAsia" w:ascii="仿宋" w:hAnsi="仿宋" w:eastAsia="仿宋" w:cs="方正仿宋_GBK"/>
          <w:color w:val="000000"/>
          <w:sz w:val="28"/>
          <w:szCs w:val="28"/>
        </w:rPr>
        <w:t xml:space="preserve">名 称：</w:t>
      </w:r>
      <w:r>
        <w:rPr>
          <w:rFonts w:hint="eastAsia" w:ascii="仿宋" w:hAnsi="仿宋" w:eastAsia="仿宋" w:cs="方正仿宋_GBK"/>
          <w:color w:val="000000"/>
          <w:sz w:val="28"/>
          <w:szCs w:val="28"/>
          <w:u w:val="single"/>
        </w:rPr>
        <w:t xml:space="preserve">南京交通职业技术学院</w:t>
      </w:r>
      <w:r/>
    </w:p>
    <w:p>
      <w:pPr>
        <w:ind w:firstLine="560"/>
        <w:jc w:val="left"/>
        <w:spacing w:line="400" w:lineRule="exact"/>
        <w:rPr>
          <w:rFonts w:hint="eastAsia" w:ascii="仿宋" w:hAnsi="仿宋" w:eastAsia="仿宋" w:cs="方正仿宋_GBK"/>
          <w:color w:val="000000"/>
          <w:sz w:val="28"/>
          <w:szCs w:val="28"/>
        </w:rPr>
      </w:pPr>
      <w:r>
        <w:rPr>
          <w:rFonts w:hint="eastAsia" w:ascii="仿宋" w:hAnsi="仿宋" w:eastAsia="仿宋" w:cs="方正仿宋_GBK"/>
          <w:color w:val="000000"/>
          <w:sz w:val="28"/>
          <w:szCs w:val="28"/>
        </w:rPr>
        <w:t xml:space="preserve">地 址：</w:t>
      </w:r>
      <w:r>
        <w:rPr>
          <w:rFonts w:hint="eastAsia" w:ascii="仿宋" w:hAnsi="仿宋" w:eastAsia="仿宋" w:cs="方正仿宋_GBK"/>
          <w:color w:val="000000"/>
          <w:sz w:val="28"/>
          <w:szCs w:val="28"/>
          <w:u w:val="single"/>
        </w:rPr>
        <w:t xml:space="preserve">南京江宁科学园龙眠大道629号</w:t>
      </w:r>
      <w:r/>
    </w:p>
    <w:p>
      <w:pPr>
        <w:ind w:firstLine="560"/>
        <w:jc w:val="left"/>
        <w:spacing w:line="400" w:lineRule="exact"/>
        <w:rPr>
          <w:rFonts w:hint="eastAsia" w:ascii="仿宋" w:hAnsi="仿宋" w:eastAsia="仿宋" w:cs="方正仿宋_GBK"/>
          <w:color w:val="000000"/>
          <w:sz w:val="28"/>
          <w:szCs w:val="28"/>
        </w:rPr>
      </w:pPr>
      <w:r>
        <w:rPr>
          <w:rFonts w:hint="eastAsia" w:ascii="仿宋" w:hAnsi="仿宋" w:eastAsia="仿宋" w:cs="方正仿宋_GBK"/>
          <w:color w:val="000000"/>
          <w:sz w:val="28"/>
          <w:szCs w:val="28"/>
        </w:rPr>
        <w:t xml:space="preserve">联系人：</w:t>
      </w:r>
      <w:r>
        <w:rPr>
          <w:rFonts w:hint="eastAsia" w:ascii="仿宋" w:hAnsi="仿宋" w:eastAsia="仿宋" w:cs="方正仿宋_GBK"/>
          <w:color w:val="000000"/>
          <w:sz w:val="28"/>
          <w:szCs w:val="28"/>
          <w:u w:val="single"/>
        </w:rPr>
        <w:t xml:space="preserve">蔡晓飞、刘明晶</w:t>
      </w:r>
      <w:r/>
    </w:p>
    <w:p>
      <w:pPr>
        <w:ind w:firstLine="560"/>
        <w:jc w:val="left"/>
        <w:spacing w:line="400" w:lineRule="exact"/>
        <w:rPr>
          <w:rFonts w:hint="eastAsia" w:ascii="仿宋" w:hAnsi="仿宋" w:eastAsia="仿宋" w:cs="方正仿宋_GBK"/>
          <w:color w:val="000000"/>
          <w:sz w:val="28"/>
          <w:szCs w:val="28"/>
          <w:u w:val="single"/>
        </w:rPr>
      </w:pPr>
      <w:r>
        <w:rPr>
          <w:rFonts w:hint="eastAsia" w:ascii="仿宋" w:hAnsi="仿宋" w:eastAsia="仿宋" w:cs="方正仿宋_GBK"/>
          <w:color w:val="000000"/>
          <w:sz w:val="28"/>
          <w:szCs w:val="28"/>
        </w:rPr>
        <w:t xml:space="preserve">联系方式：</w:t>
      </w:r>
      <w:r>
        <w:rPr>
          <w:rFonts w:hint="eastAsia" w:ascii="仿宋" w:hAnsi="仿宋" w:eastAsia="仿宋" w:cs="方正仿宋_GBK"/>
          <w:color w:val="000000"/>
          <w:sz w:val="28"/>
          <w:szCs w:val="28"/>
          <w:u w:val="single"/>
        </w:rPr>
        <w:t xml:space="preserve">025-86115026 86115029</w:t>
      </w:r>
      <w:r/>
    </w:p>
    <w:p>
      <w:pPr>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仿宋" w:hAnsi="仿宋" w:eastAsia="仿宋" w:cs="方正仿宋_GBK"/>
          <w:color w:val="000000"/>
          <w:sz w:val="28"/>
          <w:szCs w:val="28"/>
          <w:lang w:eastAsia="zh-CN"/>
        </w:rPr>
        <w:t xml:space="preserve">江苏省政府采购中心</w:t>
      </w:r>
      <w:r>
        <w:rPr>
          <w:rFonts w:hint="eastAsia" w:ascii="方正仿宋_GBK" w:hAnsi="方正仿宋_GBK" w:eastAsia="方正仿宋_GBK" w:cs="方正仿宋_GBK"/>
          <w:color w:val="000000"/>
          <w:sz w:val="28"/>
          <w:szCs w:val="28"/>
        </w:rPr>
        <w:t xml:space="preserve">信息</w:t>
      </w:r>
      <w:bookmarkEnd w:id="40"/>
      <w:r/>
      <w:bookmarkEnd w:id="41"/>
      <w:r/>
      <w:r/>
    </w:p>
    <w:p>
      <w:pPr>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p>
    <w:p>
      <w:pPr>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 系 人：</w:t>
      </w:r>
      <w:r>
        <w:rPr>
          <w:rFonts w:hint="eastAsia" w:ascii="方正仿宋_GBK" w:hAnsi="方正仿宋_GBK" w:eastAsia="方正仿宋_GBK" w:cs="方正仿宋_GBK"/>
          <w:color w:val="000000"/>
          <w:sz w:val="28"/>
          <w:szCs w:val="28"/>
          <w:u w:val="single"/>
        </w:rPr>
        <w:t xml:space="preserve">   唐雪菲   徐小聪    </w:t>
      </w:r>
      <w:r/>
    </w:p>
    <w:p>
      <w:pPr>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联系方式： </w:t>
      </w:r>
      <w:r>
        <w:rPr>
          <w:rFonts w:hint="eastAsia" w:ascii="方正仿宋_GBK" w:hAnsi="方正仿宋_GBK" w:eastAsia="方正仿宋_GBK" w:cs="方正仿宋_GBK"/>
          <w:color w:val="000000"/>
          <w:sz w:val="28"/>
          <w:szCs w:val="28"/>
          <w:u w:val="single"/>
        </w:rPr>
        <w:t xml:space="preserve"> 025-83668562 83668516　 </w:t>
      </w:r>
      <w:r/>
    </w:p>
    <w:p>
      <w:pPr>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2.有关本次招标的事项若存在变动或修改，敬请及时关注中心在“江苏政府采购网”发布的更正公告。</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color w:val="000000"/>
          <w:sz w:val="24"/>
          <w:szCs w:val="24"/>
        </w:rPr>
      </w:pPr>
      <w:r>
        <w:rPr>
          <w:rFonts w:hint="eastAsia" w:ascii="宋体" w:hAnsi="宋体"/>
          <w:color w:val="000000"/>
          <w:sz w:val="24"/>
          <w:szCs w:val="24"/>
        </w:rPr>
      </w:r>
      <w:r/>
    </w:p>
    <w:p>
      <w:pPr>
        <w:ind w:right="839"/>
        <w:jc w:val="center"/>
        <w:spacing w:line="400" w:lineRule="exact"/>
        <w:rPr>
          <w:rFonts w:hint="eastAsia" w:ascii="宋体" w:hAnsi="宋体"/>
          <w:sz w:val="28"/>
          <w:szCs w:val="28"/>
        </w:rPr>
      </w:pPr>
      <w:r>
        <w:rPr>
          <w:rFonts w:ascii="宋体" w:hAnsi="宋体"/>
          <w:sz w:val="24"/>
          <w:szCs w:val="24"/>
        </w:rPr>
        <w:br w:type="page" w:clear="all"/>
      </w:r>
      <w:bookmarkEnd w:id="1"/>
      <w:r/>
      <w:bookmarkEnd w:id="2"/>
      <w:r/>
      <w:bookmarkEnd w:id="3"/>
      <w:r/>
      <w:bookmarkEnd w:id="4"/>
      <w:r/>
      <w:bookmarkEnd w:id="5"/>
      <w:r/>
      <w:bookmarkStart w:id="42" w:name="_Toc120614211"/>
      <w:r>
        <w:rPr>
          <w:rFonts w:hint="eastAsia" w:ascii="方正黑体_GBK" w:hAnsi="方正黑体_GBK" w:eastAsia="方正黑体_GBK" w:cs="方正黑体_GBK"/>
          <w:color w:val="000000"/>
          <w:sz w:val="28"/>
          <w:szCs w:val="28"/>
        </w:rPr>
        <w:t xml:space="preserve">第二章  </w:t>
      </w:r>
      <w:bookmarkEnd w:id="42"/>
      <w:r/>
      <w:bookmarkStart w:id="43" w:name="_Toc513029202"/>
      <w:r/>
      <w:bookmarkStart w:id="44" w:name="_Toc16938518"/>
      <w:r/>
      <w:bookmarkStart w:id="45" w:name="_Toc20823274"/>
      <w:r/>
      <w:bookmarkStart w:id="46" w:name="_Toc120614213"/>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
    </w:p>
    <w:p>
      <w:pPr>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w:t>
      </w:r>
      <w:r>
        <w:rPr>
          <w:rFonts w:hint="eastAsia" w:ascii="仿宋" w:hAnsi="仿宋" w:eastAsia="仿宋" w:cs="方正仿宋_GBK"/>
          <w:color w:val="000000"/>
          <w:sz w:val="28"/>
          <w:szCs w:val="28"/>
          <w:lang w:eastAsia="zh-CN"/>
        </w:rPr>
        <w:t xml:space="preserve">江苏省政府采购中心</w:t>
      </w:r>
      <w:r>
        <w:rPr>
          <w:rFonts w:hint="eastAsia" w:ascii="方正仿宋_GBK" w:hAnsi="方正仿宋_GBK" w:eastAsia="方正仿宋_GBK" w:cs="方正仿宋_GBK"/>
          <w:bCs/>
          <w:sz w:val="28"/>
          <w:szCs w:val="28"/>
        </w:rPr>
        <w:t xml:space="preserve">（以下简称采购中心）在任何情况下均无义务和责任承担这些费用。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ind w:firstLine="560"/>
        <w:spacing w:line="400" w:lineRule="exact"/>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jc w:val="left"/>
        <w:keepNext/>
        <w:spacing w:line="400" w:lineRule="exact"/>
        <w:rPr>
          <w:rFonts w:hint="eastAsia" w:ascii="方正黑体_GBK" w:hAnsi="方正黑体_GBK" w:eastAsia="方正黑体_GBK" w:cs="方正黑体_GBK"/>
          <w:color w:val="000000"/>
          <w:sz w:val="28"/>
          <w:szCs w:val="28"/>
        </w:rPr>
        <w:outlineLvl w:val="0"/>
      </w:pPr>
      <w:r/>
      <w:bookmarkStart w:id="47" w:name="_Toc20823285"/>
      <w:r/>
      <w:bookmarkStart w:id="48" w:name="_Toc462564072"/>
      <w:r/>
      <w:bookmarkStart w:id="49" w:name="_Toc16938529"/>
      <w:r/>
      <w:bookmarkStart w:id="50" w:name="_Toc120614216"/>
      <w:r/>
      <w:bookmarkStart w:id="51" w:name="_Toc513029213"/>
      <w:r>
        <w:rPr>
          <w:rFonts w:hint="eastAsia" w:ascii="方正黑体_GBK" w:hAnsi="方正黑体_GBK" w:eastAsia="方正黑体_GBK" w:cs="方正黑体_GBK"/>
          <w:color w:val="000000"/>
          <w:sz w:val="28"/>
          <w:szCs w:val="28"/>
        </w:rPr>
        <w:t xml:space="preserve">三、投标文件的编制</w:t>
      </w:r>
      <w:bookmarkEnd w:id="47"/>
      <w:r/>
      <w:bookmarkEnd w:id="48"/>
      <w:r/>
      <w:bookmarkEnd w:id="49"/>
      <w:r/>
      <w:bookmarkEnd w:id="50"/>
      <w:r/>
      <w:bookmarkEnd w:id="51"/>
      <w:r/>
      <w:r/>
    </w:p>
    <w:p>
      <w:pPr>
        <w:pStyle w:val="922"/>
        <w:ind w:firstLine="560"/>
        <w:spacing w:before="0" w:after="0" w:line="400" w:lineRule="exact"/>
        <w:rPr>
          <w:rFonts w:hint="eastAsia" w:ascii="方正仿宋_GBK" w:hAnsi="方正仿宋_GBK" w:eastAsia="方正仿宋_GBK" w:cs="方正仿宋_GBK"/>
          <w:bCs w:val="0"/>
        </w:rPr>
      </w:pPr>
      <w:r/>
      <w:bookmarkStart w:id="52" w:name="_Toc20823286"/>
      <w:r/>
      <w:bookmarkStart w:id="53" w:name="_Toc462564073"/>
      <w:r/>
      <w:bookmarkStart w:id="54" w:name="_Toc16938530"/>
      <w:r/>
      <w:bookmarkStart w:id="55" w:name="_Toc513029214"/>
      <w:r>
        <w:rPr>
          <w:rFonts w:hint="eastAsia" w:ascii="方正仿宋_GBK" w:hAnsi="方正仿宋_GBK" w:eastAsia="方正仿宋_GBK" w:cs="方正仿宋_GBK"/>
          <w:b w:val="0"/>
          <w:bCs w:val="0"/>
        </w:rPr>
        <w:t xml:space="preserve">8.投标文件的语言及度量衡单位</w:t>
      </w:r>
      <w:bookmarkEnd w:id="52"/>
      <w:r/>
      <w:bookmarkEnd w:id="53"/>
      <w:r/>
      <w:bookmarkEnd w:id="54"/>
      <w:r/>
      <w:bookmarkEnd w:id="55"/>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922"/>
        <w:ind w:firstLine="560"/>
        <w:spacing w:before="0" w:after="0" w:line="400" w:lineRule="exact"/>
        <w:rPr>
          <w:rFonts w:hint="eastAsia" w:ascii="方正仿宋_GBK" w:hAnsi="方正仿宋_GBK" w:eastAsia="方正仿宋_GBK" w:cs="方正仿宋_GBK"/>
          <w:b w:val="0"/>
          <w:bCs w:val="0"/>
        </w:rPr>
      </w:pPr>
      <w:r/>
      <w:bookmarkStart w:id="56" w:name="_Toc20823287"/>
      <w:r/>
      <w:bookmarkStart w:id="57" w:name="_Toc16938531"/>
      <w:r/>
      <w:bookmarkStart w:id="58" w:name="_Toc462564074"/>
      <w:r/>
      <w:bookmarkStart w:id="59" w:name="_Toc513029215"/>
      <w:r>
        <w:rPr>
          <w:rFonts w:hint="eastAsia" w:ascii="方正仿宋_GBK" w:hAnsi="方正仿宋_GBK" w:eastAsia="方正仿宋_GBK" w:cs="方正仿宋_GBK"/>
          <w:b w:val="0"/>
          <w:bCs w:val="0"/>
        </w:rPr>
        <w:t xml:space="preserve">9.投标文件构成</w:t>
      </w:r>
      <w:bookmarkEnd w:id="56"/>
      <w:r/>
      <w:bookmarkEnd w:id="57"/>
      <w:r/>
      <w:bookmarkEnd w:id="58"/>
      <w:r/>
      <w:bookmarkEnd w:id="59"/>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922"/>
        <w:ind w:firstLine="560"/>
        <w:spacing w:before="0" w:after="0" w:line="400" w:lineRule="exact"/>
        <w:rPr>
          <w:rFonts w:hint="eastAsia" w:ascii="方正仿宋_GBK" w:hAnsi="方正仿宋_GBK" w:eastAsia="方正仿宋_GBK" w:cs="方正仿宋_GBK"/>
          <w:b w:val="0"/>
          <w:bCs w:val="0"/>
        </w:rPr>
      </w:pPr>
      <w:r/>
      <w:bookmarkStart w:id="60" w:name="_Hlt26668975"/>
      <w:r/>
      <w:bookmarkEnd w:id="60"/>
      <w:r/>
      <w:bookmarkStart w:id="61" w:name="_Hlt26670360"/>
      <w:r/>
      <w:bookmarkEnd w:id="61"/>
      <w:r/>
      <w:bookmarkStart w:id="62" w:name="_Hlt26954838"/>
      <w:r/>
      <w:bookmarkEnd w:id="62"/>
      <w:r/>
      <w:bookmarkStart w:id="63" w:name="_Toc14577357"/>
      <w:r/>
      <w:bookmarkStart w:id="64" w:name="_Toc49090509"/>
      <w:r/>
      <w:bookmarkStart w:id="65" w:name="_Toc513029219"/>
      <w:r/>
      <w:bookmarkStart w:id="66" w:name="_Toc14577354"/>
      <w:r/>
      <w:bookmarkStart w:id="67" w:name="_Toc49090507"/>
      <w:r/>
      <w:bookmarkStart w:id="68" w:name="_Toc513029216"/>
      <w:r>
        <w:rPr>
          <w:rFonts w:hint="eastAsia" w:ascii="方正仿宋_GBK" w:hAnsi="方正仿宋_GBK" w:eastAsia="方正仿宋_GBK" w:cs="方正仿宋_GBK"/>
          <w:b w:val="0"/>
          <w:bCs w:val="0"/>
        </w:rPr>
        <w:t xml:space="preserve">10.证明投标人及投标标的符合招标文件规定的文件</w:t>
      </w:r>
      <w:bookmarkEnd w:id="63"/>
      <w:r/>
      <w:bookmarkEnd w:id="64"/>
      <w:r/>
      <w:bookmarkEnd w:id="65"/>
      <w:r/>
      <w:bookmarkEnd w:id="66"/>
      <w:r/>
      <w:bookmarkEnd w:id="67"/>
      <w:r/>
      <w:bookmarkEnd w:id="68"/>
      <w:r/>
      <w:r/>
    </w:p>
    <w:p>
      <w:pPr>
        <w:ind w:firstLine="560"/>
        <w:spacing w:line="400" w:lineRule="exact"/>
        <w:rPr>
          <w:rFonts w:hint="eastAsia" w:ascii="方正仿宋_GBK" w:hAnsi="方正仿宋_GBK" w:eastAsia="方正仿宋_GBK" w:cs="方正仿宋_GBK"/>
          <w:sz w:val="28"/>
          <w:szCs w:val="28"/>
        </w:rPr>
      </w:pPr>
      <w:r/>
      <w:bookmarkStart w:id="69" w:name="_Toc14577355"/>
      <w:r/>
      <w:bookmarkStart w:id="70"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922"/>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69"/>
      <w:r/>
      <w:bookmarkStart w:id="71" w:name="_Hlt26670373"/>
      <w:r/>
      <w:bookmarkEnd w:id="71"/>
      <w:r>
        <w:rPr>
          <w:rFonts w:hint="eastAsia" w:ascii="方正仿宋_GBK" w:hAnsi="方正仿宋_GBK" w:eastAsia="方正仿宋_GBK" w:cs="方正仿宋_GBK"/>
          <w:b w:val="0"/>
          <w:bCs w:val="0"/>
        </w:rPr>
        <w:t xml:space="preserve">表</w:t>
      </w:r>
      <w:bookmarkEnd w:id="70"/>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2" w:name="_Hlt26954840"/>
      <w:r/>
      <w:bookmarkEnd w:id="72"/>
      <w:r>
        <w:rPr>
          <w:rFonts w:hint="eastAsia" w:ascii="方正仿宋_GBK" w:hAnsi="方正仿宋_GBK" w:eastAsia="方正仿宋_GBK" w:cs="方正仿宋_GBK"/>
          <w:sz w:val="28"/>
          <w:szCs w:val="28"/>
        </w:rPr>
        <w:t xml:space="preserve">标人按照招标文件规定格式填报投标分项报价表</w:t>
      </w:r>
      <w:bookmarkStart w:id="73" w:name="_Hlt26670399"/>
      <w:r/>
      <w:bookmarkEnd w:id="73"/>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p>
    <w:p>
      <w:pPr>
        <w:pStyle w:val="922"/>
        <w:ind w:firstLine="560"/>
        <w:spacing w:before="0" w:after="0" w:line="400" w:lineRule="exact"/>
        <w:rPr>
          <w:rFonts w:hint="eastAsia" w:ascii="方正仿宋_GBK" w:hAnsi="方正仿宋_GBK" w:eastAsia="方正仿宋_GBK" w:cs="方正仿宋_GBK"/>
          <w:b w:val="0"/>
          <w:bCs w:val="0"/>
        </w:rPr>
      </w:pPr>
      <w:r/>
      <w:bookmarkStart w:id="74" w:name="_Hlt26954844"/>
      <w:r/>
      <w:bookmarkEnd w:id="74"/>
      <w:r/>
      <w:bookmarkStart w:id="75" w:name="_Hlt26954842"/>
      <w:r/>
      <w:bookmarkEnd w:id="75"/>
      <w:r/>
      <w:bookmarkStart w:id="76" w:name="_Hlt26954848"/>
      <w:r/>
      <w:bookmarkEnd w:id="76"/>
      <w:r/>
      <w:bookmarkStart w:id="77" w:name="_Hlt26670486"/>
      <w:r/>
      <w:bookmarkEnd w:id="77"/>
      <w:r/>
      <w:bookmarkStart w:id="78" w:name="_Hlt26954846"/>
      <w:r/>
      <w:bookmarkEnd w:id="78"/>
      <w:r/>
      <w:bookmarkStart w:id="79" w:name="_Hlt26670403"/>
      <w:r/>
      <w:bookmarkEnd w:id="79"/>
      <w:r/>
      <w:bookmarkStart w:id="80" w:name="_Hlt26954731"/>
      <w:r/>
      <w:bookmarkEnd w:id="80"/>
      <w:r/>
      <w:bookmarkStart w:id="81" w:name="_Hlt26668983"/>
      <w:r/>
      <w:bookmarkEnd w:id="81"/>
      <w:r/>
      <w:bookmarkStart w:id="82" w:name="_Hlt26670482"/>
      <w:r/>
      <w:bookmarkEnd w:id="82"/>
      <w:r/>
      <w:bookmarkStart w:id="83" w:name="_Hlt26670425"/>
      <w:r/>
      <w:bookmarkEnd w:id="83"/>
      <w:r>
        <w:rPr>
          <w:rFonts w:hint="eastAsia" w:ascii="方正仿宋_GBK" w:hAnsi="方正仿宋_GBK" w:eastAsia="方正仿宋_GBK" w:cs="方正仿宋_GBK"/>
          <w:b w:val="0"/>
          <w:bCs w:val="0"/>
        </w:rPr>
        <w:t xml:space="preserve">12.技术要求响应及偏离表、商务要求响应及偏离表</w:t>
      </w:r>
      <w:r/>
    </w:p>
    <w:p>
      <w:pPr>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ind w:firstLine="560"/>
        <w:spacing w:line="400" w:lineRule="exact"/>
        <w:rPr>
          <w:rFonts w:hint="eastAsia" w:ascii="方正仿宋_GBK" w:hAnsi="方正仿宋_GBK" w:eastAsia="方正仿宋_GBK" w:cs="方正仿宋_GBK"/>
          <w:sz w:val="28"/>
          <w:szCs w:val="28"/>
          <w:lang w:val="zh-CN"/>
        </w:rPr>
      </w:pPr>
      <w:r/>
      <w:bookmarkStart w:id="84" w:name="_Toc49090510"/>
      <w:r/>
      <w:bookmarkStart w:id="85"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922"/>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bookmarkEnd w:id="84"/>
      <w:r/>
      <w:bookmarkEnd w:id="85"/>
      <w:r/>
      <w:r/>
    </w:p>
    <w:p>
      <w:pPr>
        <w:pStyle w:val="922"/>
        <w:ind w:firstLine="560"/>
        <w:spacing w:before="0" w:after="0" w:line="400" w:lineRule="exact"/>
        <w:rPr>
          <w:rFonts w:hint="eastAsia" w:ascii="方正仿宋_GBK" w:hAnsi="方正仿宋_GBK" w:eastAsia="方正仿宋_GBK" w:cs="方正仿宋_GBK"/>
          <w:b w:val="0"/>
          <w:bCs w:val="0"/>
        </w:rPr>
      </w:pPr>
      <w:r/>
      <w:bookmarkStart w:id="86" w:name="_Hlt26954734"/>
      <w:r/>
      <w:bookmarkEnd w:id="86"/>
      <w:r/>
      <w:bookmarkStart w:id="87" w:name="_Hlt26670489"/>
      <w:r/>
      <w:bookmarkEnd w:id="87"/>
      <w:r/>
      <w:bookmarkStart w:id="88" w:name="_Hlt26954850"/>
      <w:r/>
      <w:bookmarkEnd w:id="88"/>
      <w:r/>
      <w:bookmarkStart w:id="89" w:name="_Toc14577360"/>
      <w:r/>
      <w:bookmarkStart w:id="90" w:name="_Toc49090511"/>
      <w:r>
        <w:rPr>
          <w:rFonts w:hint="eastAsia" w:ascii="方正仿宋_GBK" w:hAnsi="方正仿宋_GBK" w:eastAsia="方正仿宋_GBK" w:cs="方正仿宋_GBK"/>
          <w:b w:val="0"/>
          <w:bCs w:val="0"/>
        </w:rPr>
        <w:t xml:space="preserve">14.投标有效期</w:t>
      </w:r>
      <w:bookmarkEnd w:id="89"/>
      <w:r/>
      <w:bookmarkEnd w:id="90"/>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922"/>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jc w:val="left"/>
        <w:keepNext/>
        <w:spacing w:line="400" w:lineRule="exact"/>
        <w:rPr>
          <w:rFonts w:hint="eastAsia" w:ascii="方正黑体_GBK" w:hAnsi="方正黑体_GBK" w:eastAsia="方正黑体_GBK" w:cs="方正黑体_GBK"/>
          <w:color w:val="000000"/>
          <w:sz w:val="28"/>
          <w:szCs w:val="28"/>
        </w:rPr>
        <w:outlineLvl w:val="0"/>
      </w:pPr>
      <w:r/>
      <w:bookmarkStart w:id="91" w:name="_Hlt26954739"/>
      <w:r/>
      <w:bookmarkEnd w:id="91"/>
      <w:r/>
      <w:bookmarkStart w:id="92" w:name="_Hlt26954852"/>
      <w:r/>
      <w:bookmarkEnd w:id="92"/>
      <w:r/>
      <w:bookmarkStart w:id="93" w:name="_Toc20823296"/>
      <w:r/>
      <w:bookmarkStart w:id="94" w:name="_Toc16938540"/>
      <w:r/>
      <w:bookmarkStart w:id="95" w:name="_Toc513029224"/>
      <w:r/>
      <w:bookmarkStart w:id="96" w:name="_Toc120614217"/>
      <w:r>
        <w:rPr>
          <w:rFonts w:hint="eastAsia" w:ascii="方正黑体_GBK" w:hAnsi="方正黑体_GBK" w:eastAsia="方正黑体_GBK" w:cs="方正黑体_GBK"/>
          <w:color w:val="000000"/>
          <w:sz w:val="28"/>
          <w:szCs w:val="28"/>
        </w:rPr>
        <w:t xml:space="preserve">四、投标文件的递交</w:t>
      </w:r>
      <w:bookmarkEnd w:id="93"/>
      <w:r/>
      <w:bookmarkEnd w:id="94"/>
      <w:r/>
      <w:bookmarkEnd w:id="95"/>
      <w:r/>
      <w:bookmarkEnd w:id="96"/>
      <w:r/>
      <w:r/>
    </w:p>
    <w:p>
      <w:pPr>
        <w:pStyle w:val="922"/>
        <w:ind w:firstLine="560"/>
        <w:spacing w:before="0" w:after="0" w:line="400" w:lineRule="exact"/>
        <w:rPr>
          <w:rFonts w:hint="eastAsia" w:ascii="方正仿宋_GBK" w:hAnsi="方正仿宋_GBK" w:eastAsia="方正仿宋_GBK" w:cs="方正仿宋_GBK"/>
          <w:b w:val="0"/>
          <w:bCs w:val="0"/>
        </w:rPr>
      </w:pPr>
      <w:r/>
      <w:bookmarkStart w:id="97" w:name="_Toc20823297"/>
      <w:r/>
      <w:bookmarkStart w:id="98" w:name="_Toc16938541"/>
      <w:r/>
      <w:bookmarkStart w:id="99" w:name="_Toc513029225"/>
      <w:r/>
      <w:bookmarkStart w:id="100" w:name="_Toc462564084"/>
      <w:r>
        <w:rPr>
          <w:rFonts w:hint="eastAsia" w:ascii="方正仿宋_GBK" w:hAnsi="方正仿宋_GBK" w:eastAsia="方正仿宋_GBK" w:cs="方正仿宋_GBK"/>
          <w:b w:val="0"/>
          <w:bCs w:val="0"/>
        </w:rPr>
        <w:t xml:space="preserve">16.投标文件</w:t>
      </w:r>
      <w:bookmarkEnd w:id="97"/>
      <w:r/>
      <w:bookmarkEnd w:id="98"/>
      <w:r/>
      <w:bookmarkEnd w:id="99"/>
      <w:r/>
      <w:bookmarkEnd w:id="100"/>
      <w:r>
        <w:rPr>
          <w:rFonts w:hint="eastAsia" w:ascii="方正仿宋_GBK" w:hAnsi="方正仿宋_GBK" w:eastAsia="方正仿宋_GBK" w:cs="方正仿宋_GBK"/>
          <w:b w:val="0"/>
          <w:bCs w:val="0"/>
        </w:rPr>
        <w:t xml:space="preserve">的递交</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10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1" w:name="_Toc20823298"/>
      <w:r/>
      <w:bookmarkStart w:id="102" w:name="_Toc16938542"/>
      <w:r/>
      <w:bookmarkStart w:id="103" w:name="_Toc513029226"/>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1"/>
      <w:r/>
      <w:bookmarkEnd w:id="102"/>
      <w:r/>
      <w:bookmarkEnd w:id="103"/>
      <w:r>
        <w:rPr>
          <w:rFonts w:hint="eastAsia" w:ascii="方正仿宋_GBK" w:hAnsi="方正仿宋_GBK" w:eastAsia="方正仿宋_GBK" w:cs="方正仿宋_GBK"/>
          <w:bCs/>
          <w:sz w:val="28"/>
          <w:szCs w:val="28"/>
        </w:rPr>
        <w:t xml:space="preserve">时间</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922"/>
        <w:ind w:firstLine="560"/>
        <w:spacing w:before="0" w:after="0" w:line="400" w:lineRule="exact"/>
        <w:rPr>
          <w:rFonts w:hint="eastAsia" w:ascii="方正仿宋_GBK" w:hAnsi="方正仿宋_GBK" w:eastAsia="方正仿宋_GBK" w:cs="方正仿宋_GBK"/>
          <w:b w:val="0"/>
          <w:bCs w:val="0"/>
        </w:rPr>
      </w:pPr>
      <w:r/>
      <w:bookmarkStart w:id="104" w:name="_Toc16938543"/>
      <w:r/>
      <w:bookmarkStart w:id="105" w:name="_Toc513029227"/>
      <w:r/>
      <w:bookmarkStart w:id="106" w:name="_Toc20823299"/>
      <w:r>
        <w:rPr>
          <w:rFonts w:hint="eastAsia" w:ascii="方正仿宋_GBK" w:hAnsi="方正仿宋_GBK" w:eastAsia="方正仿宋_GBK" w:cs="方正仿宋_GBK"/>
          <w:b w:val="0"/>
          <w:bCs w:val="0"/>
        </w:rPr>
        <w:t xml:space="preserve">18.投标文件</w:t>
      </w:r>
      <w:bookmarkEnd w:id="104"/>
      <w:r/>
      <w:bookmarkEnd w:id="105"/>
      <w:r/>
      <w:bookmarkEnd w:id="106"/>
      <w:r>
        <w:rPr>
          <w:rFonts w:hint="eastAsia" w:ascii="方正仿宋_GBK" w:hAnsi="方正仿宋_GBK" w:eastAsia="方正仿宋_GBK" w:cs="方正仿宋_GBK"/>
          <w:b w:val="0"/>
          <w:bCs w:val="0"/>
        </w:rPr>
        <w:t xml:space="preserve">的拒收</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922"/>
        <w:ind w:firstLine="560"/>
        <w:spacing w:before="0" w:after="0" w:line="400" w:lineRule="exact"/>
        <w:rPr>
          <w:rFonts w:hint="eastAsia" w:ascii="方正仿宋_GBK" w:hAnsi="方正仿宋_GBK" w:eastAsia="方正仿宋_GBK" w:cs="方正仿宋_GBK"/>
          <w:b w:val="0"/>
          <w:bCs w:val="0"/>
        </w:rPr>
      </w:pPr>
      <w:r/>
      <w:bookmarkStart w:id="107" w:name="_Toc513029228"/>
      <w:r/>
      <w:bookmarkStart w:id="108" w:name="_Toc16938544"/>
      <w:r/>
      <w:bookmarkStart w:id="109" w:name="_Toc20823300"/>
      <w:r>
        <w:rPr>
          <w:rFonts w:hint="eastAsia" w:ascii="方正仿宋_GBK" w:hAnsi="方正仿宋_GBK" w:eastAsia="方正仿宋_GBK" w:cs="方正仿宋_GBK"/>
          <w:b w:val="0"/>
          <w:bCs w:val="0"/>
        </w:rPr>
        <w:t xml:space="preserve">19.投标文件的撤回和修改</w:t>
      </w:r>
      <w:bookmarkEnd w:id="107"/>
      <w:r/>
      <w:bookmarkEnd w:id="108"/>
      <w:r/>
      <w:bookmarkEnd w:id="109"/>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jc w:val="left"/>
        <w:keepNext/>
        <w:spacing w:line="400" w:lineRule="exact"/>
        <w:rPr>
          <w:rFonts w:hint="eastAsia" w:ascii="方正黑体_GBK" w:hAnsi="方正黑体_GBK" w:eastAsia="方正黑体_GBK" w:cs="方正黑体_GBK"/>
          <w:color w:val="000000"/>
          <w:sz w:val="28"/>
          <w:szCs w:val="28"/>
        </w:rPr>
        <w:outlineLvl w:val="0"/>
      </w:pPr>
      <w:r/>
      <w:bookmarkStart w:id="110" w:name="_Toc513029229"/>
      <w:r/>
      <w:bookmarkStart w:id="111" w:name="_Toc16938545"/>
      <w:r/>
      <w:bookmarkStart w:id="112" w:name="_Toc20823301"/>
      <w:r/>
      <w:bookmarkStart w:id="113" w:name="_Toc120614218"/>
      <w:r>
        <w:rPr>
          <w:rFonts w:hint="eastAsia" w:ascii="方正黑体_GBK" w:hAnsi="方正黑体_GBK" w:eastAsia="方正黑体_GBK" w:cs="方正黑体_GBK"/>
          <w:color w:val="000000"/>
          <w:sz w:val="28"/>
          <w:szCs w:val="28"/>
        </w:rPr>
        <w:t xml:space="preserve">五、开标与评标</w:t>
      </w:r>
      <w:bookmarkEnd w:id="110"/>
      <w:r/>
      <w:bookmarkEnd w:id="111"/>
      <w:r/>
      <w:bookmarkEnd w:id="112"/>
      <w:r/>
      <w:bookmarkEnd w:id="113"/>
      <w:r/>
      <w:r/>
    </w:p>
    <w:p>
      <w:pPr>
        <w:ind w:firstLine="560"/>
        <w:spacing w:line="400" w:lineRule="exact"/>
        <w:rPr>
          <w:rFonts w:hint="eastAsia" w:ascii="方正仿宋_GBK" w:hAnsi="方正仿宋_GBK" w:eastAsia="方正仿宋_GBK" w:cs="方正仿宋_GBK"/>
          <w:sz w:val="28"/>
          <w:szCs w:val="28"/>
        </w:rPr>
      </w:pPr>
      <w:r/>
      <w:bookmarkStart w:id="114" w:name="_Toc20823302"/>
      <w:r/>
      <w:bookmarkStart w:id="115" w:name="_Toc513029230"/>
      <w:r/>
      <w:bookmarkStart w:id="116" w:name="_Toc16938546"/>
      <w:r>
        <w:rPr>
          <w:rFonts w:hint="eastAsia" w:ascii="方正仿宋_GBK" w:hAnsi="方正仿宋_GBK" w:eastAsia="方正仿宋_GBK" w:cs="方正仿宋_GBK"/>
          <w:sz w:val="28"/>
          <w:szCs w:val="28"/>
        </w:rPr>
        <w:t xml:space="preserve">20.开标</w:t>
      </w:r>
      <w:bookmarkEnd w:id="114"/>
      <w:r/>
      <w:bookmarkEnd w:id="115"/>
      <w:r/>
      <w:bookmarkEnd w:id="116"/>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ind w:firstLine="560"/>
        <w:spacing w:line="400" w:lineRule="exact"/>
        <w:rPr>
          <w:rFonts w:hint="eastAsia" w:ascii="方正仿宋_GBK" w:hAnsi="方正仿宋_GBK" w:eastAsia="方正仿宋_GBK" w:cs="方正仿宋_GBK"/>
          <w:sz w:val="28"/>
          <w:szCs w:val="28"/>
        </w:rPr>
      </w:pPr>
      <w:r/>
      <w:bookmarkStart w:id="117" w:name="_Toc513029231"/>
      <w:r/>
      <w:bookmarkStart w:id="118" w:name="_Toc16938547"/>
      <w:r/>
      <w:bookmarkStart w:id="119" w:name="_Toc20823303"/>
      <w:r>
        <w:rPr>
          <w:rFonts w:hint="eastAsia" w:ascii="方正仿宋_GBK" w:hAnsi="方正仿宋_GBK" w:eastAsia="方正仿宋_GBK" w:cs="方正仿宋_GBK"/>
          <w:sz w:val="28"/>
          <w:szCs w:val="28"/>
        </w:rPr>
        <w:t xml:space="preserve">21.评标委员会</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bookmarkEnd w:id="117"/>
      <w:r/>
      <w:bookmarkEnd w:id="118"/>
      <w:r/>
      <w:bookmarkEnd w:id="119"/>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ind w:firstLine="560"/>
        <w:spacing w:line="400" w:lineRule="exact"/>
        <w:rPr>
          <w:rFonts w:hint="eastAsia" w:ascii="方正仿宋_GBK" w:hAnsi="方正仿宋_GBK" w:eastAsia="方正仿宋_GBK" w:cs="方正仿宋_GBK"/>
          <w:sz w:val="28"/>
          <w:szCs w:val="28"/>
        </w:rPr>
      </w:pPr>
      <w:r/>
      <w:bookmarkStart w:id="120" w:name="_Toc20823304"/>
      <w:r/>
      <w:bookmarkStart w:id="121" w:name="_Toc513029232"/>
      <w:r/>
      <w:bookmarkStart w:id="122" w:name="_Toc16938548"/>
      <w:r>
        <w:rPr>
          <w:rFonts w:hint="eastAsia" w:ascii="方正仿宋_GBK" w:hAnsi="方正仿宋_GBK" w:eastAsia="方正仿宋_GBK" w:cs="方正仿宋_GBK"/>
          <w:sz w:val="28"/>
          <w:szCs w:val="28"/>
        </w:rPr>
        <w:t xml:space="preserve">23.投标文件的澄清</w:t>
      </w:r>
      <w:bookmarkEnd w:id="120"/>
      <w:r/>
      <w:bookmarkEnd w:id="121"/>
      <w:r/>
      <w:bookmarkEnd w:id="122"/>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p>
    <w:p>
      <w:pPr>
        <w:ind w:firstLine="560"/>
        <w:spacing w:line="400" w:lineRule="exact"/>
        <w:rPr>
          <w:rFonts w:hint="eastAsia" w:ascii="方正仿宋_GBK" w:hAnsi="方正仿宋_GBK" w:eastAsia="方正仿宋_GBK" w:cs="方正仿宋_GBK"/>
          <w:sz w:val="28"/>
          <w:szCs w:val="28"/>
        </w:rPr>
      </w:pPr>
      <w:r/>
      <w:bookmarkStart w:id="123" w:name="_Toc16938549"/>
      <w:r/>
      <w:bookmarkStart w:id="124" w:name="_Toc20823305"/>
      <w:r/>
      <w:bookmarkStart w:id="125" w:name="_Toc513029233"/>
      <w:r>
        <w:rPr>
          <w:rFonts w:hint="eastAsia" w:ascii="方正仿宋_GBK" w:hAnsi="方正仿宋_GBK" w:eastAsia="方正仿宋_GBK" w:cs="方正仿宋_GBK"/>
          <w:sz w:val="28"/>
          <w:szCs w:val="28"/>
        </w:rPr>
        <w:t xml:space="preserve">24.对投标文件的初审</w:t>
      </w:r>
      <w:bookmarkEnd w:id="123"/>
      <w:r/>
      <w:bookmarkEnd w:id="124"/>
      <w:r/>
      <w:bookmarkEnd w:id="125"/>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rPr>
          <w:rFonts w:hint="eastAsia" w:ascii="方正仿宋_GBK" w:hAnsi="方正仿宋_GBK" w:eastAsia="方正仿宋_GBK" w:cs="方正仿宋_GBK"/>
          <w:sz w:val="28"/>
          <w:szCs w:val="28"/>
        </w:rPr>
      </w:pPr>
      <w:r/>
      <w:bookmarkStart w:id="126" w:name="_Toc16938550"/>
      <w:r/>
      <w:bookmarkStart w:id="127" w:name="_Toc513029234"/>
      <w:r/>
      <w:bookmarkStart w:id="128" w:name="_Toc20823306"/>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p>
    <w:p>
      <w:pPr>
        <w:ind w:firstLine="560"/>
        <w:spacing w:line="40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（3）投标报价低于采购项目最高限价65%的，即投标报价&lt;采购项目最高限价×65%；</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26"/>
      <w:r/>
      <w:bookmarkEnd w:id="127"/>
      <w:r/>
      <w:bookmarkEnd w:id="128"/>
      <w:r>
        <w:rPr>
          <w:rFonts w:hint="eastAsia" w:ascii="方正仿宋_GBK" w:hAnsi="方正仿宋_GBK" w:eastAsia="方正仿宋_GBK" w:cs="方正仿宋_GBK"/>
          <w:sz w:val="28"/>
          <w:szCs w:val="28"/>
        </w:rPr>
        <w:t xml:space="preserve">.无效投标条款和废标条款</w:t>
      </w:r>
      <w:r/>
    </w:p>
    <w:p>
      <w:pPr>
        <w:ind w:firstLine="560"/>
        <w:spacing w:line="400" w:lineRule="exact"/>
        <w:rPr>
          <w:rFonts w:hint="eastAsia" w:ascii="方正仿宋_GBK" w:hAnsi="方正仿宋_GBK" w:eastAsia="方正仿宋_GBK" w:cs="方正仿宋_GBK"/>
          <w:sz w:val="28"/>
          <w:szCs w:val="28"/>
        </w:rPr>
      </w:pPr>
      <w:r/>
      <w:bookmarkStart w:id="129" w:name="_Toc513029235"/>
      <w:r/>
      <w:bookmarkStart w:id="130" w:name="_Toc16938551"/>
      <w:r/>
      <w:bookmarkStart w:id="131" w:name="_Toc20823307"/>
      <w:r>
        <w:rPr>
          <w:rFonts w:hint="eastAsia" w:ascii="方正仿宋_GBK" w:hAnsi="方正仿宋_GBK" w:eastAsia="方正仿宋_GBK" w:cs="方正仿宋_GBK"/>
          <w:sz w:val="28"/>
          <w:szCs w:val="28"/>
        </w:rPr>
        <w:t xml:space="preserve">25.1无效投标条款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p>
    <w:p>
      <w:pPr>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25.1.14其他法律、法规及本招标文件规定的属无效投标的情形。</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p>
    <w:p>
      <w:pPr>
        <w:jc w:val="left"/>
        <w:keepNext/>
        <w:spacing w:line="400" w:lineRule="exact"/>
        <w:rPr>
          <w:rFonts w:hint="eastAsia" w:ascii="方正黑体_GBK" w:hAnsi="方正黑体_GBK" w:eastAsia="方正黑体_GBK" w:cs="方正黑体_GBK"/>
          <w:color w:val="000000"/>
          <w:sz w:val="28"/>
          <w:szCs w:val="28"/>
        </w:rPr>
        <w:outlineLvl w:val="0"/>
      </w:pPr>
      <w:r/>
      <w:bookmarkStart w:id="132" w:name="_Toc120614219"/>
      <w:r>
        <w:rPr>
          <w:rFonts w:hint="eastAsia" w:ascii="方正黑体_GBK" w:hAnsi="方正黑体_GBK" w:eastAsia="方正黑体_GBK" w:cs="方正黑体_GBK"/>
          <w:color w:val="000000"/>
          <w:sz w:val="28"/>
          <w:szCs w:val="28"/>
        </w:rPr>
        <w:t xml:space="preserve">六、</w:t>
      </w:r>
      <w:bookmarkEnd w:id="129"/>
      <w:r/>
      <w:bookmarkEnd w:id="130"/>
      <w:r/>
      <w:bookmarkEnd w:id="131"/>
      <w:r>
        <w:rPr>
          <w:rFonts w:hint="eastAsia" w:ascii="方正黑体_GBK" w:hAnsi="方正黑体_GBK" w:eastAsia="方正黑体_GBK" w:cs="方正黑体_GBK"/>
          <w:color w:val="000000"/>
          <w:sz w:val="28"/>
          <w:szCs w:val="28"/>
        </w:rPr>
        <w:t xml:space="preserve">定标</w:t>
      </w:r>
      <w:bookmarkEnd w:id="132"/>
      <w:r/>
      <w:r/>
    </w:p>
    <w:p>
      <w:pPr>
        <w:ind w:firstLine="560"/>
        <w:spacing w:line="400" w:lineRule="exact"/>
        <w:rPr>
          <w:rFonts w:hint="eastAsia" w:ascii="方正仿宋_GBK" w:hAnsi="方正仿宋_GBK" w:eastAsia="方正仿宋_GBK" w:cs="方正仿宋_GBK"/>
          <w:sz w:val="28"/>
          <w:szCs w:val="28"/>
        </w:rPr>
      </w:pPr>
      <w:r/>
      <w:bookmarkStart w:id="133" w:name="_Toc513029238"/>
      <w:r/>
      <w:bookmarkStart w:id="134" w:name="_Toc16938554"/>
      <w:r/>
      <w:bookmarkStart w:id="135" w:name="_Toc20823310"/>
      <w:r>
        <w:rPr>
          <w:rFonts w:hint="eastAsia" w:ascii="方正仿宋_GBK" w:hAnsi="方正仿宋_GBK" w:eastAsia="方正仿宋_GBK" w:cs="方正仿宋_GBK"/>
          <w:sz w:val="28"/>
          <w:szCs w:val="28"/>
        </w:rPr>
        <w:t xml:space="preserve">26</w:t>
      </w:r>
      <w:bookmarkEnd w:id="133"/>
      <w:r>
        <w:rPr>
          <w:rFonts w:hint="eastAsia" w:ascii="方正仿宋_GBK" w:hAnsi="方正仿宋_GBK" w:eastAsia="方正仿宋_GBK" w:cs="方正仿宋_GBK"/>
          <w:sz w:val="28"/>
          <w:szCs w:val="28"/>
        </w:rPr>
        <w:t xml:space="preserve">.确定</w:t>
      </w:r>
      <w:bookmarkEnd w:id="134"/>
      <w:r/>
      <w:bookmarkEnd w:id="135"/>
      <w:r>
        <w:rPr>
          <w:rFonts w:hint="eastAsia" w:ascii="方正仿宋_GBK" w:hAnsi="方正仿宋_GBK" w:eastAsia="方正仿宋_GBK" w:cs="方正仿宋_GBK"/>
          <w:sz w:val="28"/>
          <w:szCs w:val="28"/>
        </w:rPr>
        <w:t xml:space="preserve">中标单位</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p>
    <w:p>
      <w:pPr>
        <w:ind w:firstLine="560"/>
        <w:spacing w:line="400" w:lineRule="exact"/>
        <w:rPr>
          <w:rFonts w:hint="eastAsia" w:ascii="方正仿宋_GBK" w:hAnsi="方正仿宋_GBK" w:eastAsia="方正仿宋_GBK" w:cs="方正仿宋_GBK"/>
          <w:sz w:val="28"/>
          <w:szCs w:val="28"/>
        </w:rPr>
      </w:pPr>
      <w:r/>
      <w:bookmarkStart w:id="136" w:name="_Toc200451960"/>
      <w:r>
        <w:rPr>
          <w:rFonts w:hint="eastAsia" w:ascii="方正仿宋_GBK" w:hAnsi="方正仿宋_GBK" w:eastAsia="方正仿宋_GBK" w:cs="方正仿宋_GBK"/>
          <w:sz w:val="28"/>
          <w:szCs w:val="28"/>
        </w:rPr>
        <w:t xml:space="preserve">26.5有下列情形之一的，视为投标人串通投标，投标无效：</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36"/>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jc w:val="left"/>
        <w:keepNext/>
        <w:spacing w:line="400" w:lineRule="exact"/>
        <w:rPr>
          <w:rFonts w:hint="eastAsia" w:ascii="方正黑体_GBK" w:hAnsi="方正黑体_GBK" w:eastAsia="方正黑体_GBK" w:cs="方正黑体_GBK"/>
          <w:color w:val="000000"/>
          <w:sz w:val="28"/>
          <w:szCs w:val="28"/>
        </w:rPr>
        <w:outlineLvl w:val="0"/>
      </w:pPr>
      <w:r/>
      <w:bookmarkStart w:id="137" w:name="_Toc120614220"/>
      <w:r/>
      <w:bookmarkStart w:id="138" w:name="_Toc20823308"/>
      <w:r/>
      <w:bookmarkStart w:id="139" w:name="_Toc16938552"/>
      <w:r/>
      <w:bookmarkStart w:id="140" w:name="_Toc513029236"/>
      <w:r>
        <w:rPr>
          <w:rFonts w:hint="eastAsia" w:ascii="方正黑体_GBK" w:hAnsi="方正黑体_GBK" w:eastAsia="方正黑体_GBK" w:cs="方正黑体_GBK"/>
          <w:color w:val="000000"/>
          <w:sz w:val="28"/>
          <w:szCs w:val="28"/>
        </w:rPr>
        <w:t xml:space="preserve">七、授予合同</w:t>
      </w:r>
      <w:bookmarkEnd w:id="137"/>
      <w:r/>
      <w:bookmarkEnd w:id="138"/>
      <w:r/>
      <w:bookmarkEnd w:id="139"/>
      <w:r/>
      <w:bookmarkEnd w:id="140"/>
      <w:r/>
      <w:r/>
    </w:p>
    <w:p>
      <w:pPr>
        <w:ind w:firstLine="560"/>
        <w:spacing w:line="400" w:lineRule="exact"/>
        <w:rPr>
          <w:rFonts w:hint="eastAsia" w:ascii="方正仿宋_GBK" w:hAnsi="方正仿宋_GBK" w:eastAsia="方正仿宋_GBK" w:cs="方正仿宋_GBK"/>
          <w:sz w:val="28"/>
          <w:szCs w:val="28"/>
        </w:rPr>
      </w:pPr>
      <w:r/>
      <w:bookmarkStart w:id="141" w:name="_Toc20823309"/>
      <w:r/>
      <w:bookmarkStart w:id="142" w:name="_Toc513029237"/>
      <w:r/>
      <w:bookmarkStart w:id="143" w:name="_Toc16938553"/>
      <w:r>
        <w:rPr>
          <w:rFonts w:hint="eastAsia" w:ascii="方正仿宋_GBK" w:hAnsi="方正仿宋_GBK" w:eastAsia="方正仿宋_GBK" w:cs="方正仿宋_GBK"/>
          <w:sz w:val="28"/>
          <w:szCs w:val="28"/>
        </w:rPr>
        <w:t xml:space="preserve">29.签订合同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41"/>
      <w:r/>
      <w:bookmarkEnd w:id="142"/>
      <w:r/>
      <w:bookmarkEnd w:id="143"/>
      <w:r/>
      <w:r/>
    </w:p>
    <w:p>
      <w:pPr>
        <w:ind w:firstLine="560"/>
        <w:spacing w:line="400" w:lineRule="exact"/>
        <w:rPr>
          <w:rFonts w:hint="eastAsia" w:ascii="方正仿宋_GBK" w:hAnsi="方正仿宋_GBK" w:eastAsia="方正仿宋_GBK" w:cs="方正仿宋_GBK"/>
          <w:sz w:val="28"/>
          <w:szCs w:val="28"/>
        </w:rPr>
      </w:pPr>
      <w:r/>
      <w:bookmarkStart w:id="144" w:name="_Toc120614221"/>
      <w:r/>
      <w:bookmarkStart w:id="145" w:name="_Toc16938558"/>
      <w:r/>
      <w:bookmarkStart w:id="146" w:name="_Toc513029242"/>
      <w:r/>
      <w:bookmarkStart w:id="147" w:name="_Toc20823314"/>
      <w:r/>
      <w:bookmarkStart w:id="148" w:name="_Toc479757207"/>
      <w:r>
        <w:rPr>
          <w:rFonts w:hint="eastAsia" w:ascii="方正仿宋_GBK" w:hAnsi="方正仿宋_GBK" w:eastAsia="方正仿宋_GBK" w:cs="方正仿宋_GBK"/>
          <w:sz w:val="28"/>
          <w:szCs w:val="28"/>
        </w:rPr>
        <w:t xml:space="preserve">31.政府采购履约资金扶持政策</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pStyle w:val="931"/>
        <w:spacing w:line="400" w:lineRule="exact"/>
        <w:rPr>
          <w:rFonts w:hint="eastAsia" w:ascii="宋体" w:hAnsi="宋体"/>
          <w:sz w:val="24"/>
          <w:szCs w:val="24"/>
        </w:rPr>
      </w:pPr>
      <w:r>
        <w:rPr>
          <w:rFonts w:hint="eastAsia" w:ascii="宋体" w:hAnsi="宋体"/>
          <w:bCs/>
          <w:sz w:val="24"/>
        </w:rPr>
      </w:r>
      <w:r>
        <w:rPr>
          <w:rFonts w:hint="eastAsia" w:ascii="宋体" w:hAnsi="宋体"/>
          <w:bCs/>
          <w:sz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31"/>
        <w:spacing w:line="400" w:lineRule="exact"/>
        <w:rPr>
          <w:rFonts w:hint="eastAsia" w:ascii="宋体" w:hAnsi="宋体"/>
          <w:sz w:val="24"/>
          <w:szCs w:val="24"/>
        </w:rPr>
      </w:pPr>
      <w:r>
        <w:rPr>
          <w:rFonts w:hint="eastAsia" w:ascii="宋体" w:hAnsi="宋体"/>
          <w:bCs/>
          <w:sz w:val="24"/>
        </w:rPr>
      </w:r>
      <w:r/>
    </w:p>
    <w:p>
      <w:pPr>
        <w:pStyle w:val="931"/>
        <w:spacing w:line="400" w:lineRule="exact"/>
        <w:rPr>
          <w:rFonts w:hint="eastAsia" w:ascii="宋体" w:hAnsi="宋体"/>
          <w:bCs/>
          <w:sz w:val="24"/>
        </w:rPr>
      </w:pPr>
      <w:r>
        <w:rPr>
          <w:rFonts w:hint="eastAsia" w:ascii="宋体" w:hAnsi="宋体"/>
          <w:bCs/>
          <w:sz w:val="24"/>
        </w:rPr>
      </w:r>
      <w:r/>
    </w:p>
    <w:p>
      <w:pPr>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4"/>
      <w:r/>
      <w:bookmarkEnd w:id="145"/>
      <w:r/>
      <w:bookmarkEnd w:id="146"/>
      <w:r/>
      <w:bookmarkEnd w:id="147"/>
      <w:r/>
      <w:bookmarkEnd w:id="148"/>
      <w:r>
        <w:rPr>
          <w:rFonts w:hint="eastAsia" w:ascii="方正黑体_GBK" w:hAnsi="方正黑体_GBK" w:eastAsia="方正黑体_GBK" w:cs="方正黑体_GBK"/>
          <w:color w:val="000000"/>
          <w:sz w:val="28"/>
          <w:szCs w:val="28"/>
        </w:rPr>
        <w:t xml:space="preserve">文本</w:t>
      </w:r>
      <w:r/>
    </w:p>
    <w:p>
      <w:pPr>
        <w:ind w:firstLine="560"/>
        <w:spacing w:line="400" w:lineRule="exact"/>
        <w:rPr>
          <w:rFonts w:hint="eastAsia" w:ascii="方正仿宋_GBK" w:hAnsi="方正仿宋_GBK" w:eastAsia="方正仿宋_GBK" w:cs="方正仿宋_GBK"/>
          <w:bCs/>
          <w:sz w:val="28"/>
          <w:szCs w:val="28"/>
          <w:highlight w:val="yellow"/>
        </w:rPr>
      </w:pPr>
      <w:r/>
      <w:bookmarkStart w:id="149" w:name="_Toc513029243"/>
      <w:r/>
      <w:bookmarkStart w:id="150" w:name="_Toc20823315"/>
      <w:r/>
      <w:bookmarkStart w:id="151" w:name="_Toc16938559"/>
      <w:r/>
      <w:r/>
    </w:p>
    <w:p>
      <w:pPr>
        <w:pStyle w:val="937"/>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937"/>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p>
    <w:p>
      <w:pPr>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p>
    <w:p>
      <w:pPr>
        <w:ind w:firstLine="560"/>
        <w:spacing w:before="120" w:after="120" w:line="4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942"/>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rPr>
        <w:t xml:space="preserve">XXXX</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rPr>
        <w:t xml:space="preserve">XXXX</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rPr>
        <w:t xml:space="preserve">XXXX</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rPr>
        <w:t xml:space="preserve">XXXX</w:t>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rPr>
        <w:t xml:space="preserve">XX</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rPr>
        <w:t xml:space="preserve">%。</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rPr>
        <w:t xml:space="preserve">%。</w:t>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p>
    <w:p>
      <w:pPr>
        <w:pStyle w:val="942"/>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94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942"/>
        <w:ind w:firstLine="560"/>
        <w:spacing w:before="120" w:after="120" w:line="400" w:lineRule="exact"/>
        <w:rPr>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p>
    <w:p>
      <w:pPr>
        <w:pStyle w:val="942"/>
        <w:jc w:val="center"/>
        <w:spacing w:before="120" w:after="120" w:line="400" w:lineRule="exact"/>
        <w:rPr>
          <w:sz w:val="28"/>
          <w:szCs w:val="28"/>
        </w:rPr>
      </w:pPr>
      <w:r>
        <w:rPr>
          <w:rFonts w:hint="eastAsia"/>
          <w:sz w:val="28"/>
          <w:szCs w:val="28"/>
        </w:rPr>
        <w:t xml:space="preserve">                                         </w:t>
      </w:r>
      <w:r/>
    </w:p>
    <w:p>
      <w:pPr>
        <w:pStyle w:val="942"/>
        <w:jc w:val="right"/>
        <w:spacing w:before="120" w:after="120" w:line="400" w:lineRule="exact"/>
        <w:rPr>
          <w:sz w:val="28"/>
          <w:szCs w:val="28"/>
        </w:rPr>
      </w:pPr>
      <w:r>
        <w:rPr>
          <w:rFonts w:hint="eastAsia"/>
          <w:sz w:val="28"/>
          <w:szCs w:val="28"/>
        </w:rPr>
        <w:t xml:space="preserve"> </w:t>
      </w:r>
      <w:r/>
    </w:p>
    <w:p>
      <w:pPr>
        <w:pStyle w:val="942"/>
        <w:jc w:val="center"/>
        <w:spacing w:before="120" w:after="120" w:line="400" w:lineRule="exact"/>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49"/>
      <w:r/>
      <w:bookmarkEnd w:id="150"/>
      <w:r/>
      <w:bookmarkEnd w:id="151"/>
      <w:r/>
      <w:bookmarkStart w:id="152" w:name="_Hlt16619369"/>
      <w:r/>
      <w:bookmarkEnd w:id="152"/>
      <w:r/>
      <w:bookmarkStart w:id="153" w:name="_Hlt16619350"/>
      <w:r/>
      <w:bookmarkStart w:id="154" w:name="_Toc16938590"/>
      <w:r/>
      <w:bookmarkStart w:id="155" w:name="_Toc120614244"/>
      <w:r/>
      <w:bookmarkStart w:id="156" w:name="_Toc20823346"/>
      <w:r/>
      <w:bookmarkStart w:id="157" w:name="_Toc479757211"/>
      <w:r/>
      <w:bookmarkStart w:id="158" w:name="_Toc462564139"/>
      <w:r>
        <w:rPr>
          <w:rFonts w:ascii="黑体" w:eastAsia="黑体"/>
          <w:bCs/>
          <w:sz w:val="28"/>
          <w:szCs w:val="28"/>
        </w:rPr>
        <w:br w:type="page" w:clear="all"/>
      </w:r>
      <w:r>
        <w:rPr>
          <w:rFonts w:hint="eastAsia" w:ascii="方正黑体_GBK" w:hAnsi="方正黑体_GBK" w:eastAsia="方正黑体_GBK" w:cs="方正黑体_GBK"/>
          <w:color w:val="000000"/>
          <w:sz w:val="28"/>
          <w:szCs w:val="28"/>
        </w:rPr>
        <w:t xml:space="preserve">第</w:t>
      </w:r>
      <w:bookmarkEnd w:id="153"/>
      <w:r>
        <w:rPr>
          <w:rFonts w:hint="eastAsia" w:ascii="方正黑体_GBK" w:hAnsi="方正黑体_GBK" w:eastAsia="方正黑体_GBK" w:cs="方正黑体_GBK"/>
          <w:color w:val="000000"/>
          <w:sz w:val="28"/>
          <w:szCs w:val="28"/>
        </w:rPr>
        <w:t xml:space="preserve">四章 采购需求</w:t>
      </w:r>
      <w:bookmarkEnd w:id="154"/>
      <w:r/>
      <w:bookmarkEnd w:id="155"/>
      <w:r/>
      <w:bookmarkEnd w:id="156"/>
      <w:r/>
      <w:r/>
    </w:p>
    <w:p>
      <w:pPr>
        <w:pStyle w:val="942"/>
        <w:spacing w:before="120" w:after="120" w:line="400" w:lineRule="exact"/>
        <w:rPr>
          <w:rFonts w:hint="eastAsia" w:ascii="方正黑体_GBK" w:hAnsi="方正黑体_GBK" w:eastAsia="方正黑体_GBK" w:cs="方正黑体_GBK"/>
          <w:bCs/>
          <w:sz w:val="28"/>
          <w:szCs w:val="28"/>
        </w:rPr>
      </w:pPr>
      <w:r/>
      <w:bookmarkStart w:id="159" w:name="_Toc26554093"/>
      <w:r/>
      <w:bookmarkStart w:id="160" w:name="_Toc49090575"/>
      <w:r>
        <w:rPr>
          <w:rFonts w:hint="eastAsia" w:ascii="方正黑体_GBK" w:hAnsi="方正黑体_GBK" w:eastAsia="方正黑体_GBK" w:cs="方正黑体_GBK"/>
          <w:bCs/>
          <w:sz w:val="28"/>
          <w:szCs w:val="28"/>
        </w:rPr>
        <w:t xml:space="preserve">一、采购标的清单</w:t>
      </w:r>
      <w:r/>
    </w:p>
    <w:tbl>
      <w:tblPr>
        <w:tblStyle w:val="9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130"/>
        <w:gridCol w:w="3359"/>
        <w:gridCol w:w="2438"/>
      </w:tblGrid>
      <w:tr>
        <w:trPr>
          <w:cantSplit/>
          <w:jc w:val="center"/>
          <w:trHeight w:val="701"/>
        </w:trPr>
        <w:tc>
          <w:tcPr>
            <w:tcW w:w="79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113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35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4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79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仿宋" w:hAnsi="仿宋" w:eastAsia="仿宋" w:cs="仿宋"/>
                <w:sz w:val="28"/>
                <w:szCs w:val="28"/>
              </w:rPr>
              <w:t xml:space="preserve">1</w:t>
            </w:r>
            <w:r/>
          </w:p>
        </w:tc>
        <w:tc>
          <w:tcPr>
            <w:tcW w:w="113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仿宋" w:hAnsi="仿宋" w:eastAsia="仿宋" w:cs="仿宋"/>
                <w:sz w:val="28"/>
                <w:szCs w:val="28"/>
              </w:rPr>
              <w:t xml:space="preserve">1</w:t>
            </w:r>
            <w:r/>
          </w:p>
        </w:tc>
        <w:tc>
          <w:tcPr>
            <w:tcW w:w="3359" w:type="dxa"/>
            <w:textDirection w:val="lrTb"/>
            <w:noWrap w:val="false"/>
          </w:tcPr>
          <w:p>
            <w:pPr>
              <w:jc w:val="center"/>
              <w:spacing w:line="400" w:lineRule="exact"/>
              <w:tabs>
                <w:tab w:val="left" w:pos="2020" w:leader="none"/>
              </w:tabs>
              <w:rPr>
                <w:rFonts w:hint="eastAsia" w:ascii="方正仿宋_GBK" w:hAnsi="方正仿宋_GBK" w:eastAsia="方正仿宋_GBK" w:cs="方正仿宋_GBK"/>
                <w:sz w:val="28"/>
                <w:szCs w:val="28"/>
              </w:rPr>
            </w:pPr>
            <w:r>
              <w:rPr>
                <w:rFonts w:hint="eastAsia" w:ascii="仿宋" w:hAnsi="仿宋" w:eastAsia="仿宋" w:cs="仿宋"/>
                <w:sz w:val="28"/>
                <w:szCs w:val="28"/>
              </w:rPr>
              <w:t xml:space="preserve">AI赋能教务系统</w:t>
            </w:r>
            <w:r/>
          </w:p>
        </w:tc>
        <w:tc>
          <w:tcPr>
            <w:tcW w:w="2438" w:type="dxa"/>
            <w:textDirection w:val="lrTb"/>
            <w:noWrap w:val="false"/>
          </w:tcPr>
          <w:p>
            <w:pPr>
              <w:jc w:val="center"/>
              <w:spacing w:line="400" w:lineRule="exact"/>
              <w:tabs>
                <w:tab w:val="left" w:pos="2020" w:leader="none"/>
              </w:tabs>
              <w:rPr>
                <w:rFonts w:eastAsia="方正仿宋_GBK"/>
                <w:color w:val="000000"/>
                <w:sz w:val="28"/>
                <w:szCs w:val="28"/>
              </w:rPr>
            </w:pPr>
            <w:r>
              <w:rPr>
                <w:rFonts w:ascii="仿宋" w:hAnsi="仿宋" w:eastAsia="仿宋" w:cs="仿宋"/>
                <w:sz w:val="28"/>
                <w:szCs w:val="28"/>
              </w:rPr>
              <w:t xml:space="preserve">软件和信息技术服务业</w:t>
            </w:r>
            <w:r/>
          </w:p>
        </w:tc>
      </w:tr>
    </w:tbl>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二、政府采购中实施本国产品标准及相关政策</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注：本项目为服务项目，不涉及本国产品。</w:t>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三、技术要求</w:t>
      </w:r>
      <w:r/>
    </w:p>
    <w:p>
      <w:pPr>
        <w:ind w:firstLine="560"/>
        <w:spacing w:line="400" w:lineRule="exact"/>
        <w:rPr>
          <w:rFonts w:hint="eastAsia" w:ascii="仿宋" w:hAnsi="仿宋" w:eastAsia="仿宋" w:cs="仿宋"/>
          <w:sz w:val="28"/>
          <w:szCs w:val="28"/>
        </w:rPr>
      </w:pPr>
      <w:r/>
      <w:bookmarkStart w:id="161" w:name="_Toc120614281"/>
      <w:r>
        <w:rPr>
          <w:rFonts w:hint="eastAsia" w:ascii="仿宋" w:hAnsi="仿宋" w:eastAsia="仿宋" w:cs="仿宋"/>
          <w:sz w:val="28"/>
          <w:szCs w:val="28"/>
        </w:rPr>
        <w:t xml:space="preserve">1总体技术要求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系统的建设应采用先进的设计思想和主流的技术路线，必须符合业界当前的发展趋势，遵循行业的相关技术标准。系统技术架构需要达到以下要求：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1)采用Java编程语言开发，基于B/S结构，无需安装客户端软件。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2)必须支持横向扩展和负载均衡，满足高并发场景下的可用性需求。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3)支持数据权限范围设置。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4)支持管理员模拟教师、学生登录。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5)支持微服务化架构演进路径，实现功能模块解耦，实现前后端分离，用户界面变更不影响服务提供的稳定性。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6)提供容器化与自动化部署能力（如 Kubernetes 支持）。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7)支持物理机、虚拟机、私有云、公有云的部署模式。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8)需支持多终端统一适配（PC端、移动端等），系统要具备良好的浏览器兼容性，管理人员、教师、学生都能在主流版本浏览器下（包括： Edge浏览器、谷歌浏览器、火狐浏览器等）进行所有的功能操作。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9)支持多级分布式缓存机制，提升系统性能与解耦能力。</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10)支持工作流引擎机制，提供流程自定义功能。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11)信息标准要求：系统的开发必须严格遵循教育部的教育信息化行业标准。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12)系统集成要求：</w:t>
      </w:r>
      <w:r>
        <w:rPr>
          <w:rFonts w:ascii="仿宋" w:hAnsi="仿宋" w:eastAsia="仿宋" w:cs="仿宋"/>
          <w:sz w:val="28"/>
          <w:szCs w:val="28"/>
        </w:rPr>
        <w:t xml:space="preserve">系统须按学校要求免费开放标准化接口，提供完整、准确的接口文档与技术说明，支持与学校智慧校园基础平台及各应用系统集成。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13)新老系统数据迁移要求：需完成老系统历史数据迁移到新系统，实现新老系统的平稳切换过渡。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2系统需求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2.1系统管理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系统管理需提供支撑系统运行的各项基础服务能力，涉及到流程管理、用户管理、权限管理、系统日志、通知公告，具体要求如下：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（1）可维护系统用户信息，分配用户操作权限，支持按照角色对权限进行分配，能按照校区、院系、年级、专业设置用户的数据权限范围。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（2）系统要能支持多级授权设置，能设置授权的起始时间和失效时间，管理人员权限支持精确到按钮级别的多级授权。</w:t>
      </w:r>
      <w:r/>
    </w:p>
    <w:p>
      <w:pPr>
        <w:ind w:firstLine="420"/>
        <w:spacing w:line="400" w:lineRule="exact"/>
        <w:rPr>
          <w:rFonts w:hint="eastAsia" w:ascii="仿宋" w:hAnsi="仿宋" w:eastAsia="仿宋" w:cs="仿宋"/>
          <w:sz w:val="28"/>
          <w:szCs w:val="28"/>
        </w:rPr>
      </w:pPr>
      <w:r/>
      <w:bookmarkStart w:id="162" w:name="OLE_LINK9"/>
      <w:r>
        <w:rPr>
          <w:rFonts w:hint="eastAsia" w:ascii="宋体" w:hAnsi="宋体"/>
        </w:rPr>
        <w:t xml:space="preserve">▲</w:t>
      </w:r>
      <w:bookmarkEnd w:id="162"/>
      <w:r>
        <w:rPr>
          <w:rFonts w:hint="eastAsia" w:ascii="仿宋" w:hAnsi="仿宋" w:eastAsia="仿宋" w:cs="仿宋"/>
          <w:sz w:val="28"/>
          <w:szCs w:val="28"/>
        </w:rPr>
        <w:t xml:space="preserve">（3）根据我院二级权限管理需要，需支持按不同维度进行权限查询，例如根据单个用户，查询其所在的角色和其拥有的权限；也需支持按照某一角色（如“教学秘书”角色），查询该角色下的用户信息及该角色具有的权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（4）需提供详细的用户操作日志查询功能。详细的操作日志类型包括但不限于未登录且尝试访问资源、重复登录并尝试访问、已登录未授权访问、模块菜单流转操作等不同类型日志查询。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（5）系统需要能支持工作流引擎，实现我院各类审批业务流程的动态配置，如：调停课流</w:t>
      </w:r>
      <w:r>
        <w:rPr>
          <w:rFonts w:hint="eastAsia" w:ascii="仿宋" w:hAnsi="仿宋" w:eastAsia="仿宋" w:cs="仿宋"/>
          <w:sz w:val="28"/>
          <w:szCs w:val="28"/>
        </w:rPr>
        <w:t xml:space="preserve">程、成绩录入流程、教室借用流程、缓考申请流程、培养方案审核流程。提供伴随工作流程的消息提示功能。可设置工作流程的步骤、执行时间、各步骤审批角色，流程执行过程中的审批人可以精确指定为角色下的某个用户。提供流程查询、流程清理、流程审核人院系条件设置。针对不同的活动类型可以设置不同的审核人权限范围，例如教师调停课申请，需要由开课院系进行审核，成绩认定需要由上课院系审核，且送审人院系必须在审核人的院系权限范围内。需支持在业务流程中，对于某些用户需要进行流程清理打回的，可以只清理对应用户流程而不影响其他用户流程运行。</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需提供文件上传路径设置功能，能自定义设置学生照片、教师照片、各类审核流程上传附件、毕业设计报告的文件在服务器的保存路径。需提供系统文档管理功能，学校的规则制度、操作手册等文档栏目灵活归类，需提供不同的文档栏目可开放给不同用户、群组或角色。</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（7）需提供高度自定义的菜单管理功能，灵活设置登录页面logo、个人中心logo、登录页面背景图等。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8）支持通知公告发布：需要通过系统自定义通知公告的类别（如学籍管理类通知、选课类通知、活动类通知），可建立多个发送通知公告的群组，可指定每个通知公告的接收对象，可按用户、按角色、按群组来设置接收对象；可将重要通知公告设置为必看，登录后重要通知公告自动弹出，用户阅读确认后，方可进行其它操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（9）提供系统功能操作及维护相关问题的在线反馈与答复的功能。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10）菜单点击量统计：根据学校管理需要全面追踪并精确统计各菜单项的访问频次，采用图形化展示手段直观呈现多级菜单的点击热度，使管理员能够快速洞察用户偏好的工作任务或功能模块，有助于识别系统内的“热门”操作，进而为优化界面布局、提升工作效率提供数据支撑，确保资源合理配置，持续提升师生用户体验和系统效能。开排课专题分析：对开排课数据进行图形化展示分析，直观显示各二级教学单位的教学安排数、已经排课数据、排课完成百分比。</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（11）需提供学生登录后主页面的跳转引导设置功能，评教阶段可引导学生直接进入评教界面，选课阶段引导学生直接进入选课界面。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12）教务管理系统中需支持自定义页面显示字段，也可支持用户根据自身使用习惯，批量设置所有页面的固定列及分页行数。在水平滚动浏览表格数据时，固定列信息能够始终保持可视，用户无需担心丢失焦点数据，进而提升了用户查阅的效率和体验。</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13）系统需支持用户本次登录后所使用过的模块全部通过系统内部标签页（非浏览器的标签页）的方式进行展示并快速切换，要能支持右键选择关闭所有标签页、关闭右侧标签页、关闭其他标签页；允许管理员根据实际需求灵活配置是否支持同时开启多个相同的菜单页面，当需要对比不同条件下的数据或并行处理多项任务时，用户能够便捷地通过多窗口直观对比，提高工作效率。</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（14）支持设置学生、教师、管理人员主页面菜单的功能。支持H5移动端配套菜单功能是否需要启用灵活管理功能。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（15）系统需要内置相关业务的免责声明发布功能，学生在进行如异动申请、等级考试报名、优秀学生转专业等关键操作前，自动推送精准提示与告知，确保指引清晰、风险前置。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16）基础数据批量导入：教务管理系统数据量庞大，系统所需基础数据需要支持批量导入，提供导入的聚合页面。为确保数据准确性，自动识别并汇总导入失败的记录。一旦发生导入异常，系统立即响应，提供详细的异常报告，包括具体错误所在的行数及失败原因，允许用户直接下载异常报告文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17）选课资源监控：需支持选课资源实时监控，全方位、动态地跟踪选课活动的各项关键指标，包括在线人数、选课人数、推选人数、选课门数、退课门数等。通过资源实时监控预警机制，能够即时评估选课负载，有效预防因高并发选课操作导致的系统过载或崩溃风险。根据监控信息能辅助管理员识别选课高峰期，合理调配系统资源，优化选课流程，确保每位学生的选课体验流畅无阻。</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18）系统需要提供灵活的密码找回功能，以确保用户在忘记密码时能够快速、安全地恢复账户访问权限。管理员可以自主选择是否开启密码找回功能。一旦开启，系统支持多种密码找回方式，以满足不同用户场景和需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需支持回答问题方式找回：用户在注册或设置时预先设置一组安全问题及其答案。在忘记密码时，通过正确回答这些安全问题，即可验证身份并重置密码。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需支持邮箱方式找回：用户注册时绑定的邮箱将作为找回密码的重要验证渠道。忘记密码时，系统会向绑定邮箱发送包含密码重置链接的邮件。用户点击链接后，按照提示完成密码重置操作。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需支持组合方式找回：为了进一步增强账户安全性，系统还支持组合式密码找回方式。用户可以选择“身份证信息 + 安全问题”等多种组合方式。例如，用户需要先通过身份认证，再回答安全问题找回密码。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19）为保障用户密码安全性，系统管理人员可以在管理端设置“强制修改密码的限制天数”。一旦设定，系统将自动提醒用户在指定天数内修改密码，确保密码的时效性和安全性，降低因密码长期未更新而导致的安全风险。</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20）为了更好地支持系统管理和问题排查，系统需提供免密模拟登录功能，允许管理员快速切换至教师或学生用户界面。通过此功能，管理员可以模拟教师或学生的操作流程，检验反馈的数据或功能问题，从而更精准地定位和解决实际使用中的问题。模拟登录后，管理员可以同时操作原管理员用户界面和模拟登录的教师/学生界面，便于管理员在模拟用户操作的同时，实时查看后台数据和系统日志，快速定位问题根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w:t>
      </w:r>
      <w:r>
        <w:rPr>
          <w:rFonts w:ascii="仿宋" w:hAnsi="仿宋" w:eastAsia="仿宋" w:cs="仿宋"/>
          <w:sz w:val="28"/>
          <w:szCs w:val="28"/>
        </w:rPr>
        <w:t xml:space="preserve">需提供选课可疑账号查询功能（如频繁选退课学生账号），可查询</w:t>
      </w:r>
      <w:r>
        <w:rPr>
          <w:rFonts w:hint="eastAsia" w:ascii="仿宋" w:hAnsi="仿宋" w:eastAsia="仿宋" w:cs="仿宋"/>
          <w:sz w:val="28"/>
          <w:szCs w:val="28"/>
        </w:rPr>
        <w:t xml:space="preserve">可疑</w:t>
      </w:r>
      <w:r>
        <w:rPr>
          <w:rFonts w:ascii="仿宋" w:hAnsi="仿宋" w:eastAsia="仿宋" w:cs="仿宋"/>
          <w:sz w:val="28"/>
          <w:szCs w:val="28"/>
        </w:rPr>
        <w:t xml:space="preserve">账号按排名设置筛选</w:t>
      </w:r>
      <w:r>
        <w:rPr>
          <w:rFonts w:hint="eastAsia" w:ascii="仿宋" w:hAnsi="仿宋" w:eastAsia="仿宋" w:cs="仿宋"/>
          <w:sz w:val="28"/>
          <w:szCs w:val="28"/>
        </w:rPr>
        <w:t xml:space="preserve">。</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（22）支持人才培养修读过程学时分类灵活设置管理，系统需提供自定义维护学时分类，可设置归属学时类型，支持学时学分小数位统一批量控制。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（23）支持对核心模块数据按照 “开课单位” 与 “上课单位” 进行多方式查询，具体包括下拉选择、编号精准查询、单位名称模糊搜索等。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2.2基础资源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2.2.1公共基础资源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（1）组织机构信息：通过系统录入学校信息、校区信息、单位信息；单位信息包括行政处室及下属科室信息、院系及下属教研室信息；支持按照树状结构显示学校组织机构信息。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教学场所信息维护：包括教学功能区信息、教学楼信息、教室信息。支持按照树状结构显示教学楼与教室之间的归属关系；考虑就近排课的需要，能设置教学楼之间的距离量化权重指标；支持对体育馆、田径场进行重复利用排课参数的设置；可自定义设置教室类型，如：多媒体教室、制图室、语音室、画室、琴室；可设置教室排课优先级、座位数、有效座位数、考试座位数、是否有空调的信息；提供批量修改教室各项信息的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专业和年度专业信息：建立学校的专业信息总库，可设置各院系下专业大类、专业、专业方向的信息，体现专业大类与专业、专业与专业方向的归属关系。支持按照年度设置本年度实际开设的专业信息，与后续的年度培养方案关联。</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针对学院灵活开设专业的需求，系统提供专业申请控制、专业申请、审核功能；可控制专业申请的申请开始时间、申请结束时间，并支持上传专业申请范例模板、专业申请材料，统一专业申请的标准与规范。系统支持自定义专业申请审核流程，在控制的时间范围内，支持老师在教师端发起申请，上传专业申请材料，并经各级管理人员审核后方可生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（5）学年学期信息：能设置各学年学期的开始年度、结束年度、学期名称、起始上课周、终止上课周；支持二学期制、三学期制。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班级信息：维护各专业下的行政班级信息，可设置班级的编号、名称、所属专业、固定教室、班主任、辅导员、班级人数的信息，可查看、导出班级花名册。对于在校期间换校区的班级，可以在某一段时间范围内同时保留其原始所属校区、新校区，并在特定时间将所属校区按照新校区同步刷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班级信息需支持批量导入，并依据预设模板格式进行匹配。为确保数据准确性，自动识别并汇总导入失败的记录。一旦发生导入异常，系统立即响应，不仅提供详细的异常报告，包括具体错误所在的行数及失败原因，还允许用户直接下载异常报告文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（8）教学周历信息：需支持各学期教学周历的生成、发布、延长周历、撤销、查询与导出。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9）教学进度安排：允许管理员精准设定各类教学活动的时间节点，涵盖补考报名、成绩录入、学生评价教师、学生注册等重要环节，管理员用户界面能以日历视图，清晰标注出当前学期每一项关键任务的具体日期，形成一目了然的教学日程概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10）标签管理：要求提供学生标签、教室标签、专业标签、课堂标签、课程标签的自定义功能，能将非规则的管理业务通过标签实现规则化管理，支持用户自定义增加、修改标签；可查看具备某个标签属性的学生人数及详细学生名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▲（11）课表节次时间设置：可根据学校课表节次的划分情况，支持按开课学期设置每节课程的开始时间与结束时间，并支持针对春季、秋季设置不同开课季节的作息时间，按校区分别设置课表节次时间。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2.2.2课程资源管理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课程资源总库能对学校所有的课程进行维护，课程信息主要包括课程编号、课程名称、课程英文名称、学分、学时类型、学时数量、周学时、开课单位、课程类别、课程性质、课程属性、考核方式、课程版本、课程启用状态、先修课程、课程简介、课程标签。能提供录入、修改、删除和查询课程信息的功能，支持按照模板批量导入课程信息，支持批量修改课程信息字段，支持导出打印课程信息列表。支持同一门课程关联多个开课单位。</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（2）对于新增课程可实现在线进行申请、审核审批、入库的流程化管理，支持审核流程的自定义，辅助学校构建权威、规范的课程总库。</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需提供课程编号的编码规则自定义配置功能：可以从开课院系、课程性质、课程属性、课程大类、课程类别、考核方式中自定义选择字段，可设置字段取值位数、字段排序；可自定义流水号的位数；设置完规则之后，课程编号按规范自动生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（4）要求系统中的课程学时类型能实现自定义配置，灵活适应课程改革的要求，并与课程库、培养方案、排课模块自动关联并实时同步。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（5）需支持查询某门课程在各年级专业的培养方案中使用的情况。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（6）可设置或批量设置更改课程状态，支持一键设置是否显示禁用课程。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需提供课程其他相关信息的采集录入，包括课程基本信息之外，但不限于课程负责人及团队人员信息、教材与教学资源信息、课程考核信息、教学内容与学时分配（含学时校验）、延续教学安排信息、课程申请材料信息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2.2.3教师资源管理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教职工信息：可录入教职工基本信息、学历学位、个人简历、奖励情况、惩处情况、家庭成员、语言能力、政治面貌、任课情况、教师简介，提供新增、删除、修改、导出打印教职工信息的功能；任课情况信息可自动关联各学期教学安排中该教师的任课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（2）新增教师申请：针对各学期学校新进的教师或外聘教师，提供教师信息新增申请与审核的流程化服务。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（3）在构建高效、统一的教务管理系统过程中，特别注重对外聘教师转正后账号管理的平滑过渡与数据连续性保障，</w:t>
      </w:r>
      <w:r>
        <w:rPr>
          <w:rFonts w:ascii="仿宋" w:hAnsi="仿宋" w:eastAsia="仿宋" w:cs="仿宋"/>
          <w:sz w:val="28"/>
          <w:szCs w:val="28"/>
        </w:rPr>
        <w:t xml:space="preserve">系统应支持外聘教师账户数据向正式职工账户的迁移与合并功能，确保历史数据完整保留且可正常访问</w:t>
      </w:r>
      <w:r>
        <w:rPr>
          <w:rFonts w:hint="eastAsia" w:ascii="仿宋" w:hAnsi="仿宋" w:eastAsia="仿宋" w:cs="仿宋"/>
          <w:sz w:val="28"/>
          <w:szCs w:val="28"/>
        </w:rPr>
        <w:t xml:space="preserve">，确保教师在身份转换后，无需维护多个账号即可便捷访问其在不同职务期间的所有历史数据。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2.2.4教室借用管理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教室借用流程自定义配置功能，教师和学生均能在线提交教室借用申请，由管理人员进行审核；提供教室借用管理控制：包括用户可以在多少天后开始申请、只能借用未来多少天内的教室、只能借截止多少周之前的教室、管理员申请时是否无需审核、借用时是否必须填写个人联系方式、可以申请教室借用的人员范围设置、师生在借用教室的流程说明须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系统需记录详细的教室借用日志。查询空闲教室信息时，提供图形化查询界面。支持统计各教室的使用率。</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2.3培养方案业务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2.3.1培养方案总体要求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（1）要求培养方案可灵活配置，支持学年制、学年学分制、完全学分制多种模式，辅助学校完成向学分制的逐步过渡。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（2）要求能适应学校教学改革的要求，培养方案既能支持按专业管理的方式，又能支持按大类管理的方式，而且两种方式可并行存在。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（3）要求能按照版本建立培养方案目录，同一个版本的培养方案可适用于不同年度的学生。</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（4）需支持全校性的通选课教学计划统一按学期制定。</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）支持制定本科层次培养方案，与专科培养方案并行管理。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）支持自定义设置培养方案的课程体系、课程组；支持二级课程体系；支持不同版本培养方案设置不同的课程体系。</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）课程体系可以智能化、自动化生成，能够根据课程的属性与性质，灵活自定义组合课程体系结构，创建个性化课程体系，并可以在课程体系创建时定义各类课程体系的学时、学分要求。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）需支持培养方案在线录入，并提供审核流程设置功能。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）为支撑成果导向教育（OBE）理念落地，系统需提供对OBE方案矩阵（包括培养目标、毕业要求、指标点及相互关系矩阵）的维护功能，并应支持矩阵的快速复制，提升相似专业的工作效率。</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2.3.2培养方案制定</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指导培养方案专注于方案的具体制定、维护与审核流程，需提供从版本控制、课程体系构建、OBE矩阵维护到多层级方案管理的全套精细化工具，确保培养方案的科学性、规范性及可执行性。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培养方案课程设置：增加每个专业培养方案的课程信息，包括理论课程、实验实践课程、集中实践环节课程。支持按照课程组进行培养方案课程的快速批量引用。培养方案课程列表中可直观的显示每门课程的课程编码、课程名称、课程体系、学时、学分、开课学期、开课单位。</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ascii="仿宋" w:hAnsi="仿宋" w:eastAsia="仿宋" w:cs="仿宋"/>
          <w:sz w:val="28"/>
          <w:szCs w:val="28"/>
        </w:rPr>
        <w:t xml:space="preserve">培养方案的课程来源于课程总库，支持批量添加课程功能，可直接从课程总库列表中进行批量添加。批量添加课程时需能便捷设定课程体系、开课学期及录入成绩学期等相关信息。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在课程库中关联了多个开课单位的课程，在培养方案制定时则可根据本专业的课程开设情况选择一个开课单位。课程添加到培养方案中后，需要维护课程的开课学期、成绩录入学期、所属课程体系的信息。针对实践类课程的学时单位，可选择以“学时”为单位，也可选择以“周”为单位。支持滚动开课模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（4）培养方案复制功能：需提供在不同年度或不同专业培养方案之间进行快速复制的功能。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（5）培养方案说明：需通过系统设置培养方案名称、学分要求，录入培养目标、培养方案详细说明，支持在线的文本编辑器，支持直接复制培养方案文档内容到编辑器中，支持上传培养方案文档附件。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专业教学进程管理：根据不同专业提供专业学期教学进程，提供不同类型特殊符号说明表示对应的教学进程环节，可根据专业教学进程生成班级教学进程，也可用于教学开课生成依据。支持不同专业教学进程的复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（7）修改培养方案：管理人员能单个或者批量修改培养方案课程信息。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8）培养方案审核流程：系统中要能自定义设置培养方案审核的流程，支持由院系教务员在系统中编制各专业的培养方案，并提交教务处进行审核审批，审核通过后培养方案才能生效并使用；并且培养方案审核通过后，要求不能进行修改操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（9）培养方案的查询和输出：提供培养方案的查询和导出打印功能。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（10）即时生成并展示专业下每位学生的综合课程学分完成状况概览表，详细列出学生在各个课程体系下的已修学分，管理人员提供一目了然的学业进度跟踪。</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11）OBE信息配置与控制：在培养方案版本内，应支持灵活控制OBE信息的配置。学校可以设定是否将毕业要求指标点关联至岗位能力，并应支持多种培养目标与毕业要求关系的维护方式（列表选择或可视化勾选）。系统应支持从毕业要求、指标点、岗位能力等多个维度维护与课程的关系矩阵，并需提供列表选择或直接输入数字等多种方式来维护指标点与课程的关系权重。</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12）为更好地全局把控培养方案的制定要求，系统需提供以下配置功能：培养方案制定的起止时间设置，以及总学时、周学时、学分、课程信息、课程性质、课程属性是否允许修改的权限控制。同时，支持学时与学分对应范围的自定义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（13）OBE矩阵专项维护：对于采用OBE模式的方案，系统需提供专门的矩阵维护界面，用于建立和维护培养目标、毕业要求、指标点、岗位能力之间的逻辑关系，并应支持通过复制现有矩阵来快速设置新的关系。</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2.3.3学期执行计划生成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（1）要求系统能自动根据培养方案生成每个年级每个专业的教学执行计划，教学安排与毕业资格审核均可按照执行计划来进行。</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（2）可灵活控制执行计划中的学分、总学时、周学时、课程信息是否可以修改；控制执行计划微调是否需要审核。可指定特定的课程属性、课程性质不允许修改。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计划微调：要求在培养方案执行过程中，提供微调的功能，以应对实际教学安排过程中的一些变动（如：增开课程、停开课程、课程变更、变更学期），微调审核的流程能自定义，微调需要审核后才能生效，系统需要保留微调情况的历史记录，并能按照学期、专业、微调类型进行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提交执行计划微调申请后，系统要自动记录有变化的数据内容，并在审核界面采用直观对比、通过不同颜色标记的方式显示，能快速的找到微调前后变化的数据，在同一个界面还可以查看审核流程步骤、审核意见、设置下一步审核人、上传审核附件，为管理人员提供人性化的线上审核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（5）班级教学进程生成：根据专业教学进程自动生成班级教学进程。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2.3.4通选教学计划</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需支持通过系统对全校性通选课教学计划进行制定，设置教师申请通选课的起止时间，教师申请时是否可以修改通选课类别、教师是否可以新增课程。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通选课在线申报与审核：需支持由教师网上提交通选课开课申请，管理部门进行在线审核，审核流程可以自定义设置。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通选课计划：对每学期的通选课开课计划进行维护，可设置通选课的计划开班数量、每课堂人数、选课面向的对象范围。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通选课计划复制：支持跨学期复制通选课的课程信息。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2.4开课计划管理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2.4.1开课任务生成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依据培养方案的数据，提供自动生成学期开课任务的功能。可设置每学期生成开课任务的时间范围，支持教务处统一生成整个学期开课任务，并传达给各二级开课单位；也支持按照院系、年级、专业、课程来生成开课任务；能按照不同开课类型（如：理论开课、实践开课、辅修开课、通选开课）生成开课任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（2）生成开课任务前，可对计划学时与实际安排学时的误差情况进行控制，设置是否允许一定数量的学时误差；针对多学时类型的课程，能分别设置各类型学时的误差值。</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（3）需提供全校性通选课开课功能：由教务处根据通选课教学计划完成每个学期的开课，并能设置每门课程的限选年级和专业；提供通选课开课计划的跨学期复制功能。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需提供依据教学进程生成学期开课任务的功能：由各院系设置每个学期的集中实践环节、实验课程、考试、军训的开设周次，制定某专业某年级的学期专业教学进程。根据学期教学进程，系统生成开课计划时可以自动把理论课在实践周、考试周断开，以避免理论课与实践环节、考试冲突。提供根据实际教学安排来反向刷新教学进程的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需支持多种课程开课模式：针对公共类课程可以按照专业生成开课，减少合班操作工作量；针对按班级开设的课程可以按照班级生成开课；允许按照每门课程生成开课任务，确保教学组织工作的精准与高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（6）生成开课时，可以批量预置课表，支持按照课程属性预置学生课表；当学生取得某门课程成绩时，不允许进行预置。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（7）需提供教学计划与开课数据的差异对比功能：开课任务安排后，可提供各课程的实际开课安排数据与教学计划数据比对核查功能，生成差异分析表，显示开课差异信息、多开课程、少开课程。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（8）需提供对开课安排后的数据与开课前计划数据的自动检查功能，支持依据检查结果自动纠正开课安排中不一致的数据，并将其同步到开课安排，以保证计划的准确性。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（9）支持学期下已排好课后，一键锁定课表，防止误操作。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2.4.2教学安排管理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基于生成的学期开课任务数据，由开课单位为承担的每门课程确定任课教师、进行合拆班操作、设置上课周次、设置周学时，完成学期教学安排表。能提供教学安排表、教学任务书、课程学生名单、登分册、课堂考勤表的导出打印功能。可以批量修改或清除已经做好的教学安排的所有信息，包括：任课教师、教学场地类型、各类学时、上课周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（2）需提供周学时平衡统计功能：可以方便的统计上课班级每周的学时分布情况，查看学时安排是否平衡，并及时做出调整。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（3）需提供教学安排指定功能：能单个或者批量指定每一条教学安排记录的排课特殊时间，如：某门课程只能安排在周一上午排课；某门课程不能安排在周一到周三的下午上课。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（4）需支持批量拆分班级：针对同一门课程可批量拆分已合并的行政班，当合班需要较大变动时，可以批量拆分合班。</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（5）需支持批量合并班级：针对同一门课程可批量合并行政班，生成多个教学课堂，完成合拆班后可以批量刷新合班名称、上课人数。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需支持精准化教学安排管理，一门课程有多种学时类型（如：理论、实验）及多个任课教师时，可以拆分进行教学安排；在系统中，针对一门课程，理论学时可以安排3个行政班合班上课，1~4周任课教师为A，5~8周任课教师为B，排课周学时可自动推荐；实验学时可分小组上课，能将3个行政班自动拆分成5个小组上课，班级学生可以混搭，既可以自动分组也可以手工分组，系统能将各小组绑定安排在同一时间点上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（7）需提供教学安排的复制功能：支持跨学期、跨课程复制教学安排，可复制教学安排中的课堂学生名单、课表信息，能一次复制多条教学安排。</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8）针对排课周学时安排环节，系统要能根据上课周次与课程总学时，提供每周排课学时的多方案自动推荐功能。如：一门32个学时的课程，在10周内完成与15周内完成的两种情况下，每周排课学时自动推荐几种方案供用户选择，不需要用户逐个周次进行录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（9）设置上课周次与节次时间：支持按照数字表达式快速设置上课周次与节次时间。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10）能快速安排任课教师：在教学任务安排过程中对教师安排时，支持管理员初始化默认的任课教师数量；支持按照教师姓名、教师工号进行快速模糊检索；支持对单任务安排多个任课教师；支持批量设置和批量清除多个课堂的任课教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11）教学安排功能聚合功能：系统要充分考虑教学安排操作的功能聚合，减少界面的切换次数，提高工作效率，针对每门课程的教学班合分班、开课周次安排、排课学时、周学时、连排节次、任课教师安排、成绩录入人设置、排课特殊时间指定、选课条件设置操作支持在同一个界面完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（12）支持教学安排信息、课程学生名单、学生课堂考勤表、登分册、教学安排总表、教学任务书、授课计划表、学生选课名单表的导出功能。教学任务书可以按教师或按班级导出打印。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2.4.3体育开课管理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针对体育课能提供体育分组、分项目、分性别开课的功能。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可自定义快速设置体育课的分组项目，如：足球、篮球、羽毛球。</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能设置联合课码，将同一门体育课程不同项目的教学班安排在同一个时间点上课，确保同一个专业或班级的学生教学安排的一致性。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2.4.4分级教学管理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大学英语等需要进行分层次/分等级教学的课程，提供分级教学的功能，能对课程分级等级、分级学生名单、分级教学班、分级教学安排进行设置。针对不同的课程可设置不同的分级方式、分级等级名称；能批量导入学生的分级情况，能批量修改学生的分级；能根据每个等级的学生人数，自动确定教学班的数量，生成教学班。提供分级教学安排的跨学期复制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能设置联合课码，将同一门课程不同分级的教学班安排在同一个时间点上课，确保同一个专业或班级的学生教学安排的一致性。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2.5学生选课服务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基于校园网/互联网为学生提供简便快捷、公平合理的选课服务，为推进学校教学改革、推进学分制提供先进可靠的技术保障。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选课服务要能满足高并发选课的要求，保障选课期间的系统运行稳定，保障选课数据准确无误。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需支持选课的参数设置，例如设置学生选课时是否允许其查看课程简介/教师简介，学生选课时是否需要进行先修课程判断。</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2.5.1选课规则定义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（1）选课要求设置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设置选课活动的各类整体控制参数，包括：是否允许学生同一地区跨校区选课/跨地区选课、是否允许学生查看课程简介/教师简介、选课时是否进行先修课程判断、选课志愿字典信息、每学期的选课学分控制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特殊不允许选课情况控制：要求在系统中可以设定没有完成上学期教学评价的学生不能选课；未注册或没有交费的学生，不允许其选课。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（2）选课轮次设置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在一个学期中，系统可设置多个轮次的选课；支持跨年级、跨专业的学分制选课，提供多种选课条件的灵活设置。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针对每一轮选课，要能设置选课的开始时间与结束时间，并可控制每天的选课开放时间范围（如：8：00~22：00），以及该轮选课是否可超出课程教学班的限选人数、是否允许学生退选课程、是否允许冲突选课。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不同轮次选课，可设置不同的抽签选课模式，要求包括：随机抽签、积分投注方式、投志愿方式；支持在一个上课节次，学生可同时选择不同志愿的多门课程，按志愿优先进行抽签；支持启用防刷课验证码；支持历史选课轮次不可退课控制、本轮选课是否支持学生可选可退、已预置课学生是否可退、是否显示教师照片。</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（3）选课范围设置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选课学生范围设置：针对每一轮次选课，可设置选课开放的学生范围，既可以按照年级、院系、专业、班级进行常规批量设置，也支持按照学生学籍标签进行特殊学生选课范围的设置（如：2023级的交流生、2024级的体育特长生）。</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选课课程范围设置：针对不同的学生范围，要求可以设置不同的选课课程范围，包括必修课选课、选修课选课、跨专业选课、专业内跨年级选课、通选课（公选课）选课、本学期计划选课、体育选课；从而可以灵活在系统实现完全学分制的小范围试点与逐步推广，如：2023级计算机学院学生进行学分制选课的试点（可跨专业、跨年级选课），其他学生仍然采用学年学分制的选课模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2.5.2选课课程信息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设置本学期需要开放选课的所有课堂信息；可实时查看每个课堂的选课学生名单；可设置课堂的限选人数、性别要求；对于选课人数不足的课堂，可以停开。支持一键关闭选课、一键开放选课、批量清除性别要求、批量设置性别限选、批量清除限选条件；管理人员可对选课名单进行维护，可直接增加、删除选课学生。</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每个课堂可设置允许选课的学生范围，及不允许选课的学生范围，既可以按照年级、院系、专业、班级进行常规批量设置，也支持按照学生学籍标签进行特殊学生范围的设置。能针对多个课堂批量设置相同的学生限选条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理论课与实验课关联选课：针对同一门课程的理论课堂与实验课堂拆分开课的情况，要求在选课时建立关联，选择了理论课堂后系统弹出提示要求学生选择关联的实验课堂。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2.5.3学生选课服务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学生用户进行网上选课、退课的操作，能实时查看个人的选课课表、选课学分情况、选课日志，能按照投积分、投志愿的模式参加选课。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选课结束后，选课结果能自动发布，学生可查看到选中课程的课表，教师可导出打印选课学生的名单。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2.5.4补改选服务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管理人员可以对单个学生的选课结果进行调整，可以由管理人员代替学生进行课程的补选、退选、改选；支持辅修/重修补选，补选的课程是否允许学生可退。</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支持按课程类型（比如体育课），学生未积极选课，要求支持一键分配，将未选课的学生随机选入容量足够的课堂中。</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2.5.5选课日志查询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选课日志查询：提供学生选课、学生退选、管理人员补改选操作的详细日志信息，包括：课程信息、学生信息、选课时间、退选时间、选课状态、操作人账号、操作IP。</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2.6学生学籍服务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学籍服务主要包括学籍信息维护（如：学生基本信息、照片、简历、家庭情况、奖励、处分）、报到注册、学籍异动、学籍预警、专业分流与方向分流、学业达成情况。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2.6.1学籍基本信息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籍基本信息要求包括：学生基本信息（学号、姓名、性别、民族、政治面貌、出生日期、籍贯、联系电话、通信地址、入学年份、所属院系、专业、班级、照片），学生个人简历，家庭成员信息，奖励处分情况，异动信息，注册信息。要求提供新增、修改、删除学籍基本信息的功能，能够按照多个组合字段对学籍信息进行综合查询，能够导出打印查询结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籍信息导入与更新：要求提供多种格式文件（如：EXCEL、DBF）的学籍信息导入功能，支持学生照片的批量导入。为确保数据准确性，自动识别并汇总导入失败的记录。一旦发生导入异常，系统立即响应，不仅提供详细的异常报告，包括具体错误所在的行数及失败原因，允许用户直接下载异常报告文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新生分班编学号：根据新生录取的专业分配到对应班级，当同一专业下有多个班级时，系统将该专业的新生根据地区、分数及性别平均分配到各班级。系统支持分批导入新生，分批进行分班；提供灵活的新生学号生成规则配置，支持前缀、中段、后缀以及流水号的自由组合，同时允许从入学年份、专业编号、培养层次编号、学制和班级编号等多个维度选择构成学号，此外，还支持自定义编号功能，满足个性化多场景需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籍信息导出：要求能提供多种格式文件（如：EXCEL、DBF、PDF）的学籍信息导出功能，能根据具体需要自定义导出表格的显示字段；支持按照多种照片命名方式（以学号命名、以身份证号命名、以考生号命名）导出系统中的学生照片。</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籍信息网上核对：学生的基本信息采集(导入、录入)到学生信息库中后，学生可以在管理人员的控制下，网上对自己的信息进行校对，可控制学生的范围（如：年级、专业）、校对的起止时间、限制学生可修改的字段。学生可提交修改申请，经管理人员审批通过后，系统会自动更新到学生信息库中去。</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学生奖惩信息：记录学生在校期间的奖励信息、处分信息，支持批量导入和导出。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学生导师维护：支持为学生分配指定校内导师，导师指定支持单个增加和模板批量导入两种方式。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学籍标签设置：支持给学生设置学籍标签，一个学生可设置多个标签，支持批量导入学生学籍标签，支持给标签学生指定个性化培养方案。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学期学籍状态：支持集中统计查询学生的在校状态、学籍状态和学生当前状态。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在读证明管理：支持对学生线上申请在读证明进行统一管理，支持控制单次所申请在读证明文件的有效期。</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籍归档数据：能够按照学年学期备份学籍数据，对学生学籍信息进行阶段性归档存储，支持按照在校状态、校区、院系、年级、专业、学制、班级、学籍状态等字段组合筛选需要备份的学籍信息，支持自定义归档数据文件名。</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各类学籍统计报表：学生人数统计表、学籍卡片、学生名册、学生情况统计表、在校生人数分析表、异动及基本信息各类统计分析表、预计毕业学生统计表、无照片学生统计表、学生在读证明等。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高等教育事业基层统计报表（本专科高基报表）： G311普通专科分专业学生数、G312普通本科分专业学生数、G321在校生年龄统计、G322招生、在校生来源情况、G331学生变动情况、G332学生休退学的主要原因、G341在校生其他情况、G371外国留学生情况、G811学生民族成分、G943普通专科生、普通预科生招生来源情况、G53001在校学生中的少数民族分族别人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2.6.2报到注册服务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够在系统中办理每个学期的报到、注册手续，登记学生报到与注册的状态，支持批量修改学生报道、注册的状态，支持按照院系、年级、专业、班级的条件进行批量注册。依据设定的注册规定(如：不允许欠费学生注册)，批量处理学期注册，对未注册学生在系统内的有关操作进行限制（如：未注册不允许登录系统、不允许选课）；可根据需要对不能正常注册学生进行强制注册；提供绿色通道的功能，为有实际困难的学生提供便利，可增加或批量导入绿色通道学生名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报到、注册统计查询功能：能按照全校、院系、年级或专业的不同维度统计注册比例、报到比例、未注册原因；能提供未报到学生名册、报到学生名册、未注册学生名册、注册生名册、强制注册学生名册、学生注册情况统计表、学生报到情况统计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2.6.3学籍异动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各类学籍异动（如：转专业、休学、复学、退学、专升本、留级）的在线无纸化管理，要求能根据实际需要自定义扩展学籍异动的类型，能设置异动申请审核的流程，能根据不同的学籍异动类型配置相应的业务处理环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籍异动既可由学籍管理人员直接进行学籍异动操作，也可按照异动流程由学生提交异动申请进行各级审批处理后完成异动。提供学籍异动情况的查询统计报表。学籍异动后，针对一些关联模块会产生影响，系统需要提供相应的异动联动处理功能，包括：异动后的成绩处理、异动后选课处理、异动后考试安排的处理、异动后账号状态处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外校生转入本校修读、专升本插班修读等特殊学籍异动场景提供管理功能，支持单个插入学籍和模板批量导入两种方式，学籍导入系统后自动匹配相应专业班级的人才培养方案、课程和表、考试信息等关联数据。系统需支持本科层次学籍、学位相关数据的统一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2.6.4学籍预警</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提供学籍预警与学籍处理的功能，能针对各种学籍处理类型（如：警示、留级、退学）设置预警条件，能及时推送预警消息给学生。</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针对预警消息的推送，能在学生登录系统后自动弹出预警消息，并且能设置要求学生阅读该消息的时间（如：10秒），该时间范围内学生无法关闭该消息框。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要求可以自定义设置预警类型，针对各种类型的预警提供灵活的预警条件设置功能，支持多个条件组合进行预警。要求可自定义设置各类预警条件计算公式，提供基本四则运算、求和、求平均数、求记录数、逻辑运算（and、or）的运算条件设置；并可控制计算对象的学期范围、课程类别范围、课程属性范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支持按我校学业规则设置学业预警方案（含预警批次、指标项），自动识别学困风险并主动推送帮扶预警。</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2.6.5专业分流与方向分流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按学科大类招生的要求，能确定需要分流的专业，将需要分流的学生分流到对应专业及相应班级。专业分流时，采用填报志愿的方式，可由学生从网上进行申请，然后由各院系进行审批与调整，从而形成专业分流后的班级学生名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针对在大三或大四需要划分方向的专业，提供专业方向分流的功能，采用填报志愿的方式，可由学生从网上进行申请，然后由各院系进行审批与调整，从而形成专业方向分流后的班级学生名单。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2.6.6学业达成情况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要求可以从多个维度（按课程体系、按课程属性、按课程性质、通选课类别）查看学生的学业达成情况，即：学生已修课程与本专业培养方案要求课程的对比情况，提供直观的修读报告展示。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提供跨专业、跨年级学业修读进度对比功能，即：把学生已修课程与校内其它专业培养方案要求课程进行对比；为学生转专业或实现跨专业毕业提供参考。</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2.7考试安排服务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在教务管理系统建设项目中同步建设“智能自动排考服务”，要求能基于学校现有教学资源（课程库、学生库、教室库、教师库、巡考人员库）实现考试课程、考试学生、考试地点、考试时间、监考人员、巡考人员的全自动编排与冲突检测，并支持人工干预、即时重排及可视化调优。</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主要包含业务有期中考试、期末考试、随堂考试、提前考试、补考重修考试的安排。设置有关考试编排要求后，可采用智能自动安排或手工辅助安排方式，简便快捷、科学合理地完成考试安排，并通过校园网/互联网发布有关考试安排信息，教师、学生可在线进行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系统智能的把相同考试内容（相同课程）的考试安排在同一个时间点上考试，并能人工辅助的调整考试安排信息，能提供各种考试信息查询统计功能，如：按考生考场安排查询、主考监考查询、考试内容安排查询、准考证打印、考务分析统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要求能提供灵活的排考参数设置，以适应不同的考试安排要求，包括：可针对一个学期设置多个考试轮次（如：期初、期中、期末）；设置监考老师要求（如：相同教研室教</w:t>
      </w:r>
      <w:r>
        <w:rPr>
          <w:rFonts w:hint="eastAsia" w:ascii="仿宋" w:hAnsi="仿宋" w:eastAsia="仿宋" w:cs="仿宋"/>
          <w:sz w:val="28"/>
          <w:szCs w:val="28"/>
        </w:rPr>
        <w:t xml:space="preserve">师不能监考同一考场、本院系教师不能监考本院系行政班级、教师监考授课课程不监考授课班级、主监考尽量开课院系副监考非开课院系、监考教师尽量男女搭配）；同一任课老师所带的课程要排考在同一栋楼，行政班级尽量排在行政班学院所在栋楼；监考场次尽量平均，主监考尽量安排课程所属学院的老师，主考不能安排成监考；设置查询考试安排结果的开关参数；设置每个考场最大班级数、最大课程数；设置每个考场监考老师与学生的人数比例；设置是否需要整班排考；设置学生考试安排间隔方式；考场忽略余数和排考尾数控制；考场座位编排方式（如：有序、无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提供智能自动排考功能，能分别独立运行自动排考试时间、排考场、排监考、排座位号、生成准考证号的功能，能备份/恢复/清空自动排考数据，支持多次迭代排考或重新排考。</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排考过程中，需要对自动排考时漏排的数据提供漏排原因分析功能，给出明确漏排原因提示；支持直接对漏排课程进行手工指定排考，针对合班考试课程支持分别为单个行政班指定考场。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提供手工快速批量排考的功能，手工批量进行考试时间的安排，手工批量进行考试场地的安排，支持灵活调整考场学生名单。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提供预排监考功能，系统根据预设的排考参数、待安排的考场数据，自动计算预计所需的监考人员总数、各院系所需监考人数。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提供监考老师的调代申请管理功能，原监考老师发起申请，调代老师确认，各级管理人员审核。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提供随堂考试、提前考试的申请、审核管理功能。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提供各类考试冲突检查功能，包括检查学生冲突、检查监考教师冲突、检查教室冲突、检查巡考教师冲突。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提供监考信息记录功能，监考教师录入监考信息，各级管理人员审核。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提供考试结果分析功能，包括监考/主监考统计、考试时间统计、排考结果统计、课程排考结果统计、班级考试统计。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提供各类考试安排报表查询功能：班级考试安排表、学生考试安排表、考场考试安排表、巡考安排表、监考安排表、监考场次统计表、考试时间统计表。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2.8社会考试服务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在系统中要求能实现各类考试考级（如：大学英语四六级考试、计算机等级考试、普通话等级考试）的报名工作，并能对等级考试成绩进行维护。</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在系统中自定义各类等级考试的考级类别、考级等级。可灵活设置各类等级考试的报名条件、报名时间范围，如：针对大学英语六级报名需要设置大学英语四级成绩大于425分才允许报名的条件，并要能开启教师报名。</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学生或教师可在规定的时间范围内网上进行等级考试报名，可根据管理人员的设置核对个人关键信息（如：身份证号、出生日期），也可根据需要上传个人照片。</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报名完成后，系统中能批量导出学生或教师报名信息（包含考生照片），能维护考生的考试缴费信息；能按照校区、院系、专业统计学生的报名情况；能提供上级考试部门需要的报名数据。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考生考级成绩公布后，需要将从考试院获取的成绩批量导入系统中，能对考生多次考级的成绩进行维护，考生可在系统中查询考级成绩；需要提供考级通过率报表统计功能，可按全校、按院系、按专业统计各类考级的通过率。</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提供社考预警学生名单统计功能，要求支持系统自动统计符合某类社考报名条件但未报名的学生名单。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2.9成绩服务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成绩管理是学校教学服务的重要环节，能对学生在每学期所修读课程的成绩、获得学分情况进行记录。成绩服务模块应具有如下功能：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2.9.1成绩录入与审核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由任课教师、院系教务员与教务处成绩管理人员，基于校园网/互联网便捷的完成学生成绩的录入与审核。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支持手工在线录入与批量导入两种成绩录入的方式，能灵活设置课程总成绩的组成项目（如：平时成绩+期末成绩，实验成绩+作业成绩+期末成绩），并能设置各项目所占总成绩的百分比。</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分数、等级（二级、四级、五级）多种录入模式供成绩录入老师选择；支持不同的成绩活动要求的最大成绩自定义设置，比如：100分、120分、150分。提供成绩录入系统自动保存时间设置，比如：15秒保存一次。需提供学生补考通过后成绩一律按60分处理、需支持学生因缓考或补考成绩中平时成绩项目继续沿用上次已录的平时成绩、补考成绩录入时继续沿用正常考试的成绩比例及成绩录入人的灵活辅助配置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需支持成绩无需审核可以直接通过进入成绩库，支持部分课程过了学校统一成绩录入截止时间后，可单独对该部分课程延长可以录入时间。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提供便捷的成绩录入操作界面，支持教师自主设置学生名单的排序，可按照学号、姓名、班级编号、考试座位号灵活设置；支持教师通过电脑键盘的方向键快速切换录入成绩。</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拍照录成绩：支持OCR识别方式进行成绩录入。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提供课程平时成绩过程化管理功能，可由任课教师自主设置平时成绩的组成子项目，包括：平时成绩的子项目名称、所占平时成绩的比例；平时成绩子项数量支持设置多个，教师可在学期过程中及时进行平时成绩的录入，系统自动计算平时成绩总分，并同步到课程总成绩中。</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▲针对思政类的课程，支持一门课程多学期成绩管理，如：形势与政策课程，支持多个学期录入成绩，可设置每个学期成绩所占比重，最后自动计算课程总成绩。</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特殊成绩录入：针对部分经过学籍异动数据处理后的学生，提供特殊成绩录入功能，支持对该学生的某门或多门课程成绩信息进行单独录入。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提供成绩录入进度查询功能，包括：课程人数、未录入成绩人数、是否录入完毕、是否审核通过。</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成绩审核流程：能自定义成绩审核流程，任课教师录入完成绩后，需要提交送审，由各级人员进行审批，审批通过后，成绩才能生效并发布。教务处成绩管理人员可撤销已经审核通过的成绩。</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学生成绩检测：支持一键检测成绩异常的学生名单，异常情况包括只有重修没有正考成绩、有多条正考成绩记录。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成绩查询与统计：需要提供丰富的成绩总库数据查询字段，包括：院系、年级、专业、班级、课程名称、学号、学生标签、考试性质、成绩标志；提供多种成绩分析统计报表，如：平均学分绩点统计、学生成绩单、班级成绩单、专业成绩单、课程成绩单、所得学分及绩点统计、不及格门数统计、成绩通知单、加权平均成绩统计、学生班级成绩登分册、不及格课程统计、不及格学生名单、缓考申请情况统计、补考所获得学分和门数统计、学位课程平均学分统计、各类课程所得学分统计、学生学位课程平均分统计、学生历年学业鉴定表打印、课程分析统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成绩绩点计算：提供灵活的学分绩点计算公式自定义设置功能，支持按分数方式、等级方式、考试性质方式、特殊方式。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成绩日志查询：提供详细的成绩录入、修改操作日志记录与查询功能，成绩日志需详细记录某门课程某条成绩的操作账号、操作用户、操作IP、操作时间、操作类型等信息。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2.9.2缓考服务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提供缓考的在线申请控制与审核功能，学生网上提交缓考的申请，由相关管理人员进行审核后生效，学生相应课程的成绩即会打上“缓考”的成绩标识。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缓考流程支持自定义设置，学生提交缓考申请时支持上传相关证明附件。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管理人员可按多个条件查询缓考学生信息，支持管理人员直接增加缓考学生信息。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2.9.3免考服务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办理学生免考，提供免考的在线申请控制与审核功能，学生网上提交免考的申请，由相关管理人员进行审核后生效，学生申请免考的课程成绩会打上“免考”的成绩标识；可设置学生提交免考申请时，要求上传相关证明附件；支持管理人员直接增加免考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2.9.4免听管理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免听的在线申请控制与审核功能，学生网上提交免听的申请，由相关管理人员进行审核后生效。免听审核流程支持自定义设置，学生提交免听申请时支持上传相关证明附件；管理人员可多维度查询免听学生信息，支持管理人员直接导出免听学生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2.9.5成绩修改服务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对于录入有误的成绩，需要提供成绩修改的功能，并要求经过严格的流程审批，只能由原来录入该学生成绩的教师在线提交成绩修改申请（针对单个学生单门课程的成绩），其它人无法提交成绩修改申请。提交申请后，需要各级管理人员进行审核，审核通过后自动更新成绩总库中的成绩。</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提供教师成绩修改前置约束条件，支持是否允许教师修改各项目成绩、是否需要教师上传附件材料、自定义选择可修改成绩标识、成绩小数位数。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系统中需要保留所有的成绩修改历史记录，可直观的查看原成绩、修改后成绩、修改原因。</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提供成绩修改情况统计报表，统计各院系的成绩修改申请人数、修改比率。</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2.9.6补考管理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支持由教务处组织每学期补考统筹，能控制学生报名起止时间、是否需要启用学生网上报名、是否启用补考收费、是否需要限制补考报名门数或学分。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要求能根据规则审核需要参加补考的学生名单，可提供审核学期、审核分数范围、开课单位、开课学期、补重学期、学生当前状态、是否在校、课程性质、课程属性、课程类别、不审核的成绩标识、学生标签多维度灵活的条件组合审核补考学生名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可设置正常考试、重修与补考之间的转换规则，支持设置多次补考。</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补考的学生名单可以转到考务模块中进行排考，可以转到成绩模块中进行成绩录入。提供补考学生人数查询统计报表。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2.9.7重修管理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由教务处组织每学期重修工作统筹，能控制学生报名起止时间、学生选课起止时间、开课方式、是否需要限制重修报名门数或学分、课程属性限报范围、课程性质限报范围、可自由报名的学生年级范围、是否需要启用学生网上报名、是否启用重修收费、是否允许重修刷分、是否允许冲突选课、是否开班、是否不允许跨校区选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要求能根据规则审核需要参加重修的学生名单，可提供审核学期、审核分数范围、开课单位、开课学期、补重学期、学籍状态、学生当前状态、是否在校、课程性质、课程属性、课程类别、不审核的成绩标识多维度灵活的条件组合审核重修学生名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替代重修：对于重修时已不再开设的课程，学生可以选择其它课程替代；支持替代课程规则设置。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可设置正常考试、补考与重修之间的转换规则，支持设置多次重修。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重修选课需要进行审核；支持跟班重修、新开班重修；提供重修开课功能，生成重修课程的开课任务。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重修的学生名单可以转到考务模块中进行排考，可以转到成绩模块中进行成绩录入。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提供重修学生人数查询统计报表。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缺考提醒：要求能对学生进行缺考预警（如果学生缺考不给补考机会只能重修，如果一门课连续缺考两次，后续不再具备考试机会）。</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2.9.8毕业考试管理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支持由教务处组织每学期毕业考试工作统筹，能控制学生报名起止时间、是否需要限制报名门数或学分（公选/非公选）、是否需要启用学生网上报名、是否启用收费。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要求能根据规则审核需要参加毕业考试的学生名单，可提供审核学期、毕业届别、课程属性、课程性质、课程大类、培养层次、入学年份、在校状态、学籍状态、学生信息、上课单位、上课专业多维度灵活的条件组合审核学生名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毕业考试管理的数据能转到考务模块中进行排考、能转到成绩模块中进行成绩录入。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2.9.9社考成绩替换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将社会等级考试成绩替换成校内课程成绩的功能，能设置替换课程规则（如：英语四级考试能替换为大学英语课程成绩），能设置分数方式、五级制、二级制等成绩替换方式，能控制学生替换申请的时间范围，能按院系、专业、年级设置可申请社考替换的学生范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支持学生申请社考成绩替换，管理人员进行审核，审核流程支持自定义设置，支持批量审核。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支持管理人员手工维护社考替换成绩学生信息。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2.9.10异动学生成绩认定</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异动学生，可申请将其异动前所修的一些课程对应替换成现在所在专业培养方案里的课程，由成绩管理人员进行成绩认定审核。能维护每个学期可以申请成绩认定的开始和结束时间，只有在这个时间范围内学生才可以申请成绩认定；支持维护认定后新课程的学年学期、成绩小数位、成绩计算方式（算数平均、加权平均）、是否无需审核、是否允许非异动学生申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2.9.11成绩查卷服务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生对课程成绩有异议时，能申请成绩查卷，管理人员进行审核。学生可填写查卷原因，可上传申请附件材料；管理人员能控制每学期的查卷申请起止时间范围、成绩录入学期、是否需要学生上传附件，能自定义设置审核流程，学生能查看审核进度。</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2.9.12成绩加分管理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针对特殊学生（如：艺术特长生、体育特长生）进行成绩加分的处理。由成绩管理人员设置加分的相关细则，包括加分等级、固定加分、乘系数加分、最高分限定、申请时间范围；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支持提供根据不同的加分对象设置不同的加分方式，支持成绩虽及格但未超过限定最高分仍可加分，支持加分后成绩仍可不及格。</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一般由院系教务员申请对特殊学生的某门成绩进行加分，然后由各级管理人员按照流程进行审核，该流程可自定义设置，审核通过后系统自动完成成绩加分。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2.10毕业审核服务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毕业审核模块能根据培养方案的规定，全面审查学生的学业修读情况，得出学生的毕业、学位审查结论。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毕业届别管理：支持管理员精确设置每届毕业生的预审起止时间、学生查询起止时间、审查结果修改起止时间；支持一键启用学生信息核对，设置信息核对起止时间，确保学生信息准确无误；支持灵活设置整体毕业审查项目，包括各类学分完成情况，以及社考成绩、专业方向、课程体系是否审查项目；支持根据毕业审核结果和学位审核结果灵活设置系统自动处理学生的当前状态（如毕业、结业、肄业等）、在校状态、学籍状态、毕业时间、账号失效时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设置毕业审查条件：支持管理员设置毕业专业，支持一键同步培养方案数据作为毕业审查条件（包含个性化培养方案），支持基于整体毕业审查项目（培养方案修读要求）灵活设置每个专业的毕业条件、学位条件，如：学生取得学分达到所在专业的毕业学分要求，通识选修课学分要求，必修课均需及格，英语达到相应等级要求，每个课程模块的修读学分要求，满足不同专业的个性化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前毕业/延后毕业管理：针对学分制弹性修读的模式，提供学生申请提前毕业或延后毕业，管理人员网上审核的流程化管理功能。能支持灵活控制可申请提前或延后毕业的年级范围和申请时间限制，并能允许设置相应的学分要求标准；针对延迟毕业要能设置最大延后年限要求，确保教育规划有序进行。一旦学生的提前毕业或延后毕业申请审批通过，这些学生可转入对应毕业届别资格审查流程，确保顺利完成毕业审查工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毕业信息核对：允许毕业生在指定时间内自主核查并确认其个人身份证号、姓名及姓名拼音信息的准确性。若发现任何不匹配之处，毕业生可提交修改申请。一旦审核通过，相关信息将得到及时更新。审核流程支持自定义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毕业资格审核：依据设置的毕业规定条件，能按批次自动审查学生的学业修读情况，得出学生的毕业结论和学位结论，并可给出审查不通过的原因明细。针对院系或教务处管理人员，系统要能提供毕业结论、学位结论的人工修改权限，所有修改操作需要经过严格审批流程，审批流程支持自定义配置，支持实时查看修改结果的学生明细。管理人员能根据审查结果对学生的毕业资格进行认定，确保毕业流程的公正性和严谨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支持一键统计公选课未达到毕业要求的学生名单。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针对之前未达到毕业要求的学生，后续通过考试后，要求能够支持一键检索达到毕业要求的学生名单。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提供毕业数据处理功能：根据毕业结论，对学生的学籍状态、当前状态、系统账号状态进行批量处理。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毕业证书信息：能对学生毕业（学位）证书的编号进行设置，可根据规则批量生成证书编号；支持证书批量打印。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毕业学生信息：查询已进行毕业处理的学生信息。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2.11订单班管理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（1）订单班信息管理：维护订单班信息，按年度维护订单班信息，包含订单班的企业名称、详细介绍，名额要求、限选年级专业、培养方案、报名条件等信息。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（2）学生报名管理：支持学生线上报名，系统能根据报名条件限制学生报名申请，报名提交后通过面试与录取完成报名流程，同时支持Excel导入每个订单班的录取学生名单。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（3）课程认定管理：支持将订单班培养方案课程一键替换原专业培养方案未修读的课程，以建立课程替代的映射关系，支持手工一对一匹配。</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（4）订单班任务生成：学生按同一订单班课程进行教学任务的生成、课表编排、考试安排与成绩录入。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（5）毕业审核：订单班学生按原专业培养方案（实际审核时按替代课程关系）进行毕业审核。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2.12优秀生转专业</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为充分贯彻以人为本的教育理念，进一步调动学生学习主动性和积极性，满足学生个性、志趣和特长发展的需要，提供优秀生转专业功能。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上报时间控制：要能按学期控制各院系上报转专业计划的起止时间、转专业计划的审核起止时间、学生转专业申请起止时间，并能控制院系是否能修改学生申请转专业的时间范围。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转专业条件设置：要求能根据我校转专业管理办法设置转专业条件，如：所学课程平均学分绩点需达到某个值，没有不及格课程，所学课程平均学分绩点需名列专业前面多少名次，某个课程属性的课程必须全部及格，没有违纪、处分记录；要能设置某个条件是否启用，二级学院是否能自行修改条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院系计划上报及审核：能支持各院系申报转专业计划，能按院系、年级、专业填报拟接收人数、考核方式、学生转专业申请和审核时间，并能上传学生申报转专业需要提交材料的模板，转专业计划需要通过审核才能生效。支持按照学生标签限定可以申报的学生，将转专业计划开放给特定类型的学生。</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学生转专业申请及审核：学生要能通过系统申请转专业，再由所在院系、转入院系、及教务处相关部门管理人员对学生申请资格进行审核，转专业审核通过，学生进入到新班级。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课程替代：能对转专业学生原专业已修读获得学分课程与现专业计划课程进行替代处理，实现学分及成绩互认。</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选课处理：能对转专业学生原专业已选课程进行退课处理，对现专业当前可选课程进行选课处理。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报名学生信息管理：提供转专业报名学生信息查询功能。对转专业学生学籍信息进行处理，学籍处理“课程替代、选课信息”正式生效。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转专业统计：能按院系统计院系总人数、符合转专业条件的学生数、报名数、报名率、成功数、院内转入数、院内转比例。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2.13教材管理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教材管理主要实现对教材基础资源信息、教材计划与采购、教材发放与结算的管理。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（1）教材资源信息：要求提供对教材数据字典、库房信息、教材供应商、教材出版社信息、教材类型、教材书目库的维护，支持新增教材申请的控制与审批。应支持修改教材书目资源后不影响历史数据功能。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（2）教材计划与采购：</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要求依据各学期的教学任务批量转入需要征订教材的课程，教材征订计划自动与课程的班级、学生进行关联。应能够根据实际需求选用默认征订或学生选订模式。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每门课程的教材计划信息，支持由任课教师或管理员指定人员进行教材书目选用。支持一门课程选多种教材，可查看教材明细信息、班级明细信息、学生明细信息。提供教材选用的自定义审核功能，保障教材选用的权威性、准确性。提供管理人员批量删除、修改、指定、退审教材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能制定教师教学用书征订计划。</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依据教材汇总计划（学生用书、教师用书）生成需要计划采购的教材书目与数量；参照现有库存，确定需要采购的教材书目与数量，支持批量修改教材的采购册数。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生成学期教材采购订单，支持订单的批量入库、折扣设置、特殊教材折扣设置，支持系统自动记录教材采购订单修改日志。提供教材书目库存管理，支持教材书目按照订单入库或零星入库，针对每本教材书目支持查看入库明细和出库明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提供教材替换管理，支持按学期模式一键批量替换修改教材征订计划选用书目。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教材发放与结算：提供教材的整班发放、教材零售、教学用书发放、教材补改选、教材报损功能；针对欠缴学费的学生可设置教材禁发名单。提供学生教材账目明细查询，精确到每个学生每个学期的每一本教材。应支持教材出库单导出打印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（4）提供学生网上确认是否采购教材功能，支持学生在线查看订购教材账目明细（包括：订购书目清单、教材定价、采购折扣、合计金额、缴费金额、结算差额）。</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教材报表管理：提供教材选用统计报表查询与导出功能，要求按照学年学期自动统计各教材书目的选用册数；提供班级出库汇总统计报表功能，要求支持按照学年学期、年级、专业、班级自动汇总统计班级教材出库汇总表；提供学生教材费用统计功能，要求汇总计算每位学生教材费用情况（包括：码洋、实洋、缴费合计、余额）；提供供应商结算管理功能，支持供应商按照教材采购发放情况自动计算教材结算费用，支持供应商退书操作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2.14教学工作量管理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学工作量计算模块需要完成教师教学工作量的计算和薪酬的统计。系统需要能从选定学期的时间段中转入教学安排数据，通过设定的工作量计算公式统计任课老师各课程的教学工作量；再通过教师标准工作量、课时薪酬标准的设置，计算出教师的课时薪酬。</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计算范围设置：可设置教师工作量计算的范围，包括：学年学期、起始日期、截止日期、教师查询起始时间、教师查询结束时间、可设置排除特殊日期（如：国庆假期、校运动会），可选择计算工作量的课表节次范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工作量计算：提供灵活的工作量计算公式编辑工具，可根据实际情况设置多套工作量计算公式，针对不同课时类型（如：理论课、实验课、双语教学）、不同职称、不同课堂学生人数来设置工作量计算系数；需支持设置若同一开课点有多个教师时是否需要平分总学时；依据教学工作量计算公式自动计算教学工作量，需支持自定义设置工作量计算结果保留2位以内小数位数，并按照教师、部门进行统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工作量确认：支持任课教师在线确认计算后的工作量结果。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工作量导出：导出的工作量明细中要求体现具体计算的系数值。</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标准工作量设置：可设置全校人员名单标准工作量设置，可以按不同老师设置标准工作量，减免指标，最终形成包括额定工作量、减免工作量、核减后工作量、减免说明等列表。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薪酬计算：可根据教师职称设置单位课时基本薪酬标准、超工作薪酬标准，需支持可按教师职称设置薪酬标准，计算出教师薪酬。</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部门工作量统计：应支持按院系、教研室、开课单位不同方式进行工作量统计，应支持查看工作量明细。应支持导出打印。可统一导出额定工作量、最终工作量表单，也可以导出理论与实训区分的工作量表单。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部门薪酬统计：应支持按上课单位统计部门薪酬，数据包含部门任课教师人数、完成工作量（额定工作量、超出工作量）、发放薪金（额定工作量、超出工作量）、人均课时费。应支持导出打印。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2.15授课安排管理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系统提供课程授课安排的在线录入功能。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师在规定的时间范围内登录系统进行授课安排录入。授课安排的内容包括：课程使用教材名称、参考书、开课周次、上课类型、开课节次、讲课章节及内容摘要、学时、教学方式、教学场地、辅助教具、授课教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院系、教务处的管理人员可随时查看教师教学进度的录入情况。提供教师教学进度表的查询、导出和打印。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系统能根据课表自动生成推荐的课程教学进度清单，教师在这个基础上进行调整，无需逐条手工录入；提供课程之间教学进度的复制功能；提供EXCEL模板导入教学进度功能。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2.16考勤服务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考勤服务实现学生课堂考勤数据的录入、维护、查询统计的功能。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（1）考勤设置管理：要求能够灵活设置考勤时间范围，如要求教师多少天内完成考勤，或要求教师在本周内、本月内完成考勤。</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考勤结果管理：支持考勤结果管理功能，可按照学年学期、周次、开课单位、考勤教师、是否全勤、上课院系、上课年级、上课专业、上课班级、是否在校、学生信息、课程信息等字段查询考勤结果，支持批量修改考勤结果，考勤结果类型包括：迟到、早退、事假、病假、旷课等；支持批量删除、导出打印考勤结果；支持考勤记录锁定，锁定后教师端将不能修删。应支持一键处理未考勤学生数据。支持由学习委员在线登记学生考勤、任课教师审核后生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学生考勤统计：支持按照学年学期、院系、年级、专业、班级的条件查询统计学生课堂考勤情况，包括：旷课节数、病假节数、事假节数、迟到节数、早退节数、参赛节数、实习节数、实训节数、免修节数、到课节数、出勤率；支持查看考勤结果明细；支持将考勤结果导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（4）未考勤查询：支持按照学年学期、周次、院系、教师、班级、课程的条件查询出未进行考勤的记录，并支持未考勤信息的EXCEL导出。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考勤课程统计：支持课程考勤数据查询统计功能，可按照学年学期、起止周次、院系、课程信息、上课教师的条件对课程考勤情况进行统计，包括：旷课节数、病假节数、事假节数、迟到次数、早退次数、参赛节数、实习节数、实训节数、免修节数、到课节数、出勤率；支持统计结果的导出打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2.17微专业管理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为响应教育部高校学生就业能力提升“双千”计划，推动全国高校开设一批高质量“微专业”，适应高校跨学科人才培养的新型办学模式，满足学生主修专业与微专业并行修读的管理需要，需构建微专业管理服务模块实现该业务板块的信息化支撑。该模块旨在实现从微专业设置、教学计划、课程安排、学生报名、成绩管理到毕业审核的全流程信息化管理，以提升教学管理效率，保障微专业人才培养质量，助力学生优化知识与技能结构，服务复合型人才培养与毕业生高质量充分就业。</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（1）微专业基础信息管理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建立全校统一的微专业信息库，支持录入各微专业的编号、名称、上课院系、学制、学科门类、专业类型等核心信息。系统需支持对修读年限、招生学科、专业状态等信息的批量修改与维护。需提供按院系、年度、专业等维度设置或复制年度微专业的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支持建立微专业班级，可按院系、年级、专业来查询与管理微专业班级信息，包括班级花名册的查看与维护。</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（2）微专业教学计划制定</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支持微专业教学计划的全面管理，包括专业课程的设置与维护。系统应能按上课院系、年级、专业等条件查询教学计划。</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提供从学校课程库中批量引用课程至教学计划的能力，并可维护课程的开课学期、成绩录入学期及所属课程体系等信息。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（3）微专业教学安排</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能依据教学计划生成学期开课任务，应支持按全院系或按特定院系、年级、专业、课程等多种方式生成，并应支持选择按专业生成或按班级生成开课任务。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系统提供完善的教学安排功能，包括为课程指定任课教师、进行合班或拆班操作、设置上课周次与周学时。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教学班进行批量合并与拆分，并能设置排课的特殊时间要求。系统能根据课程总学时与上课周次，自动推荐周学时安排方案供选择，并支持通过表达式（如：第二周至第八周上课和第十周上课，可以直接填写为“2-8,10”；星期5的第1、2节，可以直接填写为“50102”）快速设置上课周次与节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提供任课教师的快速检索与批量设置功能，并需要将合分班、周次安排、教师指定等操作聚合，减少界面切换。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（4）微专业报名</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全面的报名管理功能，应支持按学期设置报名起止时间、平均学分绩点与成绩等报名门槛，并可控制学生最大报名专业数。应能对各微专业设置人数上限，并可按年级、院系、专业来限定报名的学生范围（如：某微专业仅限2024级、A学院的B专业及C专业可选择报名）。</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管理员能对学生提交的报名申请进行审核，并在审核过程中确定其所属微专业班级。系统应支持按学期、院系等条件查询学生的报名情况与在读状态。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（5）微专业成绩管理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系统提供微专业成绩的录入与综合查询功能。应支持按开课单位、学期、年级、专业、班级、课程、学生、考核方式等多种条件组合进行查询。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查询结果需显示学号、姓名、课程、成绩、学分等关键信息，查询结果应支持字段排序与报表导出。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（6）微专业毕业管理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支持设置毕业资格审查的时间周期，并维护与毕业相关的微专业信息。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能根据毕业届别、微专业、学生等条件查询毕业生信息，包括审查结果、毕业证号、档案号、总学分等，并支持对毕业证号与档案号等信息进行必要的修改与维护。</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（7）学生微专业服务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为学生提供微专业在线报名及个人成绩查询服务。学生可查看各学期微专业的报名信息并提交申请，报名后可查看审核状态。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支持学生按开课时间、课程性质、课程属性等多条件查询本人所修读微专业的课程成绩信息。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2.18岗位实习管理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以学生为核心，基于互联网、移动互联网构建一个学生、学校、企业一体的管理平台，实现实习实训全流程闭环的有效管理。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2.18.1基础资源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（1）实习企业信息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新增、维护与学校存在实习合作关系的企业信息，包括：企业名称、社会信用代码、企业性质、行业类别、所属省市、企业规模、所属行业、联系人、联系电话、企业邮箱、详细地址、企业简介；应支持下载模板，批量导入实习企业信息，并可导出实习企业信息报表；可对实习企业设置是否启用。系统应支持自定义设置企业编号规则，新增实习企业信息时可自动生成实习企业编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（2）实习基地管理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新增、维护实习基地信息，包括：基地名称、基地所属企业、容纳人数、基地类别（校内基地、校外基地）、基地负责人、所属院系、基地电话、基地地址、简介，支持设置实习基地适用的专业，应支持下载模板，批量导入实习基地信息，并可导出实习基地信息报表；可设置实习基地是否启用。系统应支持自定义设置基地编号规则，新增实习基地信息时可自动生成基地编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（3）实习岗位管理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新增、维护每个实习基地提供的实习岗位信息，包括：部门科室、岗位名称、岗位类别、企业老师、企业老师电话、岗位介绍、工作内容，可选择关联基地及企业信息；应支持下载模板，批量导入实习岗位信息，并可导出实习岗位信息报表；并可维护可签到地址，控制可签到范围，</w:t>
      </w:r>
      <w:r>
        <w:rPr>
          <w:rFonts w:ascii="仿宋" w:hAnsi="仿宋" w:eastAsia="仿宋" w:cs="仿宋"/>
          <w:sz w:val="28"/>
          <w:szCs w:val="28"/>
        </w:rPr>
        <w:t xml:space="preserve">支持可签到地址的新增、编辑、导入及批量管理</w:t>
      </w:r>
      <w:r>
        <w:rPr>
          <w:rFonts w:hint="eastAsia" w:ascii="仿宋" w:hAnsi="仿宋" w:eastAsia="仿宋" w:cs="仿宋"/>
          <w:sz w:val="28"/>
          <w:szCs w:val="28"/>
        </w:rPr>
        <w:t xml:space="preserve">，需能设置多个可签到地点。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2.18.2实习计划管理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可针对各实习专业下的各实习类别制定实习计划，包括：实习计划名称、实习学期、专业负责人、实习开始时间、实习结束时间、实习周数、实习人数、实习目的、实习要求、实习内容，可选择关联实习专业，并可上传附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（1）考勤签到配置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各实习计划可针对性开启或关闭考勤签到功能，开启考勤签到后，可对考勤签到进行配置，如：每日签到数、可签到时间、拍照设置、补卡设置、范围外签到设置。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（2）实习报告配置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实习报告包括实习日志、实习周报、实习月报、实习总结。各实习计划可针对性开启或关闭实习报告功能，开启实习报告后，可对实习日志、实习周报、实习月报、实习总结的提交分别进行配置，包括：最小应提交数量、提交时间、可延期最晚时间、教师评阅方式（分数制、等级制）、是否给学生推送预警提示；可设置是否提交附件，并可上传附件模板。</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（3）考核要求配置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各实习计划可针对性进行考核要求配置，包括：成绩录入开始时间、成绩录入结束时间、总成绩录入方式（分数制、等级制）、分数最大值、是否允许教师修改成绩录入方式、成绩小数位、不及格成绩显示为红色、自动保存时间设置，可进行成绩标识控制、零分录入控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2.18.3实习任务发布</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针对各实习计划提供实习任务安排及发布服务，各实习计划下可安排统一实习，也允许学生分散实习，针对统一实习和分散实习的学生可分别进行安排。</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（1）统一实习</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针对各实习计划下统一实习的学生，应支持对实习学生进行分组安排。</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针对每个实习计划可以划分一个或多个小组，应支持设置每个小组的分组名、生成分组号，并可为每个小组指定实习基地、指导教师、实习起止时间。每个小组内可根据院系、专业、班级筛选添加不同的学生。</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分组完成之后，可对学生进行岗位分配。可查看已安排学生名单，并支持取消安排。</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也应支持下载模板，批量导入各实习计划的统一实习学生名单，通过导入的方式完成分组及岗位安排。</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当前实习计划任务安排后，可按分组进行发布，也可一键发布当前实习计划所有分组。</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（2）分散实习</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分散实习区别于统一实习，学生可按个人意向寻找企事业单位开展实习。应支持学生自主申请分散实习，系统中可设置各实习计划下学生申请分散实习的开始时间、结束时间。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分散实习既支持学生自主申请，即学生能够通过移动端申请分散实习，申请时需要填写实习企业名称与信用代码（通过字典表进行维护），由指导教师或相关管理人员进行审核；也支持相关管理人员直接对各实习计划下的分散实习进行分组安排，可下载模板批量导入分散实习学生任务安排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可查看已安排分散实习学生名单，并支持取消安排，可导出分散实习已安排学生数据报表。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2.18.4实习过程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（1）实习申请审批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分散实习的学生可通过移动端提交实习申请，由相关管理人员进行审核，审核过程中可查看实习申请学生基本信息及岗位信息。支持查询统计学生实习申请信息，并可导出数据报表。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（2）免实习申请审批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针对存在特殊情况无需统一或分散实习的学生，可通过移动端提交免实习申请，由相关管理人员进行审核，审核过程中可查看免实习申请详情。支持查询统计学生免实习申请信息，并可导出数据报表。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（3）实习一览表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可汇总查询统一实习或分散实习学生信息，并可导出统一实习安排学生信息报表或分散实习安排学生信息报表。应支持查询实习安排学生信息，包括：学生基本信息及岗位安排信息。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可分类统计多维度实习情况，包括分已安排、待实习、校园招聘、自主实习、入伍免实习、技能竞赛等多种情况。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（4）实习变更管理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统一实习或分散实习过程中，如存在变更需求（如：实习单位变更、部门/科室变更或岗位变更），学生可通过移动端申请实习变更，并支持由相关管理人员进行审核，审核过程中可查看实习变更申请详细信息，包括学生基本信息及变更内容。支持查询统计学生实习变更信息，并可导出数据报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（5）实习项目管理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生可通过移动端申请实习项目，由指导教师进行审核。相关管理人员可查询实习项目信息，包括：实习计划、申请学生基本信息、实习岗位、校内/外指导教师、项目名称、项目起止时间、审核状态，可导出实习项目信息表。相关管理人员可对实习项目信息进行修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（6）实习考勤管理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开启了考勤签到的实习计划，计划内学生可通过移动端进行定位打卡。相关管理人员可查询统计学生实习考勤数据，包括：学生基本信息、实习岗位信息、考勤地址及阶段性打卡结果；相关管理人员可按日历查看某日考勤情况，并支持修改打卡状态；可导出实习考勤数据报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（7）考勤预警管理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应支持考勤预警设置，包括：缺勤最小预警次数、定位异常最小预警天数、早退最小预警次数、迟到最小预警次数、是否推送预警消息提醒。应支持查询统计考勤预警数据，并可导出考勤预警数据报表。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（8）学生补卡管理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生可通过移动端在线申请补卡，由指导教师或相关管理人员进行审核。相关管理人员可查询学生补卡数据，包括：学生基本信息、岗位信息、考勤地址、缺卡时间、提交补卡时间、审核状态，并可导出学生补卡数据报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（9）实习请假管理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在实习过程中学生可通过移动端提交请假申请，由指导教师或相关管理人员进行审核。相关管理人员可查询学生请假数据，并导出实习请假数据报表。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（10）实习免签管理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在实习过程中学生可通过移动端申请免签，由指导教师或相关管理人员进行审核。相关管理人员可查询学生免签数据，并导出学生免签数据报表。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（11）实习日志/周报/月报/总结管理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学生可在线提交实习日志/周报/月报/总结，并可根据要求上传附件。指导教师可在线查看学生提交的实习报告，下载相关附件，并对实习报告进行评阅。</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相关管理人员可查询统计实习学生的实习日志/周报/月报/总结记录，并支持导出实习日志/周报/月报/总结记录数据报表。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（12）实习指导记录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指导教师能在系统中录入针对每个学生的指导情况信息，为后期学校对指导老师的考评提供依据。相关管理人员可查询统计实习指导记录，包括：指导日期、指导方式、指导标题，并可导出实习指导记录数据报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（13）实习结束管理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生可通过移动端提交实习结束申请，由指导教师或相关管理人员进行审核。相关管理人员可查询统计实习结束信息，包括：学生基本信息、实习岗位信息、校内指导教师、提交人、提交时间、审核状态，可导出实习结束数据报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2.18.5实习成绩</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系统应支持由指导教师或相关管理人员在线录入学生实习成绩，需提供成绩录入暂存的功能。成绩录入完毕后需要送审，成绩需通过相关管理人员审核方可生效，系统应支持自定义设置审核流程。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（1）实习成绩设置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系统应支持实习成绩过程化管理，在录入学生的实习成绩之前，应支持对成绩项目组成、成绩等级、成绩标志进行配置。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成绩项目管理：可根据学校实际需求自定义维护实习成绩项目组成，可引用系统内成绩数据，成绩源包括实习考勤、实习日志、实习周报、实习月报、实习总结。</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成绩等级管理：成绩录入方式应支持五级制、二级制，系统应支持根据学校实际需求自定义维护当前录入方式下实习成绩的等级，以及各等级起始分数、结束分数、对应分数。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成绩标志管理：可根据学校实际需求自定义维护实习成绩标志信息，包括成绩标志名称（如：缺考、舞弊、违纪等）及对应分数，以便成绩录入时可直接调用成绩标志。</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（2）实习成绩录入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实习成绩既支持由指导教师对实习小组内的学生进行录入，也应支持由相关管理人员在管理端直接进行所有小组的成绩录入。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系统应支持灵活设置实习成绩包含的子项目（如：实习日志、平时成绩、考勤成绩、实习周报、实习月报、实习总结），并能设置各子项目所占总成绩的百分比。</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应支持在录入成绩过程中对成绩进行暂存。应支持相关管理人员对已录入完成的成绩进行撤回操作。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（3）实习成绩管理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指导教师成绩录入完毕后需要送审，由相关管理人员审核通过后方可生效。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系统应支持相关管理人员汇总查询所有学生的实习成绩，包括：学生基本信息、实习计划、分组信息、校内指导教师、成绩学分信息，支持导出学生实习成绩报表。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针对已录入并提交的学生实习成绩数据，应支持由相关管理人员进行修改。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2.18.6数据上报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包括高基报表、教育部教学基本状态数据以及江苏省实习平台数据上报，具体内容包括实习企业、信用代码、企业性质、行业类型等内容。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2.18.7师生服务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教师通过教师服务门户对实习任务进行统一安排分组，安排完成后，对任务安排进行发布；支持查询学生的考勤记录信息，支持按日历查看具体学生考勤记录，并可对考勤状态进行修改；支持对学生提交的实习项目申请、补卡申请、免签申请、请假申请、进行审核；支持在实习过程中，录入对每个学生的指导情况信息；支持查看学生提交的实习日志/周报/总结，并可进行评分、录入评语；支持自定义设置成绩比例，在线录入学生的实习成绩。</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岗位实习：学生在移动端提交免实习申请、实习变更申请、实习项目申请、免签申请、请假申请、实习结束申请，并支持上传附件；支持进行实习考勤定位打卡；在线提交实习日志/周报 /总结，并支持上传附件；查看个人的实习成绩。</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岗位实习：教师在移动端查询本人指导的实习生信息，能分实习类型查看，并支持以图形化形式展示不同实习类型学生人数占比；查询学生考勤信息，支持查看考勤异常TOP5的学生名单；查看学生实习日志/周报总结及其提交情况，并进行评阅；对学生提交的免实习申请、实习变更申请、实习项目申请、补卡申请、免签申请、请假申请、实习结束申请进行审核；添加学生指导情况，并可查看到已指导和未指导的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2.19教研教改项目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2.19.1首页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（1）领导首页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领导在首页上查看全校项目、经费、成果数据统计，包括已申报的项目数、已立项的项目数、立项率、立项支持的经费金额、审核通过的成果数等，同时显示与上一个年度的同比情况，可按年度、单位、项目类别、项目等级、成果类别等进行统计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（2）项目计划管理员首页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支持项目管理员在首页查看本人所负责项目的数据统计，包括待立项、未立项、在研、已结题、延期、弃项等项目数据；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支持项目管理员在首页对项目与成果的申报进展情况进行监控，包括监控项目的审核情况、评审情况，成果的审核情况等，可按审核阶段、评审阶段、完成状态、申报计划等进行查询；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支持项目管理员在首页快捷审核已申报的项目及成果数据，可按申报计划、单位、项目名称等进行查询；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（3）二级单位管理员首页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支持二级单位管理员在首页查看本单位项目的数据统计，包括待立项、未立项、在研、已结题、延期、弃项等项目数据；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支持二级单位管理员在首页对本单位项目申报的进展情况进行监控，包括监控项目的审核情况，成果的审核情况等，可按审核阶段、完成状态、申报计划等进行查询；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支持二级单位管理员在首页快捷审核本单位已申报的项目及成果数据，可按申报计划、单位、项目名称等进行查询；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（4）申报老师首页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支持申报老师在首页查看系统内发布的项目申报计划，可查看申报说明、下载申报资料模板、快捷申报项目；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支持申报老师在项目的进程中，按照设置的时间进在首页行开题、中检、结题信息的提交，支持信息的暂存、撤回，也可以进行项目的变更，如项目延期、弃项等，系统可以设置是否允许申报老师进行项目变更；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支持申报老师在首页查看本人已申报的项目全貌数据，包括查看项目的基本信息、项目各阶段的项目文档、审核历史、阶段结论、经费收支情况、变更历史等；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支持按年度、项目申报计划、项目阶段、项目状态等维度查询申报老师本人已申报的项目数据；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支持申报老师在首页以项目参与人的身份查询本人参与的项目数据，系统可以设置是否允许参与人查看项目文档资料。</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（5）评审专家首页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评审专家在首页进行项目申报、开题、中检、结题等阶段的在线评审，可查看评议参考资料、在线预览申报老师提交的各阶段资料（如文档、视频、图片、链接等），在线评分、填写评审结论和评审意见；支持暂存、批量提交评审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评分模板支持多级评分指标，可设置是否开启评分，是否仅评总分；评审结论可在系统内自定义设置，支持评荐、评级等方式；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支持在系统内对申报老师提交的项目资料设置专家评审权限，包括评审专家是否可以预览、是否可以下载等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支持在系统内对申报老师提交的项目资料设置水印（如文字水印、图片水印等），评审专家在预览和下载时可以查看水印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支持评审专家以专家组组长身份进行单独评审，同时支持组长查看其他组员评审情况、登记专家组最终结论和评审意见；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支持评审专家在设置的评审时间内随时调整评审数据，并可导出最终的评审数据Excel。</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2.19.2项目汇总管理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（1）项目汇总查询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查询系统内各年度所有已申报的项目数据，包括已立项和未立项的数据，支持按项目名称、年度、申报计划、项目类别、项目负责人、单位、项目当前阶段、项目当前阶段状态等多个维度进行筛选和排序，并可设置列表显示的字段及顺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支持查看各项目的全貌数据，包括项目的基本信息、各阶段的项目文档、审核历史、阶段结论、经费收支情况、变更历史等；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批量下载项目数据Excel、项目各阶段资料，下载资料时可以指定需要下载的资料类型（如申报资料、结题资料等）、单个项目资料的命名格式（如按项目名称+项目负责人姓名，年度+项目名称+项目负责人姓名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支持已立项的项目按项目类别、项目等级、分单位进行统计，支持下载统计数据Excel。</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（2）项目汇总管理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汇总页面查询系统内各年度所有已申报的项目数据，包括已立项和未立项的数据，支持按项目名称、年度、申报计划、项目类别、项目负责人、单位、项目当前阶段、项目当前阶段状态等多个维度进行筛选和排序，并可设置列表显示的字段及顺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支持查看各项目的全貌数据，包括项目的基本信息、各阶段的项目文档、审核历史、阶段结论、经费收支情况、变更历史等；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在项目汇总页面导入历史项目数据，也可编辑项目基本信息、项目文档，删除项目数据；还可批量下载项目数据Excel、项目各阶段资料，下载资料时可以指定需要下载的资料类型（如申报资料、结题资料等）、单个项目资料的命名格式（如按项目名称+项目负责人姓名，年度+项目名称+项目负责人姓名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支持已立项的项目按项目类别、项目等级、分单位进行统计，支持下载统计数据Excel。</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2.19.3项目申报管理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（1）申报计划管理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管理项目申报计划，包括设置项目申报计划的基本信息、计划管理员、项目各阶段时间及审核流程（支持设置多次中检）、单位限额、项目成员人数限制、申报说明、项目申报表单字段等参数；项目各阶段需提交的资料支持自定义设置，包括设置资料的名称、允许上传的文件类型、文件大小、文件数量、是否必传、上传说明、资料模板等，同时支持设置各资料的评审权限，包括设置专家评审时是否可以预览、可以下载等；支持设置申报老师在指定的时间段内可以更新自己的项目信息及各阶段提交的资料；</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支持按年度、计划名称、项目类别、项目等级等进行筛选。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（2）已申报项目管理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支持项目管理员查看本人管理的项目申报计划下已申报的项目，包括查看项目的全貌数据、编辑项目信息、设置列表显示的字段及顺序、下载项目数据Excel、批量下载项目申报资料等；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支持对项目申报计划下已申报的项目进行统计，包括已申报、审核中、待我审核、审核通过、审核不通过、已立项、未立项的项目数据等；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支持按年度、计划名称、项目类别、项目等级、项目负责人、单位、当前审核节点、审核状态、评审状态、立项结论等多个维度对已申报的项目数据进行筛选和排序。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（3）申报审核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二级单位管理员等角色审核已申报的项目数据，可查看申报的项目信息、相关文档、审核历史等项目数据，设置待审核、已审核项目列表显示的字段及顺序，按年度、计划名称、项目类别、项目类型、项目负责人、单位、项目名称等多个维度对待审核、已审核的项目数据进行筛选和排序等，支持撤回审核错误的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审核流程支持在系统内进行自定义，待审核的数据支持批量委托移交给他人审批。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（4）申报评审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管理申报评审计划，包括设置申报评审计划的基本信息、评审模板、评审时间、平均分计算规则、评议参考资料、需评审的项目及对应的评审专家、是否允许专家查看项目负责人、是否允许专家仅评总分、专家组长是否需要评审及登记组结论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支持实时查看申报评审计划的评审进度情况，可按项目或按专家查看评审进度、下载评审情况Excel。</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（5）立项结论登记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支持项目管理员登记项目的立项结果、立项日期、批准经费、相关附件等；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支持对项目申报计划下已申报项目的立项结果进行统计，包括可登记、待登记、批准立项、不予立项的项目数据等。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2.19.4项目开题管理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（1）开题项目管理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支持项目管理员查看本人管理的项目申报计划下需要开题的项目，包括查看项目的全貌数据、编辑项目信息、设置列表显示的字段及顺序、下载项目数据Excel、批量下载项目开题资料等；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支持对项目申报计划下需要开题的项目进行统计，包括应提交开题、已提交开题、审核中、待我审核、审核通过、审核不通过、开题通过、开题不通过的项目数据等；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支持按年度、计划名称、项目类别、项目等级、项目负责人、单位、当前审核节点、审核状态、评审状态、开题结论等多个维度对需要开题的项目数据进行筛选和排序。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（2）开题审核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二级单位管理员等角色审核项目开题数据，可查看开题文档、审核历史等项目数据，设置待审核、已审核项目列表显示的字段及顺序，按年度、计划名称、项目类别、项目类型、项目负责人、单位、项目名称等多个维度对待审核、已审核的项目数据进行筛选和排序等，支持撤回审核错误的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审核流程支持在系统内进行自定义，待审核的数据支持批量委托移交给他人审批。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（3）开题评审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管理开题评审计划，包括设置开题评审计划的基本信息、评审模板、评审时间、平均分计算规则、评议参考资料、需评审的项目及对应的评审专家、是否允许专家查看项目负责人、是否允许专家仅评总分、专家组长是否现需要评审及登记组结论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支持实时查看开题评审计划的评审进度情况，可按项目或按专家查看评审进度、下载评审情况Excel。</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（4）开题结论登记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支持项目管理员登记项目的开题结果、相关附件等；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支持对项目申报计划下已立项项目的开题结果进行统计，包括可登记、待登记、开题通过、开题不通过的项目数据等。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2.19.5项目中检管理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（1）中检项目管理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支持项目管理员查看本人管理的项目申报计划下需要中检的项目，包括查看项目的全貌数据、编辑项目信息、设置列表显示的字段及顺序、下载项目数据Excel、批量下载项目中检资料等；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支持对项目申报计划下需要中检的项目进行统计，包括应提交中检、已提交中检、审核中、待我审核、审核通过、审核不通过、中检通过、中检不通过的项目数据等；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支持按年度、计划名称、项目类别、项目等级、项目负责人、单位、当前审核节点、审核状态、评审状态、中检结论等多个维度对需要中检的项目数据进行筛选和排序。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（2）中检审核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二级单位管理员等角色审核项目中检数据，可查看中检文档、审核历史等项目数据，设置待审核、已审核项目列表显示的字段及顺序，按年度、计划名称、项目类别、项目类型、项目负责人、单位、项目名称等多个维度对待审核、已审核的项目数据进行筛选和排序等，支持撤回审核错误的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审核流程支持在系统内进行自定义，待审核的数据支持批量委托移交给他人审批。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（3）中检评审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管理中检评审计划，包括设置中检评审计划的基本信息、评审模板、评审时间、平均分计算规则、评议参考资料、需评审的项目及对应的评审专家、是否允许专家查看项目负责人、是否允许专家仅评总分、专家组长是否现需要评审及登记组结论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支持实时查看中检评审计划的评审进度情况，可按项目或按专家查看评审进度、下载评审情况Excel。</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（4）中检结论登记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支持项目管理员登记项目的中检结果、相关附件等；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支持对项目申报计划下已立项项目的中检结果进行统计，包括可登记、待登记、中检通过、中检不通过的项目数据等。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2.19.6项目结题管理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（1）结题项目管理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支持项目管理员查看本人管理的项目申报计划下需要结题的项目，包括查看项目的全貌数据、编辑项目信息、设置列表显示的字段及顺序、下载项目数据Excel、批量下载项目结题资料等；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支持对项目申报计划下需要结题的项目进行统计，包括应提交结题、已提交结题、审核中、待我审核、审核通过、审核不通过、结题通过、结题不通过的项目数据等；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支持按年度、计划名称、项目类别、项目等级、项目负责人、单位、当前审核节点、审核状态、评审状态、结题结论等多个维度对需要结题的项目数据进行筛选和排序。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（2）结题审核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二级单位管理员等角色审核项目结题数据，可查看结题文档、审核历史等项目数据，设置待审核、已审核项目列表显示的字段及顺序，按年度、计划名称、项目类别、项目类型、项目负责人、单位、项目名称等多个维度对待审核、已审核的项目数据进行筛选和排序等，支持撤回审核错误的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审核流程支持在系统内进行自定义，待审核的数据支持批量委托移交给他人审批。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（3）结题评审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管理结题评审计划，包括设置结题评审计划的基本信息、评审模板、评审时间、平均分计算规则、评议参考资料、需评审的项目及对应的评审专家、是否允许专家查看项目负责人、是否允许专家仅评总分、专家组长是否现需要评审及登记组结论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支持实时查看结题评审计划的评审进度情况，可按项目或按专家查看评审进度、下载评审情况Excel。</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（4）结题结论登记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支持项目管理员登记项目的结题结果、相关附件等；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支持对项目申报计划下已立项项目的结题结果进行统计，包括可登记、待登记、结题通过、结题不通过的项目数据等。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2.19.7项目变更管理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二级单位管理员等角色审核项目变更数据，可查看变更文档、变更原因、审核历史等项目数据，设置待审核、已审核项目列表显示的字段及顺序，按年度、计划名称、项目类型、项目负责人、单位、项目名称等多个维度对待审核、已审核的项目数据进行筛选和排序等，支持撤回审核错误的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审核流程支持在系统内进行自定义，待审核的数据支持批量委托移交给他人审批。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2.19.8经费管理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（1）经费科目管理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支持对经费的一级科目、二级科目进行管理，包括类别的增、删、改、查等。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（2）预算模板管理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支持按项目类别设置经费预算模板，可按配套经费百分比或固定金额设置经费科目的限额。</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（3）预算支出登记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支持申报老师对已立项的项目进行预算的编制、经费支出的登记，可查看经费的累计发放及支出情况；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支持项目管理员代替申报老师登记经费的支出。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（4）预算审核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二级单位管理员等角色审核项目预算数据，可查看项目信息、预算信息、审核历史等项目数据，按年度、计划名称、项目类别、项目类型、项目负责人、单位、项目名称等多个维度对待审核、已审核的项目数据进行筛选和排序等，支持撤回审核错误的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审核流程支持在系统内进行自定义，待审核的数据支持批量委托移交给他人审批。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（5）经费发放登记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对已立项的项目进行经费发放的登记，可查看项目的立项批准经费金额、预算经费金额、经费的累计发放及支出情况，按年度、计划名称、项目类别、项目等级、项目类型、项目负责人、单位、项目名称、预算提交状态、经费发放状态等多个维度对项目数据进行筛选和排序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（6）经费收支查询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所有已立项项目的经费收支情况进行查询，可查看项目的立项批准经费金额、预算经费金额、经费的累计发放及支出情况，按年度、计划名称、项目类型、项目负责人、单位、项目名称等多个维度对项目数据进行筛选和排序、下载经费收支情况Excel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（7）经费收支统计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支持对所有已立项项目的经费收支情况进行统计分析，可按年度查看立项项目数、立项批准经费金额、经费累计发放金额、经费累计支出金额，可按单位、项目类别、项目等级等分别进行统计分析。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2.19.9成果管理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成果管理模块统一管理教研教改成果，并通过成果绩效归集与教研教改项目关联，实现学校教研积分的统计与按项目汇总。</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（1）成果上报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申报老师自主进行成果上报，查看、下载本人已上报的成果相关数据，可按年度、学年、成果名称、成果类别、成果级别、成果等级、版本、业绩成果、主办单位、团队成员、获奖时间、上报时间、审核状态等多个维度进行筛选和排序，并可设置列表显示的字段及顺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支持以成果参与人的身份查询参与的成果数据。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支持在成果上报时选择关联所属教研教改项目（可选），建立成果与项目的关联关系，便于按项目汇聚产出成果与积分归集。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（2）学年管理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支持对学年进行管理，包括学年的增、删、改、查等。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（3）成果等级管理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支持对成果等级进行管理，包括成果等级的增、删、改、查、启用、禁用、排序等。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（4）成果级别管理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支持对成果级别进行管理，包括成果级别的增、删、改、查、启用、禁用、排序等。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（5）成果类别管理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支持对成果类别进行管理，包括类别的增、删、改、查、启用、禁用等，可对成果类别的的基本信息、管理员、版本、业绩成果等参数进行设置； </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成果上报需提交的资料支持自定义设置，包括设置资料的名称、允许上传的文件类型、文件大小、文件数量、是否必传、上传说明、资料模板等。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（6）已上报成果管理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支持成果管理员查看本人管理的成果类别下已上报的成果，包括查看成果的全貌数据、编辑成果信息、删除成果信息、设置列表显示的字段及顺序、下载成果数据Excel、批量下载成果资料等；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成果名称、年度、学年、成果类别、成果级别、成果等级、版本、业绩成果、成果负责人、工号、所在单位、团队成员、获奖时间、上报时间、当前审核节点、审核状态等多个维度对已上报的成果数据进行筛选和排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支持按"关联教研教改项目"维度对已上报成果进行筛选与排序，列表显示字段可配置"关联项目"信息，并支持查看某一教研教改项目下挂接的全部成果。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（7）成果审核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成果管理员、二级单位管理员等角色审核成果数据，可查看成果信息、审核历史等成果数据，按成果名称、成果类别、成果级别、成果等级、版本、业绩成果、成果负责人、工号、所在单位、团队成员、获奖时间、上报时间、审核状态等多个维度对待审核、已审核的成果数据进行筛选和排序等，支持撤回审核错误的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审核流程支持在系统内进行自定义，待审核的数据支持批量委托移交给他人审批。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支持按"关联教研教改项目"维度对待审核、已审核成果进行筛选与排序。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（8）成果库</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查询系统内各年度所有已上报并审核通过的成果数据，支持按年度、学年、成果名称、成果类别、成果级别、成果等级、版本、业绩成果、成果负责人、工号、所在单位、团队成员、获奖时间、上报时间等多个维度进行筛选和排序，并可设置列表显示的字段及顺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支持批量下载成果数据Excel、成果资料；</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支持按成果类别、成果等级、分单位对成果数据进行统计，支持下载统计数据Excel。</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支持按"关联教研教改项目"维度筛选、排序，可设置列表显示"关联项目"字段，支持按关联项目统计成果数据。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（9）成果绩效查询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查询成果各团队成员的排名及绩效得分数据，支持按年度、学年、成果名称、成果类别、成果级别、成果等级、版本、业绩成果、成员姓名、成员类型、所在单位、获奖时间等多个维度进行筛选和排序，并可设置列表显示的字段及顺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支持按学年汇总统计成果各团队成员的绩效得分数据。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支持按"关联教研教改项目"维度查询成果绩效得分，可汇总统计某一教研教改项目下全部关联成果的绩效得分。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（10）成果分析-按学年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支持对各学年已上报并审核通过的成果数据进行统计分析，可按学年查看已上报成果数、审核通过并入库成果数、审核不通过成果数，可按单位、成果类别、成果等级、成果级别、成员职称等分别进行统计分析。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支持指定学年对成果统计数据进行两两对比。</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支持按"关联教研教改项目"维度对成果进行统计分析，可指定项目查看其产出成果的学年分布与绩效汇总。</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（11）成果分析-按年度</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支持对各年度已上报并审核通过的成果数据进行统计分析，可按年度查看已上报成果数、审核通过并入库成果数、审核不通过成果数，可按单位、成果类别、成果等级、成果级别、成员职称等分别进行统计分析。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支持指定年度对成果统计数据进行两两对比。</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支持按"关联教研教改项目"维度对成果进行统计分析，可指定项目查看其产出成果的年度分布与绩效汇总。</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2.19.10数据汇总上报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（1）上报任务管理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支持项目管理员管理数据上报任务，包括设置数据上报任务的基本信息、任务管理员、上报时间、需上报单位、数据模板等参数。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（2）数据上报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支持各二级单位根据数据上报任务要求进行数据的上报，支持在上报时间段内多次更新上报。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（3）数据上报查询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支持项目管理员查看本人管理的数据上报任务下已上报的数据，包括查看各单位已上报的数据、未上报的单位信息等，支持单个、批量下载已上报的数据。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2.19.11项目统计分析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全校或二级单位，对各年度已申报的项目数据进行统计分析，可按年度查看项目申报计划数、已申报项目数、待立项项目数、已立项项目数、未立项项目数、立项率，可按项目状态、项目类别、项目等级、成员职称、成员学历、成员学位等分别进行统计分析，同时以上统计数据支持在同一页面指定年度进行两两对比。</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2.19.12专家库</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（1）专家管理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支持对校内、校外评审专家进行管理，可批量转入校内专家、批量导入校外专家、下载专家数据Excel。</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（2）专家组管理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支持对评审专家组进行管理，可设置专家组长和组员。</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2.19.13业务基础设置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（1）项目类别设置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支持对项目类别进行管理，包括类别的增、删、改、查、启用、禁用等。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（2）项目等级设置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支持对项目等级进行管理，包括类别的增、删、改、查、启用、禁用等。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（3）评审模板管理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评审模板进行管理，包括设置模板的基本信息、评审方式、评荐结论、评分指标等，评审方式可以设置评分+评荐、评分+评级、仅评荐、仅评分，评荐结论可自定义，评分指标支持一级指标、一级指标（先定性后定量）、二级指标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2.19.14移动端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（1）领导首页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支持领导查看全校项目、经费、成果数据统计，可按年度、单位等进行查询。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（2）项目计划管理员首页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支持项目管理员查看本人所负责项目的数据统计，包括待立项、未立项、在研、已结题、延期、弃项等项目数据；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支持项目管理员对项目申报的进展情况进行监控，包括监控项目的审核情况、评审情况，成果的审核情况等。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（3）二级单位管理员首页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支持二级单位管理员查看本单位项目的数据统计，包括待立项、未立项、在研、已结题、延期、弃项等项目数据；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支持二级单位管理员对本单位项目申报的进展情况进行监控，包括监控项目的审核情况，成果的审核情况等。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（4）申报老师首页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支持申报老师查看系统内发布的项目申报计划，可查看申报说明、下载申报资料模板。</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（5）评审专家首页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评审专家在项目的申报、开题、中检、结题等阶段在线评审项目，可查看评议参考资料、在线预览申报老师提交的各种资料（如文档、视频、图片、链接等），在线评分、填写评审结论和评审意见；支持暂存、批量提交评审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评分模板支持多级评分指标，可设置是否开启评分，是否仅评总分；评审结论可在系统内自定义设置，支持评荐、评级等方式；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支持在系统内对申报老师提交的项目资料设置专家评审权限，包括评审专家是否可以预览、是否可以下载等；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支持在系统内对申报老师提交的项目资料设置水印（如文字水印、图片水印等），评审专家在预览时可以查看水印；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支持评审专家以专家组组长身份进行单独评审，同时支持组长查看其他组员评审情况、登记专家组最终结论和评审意见；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支持评审专家在设置的评审时间内随时调整评审数据。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（6）项目&amp;成果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领导查询系统内各年度所有已申报的项目和成果数据，可查看项目及成果全貌数据，包括查看项目的基本信息、各阶段的项目文档、审核历史、阶段结论、经费收支情况、变更历史、成果的基本信息、审核历史等，支持按多个维度进行筛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申报老师查询本人各年度所有已申报的项目和成果数据，可查看项目及成果全貌数据，包括查看项目的基本信息、各阶段的项目文档、审核历史、阶段结论、经费收支情况、变更历史、成果的基本信息、审核历史等，支持按多个维度进行筛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（1）申报审核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二级单位管理员等角色审核项目申报阶段的数据，可查看项目信息、申报阶段相关文档、审核历史等项目数据，按年度、申报计划、项目类别、单位等多个维度对待审核、已审核的项目数据进行筛选等，支持撤回审核错误的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审核流程支持在系统内进行自定义。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（2）开题审核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二级单位管理员等角色审核项目开题阶段的数据，可查看项目信息、开题阶段相关文档、审核历史等项目数据，按年度、申报计划、项目类别、单位等多个维度对待审核、已审核的项目数据进行筛选等，支持撤回审核错误的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审核流程支持在系统内进行自定义。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（3）中检审核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二级单位管理员等角色审核项目中检阶段的数据，可查看项目信息、中检阶段相关文档、审核历史等项目数据，按年度、申报计划、项目类别、单位等多个维度对待审核、已审核的项目数据进行筛选等，支持撤回审核错误的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审核流程支持在系统内进行自定义。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（4）结题审核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二级单位管理员等角色审核项目结题阶段的数据，可查看项目信息、结题阶段相关文档、审核历史等项目数据，按年度、申报计划、项目类别、单位等多个维度对待审核、已审核的项目数据进行筛选等，支持撤回审核错误的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审核流程支持在系统内进行自定义。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（5）预算审核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二级单位管理员等角色审核项目的预算数据，可查看项目信息、相关文档、审核历史、预算信息等项目数据，按年度、申报计划、项目类别、单位等多个维度对待审核、已审核的项目数据进行筛选等，支持撤回审核错误的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审核流程支持在系统内进行自定义。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（6）变更审核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项目管理员、二级单位管理员等角色审核项目变更的数据，可查看项目信息、变更类型、变更相关文档等项目数据，按年度、申报计划、项目类别、单位等多个维度对待审核、已审核的项目数据进行筛选等，支持撤回审核错误的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审核流程支持在系统内进行自定义。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（7）成果审核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成果管理员、二级单位管理员等角色审核成果数据，可查看成果信息、审核历史等成果数据，按成果类别、成果等级、所在单位、审核状态等多个维度对待审核、已审核的成果数据进行筛选和排序，支持撤回审核错误的数据； </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审核流程支持在系统内进行自定义。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2.20创新学分管理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该模块需要实现对创新学分项目库、学分申请与认定流程、学分成绩的统一电子化管理。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2.20.1项目库信息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可自定义对创新学分类别、子类进行维护，构建项目库分类结构。</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可设置项目申请的学年学期、学院申请项目的起止时间、教务处审核项目的起止时间。在规定的时间内，由学院或者相关学分项目申请部门在网上提交申请；申请提交后，由管理人员进行学分项目的审核；审核通过以后，该项目就会进入到总库中。管理人员可直接增加项目，可对项目库中的信息进行修改、删除。</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2.20.2学分申请与认定</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项目申请设置：可设置每个项目的可申请年级专业、审核部门、认定部门、申请组织方式（分为学生申请与统一组织）；对于统一组织的学分认定项目（如：学校统一组织参加的竞赛、等级考试），不需要学生进行申请，由管理人员统一进行批量学分认定。应支持对认定学分上限和认定要求进行设定。</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认定总库管理：应支持对已建设的项目进行管理，可对启用状态、组织方式、初审部门、认定部门、申请时间、结束时间、可申请学生范围进行设置。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学分申请控制：可设置学生进行学分申请的学年学期、学生申请学分的起止时间、学分审核的起止时间、学分认定的起止时间，可以控制学生申请的项目数。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学分审核：由审核部门（如：院系、团委）进行学生学分申请的审核，可逐条审核，也可批量审核。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学分认定：学分申请审核通过后，就会提交到学分认定的环节，由教务处或者相关认定部门进行学分认定，给予相应学分。认定通过后，学生学分就会进入创新学分成绩库中。</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2.20.3创新学分成绩</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查询学分：可按照学年学期、院系、年级、专业、班级、学号的条件进行查询，并可导出、打印查询结果。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批量导入创新学分数据：可采用EXCEL模板批量导入学生学分成绩，特别是针对学校统一组织的认定项目的学分成绩。</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取消认定：如果认定成绩有误，管理人员可以取消学生的认定成绩。</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2.20.4学生申请创新学分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学分申请：学生可在规定的时间内，网上进行创新学分的申请，不显示统一组织方式的项目。学生重复进行学分申请时，系统可自动判断，并提示相关信息。学生可查询学分审核、认定的流程进度情况。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学分查询：学生可查询已获得的创新学分数量及项目信息。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2.21教学质量监控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质量监控需实现校院两级协同、师生全员参与、评价形式多样的评价监控机制，提供听课配置、听课评价（督导评价、同行评价、领导评价、专项评价）、学生评教、教学专项检查、教师自评、教师评学、部门评价、教研室评价、教师综合评价、教学检查意见反馈、督导日常巡查、信息员服务、调查问卷、综合分析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2.21.1听课评价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2.21.1.1督导评价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督导评价模块需实现校、院二级教学督导听课评价，应具备如下功能：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（1）督导听课任务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发布督导听课任务，包括：学校统筹、校院二级联动的督导听课任务，应支持自定义评价起止时间、课程属性范围、评价教师范围、督导范围；针对督导与被评价教师之间的分配，应支持督导负责人手工分配听课、随机分配听课的分配方式。支持督导听课任务一键发布。</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（2）督导听课评价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督导自主预约听课，需提供图形化课表预约听课模式。图形化课表预约听课界面应支持按照教师个人课表进行显示，可选择听课周次，可在图形化课表方格界面直接点击进行预约，应支持选择按大节或小节进行听课，并且能快速筛选已调课和已删除课程。也可以按条件预约，支持多条件自由组合查询，例如：按开课单位或教师所属单位、教师名称、上课地点、课程名称、上课班级、课程类别、周次、星期、节次的条件进行预约听课。支持查看今日课堂情况，可按照分配给我的、申请听课的、重点追踪的及新进教师进行今日课堂的过滤。</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支持对接学校已有的教室摄像头或录播系统进行在线听课评价，最多可同时查看拍教师、拍学生和课件的三路视频。</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（3）我的任务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▲可查看分配的任务和预约列表信息，督导听课后可在我的任务中完成各项指标的评价与反馈；应支持预约课堂、取消预约、听课评价操作，应支持实时查看各项指标的得分情况及总分。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（4）今日课堂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提供今日课堂推荐功能，要求能将长期未被听、评分靠后、重点跟进、新进教师、分配预约、申请听课的课堂优先推荐给听课人。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可在界面上查看到任意任课教师在最近一学期、最近一学年和最近三学年被听课的数量。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（5）听课反馈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督导与被听课教师之间进行反馈互动，应支持查看反馈信息、反馈状态。督导可对需要特别关注的被听课教师进行追踪设置，被设置为追踪对象的教师在系统界面上自动标注时间标，通过时间标能以时间轴的方式展示追踪对象记录。督导可对被听课教师提出改进建议，被听课教师可对建议进行反馈并能够上传改进情况说明附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（6）听课统计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对督导听课结果数据进行记录，统计督导听课次数、教师被听课次数和课程被听课次数，应支持查看每次评价结果详情，应支持导出。可查看督导听课工作量完成情况，是否达标。</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（7）听课明细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院校二级管理角色在权限范围内可查看督导听课明细数据，应支持多维度筛选查看听课评价进度及反馈状态，已提交的听课应支持退回，未提交或被退回的听课应支持取消预约。应支持导出听课明细表。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（8）督导听课分析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对督导听课数据、评价数据进行统计分析，需提供图形化的展示界面。支持按督导、按教师、按课程、按指标四个不同维度进行分析。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支持按学院、按职称、按课程类别、按课程性质、按指标、按历年数据进行多维度对比分析。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2.21.1.2同行评价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同行评价模块需实现同样作为授课教师对另一位授课教师展开听课评价，应具备如下功能：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（1）同行听课任务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发布同行听课任务，包括：学校统筹、校院二级联动的同行听课任务。应支持自定义评价起止时间、课程属性范围、评价教师范围、同行范围；针对同行与被评价教师之间的分配，应支持相关负责人手工分配听课、随机分配听课的分配方式。支持同行听课任务一键发布。</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（2）同行听课评价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同行自主预约听课，需提供图形化课表预约听课模式。图形化课表预约听课界面应支持按照教师个人课表进行显示，可选择听课周次，可在图形化课表方格界面直接点击进行预约，应支持选择按大节或小节进行听课，并且能快速筛选已调课和已删除课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支持对接学校已有的教室摄像头或录播系统进行在线听课评价，最多可同时查看拍教师、拍学生和课件的三路视频。</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（3）我的任务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可查看分配的任务和预约列表信息，应支持预约课堂、取消预约、听课评价操作，同行听课后可在我的任务中完成各项指标的评价与反馈；应支持实时查看各项指标的得分情况及总分。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在系统界面直观呈现同行评价任务完成情况数据，包括工作量任务、已完成工作量、未完成工作量，并能够动态呈现工作量完成进度百分比。</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（4）今日课堂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提供今日课堂推荐功能，要求能将长期未被听、评分靠后、重点跟进、新进教师、分配预约、申请听课的课堂优先推荐给听课人。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可在界面上查看到任意任课教师在最近一学期、最近一学年和最近三学年被听课的数量。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（5）听课反馈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同行与被听课教师之间进行反馈互动，应支持查看反馈信息、反馈状态。同行可对需要特别关注的被听课教师进行追踪设置。同行可对被听课教师提出改进建议，被听课教师可对建议进行反馈并能够上传改进情况说明附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（6）听课统计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对同行听课结果数据进行记录，统计同行听课次数、教师被听课次数和课程被听课次数，应支持查看每次评价结果详情，应支持导出。可查看同行听课工作量完成情况，是否达标。</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（7）听课明细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院校二级管理角色在权限范围内可查看同行听课明细数据，应支持多维度筛选查看听课评价进度及反馈状态，已提交的听课应支持退回，未提交或被退回的听课应支持取消预约。应支持导出听课明细表。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（8）同行听课分析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对同行听课数据、评价数据进行统计分析，需提供图形化的展示界面。支持按同行、按教师、按课程、按指标四个不同维度进行分析。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支持按学院、按职称、按课程类别、按课程性质、按指标、按历年数据进行多维度对比分析。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2.21.1.3领导评价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领导评价模块需实现领导角色对授课教师展开听课评价，应具备如下功能：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（1）领导听课任务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发布领导听课任务，包括：学校统筹、校院二级联动的领导听课任务。应支持自定义评价起止时间、课程属性范围、评价教师范围、领导范围；针对领导与被评价教师之间的分配，应支持相关负责人手工分配听课、随机分配听课的分配方式。支持领导听课任务一键发布。</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（2）领导听课评价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领导自主预约听课，需提供图形化课表预约听课模式。图形化课表预约听课界面应支持按照教师个人课表进行显示，可选择听课周次，可在图形化课表方格界面直接点击进行预约，应支持选择按大节或小节进行听课，并且能快速筛选已调课和已删除课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支持对接学校已有的教室摄像头或录播系统进行在线听课评价，最多可同时查看拍教师、拍学生和课件的三路视频。</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（3）我的任务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可查看分配的任务和预约列表信息，应支持预约课堂、取消预约、听课评价操作，领导听课后可在我的任务中完成各项指标的评价与反馈；应支持实时查看各项指标的得分情况及总分。可按客观打分、主观评价的方式对授课教师上课情况进行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（4）今日课堂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提供今日课堂推荐功能，要求能将长期未被听、评分靠后、重点跟进、新进教师、分配预约、申请听课的课堂优先推荐给听课人。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可在界面上查看到任意任课教师在最近一学期、最近一学年和最近三学年被听课的数量。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（5）听课反馈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领导与被听课教师之间进行反馈互动，应支持查看反馈信息、反馈状态。领导可对需要特别关注的被听课教师进行追踪设置。支持领导对任课教师进行上课意见反馈，任课教师可回复领导反馈的意见，反馈意见需支持多条。领导得到满意答复后，可结束互动反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（6）听课统计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对领导听课结果数据进行记录，统计领导听课次数、教师被听课次数和课程被听课次数，应支持查看每次评价结果详情，应支持导出。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（7）听课明细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院校二级管理角色在权限范围内可查看领导听课明细数据，应支持多维度筛选查看听课评价进度及反馈状态，已提交的听课应支持退回，未提交或被退回的听课应支持取消预约。应支持导出听课明细表。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（8）领导听课分析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对领导听课数据、评价数据进行统计分析，需提供图形化的展示界面。支持按领导、按教师、按课程、按指标四个不同维度进行分析。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支持按学院、按职称、按课程类别、按课程性质、按指标、按历年数据进行多维度对比分析。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2.21.1.4专项评价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专项评价模块需为学校提供小范围、针对性、即时性的听课评价服务，例如新进教师听课评价、职称评定听课评价、优秀教师评价评选，应具备如下功能：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（1）专项听课任务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发布专项听课任务，包括：学校统筹、校院二级联动的专项听课任务。应支持自定义评价起止时间、课程属性范围、评价教师范围、专项听课人范围；在限定的范围内，针对专项听课人与被评价教师之间的分配，应支持手工分配听课、随机分配听课的分配方式。支持专项听课任务一键发布。</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（2）专项听课评价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专项听课人自主预约听课，需提供图形化课表预约听课模式。图形化课表预约听课界面应支持按照教师个人课表进行显示，可选择听课周次，可在图形化课表方格界面直接点击进行预约，应支持选择按大节或小节进行听课，并且能快速筛选已调课和已删除课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（3）我的任务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可查看分配的任务和预约列表信息，应支持预约课堂、取消预约、听课评价等操作，专项听课后可在我的任务中完成各项指标的评价与反馈；应支持实时查看各项指标的得分情况及总分。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（4）今日推荐听课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提供今日课堂推荐功能，要求能将长期未被听、评分靠后、重点跟进、新进教师、分配预约、申请听课的课堂优先推荐给听课人。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（5）听课反馈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专项听课人与被听课教师之间进行反馈互动，应支持查看反馈信息、反馈状态。专项听课人可对需要特别关注的被听课教师进行追踪设置。专项听课人可对被听课教师提出改进建议，被听课教师可对建议进行反馈并能够上传改进情况说明附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（6）听课统计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对专项听课结果数据进行记录，统计专项听课人听课次数、教师被听课次数和课程被听课次数，应支持查看每次评价结果详情，应支持导出。可查看专项听课人听课工作量完成情况，是否达标。</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（7）听课明细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院校二级管理角色在权限范围内可查看专项听课明细数据，应支持多维度筛选查看听课评价进度及反馈状态，已提交的听课应支持退回，未提交或被退回的听课应支持取消预约。应支持导出听课明细表。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（8）专项听课分析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对专项听课数据、评价数据进行统计分析，需提供图形化的展示界面。支持按领导、按教师、按课程、按指标四个不同维度进行分析。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支持按学院、按职称、按课程类别、按课程性质、按指标、按历年数据进行多维度对比分析。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2.21.1.5申请听课/免评</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申请听课模块需针对教师评优、评职称、自我改进等场景需求，提供申请听课、申请免评的服务，应具备如下功能：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（1）申请听课/免评</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教师可在允许申请的任务下，在申请时间范围内申请听课或者申请免评，申请听课后，可上传教学相关材料；申请免评时，可说明免评原因以及上传材料。</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（2）申请听课记录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校院管理员和听课督导可查看教师申请听课的记录，是否被听的状态，支持管理员在听课任务手工分配里面对申请听课的教师分配听课人。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（3）申请免评审核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支持校院管理员查看教师申请免评的记录，查看申请原因和材料，对免评申请进行审核，免评申请通过后，教师自动进入评价任务教师免评名单。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2.21.1.6跟进对象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在评价过程中支持听课人对需要重点跟进的教师进行标记，支持管理员一键将排名靠后的教师设置为重点跟进对象。支持二级学院对本学院的重点追踪教师进行安排跟进。支持跟进人填写跟进举措，如对跟进对象进行进一步听课或者面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2.21.1.7统计分析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（1）个人听课分析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个人听课分析，支持对督导老师的听课情况进行总体画像，针对个人存在多个角色时支持汇总和分角色统计。统计包括听课次数、听课学时、听课平均分、分配教师的进度、分配课程的进度、工作量进度；可对个人打分进行区段分析、对督导个人反馈内容进行分析、可查看被听教师及课程的分布情况。支持统计个人听课次数月度分布情况，被听教师按学院、按职称分布情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（2）听课统计分析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督导、领导、同行、专项所有听课业务的统计分析，能统计全校听课总次数、督导/领导/同行/专项听课总次数；支持分项查看被各角色听课的教师数和未被听教师数，要求能查看具体教师名单；提供听课角色和被听教师的听课明细表单；能提供开启听课次数按倍数累加的功能；支持导出统计分析结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2.21.2学生评教</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学生评教模块需实现学生阶段性评价和过程性随堂评价的业务，应具备如下功能：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2.21.2.1阶段评价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（1）任务管理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发起阶段评任务，可设置评价指标、评价方式、评价起止时间、评价课程范围；评价方式包括：每个课堂的每位教师评价一次、每个课堂的每类学时评价一次、每个课堂评价一次、每位任课教师仅评价一次。应支持定量指标、定性指标。评价任务数据要能支持按条件转入，能调整评价学生名单。任务发布后，要求不能再编辑和删除任务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支持设置学生保护机制，能开启学生匿名；能设置评教最低时间、评价指标不能全部相同、评分低于</w:t>
      </w:r>
      <w:r>
        <w:rPr>
          <w:rFonts w:hint="eastAsia" w:ascii="仿宋" w:hAnsi="仿宋" w:eastAsia="仿宋" w:cs="仿宋"/>
          <w:sz w:val="28"/>
          <w:szCs w:val="28"/>
          <w:lang w:val="en-US" w:eastAsia="zh-CN"/>
        </w:rPr>
        <w:t xml:space="preserve">n</w:t>
      </w:r>
      <w:r>
        <w:rPr>
          <w:rFonts w:hint="eastAsia" w:ascii="仿宋" w:hAnsi="仿宋" w:eastAsia="仿宋" w:cs="仿宋"/>
          <w:sz w:val="28"/>
          <w:szCs w:val="28"/>
        </w:rPr>
        <w:t xml:space="preserve">分开启需填写原因、高于</w:t>
      </w:r>
      <w:r>
        <w:rPr>
          <w:rFonts w:hint="eastAsia" w:ascii="仿宋" w:hAnsi="仿宋" w:eastAsia="仿宋" w:cs="仿宋"/>
          <w:sz w:val="28"/>
          <w:szCs w:val="28"/>
          <w:lang w:val="en-US" w:eastAsia="zh-CN"/>
        </w:rPr>
        <w:t xml:space="preserve">y</w:t>
      </w:r>
      <w:r>
        <w:rPr>
          <w:rFonts w:hint="eastAsia" w:ascii="仿宋" w:hAnsi="仿宋" w:eastAsia="仿宋" w:cs="仿宋"/>
          <w:sz w:val="28"/>
          <w:szCs w:val="28"/>
        </w:rPr>
        <w:t xml:space="preserve">分不能提交评价等行为规范规则。</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在学生阶段评中，支持开启满意度评价，支持设置不同星级的满意度区段，每个区段可设置打分区间和名额比例&lt;比例可设置为不限&gt;。学生评价时根据设置的满意度区间比例对所有教师进行满意度分数调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（2）学生阶段评价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学生可登录系统参与评教，能支持分别显示待评价和已评价课程信息，应支持手机端评价。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在学生评价过程中，既支持学生按一个教师对所有评价指标进行评分，也支持学生按一个评价指标对所有授课教师进行评分。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（3）我的阶段评价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师可查看本人所授课堂学生的阶段评教记录，查看学生评价情况，包括：应评人数、已评人数、未评人数、参评率、平均分，并能查看评价各指标项评价人次和比例，查看满意度分析，应支持下载学生提出的问题及建议的详细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（4）评价结果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提供学生评价数据处理功能，处理方式支持将所有已评但未提及的信息全部提交，支持设置相应的调节系数对评估总评分进行调整，支持把参评率（可自定义设置百分比）太低的评价设置为无效，支持把评分最高或最低（可自定义设置百分比）的信息设置为无效，支持把评价时间过短（可自定义设置时间）的评价设置为无效，评价分数低于平均分多少分时，评价数据无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应支持对阶段评进行数据统计分析，应支持学院、专业、班级、教师、学生、课程、指标的七个维度进行统计分析。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（5）个性化指标</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阶段评价中应支持教师个人或二级学院设置个性化指标，教师或学院可对个性化评价指标进行新增、修改、删除的维护操作，要支持校级对个性化指标审核。要能支持校级通用指标与学院和教师个性化指标结合使用，可对指标进行批量指定。</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（6）不参评维护</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对于部分课程、教师、学生有特殊情况的（如停课课程、休学学生、休假教师），要能支持管理人员设置不参评，也要能支持批量导入。名单内课程、教师、学生为固定不参评对象且无时间限制，需要移出后才能参与学生阶段评任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（7）不参评申请与审核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要求提供申请课程、申请教师和申请学生三种不参评方式，支持不参评批量申请。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支持课程、教师和学生的固定不参评名单维护，名单中的对象缺省不参与学生评教。</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针对不参评申请支持开启审核，开启审核后支持院校两级审核。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申请课程不参评：支持学院管理员对本学院已在参评任务的课程申请不参评。</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申请教师不参评：支持任课教师对本人已在参评任务的课程申请不参评。</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申请学生不参评：支持授课教师对所授班级的学生申请不参评。</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（8）学生阶段评价分析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对学生阶段评教数据进行统计分析，需提供图形化的展示界面，呈现学校整体学生评教数据、各单位学生评教数据，支持按学生、按教师、按课程、按指标、按教学质量问题诊断五个不同维度进行分析。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采用图形化的学生评教分析展示界面，呈现各学院参评情况、各学院各年级未参评的学生人数及比例；可对同质化打分学生占比进行分析，可对学生评价时长进行监测分析。支持按排名、分数段、指标三种方式进行教学质量问题诊断，例如支持对校级排名后5%的课程及教师进行诊断，对打分结果在60分以下的课程及教师进行诊断，对某个指标得分较差的教师和课程进行诊断排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对比分析支持按学院、按职称、按课程类别、按课程性质、按指标、按历年数据进行多维度对比分析。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2.21.2.2随堂评价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随堂评价需要由任课教师发起，教师可设置评价问卷，学生可登录系统参与随堂评教，也可通过手机扫描二维码的方式评教。</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（1）任务管理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应支持发起随堂评任务，对评价的起止时间范围、课程属性、不参评学生、老师的范围进行自定义设置。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（2）发起随堂评价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应支持老师发起随堂评价，可选择自己的评价问卷或引用其他人的问卷发起随堂评价。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（3）学生随堂评价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学生可登录系统参与评教，也可通过扫描二维码的方式在手机上快速进行随堂评价。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（4）我的随堂评价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对随堂评的数据进行统计分析，任课教师可查看本人发起的随堂评价的应评人数、已评人数、未评人数，并能查看评价各指标项评价人次和比例，应支持下载学生提出的问题及建议的详细数据。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（5）评价结果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查看随堂评价结果、学生评教明细、学生评教进度、评价课程数据统计。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（6）问卷管理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应支持教师或管理员编辑随堂问卷内容，应支持发布、预览、修改、删除问卷的操作；应支持引用问卷题库或自己增加问卷，含客观题及主观题。</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（7）学生随堂评价分析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对学生随堂评价数据进行统计分析，需提供图形化的展示界面，包括：各院系随堂评价次数对比、学生参评率、课程覆盖率、教师覆盖率。</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2.21.2.3过程性评价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支持学生以学年学期为单位对授课教师、课程、课堂进行日常反馈，以及进行过程评价。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学生日常反馈：支持学生主动对教师+课程或教师+课程+课堂进行反馈，可限制每名教师每门课程反馈次数。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过程评教：支持开启过程评教，支持学生对教师+课程或教师+课程+课堂进行过程评教，支持指定评价指标，支持自定义设置评分低于某分值时需要填写低分原因。能支持对教师、学院管理员、校级管理员多种匿名方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2.21.3教学专项检查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2.21.3.1试卷抽查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试卷抽查模块需支持学校对试卷进行抽查，抽查模板内容支持自定义设置。可对试卷抽查数据和试卷抽查结果进行统计分析。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（1）评卷模板管理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应支持学校根据实际需求创建评卷模板并进行维护、预览、启用、禁用，支持自定义设置评卷内容，可设置客观题（单选、多选题）、主观题（意见、反馈），应支持评卷模板的复制，支持预览。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（2）材料管理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应支持线上管理课程试卷，支持设置填写试卷链接或上传试卷，由授课教师按学年学期填写或上传，管理人员可查看具体填写或上传情况。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（3）抽查任务管理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应支持由相关管理人员发起试卷抽查任务，可配置课程筛选规则、筛选条件。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筛选规则：支持选择过滤掉已被抽查过N次的课程、开课次数不足的课程，支持限制每个单位抽取的课程比例或课程门数。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筛选条件：应支持按学年学期、开课单位、课程大类、课程类别、课程名称、课程编号、授课教师来筛选可被抽查的课程。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应支持手工分配、随机分配抽查任务（指定抽查督导员）或由用户自主领取任务，可设置抽查起止时间、关联评卷指标模板，支持开启匿名抽查。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（4）抽查任务办理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抽查人员可查看分配给本人的抽查任务并进行办理，支持查看上传的试卷材料或试卷链接，填写抽查表和选择试卷标签。抽查人员可自主领取抽查任务进行办理。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（5）抽查统计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应支持对抽查数据进行统计分析，支持按抽查人统计、按课程统计、按开课单位统计。应支持导出抽查统计报表、批量导出抽查内容。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2.21.3.2毕业设计抽查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实现学校对各届别的毕业设计进行抽查，应支持抽查模板内容自定义设置，支持线上管理毕业设计信息和原文材料。</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（1）指标库管理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支持管理员自定义抽查模板，各学院可根据不同的需求自定义评价指标。支持创建客观题（单选、多选题）、主观题（意见、反馈类），应支持评卷模板的复制，支持预览。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（2）毕业论文资料管理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支持线上管理毕业设计信息和材料，支持填报论文信息汇总表、上传毕业设计原文、附件（查重报告等）或其他抽查材料（开题报告、中期报告等），支持单个上传或批量上传，管理员要能查看论文信息填报进度、材料上传进度和材料齐全率。</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（3）抽查任务管理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管理员发起抽查任务，支持按不同的需求设置基础任务信息和抽查流程，支持开启父级（校级）抽查和校级复查，能支持设置抽查名单、抽查结论以及复查规则；支持开启子级（院级）自查和院级复查，能设置自查名单、自查结论和院级复查规则。支持手工分配、随机分配抽查任务或者由抽查人自主领取任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（4）抽查任务办理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支持对分配给自己的任务进行办理，可查看论文基本信息、预览论文相关材料，填写抽查记录表。支持自主领取抽查任务进行办理。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（5）抽查结果统计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支持对抽查数据进行统计分析，支持按学院统计、按专业统计、按论文统计。能提供论文的院校两级抽查分数、等级和抽查结论，生成问题论文清单。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2.21.3.3课程专项检查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实现对课程和授课教师的教学材料（包括教案、教学日历、教学大纲、实践教学环节）进行抽查。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（1）指标库管理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支持管理员自定义设置抽查模板，各学院可根据不同的需求自定义评价指标。支持客观题（单选、多选题）、主观题（意见、反馈类）。应支持评卷模板的复制，支持预览。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（2）材料管理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支持课程负责人每学期对课程的教学大纲、实践教学环节的材料进行统一线上管理，支持授课教师每学期对个人教案、教学日历进行线上管理，支持将材料公开给教学团队并查看团队内优秀教案、教学日历。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（3）抽查任务管理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发起课程抽查任务，支持设置不同的抽查对象、抽查课程范围和抽查流程，支持开启父级（校级）抽查，支持开启子级（院级）自查。支持按条件筛选论文或教师。支持手工分配、随机分配抽查任务或者由抽查人自主领取任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（4）抽查任务办理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支持对分配给自己的任务进行办理，可查看课程基本信息、预览相关材料，填写抽查记录表。支持自主领取抽查任务进行办理。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（5）抽查结果统计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支持对抽查数据进行统计分析，支持按抽查课程或教师、按教学单位统计、按抽查人统计。提供课程的院校两级抽查分数和抽查标签，支持院管理员向校级任务推荐课程或教师。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2.21.4教师自评</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教师自评模块需实现教师自我教学评价。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（1）任务管理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可发起教师自评任务，应支持自定义设置评价起止时间范围、评价教师范围、课程属性范围、评价方式（每位教师评价一次或每位教师的每个课程评价一次）、评价指标。</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（2）教师自评</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教师可登录系统进行自评，可查看评价状态、自评得分。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（3）评价结果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可查看教师自评评价结果和评价详情。</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（4）教师自评分析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对教师自评数据进行统计分析，需提供图形化的展示界面。可分析教师得分排行、各院系教师分数段分布、教师自评覆盖率、教师各院系自评率，可展示指标体系各选项的选择人数及比例。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2.21.5教师评学</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教师评学模块需实现任课教师对班风、学风情况进行综合评价打分。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（1）任务管理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可发起教师评学任务，应支持自定义设置评价起止时间范围、评价教师范围、评价指标。</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（2）教师评学</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教师在给学生上完课后可以对整个班级学风班风情况进行打分，填写评价表，领导可查询各学院评学情况，也可查询本校评学整体情况。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（3）学生反馈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班级学生可看到教师评学的评价结果，学生和老师之间可以进行反馈互动。能支持开启匿名反馈。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（4）教师评学分析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支持对教师评学数据进行统计分析，需提供图形化的展示界面。可分析班级覆盖率、各二级院系覆盖率，可展示指标体系各选项的选择人数及比例。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2.21.6部门评价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要求能支持以部门为单位对教师或教师+课程的评价。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（1）任务管理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学年学期发起部门评价任务，支持自定义指定评价指标、评价时间范围、评教维度（教师或教师+课程），支持指定各学院评价数据转入人和评价负责人，支持指定多人，能支持开启评教对教师匿名。转入评价数据后可发布任务进行部门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（2）部门评价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支持部门评价负责人对本部门教师进行评价，支持填写对教师/教师+课程的评价记录表。能按评价状态、教师名称或课程名称进行检索。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（3）评价结果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管理员和部门评价负责人可查看部门下课程和教师的被评结果，能按部门、按教师、按课程三个维度查看。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（4）我的评价结果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支持被评教师 “按教师维度”和“按教师+课程维度”查看本人的被评结果。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（5）排名分析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支持对所有参评部门下被评教师进行排名。</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2.21.7教研室评价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要求能支持以教研室为单位对教师或教师+课程的评价。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（1）任务管理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学年学期发起教研室评价任务，支持自定义指定评价指标、评价时间范围、评教维度（教师或教师+课程），支持指定各教研室评价数据转入人和评价负责人，支持指定多人，能支持开启评教对教师匿名。转入评价数据后可发布任务进行教研室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（2）教研室评价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支持教研室评价负责人对本教研室教师进行评价，支持填写对教师/教师+课程的评价记录表。能按评价状态、教师名称或课程名称进行检索。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（3）评价结果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管理员和教研室评价负责人可查看教研室下课程和教师的被评结果，能按教研室、按教师、按课程三个维度查看。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（4）我的评价结果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支持被评教师 “按教师维度”和“按教师+课程维度”查看本人的被评结果。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2.21.8教师综合评价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教师综合评价需以平时对教师的过程性评价数据为依据，对平时的督导评价、领导评价、同行评价、学生评教、教学资源评价等各个评价项设置权重比例，得出教师的综合评价分数。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（1）评价规则设置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应支持按分项评价和分组评价设置综合评价规则。</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分项评价规则：应支持自定义各个评价项（如：督导评价、领导评价、同行评价、学生阶段评等）的权重比例，应支持自定义设置开启校级复核评价结果以及综合评价结果排序规则。</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分组评价规则：应支持将多个评价项分成多个组合（如：将督导评价、领导评价、同行评价组合为一组，学生评教单独为一组，一个评价项只能存在于其中一组），支持自定义各个评价项的权重比例，各组可自定义是否开启院级评价及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（2）学院总体评价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使用分组评价规则，当各分组开启院级评价时，学院可参与综合评价过程，应支持学院经办人对该组总体评价结果进行修改，在原来的结果分数基础上可进行加分和减分，填写加分减分原因，并提交送审。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（3）学院总体评价审核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使用分组评价规则，当各分组开启院级评价和院级审核时，应支持学院对总体评价的结果进行审核。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（4）学院总体评价结果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应支持对学院总体评价的各个评价项分数和总体评价结果进行统计，支持按教师统计和按课程进行统计。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（5）校级综合评价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开启校级审核时，应支持校级对综合评价的最终得分进行复核修改，提交最终评价结果。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（6）教师综合评价结果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应支持对教师综合评价结果进行统计分析，应支持按课程统计、按教师统计综合评价结果，支持按照排序规则进行结果排序和等级转换。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2.21.9教学检查意见反馈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教学检查意见反馈应支持学校教学管理相关部门进行意见反馈，支持反馈学生意见、教师意见、督导意见等多种意见类别，可按照不同意见类别对反馈意见进行分类管理。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（1）意见反馈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应支持学校教学管理相关部门人员进行意见反馈，如：反馈学生意见、教师意见、督导意见等各类意见，在线填写意见内容，应支持上传附件。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（2）意见处理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应支持通过工作流自定义反馈处理流程，可直接处理或向上反馈，应支持针对反馈意见发起反馈任务，指定责任部门和责任人进行反馈办理。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（3）任务办理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应支持相关责任人对下发的反馈任务进行办理，支持上传办理的相关附件材料及任务办理说明。</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（4）结果统计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应支持对教学反馈意见进行查询统计，支持导出反馈结果统计、导出反馈意见详情。</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2.21.10督导日常巡查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督导日常巡查模块需为督导在日常巡查工作中建立线上问题反馈、整改机制。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（1）巡查记录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应支持查询巡查记录信息，并可支持新建巡查单，巡查单可上传附件或者照片，支持提交存档或针对需整改的提交至质控处领导审核，支持导出巡查信息列表。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（2）巡查整改审核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质控处领导查询巡查记录信息及状态，针对整改通过的任务可进行查阅存档。支持质控处对巡查单是否整改进行审核，可对巡查单整改意见进行修改。应支持对某个职能部门发起整改任务，支持指定负责人、设置整改反馈日期。</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（3）整改反馈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应支持整改职能部门查询本部门需整改的任务信息及状态，并可填写整改反馈、上传附件，并发起整改审核，也可退回整改任务。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（4）整改反馈审核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应支持整改职能部门负责人查询整改反馈信息及状态，可查看具体整改反馈内容、下载附件，根据整改任务完成的反馈情况进行审核。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（5）结果统计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应支持按被巡查地点、整改部门、巡查督导统计被巡查次数、整改次数以及整改任务状态。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2.21.11信息员服务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信息员服务模块需实现学生信息员反馈机制，让质量管理部门及时了解教学质量相关情况。信息员通过线上便捷的渠道及时反馈信息至相关部门，以便及时发现并处理问题。</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（1）信息员站</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应支持学生申请成为信息员。可查看申请状态、审核时间。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（2）信息员管理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设置学校信息员中心负责人、学院信息员站长，应支持对全校信息员进行查看、统计管理，可根据班级设置信息员，一个班可设置一个或多个信息员。查看信息员在职状态、反馈数，应支持单个或批量对信息员进行考核（优秀、合格、不合格等）。应支持查看各学年学期历史数据，包括历史信息员配置情况、考核结果汇总及反馈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（3）信息员审核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对信息员申请信息、信息员辞职申请进行审核处理。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（4）信息员反馈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应支持查看信息员反馈信息、反馈状态和反馈办理记录。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（5）反馈处理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应支持查看信息员反馈详情，对反馈信息进行处理。应支持按反馈状态进行检索，并支持一键催办。</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（6）任务办理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统计任务办理数据，查看反馈时间、发起任务状态、反馈办理记录。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（7）结果统计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应支持统计各个学院信息员的反馈次数、已解决、待处理、发起任务、任务未完成的数据。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2.21.12调查问卷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调查问卷模块需提供调查问卷的在线创建、设计、发布、问卷填写、问卷结果统计分析的功能。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（1）问卷列表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建立调查问卷题库，提供问卷的创建、编辑、答卷人范围设置、外观调整、发布、问卷结果分析、答卷情况统计、问卷报告的功能。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问卷编辑：应支持设置选择题、问答题、填空题、评分题、矩阵题、高级题型等多种题型，并要能提供日期和时间、分页、分割线、图片展示、图片轮播、手机号验证的格式组件，针对评分题要能支持数据评分、星级评分、滑块评分三种方式。针对每种题型可设置组件属性，如组件占位栅格、是否必填、是否显示标签等。能支持题目复制、批量导入题目，支持问卷预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外观设置：支持自定义配置问卷外观，如设置LOGO、头图、背景、按钮等，可预览手机端和电脑端的问卷外观。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问卷设置：提供范围设置和匿名设置功能，范围设置能支持设置问卷调查用户范围，匿名设置能支持校内匿名和公共匿名。</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问卷发布：要能支持二维码发布和链接发布两种方式。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答题明细：要能查看每个答卷人的答题情况汇总，导出答卷明细和答题附件。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问卷分析：提供每种题型的基础统计分析，支持对不同题型分别提供多种图表格式，包括表格、饼图、圆环、柱图、条形图、折线图和雷达图。支持根据答卷人的角色、单位、职称、年龄、年级、专业提供归类分析。支持导出答卷分析报告。</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问卷回收：支持对问卷的填写情况进行分析，提供不同院系、教研室的应填、已填、未填、院系填写率分析，支持下钻查看填写明细。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（2）我的问卷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支持教师、学生用户通过链接地址或扫描二维码参与问卷调查，支持查看本人需填写的问卷列表。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2.21.13综合分析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（1）教师评价画像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可分析每位教师的评价情况，形成教师综合评价画像，可按教师的督导、领导、同行、学生评、自评、资源评等评价类别进行综合画像分析；可按不同评价类别查看教师的分类评价情况；支持教师的定量指标、定性指标分析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通过雷达图展示教师个人在督导评价、领导评价、同行评价、学生评价的结果。支持通过教师评价画像对教师的教学质量进行总体描绘，包括查看教师个人指定学期的听课评价平均分、学生评价平均分以及综合评价的结果及近三个学期的历史评价结果趋势。支持对教师的学生评价结果进行强项指标、弱项指标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（2）评价报告</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能根据各类评价类别按时间一键生成各类评价报告，包括听课评价报告、学生评教报告、课程评价报告、教师个人报告，支持导出成WORD或PDF格式。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能支持按学年、学期、自然年、自由选择时间段生成各类评价报告。</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（3）教学督导大屏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能按学年学期展示督导教学听课相关内容，包括听课人排名、听课次数和覆盖率、月度听课情况、听课反馈、听课指标分析和各单位听课情况。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（4）在线听课大屏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支持对接学校智慧教室的摄像头和录播设备，为督导、领导、同行等各类听课人提供更加便捷的在线听评课服务。同一教室能支持主讲台、学生视角和桌面视角三个不同视角。</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（5）学生阶段性评教大屏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能按学年学期和评价任务展示学生阶段评价相关内容，包括参评情况分布、参评人数和覆盖率、评教指标分析、教师评价结果分布、课程评价结果分布、学生评价意见。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（6）学生过程性评教大屏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能按学年学期展示学生过程评价相关内容，包括学生反馈意见、评价重要指标和评教结果分析。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2.21.14听课配置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听课配置模块需提供多维听课评价设置，包括听课指标管理、工作量配置、课表信息管理。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（1）听课指标管理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针对各评价类别，系统需提供统一的指标库管理服务，应支持根据学校各评价类别的指标要求，自定义设置多级指标，应支持预览评价表。可根据实际要求设置指标名称，支持设置主观评价和客观评价，分级评价的等级内容可自动关联指标库设定的等级。系统可根据最终打分情况计算得出总得分。可根据学校实际要求，针对性设定部分指标为“汇总指标”，最终统计汇总的评价指标数据仅面向设定为“汇总指标”的指标项。提供便捷的指标复制、评价表预览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督导、学生、同行、领导、教学资料检查等评价时支持直接打总分（不按分项打分）。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（2）工作量配置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支持根据不同听课角色、所适用的单位及听课人在职状态，按听课次数或学时对听课工作量批量设置或及个别设置，并支持统一设置。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（3）课表信息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提供课表信息管理服务，应支持批量导入课表信息或单独录入课表，应支持对新增的课表信息进行审核操作，审核通过后方可被听课。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2.21.15移动端服务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2.21.15.1通用移动服务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消息中心：应支持查看待处理、待审核、提醒和反馈等消息。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任务办理：应支持反馈任务办理，查看待办理、已办理的任务信息。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待审核：查看、处理待审核的任务信息。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2.21.15.2调查问卷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用户能通过移动端在线填写调查问卷。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2.21.15.3督导日常巡查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日常巡查记录：应支持督导查看日常巡查记录信息、支持督导提交日常巡查单，并提交存档或针对需整改的巡查事项提交质控处审核，质量管理员可通过移动端进行日常巡查单的审核处理。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质控处查看与审核：应支持质控处查看巡查记录信息，应支持对需整改的巡查事项进行审核。应支持修改巡查单整改意见，对某个职能部门发起整改任务、支持设置整改反馈日期、支持对巡查单进行存档。</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职能部门整改反馈：应支持整改职能部门查看整改任务记录，支持对整改任务填写整改反馈并提交给部门领导审核，应支持整改任务退回。</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职能部门负责人审核：应支持整改职能部门负责人查看整改任务记录、支持对整改反馈进行审核。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2.21.15.4听评课专家移动服务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督导评价：应支持督导查看评价任务、预约听课、进行评价、取消听课，支持督导与教师反馈互动。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同行评价：应支持同行查看评价任务、预约听课、进行评价、取消听课。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领导评价：应支持领导查看评价任务、预约听课、进行评价、取消听课。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专项评价：应支持查看专项评价任务、预约听课、进行评价、取消听课。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2.21.15.5教师移动服务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我的阶段评：应支持查看学生阶段评教信息。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我的随堂评：应支持查看学生随堂评教信息。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发起随堂评：应支持教师按课表发起随堂评价，自动生成二维码，学生通过扫描该二维码登录移动端提交随堂评价。可在图形化课表界面中选择需要进行随堂评价的课程，并选择随堂问卷指标。</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听课反馈：查看被听课反馈，回复反馈。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教师评学：查看教师评学任务、进行评价。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教师自评：查看教师自评任务、进行评价。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申请听课：教师可申请听课。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2.21.15.6学生移动服务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阶段评价：应支持查看阶段评价任务、进行评价。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随堂评价：应支持查看随堂评价任务、进行评价，也支持通过手机扫描任课老师出示的二维码进行快捷提交随堂评价。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信息员反馈：应支持提交信息反馈、查看反馈处理进度。</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教师评学反馈：查看教师评学详情、进行反馈沟通。</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课堂在线：应支持根据教师发起的课堂活动进行课堂签到、课堂提问、参与主题讨论、随堂评、反馈；支持查看学习资源和学习笔记。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2.22实验室管理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2.22.1系统初始化设置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1.总体要求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（1）总体功能：系统基于B/S架构，可兼容谷歌浏览器、火狐浏览器、360浏览器等，须在本地服务器上安装部署。</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（2）具备功能完整性和统一性，通过单个软件系统、单个管理后台、单个数据库即可满足以下全部平台模块的技术参数要求，不接受将多个软件进行组合以满足参数要求的产品。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2.实验室运行参数设置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（1）系统中的该功能可以配置系统中的运行参数，包括系统名称、系统logo、登录页背景、缓存时间、上传文件大小、上传文件白名单、访问限速、分布式部署的文件服务器等运行参数；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（2）可以配置邮件服务器的SMTP主机、是否启用SSL、邮件服务器账号及密码；可以配置通过邮箱找回密码的默认邮件及验证码等；支持企业微信客服设置，实现PC端和微信端的人工客服和智能客服支持。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（3）系统设置：提供功能菜单、数据字典、工作台快捷方式、学期设置、运行参数、模板管理、数据备份等设置。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（4）运维监控：提供文件归档、运行状态、接口调用日志、在线用户、数据导入日志等功能。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（5）系统模板：①模板管理：系统中的模板可以自动从数据库中抽取业务数据，按指定的表格内容和格式生成Word文件；模板可以按需新建、修改、删除、上传和预览。②模板基本信息：可对每一个模板设置</w:t>
      </w:r>
      <w:r>
        <w:rPr>
          <w:rFonts w:hint="eastAsia" w:ascii="仿宋" w:hAnsi="仿宋" w:eastAsia="仿宋" w:cs="仿宋"/>
          <w:sz w:val="28"/>
          <w:szCs w:val="28"/>
        </w:rPr>
        <w:t xml:space="preserve">模板名称、所应用的平台、所适用的业务类型、模板用途描述等基本信息。③数据标签设置：提供公共数据标签，可按照模板格式在自动生成的Word表格中显示用户姓名、性别、学号或工号、邮箱、手机号、联系地址、所属部门、所在专业、所属学院、职务等信息；提供平台数据标签，可按照模板格式在自动生成的Word表格中显示该平台特有的数据信息，如指导教师等信息；④提供审核意见数据标签，可按照模板格式在自动生成的Word表格中，按照业务流程所设定的各个审核流程，分别显示各审核流程的审核意见、审核人、审核结果、手写签名图片和审核日期。</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（6）运行参数设置：系统中的该</w:t>
      </w:r>
      <w:r>
        <w:rPr>
          <w:rFonts w:hint="eastAsia" w:ascii="仿宋" w:hAnsi="仿宋" w:eastAsia="仿宋" w:cs="仿宋"/>
          <w:sz w:val="28"/>
          <w:szCs w:val="28"/>
        </w:rPr>
        <w:t xml:space="preserve">功能可以配置系统中的运行参数：①包括系统名称、系统logo、登录页背景、缓存时间、上传文件大小、上传文件白名单、访问IP黑名单、访问限速、分布式部署的文件服务器等运行参数；②可以配置邮件服务器的SMTP主机、是否启用SSL、邮件服务器的账号及密码；可以配置通过邮箱找回密码的默认邮件及验证码等等。③客服设置：可以设置移动端客服系统的访问网址，在移动端可以点击客服图标，在微信中联系技术客服进行答疑；④密码重置提醒邮件模板：支持配置邮件模板，当用户使用邮箱重置密码时，可按模板格式向用户的邮箱发送验证码；⑤首次登录</w:t>
      </w:r>
      <w:r>
        <w:rPr>
          <w:rFonts w:hint="eastAsia" w:ascii="仿宋" w:hAnsi="仿宋" w:eastAsia="仿宋" w:cs="仿宋"/>
          <w:sz w:val="28"/>
          <w:szCs w:val="28"/>
        </w:rPr>
        <w:t xml:space="preserve">设置：可以设置首次登录规则，要求用户首次登录时修改密码、验证手机号格式、要求学生更改个人电话和家长电话、要求老师更改个人电话。⑥预警设置：支持对学生打卡行为设置提醒开关、提醒频次、提醒内容模板；支持对货物库存情况设置提醒开关、提醒时段、提醒频次和提醒内容；支持对审批审核业务进行预警提醒，如审核通过提醒和审核不通过提醒等等。⑦手机考勤设置：支持通过网页设置手机移动端的打卡考勤规则，包含打卡距离、补签天数、打卡时间范围、强制手机端即拍即传照片、监测打卡是否异常、监测打卡的学生是否有实践单位和是否有购买学生保险。</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接口日志：实时记录用户操作日志，可全程记录用户的登录操作和登录后的每一步操作，包含操作人、调用的接口地址及页面地址，输入参数、输出数据等；记录任何操作行为的操作设备、浏览器信息、屏幕分辨率，IP地址，操作的日期时刻、页面执行时间等信息。须在服务器上保存不少于六个月的日志，以满足</w:t>
      </w:r>
      <w:r>
        <w:rPr>
          <w:rFonts w:ascii="仿宋" w:hAnsi="仿宋" w:eastAsia="仿宋" w:cs="仿宋"/>
          <w:sz w:val="28"/>
          <w:szCs w:val="28"/>
        </w:rPr>
        <w:t xml:space="preserve">公安机关或国家网信部门，确保系统建设符合国家网络安全法律法规要求。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3.软件仓库</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拖放式产品组装：①功能配件：可对各级功能菜单进行新增、编辑、排序和删除管理，亦可对各系统菜单的名称、功能图标、链接地址、是否启用、是否支持数据权限设置等进行设置。配置按钮功能中，可以添加和删除页面中的功能按钮，并可设置</w:t>
      </w:r>
      <w:r>
        <w:rPr>
          <w:rFonts w:hint="eastAsia" w:ascii="仿宋" w:hAnsi="仿宋" w:eastAsia="仿宋" w:cs="仿宋"/>
          <w:sz w:val="28"/>
          <w:szCs w:val="28"/>
        </w:rPr>
        <w:t xml:space="preserve">按钮在页面的工具栏显示或在数据列表中显示；可以对按钮的名称、排序、数据交互接口地址等进行配置。②分列组装：分列显示可组装的功能模块配件和已组装的功能模块，可从功能配件列表中将平台、模块、页面等功能配件以图标拖曳的方式，拖放到已组装的功能模块列表，并可在已组装的功能模块列表设置功能页面名称和图标等。③模块通用性：通用功能配件可以拖放到不同的平台、模块，即拖即用，无需二次开发即可在多个模块同时使用所组装的功能。④组装效果：要求从功能配件列表中拖放组装后，经过授权，用户即可看到新增加功能页面并可使用各种操作按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2.22.2信息门户中心</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1.总体要求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信息门户中心位于实验实训室综合管理系统的最上层，是覆盖全校的、统一的综合信息服务平台，为各类用户提供信息发布、访问控制、系统登录或统一身份认证等信息服务，为用户提供统一信息服务入口。</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2.部门及用户管理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部门管理：①可以管理部门名称、上级部门、部门编码等基础信息；②部门级别自定义：支持通过数据字典对部门级别进行任意级别的自定义配置，如办学集团、学校、校区、学院、专业系、专业、班级等；③部门负责人：支持为每一个部门设置多名部门负责人，选择部门负责人的时候，可以动态地显示已选部门负责人的数量，并可单独查看已选中的部门负责人记录；④支持部门数据的导入和导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（2）班级与学制：支持管理班级的名称、学制、院系、专业、年级、学生人数、毕业状态等信息；数据管理：支持班级数据的导入和导出，并可批量设置班级的毕业状态。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3.人员账户信息管理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基于数据权限的用户管理：支持各部门的管理者按照系统分配的数据权限，对其所管部门、所在部门、所管理企业、所在企业以及其他任意指定部门的教师、学生、企业用户进行管理，禁止对数据权限以外的部门用户进行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（2）动态导入导出：提供用户导入和导出功能，支持动态生成用户导入模板，导入模板中的用户部门、用户角色、用户类型等选项须与系统中的最新数据保持动态一致；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（3）密码管理：提供为用户重置初始密码和修改密码等两种密码管理功能；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（4）账号切换：按照用户的数据权限，授权用户可无需用户密码，直接切换到本部门及下级部门的任意普通用户账号登录系统，以便查看该用户的使用状况。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4.角色授权</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（1）提供灵活的角色授权管理机制，角色自定义增加或修改删除，角色权限管</w:t>
      </w:r>
      <w:r>
        <w:rPr>
          <w:rFonts w:hint="eastAsia" w:ascii="仿宋" w:hAnsi="仿宋" w:eastAsia="仿宋" w:cs="仿宋"/>
          <w:sz w:val="28"/>
          <w:szCs w:val="28"/>
        </w:rPr>
        <w:t xml:space="preserve">理须全面涵盖资源权限、操作权限、数据权限等三种权限类型。①资源权限：可控制用户能访问哪些页面；②权限按钮：类型包含工具栏按钮、数据列按钮两种类型；操作权限可控制每个页面中工具栏按钮对指定角色是否可见，也可以设置页面操作列中的各项操作是否开放，从而控制用户在这些页面能进行哪些操作（如增、删、改、查、审、导等）；③数据权限：可以进行数据授权，规定各类角色用户可以看到的业务数据范围；可授权的数据范围须包含所管部门、所在部门、所管企业、所在企业等类型；并可跨部门指定任意的职能部门、院系、专业、班级进行部门数据授权。</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5.文档提交管理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（1）文档设置：支持灵活设置任意数量的文档提交任务，以便收集各种工作文档，并按需进行评分审核。①基本信息设置：可以设置每项</w:t>
      </w:r>
      <w:r>
        <w:rPr>
          <w:rFonts w:hint="eastAsia" w:ascii="仿宋" w:hAnsi="仿宋" w:eastAsia="仿宋" w:cs="仿宋"/>
          <w:sz w:val="28"/>
          <w:szCs w:val="28"/>
        </w:rPr>
        <w:t xml:space="preserve">文档提交任务的名称、所属功能平台、指定角色作为提交人、对应的审核流程、前置流程（即规定用户须提交前置流程所规定的文档之后才能提交当前设置的文档）、提交文档的有效起止日期、设置超期扣分额度（即在设定的分值范围内按超期天数自动扣分）。②提交周期设置：支持一次性提交和周期性提交两种类型的文档提交任务。其中，一次性提交是指提交人可以多次提交并保留历次提交记录，但以最新的为准；周期性是指按指定周期和次数进行提交，如可以设定10天为1个周期，每个周期内提交5次，每次记录都可以单独进行审核。③提交类型设置：提供附件上传型</w:t>
      </w:r>
      <w:r>
        <w:rPr>
          <w:rFonts w:hint="eastAsia" w:ascii="仿宋" w:hAnsi="仿宋" w:eastAsia="仿宋" w:cs="仿宋"/>
          <w:sz w:val="28"/>
          <w:szCs w:val="28"/>
        </w:rPr>
        <w:t xml:space="preserve">、模板生成型、文本输入型三种提交类型。附件上传型可以要求用户在该文档提交任务中提交多个附件；模板生成型可以上传带表格的Word模板，并设置所要求用户输入的内容项目，由系统自动将用户输入的文字按模板生成带表格的Word文件；文本输入型可以要求用户提交纯文字的内容。④评审设置：可以对每项文档提交任务设置评审模式进行评阅，可设置的评阅类型包括专家组评阅、个人评阅、指导教师评阅，以通过指定的评阅类型，分配评阅人进行评审；支持上传Word版评审意见格式模板，并能将评审意见按照格式模板生成带表格的Word版评审意见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（2）文档提交：教师和学生可以按照以上文档设置的要求，提交学校所要求的提交的各种文档，包括但不限于提交工作日志、周记、专项报告、总结材料等等。所需提交的资料名称、类型及要求由管理者设定。</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文档评阅：①通过“文档设置”功能，设置各类文档的评阅评分标准，以供评阅人按标准进行评阅和评分；亦可对各文档类型单独设置是否启用教师交叉评阅和专家组评阅。②交叉评阅：各级部门管理者可在数据权限范围内，为本部门用户所提交的文档设定评阅人类型；③专家组评阅：各级部门管理者可以对不同的文档提交任务创建不同的专家评阅组，分配评阅委员，指定评阅组组长，以便评阅人撰写评阅意见和评分；④文档管理：各级管理者可按数据权限，管理本部门及下级部门用户所提交的各种文档，并可进行附件归档、数据归档、打包下载和记录导出等操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档案管理：文件归档分为公共文档和个人文档两种类型，支持按无限级别的树形图显示文件夹；各级文件夹皆可存放档案袋，档案袋可记录档案名称、归档人、归档时间、业务名称、模块名称、菜单名称、页面地址、页面名称、文档来源等信息，并可右键下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2.22.3审批大厅</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1.审批大厅</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▲（1）审核任务：①审批大厅：支持将所有审批集中放置在审批大厅中，用户在登录系统后，系统会根据用户所在的部门、角色、所管理的流程，给用户推送他所需要承担</w:t>
      </w:r>
      <w:r>
        <w:rPr>
          <w:rFonts w:hint="eastAsia" w:ascii="仿宋" w:hAnsi="仿宋" w:eastAsia="仿宋" w:cs="仿宋"/>
          <w:sz w:val="28"/>
          <w:szCs w:val="28"/>
        </w:rPr>
        <w:t xml:space="preserve">的审核任务；用户只需要在审批大厅中操作，即可完成所有需要该用户来审核的流程。②集中审核：系统中各项业务的审核操作都可以集中在工作台的业务审核中心完成，业务审核中心可根据不同的审核业务，显示该业务对应的审核内容和各审核环节的信息；可按业务类型、待审核人、审核状态进行查询；对同类业务的多个审核单，可以进行批量审核。③审批评分：审核流程可以设置审核时是否需要输入评分；可强制要求用户在审核的时候提交审核意见，并可按百分制进行评分。④审批进度：支持查看当前审批事项的审核人、审核时间、审核结果、审附件、备注意见等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工作台：①办事进度：支持显示当前用户的办事进度统计，含已提交、审批中、已通过、未通过、待审核等事项的数量；②通知消息：支持显示最新通知和最新系统消息；③常用功能：能根据用户权限显示当前用户有权查看的功能模块，点击可直达该功能页面；④物品流动记录：可分类显示当前用户的物品领用、借用、保管、报修、报增和报废记录；⑤归还提醒：自动显示当前用户已超期未归还的借用信息，自动计算超期天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 工</w:t>
      </w:r>
      <w:r>
        <w:rPr>
          <w:rFonts w:hint="eastAsia" w:ascii="仿宋" w:hAnsi="仿宋" w:eastAsia="仿宋" w:cs="仿宋"/>
          <w:sz w:val="28"/>
          <w:szCs w:val="28"/>
        </w:rPr>
        <w:t xml:space="preserve">作台布局管理：①多角色独立布局：系统支持按用户角色类型分别配置独立的工作台首页布局，提供角色切换选择器，切换目标角色后画布区域自动加载该角色已保存的组件排列方案。②组件面板管理：页面列出系统中的可视化组件，每个组件以卡片形式展示，包含组件图标、组件名称及编辑按钮；支持创建自定义组件，填写组件标识、组件名称、组件图标、类型和默认尺寸等信息。③画布可视化编排：画布区域采用网格布局，已添加的组件以卡片形式按网格排列；每张组件卡片顶部工具栏包含拖拽手柄、列宽度快捷切换按钮组、配置按钮及移除按钮；卡片内部根据组件类型</w:t>
      </w:r>
      <w:r>
        <w:rPr>
          <w:rFonts w:hint="eastAsia" w:ascii="仿宋" w:hAnsi="仿宋" w:eastAsia="仿宋" w:cs="仿宋"/>
          <w:sz w:val="28"/>
          <w:szCs w:val="28"/>
        </w:rPr>
        <w:t xml:space="preserve">渲染不同的静态预览效果，实现所见即所得的可视化编辑体验。④组件类型与深度配置：系统内置多种组件类型，每种均有专属配置项；可配置的组件至少包含统计卡片、消息卡片、数据卡片、图标卡片、审核卡片、图表卡片等6种卡片。⑤通用样式与交互配置：所有组件类型均支持设置背景颜色、背景图片、组件跳转链接、链接显示文字，提供组件删除功能。⑥自动保存与实时反馈：画布中所有操作，包括拖拽排序、更改列宽、添加组件、移除组件等，自动保存，无需手动点击保存按钮；整个构建器采用数据驱动渲染，画布卡片与布局数据双向联动，保证配置所见即所得。</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2.工作流引擎</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（1）审批业务配置：可以新建并配置审核业务，含业务名称、业务配置信息、业务描述等。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（2）审批流程配置：可以对每项业务添加和管理审核流程，可设置审核流程的名称和该审核流程所适用的部门（含全校适用和指定部门适用两种方式）。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审批节点设置：①并审与或审：可以添加和管理任意数量的审核节点；每个审核节点皆可设置并审、或审两种审核方式，并审要求获得全部审核人审核通过，或审只要求审核人中任意一人通过即可；②14种审核主体：每个审核节点皆可指定审核主体，提供设置指定专人审核、各类指导老师、校内指导老师、校外指导老师、指定角色、指定部门的负责人、指定部门的任意人、指定级别的上级部门负责人、申请人所属部门的某个上级部门的任意人</w:t>
      </w:r>
      <w:r>
        <w:rPr>
          <w:rFonts w:hint="eastAsia" w:ascii="仿宋" w:hAnsi="仿宋" w:eastAsia="仿宋" w:cs="仿宋"/>
          <w:sz w:val="28"/>
          <w:szCs w:val="28"/>
        </w:rPr>
        <w:t xml:space="preserve">、申请人所属部门的某个上级部门中具备某种角色权限的任意人、所属部门的负责人、所属部门的特定角色、项目经费负责人、项目经费主管部门负责人等14种审核人选取方式；③审核评分：每个审核节点皆可设置评分方式，规定审核人在提交审核意见的同时，是否进行评分。④审核节点流转：可以对每个审核节点设置多个流转条件，一旦流转条件满足（如等于、大于、小于、不等于、包含等），则自动跳转到指定节点，由负责该节点的审核人进行审核。⑤适用范围：系统中所有需要审核的业务皆需采用自定义的审核流程进行审核，可随时调整审核流程，以满足实际需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2.22.4实验实训室综合信息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1.总体需求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实验实训室综合信息中心是实验实训室管理系统能正常运转的框架与核心，承载实验实训室基础信息、实验实训室队伍、仪器设备基础信息等综合数据信息。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2.实训室基础信息管理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系统提供完整而实用的实训室信息管理，可管理的信息包含实训室名称、实训室编号、实训室类别、建制级别、建立年份、实训室类型、负责人、所属部门、房间信息、使用面积(㎡)、设备总数、设备总值、实训项目数、开设课程数、工位数、预约开放、平面图、是否虚拟实训室、是否应用技术研发中心、是否培训基地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（2）楼栋与场地信息：①树形图展示：系统</w:t>
      </w:r>
      <w:r>
        <w:rPr>
          <w:rFonts w:hint="eastAsia" w:ascii="仿宋" w:hAnsi="仿宋" w:eastAsia="仿宋" w:cs="仿宋"/>
          <w:sz w:val="28"/>
          <w:szCs w:val="28"/>
        </w:rPr>
        <w:t xml:space="preserve">以树形图的方式，按实训室的所在楼层房间、所属建制级别、所属院系专业等维度进行分类查看和管理，点击各级树形图节点，皆可显示该节点下的所有实验室；除了对实训室进行基本的增加、修改、删除、查询操作之外，还须提供课程关联、预约开放、导入实训室、导入设备、导出实训室、导出设备、数据归档、安全准入设置等操作按钮，点击每个操作按钮皆可打开相应的功能页面；③查看实验中心：以树形图的方式显示实验中心列表，可查看实验中心的基本信息以及下设各实验室(分室)的名称、建立日期、负责人、房间信息、使用面积、设备总数、设备总值、工位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系统提供实验中心（实训基地）信息管理功能，符合教育部数据上报要求，支持导出数据报表。支持向实验中心、实训基地添加实验室或实验分室，并管理中心(基地)名称、编号、管理单位、依托单位、适应专业、类别、建立日期等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3.实训室人员管理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人员基本信息：提供人员基本信息的维护、浏览及检索功能。可管理的信息包括学校代码、人员编号、实训室编号、实训室名称、姓名、性别、出生年月、所属学科、专业技术职务、文化程度、专家类别、国内学历和非学历培训时间、国外学历和非学历培训时间等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（2）实训室人员任命管理：可单独或批量任命指定实训室的专职或兼职工作人员，可设置任职期限和任职文号，同时可指定工作人员的角色以及分配系统操作功能。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实验人员培训记录：支持填报培训活动名称、培训类型、开始日期、结束日期、实际天数等培训信息，并可直接修改或更新实验人员的基本信息。提供按学期、培训日期范围、审核状态等维度，查询培训记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▲（4）实验人员值班室管理：①值班室管理：支持按校区、楼、层的树形图结构查看值班室信息，以九宫格</w:t>
      </w:r>
      <w:r>
        <w:rPr>
          <w:rFonts w:hint="eastAsia" w:ascii="仿宋" w:hAnsi="仿宋" w:eastAsia="仿宋" w:cs="仿宋"/>
          <w:sz w:val="28"/>
          <w:szCs w:val="28"/>
        </w:rPr>
        <w:t xml:space="preserve">的形式显示各值班室的房间名称、值班室负责人、值班室内各床位的占用人员信息，并以不同颜色区别显示使用中、暂停使用、空闲中、已预留等四种状态的值班床位；②值班床位管理：支持对值班床位进行禁用和启用设置，支持对不同房间的值班人员的进行互换床位操作；③安排值班人员床位：支持批量为值班人员安排、调整和取消值班床位，并可导出空闲值班床位；④房型图库管理：支持创建和管理各种房型图类型，可上传各类房型的平面图；⑤房型设置：支持自定义命名房型名称，选取并预览房型图片，可不限数量的添加值班人员床位并分别设置排序号、类型和价格。</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2.22.5实验教学管理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1.教学标准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教学标准管理：后台支持通过数据字典自定义教学标准的类型，如教学计划、实训大纲、人才培养方案、专业教学标准、表格模板下载等等任意类型；学校、院系、专业的负责人可以在添加“教学制度”页面输入教学文件的标题，选择教学制度所属部门，上传附件，并按照系统中的部门级别设置，指定特定级别的部门作为文件公开范围以供审核和发布；支持对用户上传的教学文件进行动态审核，可按学校管理流程，自定义审核步骤，从而以便建立校级、院系级、专业级等级别的教学标准体系。</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（2）查看教学标准：用户可以按照数据权限查看所发布的教学标准及附件，支持按教学标准名称、教学标准的类型和教学标准所属部门进行筛选。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2.实验项目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实验项目信息：支持设置实验项目的开设教研室、实验编号、实验名称、专业分类、面向专业、所在实验室、实验类别、实验类型、实验要求、实验者类别、每组人数、计划学时、首开日期、实验指导书、编辑者、是否独立设课、关联课程、开放设置、是否网络教学项目等信息，并提供实验项目的导入与导出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（2）实验目的或要求：支持撰写各实验项目的目的及要求。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实验项目物料设置：①耗材配置：支持为每个实验项目设置开设该实验所需的耗材清单，包含物品名称、品类编码、型号、规格、单位、单价(元)、数量等，并提供移除耗材的操作；②仪器设备配置：支持为每个实验项目设置开设该实验所需的仪器设备清单，包含物品名称、品类编码、型号、规格、单位、单价(元)、数量等，并提供移除仪器设备的操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3.课程管理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课程库管理：①课程信息：支持按数据权限管理课程信，包含课程代码、课程名称、总学分、总学时、理论学时、实践学时、其他学时、课程类型、课程性质、合作类型（学校课程、校企共建、企业课程、其他课程）是否核心课程、考核方式、开课院系、选取课程负责人、课程标准、备注等，其中课程类型、课程性质、考核方式的选项须通过数据字典进行定义。可按课程名称、类型、性质、考核方式、开课部门等进行查询，提供课程信息的导入、导出操作。②课程标准：课程标准以最新的为准，旧的课程标准</w:t>
      </w:r>
      <w:r>
        <w:rPr>
          <w:rFonts w:hint="eastAsia" w:ascii="仿宋" w:hAnsi="仿宋" w:eastAsia="仿宋" w:cs="仿宋"/>
          <w:sz w:val="28"/>
          <w:szCs w:val="28"/>
        </w:rPr>
        <w:t xml:space="preserve">亦可按上传日期保留。③教学项目：支持管理课程相关联的教学项目，支持同一个教学项目可以关联多个课程，同一门课程也可以关联多个教学项目；支持按课程代码批量导入相关联的教学项目，并自动更新教学项目库。④实验项目：实验项目须与教学项目分开管理；支持为课程批量添加和移除实验项目，并可对课程中的实验项目逐一变更项目的实验学时、每组人数、连排要求、性质、排课方式、前置实验等信息，所变更的信息只对该课程生效而不会影响实验项目库中该实验项目的默认值。⑤开课项目：支持向实训课程中批量添加应该开设的实训项目，并可拖动排序；⑥排课</w:t>
      </w:r>
      <w:r>
        <w:rPr>
          <w:rFonts w:hint="eastAsia" w:ascii="仿宋" w:hAnsi="仿宋" w:eastAsia="仿宋" w:cs="仿宋"/>
          <w:sz w:val="28"/>
          <w:szCs w:val="28"/>
        </w:rPr>
        <w:t xml:space="preserve">设置：支持对开设实训项目的课程进行排课设置，包含实训顶目名称、实训顶目编码、开出部门、最新修订日期、实训学时、每组人数、选修和必修性质、管理者排课或学生预约上机的排课方式、排课的连排要求、前置实训条件等；⑦默认授课教师和教学场地设置：在分批分组排课时，可在创建分组分批的时候自动安排授课教师和场地；⑧排课显示：以上设置的更改须真实有效地应用到实训排课功能中，并在排课页面显示该项目默认的实训顶目名称、前置实训设置、每组人数、实训学时、选修和必修性质、管理者排课或学生预约上机的排课方式、排课的连排要求，以便排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4.教学计划</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（1）教学计划管理：①基本信息：支持录入教学计划编号、计划名称、适用专业与年级</w:t>
      </w:r>
      <w:r>
        <w:rPr>
          <w:rFonts w:hint="eastAsia" w:ascii="仿宋" w:hAnsi="仿宋" w:eastAsia="仿宋" w:cs="仿宋"/>
          <w:sz w:val="28"/>
          <w:szCs w:val="28"/>
        </w:rPr>
        <w:t xml:space="preserve">、各学期的教学周数；②教学进度：可以向指定教学计划批量添加课程，并在教学计划的课程列表中显示课程的课程编号、课程名称、课程类型、课程性质、合作类型、是否核心课程、开课院系、考核方式、总学分、总学时、理论学时、实践学时、其它学时、以及各该课程在各学期的开课节数；③课程学时安排：可以对选定课程设置该课程在各学期的每周上课节数、每学期上课周数，并按“每周节数/开课周数”的格式在教学计划中显示，如“4/12”。④复制教学计划：支持对已有教学计划及教学计划所含的课程及学时安排进行一键复制，并添加为新教学计划以供调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5.教学任务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（1）教学任务：支持各学校管理本学校的教学任务，教学任务信息包含课程名称、课程编码、课程性质、总学时、学分、开课部门、开课学期、上课班级等；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（2）提供教学任务的一键导入和一键导出功能。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（3）数据权限：支持为学校，以及下属各学校的管理者分配数据权限，以便其在授权范围内管理本部门可管辖的教学任务。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（4）支持按各专业的实训计划，为指定专业、培养学期、上课学期自动生成教学任务，以供直接排课。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教学班管理：①教学班与自然班分离：支持为每学期开设的每门课程单独生成教学班信息和教学班学生名单，教学班的新建和拆分不得影响自然班的学生名单。②教学班管理：支持按教学计划生成教学班，亦可通过为课程分配行政班的方式创建教学班；③合班与拆班：支持对相同课程下的教学班进行合班，支持教学班重命名操作；拆班操作支持按照拆班数量、拆班策略、班级命名策略等规则一键拆分教学班；④实训项目任选课设置：支持对项目式选课的选课学生容量、主讲教师进行设置；支持设置可学生选课的专业范围，以满足专业限选和公共任选课的选课需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6.实验排课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管辖范围：①数据权限：各学校的管理人员可在授权的数据权限范围内，对所管辖的教学任务进行排课。②排课审核：管理人员排课结果须按照排课审核工作流进行审核。③排课审核流程：支持对排课审批的审批人、审批流程、审批节点和流转条件进行灵活配置。能根据不同的条件自动适配不同的审批流程，由不同的部门和审批人进行审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排课节次设置：①上课节次设置适用于系统的各个相关功能；②管理员可在数据字典中设置节次名称，并添加上课节次；③可对相同节次设置不同时间，并可独立设置每一节课上课时间段的生效月份与失效月份，从而自动满足冬令时、夏令时采用不同上课时间段的需要。④动态课表容量：排课课表中，每天可以排课的节数须根据上课节次设置中的节数自动增加或减少。如：可上课节次由每天8节课改为12节课，则排课课表中每天可以排课的节数自动改为12节，并可以进行拖放式排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实验分组分批：①连排与分组：默认显示课程所含全部实项目的名称、前置实验序号、分组人数上限、分组进度、学时、连排节数要求、排课方式、课程性质等8项实验项目信息，并可批量更改连排节数和分组人数上限；②分组分批：默认显示当前课程的所有开课班级的名称、班级人数和各班在每个实验中的分组情况，并提供单班分拆、合班混拆、单班成组、合班成组等4种分组方式；提供自动分批方式设置，可以根据分批方式中设定的每批所含小组数量，自动将全部小组合并成若干个批次；③生成排课任务：按批次生成排课任务，可</w:t>
      </w:r>
      <w:r>
        <w:rPr>
          <w:rFonts w:hint="eastAsia" w:ascii="仿宋" w:hAnsi="仿宋" w:eastAsia="仿宋" w:cs="仿宋"/>
          <w:sz w:val="28"/>
          <w:szCs w:val="28"/>
        </w:rPr>
        <w:t xml:space="preserve">将批次中所含小组作为一个整体进行拖放式排课操作；④提供合并分批和解散分批功能，可以将选中小组合并成批，亦可将批次解散成组；⑤提供批量分配教师功能：可对选中的多个批次批量分配1名或多名指导教师；⑥提供批量分配实验室功能：选择时实验室时刻自动推荐实验项目指定的实验室，可关闭推荐后可查询选择更多实验室；提供工位冲突检测功能，可在学生数超过工位数时进行提示；⑦预约上机设置：对于‘预约’类型的批次，则可选择多个教室供学生预约，并可指定学生上机的日期范围；⑧学生名单：可以查看、调整各组学生名单并可删除小组及其排课记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实训排课：①便捷性：要求只在一个页面即可完成分批分组、排课任务、排课课表等操作，无需在多个页面之间进行切换。②拖放式排课和双击式样排课：可以将排课任务直接拖放到课表中的排课空位上进行排课，亦可直接在排课空位上双击鼠标完成排课，支持按连排要求自动连排；提供折叠课表的按钮，点击可折叠或展开排课课表。③多周复制：可将选定排课记录复制并</w:t>
      </w:r>
      <w:r>
        <w:rPr>
          <w:rFonts w:hint="eastAsia" w:ascii="仿宋" w:hAnsi="仿宋" w:eastAsia="仿宋" w:cs="仿宋"/>
          <w:sz w:val="28"/>
          <w:szCs w:val="28"/>
        </w:rPr>
        <w:t xml:space="preserve">粘贴到其他各周的相同节次，实现多周批量排课；④更改周次：可将选定排课记录改排到其他周的相同节次；⑤删除排课：可以对选定批次的排课记录进行删除，连排记录可以多节一并删除；⑥排课冲突检测：自动检测前置实验顺序冲突、教师有课冲突、教室场地冲突、学生有课冲突、连排空位不足、设备不足等排课冲突，须在有冲突的节次不可排课。⑦排课审核：支持将已排好的排课信息提交审批，审批流程可以通过工作流进行自定义设置。⑧实时课表：点击任意排课批次和排课分组中的教学班、教师、教学场地即可实时查看教学班课表、任课教师课表和实验实训室课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教师申请实验：①授权教师用户可以为自己新建教学任务，教学任务信息包含课程名称、课程编码、课程性质、总学时、学分、开课部门、开课学期、上课班级等；②授权教师可以对自己创建、以及管理者指派给本人的教学任务进行排课，并提交实验申请以供审核。③教师申请实验的审核流程：支持对教师申请实验相关审批流程的审批人、审批流程、审批节点和流转条件进行灵活配置。能根据不同的条件自动适配不同的审批流程，由不同的部门和审批人进行审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▲（6）教务二次排课：教务系统中已经排了授课教师和上课教室，可使用二次排课功能，以便在教务排课的基础上，批量安排实验项目，实现快捷的二次排课。①自动选</w:t>
      </w:r>
      <w:r>
        <w:rPr>
          <w:rFonts w:hint="eastAsia" w:ascii="仿宋" w:hAnsi="仿宋" w:eastAsia="仿宋" w:cs="仿宋"/>
          <w:sz w:val="28"/>
          <w:szCs w:val="28"/>
        </w:rPr>
        <w:t xml:space="preserve">择节次：进入排课页面后，可给教学班指定排课周次、节次，还可以使用“以此为始按序生成”快捷功能，自动安排排课节次。②任意选择节次：如果项目在课程中不是连续开课，而是间断性开课，如第3周上项目1，第4周上理论课，第5周又上项目2，则可以选中节次，逐一指定用以排课的周节次。③执行排课与撤销：为教学班指定了排课周节次之后，可以批量选中教学班，点击右上角“自动批量排课”，即可完成排课；也可以逐一点击“执行排课”，逐一完成教学班的排课；点击“撤销”可取消排课操作。④更改教师和场地：整班排课会直接沿用教务系统排课时所安排</w:t>
      </w:r>
      <w:r>
        <w:rPr>
          <w:rFonts w:hint="eastAsia" w:ascii="仿宋" w:hAnsi="仿宋" w:eastAsia="仿宋" w:cs="仿宋"/>
          <w:sz w:val="28"/>
          <w:szCs w:val="28"/>
        </w:rPr>
        <w:t xml:space="preserve">的教师和场地。如需更改，可在整班排课时重新指定授课教师或上课场地。⑤业务场景实操：模拟某门实验课程已由教务系统排定每周二的5-6节开课、并已指定授课教师、上课教室的场景，要求在二次排课页面，首先按5个实验项目所需总学时，自动从第1周开始的每周二的5-6节中选定足够的节次空位；其次选中某个教学班并通过“自动批量排课”功能，自动排完5个实验项目的上课节次、场地和教师；然后模拟教师变更和场地变更，对某个已排节次的授课教师和场地进行更改；最后使用撤销排课功能一键撤销以上全部排课记录；整个过程不得切换至其他功能菜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7.理论实践一体化课表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（1）支持多种类型的课表生成和导出功能，可生成的课表类型包含教师课表、班级课表、学生个人课表、实验室课表等，具备课表查看功能。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（2）学校及下级部门可以根据数据权限，管辖本部门的各种课表。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课表信息：①各类课表的上课节次信息须包含实验项目名称、所属课程、上课班级、排课分批分组、上课实验室名称、实验室房间名称、上课周次星期节次信息；②当前教师、班级、教室中尚未安排时间地点的课程信息、调课信息、停课信息；③当前教师、班级、教室中的排课信息汇总：含课程编号，课程名称（课程性质），实验编号，实验名称，学时，学分，实验批次(小组)，批次中所涉及的班级， 上课周次等。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理实一体化课表：要求系统可以为广大老师和学生提供理论课、实验课汇总在一起的总课表，方便师生直观掌握理论、实验上课安排。实验课需体现实验项目名称、课程名称、授课教师、授课周和节次、实验室名称、房间名称等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2.22.6开放预约管理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1.上课节次管理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上课节次设置：①上课节次设置适用于系统的各个相关功能；②管理员可在数据字典中设置节次名称，并添加上课节次；③可对相同节次设置不同时间，并可独立设置每一节课上课时间段的生效月份与失效月份，从而自动满足冬令时、夏令时采用不同上课时间段的需要。④动态课表容量：排课课表中，每天可以排课的节数须根据上课节次设置中的节数自动增加或减少。如：可上课节次由每天8节课改为12节课，则排课课表中每天可以排课的节数自动改为12节，并可以进行拖放式排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2.教室开放设置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开放房间管理：①信息查询：可列表查看各开放实验室的名称、负责人、所属院系、房间信息、工位数、手机考勤设置、提前预约(小时)、最长预约(小时)、预约准入证书条件等信息。②开放预约批量设置：可以添加开放实验室，并对已开放预约的实验室进行批量取消开放、暂停预约、批量设置预约条件、清除开放设置、数据归档等操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（2）房间开放预约设置：①支持对可开发预约的房间设置开放预约规则, 包含学生手机定位签到设置、提前预约设置、预约取消设置、当次预约时长上限、预约准入证书要求（可设定多个证书）、房间电源控制设置等。②支持对多个房间批量设置开放预约规则。③课表管理：支持课表上传和下载操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开放时段管理：①支持对同一个房间添加无限多个的开放时段，各时段不冲突；②时段独立设置：可为该房间的每个开放时段独立设置生效的日期范围、星期几开放、面向校内哪些校级部门或院系或专业开放、开放多少个工位。③添加开放时段的两种方式：提供按上课节次添加、按任意时间段两种方式添加多个开放时段，支持对开放时段进行自定义命名；④开放时段维护：支持对每个开放时段分别进行暂停开放、修改和删除时段的操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3.预约申请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实训室预约资源：①按院系和实训中心显示各部门可预约的实训室数量；按院系列出该院系所开放的所有实训室信息，含实训室照片、实训室名称、房间位置、预约所需准入证书等信息。②预约日历：选中实训室后即可在日历中按月查看该实训室每天的开放状态，包含可预约、已约满和不开放等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预约操作：①在预约日历中点击预约按钮，即可进行预约；②用户可以输入预约工位数、拟完成的实验项目进行预约③多人批量预约：可以从系统用户中选择多名预约人进行批量预约；③个人预约记录：支持在各实验室的预约日历中，显示预约人在该房间的预约记录、预约申请的审核状态、预约人的履约进度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（3）时间轴预约：①选择预约时段：系统根据预</w:t>
      </w:r>
      <w:r>
        <w:rPr>
          <w:rFonts w:hint="eastAsia" w:ascii="仿宋" w:hAnsi="仿宋" w:eastAsia="仿宋" w:cs="仿宋"/>
          <w:sz w:val="28"/>
          <w:szCs w:val="28"/>
        </w:rPr>
        <w:t xml:space="preserve">约时段的设置，按上课节次显示可预约的上课节次以供选取预约时段；②非连续预约：支持间隔性地选择多个不连续的节次进行预约，如预约第1、3、5-8节课；亦可在设置的开放时间段内任意选择多个不连续的时间段进行预约，且不受上课节次的限制，如预约8:15-9:35、12:25-15:15；③时间轴：支持以时间轴的形式，将可预约的上课节次和时间段在一条时间轴上显示，在时间轴上标明每节课或每个时间段的可预约时间，并可动态显示所选时间段的预约工位总数和剩余工位数，以不同颜色分别对已选中、不可约、有工位、已约满的时段进行标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4.预约记录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（1）预约记录：以数据列表的形式显示各预约实验室名称、预约时段、预约工位数、预约人、预约人电话、预约人部门、申请日期、实训室负责人、所属部门、预约进度等。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（2）预约查询：支持按预约人所属部门、实训室所属部门、预约日期范围、进度状态等对预约记录进行查询，可以对预约记录进行逐一和批量取消的操作。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（3）数据权限：不同部门的负责人可以按数据权限查看本部门的预约记录。经授权后，用户可以跨部门查看不同部门的预约历史记录。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5.预约统计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（1）支持以柱状图的形式，统计各院系的预约次数、开放使用人数、开放实验项目数。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2.22.7仪器设备维修管理系统</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1.总体要求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（1）包含仪器设备维修申报、自定义多级审核、维修验收等全流程化业务管理平台。可导出维修记录以及验收明细记录。可按照部门、仪器、维修单位等参数统计维修情况。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2.设备维修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维修申请：①申请：学院资产管理员、仪器设备保管人、其他使用人皆可提交维修申请，并填写故障说明；②派单：管理者可以进行派单操作，为维修申请指定维修人；③报修人可以进行催办操作。④维修审批：提供审批流程自定义设置，支持并审和或审两种审核方式，支持审核节点按条件流转设置，并在审核大厅对设备维修申请进行集中审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（2）维修验收：当设备维修完成后，该维修设置从维修状态转入在用状态。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（3）维修记录：查询维修设备的记录信息。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（4）维修审批设置：根据需要自定义设置维修审批的流程。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3.维保服务评价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评价活动管理：①评价指标项目：支持自定义添加评价指标，并可向评价指标不限数量地添加评测点，可以设置评价指标的启用或禁用状态。②评价指标体系：支持新增和管理评价模板，可以指定校内指导教师、校外指导教师、部门负责人、学生作为评价人，指定校内指导教师、校外指导教师、部门负责人</w:t>
      </w:r>
      <w:r>
        <w:rPr>
          <w:rFonts w:hint="eastAsia" w:ascii="仿宋" w:hAnsi="仿宋" w:eastAsia="仿宋" w:cs="仿宋"/>
          <w:sz w:val="28"/>
          <w:szCs w:val="28"/>
        </w:rPr>
        <w:t xml:space="preserve">、学生作为评价对象，设置评价模板所适用的平台；支持向评价模板中不限数量地添加评价指标，并设置各项指标的权重；可以设置评价模板的启用或禁用状态。③支持新建评价活动，可以设置评价活动名称、选择所用指标体系、设置活动截止日期，并可以根据评价指标体系所适用的评价人、评价对象，或者评价人、评价对象中的指定用户，发布评价任务；评价活动列表能显示各评价活动的名称、评价人、受评人、评价指标数量、创建人、创建时间、审核状态、活动状态、已提交人数、活动完成进度百分比等信息；支持按照评价指标体系、审核状态和评价活动名称进行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提交个人评价：用户可以查看本人的评价任务活动列表，可以在各个评价活动中对各项评价指标的各个评测点进行星评；对于采用相同评价指标体系的多个评价任务可以进行批量评价；系统可根据星评数量和指标权重自动计算并显示综合得分（百分制）；提供评价结果上报操作，上报后不再可以修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评价结果管理：支持按照评价对象及评价活动，列表显示评价对象、评价活动、应评人数、实评人数、截止日期、平均分等信息；管理者可以在系统设定的数据权限范围内，查看评价结果数据；支持按上报状态、评价指标体系查询并导出评价结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4.报废管理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（1）报废申请：仪器设备管理员（学院负责人）填写需要报废的设备，并填写报废原因。</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（2）报废审批：对报废的设置清单进行审批。提供审批流程自定义设置，支持并审和或审两种审核方式，支持审核节点按条件流转设置，并在审核大厅对设备维修申请进行审批。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（3）取消报废：如发现报废失误可以对已报废设置进行取消。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5.库存管理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库存管理：提供报修、调拔、增减值、批量编辑、批量报废等功能。人员可按数据权限，对耗材的库存数量、品类、状态等进行管理。库存预警功能支持批量设置耗材预警值的上限、下限；当仓库的耗材数量达到或超过上限，可中止申购申请；调拨功能允许所管辖的耗材调拨到其他部门。调拨的审批流程由系统工作流设置，调拨结果可通知相关管理人员。</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仓库（汇总）收、发、存报表：①报表内容：报表须在一个页面完整显示各类耗材的名称、型号、规格、计量单位、单价、期初库存（含总数量、总金额、可用数量）、本期收入（含总数量、总金额）、本期发出（含总数量、总金额）、期末库</w:t>
      </w:r>
      <w:r>
        <w:rPr>
          <w:rFonts w:hint="eastAsia" w:ascii="仿宋" w:hAnsi="仿宋" w:eastAsia="仿宋" w:cs="仿宋"/>
          <w:sz w:val="28"/>
          <w:szCs w:val="28"/>
        </w:rPr>
        <w:t xml:space="preserve">存（含总数量、总金额、可用数量）；②库存分布：可查看物品的库存信息，含资产编号、物品分类、型号、规格、计量单位、购置单价、生产商、保管人、购置日期、生产日期、出厂日期、过期日期、使用方向、当前状态、使用部门、存放地点、是否贵重仪器设备、国别、申购价格上限、申购数量上限等信息。③报表查询：支持按物品名称、规格、型号、采购部门和入库日期访问进行查询，以便生成月度、季度、年度库存报表；④金额统计：可对查询结果进行期初库存、本期收入、本期发出、期末库存的金额进行自动统计；改变查询条件后，查询的统计数据须有真实变化。</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（3）设备品类管</w:t>
      </w:r>
      <w:r>
        <w:rPr>
          <w:rFonts w:hint="eastAsia" w:ascii="仿宋" w:hAnsi="仿宋" w:eastAsia="仿宋" w:cs="仿宋"/>
          <w:sz w:val="28"/>
          <w:szCs w:val="28"/>
        </w:rPr>
        <w:t xml:space="preserve">理：①品类树形图：支持以树形图的方式管理物品品类，点击树形图的节点即可实现新增目录、新增品类、修改目录、修改品类、删除节点等操作；②品类清单：点击树形图上的任意节点，可查看该品类及下属品类中的品类数据列表；③品类信息：除了可维护基本的品类信息之外，还能设置品类的使用类型（领用或借用），能设置申购价格的上限和下限以及超出价格限制的处理方式（禁止提交或补充附件材料后提交），能设置品类的库存的上限和下限以及超出库存限制的处理方式（禁止提交或补充附件材料后提交），支持设置低库存预警的阈值，支持设置供应商的年度配额。</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物品库存导入：①动态导入模板：支持按系统中已有的品类信息，实时生成Excel格式的物品导入模板；模板中须包含当前系统中的实验实训室类别、使用类型、使用校级院系部门、专业(教研室)、房间编号、物品柜编号、物品柜子层编号、计量单位、耗材分类名称、仪器设备分</w:t>
      </w:r>
      <w:r>
        <w:rPr>
          <w:rFonts w:hint="eastAsia" w:ascii="仿宋" w:hAnsi="仿宋" w:eastAsia="仿宋" w:cs="仿宋"/>
          <w:sz w:val="28"/>
          <w:szCs w:val="28"/>
        </w:rPr>
        <w:t xml:space="preserve">类名称、危化品分类名称、全体教师姓名及工号、系统已有供应商名称；模板中须默认包含资产分类编码、耗材分类目录、危险化学品目录等信息以供查询筛选。②物品信息录入：要求根据系统中现有信息，在耗材分类名称、仪器设备分类名称、危化品分类名称、物品名称、使用部门、第1保管人姓名-工号、存放地点(房间号)、使用方向、物品来源等关键数据列中，显示下拉列表信息以供选择，并进行数据校验，防止输入错误数据。③导入信息校验：支持在导入数据前对物品信息进行校验，对错误的数据能提示该数据在Excel导入文件中的所处行号，以便进行修正。</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2.22.8实验实训室安全检查管理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1.总体要求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系统侧重实验实训室安全体系的过程管理，实现对各类教学/科研实验实训室安全检查依据、计划、评审、核查、整改、报告及统计报表的管理，提高高校实验实训室安全管理部门的工作效率。</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2.安全检查标准管理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（1）检查标准管理：①内置安全检查标准：系统已默认提供教育部实验室安全检查标准、实验室日常安全检查质量标准、化学品安全检查标准、实验动物与生物安全检</w:t>
      </w:r>
      <w:r>
        <w:rPr>
          <w:rFonts w:hint="eastAsia" w:ascii="仿宋" w:hAnsi="仿宋" w:eastAsia="仿宋" w:cs="仿宋"/>
          <w:sz w:val="28"/>
          <w:szCs w:val="28"/>
        </w:rPr>
        <w:t xml:space="preserve">查标准、特种设备安全检查标准、通识类安全检查标准、实验室日常检测常用标准等安全检查项目体系，学校可以直接采用这些标准进行安全检查；②自定义安全检查标准：系统支持学校结合实际需要，自定义建立安全检查标准体系、检查项目和检查要点，以便针对全校、各院系的各类实训室进行检查，如开展涉危涉化实训室、危险源实训室安全检查等；③检查项目默认值设置：可设定检查项目的默认值，如“是否有建立安全管理机构”这一项目，就可以设定默认值为“符合”，这样在填报安全检查记录时，该指标就可以采用默认值而无需填写，从而减轻检查人员的工作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3.安全检查计划管理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安全检查计划：①支持校级、二级学院、各专业创建各自的安全检查计划，可以配置检查计划名称、所属学期、执行检查的起止日期、所采用的检查标准、检查性质（含实验室自查、部门自查、统一巡查三种类型）、检查周期（含日、</w:t>
      </w:r>
      <w:r>
        <w:rPr>
          <w:rFonts w:hint="eastAsia" w:ascii="仿宋" w:hAnsi="仿宋" w:eastAsia="仿宋" w:cs="仿宋"/>
          <w:sz w:val="28"/>
          <w:szCs w:val="28"/>
        </w:rPr>
        <w:t xml:space="preserve">周、月、一次性四种检查周期）；可以设置检查计划的默认整改期限，以便在检查完成后自动生成该检查的整改截止日期。②可根据检查实施情况，自动生成Word版检查报告，并可在线编辑和保存，方便向上级部门汇报和本部门归档；③系统提供日查、周查、月查和专项检查等多种安全巡查等各种巡查类型，上级部门管理者只需制定一次检查计划，系统即可自动按周期生成多次检查任务。例如，管理者只需在开学初建立好本学期的安全检查计划，下级部门即可按周期填报检查结果。④复制检查计划：提供复制检查计划的功能，可根据已有检查计划自动生成新的检查计划。</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4.安全检查任务管理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（1）各级部门按照上级部门指定并发布的检查计划，自行组建并安排本部门的检查小组及成员，对本部门的实训室分配检查任务，并可自动生成检查报告。</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5.安全检查实施管理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（1）安全检查人员可以根据数据权限查看上级部门所分配的检查任务，依据设定的检查标准和项目，对所需检查的实训室进行检查，并提交检查结果和综合评价（如合格、不合格、检查项目不适用）。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（2）鉴于检查人员可能需要填写的内容较多，系统提供批量填写功能和自动预填上一次检查记录的功能，以供修改后提交。</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6.安全整改管理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（1）安全责任人可在线查阅实训室检查结果，对不符合安全要求的项目进行整改，并将整改情况生成整改报告，由管理者审批验收；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（2）整改验收的流程和审批环节可以通过工作流和数据权限进行灵活设置。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7.统计报表管理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系统可生成实训室安全检查统计一览表，可以按检查计划、部门院系、实训室、检查类型、所属学期等维度进行查询和导出。统计内容包括实训室数量、检查项目数量，以及符合、不符合、不适用、已整改、未整改、验收通过、验收未通过的数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8、实验实训室安全检查移动应用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用户通过移动应用终端在线完成安全巡检状态登记、评审、核查。要求系统需支持H5访问能力，支持在安卓及IOS系统上使用，支持微信公众号、企业微信集成。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2.22.9实验实训室安全信息管理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1.总体要求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依托实验实训室综合管理平台构架体系，在实验实训室管理中提供安全分级分类、危险源、防护要点、特种设备、应急预案、安全设施、警示图标及安全责任人管理等主要安全信息，同时能动态呈现实验室安全信息牌。</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2.危化品库存管理与调拨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（1）库存管理提供导入、报修、调拔、增减值、批量编辑、批量报废等功能。人员可按数据权限，对危化品的库存数量、品类、状态等进行管理。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（2）库存预警功能支持批量设置危化品预警值的上限、下限；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（3）物资调拨功能允许用户可以将自己管辖的危化品调拨到其他部门，物品调拨的审批流程由系统工作流设置，调拨结果可通知相关管理人员。</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3.危险源上报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（1）实训室负责人或者其他经授权的教师可以从按房间、按实训室批量选择具有危险性的物品，并对物品的危险源类型、安全风险级别、风险产生的环节等进行辨识，提交佐证材料，上报危险源辨识分析结果。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4.风险定级管理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（1）系统支持录入省、市的安全管理规定中的分级分类标准，并运用该标准对实训室和危险源进行“分级分类管理”。管理者可以分配或撤销风险定级专家的定级任务，亦可按需撤销定级结果。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5.专家评判定级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（1）定级专家可对各实训室提交上来的危险源辨识信息进行专家评判、修改各实训室上报的辨识分析结果，撰写专家评判意见，并确定该实训室的风险类型和风险级别。</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6.危险源分布档案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系统根据教育部《高等学校实验室安全规范》的要求，对危险源的分布情况“建档、建表”，可以管理危险源的品名、型号、规格、计量单位、数量、所属实训室、存放房间、保管人、所属部门、危险源类型、风险产生环节、风险级别、定级状态、最新定级日期、危险源辨识分析、专家定级意见、房间管控措施等档案信息，并提供自定义查询、导出和台账管理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7.危险源统计台账</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系统默认支持对20余种国家规定的危险源类型进行分类统计，包含实验动物、病原微生物、剧毒化学品、易制爆危险化学品、易制毒化学品、精神和麻醉处方药品、气体、其他危险化学品（非管制）、放射源、非密封放射性物质、射线装置、锅炉、压力容器、其他特种设、马弗炉、烘箱、管式炉、反应釜、气体蒸发器、液氮储罐、超低温冰箱等。其次，所有危险源的类型和所属目录皆可在数据字典中灵活设置、自由增减、自动统计、按需导出和归档，可最大限度地满足学校的危险源管理需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2.22.10实验实训教学管理移动应用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1.实验实训教学管理移动应用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（1）通过移动终端，实现对实验实训流程化管理过程中的课表查询、实验成绩查询及个人中心等内容；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（2）兼容性：要求采用H5技术开发，支持在安卓及IOS系统上使用，支持微信公众号、企业微信集成。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2.22.11数字化校园/数据中心对接接口</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1.数据接口要求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（1）学校负责提供教务系统或数据中心的数据接口，供应商免费完成与该接口之间的数据对接，实现师生用户、班级部门数据的更新。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（2）与学校数字化校园或数据中心系统实现对接，获取实验实训室综合管理平台所需的所有基础数据，完成统一数据双向流转。</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2.统一身份认证对接接口</w:t>
      </w:r>
      <w:r/>
    </w:p>
    <w:p>
      <w:pPr>
        <w:ind w:firstLine="560"/>
        <w:spacing w:line="40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（1）统一门户、统一身份认证，实现单点登录；学生信息：部门（院系）、专业、年级、班级、姓名、学号、卡号、性别：教工信息：部门（院系）、专业、工号、卡号、姓名、性别、职称、联系电话、学历。</w:t>
      </w:r>
      <w:r>
        <w:rPr>
          <w:rFonts w:hint="eastAsia" w:ascii="仿宋" w:hAnsi="仿宋" w:eastAsia="仿宋" w:cs="仿宋"/>
          <w:sz w:val="28"/>
          <w:szCs w:val="28"/>
          <w:lang w:val="en-US" w:eastAsia="zh-CN"/>
        </w:rPr>
        <w:t xml:space="preserve"> </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2.23师生服务门户要求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本次教务管理系统建设范围内同步完成“师生服务门户”的整体设计、开发、部署及运维。门户须面向教师、学生提供消息聚合、待办/已办事项、课表/成绩/考试/教学评价等教学事务的集中展示与在线办理能力，同时需保障师生服务门户的安全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2.23.1学生服务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生服务系统应以一体化与人性化为设计核心，通过个性化引导与布局实现便捷操作。应支持特殊阶段自动跳转（如选课阶段登录后直接进入选课页面）、业务场景化入口优化（如考试周在常用功能栏突出考试安排服务）、全局模糊检索等功能，覆盖培养方案查询、课表查看、选课、考试安排、成绩查询、学籍管理、毕业服务等全流程学业需求。首页需直观展示当前课表、通知公告及常用服务模块，并支持多校区课表切换、线上课程直连等实用功能，使学生能够高效、直观地完成各项操作，提升系统使用体验与服务效能。主要包括以下内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（1）服务首页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生登录系统后呈现的服务首页应直观呈现学生个人关注的核心信息，包括图形化的当前课表（需以颜色区分课程类型，支持多校区切换与线上课程直连）、个人信息卡片、通知公告（需标识未读状态，支持查看详情与下载附件）及可根据业务阶段动态配置的常用服务入口。</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（2）用户密码管理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应支持学生修改个人密码、设置密码保护问题，并允许通过密码保护问题找回或重置密码。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（3）文档服务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需提供学校发布文档文章内容的查看功能。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（4）公告留言</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应支持学生登录后实时查看教务处发布的通知公告，包括课表、考试等异动信息。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（5）在线问答服务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需提供学生用户与系统管理人员在线交流的平台，支持学生在线提问与管理人员在线回复。</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（6）教学日历查询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应支持学生方便快捷地查看指定学年学期的教学日历信息，并可进行打印。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（7）培养服务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应支持学生查询个人所在专业的培养方案、教学执行计划与教学进程安排。</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需提供本人学期理论课表、全校其他班级课表、教师课表、教室课表及课程课表的查询功能。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应提供完整的选课服务，能按照投积分、投志愿的模式参加选课。应支持必修、选修、跨年级、跨专业、公选课等选课操作，并提示冲突、已满等信息。能实时查看个人的选课课表、选课学分情况、选课日志。</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需支持空闲教室查询、在线教室借用申请与审核结果查询，应支持调停课信息查询。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应支持教师用户录入个人课程授课计划后，学生可通过系统查询课程授课安排明细。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需提供教材账目信息查询、教材征订确认功能。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应支持个人考勤记录查询。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（8）考试成绩服务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应支持考试安排查询、随堂考试查询。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需提供个人各学期课程成绩查询与导出功能，并直观呈现所修门数、总学分、平均学分成绩等信息。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应支持在线提交缓考、免考、免听、成绩查卷、成绩确认、社考成绩替换及异动成绩认定申请，并可实时查询审核状态。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应支持进行学生补考报名、重修报名选课、学生毕考报名申请。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应支持社会考试（如四六级）的网上报名、信息核对、照片上传与成绩查询。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（9）学籍毕业服务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应支持学籍卡片查看与打印、在规定时间内在线核对并修改部分学籍信息、在线申请在读证明、查询学籍预警信息。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需支持在线提交学籍异动（如转专业、休学）申请、专业/方向分流志愿，并查看审核进度。</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需提供按课程体系、类别、性质查询学业完成情况的功能，并支持与其他专业培养方案进行对比。</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应支持符合条件的学生在线提交优秀生转专业申请，查看转入专业要求、报名情况与审核进程。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需支持提前毕业、延后毕业申请、毕业生信息核对、毕业结论与情况查询。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（10）微专业服务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应实现微专业服务线上化，支持学生在线进行微专业报名、查看报名信息与审核状态，并提供个人微专业课程成绩查询功能。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2.23.2教师服务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师服务应围绕教学与管理核心场景，通过一体化设计优化操作流程。应能根据教学周期动态配置常用功能入口，支持全局模糊检索，覆盖教学计划、课表、监考、成绩录入与修改、过程考核等全链路工作需求。首页需集中展示个人课表、授课课堂、待办通知及常用服务，并支持多校区课表切换、线上课程直连等实用功能，以帮助教师高效处理日常事务，提升教学管理效率与服务协同体验。主要包括如下内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（1）服务首页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师登录系统后呈现的服务首页应集中呈现教师用户最关注的核心信息与常用服务入口。需直观展示当前课表（支持图形化查看、多校区切换、各周次切换及线上课程直连）、本人授课课堂列表（支持快捷进入成绩录入、查看与导出成绩册与花名册）、通知公告/审核通知（需标识未读状态，支持查看详情与下载附件）。系统应根据不同教学阶段（如考试周后）动态配置并突出显示常用业务功能入口，并支持全局模糊检索，方便教师快速进入工作界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（2）教师个人信息管理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应支持教师修改个人密码、设置密码保护问题，并通过密码保护问题找回或重置密码。同时，需提供教师个人基本信息、学历学位、工作简历、奖惩情况、家庭成员、语言能力、任课情况等信息的查询功能。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（3）文档服务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需提供学校发布文档文章内容的查看功能。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（4）公告留言</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应支持教师实时查询教务处发布的各类通知公告，包括课表、考试等异动信息。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（5）在线问答服务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需提供在线交流平台，支持教师用户在线提出问题，并由相关管理人员在线回复。</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（6）教学日历查询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应支持教师方便快捷地查看指定学年学期的教学日历（周历）信息，并可进行导出。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（7）教学管理服务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应支持教师在线申报新开专业、提交每学期的全校性通选课开课申请、申请新开课程（需支持填写课时、学时及课程简介）。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需提供各专业人才培养方案、教学执行计划、专业及班级教学进程的查询功能。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教师应能在线查询个人课表，需以图形化形式呈现，并需以列表形式呈现班级课表、课程课表、教师课表及教室课表。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需支持在线查询教学安排信息，并对网络课程维护网课群号与链接。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应支持教师在线提交个人调课申请、查询空闲教室、提交教室借用申请并查看审核状态与记录。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需提供教师个人教学工作量信息的查询功能。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需支持教师在线录入或批量导入所授课程的授课安排（计划）。</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应支持教师在规定时间内申请新增教材书目、为课程指定教材、申报教师用书计划，并查看相应审核状态与记录。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应支持任课教师在规定时间内对学生进行课堂考勤（记录到课、旷课、迟到、早退等多种状态），并支持超期登记（需填写原因）。</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对于担任导师的教师，系统应支持其发布指导任务、查看指导详情、回复学生提问、退选学员及查看指导汇总情况。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（8）考试与成绩服务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应支持教师查询本人授课课程的考试安排、个人监考及巡考安排，并可打印监考签到表。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需支持教师提交随堂考试安排申请、因特殊原因发起监考调代申请并查看审核状态。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应支持教师导出并打印所授课程的成绩册与考勤表。需支持教师在规定时间内在线录入或批量导入学生过程成绩、平时成绩与期末成绩，提交送审，并可查询和打印成绩单与分析表。需支持教师查询班级成绩。</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应支持教师自定义过程考核项目与比例，并录入过程成绩。</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需提供成绩修改申请功能，允许教师在线提交申请，审核通过后更新成绩库。</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在成绩确认环节，应支持指导教师进行成绩确认初审。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2.24移动教学服务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▲建设学校的移动教务服务应用，为广大的教师、学生提供教学服务的新途径。基于H5标准方式实现，师生在主流移动终端上体验常用教务服务需保障移动教学服务平台的安全性。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2.24.1学生移动教务服务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基于移动终端，为广大学生用户，提供便捷的移动教务服务，主要包括如下内容：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消息：查看系统推送的通知公告消息，包括已读消息、未读消息、已收公告。</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培养方案明细：查看本人培养方案明细，包含培养目标、培养方案详细说明、课程设置表。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执行计划：查看各个执行计划信息，包括所修课程、开课学期、开课单位信息。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课程明细：以列表的形式查看个人不同学期上课课程、课程代码、授课教师、上课地点、上课周次、上课节次。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个人课表查看：展示学生个人图形化课表信息，包含授课教师、上课地点、上课周次、上课时间。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成绩查询：查看个人成绩数据，可选择不同学期查询，包括课程名称、学分、成绩。</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等级考试成绩：查询个人等级考试成绩。</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成绩认定：支持发起个人成绩认定申请。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考试安排查询：查看当前学期的考试安排情况，考试课程名称、考试地点、考试时间。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缓考：支持学生通过手机端发起缓考申请，支持选择审核人、上传附件、填写审核原因，查看缓考记录。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空闲教室查询：查询教室空闲情况，查询条件可选择教学楼、学年学期、周次、校区。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选课：支持学生通过手机端进行选课、查看选课记录及学分统计。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学籍异动：支持进行个人学籍异动申请。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学籍预警信息查看：查看个人学籍预警信息，默认显示当前学期预警，也可查看全部的学籍预警信息。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2.24.2教师移动教务服务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基于移动终端，为广大教师用户，提供便捷的移动教务服务，主要包括如下内容：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消息：查看系统推送的通知公告消息，包括已收公告、未读消息、已读消息。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个人课程表查看：展示教师个人图形化课表信息，默认显示当天课表，也可以选择其它周次查看课表。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培养方案总纲：支持查看不同版本培养方案总纲信息。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专业培养方案查询：可选择查看各院系、各年级、各专业的培养方案信息。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专业进程查询：支持查看不同院系、年级、专业的专业教学进程。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教学计划：支持查看不同院系、年级、专业的教学执行计划。</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监考查看：查看当前学期本人的监考安排信息，包括监考课程名称、监考地点、监考时间、监考类型（主监考、副监考）。</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监考调代：支持教师发起监考调整、代监考申请，查看申请记录及审批情况。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教室借用：填写借用教室申请信息，并提交送审；可查看本人借用记录及审批情况。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随堂考试：支持教师发起所教授课程的随堂考试申请。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调课申请：提交本人调课申请，查看申请记录及审批情况。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工作量查询：查看教师本人的教学工作量数据，可查看总工作量，也可查看各授课课程的工作量明细。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2.24.3管理端移动教务服务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基于移动终端：为广大管理用户，提供便捷的移动教务服务，主要包括如下内容：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消息：查看系统推送的通知公告消息，包括已收公告、未读消息、已读消息。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调课审核：支持管理人员进行调课审核，并查看审核记录。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教室借用审核：支持管理人员进行教室借用审核。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成绩录入审核：支持管理人员对教师提交的成绩录入申请进行审核，并查看审核记录。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新增课程审核：支持管理人员通过移动端进行新增课程审核。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培养方案审核：支持管理人员通过手机端对各专业不同版本的培养方案进行审核。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开课申请审核：支持管理人员对教师发起的开课申请进行审核。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成绩修改审核：支持管理人员通过手机端对教师发起的成绩修改申请进行审核。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学生缓考审核：支持管理端对学生发起的缓考申请进行审核。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2.25智能化AI中台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为构建可持续发展的教务智能化服务体系，支撑本期AI排课、智能问答服务、教务数据智能查询及教务应用一键触达智能应用建设，并为未来教务智能应用拓展提供技术基础，本期需构建统一的教务智能化能力底座。该底座需实现以下核心能力：</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具备对异构知识数据进行高效检索的能力。采用向量化技术构建向量数据库，确保检索响应，满足用户实时交互需求。检索过程需支持模糊查询、关键词匹配以及混合检索模式，确保复杂问题的准确匹配和知识调取。</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（2）提供标准化、易用的 API 接口（如 RESTful），支持无缝嵌入至现有系统，并支持与学校移动端平台，如微信、钉钉、微信公众号对接。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（3）需具备多数据源兼容性，能够无缝接入 Word、Markdown、Excel、PDF、网页等格式内容，统一构建知识库。数据接入需支持批量导入、实时同步和定时更新机制，确保知识库内容的时效性和完整性。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（4）支持知识库的动态更新，包括新增、修改、删除内容，提高管理效率。提供管理后台或脚本接口，支持知识点数据更新，确保知识来源可追溯。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（5）提供基于用户反馈的优化机制，持续提升回答准确性和用户体验。需支持根据知识点自动生成关联问题，为知识库的检索优化提供支撑。</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2.26 AI智能排课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课表是高校落实教学任务、实施教学活动的依据，要能够基于校园网，依据学期教学任务、教学资源、学生学籍及学期校历(周次)，简便快捷、科学合理地完成学期课表编排。</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课表编排过程中，支持二级分工排课，采用AI智能排课与手工图形化排课结合。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AI智能排课融合机器学习、大模型与经典排课算法三类技术优势，通过混合架构打破了单一算法的性能瓶颈，能显著提升自动排课的整体成功率与师生使用满意度。混合架构保留经典排课算法处理多维度约束规则的优势，可快速对教师授课偏好、教室资源占用、课程时间间隔等硬性要求进行初步匹配，借助机器学习技术学习过往排课调课数据中的隐性需求，同时结合大模型的逻辑推理能力，灵活处理复杂场景，自动检测并解决师生时间、场地资源等各类排课冲突，生成教学实际需求的课表，让教务排课效率与体验实现双重升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AI自动排课根据设置各院系可排课的教室范围、考虑排课教学楼之间的距离远近关系、排课课程优先级设定、多次开课隔天排课、班级/教师/教室/部门的特殊时间、座位使用率、班级周排课学时数量均衡性、提供明确的课程漏排原因提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▲AI智能体配置：提供基于工作流的AI排课接口配置服务，支持排课流程的自动化编排与灵活调用，便于与现有教务系统无缝对接； AI知识中心：通过深度学习历史学期排课数据，构建包含排课规则、教师偏好和课程关联关系的知识图谱，并基于每次排课后的用户调整行为持续优化模型策略； AI排课参数设置：提供灵活的参数调节功能，支持动态调整算法权重与排课约束条件，精准控制排课方案的匹配度与优化方向；多模式排课算法：提供不同的智能排课模式，用户可根据教学场景灵活选择或组合使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提供新生课表批量预置功能；提供课表冲突检查查询的功能。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2.26.1AI排课模型设置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课表时间设置：要求能针对每个学期设置课表的时间，包括：每天的大节数、上午结束节次、下午结束节次、每大节占用小节次数量、连排起始节次数。提供控制学生、教师是否可查询课表的开关参数；提供学生、教师是否可查询导出课表；学生课表是否需要显示教师职称；是否允许以一小节为一大节；包括学生、教师课表是否需要显示小节名称和节次时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排课类别设置：能设置多个排课类别，每个类别的操作权限可分配给不同的科室或院系，包括可设置每个类别可排课起始结束时间范围、可排课具体操作人员，能设置每个类别的排课教室数量，支持一键将所属院系教室转入，也支持可将不同的课程转入到不同的排课类别中进行排课。支持批量为排课类别增加教室资源。既要能支持教务处统一编排所有课程的模式，也要支持教务处排公共课与院系排专业课的模式。针对每个类别可单独设置一套排课参数，即排课模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（3）排课参数设置：能通过参数设置确定自动编排课表的规则，要求提供丰富的排课参数，涵盖排课的时间、地点、教师、上课班级。具体要求如下：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能提供按课程/班级平衡排课控制，可设置班级平衡排课或按课程平衡排课。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能提供考虑到老师存在跨校区上课时，支持一键设置晚上不排课。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能提供排课时间控制：排课时间控制要求可精确到每一周每一天，如：可设置周六不排课、周三晚上不排课。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能设定全校禁止排课节次，如：周二下午不排课。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能设定同一个班级的课程尽量安排在同一教室。</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能设置多种课程排课的优先条件，包括：课程类别（公共课优先于专业课）、总学时、排课人数、合班班级数。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能设置班级、教师、教室、院系部门的特殊不排课时间及排课节次的优先顺序。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能对教师、班级在不同校区之间排课进行控制，如：同一天不能多校区授课、上午或下午不能多校区授课。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能设置下午体育课后不再安排其它课程，体现人性化的管理。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能设置排课位置权重：在安排班级相邻节次课程的上课教室时，可根据设置的教学楼距离权重值，系统人性化的选择就近的教室进行安排，有效避免课间人员的大范围流动，并能指定学生与教师之间的优先级。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能控制排课教室的空闲座位比例值，确保教室座位充分利用。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提供排课顺序设置：支持拖拽方式设置排课顺序，可支持根据不同业务场景需要进行调整，包括已指定优先排课、已指定联合课码、合班班级数、总学时、排课人数等排课参数。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课程性质顺序设置：支持拖拽方式设置课程性质顺序，可支持根据不同业务场景需要设置公共课程优先或专业课程优先等不同课程性质先后需求。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排课时，尽量任课教师一周内有一天不排课。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（4）AI排课参数设置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支持超参数设定（学时分类、周学时、开课周次、连排节次、安排数、教室需要在排课类别中、相同课程能冲突排课、AI排课top值）。</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2.26.2AI自动编排课表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支持多种算法选择，包含(AI算法、大模型算法、AI混合迭代算法、迭代混 合AI算法、迭代算法)，其中“大模型算法”需要学校自行采购大模型。基于AI和 大模型相关的排课算法支持学习知识同步、漏排信息含AI标志、 冲突检查分类信息可查看AI排课相关内容等功能。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能根据设置好的排课模型，智能自动编排课表，自动匹配教室、时间，自动进行冲突检测，课表输出准确；支持多轮次分批叠加式自动编排，可在确定前一次部分排课结果的基础上继续进行自动排课。能提供快速清空本排课模型中课表（支持是否需要包含已锁定的课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结合学校管理需要，需提供智能的全自动排课功能，能智能化编排课表，能支持课表的备份功能、对于已备份课表的提供课表恢复功能、可以一键清空自动排课数据。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2.26.3手工图形化排课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图形化、人性化的手工排课交互界面，界面自动全屏显示，所有排课操作都在这一个界面上完成，要求能拖拽式调整课表，可以直接按大节从A时间点拖拽到B时间点，每个课表方格中都实时显示冲突色标；可选择按五天课表或七天课表进行展示；可方便的切换按行政班、按教师、按课程、按教室的排课模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手工排课维度：提供多维度的手工排课方式，根据实际排课场景需要，支持按行政班、按教师、按课程进行手工排课；提供排课课程的快速搜索功能，可以按照班级名称/任课教师名称/课程名称来搜索需要排课的课程信息；课程信息可区分未排课程、已排课程，在界面上通过并列标签页的方式直观的显示，并能快速切换，支持快速调整安排，比如：排课学时、周次、周学时、连排节数、上课教师、教室、默认成绩录入人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图形化课表界面：要求按照图形化课表方格的方式，显示排课课表信息，系统实时检测各类课表冲突，对于课表中存在冲突的情况，使用显眼的红色标记显示（并可以通过不同标记来区分教室冲突、班级冲突、教师冲突、考试冲突等），对于空闲可排课的地方显示成绿色标记。用户可通过鼠标点击、拖拽的方式，快捷的完成编排上课时间、上课教室。针对同一门课程的不同学时类型或不同任课教师，可分别单独进行排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课表信息显示与隐藏：根据用户的排课需要，可设置在图形化课表中是否显示教师名称、课堂名称、周次节次、教室名称信息，以满足简版课表的展示要求。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冲突检查设置：针对手工排课，可设置各类冲突检查参数，包括：班级特殊不排课时间的设置、教师特殊时间设置、教室特殊时间设置、保存时是否检查课表冲突。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提供多维度的课表查询功能，包括：课程课表，教师课表，教室课表，班级课表，学生课表，周/日/节次课表。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2.26.4管理员课表调整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对于自动编排完成后的课表，可以按需要手工进行调整，课表调整可以由教务处排课管理员或各院系教务员直接操作进行；支持从班级课表、教师课表、教室课表、课程课表、学生课表、时间课表的多个维度进行调整，并且各维度之间可以快速切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拖拽式调课：针对整体排课完成后需要调整的情况，提供便捷的图形化拖拽式调课功能，界面采用直观的红色、绿色来区分课表冲突与空闲的情况，支持从多个维度（教师、课程、班级、教室）进行课表查询与调整，默认原上课教室，系统自动检测冲突，并直观的在图形化课表界面上显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2.26.5调停课申请与审核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日常调停课的网上申请与审核功能；可以由任课教师在网上提交调停课申请，各级管理人员审核审批后生效，教师调课审批流程步骤可以由系统管理员设置；调停课申请审核通过后，系统自动更新相关联的教师、学生的课表。教师停课后，可以申请补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提供调课规则控制，包括：调课是否必须检查课表冲突；是否必须检查考试冲突（含随堂考试）；管理端调课是否无需审核；是否允许在已过调课时间的情况下进行调课申请；个人 / 集体调课是否必须上传佐证材料；教师调课是否必须在该课程的考试时间之前；可自定义控制调课的起止周次、星期几、第几节；可自定义调课提示文本内容；允许调整的最大周次数；调课后学生上课冲突率范围的设置；对教师可调课的次数和学时进行控制。</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调课率统计功能；针对特殊节假日（如：五一放假、校运会期间），提供全校性的批量课表调整功能：包括按周停课、按日期调停课、按节次调停课、按教室调课等。提供人性的辅助控制参数：比如当调课点存在已排考试时是否需要还需要进行调整、是否在批量调课前先备份课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2.26.6课表查询与打印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（1）课表查询、打印权限可以分用户角色控制，可以设置教师、学生查询课表的开关参数，避免在课表没有排完的时候进行查询和打印。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可以设置课表的显示内容字段，从而避免课表上因内容太多无法完全显示的问题，能完整显示一份课表在一页A4/A3纸中，包括但不限于纸张类型、是否带周末、只导有课表/无课表/全部、支持excel/zip导出方式、只导出含讲课学时/实践学时/讲座学时/实验学时课表、导出内容支持自定义选择学时/课程名称/教师名称/教室名称/课程编号/上课人数等字段信息、导出范围可自定义选择按当前学期+培养层次、按当前年级、按当前院系、当前院系+年级、当前年度专业等参数配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（3）提供各类课表查询功能，包括：班级课表，课程课表，教师课表，教室课表，学生课表，周/日/节次（时间）课表，专业课表，开课单位课表，全校性总课表（按课程/按教师/按教室/按班级）。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2.26.7课表效果分析</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要提供课表效果分析的功能，辅助对排课结果进行分析检查，调整与完善课表。要求能对课程的排课学时进行检查，可自动统计课程各类学时的计划开课学时、排课学时、未排学时，检查课程学时的漏排情况。能对班级课表进行分析，可检测出全天无课、上午无课的班级列表。能批量检查出未安排教师、未安排教室、安排学时不对、少排学时周次、安排周次与教学进程周次冲突的课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支持按系部按时间（周次、节次等）查询有无上课的老师明细。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2.27AI教务助手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提供AI机器人嵌入到首页，位置可以自由拖拽，用户可以随时发起自然语言提问，获取智能问答与个性化智能推荐服务。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▲提供模型配置及业务功能如下：</w:t>
      </w:r>
      <w:r>
        <w:rPr>
          <w:rFonts w:ascii="仿宋" w:hAnsi="仿宋" w:eastAsia="仿宋" w:cs="仿宋"/>
          <w:sz w:val="28"/>
          <w:szCs w:val="28"/>
        </w:rPr>
        <w:t xml:space="preserve">①模型配置与流程编排验证： 完成大模型配置、知识库创建与导入、智能体应用配置导入导出（支持跨环境迁移）、多知识库RAG动态编排、应用发布与API-KEY创建；流程编排节点配置须支持多库调度，支持结果校验，回复结果需标注知识来源并验证检索结果精准匹配知识库段落</w:t>
      </w:r>
      <w:r>
        <w:rPr>
          <w:rFonts w:hint="eastAsia" w:ascii="仿宋" w:hAnsi="仿宋" w:eastAsia="仿宋" w:cs="仿宋"/>
          <w:sz w:val="28"/>
          <w:szCs w:val="28"/>
        </w:rPr>
        <w:t xml:space="preserve">；②问答验证：验证包含多轮对话、上下文理解、意图识别等能力，如学生先问“如何申请转专业”，后续追问“转专业截止时间”，系统可关联前序问题精准回答；③数据查询验证：验证自然语言查询教务系统数据能力，如“查询上学期成绩”系统自动解析意图并返回准确结果；④业务导航验证：用户说出办理业务，系统识别意图并返回准确的业务链接入口，验证意图识别与跳转链接的准确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2.27.1智能问答服务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教务AI问答服务提供包含：师生综合知识库管理、教务系统操作手册问答、问答权限管理、师生问答交互、问答效果优化等内容。功能要求：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（1）知识库管理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支持整合多场景教务相关知识库，具体涵盖学校政策、校历、选课规则、管理规范、科研政策、绩效考核标准等师生高频咨询领域内容。</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（2）教务系统手册问答</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支持整合教务系统操作手册的相关内容并进行智能查询，支持回复操作步骤类问题（如 “如何录入成绩”）、操作故障类问题（如 “选课系统无法登录怎么办”），引导师生熟练使用教务系统。</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（3）问答权限管理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支持知识库按用户角色（学生 / 教师）进行权限划分，确保学生仅查看学生相关内容（如选课规则）、教师仅查看教师相关内容（如绩效考核），避免跨角色信息混淆。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（4）自然语言问答能力</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支持采用自然语言处理技术，实时解答师生关于教学管理、规章制度等通用问题，确保交互流畅性。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支持多轮对话上下文理解，能衔接前后提问逻辑（如师生先问 “如何申请转专业”，后续追问 “转专业截止时间”，系统可关联前序问题精准回答，无需重复说明场景）。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（5）问答效果反馈评价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提供用户评价反馈通道，允许用户对问答结果进行“有用/无用”评价反馈；应能自动收集并统计评价数据，形成问答质量分析，并可根据负面评价触发知识库的优化流程，所有评价数据需实时同步至管理后台。</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2.27.2教务数据智能查询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需要对接学校现有教务系统，提供教务系统结构化数据的查询服务，确保查询结果的数据时效性。需具备严格的数据权限控制机制，应能确保用户仅可查询其本人数据或在其被授权范围内的数据，保障数据安全。所有查询反馈的数据结果必须与教务系统源数据保持完全一致。</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（1）学生服务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同步教务管理系统数据，提供学生用户数据智能查询服务，例如：学生课表查询、考试安排查询、个人成绩查询、空闲教室查询、教学周历查询、等级考试查询、培养方案查询等服务。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（2）教师服务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同步教务管理系统数据，提供教师用户数据智能查询服务，例如：教师课表查询、空闲教室查询、教学周历查询、教师调停课信息查询、工作量信息查询、学生评价数据查询。</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2.27.3教务应用一键触达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为满足师生及管理人员对教务管理系统的高效访问需求，实现教务系统应用的快速定位，需支持以自然语言搜索或语音导航方式快速跳转到相应服务。主要支持学生、教师、管理人员以下核心功能：</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（1）学生服务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同步教务管理系统数据，提供学生用户相关应用的一键触达服务，例如：转专业申请、学籍异动申请、缓考申请、学生证补办申请、学生课程评价、查询毕业设计、学生评教、预约实验室、教室借用。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（2）教师服务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同步教务管理系统数据，提供教师用户相关应用的一键触达服务，例如：调停课申请、成绩录入、学生名册生成、教室借用。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（3）管理人员服务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支持通过对话交互触发管理人员相关审核事务。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3其他要求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3.1安全性要求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（1）必须具备认证与鉴权机制，确保系统安全合规。</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（2）数据库存储支持SM3、SM4国密加密。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（3）教务管理系统作为学校教学业务开展的核心系统，厂家在进行系统设计时必须考虑安全性，安全性设计需从产品的保密性、完整性、抗抵赖性、可核查性、真实性等多个方面进行，提高系统的安全性。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（4）教务系统需至少满足国家安全等级保护二级测评要求。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（5）提供多因子认证能力，至少支持短信、邮箱等。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（6）提供用户统一身份认证与数据权限隔离的能力。</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（7）可靠性、稳定性要求：具有良好的运行保障体系，提供完善的存储、备份手段，提供故障恢复手段，确保系统的稳定性。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（8）支持敏感数据页面展示脱敏。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（9）支持HTTPS/TLSv1.2及以上版本的数据传输加密。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（10）支持API鉴权。</w:t>
      </w:r>
      <w:r/>
    </w:p>
    <w:p>
      <w:pPr>
        <w:ind w:firstLine="420"/>
        <w:spacing w:line="400" w:lineRule="exact"/>
        <w:rPr>
          <w:rFonts w:hint="eastAsia" w:ascii="仿宋" w:hAnsi="仿宋" w:eastAsia="仿宋" w:cs="仿宋"/>
          <w:sz w:val="28"/>
          <w:szCs w:val="28"/>
        </w:rPr>
      </w:pPr>
      <w:r>
        <w:rPr>
          <w:rFonts w:hint="eastAsia"/>
        </w:rPr>
        <w:t xml:space="preserve">  </w:t>
      </w:r>
      <w:r>
        <w:rPr>
          <w:rFonts w:hint="eastAsia" w:ascii="仿宋" w:hAnsi="仿宋" w:eastAsia="仿宋" w:cs="仿宋"/>
          <w:sz w:val="28"/>
          <w:szCs w:val="28"/>
        </w:rPr>
        <w:t xml:space="preserve">（11）</w:t>
      </w:r>
      <w:r>
        <w:rPr>
          <w:rFonts w:ascii="仿宋" w:hAnsi="仿宋" w:eastAsia="仿宋" w:cs="仿宋"/>
          <w:sz w:val="28"/>
          <w:szCs w:val="28"/>
        </w:rPr>
        <w:t xml:space="preserve">供应商须配合学校完成本系统的网络安全等级保护定级、备案:测评及整改工作;配合第三方测评机构开展测评;对测评发现的问题中属于系统自身原因的，须免费完成整改并配合复测，直至系统通过等级保护测评。</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3.2国产化适配要求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国产化适配要求：投标方提供的教务管理系统应基于先进的信息技术架构设计，确保系统具有高度的可扩展性、稳定性和安全性。系统必须全面符合国家信息技术应用创新要求，支持国产软硬件环境的全面适配与深度融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（1）操作系统兼容性：系统需支持国产操作系统，如麒麟软件、统信UOS等，确保在这些操作系统上能够顺畅运行，无兼容性问题。</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（2）数据库兼容性：教务系统应能无缝对接国产数据库，如人大金仓、海量数据库、达梦、南大通用、云和恩墨、神通等，支持数据的高效存储、查询与管理。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（3）中间件及开发平台：要求系统开发基于国产中间件，如东方通TongWeb、普元，并支持国产开发框架和工具，保障系统的自主可控。</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（4）芯片与服务器兼容：确保系统能在搭载国产CPU（如鲲鹏、龙芯、飞腾等）的服务器上稳定运行。</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3.3数据迁移要求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本项目需将旧教务管理系统中的历史数据清洗、转换并迁移至新系统，迁移范围涵盖基础资源、成绩、学籍、课表等核心数据，整体工作划分为三个阶段：</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迁移前的准备：完成方案设计与沟通确认，分析历史数据并建立新旧系统数据字典与映射关系，开发转换迁移程序，制定割接方案，做好数据清理、采集补录。</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迁移实施：先执行数据模拟迁移及模拟测试，验证数据一致性与系统功能正常后，按数据表依赖关系分步执行正式数据迁移，并完成系统割接，全程监控运行状态。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迁移校验和总结：对迁移后数据进行质量分析（完整性、一致性、记录条数等）和新旧系统对比校验，调整数据库性能参数，整理交付文档并编写割接总结报告。</w:t>
      </w:r>
      <w:r/>
    </w:p>
    <w:p>
      <w:pPr>
        <w:pStyle w:val="942"/>
        <w:ind w:firstLine="562"/>
        <w:spacing w:before="120" w:after="120" w:line="400" w:lineRule="exact"/>
        <w:rPr>
          <w:rFonts w:hint="eastAsia" w:ascii="仿宋" w:hAnsi="仿宋" w:eastAsia="仿宋" w:cs="方正黑体_GBK"/>
          <w:b/>
          <w:sz w:val="28"/>
          <w:szCs w:val="28"/>
        </w:rPr>
      </w:pPr>
      <w:r>
        <w:rPr>
          <w:rFonts w:hint="eastAsia" w:ascii="仿宋" w:hAnsi="仿宋" w:eastAsia="仿宋" w:cs="方正黑体_GBK"/>
          <w:b/>
          <w:sz w:val="28"/>
          <w:szCs w:val="28"/>
        </w:rPr>
        <w:t xml:space="preserve">四、商务要求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1、服务要求</w:t>
      </w:r>
      <w:r/>
    </w:p>
    <w:p>
      <w:pPr>
        <w:ind w:firstLine="560"/>
        <w:spacing w:line="400" w:lineRule="exact"/>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驻场服务</w:t>
      </w:r>
      <w:r/>
    </w:p>
    <w:p>
      <w:pPr>
        <w:ind w:firstLine="560"/>
        <w:spacing w:line="400" w:lineRule="exact"/>
        <w:rPr>
          <w:rFonts w:hint="eastAsia" w:ascii="仿宋" w:hAnsi="仿宋" w:eastAsia="仿宋"/>
          <w:sz w:val="28"/>
        </w:rPr>
      </w:pPr>
      <w:r>
        <w:rPr>
          <w:rFonts w:ascii="仿宋" w:hAnsi="仿宋" w:eastAsia="仿宋"/>
          <w:sz w:val="28"/>
        </w:rPr>
        <w:t xml:space="preserve">中标人须安排至少一名资深专业技术人员</w:t>
      </w:r>
      <w:r>
        <w:rPr>
          <w:rFonts w:hint="eastAsia" w:ascii="仿宋" w:hAnsi="仿宋" w:eastAsia="仿宋"/>
          <w:sz w:val="28"/>
        </w:rPr>
        <w:t xml:space="preserve">自</w:t>
      </w:r>
      <w:r>
        <w:rPr>
          <w:rFonts w:ascii="仿宋" w:hAnsi="仿宋" w:eastAsia="仿宋"/>
          <w:sz w:val="28"/>
        </w:rPr>
        <w:t xml:space="preserve">合同签订之日起</w:t>
      </w:r>
      <w:r>
        <w:rPr>
          <w:rFonts w:hint="eastAsia" w:ascii="仿宋" w:hAnsi="仿宋" w:eastAsia="仿宋"/>
          <w:sz w:val="28"/>
        </w:rPr>
        <w:t xml:space="preserve">在采购方驻场一年</w:t>
      </w:r>
      <w:r>
        <w:rPr>
          <w:rFonts w:ascii="仿宋" w:hAnsi="仿宋" w:eastAsia="仿宋"/>
          <w:sz w:val="28"/>
        </w:rPr>
        <w:t xml:space="preserve">，按照采购人的要求负责系统运行调试、原有数据库迁移、个别系统模块定制开发、系统有关功能修改、系统更新及维修维护、系统使用指导等工作，驻点期间该技术人员上述工作的产生的费用由中标人承担，同时采购人也不承担与驻点技术人员有关的任何人员工资津贴、薪酬、补助等支出。</w:t>
      </w:r>
      <w:r/>
    </w:p>
    <w:p>
      <w:pPr>
        <w:ind w:firstLine="560"/>
        <w:spacing w:line="400" w:lineRule="exact"/>
        <w:rPr>
          <w:rFonts w:hint="eastAsia" w:ascii="仿宋" w:hAnsi="仿宋" w:eastAsia="仿宋"/>
          <w:sz w:val="28"/>
        </w:rPr>
      </w:pPr>
      <w:r>
        <w:rPr>
          <w:rFonts w:hint="eastAsia" w:ascii="仿宋" w:hAnsi="仿宋" w:eastAsia="仿宋"/>
          <w:sz w:val="28"/>
        </w:rPr>
        <w:t xml:space="preserve">驻场结束后的一年内，</w:t>
      </w:r>
      <w:r>
        <w:rPr>
          <w:rFonts w:ascii="仿宋" w:hAnsi="仿宋" w:eastAsia="仿宋"/>
          <w:sz w:val="28"/>
        </w:rPr>
        <w:t xml:space="preserve">对于</w:t>
      </w:r>
      <w:r>
        <w:rPr>
          <w:rFonts w:hint="eastAsia" w:ascii="仿宋" w:hAnsi="仿宋" w:eastAsia="仿宋"/>
          <w:sz w:val="28"/>
        </w:rPr>
        <w:t xml:space="preserve">远程无法解决的使用及技术问题</w:t>
      </w:r>
      <w:r>
        <w:rPr>
          <w:rFonts w:ascii="仿宋" w:hAnsi="仿宋" w:eastAsia="仿宋"/>
          <w:sz w:val="28"/>
        </w:rPr>
        <w:t xml:space="preserve">，报障后，中标人应立即作出响应，中标人应在</w:t>
      </w:r>
      <w:r>
        <w:rPr>
          <w:rFonts w:hint="eastAsia" w:ascii="仿宋" w:hAnsi="仿宋" w:eastAsia="仿宋"/>
          <w:sz w:val="28"/>
        </w:rPr>
        <w:t xml:space="preserve">4小时</w:t>
      </w:r>
      <w:r>
        <w:rPr>
          <w:rFonts w:ascii="仿宋" w:hAnsi="仿宋" w:eastAsia="仿宋"/>
          <w:sz w:val="28"/>
        </w:rPr>
        <w:t xml:space="preserve">内到达用户现场，提供上门服务，确保产品正常工作。由此产生的一切费用由中标人承担。</w:t>
      </w:r>
      <w:r/>
    </w:p>
    <w:p>
      <w:pPr>
        <w:ind w:firstLine="560"/>
        <w:spacing w:line="400" w:lineRule="exact"/>
        <w:rPr>
          <w:rFonts w:hint="eastAsia" w:ascii="仿宋" w:hAnsi="仿宋" w:eastAsia="仿宋"/>
          <w:sz w:val="28"/>
        </w:rPr>
      </w:pPr>
      <w:r>
        <w:rPr>
          <w:rFonts w:hint="eastAsia" w:ascii="仿宋" w:hAnsi="仿宋" w:eastAsia="仿宋"/>
          <w:sz w:val="28"/>
        </w:rPr>
        <w:t xml:space="preserve">（2）运维</w:t>
      </w:r>
      <w:r>
        <w:rPr>
          <w:rFonts w:ascii="仿宋" w:hAnsi="仿宋" w:eastAsia="仿宋"/>
          <w:sz w:val="28"/>
        </w:rPr>
        <w:t xml:space="preserve">期</w:t>
      </w:r>
      <w:r/>
    </w:p>
    <w:p>
      <w:pPr>
        <w:ind w:firstLine="560"/>
        <w:spacing w:line="400" w:lineRule="exact"/>
        <w:rPr>
          <w:rFonts w:hint="eastAsia" w:ascii="仿宋" w:hAnsi="仿宋" w:eastAsia="仿宋"/>
          <w:sz w:val="28"/>
        </w:rPr>
      </w:pPr>
      <w:r>
        <w:rPr>
          <w:rFonts w:ascii="仿宋" w:hAnsi="仿宋" w:eastAsia="仿宋"/>
          <w:sz w:val="28"/>
        </w:rPr>
        <w:t xml:space="preserve">本项目须提供</w:t>
      </w:r>
      <w:r>
        <w:rPr>
          <w:rFonts w:hint="eastAsia" w:ascii="仿宋" w:hAnsi="仿宋" w:eastAsia="仿宋"/>
          <w:sz w:val="28"/>
        </w:rPr>
        <w:t xml:space="preserve">三</w:t>
      </w:r>
      <w:r>
        <w:rPr>
          <w:rFonts w:ascii="仿宋" w:hAnsi="仿宋" w:eastAsia="仿宋"/>
          <w:sz w:val="28"/>
        </w:rPr>
        <w:t xml:space="preserve">年的免费维保服务，维保期从项目验收合格之日起，维保期内投标方应为学校免费提供各种技术服务，包括在线答疑、系统维护、定期回访等服务。</w:t>
      </w:r>
      <w:r/>
    </w:p>
    <w:p>
      <w:pPr>
        <w:ind w:firstLine="560"/>
        <w:spacing w:line="400" w:lineRule="exact"/>
        <w:rPr>
          <w:rFonts w:hint="eastAsia" w:ascii="仿宋" w:hAnsi="仿宋" w:eastAsia="仿宋"/>
          <w:sz w:val="28"/>
        </w:rPr>
      </w:pPr>
      <w:r>
        <w:rPr>
          <w:rFonts w:hint="eastAsia" w:ascii="仿宋" w:hAnsi="仿宋" w:eastAsia="仿宋"/>
          <w:sz w:val="28"/>
        </w:rPr>
        <w:t xml:space="preserve">（3）</w:t>
      </w:r>
      <w:r>
        <w:rPr>
          <w:rFonts w:ascii="仿宋" w:hAnsi="仿宋" w:eastAsia="仿宋"/>
          <w:sz w:val="28"/>
        </w:rPr>
        <w:t xml:space="preserve">培训要求</w:t>
      </w:r>
      <w:r/>
    </w:p>
    <w:p>
      <w:pPr>
        <w:ind w:firstLine="560"/>
        <w:spacing w:line="400" w:lineRule="exact"/>
        <w:rPr>
          <w:rFonts w:hint="eastAsia" w:ascii="仿宋" w:hAnsi="仿宋" w:eastAsia="仿宋"/>
          <w:sz w:val="28"/>
        </w:rPr>
      </w:pPr>
      <w:r>
        <w:rPr>
          <w:rFonts w:ascii="仿宋" w:hAnsi="仿宋" w:eastAsia="仿宋"/>
          <w:sz w:val="28"/>
        </w:rPr>
        <w:t xml:space="preserve">投标人需依据采购方的实际情况，制定切实可行的完整培训计划，提供培训人员实际操作培训系统和资料</w:t>
      </w:r>
      <w:r>
        <w:rPr>
          <w:rFonts w:hint="eastAsia" w:ascii="仿宋" w:hAnsi="仿宋" w:eastAsia="仿宋"/>
          <w:sz w:val="28"/>
        </w:rPr>
        <w:t xml:space="preserve">，</w:t>
      </w:r>
      <w:r>
        <w:rPr>
          <w:rFonts w:ascii="仿宋" w:hAnsi="仿宋" w:eastAsia="仿宋"/>
          <w:sz w:val="28"/>
        </w:rPr>
        <w:t xml:space="preserve">以保证所建设的系统能够正常、安全、平稳地运行。要求通过培训使学校的相关人员掌握系统的使用、维护和管理方法，达到能独立进行系统管理、故障处理、日常测试和维护等工作的目的。</w:t>
      </w:r>
      <w:r/>
    </w:p>
    <w:p>
      <w:pPr>
        <w:ind w:firstLine="560"/>
        <w:spacing w:line="400" w:lineRule="exact"/>
        <w:rPr>
          <w:rFonts w:hint="eastAsia" w:ascii="仿宋" w:hAnsi="仿宋" w:eastAsia="仿宋"/>
          <w:sz w:val="28"/>
        </w:rPr>
      </w:pPr>
      <w:r>
        <w:rPr>
          <w:rFonts w:hint="eastAsia" w:ascii="仿宋" w:hAnsi="仿宋" w:eastAsia="仿宋"/>
          <w:sz w:val="28"/>
        </w:rPr>
        <w:t xml:space="preserve">（4）</w:t>
      </w:r>
      <w:r>
        <w:rPr>
          <w:rFonts w:ascii="仿宋" w:hAnsi="仿宋" w:eastAsia="仿宋"/>
          <w:sz w:val="28"/>
        </w:rPr>
        <w:t xml:space="preserve">故障响应：需保证在</w:t>
      </w:r>
      <w:r>
        <w:rPr>
          <w:rFonts w:hint="eastAsia" w:ascii="仿宋" w:hAnsi="仿宋" w:eastAsia="仿宋"/>
          <w:sz w:val="28"/>
        </w:rPr>
        <w:t xml:space="preserve">维保</w:t>
      </w:r>
      <w:r>
        <w:rPr>
          <w:rFonts w:ascii="仿宋" w:hAnsi="仿宋" w:eastAsia="仿宋"/>
          <w:sz w:val="28"/>
        </w:rPr>
        <w:t xml:space="preserve">服务期内，各类故障应在</w:t>
      </w:r>
      <w:r>
        <w:rPr>
          <w:rFonts w:hint="eastAsia" w:ascii="仿宋" w:hAnsi="仿宋" w:eastAsia="仿宋"/>
          <w:sz w:val="28"/>
        </w:rPr>
        <w:t xml:space="preserve">2</w:t>
      </w:r>
      <w:r>
        <w:rPr>
          <w:rFonts w:ascii="仿宋" w:hAnsi="仿宋" w:eastAsia="仿宋"/>
          <w:sz w:val="28"/>
        </w:rPr>
        <w:t xml:space="preserve">小时内响应， </w:t>
      </w:r>
      <w:r>
        <w:rPr>
          <w:rFonts w:hint="eastAsia" w:ascii="仿宋" w:hAnsi="仿宋" w:eastAsia="仿宋"/>
          <w:sz w:val="28"/>
        </w:rPr>
        <w:t xml:space="preserve">6</w:t>
      </w:r>
      <w:r>
        <w:rPr>
          <w:rFonts w:ascii="仿宋" w:hAnsi="仿宋" w:eastAsia="仿宋"/>
          <w:sz w:val="28"/>
        </w:rPr>
        <w:t xml:space="preserve"> 小时内提供应急解决方案。影响系统正常使用的bug 在使用方提出后8 小时内修正；系统安全漏洞的修复，要在使用方提出后24小时内解决。</w:t>
      </w:r>
      <w:r/>
    </w:p>
    <w:p>
      <w:pPr>
        <w:ind w:firstLine="560"/>
        <w:spacing w:line="400" w:lineRule="exact"/>
        <w:rPr>
          <w:rFonts w:hint="eastAsia" w:ascii="仿宋" w:hAnsi="仿宋" w:eastAsia="仿宋"/>
          <w:sz w:val="28"/>
        </w:rPr>
      </w:pPr>
      <w:r>
        <w:rPr>
          <w:rFonts w:hint="eastAsia" w:ascii="仿宋" w:hAnsi="仿宋" w:eastAsia="仿宋"/>
          <w:sz w:val="28"/>
        </w:rPr>
        <w:t xml:space="preserve">（5）</w:t>
      </w:r>
      <w:r>
        <w:rPr>
          <w:rFonts w:ascii="仿宋" w:hAnsi="仿宋" w:eastAsia="仿宋"/>
          <w:sz w:val="28"/>
        </w:rPr>
        <w:t xml:space="preserve">技术支持：要求在</w:t>
      </w:r>
      <w:r>
        <w:rPr>
          <w:rFonts w:hint="eastAsia" w:ascii="仿宋" w:hAnsi="仿宋" w:eastAsia="仿宋"/>
          <w:sz w:val="28"/>
        </w:rPr>
        <w:t xml:space="preserve">维保</w:t>
      </w:r>
      <w:r>
        <w:rPr>
          <w:rFonts w:ascii="仿宋" w:hAnsi="仿宋" w:eastAsia="仿宋"/>
          <w:sz w:val="28"/>
        </w:rPr>
        <w:t xml:space="preserve">服务期内提供7×24小时技术支持服务， 应提供本单位的热线电话、E-mail、传真、网站等途径，随时接受系统使用人员提出的各种技术问题，并在24 小时内提供解决方案，并对于每个问题都有闭环跟踪机制。在远程维护无法解决问题的情况下，需派遣技术人员上门解决。</w:t>
      </w:r>
      <w:r/>
    </w:p>
    <w:p>
      <w:pPr>
        <w:ind w:firstLine="560"/>
        <w:spacing w:line="400" w:lineRule="exact"/>
        <w:rPr>
          <w:rFonts w:hint="eastAsia" w:ascii="仿宋" w:hAnsi="仿宋" w:eastAsia="仿宋"/>
          <w:sz w:val="28"/>
        </w:rPr>
      </w:pPr>
      <w:r>
        <w:rPr>
          <w:rFonts w:hint="eastAsia" w:ascii="仿宋" w:hAnsi="仿宋" w:eastAsia="仿宋"/>
          <w:sz w:val="28"/>
        </w:rPr>
        <w:t xml:space="preserve">2、</w:t>
      </w:r>
      <w:r>
        <w:rPr>
          <w:rFonts w:ascii="仿宋" w:hAnsi="仿宋" w:eastAsia="仿宋"/>
          <w:sz w:val="28"/>
        </w:rPr>
        <w:t xml:space="preserve">接口开放与对接：供应商须免费开放本系统标准化接口，不收取接口费、授权费或对接费。服务期内，无论学校新增业务系统还是更换现有系统，供应商均须免费配合完成接口对接、数据集成与联调。</w:t>
      </w:r>
      <w:r/>
    </w:p>
    <w:p>
      <w:pPr>
        <w:ind w:firstLine="560"/>
        <w:spacing w:line="400" w:lineRule="exact"/>
        <w:rPr>
          <w:rFonts w:hint="eastAsia" w:ascii="仿宋" w:hAnsi="仿宋" w:eastAsia="仿宋"/>
          <w:sz w:val="28"/>
        </w:rPr>
      </w:pPr>
      <w:r>
        <w:rPr>
          <w:rFonts w:hint="eastAsia" w:ascii="仿宋" w:hAnsi="仿宋" w:eastAsia="仿宋"/>
          <w:sz w:val="28"/>
        </w:rPr>
        <w:t xml:space="preserve">3、付款方式</w:t>
      </w:r>
      <w:r/>
    </w:p>
    <w:p>
      <w:pPr>
        <w:ind w:firstLine="560"/>
        <w:spacing w:line="400" w:lineRule="exact"/>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签订合同后，支付合同金额的3</w:t>
      </w:r>
      <w:r>
        <w:rPr>
          <w:rFonts w:hint="eastAsia" w:ascii="仿宋" w:hAnsi="仿宋" w:eastAsia="仿宋"/>
          <w:sz w:val="28"/>
        </w:rPr>
        <w:t xml:space="preserve">5</w:t>
      </w:r>
      <w:r>
        <w:rPr>
          <w:rFonts w:ascii="仿宋" w:hAnsi="仿宋" w:eastAsia="仿宋"/>
          <w:sz w:val="28"/>
        </w:rPr>
        <w:t xml:space="preserve">%预付款</w:t>
      </w:r>
      <w:r>
        <w:rPr>
          <w:rFonts w:hint="eastAsia" w:ascii="仿宋" w:hAnsi="仿宋" w:eastAsia="仿宋"/>
          <w:sz w:val="28"/>
        </w:rPr>
        <w:t xml:space="preserve">；</w:t>
      </w:r>
      <w:r/>
    </w:p>
    <w:p>
      <w:pPr>
        <w:ind w:firstLine="560"/>
        <w:spacing w:line="400" w:lineRule="exact"/>
        <w:rPr>
          <w:rFonts w:hint="eastAsia" w:ascii="仿宋" w:hAnsi="仿宋" w:eastAsia="仿宋"/>
          <w:sz w:val="28"/>
        </w:rPr>
      </w:pPr>
      <w:r>
        <w:rPr>
          <w:rFonts w:hint="eastAsia" w:ascii="仿宋" w:hAnsi="仿宋" w:eastAsia="仿宋"/>
          <w:sz w:val="28"/>
        </w:rPr>
        <w:t xml:space="preserve">（2）</w:t>
      </w:r>
      <w:r>
        <w:rPr>
          <w:rFonts w:ascii="仿宋" w:hAnsi="仿宋" w:eastAsia="仿宋"/>
          <w:sz w:val="28"/>
        </w:rPr>
        <w:t xml:space="preserve">系统完成安装部署、系统对接、数据集成，开始试运行后后，支付合同金额的3</w:t>
      </w:r>
      <w:r>
        <w:rPr>
          <w:rFonts w:hint="eastAsia" w:ascii="仿宋" w:hAnsi="仿宋" w:eastAsia="仿宋"/>
          <w:sz w:val="28"/>
        </w:rPr>
        <w:t xml:space="preserve">5</w:t>
      </w:r>
      <w:r>
        <w:rPr>
          <w:rFonts w:ascii="仿宋" w:hAnsi="仿宋" w:eastAsia="仿宋"/>
          <w:sz w:val="28"/>
        </w:rPr>
        <w:t xml:space="preserve">%</w:t>
      </w:r>
      <w:r>
        <w:rPr>
          <w:rFonts w:hint="eastAsia" w:ascii="仿宋" w:hAnsi="仿宋" w:eastAsia="仿宋"/>
          <w:sz w:val="28"/>
        </w:rPr>
        <w:t xml:space="preserve">；</w:t>
      </w:r>
      <w:r/>
    </w:p>
    <w:p>
      <w:pPr>
        <w:ind w:firstLine="560"/>
        <w:spacing w:line="400" w:lineRule="exact"/>
        <w:rPr>
          <w:rFonts w:hint="eastAsia" w:ascii="仿宋" w:hAnsi="仿宋" w:eastAsia="仿宋"/>
          <w:sz w:val="28"/>
        </w:rPr>
      </w:pPr>
      <w:r>
        <w:rPr>
          <w:rFonts w:hint="eastAsia" w:ascii="仿宋" w:hAnsi="仿宋" w:eastAsia="仿宋"/>
          <w:sz w:val="28"/>
        </w:rPr>
        <w:t xml:space="preserve">（3）</w:t>
      </w:r>
      <w:r>
        <w:rPr>
          <w:rFonts w:ascii="仿宋" w:hAnsi="仿宋" w:eastAsia="仿宋"/>
          <w:sz w:val="28"/>
        </w:rPr>
        <w:t xml:space="preserve">系统平台验收合格并正式上线后，支付合同金额的</w:t>
      </w:r>
      <w:r>
        <w:rPr>
          <w:rFonts w:hint="eastAsia" w:ascii="仿宋" w:hAnsi="仿宋" w:eastAsia="仿宋"/>
          <w:sz w:val="28"/>
        </w:rPr>
        <w:t xml:space="preserve">25</w:t>
      </w:r>
      <w:r>
        <w:rPr>
          <w:rFonts w:ascii="仿宋" w:hAnsi="仿宋" w:eastAsia="仿宋"/>
          <w:sz w:val="28"/>
        </w:rPr>
        <w:t xml:space="preserve">%；</w:t>
      </w:r>
      <w:r/>
    </w:p>
    <w:p>
      <w:pPr>
        <w:ind w:firstLine="560"/>
        <w:spacing w:line="400" w:lineRule="exact"/>
        <w:rPr>
          <w:rFonts w:hint="eastAsia" w:ascii="仿宋" w:hAnsi="仿宋" w:eastAsia="仿宋"/>
          <w:sz w:val="28"/>
        </w:rPr>
      </w:pPr>
      <w:r>
        <w:rPr>
          <w:rFonts w:hint="eastAsia" w:ascii="仿宋" w:hAnsi="仿宋" w:eastAsia="仿宋"/>
          <w:sz w:val="28"/>
        </w:rPr>
        <w:t xml:space="preserve">（4）</w:t>
      </w:r>
      <w:r>
        <w:rPr>
          <w:rFonts w:ascii="仿宋" w:hAnsi="仿宋" w:eastAsia="仿宋"/>
          <w:sz w:val="28"/>
        </w:rPr>
        <w:t xml:space="preserve">项目验收合格满一年后，如无质量问题，支付</w:t>
      </w:r>
      <w:r>
        <w:rPr>
          <w:rFonts w:hint="eastAsia" w:ascii="仿宋" w:hAnsi="仿宋" w:eastAsia="仿宋"/>
          <w:sz w:val="28"/>
        </w:rPr>
        <w:t xml:space="preserve">合同金额的</w:t>
      </w:r>
      <w:r>
        <w:rPr>
          <w:rFonts w:ascii="仿宋" w:hAnsi="仿宋" w:eastAsia="仿宋"/>
          <w:sz w:val="28"/>
        </w:rPr>
        <w:t xml:space="preserve">5%</w:t>
      </w:r>
      <w:r>
        <w:rPr>
          <w:rFonts w:hint="eastAsia" w:ascii="仿宋" w:hAnsi="仿宋" w:eastAsia="仿宋"/>
          <w:sz w:val="28"/>
        </w:rPr>
        <w:t xml:space="preserve">尾款</w:t>
      </w:r>
      <w:r>
        <w:rPr>
          <w:rFonts w:ascii="仿宋" w:hAnsi="仿宋" w:eastAsia="仿宋"/>
          <w:sz w:val="28"/>
        </w:rPr>
        <w:t xml:space="preserve">。</w:t>
      </w:r>
      <w:r/>
    </w:p>
    <w:p>
      <w:pPr>
        <w:ind w:firstLine="560"/>
        <w:spacing w:line="400" w:lineRule="exact"/>
        <w:rPr>
          <w:rFonts w:hint="eastAsia" w:ascii="仿宋" w:hAnsi="仿宋" w:eastAsia="仿宋"/>
          <w:sz w:val="28"/>
        </w:rPr>
      </w:pPr>
      <w:r/>
      <w:bookmarkStart w:id="163" w:name="_Toc139881074"/>
      <w:r>
        <w:rPr>
          <w:rFonts w:ascii="仿宋" w:hAnsi="仿宋" w:eastAsia="仿宋"/>
          <w:sz w:val="28"/>
        </w:rPr>
        <w:t xml:space="preserve">以上付款均不计利息。由采购单位按相关财务支付规定办理支付手续。不得故意拖延支付时间。</w:t>
      </w:r>
      <w:bookmarkEnd w:id="163"/>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4、建设周期及地点要求</w:t>
      </w:r>
      <w:r/>
    </w:p>
    <w:p>
      <w:pPr>
        <w:ind w:firstLine="560"/>
        <w:spacing w:line="400" w:lineRule="exact"/>
        <w:rPr>
          <w:rFonts w:hint="eastAsia" w:ascii="仿宋" w:hAnsi="仿宋" w:eastAsia="仿宋" w:cs="仿宋"/>
          <w:sz w:val="28"/>
          <w:szCs w:val="28"/>
        </w:rPr>
      </w:pPr>
      <w:r>
        <w:rPr>
          <w:rFonts w:ascii="仿宋" w:hAnsi="仿宋" w:eastAsia="仿宋" w:cs="仿宋"/>
          <w:sz w:val="28"/>
          <w:szCs w:val="28"/>
        </w:rPr>
        <w:t xml:space="preserve">（1）建设周期：合同签订后180</w:t>
      </w:r>
      <w:r>
        <w:rPr>
          <w:rFonts w:hint="eastAsia" w:ascii="仿宋" w:hAnsi="仿宋" w:eastAsia="仿宋" w:cs="仿宋"/>
          <w:sz w:val="28"/>
          <w:szCs w:val="28"/>
        </w:rPr>
        <w:t xml:space="preserve">天。</w:t>
      </w:r>
      <w:r/>
    </w:p>
    <w:p>
      <w:pPr>
        <w:ind w:firstLine="560"/>
        <w:spacing w:line="400" w:lineRule="exact"/>
        <w:rPr>
          <w:rFonts w:hint="eastAsia" w:ascii="仿宋" w:hAnsi="仿宋" w:eastAsia="仿宋" w:cs="仿宋"/>
          <w:sz w:val="28"/>
          <w:szCs w:val="28"/>
        </w:rPr>
      </w:pPr>
      <w:r>
        <w:rPr>
          <w:rFonts w:ascii="仿宋" w:hAnsi="仿宋" w:eastAsia="仿宋" w:cs="仿宋"/>
          <w:sz w:val="28"/>
          <w:szCs w:val="28"/>
        </w:rPr>
        <w:t xml:space="preserve">（2）服务地点：</w:t>
      </w:r>
      <w:r>
        <w:rPr>
          <w:rFonts w:hint="eastAsia" w:ascii="仿宋" w:hAnsi="仿宋" w:eastAsia="仿宋" w:cs="仿宋"/>
          <w:sz w:val="28"/>
          <w:szCs w:val="28"/>
        </w:rPr>
        <w:t xml:space="preserve">南京交通职业技术学院。</w:t>
      </w:r>
      <w:r/>
    </w:p>
    <w:p>
      <w:pPr>
        <w:pStyle w:val="942"/>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五、其他要求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1.项目属性:服务类项目。</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2.演示要求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 上传视频演示</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投标人需按照招标文件规定的演示内容制作演示视频文件，视频文件的格式为X.mp4或X.avi，投标人须将视频文件分段压缩为X.zip文件上传（单个文件不得大于50M，所有文件总共不得大于300M）。文件上传方式见《操作手册》规定，上传的演示视频将作为投标文件的组成部分，视频时长总计不超过15分钟。</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2、演示内容如下：</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需提供大类培养方案、专业培养方案、个性化培养方案、辅修培养方案的制定与统一管理，支持针对同一专业下不同类型的学生群体制定多个人才培养方案，支持一门课程分不同院系开课、多个学期开课、滚动开课。</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选课服务要能设置多轮次选课，支持灵活的选课时间范围（总体选课时间、每天的选课开放时间、预览选课时间）；支持设置不同的抽签选课模式，包括：随机抽签、投志愿方式、投入积分方式；支持针对不同年级的学生设置不同的选课策略；学生选课时，可在一个界面便捷的查看选课轮次信息、选课学分情况、选课规则、个人课表、选课课程列表信息。</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（3）支持学生按单个教师对所有评价指标进行纵向评分，也支持学生按评价指标对多个授课教师进行横向评分。支持学院或教师自定义评价指标，支持开课单位进行不参评申请。</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支持验证性指标，主要应用于对学生评教行为进行测试，验证学生是否认真评教，是判断评教样本可信度的重要方法。支持在评价指标体系中添加验证性指标，支持提供两种验证方式，第一种是指定互相验证的两个指标组合，当两个指标的得分差异值大于设定值，判断学生评教行为未通过验证；第二种是指标选中某个选项时，判断学生的评教行为未通过验证。未通过验证的指标支持进行无效样本数处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（5）排课流程实操：无需切换功能菜单即可完成以下操作。①自动分组与冲突检</w:t>
      </w:r>
      <w:r>
        <w:rPr>
          <w:rFonts w:hint="eastAsia" w:ascii="仿宋" w:hAnsi="仿宋" w:eastAsia="仿宋" w:cs="仿宋"/>
          <w:sz w:val="28"/>
          <w:szCs w:val="28"/>
        </w:rPr>
        <w:t xml:space="preserve">测：按每班多批、每批多组，将多个实验项目和多个教学班一键完成分组，各组教师、实验室、实验项目皆自动生成；显示学生、教师、场地等冲突及上课安排，切换排课任务后冲突检测皆自动刷新；每关闭一种冲突检测皆可显示检测结果的变化；②双击式、拖拽式排课与排课变更：支持对6学时的实验批次进行3节连排，每次双击可连排3节，可连续双击直至学时排完；每次拖拽可连排3节，直至学时排完；在排课空位上双击可将原节次移动到新节次；可将原节次拖拽到其他空位上以更改节次；支持更换节次授课教师；③课表：可预览教学班课表、教师课表和实验室课表。</w:t>
      </w:r>
      <w:r/>
    </w:p>
    <w:p>
      <w:pPr>
        <w:spacing w:line="400" w:lineRule="exact"/>
        <w:rPr>
          <w:rFonts w:hint="eastAsia" w:ascii="仿宋" w:hAnsi="仿宋" w:eastAsia="仿宋"/>
          <w:sz w:val="30"/>
          <w:szCs w:val="30"/>
        </w:rPr>
      </w:pPr>
      <w:r>
        <w:rPr>
          <w:rFonts w:hint="eastAsia" w:ascii="仿宋" w:hAnsi="仿宋" w:eastAsia="仿宋"/>
          <w:sz w:val="30"/>
          <w:szCs w:val="30"/>
        </w:rPr>
        <w:t xml:space="preserve">3．方案要求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ascii="仿宋" w:hAnsi="仿宋" w:eastAsia="仿宋" w:cs="仿宋"/>
          <w:sz w:val="28"/>
          <w:szCs w:val="28"/>
        </w:rPr>
        <w:t xml:space="preserve">总体设计方案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投标人须提供完整的总体设计方案，包括软件技术架构、软件功能、软件性能、接口集成设计、扩展性设计、国产适配能力等。</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①软件技术架构：采用合理的技术架构，做到模块化设计，便于后期迭代维护。</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②软件功能：结合本项目业务特点，适配学校核心业务场景，满足学校业务实际使用需要。</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③软件性能：充分考虑多用户并发访问，保障系统运行以及响应效率。</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④接口集成设计：规划对外对接接口，支持与校内现有业务系统实现数据互通。</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⑤扩展性设计：系统具备良好扩展能力，可适配后续新增业务需求。</w:t>
      </w:r>
      <w:r/>
    </w:p>
    <w:p>
      <w:pPr>
        <w:ind w:firstLine="420"/>
        <w:spacing w:line="400" w:lineRule="exact"/>
        <w:rPr>
          <w:rFonts w:hint="eastAsia" w:ascii="仿宋" w:hAnsi="仿宋" w:eastAsia="仿宋" w:cs="仿宋"/>
          <w:sz w:val="28"/>
          <w:szCs w:val="28"/>
        </w:rPr>
      </w:pPr>
      <w:r>
        <w:rPr>
          <w:rFonts w:hint="eastAsia"/>
        </w:rPr>
        <w:t xml:space="preserve"> </w:t>
      </w:r>
      <w:r>
        <w:rPr>
          <w:rFonts w:hint="eastAsia" w:ascii="仿宋" w:hAnsi="仿宋" w:eastAsia="仿宋" w:cs="仿宋"/>
          <w:sz w:val="28"/>
          <w:szCs w:val="28"/>
        </w:rPr>
        <w:t xml:space="preserve">⑥国产适配能力：</w:t>
      </w:r>
      <w:r>
        <w:rPr>
          <w:rFonts w:ascii="仿宋" w:hAnsi="仿宋" w:eastAsia="仿宋" w:cs="仿宋"/>
          <w:sz w:val="28"/>
          <w:szCs w:val="28"/>
        </w:rPr>
        <w:t xml:space="preserve">做好国产软硬件适配规划，支持国产环境部署运行。</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（2）数据迁移方案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投标人须提供完备的数据迁移方案，包括迁移策略与方法、迁移技术路线、数据映射与转换规则、数据迁移步骤、系统割接方案等。</w:t>
      </w:r>
      <w:r/>
    </w:p>
    <w:p>
      <w:pPr>
        <w:pStyle w:val="1010"/>
        <w:numPr>
          <w:ilvl w:val="0"/>
          <w:numId w:val="4"/>
        </w:numPr>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迁移策略与方法：制定科学合理的数据迁移策略与方法，保障业务数据安全、完整、平稳完成迁移工作。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②迁移技术路线：</w:t>
      </w:r>
      <w:r>
        <w:rPr>
          <w:rFonts w:ascii="仿宋" w:hAnsi="仿宋" w:eastAsia="仿宋" w:cs="仿宋"/>
          <w:sz w:val="28"/>
          <w:szCs w:val="28"/>
        </w:rPr>
        <w:t xml:space="preserve">说明</w:t>
      </w:r>
      <w:r>
        <w:rPr>
          <w:rFonts w:hint="eastAsia" w:ascii="仿宋" w:hAnsi="仿宋" w:eastAsia="仿宋" w:cs="仿宋"/>
          <w:sz w:val="28"/>
          <w:szCs w:val="28"/>
        </w:rPr>
        <w:t xml:space="preserve">本项目数据迁移的技术实施路径与</w:t>
      </w:r>
      <w:r>
        <w:rPr>
          <w:rFonts w:ascii="仿宋" w:hAnsi="仿宋" w:eastAsia="仿宋" w:cs="仿宋"/>
          <w:sz w:val="28"/>
          <w:szCs w:val="28"/>
        </w:rPr>
        <w:t xml:space="preserve">处理方式。</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③数据映射与转换规则：梳理新旧系统字段对应关系，完成历史数据清洗以及格式转换。</w:t>
      </w:r>
      <w:r/>
    </w:p>
    <w:p>
      <w:pPr>
        <w:pStyle w:val="1010"/>
        <w:numPr>
          <w:ilvl w:val="0"/>
          <w:numId w:val="5"/>
        </w:numPr>
        <w:spacing w:after="160"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数据迁移步骤：明确数据迁移各实施环节，保障数据迁移顺利完成。</w:t>
      </w:r>
      <w:r/>
    </w:p>
    <w:p>
      <w:pPr>
        <w:pStyle w:val="1010"/>
        <w:ind w:left="56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⑤系统割接方案：明确系统割接相关实施举措，保障割接工作平稳完成。</w:t>
      </w:r>
      <w:r/>
    </w:p>
    <w:p>
      <w:pPr>
        <w:pStyle w:val="1010"/>
        <w:ind w:left="56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（3）系统安全方案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投标人须提供完整系统安全方案，包括权限安全、系统安全、数据安全、日志审计、成绩数据安全等。</w:t>
      </w:r>
      <w:r/>
    </w:p>
    <w:p>
      <w:pPr>
        <w:pStyle w:val="1010"/>
        <w:numPr>
          <w:ilvl w:val="0"/>
          <w:numId w:val="6"/>
        </w:numPr>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权限安全：建立账号权限管理体系，落实权限管控要求</w:t>
      </w:r>
      <w:r>
        <w:rPr>
          <w:rFonts w:hint="eastAsia" w:ascii="仿宋" w:hAnsi="仿宋" w:eastAsia="仿宋" w:cs="仿宋"/>
          <w:sz w:val="28"/>
          <w:szCs w:val="28"/>
          <w:lang w:eastAsia="zh-CN" w:bidi="ar-SA"/>
        </w:rPr>
        <w:t xml:space="preserve">。</w:t>
      </w:r>
      <w:r/>
    </w:p>
    <w:p>
      <w:pPr>
        <w:pStyle w:val="1010"/>
        <w:numPr>
          <w:ilvl w:val="0"/>
          <w:numId w:val="6"/>
        </w:numPr>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系统安全：建立系统安全防护体系，保障业务系统安全可信、稳定运行。</w:t>
      </w:r>
      <w:r/>
    </w:p>
    <w:p>
      <w:pPr>
        <w:pStyle w:val="1010"/>
        <w:numPr>
          <w:ilvl w:val="0"/>
          <w:numId w:val="6"/>
        </w:numPr>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数据安全：落实业务</w:t>
      </w:r>
      <w:r>
        <w:rPr>
          <w:rFonts w:ascii="仿宋" w:hAnsi="仿宋" w:eastAsia="仿宋" w:cs="仿宋"/>
          <w:sz w:val="28"/>
          <w:szCs w:val="28"/>
          <w:lang w:eastAsia="zh-CN"/>
        </w:rPr>
        <w:t xml:space="preserve">敏感数据</w:t>
      </w:r>
      <w:r>
        <w:rPr>
          <w:rFonts w:hint="eastAsia" w:ascii="仿宋" w:hAnsi="仿宋" w:eastAsia="仿宋" w:cs="仿宋"/>
          <w:sz w:val="28"/>
          <w:szCs w:val="28"/>
          <w:lang w:eastAsia="zh-CN"/>
        </w:rPr>
        <w:t xml:space="preserve">的</w:t>
      </w:r>
      <w:r>
        <w:rPr>
          <w:rFonts w:ascii="仿宋" w:hAnsi="仿宋" w:eastAsia="仿宋" w:cs="仿宋"/>
          <w:sz w:val="28"/>
          <w:szCs w:val="28"/>
          <w:lang w:eastAsia="zh-CN"/>
        </w:rPr>
        <w:t xml:space="preserve">存储</w:t>
      </w:r>
      <w:r>
        <w:rPr>
          <w:rFonts w:hint="eastAsia" w:ascii="仿宋" w:hAnsi="仿宋" w:eastAsia="仿宋" w:cs="仿宋"/>
          <w:sz w:val="28"/>
          <w:szCs w:val="28"/>
          <w:lang w:eastAsia="zh-CN"/>
        </w:rPr>
        <w:t xml:space="preserve">及访问防护管控措施。</w:t>
      </w:r>
      <w:r/>
    </w:p>
    <w:p>
      <w:pPr>
        <w:pStyle w:val="1010"/>
        <w:numPr>
          <w:ilvl w:val="0"/>
          <w:numId w:val="6"/>
        </w:numPr>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日志审计：</w:t>
      </w:r>
      <w:r>
        <w:rPr>
          <w:rFonts w:ascii="仿宋" w:hAnsi="仿宋" w:eastAsia="仿宋" w:cs="仿宋"/>
          <w:sz w:val="28"/>
          <w:szCs w:val="28"/>
          <w:lang w:eastAsia="zh-CN"/>
        </w:rPr>
        <w:t xml:space="preserve">做好操作日志留存管理，实现操作行为可追溯审计。</w:t>
      </w:r>
      <w:r/>
    </w:p>
    <w:p>
      <w:pPr>
        <w:pStyle w:val="1010"/>
        <w:numPr>
          <w:ilvl w:val="0"/>
          <w:numId w:val="6"/>
        </w:numPr>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成绩数据安全：开展成绩数据安全防护规划，确保成绩数据安全可控。</w:t>
      </w:r>
      <w:r/>
    </w:p>
    <w:p>
      <w:pPr>
        <w:ind w:left="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（4）项目实施方案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投标人须提供详细的项目实施方案，包括项目组织管理、项目实施周期、项目质量控制、需求变更管控、安装调试方案、项目验收方案等。</w:t>
      </w:r>
      <w:r/>
    </w:p>
    <w:p>
      <w:pPr>
        <w:pStyle w:val="1010"/>
        <w:numPr>
          <w:ilvl w:val="0"/>
          <w:numId w:val="7"/>
        </w:numPr>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项目组织管理：</w:t>
      </w:r>
      <w:r>
        <w:rPr>
          <w:rFonts w:ascii="仿宋" w:hAnsi="仿宋" w:eastAsia="仿宋" w:cs="仿宋"/>
          <w:sz w:val="28"/>
          <w:szCs w:val="28"/>
          <w:lang w:eastAsia="zh-CN"/>
        </w:rPr>
        <w:t xml:space="preserve">组建本项目专属实施团队，岗位职责清晰，保障主要实施人员相对稳定。</w:t>
      </w:r>
      <w:r/>
    </w:p>
    <w:p>
      <w:pPr>
        <w:pStyle w:val="1010"/>
        <w:numPr>
          <w:ilvl w:val="0"/>
          <w:numId w:val="7"/>
        </w:numPr>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项目实施周期：</w:t>
      </w:r>
      <w:r>
        <w:rPr>
          <w:rFonts w:ascii="仿宋" w:hAnsi="仿宋" w:eastAsia="仿宋" w:cs="仿宋"/>
          <w:sz w:val="28"/>
          <w:szCs w:val="28"/>
          <w:lang w:eastAsia="zh-CN"/>
        </w:rPr>
        <w:t xml:space="preserve">合理划分实施阶段，按照项目总工期要求制定各阶段进度计划。</w:t>
      </w:r>
      <w:r/>
    </w:p>
    <w:p>
      <w:pPr>
        <w:pStyle w:val="1010"/>
        <w:numPr>
          <w:ilvl w:val="0"/>
          <w:numId w:val="7"/>
        </w:numPr>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项目质量控制：建立项目全流程质量管控手段，把控项目交付质量。</w:t>
      </w:r>
      <w:r/>
    </w:p>
    <w:p>
      <w:pPr>
        <w:pStyle w:val="1010"/>
        <w:numPr>
          <w:ilvl w:val="0"/>
          <w:numId w:val="7"/>
        </w:numPr>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需求变更管控：规范项目需求变更申请、评估、确认的管理流程。</w:t>
      </w:r>
      <w:r/>
    </w:p>
    <w:p>
      <w:pPr>
        <w:pStyle w:val="1010"/>
        <w:numPr>
          <w:ilvl w:val="0"/>
          <w:numId w:val="7"/>
        </w:numPr>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安装调试方案：明确系统安装调试各项举措，保障系统部署完成并可用。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⑥</w:t>
      </w:r>
      <w:r>
        <w:rPr>
          <w:rFonts w:ascii="Calibri" w:hAnsi="Calibri" w:eastAsia="仿宋" w:cs="Calibri"/>
          <w:sz w:val="28"/>
          <w:szCs w:val="28"/>
        </w:rPr>
        <w:t xml:space="preserve"> </w:t>
      </w:r>
      <w:r>
        <w:rPr>
          <w:rFonts w:hint="eastAsia" w:ascii="仿宋" w:hAnsi="仿宋" w:eastAsia="仿宋" w:cs="仿宋"/>
          <w:sz w:val="28"/>
          <w:szCs w:val="28"/>
        </w:rPr>
        <w:t xml:space="preserve">项目验收方案：明确项目验收条件及流程，做好项目相关资料归档。</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（5）售后服务方案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投标人须提供完善售后服务方案，包括售后服务响应机制、技术支持方式、版本升级服务、客户服务与运维保障能力、运维巡检服务等。</w:t>
      </w:r>
      <w:r/>
    </w:p>
    <w:p>
      <w:pPr>
        <w:pStyle w:val="1010"/>
        <w:numPr>
          <w:ilvl w:val="0"/>
          <w:numId w:val="8"/>
        </w:numPr>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售后服务响应机制：</w:t>
      </w:r>
      <w:r>
        <w:rPr>
          <w:rFonts w:ascii="仿宋" w:hAnsi="仿宋" w:eastAsia="仿宋" w:cs="仿宋"/>
          <w:sz w:val="28"/>
          <w:szCs w:val="28"/>
          <w:lang w:eastAsia="zh-CN"/>
        </w:rPr>
        <w:t xml:space="preserve">区分故障等级，明确各类故障对应的响应及处置时限。</w:t>
      </w:r>
      <w:r/>
    </w:p>
    <w:p>
      <w:pPr>
        <w:pStyle w:val="1010"/>
        <w:numPr>
          <w:ilvl w:val="0"/>
          <w:numId w:val="8"/>
        </w:numPr>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技术支持方式：</w:t>
      </w:r>
      <w:r>
        <w:rPr>
          <w:rFonts w:ascii="仿宋" w:hAnsi="仿宋" w:eastAsia="仿宋" w:cs="仿宋"/>
          <w:sz w:val="28"/>
          <w:szCs w:val="28"/>
          <w:lang w:eastAsia="zh-CN"/>
        </w:rPr>
        <w:t xml:space="preserve">提供远程、现场等多途径的技术保障支持。</w:t>
      </w:r>
      <w:r/>
    </w:p>
    <w:p>
      <w:pPr>
        <w:pStyle w:val="1010"/>
        <w:numPr>
          <w:ilvl w:val="0"/>
          <w:numId w:val="8"/>
        </w:numPr>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版本升级服务：</w:t>
      </w:r>
      <w:r>
        <w:rPr>
          <w:rFonts w:ascii="仿宋" w:hAnsi="仿宋" w:eastAsia="仿宋" w:cs="仿宋"/>
          <w:sz w:val="28"/>
          <w:szCs w:val="28"/>
          <w:lang w:eastAsia="zh-CN"/>
        </w:rPr>
        <w:t xml:space="preserve">质保期内提供漏洞补丁修复以及版本优化升级服务。</w:t>
      </w:r>
      <w:r/>
    </w:p>
    <w:p>
      <w:pPr>
        <w:pStyle w:val="1010"/>
        <w:numPr>
          <w:ilvl w:val="0"/>
          <w:numId w:val="8"/>
        </w:numPr>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客户服务与运维保障能力：具备完善的客户服务与运维保障体系，保障系统稳定运行。</w:t>
      </w:r>
      <w:r/>
    </w:p>
    <w:p>
      <w:pPr>
        <w:pStyle w:val="1010"/>
        <w:numPr>
          <w:ilvl w:val="0"/>
          <w:numId w:val="8"/>
        </w:numPr>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运维巡检服务：</w:t>
      </w:r>
      <w:r>
        <w:rPr>
          <w:rFonts w:ascii="仿宋" w:hAnsi="仿宋" w:eastAsia="仿宋" w:cs="仿宋"/>
          <w:sz w:val="28"/>
          <w:szCs w:val="28"/>
          <w:lang w:eastAsia="zh-CN"/>
        </w:rPr>
        <w:t xml:space="preserve">质保期内定期开展系统巡检，主动排查运行隐患并提交巡检报告。</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（6）培训方案</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投标人须提供专项培训方案，包括培训目标、培训安排、培训内容与课程设置、</w:t>
      </w:r>
      <w:r>
        <w:rPr>
          <w:rFonts w:ascii="仿宋" w:hAnsi="仿宋" w:eastAsia="仿宋" w:cs="仿宋"/>
          <w:sz w:val="28"/>
          <w:szCs w:val="28"/>
        </w:rPr>
        <w:t xml:space="preserve">培训成效保障</w:t>
      </w:r>
      <w:r>
        <w:rPr>
          <w:rFonts w:hint="eastAsia" w:ascii="仿宋" w:hAnsi="仿宋" w:eastAsia="仿宋" w:cs="仿宋"/>
          <w:sz w:val="28"/>
          <w:szCs w:val="28"/>
        </w:rPr>
        <w:t xml:space="preserve">措施、后续答疑服务等。</w:t>
      </w:r>
      <w:r>
        <w:rPr>
          <w:rFonts w:ascii="仿宋" w:hAnsi="仿宋" w:eastAsia="仿宋" w:cs="仿宋"/>
          <w:sz w:val="28"/>
          <w:szCs w:val="28"/>
        </w:rPr>
        <w:t xml:space="preserve"> </w:t>
      </w:r>
      <w:r/>
    </w:p>
    <w:p>
      <w:pPr>
        <w:pStyle w:val="1010"/>
        <w:numPr>
          <w:ilvl w:val="0"/>
          <w:numId w:val="9"/>
        </w:numPr>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培训目标：</w:t>
      </w:r>
      <w:r>
        <w:rPr>
          <w:rFonts w:ascii="仿宋" w:hAnsi="仿宋" w:eastAsia="仿宋" w:cs="仿宋"/>
          <w:sz w:val="28"/>
          <w:szCs w:val="28"/>
          <w:lang w:eastAsia="zh-CN"/>
        </w:rPr>
        <w:t xml:space="preserve">使系统管理员掌握运维操作，业务人员熟练日常业务使用。</w:t>
      </w:r>
      <w:r/>
    </w:p>
    <w:p>
      <w:pPr>
        <w:pStyle w:val="1010"/>
        <w:numPr>
          <w:ilvl w:val="0"/>
          <w:numId w:val="9"/>
        </w:numPr>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培训安排：结合项目实际情况制定合理的培训计划，有序组织开展相关培训活动。</w:t>
      </w:r>
      <w:r/>
    </w:p>
    <w:p>
      <w:pPr>
        <w:pStyle w:val="1010"/>
        <w:numPr>
          <w:ilvl w:val="0"/>
          <w:numId w:val="9"/>
        </w:numPr>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培训内容与课程设置：根据项目情况规划培训内容，设置课程体系，满足系统使用培训需要。</w:t>
      </w:r>
      <w:r/>
    </w:p>
    <w:p>
      <w:pPr>
        <w:pStyle w:val="1010"/>
        <w:numPr>
          <w:ilvl w:val="0"/>
          <w:numId w:val="9"/>
        </w:numPr>
        <w:spacing w:line="400" w:lineRule="exact"/>
        <w:rPr>
          <w:rFonts w:hint="eastAsia" w:ascii="仿宋" w:hAnsi="仿宋" w:eastAsia="仿宋" w:cs="仿宋"/>
          <w:sz w:val="28"/>
          <w:szCs w:val="28"/>
          <w:lang w:eastAsia="zh-CN"/>
        </w:rPr>
      </w:pPr>
      <w:r>
        <w:rPr>
          <w:rFonts w:ascii="仿宋" w:hAnsi="仿宋" w:eastAsia="仿宋" w:cs="仿宋"/>
          <w:sz w:val="28"/>
          <w:szCs w:val="28"/>
          <w:lang w:eastAsia="zh-CN"/>
        </w:rPr>
        <w:t xml:space="preserve">培训成效保障</w:t>
      </w:r>
      <w:r>
        <w:rPr>
          <w:rFonts w:hint="eastAsia" w:ascii="仿宋" w:hAnsi="仿宋" w:eastAsia="仿宋" w:cs="仿宋"/>
          <w:sz w:val="28"/>
          <w:szCs w:val="28"/>
          <w:lang w:eastAsia="zh-CN"/>
        </w:rPr>
        <w:t xml:space="preserve">措施：建立相应的保障措施，确保培训落地实施，保障培训达到预期效果。</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⑤后续答疑服务：培训结束后持续为校方提供业务使用答疑指导。</w:t>
      </w:r>
      <w:r/>
    </w:p>
    <w:p>
      <w:pPr>
        <w:pStyle w:val="931"/>
        <w:ind w:firstLine="0"/>
        <w:rPr>
          <w:rFonts w:hint="eastAsia" w:ascii="仿宋" w:hAnsi="仿宋" w:eastAsia="仿宋"/>
          <w:sz w:val="28"/>
          <w:szCs w:val="28"/>
        </w:rPr>
      </w:pPr>
      <w:r>
        <w:rPr>
          <w:rFonts w:hint="eastAsia" w:ascii="仿宋" w:hAnsi="仿宋" w:eastAsia="仿宋"/>
          <w:sz w:val="28"/>
          <w:szCs w:val="28"/>
        </w:rPr>
        <w:t xml:space="preserve">4、履约能力要求</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（1）项目实施团队要求：</w:t>
      </w:r>
      <w:r>
        <w:rPr>
          <w:rFonts w:ascii="仿宋" w:hAnsi="仿宋" w:eastAsia="仿宋" w:cs="仿宋"/>
          <w:sz w:val="28"/>
          <w:szCs w:val="28"/>
        </w:rPr>
        <w:t xml:space="preserve">本项目为AI赋能教务系统建设项目，业务复杂，涵盖教务全业务、AI</w:t>
      </w:r>
      <w:r>
        <w:rPr>
          <w:rFonts w:hint="eastAsia" w:ascii="仿宋" w:hAnsi="仿宋" w:eastAsia="仿宋" w:cs="仿宋"/>
          <w:sz w:val="28"/>
          <w:szCs w:val="28"/>
        </w:rPr>
        <w:t xml:space="preserve">智能</w:t>
      </w:r>
      <w:r>
        <w:rPr>
          <w:rFonts w:ascii="仿宋" w:hAnsi="仿宋" w:eastAsia="仿宋" w:cs="仿宋"/>
          <w:sz w:val="28"/>
          <w:szCs w:val="28"/>
        </w:rPr>
        <w:t xml:space="preserve">中台、AI智能排课、信创适配、数据迁移、多系统集成、运维保障等多项工作内容。</w:t>
      </w:r>
      <w:r>
        <w:rPr>
          <w:rFonts w:hint="eastAsia" w:ascii="仿宋" w:hAnsi="仿宋" w:eastAsia="仿宋" w:cs="仿宋"/>
          <w:sz w:val="28"/>
          <w:szCs w:val="28"/>
        </w:rPr>
        <w:t xml:space="preserve">为了</w:t>
      </w:r>
      <w:r>
        <w:rPr>
          <w:rFonts w:ascii="仿宋" w:hAnsi="仿宋" w:eastAsia="仿宋" w:cs="仿宋"/>
          <w:sz w:val="28"/>
          <w:szCs w:val="28"/>
        </w:rPr>
        <w:t xml:space="preserve">保障项目质量、进度、风险管控以及AI相关功能落地效果，</w:t>
      </w:r>
      <w:r>
        <w:rPr>
          <w:rFonts w:hint="eastAsia" w:ascii="仿宋" w:hAnsi="仿宋" w:eastAsia="仿宋" w:cs="仿宋"/>
          <w:sz w:val="28"/>
          <w:szCs w:val="28"/>
        </w:rPr>
        <w:t xml:space="preserve">投标人须组建不少于5人的专属履约团队，配置：</w:t>
      </w:r>
      <w:r>
        <w:rPr>
          <w:rFonts w:ascii="仿宋" w:hAnsi="仿宋" w:eastAsia="仿宋" w:cs="仿宋"/>
          <w:sz w:val="28"/>
          <w:szCs w:val="28"/>
        </w:rPr>
        <w:t xml:space="preserve">项目</w:t>
      </w:r>
      <w:r>
        <w:rPr>
          <w:rFonts w:hint="eastAsia" w:ascii="仿宋" w:hAnsi="仿宋" w:eastAsia="仿宋" w:cs="仿宋"/>
          <w:sz w:val="28"/>
          <w:szCs w:val="28"/>
        </w:rPr>
        <w:t xml:space="preserve">负责人1名</w:t>
      </w:r>
      <w:r>
        <w:rPr>
          <w:rFonts w:ascii="仿宋" w:hAnsi="仿宋" w:eastAsia="仿宋" w:cs="仿宋"/>
          <w:sz w:val="28"/>
          <w:szCs w:val="28"/>
        </w:rPr>
        <w:t xml:space="preserve">、技术负责人</w:t>
      </w:r>
      <w:r>
        <w:rPr>
          <w:rFonts w:hint="eastAsia" w:ascii="仿宋" w:hAnsi="仿宋" w:eastAsia="仿宋" w:cs="仿宋"/>
          <w:sz w:val="28"/>
          <w:szCs w:val="28"/>
        </w:rPr>
        <w:t xml:space="preserve">1名</w:t>
      </w:r>
      <w:r>
        <w:rPr>
          <w:rFonts w:ascii="仿宋" w:hAnsi="仿宋" w:eastAsia="仿宋" w:cs="仿宋"/>
          <w:sz w:val="28"/>
          <w:szCs w:val="28"/>
        </w:rPr>
        <w:t xml:space="preserve">、开发负责人</w:t>
      </w:r>
      <w:r>
        <w:rPr>
          <w:rFonts w:hint="eastAsia" w:ascii="仿宋" w:hAnsi="仿宋" w:eastAsia="仿宋" w:cs="仿宋"/>
          <w:sz w:val="28"/>
          <w:szCs w:val="28"/>
        </w:rPr>
        <w:t xml:space="preserve">1名、在校驻场人员1名</w:t>
      </w:r>
      <w:r>
        <w:rPr>
          <w:rFonts w:ascii="仿宋" w:hAnsi="仿宋" w:eastAsia="仿宋" w:cs="仿宋"/>
          <w:sz w:val="28"/>
          <w:szCs w:val="28"/>
        </w:rPr>
        <w:t xml:space="preserve">、</w:t>
      </w:r>
      <w:r>
        <w:rPr>
          <w:rFonts w:hint="eastAsia" w:ascii="仿宋" w:hAnsi="仿宋" w:eastAsia="仿宋" w:cs="仿宋"/>
          <w:sz w:val="28"/>
          <w:szCs w:val="28"/>
        </w:rPr>
        <w:t xml:space="preserve">运维人员1名，全部人员须为投标人正式在岗职工。项目负责人、技术负责人、开发负责人、在校驻场人员不得为同一人，岗位独立分工，实现管理、技术、开发、现场服务工作相互协同。各岗位岗位职责及证书要求如下：</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①</w:t>
      </w:r>
      <w:r>
        <w:rPr>
          <w:rFonts w:ascii="Calibri" w:hAnsi="Calibri" w:eastAsia="仿宋" w:cs="Calibri"/>
          <w:sz w:val="28"/>
          <w:szCs w:val="28"/>
        </w:rPr>
        <w:t xml:space="preserve"> </w:t>
      </w:r>
      <w:r>
        <w:rPr>
          <w:rFonts w:hint="eastAsia" w:ascii="仿宋" w:hAnsi="仿宋" w:eastAsia="仿宋" w:cs="仿宋"/>
          <w:sz w:val="28"/>
          <w:szCs w:val="28"/>
        </w:rPr>
        <w:t xml:space="preserve">项目负责人（仅限1人）</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岗位职责：全面统筹项目全周期管理工作，负责信息系统实施与集成落地管控，编制项目实施计划，开展进度、质量、风险管控，统筹协调内外部资源，组织需求确认、阶段评审，协调各小组工作，牵头完成项目整体验收；同时开展业务需求分析、系统总体架构研判，对项目整体交付成效负总责。</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证书要求：须持有信息系统项目管理师（高级）、系统架构设计师、系统分析师、电子计算机相关专业高级工程师、</w:t>
      </w:r>
      <w:r>
        <w:rPr>
          <w:rFonts w:ascii="仿宋" w:hAnsi="仿宋" w:eastAsia="仿宋" w:cs="仿宋"/>
          <w:sz w:val="28"/>
          <w:szCs w:val="28"/>
        </w:rPr>
        <w:t xml:space="preserve">系统集成项目管理工程师</w:t>
      </w:r>
      <w:r>
        <w:rPr>
          <w:rFonts w:hint="eastAsia" w:ascii="仿宋" w:hAnsi="仿宋" w:eastAsia="仿宋" w:cs="仿宋"/>
          <w:sz w:val="28"/>
          <w:szCs w:val="28"/>
        </w:rPr>
        <w:t xml:space="preserve">证书。</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②</w:t>
      </w:r>
      <w:r>
        <w:rPr>
          <w:rFonts w:ascii="Calibri" w:hAnsi="Calibri" w:eastAsia="仿宋" w:cs="Calibri"/>
          <w:sz w:val="28"/>
          <w:szCs w:val="28"/>
        </w:rPr>
        <w:t xml:space="preserve"> </w:t>
      </w:r>
      <w:r>
        <w:rPr>
          <w:rFonts w:hint="eastAsia" w:ascii="仿宋" w:hAnsi="仿宋" w:eastAsia="仿宋" w:cs="仿宋"/>
          <w:sz w:val="28"/>
          <w:szCs w:val="28"/>
        </w:rPr>
        <w:t xml:space="preserve">技术负责人（独立岗位）</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岗位职责：负责项目整体技术方案审核把关，把控系统架构、信创适配、接口规范、数据安全与系统性能；处置项目重大技术难点，审核各类技术输出成果，识别并化解技术风险，指导开发、在校驻场及运维团队开展技术工作。</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证书要求：须持有信息系统项目管理师（高级）证书。</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③</w:t>
      </w:r>
      <w:r>
        <w:rPr>
          <w:rFonts w:ascii="Calibri" w:hAnsi="Calibri" w:eastAsia="仿宋" w:cs="Calibri"/>
          <w:sz w:val="28"/>
          <w:szCs w:val="28"/>
        </w:rPr>
        <w:t xml:space="preserve"> </w:t>
      </w:r>
      <w:r>
        <w:rPr>
          <w:rFonts w:hint="eastAsia" w:ascii="仿宋" w:hAnsi="仿宋" w:eastAsia="仿宋" w:cs="仿宋"/>
          <w:sz w:val="28"/>
          <w:szCs w:val="28"/>
        </w:rPr>
        <w:t xml:space="preserve">开发负责人（独立岗位）</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岗位职责：负责项目个性化业务及AI相关功能的定制开发、迭代优化；把控开发进度与代码质量，完成功能调试与缺陷修复，落地学校智能化业务需求，保障定制开发模块稳定可靠运行。</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证书要求：须持有人工智能应用工程师（高级）证书。</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④在校驻场人员（独立岗位）</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岗位职责：负责项目现场实施交付工作，完成业务需求调研、系统部署配置、历史数据迁移、功能调试、用户培训、系统上线切换；跟踪实施过程问题整改闭环，编制实施过程及验收相关文档，保障系统贴合学校教务业务完成落地。</w:t>
      </w:r>
      <w:r>
        <w:rPr>
          <w:rFonts w:ascii="仿宋" w:hAnsi="仿宋" w:eastAsia="仿宋" w:cs="仿宋"/>
          <w:sz w:val="28"/>
          <w:szCs w:val="28"/>
        </w:rPr>
        <w:t xml:space="preserve">建设期在校驻场值守，负责系统现场使用答疑、一线故障排查、业务咨询响应，处置一般性系统问题，做好问题记录、上报与闭环跟进，保障校内教务业务平稳运行。</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证书要求：须持有系统规划与管理师证书。</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⑤</w:t>
      </w:r>
      <w:r>
        <w:rPr>
          <w:rFonts w:ascii="Calibri" w:hAnsi="Calibri" w:eastAsia="仿宋" w:cs="Calibri"/>
          <w:sz w:val="28"/>
          <w:szCs w:val="28"/>
        </w:rPr>
        <w:t xml:space="preserve"> </w:t>
      </w:r>
      <w:r>
        <w:rPr>
          <w:rFonts w:hint="eastAsia" w:ascii="仿宋" w:hAnsi="仿宋" w:eastAsia="仿宋" w:cs="仿宋"/>
          <w:sz w:val="28"/>
          <w:szCs w:val="28"/>
        </w:rPr>
        <w:t xml:space="preserve">运维人员</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岗位职责：承担系统全周期后台技术运维工作，负责系统日常巡检、故障分析定位、BUG跟进处理、版本更新适配、数据维护；保障选课、考试、成绩管理等学期关键业务平稳开展。</w:t>
      </w:r>
      <w:r/>
    </w:p>
    <w:p>
      <w:pPr>
        <w:spacing w:line="400" w:lineRule="exact"/>
        <w:rPr>
          <w:rFonts w:hint="eastAsia" w:ascii="仿宋" w:hAnsi="仿宋" w:eastAsia="仿宋" w:cs="仿宋"/>
          <w:sz w:val="28"/>
          <w:szCs w:val="28"/>
        </w:rPr>
      </w:pPr>
      <w:r>
        <w:rPr>
          <w:rFonts w:hint="eastAsia" w:ascii="仿宋" w:hAnsi="仿宋" w:eastAsia="仿宋" w:cs="仿宋"/>
          <w:sz w:val="28"/>
          <w:szCs w:val="28"/>
        </w:rPr>
        <w:t xml:space="preserve">人员要求：须为投标人正式在岗技术人员，熟悉教务系统架构，具备信息化系统运维、故障排查处置相关工作经验，能够及时响应学校运维服务需求。</w:t>
      </w:r>
      <w:r/>
    </w:p>
    <w:p>
      <w:pPr>
        <w:spacing w:line="400" w:lineRule="exact"/>
        <w:rPr>
          <w:rFonts w:hint="eastAsia" w:ascii="仿宋" w:hAnsi="仿宋" w:eastAsia="仿宋" w:cs="仿宋"/>
          <w:sz w:val="28"/>
          <w:szCs w:val="28"/>
          <w14:ligatures w14: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8"/>
          <w:szCs w:val="28"/>
        </w:rPr>
        <w:t xml:space="preserve">（2）</w:t>
      </w:r>
      <w:r>
        <w:rPr>
          <w:rFonts w:hint="eastAsia" w:ascii="仿宋" w:hAnsi="仿宋" w:eastAsia="仿宋" w:cs="仿宋"/>
          <w:sz w:val="28"/>
          <w:szCs w:val="28"/>
        </w:rPr>
        <w:t xml:space="preserve">供应商自</w:t>
      </w:r>
      <w:r>
        <w:rPr>
          <w:rFonts w:hint="eastAsia" w:ascii="仿宋" w:hAnsi="仿宋" w:eastAsia="仿宋" w:cs="仿宋"/>
          <w:sz w:val="28"/>
          <w:szCs w:val="28"/>
        </w:rPr>
        <w:t xml:space="preserve">2023</w:t>
      </w:r>
      <w:r>
        <w:rPr>
          <w:rFonts w:hint="eastAsia" w:ascii="仿宋" w:hAnsi="仿宋" w:eastAsia="仿宋" w:cs="仿宋"/>
          <w:sz w:val="28"/>
          <w:szCs w:val="28"/>
        </w:rPr>
        <w:t xml:space="preserve">年</w:t>
      </w:r>
      <w:r>
        <w:rPr>
          <w:rFonts w:hint="eastAsia" w:ascii="仿宋" w:hAnsi="仿宋" w:eastAsia="仿宋" w:cs="仿宋"/>
          <w:sz w:val="28"/>
          <w:szCs w:val="28"/>
        </w:rPr>
        <w:t xml:space="preserve">1</w:t>
      </w:r>
      <w:r>
        <w:rPr>
          <w:rFonts w:hint="eastAsia" w:ascii="仿宋" w:hAnsi="仿宋" w:eastAsia="仿宋" w:cs="仿宋"/>
          <w:sz w:val="28"/>
          <w:szCs w:val="28"/>
        </w:rPr>
        <w:t xml:space="preserve">月</w:t>
      </w:r>
      <w:r>
        <w:rPr>
          <w:rFonts w:hint="eastAsia" w:ascii="仿宋" w:hAnsi="仿宋" w:eastAsia="仿宋" w:cs="仿宋"/>
          <w:sz w:val="28"/>
          <w:szCs w:val="28"/>
        </w:rPr>
        <w:t xml:space="preserve">1</w:t>
      </w:r>
      <w:r>
        <w:rPr>
          <w:rFonts w:hint="eastAsia" w:ascii="仿宋" w:hAnsi="仿宋" w:eastAsia="仿宋" w:cs="仿宋"/>
          <w:sz w:val="28"/>
          <w:szCs w:val="28"/>
        </w:rPr>
        <w:t xml:space="preserve">日至今承接过同类的业绩项目情况</w:t>
      </w:r>
      <w:r>
        <w:rPr>
          <w:rFonts w:hint="eastAsia" w:ascii="仿宋" w:hAnsi="仿宋" w:eastAsia="仿宋" w:cs="仿宋"/>
          <w:sz w:val="28"/>
          <w:szCs w:val="28"/>
        </w:rPr>
        <w:t xml:space="preserve">。</w:t>
      </w:r>
      <w:r>
        <w:rPr>
          <w:rFonts w:hint="eastAsia" w:ascii="仿宋" w:hAnsi="仿宋" w:eastAsia="仿宋" w:cs="仿宋"/>
          <w:sz w:val="28"/>
          <w:szCs w:val="28"/>
        </w:rPr>
      </w:r>
      <w:r/>
    </w:p>
    <w:p>
      <w:pPr>
        <w:spacing w:line="400" w:lineRule="exact"/>
        <w:rPr>
          <w:rFonts w:hint="eastAsia" w:ascii="仿宋" w:hAnsi="仿宋" w:eastAsia="仿宋" w:cs="仿宋"/>
          <w:sz w:val="28"/>
          <w:szCs w:val="28"/>
          <w14:ligatures w14: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8"/>
          <w:szCs w:val="28"/>
        </w:rPr>
        <w:t xml:space="preserve">注：</w:t>
      </w:r>
      <w:r>
        <w:rPr>
          <w:rFonts w:hint="eastAsia" w:ascii="仿宋" w:hAnsi="仿宋" w:eastAsia="仿宋" w:cs="仿宋"/>
          <w:sz w:val="28"/>
          <w:szCs w:val="28"/>
        </w:rPr>
        <w:t xml:space="preserve">1</w:t>
      </w:r>
      <w:r>
        <w:rPr>
          <w:rFonts w:hint="eastAsia" w:ascii="仿宋" w:hAnsi="仿宋" w:eastAsia="仿宋" w:cs="仿宋"/>
          <w:sz w:val="28"/>
          <w:szCs w:val="28"/>
        </w:rPr>
        <w:t xml:space="preserve">、合同内容须包括培养方案、排课、选课以上三个关键词类似相关内容；</w:t>
      </w:r>
      <w:r>
        <w:rPr>
          <w:rFonts w:hint="eastAsia" w:ascii="仿宋" w:hAnsi="仿宋" w:eastAsia="仿宋" w:cs="仿宋"/>
          <w:sz w:val="28"/>
          <w:szCs w:val="28"/>
        </w:rPr>
      </w:r>
      <w:r/>
    </w:p>
    <w:p>
      <w:pPr>
        <w:spacing w:line="400" w:lineRule="exact"/>
        <w:rPr>
          <w:rFonts w:hint="eastAsia" w:ascii="仿宋" w:hAnsi="仿宋" w:eastAsia="仿宋" w:cs="仿宋"/>
          <w:sz w:val="28"/>
          <w:szCs w:val="28"/>
          <w14:ligatures w14: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8"/>
          <w:szCs w:val="28"/>
        </w:rPr>
        <w:t xml:space="preserve">2</w:t>
      </w:r>
      <w:r>
        <w:rPr>
          <w:rFonts w:hint="eastAsia" w:ascii="仿宋" w:hAnsi="仿宋" w:eastAsia="仿宋" w:cs="仿宋"/>
          <w:sz w:val="28"/>
          <w:szCs w:val="28"/>
        </w:rPr>
        <w:t xml:space="preserve">、业绩认定以合</w:t>
      </w:r>
      <w:r>
        <w:rPr>
          <w:rFonts w:hint="eastAsia" w:ascii="仿宋" w:hAnsi="仿宋" w:eastAsia="仿宋" w:cs="仿宋"/>
          <w:sz w:val="28"/>
          <w:szCs w:val="28"/>
        </w:rPr>
        <w:t xml:space="preserve">同签订</w:t>
      </w:r>
      <w:r>
        <w:rPr>
          <w:rFonts w:hint="eastAsia" w:ascii="仿宋" w:hAnsi="仿宋" w:eastAsia="仿宋" w:cs="仿宋"/>
          <w:sz w:val="28"/>
          <w:szCs w:val="28"/>
        </w:rPr>
        <w:t xml:space="preserve">时间为准，须提供合同关键页的复印件和加盖用户使用单位公章的验收</w:t>
      </w:r>
      <w:r>
        <w:rPr>
          <w:rFonts w:hint="eastAsia" w:ascii="仿宋" w:hAnsi="仿宋" w:eastAsia="仿宋" w:cs="仿宋"/>
          <w:sz w:val="28"/>
          <w:szCs w:val="28"/>
          <w:highlight w:val="none"/>
          <w14:ligatures w14:val="none"/>
        </w:rPr>
      </w:r>
      <w:r>
        <w:rPr>
          <w:rFonts w:hint="eastAsia" w:ascii="仿宋" w:hAnsi="仿宋" w:eastAsia="仿宋" w:cs="仿宋"/>
          <w:sz w:val="28"/>
          <w:szCs w:val="28"/>
        </w:rPr>
        <w:t xml:space="preserve">报告复印件，缺一不得分。</w:t>
      </w:r>
      <w:r/>
      <w:r/>
      <w:r>
        <w:rPr>
          <w:rFonts w:hint="eastAsia" w:ascii="仿宋" w:hAnsi="仿宋" w:eastAsia="仿宋" w:cs="仿宋"/>
          <w:sz w:val="28"/>
          <w:szCs w:val="28"/>
          <w14:ligatures w14:val="none"/>
        </w:rPr>
      </w:r>
    </w:p>
    <w:p>
      <w:pPr>
        <w:spacing w:line="400" w:lineRule="exact"/>
        <w:rPr>
          <w:rFonts w:hint="eastAsia" w:ascii="仿宋" w:hAnsi="仿宋" w:eastAsia="仿宋" w:cs="仿宋"/>
          <w:sz w:val="28"/>
          <w:szCs w:val="28"/>
          <w14:ligatures w14: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rPr>
        <w:t xml:space="preserve">质保服</w:t>
      </w:r>
      <w:r>
        <w:rPr>
          <w:rFonts w:hint="eastAsia" w:ascii="仿宋" w:hAnsi="仿宋" w:eastAsia="仿宋" w:cs="仿宋"/>
          <w:sz w:val="28"/>
          <w:szCs w:val="28"/>
        </w:rPr>
        <w:t xml:space="preserve">务</w:t>
      </w:r>
      <w:r>
        <w:rPr>
          <w:rFonts w:hint="eastAsia" w:ascii="仿宋" w:hAnsi="仿宋" w:eastAsia="仿宋" w:cs="仿宋"/>
          <w:sz w:val="28"/>
          <w:szCs w:val="28"/>
        </w:rPr>
        <w:t xml:space="preserve">：</w:t>
      </w:r>
      <w:r>
        <w:rPr>
          <w:rFonts w:hint="eastAsia" w:ascii="仿宋" w:hAnsi="仿宋" w:eastAsia="仿宋" w:cs="仿宋"/>
          <w:sz w:val="28"/>
          <w:szCs w:val="28"/>
        </w:rPr>
        <w:t xml:space="preserve">供应商</w:t>
      </w:r>
      <w:r>
        <w:rPr>
          <w:rFonts w:hint="eastAsia" w:ascii="仿宋" w:hAnsi="仿宋" w:eastAsia="仿宋" w:cs="仿宋"/>
          <w:sz w:val="28"/>
          <w:szCs w:val="28"/>
        </w:rPr>
        <w:t xml:space="preserve">在质保期三年的基础上，</w:t>
      </w:r>
      <w:r>
        <w:rPr>
          <w:rFonts w:hint="eastAsia" w:ascii="仿宋" w:hAnsi="仿宋" w:eastAsia="仿宋" w:cs="仿宋"/>
          <w:sz w:val="28"/>
          <w:szCs w:val="28"/>
        </w:rPr>
        <w:t xml:space="preserve">延长</w:t>
      </w:r>
      <w:r>
        <w:rPr>
          <w:rFonts w:hint="eastAsia" w:ascii="仿宋" w:hAnsi="仿宋" w:eastAsia="仿宋" w:cs="仿宋"/>
          <w:sz w:val="28"/>
          <w:szCs w:val="28"/>
        </w:rPr>
        <w:t xml:space="preserve">质保服务</w:t>
      </w:r>
      <w:r>
        <w:rPr>
          <w:rFonts w:hint="eastAsia" w:ascii="仿宋" w:hAnsi="仿宋" w:eastAsia="仿宋" w:cs="仿宋"/>
          <w:sz w:val="28"/>
          <w:szCs w:val="28"/>
        </w:rPr>
        <w:t xml:space="preserve">（</w:t>
      </w:r>
      <w:r>
        <w:rPr>
          <w:rFonts w:hint="eastAsia" w:ascii="仿宋" w:hAnsi="仿宋" w:eastAsia="仿宋" w:cs="仿宋"/>
          <w:sz w:val="28"/>
          <w:szCs w:val="28"/>
        </w:rPr>
        <w:t xml:space="preserve">包含于</w:t>
      </w:r>
      <w:r>
        <w:rPr>
          <w:rFonts w:hint="eastAsia" w:ascii="仿宋" w:hAnsi="仿宋" w:eastAsia="仿宋" w:cs="仿宋"/>
          <w:sz w:val="28"/>
          <w:szCs w:val="28"/>
        </w:rPr>
        <w:t xml:space="preserve">总</w:t>
      </w:r>
      <w:r>
        <w:rPr>
          <w:rFonts w:hint="eastAsia" w:ascii="仿宋" w:hAnsi="仿宋" w:eastAsia="仿宋" w:cs="仿宋"/>
          <w:sz w:val="28"/>
          <w:szCs w:val="28"/>
        </w:rPr>
        <w:t xml:space="preserve">报价</w:t>
      </w:r>
      <w:r>
        <w:rPr>
          <w:rFonts w:hint="eastAsia" w:ascii="仿宋" w:hAnsi="仿宋" w:eastAsia="仿宋" w:cs="仿宋"/>
          <w:sz w:val="28"/>
          <w:szCs w:val="28"/>
        </w:rPr>
        <w:t xml:space="preserve">中</w:t>
      </w:r>
      <w:r>
        <w:rPr>
          <w:rFonts w:hint="eastAsia" w:ascii="仿宋" w:hAnsi="仿宋" w:eastAsia="仿宋" w:cs="仿宋"/>
          <w:sz w:val="28"/>
          <w:szCs w:val="28"/>
        </w:rPr>
        <w:t xml:space="preserve">）</w:t>
      </w:r>
      <w:r>
        <w:rPr>
          <w:rFonts w:hint="eastAsia" w:ascii="仿宋" w:hAnsi="仿宋" w:eastAsia="仿宋" w:cs="仿宋"/>
          <w:sz w:val="28"/>
          <w:szCs w:val="28"/>
        </w:rPr>
        <w:t xml:space="preserve">，</w:t>
      </w:r>
      <w:r>
        <w:rPr>
          <w:rFonts w:hint="eastAsia" w:ascii="仿宋" w:hAnsi="仿宋" w:eastAsia="仿宋" w:cs="仿宋"/>
          <w:sz w:val="28"/>
          <w:szCs w:val="28"/>
        </w:rPr>
        <w:t xml:space="preserve">不超过2</w:t>
      </w:r>
      <w:r>
        <w:rPr>
          <w:rFonts w:hint="eastAsia" w:ascii="仿宋" w:hAnsi="仿宋" w:eastAsia="仿宋" w:cs="仿宋"/>
          <w:sz w:val="28"/>
          <w:szCs w:val="28"/>
        </w:rPr>
        <w:t xml:space="preserve">年</w:t>
      </w:r>
      <w:r>
        <w:rPr>
          <w:rFonts w:hint="eastAsia" w:ascii="仿宋" w:hAnsi="仿宋" w:eastAsia="仿宋" w:cs="仿宋"/>
          <w:sz w:val="28"/>
          <w:szCs w:val="28"/>
        </w:rPr>
        <w:t xml:space="preserve">。</w:t>
      </w:r>
      <w:r>
        <w:rPr>
          <w:rFonts w:hint="eastAsia" w:ascii="仿宋" w:hAnsi="仿宋" w:eastAsia="仿宋" w:cs="仿宋"/>
          <w:sz w:val="28"/>
          <w:szCs w:val="28"/>
        </w:rPr>
      </w:r>
      <w:r>
        <w:rPr>
          <w:rFonts w:hint="eastAsia" w:ascii="仿宋" w:hAnsi="仿宋" w:eastAsia="仿宋" w:cs="仿宋"/>
          <w:sz w:val="28"/>
          <w:szCs w:val="28"/>
        </w:rPr>
      </w:r>
    </w:p>
    <w:p>
      <w:pPr>
        <w:rPr>
          <w:rFonts w:hint="eastAsia" w:ascii="方正黑体_GBK" w:hAnsi="方正黑体_GBK" w:eastAsia="方正黑体_GBK"/>
          <w:sz w:val="28"/>
        </w:rPr>
      </w:pPr>
      <w:r>
        <w:rPr>
          <w:rFonts w:ascii="方正黑体_GBK" w:hAnsi="方正黑体_GBK" w:eastAsia="方正黑体_GBK"/>
          <w:sz w:val="28"/>
        </w:rPr>
        <w:t xml:space="preserve">六、补充技术要求</w:t>
      </w:r>
      <w:r/>
    </w:p>
    <w:p>
      <w:pPr>
        <w:pStyle w:val="930"/>
        <w:rPr>
          <w:rFonts w:hint="eastAsia"/>
        </w:rPr>
      </w:pPr>
      <w:r>
        <w:rPr>
          <w:rFonts w:hint="eastAsia" w:ascii="仿宋" w:hAnsi="仿宋" w:eastAsia="仿宋" w:cs="仿宋"/>
          <w:caps w:val="0"/>
          <w:sz w:val="28"/>
          <w:szCs w:val="28"/>
        </w:rPr>
        <w:t xml:space="preserve">其中</w:t>
      </w:r>
      <w:r>
        <w:rPr>
          <w:rFonts w:hint="eastAsia"/>
          <w:b/>
          <w:bCs/>
          <w:i/>
          <w:szCs w:val="21"/>
          <w:u w:val="single"/>
        </w:rPr>
        <w:t xml:space="preserve">斜体且有下划线部分</w:t>
      </w:r>
      <w:r>
        <w:rPr>
          <w:rFonts w:hint="eastAsia"/>
          <w:b/>
          <w:bCs/>
          <w:szCs w:val="21"/>
        </w:rPr>
        <w:t xml:space="preserve">或加</w:t>
      </w:r>
      <w:r>
        <w:rPr>
          <w:rFonts w:hint="eastAsia" w:ascii="Times New Roman" w:hAnsi="Times New Roman"/>
        </w:rPr>
        <w:t xml:space="preserve">*</w:t>
      </w:r>
      <w:r>
        <w:rPr>
          <w:rFonts w:hint="eastAsia"/>
          <w:b/>
          <w:bCs/>
          <w:szCs w:val="21"/>
        </w:rPr>
        <w:t xml:space="preserve">号条款为实质性要求</w:t>
      </w:r>
      <w:r/>
    </w:p>
    <w:p>
      <w:pPr>
        <w:rPr>
          <w:i/>
          <w:iCs/>
          <w:u w:val="single"/>
        </w:rPr>
      </w:pPr>
      <w:r>
        <w:rPr>
          <w:rFonts w:ascii="仿宋" w:hAnsi="仿宋" w:eastAsia="仿宋"/>
          <w:b/>
          <w:i/>
          <w:iCs/>
          <w:sz w:val="28"/>
          <w:u w:val="single"/>
        </w:rPr>
        <w:t xml:space="preserve">1. 数据中台对接要求</w:t>
      </w:r>
      <w:r/>
    </w:p>
    <w:p>
      <w:pPr>
        <w:rPr>
          <w:i/>
          <w:iCs/>
          <w:u w:val="single"/>
        </w:rPr>
      </w:pPr>
      <w:r>
        <w:rPr>
          <w:rFonts w:ascii="仿宋" w:hAnsi="仿宋" w:eastAsia="仿宋"/>
          <w:i/>
          <w:iCs/>
          <w:sz w:val="28"/>
          <w:u w:val="single"/>
        </w:rPr>
        <w:t xml:space="preserve">投标人须免费开放系统全部数据库字段、数据字典及标准接口，不得设置字段屏蔽、接口加密、额外授权及二次收费限制；支持多模式数据同步，实现与学校数据中台无缝对接，满足校内数据共享与数据治理工作需要。</w:t>
      </w:r>
      <w:r/>
    </w:p>
    <w:p>
      <w:pPr>
        <w:rPr>
          <w:i/>
          <w:iCs/>
          <w:u w:val="single"/>
        </w:rPr>
      </w:pPr>
      <w:r>
        <w:rPr>
          <w:rFonts w:ascii="仿宋" w:hAnsi="仿宋" w:eastAsia="仿宋"/>
          <w:b/>
          <w:i/>
          <w:iCs/>
          <w:sz w:val="28"/>
          <w:u w:val="single"/>
        </w:rPr>
        <w:t xml:space="preserve">2. 教育部数据基座适配要求</w:t>
      </w:r>
      <w:r/>
    </w:p>
    <w:p>
      <w:pPr>
        <w:rPr>
          <w:i/>
          <w:iCs/>
          <w:u w:val="single"/>
        </w:rPr>
      </w:pPr>
      <w:r>
        <w:rPr>
          <w:rFonts w:ascii="仿宋" w:hAnsi="仿宋" w:eastAsia="仿宋"/>
          <w:i/>
          <w:iCs/>
          <w:sz w:val="28"/>
          <w:u w:val="single"/>
        </w:rPr>
        <w:t xml:space="preserve">投标人须对标教育部数据基座数据上报要求，免费开发补齐上报所需全部字段、元数据，适配官方上报接口与数据校验规则，相关改造工作不计费用，保障教务业务数据合规上报。</w:t>
      </w:r>
      <w:r/>
    </w:p>
    <w:p>
      <w:pPr>
        <w:rPr>
          <w:i/>
          <w:iCs/>
          <w:u w:val="single"/>
        </w:rPr>
      </w:pPr>
      <w:r>
        <w:rPr>
          <w:rFonts w:ascii="仿宋" w:hAnsi="仿宋" w:eastAsia="仿宋"/>
          <w:b/>
          <w:i/>
          <w:iCs/>
          <w:sz w:val="28"/>
          <w:u w:val="single"/>
        </w:rPr>
        <w:t xml:space="preserve">3. 驻场服务要求</w:t>
      </w:r>
      <w:r/>
    </w:p>
    <w:p>
      <w:pPr>
        <w:rPr>
          <w:i/>
          <w:iCs/>
          <w:u w:val="single"/>
        </w:rPr>
      </w:pPr>
      <w:r>
        <w:rPr>
          <w:rFonts w:ascii="仿宋" w:hAnsi="仿宋" w:eastAsia="仿宋"/>
          <w:i/>
          <w:iCs/>
          <w:sz w:val="28"/>
          <w:u w:val="single"/>
        </w:rPr>
        <w:t xml:space="preserve">项目须提供1年的专职驻场服务，驻场人员不少于1名。驻场人员负责系统故障处置、功能微调、业务支撑及各类专项保障工作；重大故障提供7×24小时应急响应服务。</w:t>
      </w:r>
      <w:r/>
    </w:p>
    <w:p>
      <w:pPr>
        <w:rPr>
          <w:i/>
          <w:iCs/>
          <w:u w:val="single"/>
        </w:rPr>
      </w:pPr>
      <w:r>
        <w:rPr>
          <w:rFonts w:ascii="仿宋" w:hAnsi="仿宋" w:eastAsia="仿宋"/>
          <w:b/>
          <w:i/>
          <w:iCs/>
          <w:sz w:val="28"/>
          <w:u w:val="single"/>
        </w:rPr>
        <w:t xml:space="preserve">4. 质保服务要求</w:t>
      </w:r>
      <w:r/>
    </w:p>
    <w:p>
      <w:pPr>
        <w:rPr>
          <w:i/>
          <w:iCs/>
          <w:u w:val="single"/>
        </w:rPr>
      </w:pPr>
      <w:r>
        <w:rPr>
          <w:rFonts w:ascii="仿宋" w:hAnsi="仿宋" w:eastAsia="仿宋"/>
          <w:i/>
          <w:iCs/>
          <w:sz w:val="28"/>
          <w:u w:val="single"/>
        </w:rPr>
        <w:t xml:space="preserve">项目整体质保期</w:t>
      </w:r>
      <w:r>
        <w:rPr>
          <w:rFonts w:hint="eastAsia" w:ascii="仿宋" w:hAnsi="仿宋" w:eastAsia="仿宋"/>
          <w:i/>
          <w:iCs/>
          <w:sz w:val="28"/>
          <w:u w:val="single"/>
        </w:rPr>
        <w:t xml:space="preserve">3</w:t>
      </w:r>
      <w:r>
        <w:rPr>
          <w:rFonts w:ascii="仿宋" w:hAnsi="仿宋" w:eastAsia="仿宋"/>
          <w:i/>
          <w:iCs/>
          <w:sz w:val="28"/>
          <w:u w:val="single"/>
        </w:rPr>
        <w:t xml:space="preserve">年，质保期内免费提供漏洞修复、系统补丁部署、故障处理、常规版本迭代服务。</w:t>
      </w:r>
      <w:r/>
    </w:p>
    <w:p>
      <w:pPr>
        <w:rPr>
          <w:i/>
          <w:iCs/>
          <w:u w:val="single"/>
        </w:rPr>
      </w:pPr>
      <w:r>
        <w:rPr>
          <w:rFonts w:ascii="仿宋" w:hAnsi="仿宋" w:eastAsia="仿宋"/>
          <w:b/>
          <w:i/>
          <w:iCs/>
          <w:sz w:val="28"/>
          <w:u w:val="single"/>
        </w:rPr>
        <w:t xml:space="preserve">5. 系统迭代升级要求</w:t>
      </w:r>
      <w:r/>
    </w:p>
    <w:p>
      <w:pPr>
        <w:rPr>
          <w:i/>
          <w:iCs/>
          <w:u w:val="single"/>
        </w:rPr>
      </w:pPr>
      <w:r>
        <w:rPr>
          <w:rFonts w:ascii="仿宋" w:hAnsi="仿宋" w:eastAsia="仿宋"/>
          <w:i/>
          <w:iCs/>
          <w:sz w:val="28"/>
          <w:u w:val="single"/>
        </w:rPr>
        <w:t xml:space="preserve">质保期内，投标人须结合教育政策更新、学校信息化建设需求，免费完成系统功能升级、接口适配、数据结构优化工作，并同步更新全套技术文档。</w:t>
      </w:r>
      <w:r/>
    </w:p>
    <w:p>
      <w:pPr>
        <w:rPr>
          <w:i/>
          <w:iCs/>
          <w:u w:val="single"/>
        </w:rPr>
      </w:pPr>
      <w:r>
        <w:rPr>
          <w:rFonts w:ascii="仿宋" w:hAnsi="仿宋" w:eastAsia="仿宋"/>
          <w:b/>
          <w:i/>
          <w:iCs/>
          <w:sz w:val="28"/>
          <w:u w:val="single"/>
        </w:rPr>
        <w:t xml:space="preserve">6. 网络与数据安全要求</w:t>
      </w:r>
      <w:r/>
    </w:p>
    <w:p>
      <w:pPr>
        <w:rPr>
          <w:i/>
          <w:iCs/>
          <w:u w:val="single"/>
        </w:rPr>
      </w:pPr>
      <w:r>
        <w:rPr>
          <w:rFonts w:ascii="仿宋" w:hAnsi="仿宋" w:eastAsia="仿宋"/>
          <w:i/>
          <w:iCs/>
          <w:sz w:val="28"/>
          <w:u w:val="single"/>
        </w:rPr>
        <w:t xml:space="preserve">投标人须严格落实网络安全、数据安全及等级保护相关规范，配置分级权限管控机制，留存完整操作审计日志；配合学校开展安全测评、隐患整改及各类安全专项工作。</w:t>
      </w:r>
      <w:r/>
    </w:p>
    <w:p>
      <w:pPr>
        <w:rPr>
          <w:i/>
          <w:iCs/>
          <w:u w:val="single"/>
        </w:rPr>
      </w:pPr>
      <w:r>
        <w:rPr>
          <w:rFonts w:ascii="仿宋" w:hAnsi="仿宋" w:eastAsia="仿宋"/>
          <w:b/>
          <w:i/>
          <w:iCs/>
          <w:sz w:val="28"/>
          <w:u w:val="single"/>
        </w:rPr>
        <w:t xml:space="preserve">7. 培训与技术支撑要求</w:t>
      </w:r>
      <w:r/>
    </w:p>
    <w:p>
      <w:pPr>
        <w:rPr>
          <w:i/>
          <w:iCs/>
          <w:u w:val="single"/>
        </w:rPr>
      </w:pPr>
      <w:r>
        <w:rPr>
          <w:rFonts w:ascii="仿宋" w:hAnsi="仿宋" w:eastAsia="仿宋"/>
          <w:i/>
          <w:iCs/>
          <w:sz w:val="28"/>
          <w:u w:val="single"/>
        </w:rPr>
        <w:t xml:space="preserve">投标人须免费组织多轮管理员、业务操作人员培训，完整交付项目全套技术资料；全程配合学校开展数据核查、项目验收及日常运维管理相关工作。</w:t>
      </w:r>
      <w:r/>
    </w:p>
    <w:p>
      <w:pPr>
        <w:pStyle w:val="919"/>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pStyle w:val="920"/>
        <w:spacing w:line="400" w:lineRule="exact"/>
        <w:rPr>
          <w:rFonts w:hint="eastAsia" w:ascii="黑体" w:hAnsi="黑体" w:eastAsia="黑体"/>
          <w:sz w:val="28"/>
          <w:szCs w:val="28"/>
        </w:rPr>
      </w:pPr>
      <w:r>
        <w:rPr>
          <w:rFonts w:hint="eastAsia" w:ascii="黑体" w:hAnsi="黑体" w:eastAsia="黑体"/>
          <w:sz w:val="28"/>
          <w:szCs w:val="28"/>
        </w:rPr>
        <w:t xml:space="preserve">第五章  评标方法与评标标准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p>
    <w:tbl>
      <w:tblPr>
        <w:tblStyle w:val="929"/>
        <w:tblW w:w="0" w:type="auto"/>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1005"/>
        <w:ind w:firstLine="562"/>
        <w:spacing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p>
    <w:p>
      <w:pPr>
        <w:pStyle w:val="100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p>
    <w:p>
      <w:pPr>
        <w:pStyle w:val="1005"/>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p>
    <w:p>
      <w:pPr>
        <w:pStyle w:val="100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p>
    <w:p>
      <w:pPr>
        <w:pStyle w:val="100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p>
    <w:p>
      <w:pPr>
        <w:pStyle w:val="100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p>
    <w:p>
      <w:pPr>
        <w:pStyle w:val="1005"/>
        <w:ind w:left="120"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p>
    <w:p>
      <w:pPr>
        <w:pStyle w:val="1005"/>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p>
    <w:p>
      <w:pPr>
        <w:pStyle w:val="1005"/>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p>
    <w:p>
      <w:pPr>
        <w:pStyle w:val="100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p>
    <w:p>
      <w:pPr>
        <w:pStyle w:val="100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p>
    <w:p>
      <w:pPr>
        <w:pStyle w:val="100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p>
    <w:p>
      <w:pPr>
        <w:pStyle w:val="100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p>
    <w:p>
      <w:pPr>
        <w:pStyle w:val="1005"/>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1005"/>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5"/>
        <w:ind w:firstLine="562"/>
        <w:spacing w:line="400" w:lineRule="exact"/>
        <w:rPr>
          <w:rFonts w:hint="eastAsia" w:ascii="宋体" w:hAnsi="宋体"/>
          <w:b/>
          <w:sz w:val="28"/>
          <w:szCs w:val="28"/>
        </w:rPr>
      </w:pPr>
      <w:r>
        <w:rPr>
          <w:rFonts w:hint="eastAsia" w:ascii="宋体" w:hAnsi="宋体"/>
          <w:b/>
          <w:sz w:val="28"/>
          <w:szCs w:val="28"/>
        </w:rPr>
      </w:r>
      <w:r/>
    </w:p>
    <w:p>
      <w:pPr>
        <w:pStyle w:val="1005"/>
        <w:ind w:firstLine="562"/>
        <w:spacing w:line="400" w:lineRule="exact"/>
        <w:rPr>
          <w:rFonts w:hint="eastAsia" w:ascii="宋体" w:hAnsi="宋体"/>
          <w:b/>
          <w:sz w:val="28"/>
          <w:szCs w:val="28"/>
        </w:rPr>
      </w:pPr>
      <w:r>
        <w:rPr>
          <w:rFonts w:hint="eastAsia" w:ascii="宋体" w:hAnsi="宋体"/>
          <w:b/>
          <w:sz w:val="28"/>
          <w:szCs w:val="28"/>
        </w:rPr>
      </w:r>
      <w:r/>
    </w:p>
    <w:p>
      <w:pPr>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p>
    <w:p>
      <w:pPr>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 </w:t>
      </w:r>
      <w:r/>
    </w:p>
    <w:tbl>
      <w:tblPr>
        <w:tblStyle w:val="929"/>
        <w:tblW w:w="9710" w:type="dxa"/>
        <w:jc w:val="center"/>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7749"/>
        <w:gridCol w:w="671"/>
      </w:tblGrid>
      <w:tr>
        <w:trPr>
          <w:jc w:val="center"/>
          <w:trHeight w:val="284"/>
          <w:tblHeader/>
        </w:trPr>
        <w:tc>
          <w:tcPr>
            <w:tcW w:w="1290" w:type="dxa"/>
            <w:vAlign w:val="center"/>
            <w:textDirection w:val="lrTb"/>
            <w:noWrap w:val="false"/>
          </w:tcPr>
          <w:p>
            <w:pPr>
              <w:jc w:val="center"/>
              <w:spacing w:line="360" w:lineRule="auto"/>
              <w:widowControl/>
              <w:rPr>
                <w:b/>
              </w:rPr>
            </w:pPr>
            <w:r>
              <w:rPr>
                <w:b/>
              </w:rPr>
              <w:t xml:space="preserve">评审因素</w:t>
            </w:r>
            <w:r/>
          </w:p>
        </w:tc>
        <w:tc>
          <w:tcPr>
            <w:tcW w:w="7749" w:type="dxa"/>
            <w:vAlign w:val="center"/>
            <w:textDirection w:val="lrTb"/>
            <w:noWrap w:val="false"/>
          </w:tcPr>
          <w:p>
            <w:pPr>
              <w:jc w:val="center"/>
              <w:spacing w:line="360" w:lineRule="auto"/>
              <w:widowControl/>
              <w:rPr>
                <w:b/>
              </w:rPr>
            </w:pPr>
            <w:r>
              <w:rPr>
                <w:b/>
              </w:rPr>
              <w:t xml:space="preserve">评审标准</w:t>
            </w:r>
            <w:r/>
          </w:p>
        </w:tc>
        <w:tc>
          <w:tcPr>
            <w:tcW w:w="671" w:type="dxa"/>
            <w:vAlign w:val="center"/>
            <w:textDirection w:val="lrTb"/>
            <w:noWrap w:val="false"/>
          </w:tcPr>
          <w:p>
            <w:pPr>
              <w:jc w:val="center"/>
              <w:spacing w:line="360" w:lineRule="auto"/>
              <w:widowControl/>
              <w:rPr>
                <w:b/>
              </w:rPr>
            </w:pPr>
            <w:r>
              <w:rPr>
                <w:b/>
              </w:rPr>
              <w:t xml:space="preserve">分值</w:t>
            </w:r>
            <w:r/>
          </w:p>
        </w:tc>
      </w:tr>
      <w:tr>
        <w:trPr>
          <w:jc w:val="center"/>
          <w:trHeight w:val="490"/>
        </w:trPr>
        <w:tc>
          <w:tcPr>
            <w:tcW w:w="1290" w:type="dxa"/>
            <w:vAlign w:val="center"/>
            <w:textDirection w:val="lrTb"/>
            <w:noWrap w:val="false"/>
          </w:tcPr>
          <w:p>
            <w:pPr>
              <w:jc w:val="center"/>
              <w:spacing w:line="360" w:lineRule="auto"/>
              <w:widowControl/>
              <w:rPr>
                <w:b/>
              </w:rPr>
            </w:pPr>
            <w:r>
              <w:rPr>
                <w:rFonts w:hint="eastAsia"/>
                <w:b/>
                <w:lang w:val="en-US" w:eastAsia="zh-CN"/>
              </w:rPr>
              <w:t xml:space="preserve">1</w:t>
            </w:r>
            <w:r>
              <w:rPr>
                <w:b/>
              </w:rPr>
              <w:t xml:space="preserve">价格</w:t>
            </w:r>
            <w:r/>
          </w:p>
        </w:tc>
        <w:tc>
          <w:tcPr>
            <w:tcW w:w="7749" w:type="dxa"/>
            <w:vAlign w:val="center"/>
            <w:textDirection w:val="lrTb"/>
            <w:noWrap w:val="false"/>
          </w:tcPr>
          <w:p>
            <w:pPr>
              <w:spacing w:line="360" w:lineRule="auto"/>
            </w:pPr>
            <w:r>
              <w:t xml:space="preserve">满足招标文件要求且投标价格最低的投标报价为评审基准价，其价格分为满分。其他供应商的价格分统一按照下列公式计算：</w:t>
            </w:r>
            <w:r/>
          </w:p>
          <w:p>
            <w:pPr>
              <w:spacing w:line="360" w:lineRule="auto"/>
            </w:pPr>
            <w:r>
              <w:t xml:space="preserve">投标报价得分=(评审基准价／投标报价)×10</w:t>
            </w:r>
            <w:r>
              <w:rPr>
                <w:rFonts w:hint="eastAsia"/>
              </w:rPr>
              <w:t xml:space="preserve">，保留2位</w:t>
            </w:r>
            <w:r>
              <w:t xml:space="preserve">小数</w:t>
            </w:r>
            <w:r/>
          </w:p>
        </w:tc>
        <w:tc>
          <w:tcPr>
            <w:tcW w:w="671" w:type="dxa"/>
            <w:vAlign w:val="center"/>
            <w:textDirection w:val="lrTb"/>
            <w:noWrap w:val="false"/>
          </w:tcPr>
          <w:p>
            <w:pPr>
              <w:jc w:val="center"/>
              <w:spacing w:line="360" w:lineRule="auto"/>
              <w:widowControl/>
            </w:pPr>
            <w:r>
              <w:t xml:space="preserve">10</w:t>
            </w:r>
            <w:r/>
          </w:p>
        </w:tc>
      </w:tr>
      <w:tr>
        <w:trPr>
          <w:jc w:val="center"/>
          <w:trHeight w:val="1545"/>
        </w:trPr>
        <w:tc>
          <w:tcPr>
            <w:tcW w:w="1290" w:type="dxa"/>
            <w:vAlign w:val="center"/>
            <w:textDirection w:val="lrTb"/>
            <w:noWrap w:val="false"/>
          </w:tcPr>
          <w:p>
            <w:pPr>
              <w:spacing w:line="360" w:lineRule="auto"/>
              <w:tabs>
                <w:tab w:val="left" w:pos="480" w:leader="none"/>
              </w:tabs>
              <w:rPr>
                <w:b/>
                <w:bCs/>
              </w:rPr>
            </w:pPr>
            <w:r>
              <w:rPr>
                <w:rFonts w:hint="eastAsia"/>
                <w:b/>
                <w:bCs/>
                <w:lang w:val="en-US" w:eastAsia="zh-CN"/>
              </w:rPr>
              <w:t xml:space="preserve">2</w:t>
            </w:r>
            <w:r>
              <w:rPr>
                <w:b/>
                <w:bCs/>
              </w:rPr>
              <w:t xml:space="preserve">重要技术指标响应 </w:t>
            </w:r>
            <w:r/>
          </w:p>
          <w:p>
            <w:pPr>
              <w:jc w:val="center"/>
              <w:spacing w:line="360" w:lineRule="auto"/>
              <w:rPr>
                <w:b/>
              </w:rPr>
            </w:pPr>
            <w:r>
              <w:rPr>
                <w:b/>
              </w:rPr>
            </w:r>
            <w:r/>
          </w:p>
        </w:tc>
        <w:tc>
          <w:tcPr>
            <w:tcW w:w="7749" w:type="dxa"/>
            <w:vAlign w:val="center"/>
            <w:textDirection w:val="lrTb"/>
            <w:noWrap w:val="false"/>
          </w:tcPr>
          <w:p>
            <w:pPr>
              <w:rPr>
                <w14:ligatures w14:val="none"/>
              </w:rPr>
            </w:pPr>
            <w:r>
              <w:t xml:space="preserve">根据</w:t>
            </w:r>
            <w:r>
              <w:t xml:space="preserve">供应商</w:t>
            </w:r>
            <w:r>
              <w:t xml:space="preserve">对</w:t>
            </w:r>
            <w:r>
              <w:t xml:space="preserve">招标文件第四章</w:t>
            </w:r>
            <w:r>
              <w:t xml:space="preserve">采购需求中</w:t>
            </w:r>
            <w:r>
              <w:t xml:space="preserve">的重要技术参数（带“▲”条款，共23项）响应情况进行评审：每有一项标注“▲”的重要技术参数（共23项），响应</w:t>
            </w:r>
            <w:r>
              <w:t xml:space="preserve">一项得</w:t>
            </w:r>
            <w:r>
              <w:t xml:space="preserve">0.5分，最高得11.5分</w:t>
            </w:r>
            <w:r>
              <w:t xml:space="preserve">，负偏离或不响应不得分。</w:t>
            </w:r>
            <w:r/>
          </w:p>
          <w:p>
            <w:r>
              <w:t xml:space="preserve"> 注：以供应商响应文件中的</w:t>
            </w:r>
            <w:r>
              <w:t xml:space="preserve">技术要求响应及偏离表</w:t>
            </w:r>
            <w:r>
              <w:t xml:space="preserve">响应</w:t>
            </w:r>
            <w:r>
              <w:t xml:space="preserve">情况为准。不按要求提供或提供不符</w:t>
            </w:r>
            <w:r>
              <w:rPr>
                <w:rFonts w:hint="eastAsia"/>
              </w:rPr>
              <w:t xml:space="preserve">及不提供</w:t>
            </w:r>
            <w:r>
              <w:t xml:space="preserve">的视为负偏离。</w:t>
            </w:r>
            <w:r/>
          </w:p>
        </w:tc>
        <w:tc>
          <w:tcPr>
            <w:tcW w:w="671" w:type="dxa"/>
            <w:vAlign w:val="center"/>
            <w:textDirection w:val="lrTb"/>
            <w:noWrap w:val="false"/>
          </w:tcPr>
          <w:p>
            <w:pPr>
              <w:jc w:val="center"/>
              <w:spacing w:line="360" w:lineRule="auto"/>
            </w:pPr>
            <w:r>
              <w:rPr>
                <w:rFonts w:hint="eastAsia"/>
              </w:rPr>
              <w:t xml:space="preserve">11.5</w:t>
            </w:r>
            <w:r/>
          </w:p>
        </w:tc>
      </w:tr>
      <w:tr>
        <w:trPr>
          <w:jc w:val="center"/>
          <w:trHeight w:val="90"/>
        </w:trPr>
        <w:tc>
          <w:tcPr>
            <w:tcW w:w="1290" w:type="dxa"/>
            <w:vAlign w:val="center"/>
            <w:textDirection w:val="lrTb"/>
            <w:noWrap w:val="false"/>
          </w:tcPr>
          <w:p>
            <w:pPr>
              <w:spacing w:line="360" w:lineRule="auto"/>
              <w:tabs>
                <w:tab w:val="left" w:pos="480" w:leader="none"/>
              </w:tabs>
              <w:rPr>
                <w:b/>
                <w:bCs/>
              </w:rPr>
            </w:pPr>
            <w:r>
              <w:rPr>
                <w:rFonts w:hint="eastAsia"/>
                <w:b/>
                <w:bCs/>
                <w:lang w:val="en-US" w:eastAsia="zh-CN"/>
              </w:rPr>
              <w:t xml:space="preserve">3</w:t>
            </w:r>
            <w:r>
              <w:rPr>
                <w:b/>
                <w:bCs/>
              </w:rPr>
              <w:t xml:space="preserve">一般技术指标响应 </w:t>
            </w:r>
            <w:r/>
          </w:p>
          <w:p>
            <w:pPr>
              <w:jc w:val="center"/>
              <w:spacing w:line="360" w:lineRule="auto"/>
              <w:rPr>
                <w:b/>
              </w:rPr>
            </w:pPr>
            <w:r>
              <w:rPr>
                <w:b/>
              </w:rPr>
            </w:r>
            <w:r/>
          </w:p>
        </w:tc>
        <w:tc>
          <w:tcPr>
            <w:tcW w:w="7749" w:type="dxa"/>
            <w:vAlign w:val="center"/>
            <w:textDirection w:val="lrTb"/>
            <w:noWrap w:val="false"/>
          </w:tcPr>
          <w:p>
            <w:r>
              <w:t xml:space="preserve">根据供应商对招标文件第四章</w:t>
            </w:r>
            <w:r>
              <w:rPr>
                <w:rFonts w:hint="eastAsia"/>
              </w:rPr>
              <w:t xml:space="preserve">采购需求中的“系统需求”</w:t>
            </w:r>
            <w:r>
              <w:t xml:space="preserve">共计27个</w:t>
            </w:r>
            <w:r>
              <w:rPr>
                <w:rFonts w:hint="eastAsia"/>
              </w:rPr>
              <w:t xml:space="preserve">功能</w:t>
            </w:r>
            <w:r>
              <w:t xml:space="preserve">模块的一般技术参数（不含带“▲”</w:t>
            </w:r>
            <w:r>
              <w:rPr>
                <w:rFonts w:hint="eastAsia"/>
              </w:rPr>
              <w:t xml:space="preserve">条款</w:t>
            </w:r>
            <w:r>
              <w:t xml:space="preserve">及演示条款）响应情况进行评审</w:t>
            </w:r>
            <w:r>
              <w:rPr>
                <w:rFonts w:hint="eastAsia"/>
              </w:rPr>
              <w:t xml:space="preserve">：</w:t>
            </w:r>
            <w:r>
              <w:t xml:space="preserve">每有一个</w:t>
            </w:r>
            <w:r>
              <w:rPr>
                <w:rFonts w:hint="eastAsia"/>
              </w:rPr>
              <w:t xml:space="preserve">功能</w:t>
            </w:r>
            <w:r>
              <w:t xml:space="preserve">模块的一般技术参数（不含带“▲”</w:t>
            </w:r>
            <w:r>
              <w:rPr>
                <w:rFonts w:hint="eastAsia"/>
              </w:rPr>
              <w:t xml:space="preserve">条款</w:t>
            </w:r>
            <w:r>
              <w:t xml:space="preserve">及演示条款）响应为“正偏离”或“无偏离”的</w:t>
            </w:r>
            <w:r>
              <w:rPr>
                <w:rFonts w:hint="eastAsia"/>
              </w:rPr>
              <w:t xml:space="preserve">得</w:t>
            </w:r>
            <w:r>
              <w:t xml:space="preserve">0.5分，最高得13.5分。</w:t>
            </w:r>
            <w:r/>
          </w:p>
          <w:p>
            <w:r>
              <w:t xml:space="preserve"> 注：以供应商响应文件中</w:t>
            </w:r>
            <w:r>
              <w:t xml:space="preserve">技术要求响应及偏离表</w:t>
            </w:r>
            <w:r>
              <w:t xml:space="preserve">中的响应情况为准。不按要求提供或提供不符</w:t>
            </w:r>
            <w:r>
              <w:rPr>
                <w:rFonts w:hint="eastAsia"/>
              </w:rPr>
              <w:t xml:space="preserve">及不提供</w:t>
            </w:r>
            <w:r>
              <w:t xml:space="preserve">的视为负偏离。</w:t>
            </w:r>
            <w:r>
              <w:rPr>
                <w:rFonts w:hint="eastAsia"/>
              </w:rPr>
              <w:t xml:space="preserve">其中27个功能模块范围为：</w:t>
            </w:r>
            <w:r>
              <w:t xml:space="preserve">第四章</w:t>
            </w:r>
            <w:r>
              <w:rPr>
                <w:rFonts w:hint="eastAsia"/>
              </w:rPr>
              <w:t xml:space="preserve">采购需求中的“系统需求”2.1系统管理、2.2基础资源、2.3培养方案业</w:t>
            </w:r>
            <w:r>
              <w:rPr>
                <w:rFonts w:hint="eastAsia"/>
              </w:rPr>
              <w:t xml:space="preserve">务、2.4开课计划管理、2.5学生选课服务、2.6学生学籍服务、2.7考试安排服务、2.8社会考试服务、2.9成绩服务、2.10毕业审核服务、2.11订单班管理、2.12优秀生转专业、2.13教材管理、2.14教学工作量管理、2.15授课安排管理、2.16考勤服务、2.17微专业管理、2.18岗位实习管理、2.19教研教改项目、2.20创新学分管理、2.21教学质量监控、2.22实验室管理、2.23师生服务门户要求、2.24移动教学服务、2.25智能化AI中台、2.26 AI智能排课、2.27AI教务助手。</w:t>
            </w:r>
            <w:r/>
          </w:p>
        </w:tc>
        <w:tc>
          <w:tcPr>
            <w:tcW w:w="671" w:type="dxa"/>
            <w:vAlign w:val="center"/>
            <w:textDirection w:val="lrTb"/>
            <w:noWrap w:val="false"/>
          </w:tcPr>
          <w:p>
            <w:pPr>
              <w:jc w:val="center"/>
              <w:spacing w:line="360" w:lineRule="auto"/>
            </w:pPr>
            <w:r>
              <w:rPr>
                <w:rFonts w:hint="eastAsia"/>
              </w:rPr>
              <w:t xml:space="preserve">13.5</w:t>
            </w:r>
            <w:r/>
          </w:p>
        </w:tc>
      </w:tr>
      <w:tr>
        <w:trPr>
          <w:jc w:val="center"/>
          <w:trHeight w:val="90"/>
        </w:trPr>
        <w:tc>
          <w:tcPr>
            <w:tcW w:w="1290" w:type="dxa"/>
            <w:vAlign w:val="center"/>
            <w:textDirection w:val="lrTb"/>
            <w:noWrap w:val="false"/>
          </w:tcPr>
          <w:p>
            <w:pPr>
              <w:jc w:val="center"/>
              <w:spacing w:line="360" w:lineRule="auto"/>
              <w:rPr>
                <w:b/>
              </w:rPr>
            </w:pPr>
            <w:r>
              <w:rPr>
                <w:rFonts w:hint="eastAsia"/>
                <w:b/>
                <w:lang w:val="en-US" w:eastAsia="zh-CN"/>
              </w:rPr>
              <w:t xml:space="preserve">4</w:t>
            </w:r>
            <w:r>
              <w:rPr>
                <w:rFonts w:hint="eastAsia"/>
                <w:b/>
              </w:rPr>
              <w:t xml:space="preserve">总体设计方案</w:t>
            </w:r>
            <w:r/>
          </w:p>
        </w:tc>
        <w:tc>
          <w:tcPr>
            <w:tcW w:w="7749" w:type="dxa"/>
            <w:vAlign w:val="center"/>
            <w:textDirection w:val="lrTb"/>
            <w:noWrap w:val="false"/>
          </w:tcPr>
          <w:p>
            <w:r>
              <w:rPr>
                <w:rFonts w:hint="eastAsia"/>
              </w:rPr>
              <w:t xml:space="preserve">评委根据投标文件对第四章“采购需求”中“总体设计方案”响应情况进行评审。</w:t>
            </w:r>
            <w:r/>
          </w:p>
          <w:p>
            <w:r>
              <w:rPr>
                <w:rFonts w:hint="eastAsia"/>
              </w:rPr>
              <w:t xml:space="preserve">（1）投标文件未提供“总体设计方案”或未符合“总体设计方案”中全部条款要求的，视为不符合招标文件，本项不得分。</w:t>
            </w:r>
            <w:r/>
          </w:p>
          <w:p>
            <w:r>
              <w:rPr>
                <w:rFonts w:hint="eastAsia"/>
              </w:rPr>
              <w:t xml:space="preserve">（2）投标文件符合“总体设计方案”中全部条款要求的，视为符合招标文件，得3分。</w:t>
            </w:r>
            <w:r/>
          </w:p>
          <w:p>
            <w:r>
              <w:rPr>
                <w:rFonts w:hint="eastAsia"/>
              </w:rPr>
              <w:t xml:space="preserve">（3）经评委认定，投标文件对“总体设计方案”中“软件功能”、“国产适配能力”、两项要求的响应内容全部优于招标文件要求的（投标文件对“软件功能”、“国产适配能力”外其他要求响应内容符合招标文件要求）得 5 分。</w:t>
            </w:r>
            <w:r/>
          </w:p>
        </w:tc>
        <w:tc>
          <w:tcPr>
            <w:tcW w:w="671" w:type="dxa"/>
            <w:vAlign w:val="center"/>
            <w:textDirection w:val="lrTb"/>
            <w:noWrap w:val="false"/>
          </w:tcPr>
          <w:p>
            <w:pPr>
              <w:jc w:val="center"/>
              <w:spacing w:line="360" w:lineRule="auto"/>
            </w:pPr>
            <w:r>
              <w:rPr>
                <w:rFonts w:hint="eastAsia"/>
              </w:rPr>
              <w:t xml:space="preserve">5</w:t>
            </w:r>
            <w:r/>
          </w:p>
        </w:tc>
      </w:tr>
      <w:tr>
        <w:trPr>
          <w:jc w:val="center"/>
          <w:trHeight w:val="90"/>
        </w:trPr>
        <w:tc>
          <w:tcPr>
            <w:tcW w:w="1290" w:type="dxa"/>
            <w:vAlign w:val="center"/>
            <w:textDirection w:val="lrTb"/>
            <w:noWrap w:val="false"/>
          </w:tcPr>
          <w:p>
            <w:pPr>
              <w:rPr>
                <w:b/>
                <w:bCs/>
              </w:rPr>
            </w:pPr>
            <w:r>
              <w:rPr>
                <w:rFonts w:hint="eastAsia"/>
                <w:b/>
                <w:bCs/>
                <w:lang w:val="en-US" w:eastAsia="zh-CN"/>
              </w:rPr>
              <w:t xml:space="preserve">5</w:t>
            </w:r>
            <w:r>
              <w:rPr>
                <w:rFonts w:hint="eastAsia"/>
                <w:b/>
                <w:bCs/>
              </w:rPr>
              <w:t xml:space="preserve">数据迁移方案</w:t>
            </w:r>
            <w:r/>
          </w:p>
          <w:p>
            <w:pPr>
              <w:jc w:val="center"/>
              <w:spacing w:line="360" w:lineRule="auto"/>
              <w:rPr>
                <w:b/>
              </w:rPr>
            </w:pPr>
            <w:r>
              <w:rPr>
                <w:b/>
              </w:rPr>
            </w:r>
            <w:r/>
          </w:p>
        </w:tc>
        <w:tc>
          <w:tcPr>
            <w:tcW w:w="7749" w:type="dxa"/>
            <w:vAlign w:val="center"/>
            <w:textDirection w:val="lrTb"/>
            <w:noWrap w:val="false"/>
          </w:tcPr>
          <w:p>
            <w:r>
              <w:rPr>
                <w:rFonts w:hint="eastAsia"/>
              </w:rPr>
              <w:t xml:space="preserve">评委根据投标文件对第四章“采购需求”中“数据迁移方案”响应情况进行评审。</w:t>
            </w:r>
            <w:r/>
          </w:p>
          <w:p>
            <w:r>
              <w:rPr>
                <w:rFonts w:hint="eastAsia"/>
              </w:rPr>
              <w:t xml:space="preserve">（1）投标文件未提供“数据迁移方案”或未符合“数据迁移方案”中全部条款要求的，视为不符合招标文件，本项不得分。</w:t>
            </w:r>
            <w:r/>
          </w:p>
          <w:p>
            <w:r>
              <w:rPr>
                <w:rFonts w:hint="eastAsia"/>
              </w:rPr>
              <w:t xml:space="preserve">（2）投标文件符合“数据迁移方案”中全部条款要求的，视为符合招标文件，得3分。</w:t>
            </w:r>
            <w:r/>
          </w:p>
          <w:p>
            <w:pPr>
              <w:rPr>
                <w:b/>
                <w:bCs/>
              </w:rPr>
            </w:pPr>
            <w:r>
              <w:rPr>
                <w:rFonts w:hint="eastAsia"/>
              </w:rPr>
              <w:t xml:space="preserve">（3）经评委认定，投标文件对“数据迁移方案”中“</w:t>
            </w:r>
            <w:r>
              <w:t xml:space="preserve">迁移策略</w:t>
            </w:r>
            <w:r>
              <w:rPr>
                <w:rFonts w:hint="eastAsia"/>
              </w:rPr>
              <w:t xml:space="preserve">与方法”、“数据</w:t>
            </w:r>
            <w:r>
              <w:t xml:space="preserve">迁移</w:t>
            </w:r>
            <w:r>
              <w:rPr>
                <w:rFonts w:hint="eastAsia"/>
              </w:rPr>
              <w:t xml:space="preserve">步骤</w:t>
            </w:r>
            <w:r>
              <w:rPr>
                <w:rFonts w:hint="eastAsia"/>
              </w:rPr>
              <w:t xml:space="preserve">”、“系统割接方案”三项要求的响应内容全部优于招标文件要求的（投标文件对“</w:t>
            </w:r>
            <w:r>
              <w:t xml:space="preserve">迁移策略</w:t>
            </w:r>
            <w:r>
              <w:rPr>
                <w:rFonts w:hint="eastAsia"/>
              </w:rPr>
              <w:t xml:space="preserve">与方法”、“数据迁移步骤”、“系统割接方案”外其他要求响应内容符合招标文件要求）得 5 分。</w:t>
            </w:r>
            <w:r/>
          </w:p>
        </w:tc>
        <w:tc>
          <w:tcPr>
            <w:tcW w:w="671" w:type="dxa"/>
            <w:vAlign w:val="center"/>
            <w:textDirection w:val="lrTb"/>
            <w:noWrap w:val="false"/>
          </w:tcPr>
          <w:p>
            <w:pPr>
              <w:jc w:val="center"/>
              <w:spacing w:line="360" w:lineRule="auto"/>
            </w:pPr>
            <w:r>
              <w:rPr>
                <w:rFonts w:hint="eastAsia"/>
              </w:rPr>
              <w:t xml:space="preserve">5</w:t>
            </w:r>
            <w:r/>
          </w:p>
        </w:tc>
      </w:tr>
      <w:tr>
        <w:trPr>
          <w:jc w:val="center"/>
          <w:trHeight w:val="90"/>
        </w:trPr>
        <w:tc>
          <w:tcPr>
            <w:tcW w:w="1290" w:type="dxa"/>
            <w:vAlign w:val="center"/>
            <w:textDirection w:val="lrTb"/>
            <w:noWrap w:val="false"/>
          </w:tcPr>
          <w:p>
            <w:pPr>
              <w:spacing w:line="360" w:lineRule="auto"/>
              <w:rPr>
                <w:b/>
                <w:bCs/>
              </w:rPr>
            </w:pPr>
            <w:r>
              <w:rPr>
                <w:rFonts w:hint="eastAsia"/>
                <w:b/>
                <w:bCs/>
                <w:lang w:val="en-US" w:eastAsia="zh-CN"/>
              </w:rPr>
              <w:t xml:space="preserve">6</w:t>
            </w:r>
            <w:r>
              <w:rPr>
                <w:rFonts w:hint="eastAsia"/>
                <w:b/>
                <w:bCs/>
              </w:rPr>
              <w:t xml:space="preserve">系统安全</w:t>
            </w:r>
            <w:r>
              <w:rPr>
                <w:b/>
                <w:bCs/>
              </w:rPr>
              <w:t xml:space="preserve">方案</w:t>
            </w:r>
            <w:r/>
          </w:p>
          <w:p>
            <w:pPr>
              <w:jc w:val="center"/>
              <w:spacing w:line="360" w:lineRule="auto"/>
              <w:rPr>
                <w:b/>
              </w:rPr>
            </w:pPr>
            <w:r>
              <w:rPr>
                <w:b/>
              </w:rPr>
            </w:r>
            <w:r/>
          </w:p>
        </w:tc>
        <w:tc>
          <w:tcPr>
            <w:tcW w:w="7749" w:type="dxa"/>
            <w:vAlign w:val="center"/>
            <w:textDirection w:val="lrTb"/>
            <w:noWrap w:val="false"/>
          </w:tcPr>
          <w:p>
            <w:r>
              <w:rPr>
                <w:rFonts w:hint="eastAsia"/>
              </w:rPr>
              <w:t xml:space="preserve">评委根据投标文件对第四章“采购需求”中“系统安全方案”响应情况进行评审。</w:t>
            </w:r>
            <w:r/>
          </w:p>
          <w:p>
            <w:r>
              <w:rPr>
                <w:rFonts w:hint="eastAsia"/>
              </w:rPr>
              <w:t xml:space="preserve">（1）投标文件未提供“系统安全方案”或未符合“系统安全方案”中全部条款要求的，视为不符合招标文件，本项不得分。</w:t>
            </w:r>
            <w:r/>
          </w:p>
          <w:p>
            <w:r>
              <w:rPr>
                <w:rFonts w:hint="eastAsia"/>
              </w:rPr>
              <w:t xml:space="preserve">（2）投标文件符合“系统安全方案”中全部条款要求的，视为符合招标文件，得3分。</w:t>
            </w:r>
            <w:r/>
          </w:p>
          <w:p>
            <w:pPr>
              <w:rPr>
                <w:b/>
                <w:bCs/>
              </w:rPr>
            </w:pPr>
            <w:r>
              <w:rPr>
                <w:rFonts w:hint="eastAsia"/>
              </w:rPr>
              <w:t xml:space="preserve">（3）经评委认定，投标文件对“系统安全方案”中“系统安全”、 “成绩数据安全”两项要求的响应内容全部优于招标文件要求的（投标文件对“系统安全”、 “成绩数据安全”外其他要求响应内容符合招标文件要求）得 5 分。</w:t>
            </w:r>
            <w:r/>
          </w:p>
        </w:tc>
        <w:tc>
          <w:tcPr>
            <w:tcW w:w="671" w:type="dxa"/>
            <w:vAlign w:val="center"/>
            <w:textDirection w:val="lrTb"/>
            <w:noWrap w:val="false"/>
          </w:tcPr>
          <w:p>
            <w:pPr>
              <w:jc w:val="center"/>
              <w:spacing w:line="360" w:lineRule="auto"/>
            </w:pPr>
            <w:r>
              <w:rPr>
                <w:rFonts w:hint="eastAsia"/>
              </w:rPr>
              <w:t xml:space="preserve">5</w:t>
            </w:r>
            <w:r/>
          </w:p>
        </w:tc>
      </w:tr>
      <w:tr>
        <w:trPr>
          <w:jc w:val="center"/>
          <w:trHeight w:val="90"/>
        </w:trPr>
        <w:tc>
          <w:tcPr>
            <w:tcW w:w="1290" w:type="dxa"/>
            <w:vAlign w:val="center"/>
            <w:textDirection w:val="lrTb"/>
            <w:noWrap w:val="false"/>
          </w:tcPr>
          <w:p>
            <w:pPr>
              <w:spacing w:line="360" w:lineRule="auto"/>
              <w:tabs>
                <w:tab w:val="left" w:pos="480" w:leader="none"/>
              </w:tabs>
              <w:rPr>
                <w:b/>
                <w:bCs/>
              </w:rPr>
            </w:pPr>
            <w:r>
              <w:rPr>
                <w:rFonts w:hint="eastAsia"/>
                <w:b/>
                <w:bCs/>
                <w:lang w:val="en-US" w:eastAsia="zh-CN"/>
              </w:rPr>
              <w:t xml:space="preserve">7</w:t>
            </w:r>
            <w:r>
              <w:rPr>
                <w:rFonts w:hint="eastAsia"/>
                <w:b/>
                <w:bCs/>
                <w:lang w:val="en-US" w:eastAsia="zh-CN"/>
              </w:rPr>
              <w:t xml:space="preserve">项目</w:t>
            </w:r>
            <w:r>
              <w:rPr>
                <w:b/>
                <w:bCs/>
              </w:rPr>
              <w:t xml:space="preserve">实施方案</w:t>
            </w:r>
            <w:r/>
          </w:p>
          <w:p>
            <w:pPr>
              <w:jc w:val="center"/>
              <w:spacing w:line="360" w:lineRule="auto"/>
              <w:rPr>
                <w:b/>
              </w:rPr>
            </w:pPr>
            <w:r>
              <w:rPr>
                <w:b/>
              </w:rPr>
            </w:r>
            <w:r/>
          </w:p>
        </w:tc>
        <w:tc>
          <w:tcPr>
            <w:tcW w:w="7749" w:type="dxa"/>
            <w:vAlign w:val="center"/>
            <w:textDirection w:val="lrTb"/>
            <w:noWrap w:val="false"/>
          </w:tcPr>
          <w:p>
            <w:r>
              <w:rPr>
                <w:rFonts w:hint="eastAsia"/>
              </w:rPr>
              <w:t xml:space="preserve">评委根据投标文件对第四章“采购需求”中“</w:t>
            </w:r>
            <w:r>
              <w:rPr>
                <w:rFonts w:hint="eastAsia"/>
              </w:rPr>
              <w:t xml:space="preserve">项目</w:t>
            </w:r>
            <w:r>
              <w:rPr>
                <w:rFonts w:hint="eastAsia"/>
              </w:rPr>
              <w:t xml:space="preserve">实施方案”响应情况进行评审。</w:t>
            </w:r>
            <w:r/>
          </w:p>
          <w:p>
            <w:r>
              <w:rPr>
                <w:rFonts w:hint="eastAsia"/>
              </w:rPr>
              <w:t xml:space="preserve">（1）投标文件未提供“</w:t>
            </w:r>
            <w:r>
              <w:rPr>
                <w:rFonts w:hint="eastAsia"/>
              </w:rPr>
              <w:t xml:space="preserve">项目</w:t>
            </w:r>
            <w:r>
              <w:rPr>
                <w:rFonts w:hint="eastAsia"/>
              </w:rPr>
              <w:t xml:space="preserve">实施方案”或未符合“</w:t>
            </w:r>
            <w:r>
              <w:rPr>
                <w:rFonts w:hint="eastAsia"/>
              </w:rPr>
              <w:t xml:space="preserve">项目</w:t>
            </w:r>
            <w:r>
              <w:rPr>
                <w:rFonts w:hint="eastAsia"/>
              </w:rPr>
              <w:t xml:space="preserve">实施方案”中全部条款要求的，视为不符合招标文件，本项不得分。</w:t>
            </w:r>
            <w:r/>
          </w:p>
          <w:p>
            <w:r>
              <w:rPr>
                <w:rFonts w:hint="eastAsia"/>
              </w:rPr>
              <w:t xml:space="preserve">（2）投标文件符合“</w:t>
            </w:r>
            <w:r>
              <w:rPr>
                <w:rFonts w:hint="eastAsia"/>
              </w:rPr>
              <w:t xml:space="preserve">项目</w:t>
            </w:r>
            <w:r>
              <w:rPr>
                <w:rFonts w:hint="eastAsia"/>
              </w:rPr>
              <w:t xml:space="preserve">实施方案”中全部条款要求的，视为符合招标文件，得3分。</w:t>
            </w:r>
            <w:r/>
          </w:p>
          <w:p>
            <w:pPr>
              <w:rPr>
                <w:b/>
                <w:bCs/>
              </w:rPr>
            </w:pPr>
            <w:r>
              <w:rPr>
                <w:rFonts w:hint="eastAsia"/>
              </w:rPr>
              <w:t xml:space="preserve">（3）经评委认定，投标文件对“</w:t>
            </w:r>
            <w:r>
              <w:rPr>
                <w:rFonts w:hint="eastAsia"/>
              </w:rPr>
              <w:t xml:space="preserve">项目</w:t>
            </w:r>
            <w:r>
              <w:rPr>
                <w:rFonts w:hint="eastAsia"/>
              </w:rPr>
              <w:t xml:space="preserve">实施方案”中“</w:t>
            </w:r>
            <w:r>
              <w:t xml:space="preserve">项目组织管理</w:t>
            </w:r>
            <w:r>
              <w:rPr>
                <w:rFonts w:hint="eastAsia"/>
              </w:rPr>
              <w:t xml:space="preserve">”、“</w:t>
            </w:r>
            <w:r>
              <w:t xml:space="preserve">项目实施周期</w:t>
            </w:r>
            <w:r>
              <w:rPr>
                <w:rFonts w:hint="eastAsia"/>
              </w:rPr>
              <w:t xml:space="preserve">”、“</w:t>
            </w:r>
            <w:r>
              <w:t xml:space="preserve">项目质量控制</w:t>
            </w:r>
            <w:r>
              <w:rPr>
                <w:rFonts w:hint="eastAsia"/>
              </w:rPr>
              <w:t xml:space="preserve">”三项要求的响应内容全部优于招标文件要求的（投标文件对“</w:t>
            </w:r>
            <w:r>
              <w:t xml:space="preserve">项目组织管理</w:t>
            </w:r>
            <w:r>
              <w:rPr>
                <w:rFonts w:hint="eastAsia"/>
              </w:rPr>
              <w:t xml:space="preserve">”、“</w:t>
            </w:r>
            <w:r>
              <w:t xml:space="preserve">项目实施周期</w:t>
            </w:r>
            <w:r>
              <w:rPr>
                <w:rFonts w:hint="eastAsia"/>
              </w:rPr>
              <w:t xml:space="preserve">”、“</w:t>
            </w:r>
            <w:r>
              <w:t xml:space="preserve">项目质量控制</w:t>
            </w:r>
            <w:r>
              <w:rPr>
                <w:rFonts w:hint="eastAsia"/>
              </w:rPr>
              <w:t xml:space="preserve">”外其他要求响应内容符合招标文件要求）得 5 分。</w:t>
            </w:r>
            <w:r/>
          </w:p>
        </w:tc>
        <w:tc>
          <w:tcPr>
            <w:tcW w:w="671" w:type="dxa"/>
            <w:vAlign w:val="center"/>
            <w:textDirection w:val="lrTb"/>
            <w:noWrap w:val="false"/>
          </w:tcPr>
          <w:p>
            <w:pPr>
              <w:jc w:val="center"/>
              <w:spacing w:line="360" w:lineRule="auto"/>
            </w:pPr>
            <w:r>
              <w:rPr>
                <w:rFonts w:hint="eastAsia"/>
              </w:rPr>
              <w:t xml:space="preserve">5</w:t>
            </w:r>
            <w:r/>
          </w:p>
        </w:tc>
      </w:tr>
      <w:tr>
        <w:trPr>
          <w:jc w:val="center"/>
          <w:trHeight w:val="90"/>
        </w:trPr>
        <w:tc>
          <w:tcPr>
            <w:tcW w:w="1290" w:type="dxa"/>
            <w:vAlign w:val="center"/>
            <w:textDirection w:val="lrTb"/>
            <w:noWrap w:val="false"/>
          </w:tcPr>
          <w:p>
            <w:pPr>
              <w:jc w:val="center"/>
              <w:spacing w:line="360" w:lineRule="auto"/>
              <w:rPr>
                <w:b/>
              </w:rPr>
            </w:pPr>
            <w:r>
              <w:rPr>
                <w:rFonts w:hint="eastAsia"/>
                <w:b/>
                <w:bCs/>
                <w:lang w:val="en-US" w:eastAsia="zh-CN"/>
              </w:rPr>
              <w:t xml:space="preserve">8</w:t>
            </w:r>
            <w:r>
              <w:rPr>
                <w:b/>
                <w:bCs/>
              </w:rPr>
              <w:t xml:space="preserve">售后服务</w:t>
            </w:r>
            <w:r>
              <w:rPr>
                <w:rFonts w:hint="eastAsia"/>
                <w:b/>
                <w:bCs/>
              </w:rPr>
              <w:t xml:space="preserve">方案</w:t>
            </w:r>
            <w:r/>
          </w:p>
        </w:tc>
        <w:tc>
          <w:tcPr>
            <w:tcW w:w="7749" w:type="dxa"/>
            <w:vAlign w:val="center"/>
            <w:textDirection w:val="lrTb"/>
            <w:noWrap w:val="false"/>
          </w:tcPr>
          <w:p>
            <w:r>
              <w:rPr>
                <w:rFonts w:hint="eastAsia"/>
              </w:rPr>
              <w:t xml:space="preserve">评委根据投标文件对第四章“采购需求”中“售后服务方案”响应情况进行评审。</w:t>
            </w:r>
            <w:r/>
          </w:p>
          <w:p>
            <w:r>
              <w:rPr>
                <w:rFonts w:hint="eastAsia"/>
              </w:rPr>
              <w:t xml:space="preserve">（1）投标文件未提供“售后服务方案”或未符合“售后服务方案”中全部条款要求的，视为不符合招标文件，本项不得分。</w:t>
            </w:r>
            <w:r/>
          </w:p>
          <w:p>
            <w:r>
              <w:rPr>
                <w:rFonts w:hint="eastAsia"/>
              </w:rPr>
              <w:t xml:space="preserve">（2）投标文件符合“售后服务方案”中全部条款要求的，视为符合招标文件，得3分。</w:t>
            </w:r>
            <w:r/>
          </w:p>
          <w:p>
            <w:pPr>
              <w:rPr>
                <w:b/>
                <w:bCs/>
              </w:rPr>
            </w:pPr>
            <w:r>
              <w:rPr>
                <w:rFonts w:hint="eastAsia"/>
              </w:rPr>
              <w:t xml:space="preserve">（3）经评委认定，投标文件对“售后服务方案”中 “</w:t>
            </w:r>
            <w:r>
              <w:t xml:space="preserve">技术支持方式</w:t>
            </w:r>
            <w:r>
              <w:rPr>
                <w:rFonts w:hint="eastAsia"/>
              </w:rPr>
              <w:t xml:space="preserve">”、 “客户服务与运维保障能力”两项要求的响应内容全部优于招标文件要求的（投标文件对 “</w:t>
            </w:r>
            <w:r>
              <w:t xml:space="preserve">技术支持方式</w:t>
            </w:r>
            <w:r>
              <w:rPr>
                <w:rFonts w:hint="eastAsia"/>
              </w:rPr>
              <w:t xml:space="preserve">”、 “客户服务与运维保障能力”外其他要求响应内容符合招标文件要求）得 5 分。</w:t>
            </w:r>
            <w:r/>
          </w:p>
        </w:tc>
        <w:tc>
          <w:tcPr>
            <w:tcW w:w="671" w:type="dxa"/>
            <w:vAlign w:val="center"/>
            <w:textDirection w:val="lrTb"/>
            <w:noWrap w:val="false"/>
          </w:tcPr>
          <w:p>
            <w:pPr>
              <w:jc w:val="center"/>
              <w:spacing w:line="360" w:lineRule="auto"/>
            </w:pPr>
            <w:r>
              <w:rPr>
                <w:rFonts w:hint="eastAsia"/>
              </w:rPr>
              <w:t xml:space="preserve">5</w:t>
            </w:r>
            <w:r/>
          </w:p>
        </w:tc>
      </w:tr>
      <w:tr>
        <w:trPr>
          <w:jc w:val="center"/>
          <w:trHeight w:val="90"/>
        </w:trPr>
        <w:tc>
          <w:tcPr>
            <w:tcW w:w="1290" w:type="dxa"/>
            <w:vAlign w:val="center"/>
            <w:textDirection w:val="lrTb"/>
            <w:noWrap w:val="false"/>
          </w:tcPr>
          <w:p>
            <w:pPr>
              <w:jc w:val="center"/>
              <w:spacing w:line="360" w:lineRule="auto"/>
              <w:rPr>
                <w:b/>
              </w:rPr>
            </w:pPr>
            <w:r>
              <w:rPr>
                <w:rFonts w:hint="eastAsia"/>
                <w:b/>
                <w:lang w:val="en-US" w:eastAsia="zh-CN"/>
              </w:rPr>
              <w:t xml:space="preserve">9</w:t>
            </w:r>
            <w:r>
              <w:rPr>
                <w:rFonts w:hint="eastAsia"/>
                <w:b/>
              </w:rPr>
              <w:t xml:space="preserve">培训方案</w:t>
            </w:r>
            <w:r/>
          </w:p>
        </w:tc>
        <w:tc>
          <w:tcPr>
            <w:tcW w:w="7749" w:type="dxa"/>
            <w:vAlign w:val="center"/>
            <w:textDirection w:val="lrTb"/>
            <w:noWrap w:val="false"/>
          </w:tcPr>
          <w:p>
            <w:r>
              <w:rPr>
                <w:rFonts w:hint="eastAsia"/>
              </w:rPr>
              <w:t xml:space="preserve">评委根据投标文件对第四章“采购需求”中“培训方案”响应情况进行评审。</w:t>
            </w:r>
            <w:r/>
          </w:p>
          <w:p>
            <w:r>
              <w:rPr>
                <w:rFonts w:hint="eastAsia"/>
              </w:rPr>
              <w:t xml:space="preserve">（1）投标文件未提供“培训方案”或未符合“培训方案”中全部条款要求的，视为不符合招标文件，本项不得分。</w:t>
            </w:r>
            <w:r/>
          </w:p>
          <w:p>
            <w:r>
              <w:rPr>
                <w:rFonts w:hint="eastAsia"/>
              </w:rPr>
              <w:t xml:space="preserve">（2）投标文件符合“培训方案”中全部条款要求的，视为符合招标文件，得3分。</w:t>
            </w:r>
            <w:r/>
          </w:p>
          <w:p>
            <w:pPr>
              <w:spacing w:line="360" w:lineRule="auto"/>
              <w:tabs>
                <w:tab w:val="left" w:pos="480" w:leader="none"/>
              </w:tabs>
            </w:pPr>
            <w:r>
              <w:rPr>
                <w:rFonts w:hint="eastAsia"/>
              </w:rPr>
              <w:t xml:space="preserve">（3）经评委认定，投标文件对“培训方案”中“</w:t>
            </w:r>
            <w:r>
              <w:t xml:space="preserve">培训</w:t>
            </w:r>
            <w:r>
              <w:rPr>
                <w:rFonts w:hint="eastAsia"/>
              </w:rPr>
              <w:t xml:space="preserve">安排”、“</w:t>
            </w:r>
            <w:r>
              <w:t xml:space="preserve">培训内容与课程设置</w:t>
            </w:r>
            <w:r>
              <w:rPr>
                <w:rFonts w:hint="eastAsia"/>
              </w:rPr>
              <w:t xml:space="preserve">”、“</w:t>
            </w:r>
            <w:r>
              <w:t xml:space="preserve">培训</w:t>
            </w:r>
            <w:r>
              <w:rPr>
                <w:rFonts w:hint="eastAsia"/>
              </w:rPr>
              <w:t xml:space="preserve">成效保障措施”三项要求的响应内容全部优于招标文件要求的（投标文件对“</w:t>
            </w:r>
            <w:r>
              <w:t xml:space="preserve">培训</w:t>
            </w:r>
            <w:r>
              <w:rPr>
                <w:rFonts w:hint="eastAsia"/>
              </w:rPr>
              <w:t xml:space="preserve">安排”、“</w:t>
            </w:r>
            <w:r>
              <w:t xml:space="preserve">培训内容与课程设置</w:t>
            </w:r>
            <w:r>
              <w:rPr>
                <w:rFonts w:hint="eastAsia"/>
              </w:rPr>
              <w:t xml:space="preserve">”、“</w:t>
            </w:r>
            <w:r>
              <w:t xml:space="preserve">培训</w:t>
            </w:r>
            <w:r>
              <w:rPr>
                <w:rFonts w:hint="eastAsia"/>
              </w:rPr>
              <w:t xml:space="preserve">成效保障措施”外其他要求响应内容符合招标文件要求）得 5 分。</w:t>
            </w:r>
            <w:r/>
          </w:p>
        </w:tc>
        <w:tc>
          <w:tcPr>
            <w:tcW w:w="671" w:type="dxa"/>
            <w:vAlign w:val="center"/>
            <w:textDirection w:val="lrTb"/>
            <w:noWrap w:val="false"/>
          </w:tcPr>
          <w:p>
            <w:pPr>
              <w:jc w:val="center"/>
              <w:spacing w:line="360" w:lineRule="auto"/>
            </w:pPr>
            <w:r>
              <w:rPr>
                <w:rFonts w:hint="eastAsia"/>
              </w:rPr>
              <w:t xml:space="preserve">5</w:t>
            </w:r>
            <w:r/>
          </w:p>
        </w:tc>
      </w:tr>
      <w:tr>
        <w:trPr>
          <w:jc w:val="center"/>
          <w:trHeight w:val="90"/>
        </w:trPr>
        <w:tc>
          <w:tcPr>
            <w:tcW w:w="1290" w:type="dxa"/>
            <w:vAlign w:val="center"/>
            <w:textDirection w:val="lrTb"/>
            <w:noWrap w:val="false"/>
          </w:tcPr>
          <w:p>
            <w:pPr>
              <w:jc w:val="center"/>
              <w:spacing w:line="360" w:lineRule="auto"/>
              <w:rPr>
                <w:b/>
              </w:rPr>
            </w:pPr>
            <w:r>
              <w:rPr>
                <w:rFonts w:hint="eastAsia"/>
                <w:b/>
                <w:lang w:val="en-US" w:eastAsia="zh-CN"/>
              </w:rPr>
              <w:t xml:space="preserve">10</w:t>
            </w:r>
            <w:r>
              <w:rPr>
                <w:rFonts w:hint="eastAsia"/>
                <w:b/>
              </w:rPr>
              <w:t xml:space="preserve">功能演示</w:t>
            </w:r>
            <w:r/>
          </w:p>
        </w:tc>
        <w:tc>
          <w:tcPr>
            <w:tcW w:w="7749" w:type="dxa"/>
            <w:vAlign w:val="center"/>
            <w:textDirection w:val="lrTb"/>
            <w:noWrap w:val="false"/>
          </w:tcPr>
          <w:p>
            <w:r>
              <w:rPr>
                <w:rFonts w:hint="eastAsia"/>
              </w:rPr>
              <w:t xml:space="preserve">1、投标人需按照招标文件规定的演示内容制作演示视频文件，视频文件的格式为X.mp4或X.avi，投标人须将视频文件分段压缩为X.zip文件上传（单个文件不得大于50M，所有文件总共不得大于300M）。文件上传方式见《操作手册》规定，上传的演示视频将作为投标文件的组成部分，视频时长总计不超过15分钟。使用真实系统</w:t>
            </w:r>
            <w:r>
              <w:rPr>
                <w:rFonts w:hint="eastAsia"/>
              </w:rPr>
              <w:t xml:space="preserve">或</w:t>
            </w:r>
            <w:r>
              <w:rPr>
                <w:rFonts w:hint="eastAsia"/>
              </w:rPr>
              <w:t xml:space="preserve">系统</w:t>
            </w:r>
            <w:r>
              <w:rPr>
                <w:rFonts w:hint="eastAsia"/>
              </w:rPr>
              <w:t xml:space="preserve">原型</w:t>
            </w:r>
            <w:r>
              <w:rPr>
                <w:rFonts w:hint="eastAsia"/>
              </w:rPr>
              <w:t xml:space="preserve">演示的最高可得满分，使用</w:t>
            </w:r>
            <w:r>
              <w:rPr>
                <w:rFonts w:hint="eastAsia"/>
              </w:rPr>
              <w:t xml:space="preserve">ppt、动画、Word等其他形式进行模拟演示的，需乘以系数0.5后为演示的最终得分，</w:t>
            </w:r>
            <w:r>
              <w:rPr>
                <w:rFonts w:hint="eastAsia"/>
                <w:lang w:val="en-US" w:eastAsia="zh-CN"/>
              </w:rPr>
              <w:t xml:space="preserve">每个功能点</w:t>
            </w:r>
            <w:r>
              <w:rPr>
                <w:rFonts w:hint="eastAsia"/>
              </w:rPr>
              <w:t xml:space="preserve">不满足演示要求、演示不完整或未演示不得分。</w:t>
            </w:r>
            <w:r/>
          </w:p>
          <w:p>
            <w:r>
              <w:rPr>
                <w:rFonts w:hint="eastAsia"/>
              </w:rPr>
              <w:t xml:space="preserve">2、演示功能点：</w:t>
            </w:r>
            <w:r/>
          </w:p>
          <w:p>
            <w:r>
              <w:rPr>
                <w:rFonts w:hint="eastAsia"/>
              </w:rPr>
              <w:t xml:space="preserve">（1）需提供大类培养方案、专业培养方案、个性化培养方案、辅修培养方案的制定与统一管理，支持针对同一专业下不同类型的学生群体制定多个人才培养方案，支持一门课程分不同院系开课、多个学期开课、滚动开课。不满足演示要求、演示不完整或未演示不得分。（2分）</w:t>
            </w:r>
            <w:r/>
          </w:p>
          <w:p>
            <w:r>
              <w:rPr>
                <w:rFonts w:hint="eastAsia"/>
              </w:rPr>
              <w:t xml:space="preserve">（2）选课服务要能设置多轮次选课，支持灵活的选课时间范围（总体选课时间、每天的选课开放时间、预览选课时间）；支持设置不同的抽签选课模式，包括：随机抽签、投志愿方式、投入积分方式；支持针对不同年级的学生设置不同的选课策略；学生选课时，可在一个界面便捷的查看选课轮次信息、选课学分情况、选课规则、个人课表、选课课程列表信息。不满足演示要求、演示不完整或未演示不得分。（2分）</w:t>
            </w:r>
            <w:r/>
          </w:p>
          <w:p>
            <w:r>
              <w:rPr>
                <w:rFonts w:hint="eastAsia"/>
              </w:rPr>
              <w:t xml:space="preserve">（3）支持学生按单个教师对所有评价指标进行纵向评分，也支持学生按评价指标对多个授课教师进行横向评分。支持学院或教师自定义评价指标，支持开课单位进行不参评申请。不满足演示要求、演示不完整或未演示不得分。（2分）</w:t>
            </w:r>
            <w:r/>
          </w:p>
          <w:p>
            <w:pPr>
              <w:rPr>
                <w:color w:val="000000"/>
              </w:rPr>
            </w:pPr>
            <w:r>
              <w:rPr>
                <w:rFonts w:hint="eastAsia"/>
              </w:rPr>
              <w:t xml:space="preserve">（4）</w:t>
            </w:r>
            <w:r>
              <w:rPr>
                <w:rFonts w:hint="eastAsia"/>
                <w:color w:val="000000"/>
              </w:rPr>
              <w:t xml:space="preserve">支持验证性指标，主要应用于对学生评教行为进行测试，验证学生是否认真评教，是判断评教样本可信度的重要方法。支持在评价指标体系中添加验证性指标，支持提供两种验证方式，第一种是指定互相验证的两个指标组合，当两个指标的得分差异值大于设定值，判断学生评教行为未通过验证；第二种是指标选中某个选项时，判断学生的评教行为未通过验证。未通过验证的指标支持进行无效样本数处理。</w:t>
            </w:r>
            <w:r>
              <w:rPr>
                <w:rFonts w:hint="eastAsia"/>
              </w:rPr>
              <w:t xml:space="preserve">不满足演示要求、演示不完整或未演示不得分。</w:t>
            </w:r>
            <w:r>
              <w:rPr>
                <w:rFonts w:hint="eastAsia"/>
                <w:color w:val="000000"/>
              </w:rPr>
              <w:t xml:space="preserve">（2分）</w:t>
            </w:r>
            <w:r/>
          </w:p>
          <w:p>
            <w:pPr>
              <w:rPr>
                <w:b/>
                <w:bCs/>
                <w:highlight w:val="yellow"/>
              </w:rPr>
            </w:pPr>
            <w:r>
              <w:rPr>
                <w:rFonts w:hint="eastAsia"/>
                <w:color w:val="000000"/>
              </w:rPr>
              <w:t xml:space="preserve">（5）排课流程实操：无需切换功能菜单即可完成以下操作。①自动分组与冲突检测：按每</w:t>
            </w:r>
            <w:r>
              <w:rPr>
                <w:rFonts w:hint="eastAsia"/>
                <w:color w:val="000000"/>
              </w:rPr>
              <w:t xml:space="preserve">班多批、每批多组，将多个实验项目和多个教学班一键完成分组，各组教师、实验室、实验项目皆自动生成；显示学生、教师、场地等冲突及上课安排，切换排课任务后冲突检测皆自动刷新；每关闭一种冲突检测皆可显示检测结果的变化；②双击式、拖拽式排课与排课变更：支持对6学时的实验批次进行3节连排，每次双击可连排3节，可连续双击直至学时排完；每次拖拽可连排3节，直至学时排完；在排课空位上双击可将原节次移动到新节次；可将原节次拖拽到其他空位上以更改节次；支持更换节次授课教师；③课表：可预览教学班课表、教师课表和实验室课表。</w:t>
            </w:r>
            <w:r>
              <w:rPr>
                <w:rFonts w:hint="eastAsia"/>
              </w:rPr>
              <w:t xml:space="preserve">不满足演示要求、演示不完整或未演示不得分。</w:t>
            </w:r>
            <w:r>
              <w:rPr>
                <w:rFonts w:hint="eastAsia"/>
                <w:color w:val="000000"/>
              </w:rPr>
              <w:t xml:space="preserve">（2分）</w:t>
            </w:r>
            <w:r/>
          </w:p>
        </w:tc>
        <w:tc>
          <w:tcPr>
            <w:tcW w:w="671" w:type="dxa"/>
            <w:vAlign w:val="center"/>
            <w:textDirection w:val="lrTb"/>
            <w:noWrap w:val="false"/>
          </w:tcPr>
          <w:p>
            <w:pPr>
              <w:jc w:val="center"/>
              <w:spacing w:line="360" w:lineRule="auto"/>
            </w:pPr>
            <w:r>
              <w:rPr>
                <w:rFonts w:hint="eastAsia"/>
              </w:rPr>
              <w:t xml:space="preserve">10</w:t>
            </w:r>
            <w:r/>
          </w:p>
        </w:tc>
      </w:tr>
      <w:tr>
        <w:trPr>
          <w:jc w:val="center"/>
          <w:trHeight w:val="90"/>
        </w:trPr>
        <w:tc>
          <w:tcPr>
            <w:tcW w:w="1290" w:type="dxa"/>
            <w:vAlign w:val="center"/>
            <w:textDirection w:val="lrTb"/>
            <w:noWrap w:val="false"/>
          </w:tcPr>
          <w:p>
            <w:pPr>
              <w:jc w:val="center"/>
              <w:spacing w:line="360" w:lineRule="auto"/>
              <w:rPr>
                <w:b/>
              </w:rPr>
            </w:pPr>
            <w:r>
              <w:rPr>
                <w:rFonts w:hint="eastAsia"/>
                <w:b/>
                <w:lang w:val="en-US" w:eastAsia="zh-CN"/>
              </w:rPr>
              <w:t xml:space="preserve">11</w:t>
            </w:r>
            <w:r>
              <w:rPr>
                <w:rFonts w:hint="eastAsia"/>
                <w:b/>
              </w:rPr>
              <w:t xml:space="preserve">质保服务</w:t>
            </w:r>
            <w:r/>
          </w:p>
        </w:tc>
        <w:tc>
          <w:tcPr>
            <w:tcW w:w="7749" w:type="dxa"/>
            <w:vAlign w:val="center"/>
            <w:textDirection w:val="lrTb"/>
            <w:noWrap w:val="false"/>
          </w:tcPr>
          <w:p>
            <w:r>
              <w:rPr>
                <w:rFonts w:hint="eastAsia"/>
              </w:rPr>
              <w:t xml:space="preserve">供应商</w:t>
            </w:r>
            <w:r>
              <w:t xml:space="preserve">在质保期三年的基础上，每增加一年得</w:t>
            </w:r>
            <w:r>
              <w:rPr>
                <w:rFonts w:hint="eastAsia"/>
              </w:rPr>
              <w:t xml:space="preserve">2</w:t>
            </w:r>
            <w:r>
              <w:t xml:space="preserve">分，最高得</w:t>
            </w:r>
            <w:r>
              <w:rPr>
                <w:rFonts w:hint="eastAsia"/>
              </w:rPr>
              <w:t xml:space="preserve">4</w:t>
            </w:r>
            <w:r>
              <w:t xml:space="preserve">分。需在投标文件中提供加盖公章的承诺书，不提供不得分。</w:t>
            </w:r>
            <w:r/>
          </w:p>
        </w:tc>
        <w:tc>
          <w:tcPr>
            <w:tcW w:w="671" w:type="dxa"/>
            <w:vAlign w:val="center"/>
            <w:textDirection w:val="lrTb"/>
            <w:noWrap w:val="false"/>
          </w:tcPr>
          <w:p>
            <w:pPr>
              <w:jc w:val="center"/>
              <w:spacing w:line="360" w:lineRule="auto"/>
            </w:pPr>
            <w:r>
              <w:rPr>
                <w:rFonts w:hint="eastAsia"/>
              </w:rPr>
              <w:t xml:space="preserve">4</w:t>
            </w:r>
            <w:r/>
          </w:p>
        </w:tc>
      </w:tr>
      <w:tr>
        <w:trPr>
          <w:jc w:val="center"/>
          <w:trHeight w:val="90"/>
        </w:trPr>
        <w:tc>
          <w:tcPr>
            <w:tcW w:w="1290" w:type="dxa"/>
            <w:vAlign w:val="center"/>
            <w:textDirection w:val="lrTb"/>
            <w:noWrap w:val="false"/>
          </w:tcPr>
          <w:p>
            <w:pPr>
              <w:jc w:val="center"/>
              <w:spacing w:line="360" w:lineRule="auto"/>
              <w:rPr>
                <w:b/>
              </w:rPr>
            </w:pPr>
            <w:r>
              <w:rPr>
                <w:rFonts w:hint="eastAsia"/>
                <w:b/>
                <w:bCs/>
                <w:lang w:val="en-US" w:eastAsia="zh-CN"/>
              </w:rPr>
              <w:t xml:space="preserve">12</w:t>
            </w:r>
            <w:r>
              <w:rPr>
                <w:b/>
                <w:bCs/>
              </w:rPr>
              <w:t xml:space="preserve">拟投入的项目负责人情况（限1 人）</w:t>
            </w:r>
            <w:r/>
          </w:p>
        </w:tc>
        <w:tc>
          <w:tcPr>
            <w:tcW w:w="7749" w:type="dxa"/>
            <w:vAlign w:val="center"/>
            <w:textDirection w:val="lrTb"/>
            <w:noWrap w:val="false"/>
          </w:tcPr>
          <w:p>
            <w:r>
              <w:t xml:space="preserve">根据供应商拟派项目负责人（仅限1人）进行评审：</w:t>
            </w:r>
            <w:r/>
          </w:p>
          <w:p>
            <w:pPr>
              <w:numPr>
                <w:ilvl w:val="0"/>
                <w:numId w:val="10"/>
              </w:numPr>
            </w:pPr>
            <w:r>
              <w:t xml:space="preserve">具备计算机技术与软件专业技术资格证书（专业或资格：系统架构设计师），得 </w:t>
            </w:r>
            <w:r>
              <w:rPr>
                <w:rFonts w:hint="eastAsia"/>
              </w:rPr>
              <w:t xml:space="preserve">2</w:t>
            </w:r>
            <w:r>
              <w:t xml:space="preserve"> 分；</w:t>
            </w:r>
            <w:r/>
          </w:p>
          <w:p>
            <w:pPr>
              <w:numPr>
                <w:ilvl w:val="0"/>
                <w:numId w:val="10"/>
              </w:numPr>
            </w:pPr>
            <w:r>
              <w:t xml:space="preserve">具备计算机技术与软件专业技术资格证书（专业或资格：系统分析师），得 </w:t>
            </w:r>
            <w:r>
              <w:rPr>
                <w:rFonts w:hint="eastAsia"/>
              </w:rPr>
              <w:t xml:space="preserve">2</w:t>
            </w:r>
            <w:r>
              <w:t xml:space="preserve"> 分； </w:t>
            </w:r>
            <w:r/>
          </w:p>
          <w:p>
            <w:pPr>
              <w:numPr>
                <w:ilvl w:val="0"/>
                <w:numId w:val="10"/>
              </w:numPr>
            </w:pPr>
            <w:r>
              <w:t xml:space="preserve">具备电子计算机相关专业高级工程师证书，得</w:t>
            </w:r>
            <w:r>
              <w:rPr>
                <w:rFonts w:hint="eastAsia"/>
              </w:rPr>
              <w:t xml:space="preserve">2</w:t>
            </w:r>
            <w:r>
              <w:t xml:space="preserve"> 分； </w:t>
            </w:r>
            <w:r/>
          </w:p>
          <w:p>
            <w:pPr>
              <w:numPr>
                <w:ilvl w:val="0"/>
                <w:numId w:val="10"/>
              </w:numPr>
            </w:pPr>
            <w:r>
              <w:t xml:space="preserve">具备计算机技术与软件专业技术资格证书（专业或资格：信息系统项目管理师（高级），得 </w:t>
            </w:r>
            <w:r>
              <w:rPr>
                <w:rFonts w:hint="eastAsia"/>
              </w:rPr>
              <w:t xml:space="preserve">2</w:t>
            </w:r>
            <w:r>
              <w:t xml:space="preserve">分； </w:t>
            </w:r>
            <w:r/>
          </w:p>
          <w:p>
            <w:pPr>
              <w:numPr>
                <w:ilvl w:val="0"/>
                <w:numId w:val="10"/>
              </w:numPr>
              <w:spacing w:after="160" w:line="278" w:lineRule="auto"/>
            </w:pPr>
            <w:r>
              <w:t xml:space="preserve">具备计算机技术与软件专业技术资格证书（专业或资格：系统集成项目管理工程师），得 </w:t>
            </w:r>
            <w:r>
              <w:rPr>
                <w:rFonts w:hint="eastAsia"/>
              </w:rPr>
              <w:t xml:space="preserve">2</w:t>
            </w:r>
            <w:r>
              <w:t xml:space="preserve">分；</w:t>
            </w:r>
            <w:r/>
          </w:p>
          <w:p>
            <w:r>
              <w:t xml:space="preserve">注：</w:t>
            </w:r>
            <w:r>
              <w:rPr>
                <w:rFonts w:hint="eastAsia"/>
              </w:rPr>
              <w:t xml:space="preserve">投标人提供上述人员相关证书复印件（扫描件）及近3个月中任意1个月为其缴纳的社保证明材料</w:t>
            </w:r>
            <w:r>
              <w:t xml:space="preserve">；提供资料不全或无法判断（证明）的按不得分处理；本分项所有计分证书仅限</w:t>
            </w:r>
            <w:r>
              <w:rPr>
                <w:rFonts w:hint="eastAsia"/>
              </w:rPr>
              <w:t xml:space="preserve">同</w:t>
            </w:r>
            <w:r>
              <w:t xml:space="preserve">一名项目负责人拥有。</w:t>
            </w:r>
            <w:r/>
          </w:p>
        </w:tc>
        <w:tc>
          <w:tcPr>
            <w:tcW w:w="671" w:type="dxa"/>
            <w:vAlign w:val="center"/>
            <w:textDirection w:val="lrTb"/>
            <w:noWrap w:val="false"/>
          </w:tcPr>
          <w:p>
            <w:pPr>
              <w:jc w:val="center"/>
              <w:spacing w:line="360" w:lineRule="auto"/>
            </w:pPr>
            <w:r>
              <w:rPr>
                <w:rFonts w:hint="eastAsia"/>
              </w:rPr>
              <w:t xml:space="preserve">10</w:t>
            </w:r>
            <w:r/>
          </w:p>
        </w:tc>
      </w:tr>
      <w:tr>
        <w:trPr>
          <w:jc w:val="center"/>
          <w:trHeight w:val="3032"/>
        </w:trPr>
        <w:tc>
          <w:tcPr>
            <w:tcW w:w="1290" w:type="dxa"/>
            <w:vAlign w:val="center"/>
            <w:textDirection w:val="lrTb"/>
            <w:noWrap w:val="false"/>
          </w:tcPr>
          <w:p>
            <w:pPr>
              <w:spacing w:line="360" w:lineRule="auto"/>
              <w:tabs>
                <w:tab w:val="left" w:pos="480" w:leader="none"/>
              </w:tabs>
              <w:rPr>
                <w:b/>
                <w:bCs/>
              </w:rPr>
            </w:pPr>
            <w:r>
              <w:rPr>
                <w:rFonts w:hint="eastAsia"/>
                <w:b/>
                <w:bCs/>
                <w:lang w:val="en-US" w:eastAsia="zh-CN"/>
              </w:rPr>
              <w:t xml:space="preserve">13</w:t>
            </w:r>
            <w:r>
              <w:rPr>
                <w:b/>
                <w:bCs/>
              </w:rPr>
              <w:t xml:space="preserve">拟投入的项目主要团队成员情况（项目负责人除外）</w:t>
            </w:r>
            <w:r/>
          </w:p>
        </w:tc>
        <w:tc>
          <w:tcPr>
            <w:tcW w:w="7749" w:type="dxa"/>
            <w:vAlign w:val="center"/>
            <w:textDirection w:val="lrTb"/>
            <w:noWrap w:val="false"/>
          </w:tcPr>
          <w:p>
            <w:pPr>
              <w:jc w:val="left"/>
            </w:pPr>
            <w:r>
              <w:t xml:space="preserve">根据供应商拟投入的项目主要团队成员（主要技术人员）情况（项目负责人除外）进行评审：</w:t>
            </w:r>
            <w:r/>
          </w:p>
          <w:p>
            <w:pPr>
              <w:numPr>
                <w:ilvl w:val="0"/>
                <w:numId w:val="11"/>
              </w:numPr>
              <w:jc w:val="left"/>
            </w:pPr>
            <w:r>
              <w:t xml:space="preserve">技术负责人（1人）：具备计算机技术与软件专业技术资格证书（专业或资格：信息系统项目管理师（高级），得2分， 不具备不得分；</w:t>
            </w:r>
            <w:r/>
          </w:p>
          <w:p>
            <w:pPr>
              <w:numPr>
                <w:ilvl w:val="0"/>
                <w:numId w:val="11"/>
              </w:numPr>
              <w:jc w:val="left"/>
            </w:pPr>
            <w:r>
              <w:t xml:space="preserve">开发负责人（1人）：具备</w:t>
            </w:r>
            <w:r>
              <w:rPr>
                <w:rFonts w:hint="eastAsia"/>
              </w:rPr>
              <w:t xml:space="preserve">人工智能应用工程师证书（高级）</w:t>
            </w:r>
            <w:r>
              <w:t xml:space="preserve">，得2分，不具备不得分</w:t>
            </w:r>
            <w:r>
              <w:rPr>
                <w:rFonts w:hint="eastAsia"/>
              </w:rPr>
              <w:t xml:space="preserve">。</w:t>
            </w:r>
            <w:r/>
          </w:p>
          <w:p>
            <w:pPr>
              <w:numPr>
                <w:ilvl w:val="0"/>
                <w:numId w:val="11"/>
              </w:numPr>
              <w:jc w:val="left"/>
            </w:pPr>
            <w:r>
              <w:rPr>
                <w:rFonts w:hint="eastAsia"/>
              </w:rPr>
              <w:t xml:space="preserve">在校驻场人员</w:t>
            </w:r>
            <w:r>
              <w:t xml:space="preserve">（1人）：具备计算机技术与软件专业技术资格证书（专业或资格：系统规划与管理师），得2分，不具备不得分；</w:t>
            </w:r>
            <w:r/>
          </w:p>
          <w:p>
            <w:pPr>
              <w:jc w:val="left"/>
            </w:pPr>
            <w:r>
              <w:t xml:space="preserve">注：1.</w:t>
            </w:r>
            <w:r>
              <w:rPr>
                <w:rFonts w:hint="eastAsia"/>
              </w:rPr>
              <w:t xml:space="preserve">投标人</w:t>
            </w:r>
            <w:r>
              <w:t xml:space="preserve">提供上述人员相关证书复印件（扫描件）及</w:t>
            </w:r>
            <w:r>
              <w:rPr>
                <w:rFonts w:hint="eastAsia"/>
              </w:rPr>
              <w:t xml:space="preserve">近</w:t>
            </w:r>
            <w:r>
              <w:t xml:space="preserve">3个月</w:t>
            </w:r>
            <w:r>
              <w:rPr>
                <w:rFonts w:hint="eastAsia"/>
              </w:rPr>
              <w:t xml:space="preserve">中任意1个月为其缴纳的社保证明材料</w:t>
            </w:r>
            <w:r>
              <w:t xml:space="preserve">； 2.提供资料不全或无法判断（证明） 的按不得分处理； 3.技术负责人、开发负责人</w:t>
            </w:r>
            <w:r>
              <w:rPr>
                <w:rFonts w:hint="eastAsia"/>
              </w:rPr>
              <w:t xml:space="preserve">、在校驻场人员</w:t>
            </w:r>
            <w:r>
              <w:t xml:space="preserve">不得</w:t>
            </w:r>
            <w:r>
              <w:rPr>
                <w:rFonts w:hint="eastAsia"/>
              </w:rPr>
              <w:t xml:space="preserve">为同一人</w:t>
            </w:r>
            <w:r>
              <w:t xml:space="preserve">。</w:t>
            </w:r>
            <w:r/>
          </w:p>
        </w:tc>
        <w:tc>
          <w:tcPr>
            <w:tcW w:w="671" w:type="dxa"/>
            <w:vAlign w:val="center"/>
            <w:textDirection w:val="lrTb"/>
            <w:noWrap w:val="false"/>
          </w:tcPr>
          <w:p>
            <w:pPr>
              <w:jc w:val="center"/>
              <w:spacing w:line="360" w:lineRule="auto"/>
            </w:pPr>
            <w:r>
              <w:rPr>
                <w:rFonts w:hint="eastAsia"/>
              </w:rPr>
              <w:t xml:space="preserve">6</w:t>
            </w:r>
            <w:r/>
          </w:p>
        </w:tc>
      </w:tr>
      <w:tr>
        <w:trPr>
          <w:jc w:val="center"/>
          <w:trHeight w:val="1424"/>
        </w:trPr>
        <w:tc>
          <w:tcPr>
            <w:tcW w:w="1290" w:type="dxa"/>
            <w:vAlign w:val="center"/>
            <w:textDirection w:val="lrTb"/>
            <w:noWrap w:val="false"/>
          </w:tcPr>
          <w:p>
            <w:pPr>
              <w:spacing w:line="360" w:lineRule="auto"/>
              <w:tabs>
                <w:tab w:val="left" w:pos="480" w:leader="none"/>
              </w:tabs>
              <w:rPr>
                <w:b/>
                <w:bCs/>
              </w:rPr>
            </w:pPr>
            <w:r>
              <w:rPr>
                <w:rFonts w:hint="eastAsia"/>
                <w:b/>
                <w:lang w:val="en-US" w:eastAsia="zh-CN"/>
              </w:rPr>
              <w:t xml:space="preserve">14</w:t>
            </w:r>
            <w:r>
              <w:rPr>
                <w:b/>
              </w:rPr>
              <w:t xml:space="preserve">业绩</w:t>
            </w:r>
            <w:r/>
          </w:p>
        </w:tc>
        <w:tc>
          <w:tcPr>
            <w:tcW w:w="7749" w:type="dxa"/>
            <w:vAlign w:val="center"/>
            <w:textDirection w:val="lrTb"/>
            <w:noWrap w:val="false"/>
          </w:tcPr>
          <w:p>
            <w:pPr>
              <w:jc w:val="left"/>
              <w:rPr>
                <w:rFonts w:hint="eastAsia"/>
              </w:rPr>
            </w:pPr>
            <w:r>
              <w:rPr>
                <w:rFonts w:hint="eastAsia"/>
              </w:rPr>
              <w:t xml:space="preserve">供应商自2023年1月1日至今承接过同类的业绩项目情况，每提供一份符合要求的业绩得1分，最高得5分，不满足或未提供不得分。</w:t>
            </w:r>
            <w:r/>
          </w:p>
          <w:p>
            <w:pPr>
              <w:jc w:val="left"/>
              <w:rPr>
                <w:rFonts w:hint="eastAsia"/>
                <w:lang w:eastAsia="zh-CN"/>
              </w:rPr>
            </w:pPr>
            <w:r>
              <w:rPr>
                <w:rFonts w:hint="eastAsia"/>
              </w:rPr>
              <w:t xml:space="preserve">注：1、合同内容须包括培养方案、排课、选课</w:t>
            </w:r>
            <w:r>
              <w:rPr>
                <w:rFonts w:hint="eastAsia"/>
                <w:lang w:val="en-US" w:eastAsia="zh-CN"/>
              </w:rPr>
              <w:t xml:space="preserve">以上三个</w:t>
            </w:r>
            <w:r>
              <w:rPr>
                <w:rFonts w:hint="eastAsia"/>
                <w:color w:val="auto"/>
                <w:lang w:val="en-US" w:eastAsia="zh-CN"/>
              </w:rPr>
              <w:t xml:space="preserve">关键词类似</w:t>
            </w:r>
            <w:r>
              <w:rPr>
                <w:rFonts w:hint="eastAsia"/>
                <w:color w:val="auto"/>
              </w:rPr>
              <w:t xml:space="preserve">相关内</w:t>
            </w:r>
            <w:r>
              <w:rPr>
                <w:rFonts w:hint="eastAsia"/>
              </w:rPr>
              <w:t xml:space="preserve">容</w:t>
            </w:r>
            <w:r>
              <w:rPr>
                <w:rFonts w:hint="eastAsia"/>
                <w:lang w:eastAsia="zh-CN"/>
              </w:rPr>
              <w:t xml:space="preserve">；</w:t>
            </w:r>
            <w:r/>
          </w:p>
          <w:p>
            <w:pPr>
              <w:jc w:val="left"/>
            </w:pPr>
            <w:r>
              <w:rPr>
                <w:rFonts w:hint="eastAsia"/>
                <w:lang w:val="en-US" w:eastAsia="zh-CN"/>
              </w:rPr>
              <w:t xml:space="preserve">2、</w:t>
            </w:r>
            <w:r>
              <w:rPr>
                <w:rFonts w:hint="eastAsia"/>
              </w:rPr>
              <w:t xml:space="preserve">业绩认定以合同签订时间为准，须提供合同关键页的复印件和加盖用户使用单位公章的验收报告复印件，缺一不得分。</w:t>
            </w:r>
            <w:r/>
          </w:p>
        </w:tc>
        <w:tc>
          <w:tcPr>
            <w:tcW w:w="671" w:type="dxa"/>
            <w:vAlign w:val="center"/>
            <w:textDirection w:val="lrTb"/>
            <w:noWrap w:val="false"/>
          </w:tcPr>
          <w:p>
            <w:pPr>
              <w:jc w:val="center"/>
              <w:spacing w:line="360" w:lineRule="auto"/>
            </w:pPr>
            <w:r>
              <w:rPr>
                <w:rFonts w:hint="eastAsia"/>
              </w:rPr>
              <w:t xml:space="preserve">5</w:t>
            </w:r>
            <w:r/>
          </w:p>
        </w:tc>
      </w:tr>
    </w:tbl>
    <w:p>
      <w:pPr>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r/>
      <w:r/>
    </w:p>
    <w:p>
      <w:r/>
      <w:r/>
    </w:p>
    <w:p>
      <w:pPr>
        <w:pStyle w:val="919"/>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59"/>
      <w:r/>
      <w:bookmarkEnd w:id="160"/>
      <w:r/>
      <w:bookmarkEnd w:id="161"/>
      <w:r>
        <w:rPr>
          <w:rFonts w:hint="eastAsia" w:ascii="方正黑体_GBK" w:hAnsi="方正黑体_GBK" w:eastAsia="方正黑体_GBK" w:cs="方正黑体_GBK"/>
          <w:color w:val="000000"/>
          <w:sz w:val="28"/>
          <w:szCs w:val="28"/>
        </w:rPr>
        <w:t xml:space="preserve">文件格式 </w:t>
      </w:r>
      <w:r/>
    </w:p>
    <w:p>
      <w:pPr>
        <w:jc w:val="center"/>
        <w:rPr>
          <w:rFonts w:hint="eastAsia" w:ascii="宋体" w:hAnsi="宋体"/>
          <w:b/>
          <w:sz w:val="28"/>
          <w:szCs w:val="28"/>
        </w:rPr>
      </w:pPr>
      <w:r/>
      <w:bookmarkStart w:id="164" w:name="_Hlt26955039"/>
      <w:r/>
      <w:bookmarkEnd w:id="164"/>
      <w:r/>
      <w:bookmarkStart w:id="165" w:name="_Hlt26671244"/>
      <w:r/>
      <w:bookmarkEnd w:id="165"/>
      <w:r/>
      <w:bookmarkStart w:id="166" w:name="_Toc49090576"/>
      <w:r/>
      <w:bookmarkStart w:id="167" w:name="_Toc26554094"/>
      <w:r/>
      <w:bookmarkStart w:id="168" w:name="_Toc120614282"/>
      <w:r/>
      <w:r/>
    </w:p>
    <w:p>
      <w:pPr>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     项 目 名 称：</w:t>
      </w:r>
      <w:r>
        <w:rPr>
          <w:rFonts w:hint="eastAsia" w:ascii="方正黑体_GBK" w:hAnsi="方正黑体_GBK" w:eastAsia="方正黑体_GBK" w:cs="方正黑体_GBK"/>
          <w:bCs/>
          <w:sz w:val="28"/>
          <w:szCs w:val="28"/>
          <w:u w:val="single"/>
        </w:rPr>
        <w:t xml:space="preserve">               </w:t>
      </w:r>
      <w:r/>
    </w:p>
    <w:p>
      <w:pPr>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采 购 编 号：</w:t>
      </w:r>
      <w:r>
        <w:rPr>
          <w:rFonts w:hint="eastAsia" w:ascii="方正黑体_GBK" w:hAnsi="方正黑体_GBK" w:eastAsia="方正黑体_GBK" w:cs="方正黑体_GBK"/>
          <w:bCs/>
          <w:sz w:val="28"/>
          <w:szCs w:val="28"/>
          <w:u w:val="single"/>
        </w:rPr>
        <w:t xml:space="preserve">               </w:t>
      </w:r>
      <w:r/>
    </w:p>
    <w:p>
      <w:pPr>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p>
    <w:p>
      <w:pPr>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1084"/>
        <w:rPr>
          <w:rFonts w:hint="eastAsia" w:ascii="宋体" w:hAnsi="宋体"/>
          <w:b/>
          <w:bCs/>
          <w:sz w:val="32"/>
          <w:szCs w:val="32"/>
        </w:rPr>
      </w:pPr>
      <w:r>
        <w:rPr>
          <w:rFonts w:ascii="宋体" w:hAnsi="宋体"/>
          <w:b/>
          <w:sz w:val="36"/>
          <w:u w:val="single"/>
        </w:rPr>
        <w:br w:type="page" w:clear="all"/>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jc w:val="center"/>
        <w:spacing w:line="400" w:lineRule="exact"/>
        <w:rPr>
          <w:rFonts w:hint="eastAsia" w:ascii="宋体" w:hAnsi="宋体"/>
          <w:b/>
          <w:bCs/>
          <w:sz w:val="28"/>
          <w:szCs w:val="28"/>
        </w:rPr>
      </w:pPr>
      <w:r>
        <w:rPr>
          <w:rFonts w:hint="eastAsia" w:ascii="宋体" w:hAnsi="宋体"/>
          <w:b/>
          <w:bCs/>
          <w:sz w:val="28"/>
          <w:szCs w:val="28"/>
        </w:rPr>
      </w:r>
      <w:r/>
    </w:p>
    <w:p>
      <w:pPr>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eastAsia="方正仿宋_GBK"/>
          <w:color w:val="000000"/>
          <w:sz w:val="28"/>
          <w:szCs w:val="28"/>
        </w:rPr>
        <w:t xml:space="preserve">XXXX</w:t>
      </w:r>
      <w:r>
        <w:rPr>
          <w:rFonts w:hint="eastAsia" w:ascii="方正仿宋_GBK" w:hAnsi="方正仿宋_GBK" w:eastAsia="方正仿宋_GBK" w:cs="方正仿宋_GBK"/>
          <w:color w:val="000000"/>
          <w:sz w:val="28"/>
          <w:szCs w:val="28"/>
        </w:rPr>
        <w:t xml:space="preserve">（格式见附件</w:t>
      </w:r>
      <w:r>
        <w:rPr>
          <w:rFonts w:hint="eastAsia" w:eastAsia="方正仿宋_GBK"/>
          <w:color w:val="000000"/>
          <w:sz w:val="28"/>
          <w:szCs w:val="28"/>
        </w:rPr>
        <w:t xml:space="preserve">XX</w:t>
      </w:r>
      <w:r>
        <w:rPr>
          <w:rFonts w:hint="eastAsia" w:ascii="方正仿宋_GBK" w:hAnsi="方正仿宋_GBK" w:eastAsia="方正仿宋_GBK" w:cs="方正仿宋_GBK"/>
          <w:color w:val="000000"/>
          <w:sz w:val="28"/>
          <w:szCs w:val="28"/>
        </w:rPr>
        <w:t xml:space="preserve">）</w:t>
      </w:r>
      <w:r/>
    </w:p>
    <w:p>
      <w:pPr>
        <w:jc w:val="left"/>
        <w:spacing w:line="400" w:lineRule="exact"/>
        <w:rPr>
          <w:rFonts w:hint="eastAsia" w:ascii="方正黑体_GBK" w:hAnsi="方正黑体_GBK" w:eastAsia="方正黑体_GBK" w:cs="方正黑体_GBK"/>
          <w:sz w:val="28"/>
          <w:szCs w:val="28"/>
        </w:rPr>
      </w:pPr>
      <w:r/>
      <w:bookmarkStart w:id="170" w:name="_GoBack"/>
      <w:r/>
      <w:bookmarkEnd w:id="170"/>
      <w:r>
        <w:rPr>
          <w:rFonts w:hint="eastAsia" w:ascii="方正黑体_GBK" w:hAnsi="方正黑体_GBK" w:eastAsia="方正黑体_GBK" w:cs="方正黑体_GBK"/>
          <w:sz w:val="28"/>
          <w:szCs w:val="28"/>
        </w:rPr>
        <w:t xml:space="preserve">二、资格审查内容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p>
    <w:p>
      <w:pPr>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p>
    <w:p>
      <w:pPr>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b/>
          <w:color w:val="ff0000"/>
          <w:sz w:val="28"/>
          <w:szCs w:val="28"/>
        </w:rPr>
      </w:pPr>
      <w:r>
        <w:rPr>
          <w:rFonts w:hint="eastAsia" w:ascii="宋体" w:hAnsi="宋体"/>
          <w:b/>
          <w:color w:val="ff0000"/>
          <w:sz w:val="28"/>
          <w:szCs w:val="28"/>
        </w:rPr>
      </w:r>
      <w:r/>
    </w:p>
    <w:p>
      <w:pPr>
        <w:spacing w:line="400" w:lineRule="exact"/>
        <w:rPr>
          <w:rFonts w:hint="eastAsia" w:ascii="宋体" w:hAnsi="宋体"/>
          <w:b/>
          <w:color w:val="ff0000"/>
          <w:sz w:val="28"/>
          <w:szCs w:val="28"/>
        </w:rPr>
      </w:pPr>
      <w:r>
        <w:rPr>
          <w:rFonts w:hint="eastAsia" w:ascii="宋体" w:hAnsi="宋体"/>
          <w:b/>
          <w:color w:val="ff0000"/>
          <w:sz w:val="28"/>
          <w:szCs w:val="28"/>
        </w:rPr>
      </w:r>
      <w:r/>
    </w:p>
    <w:p>
      <w:pPr>
        <w:spacing w:line="400" w:lineRule="exact"/>
        <w:rPr>
          <w:rFonts w:hint="eastAsia" w:ascii="宋体" w:hAnsi="宋体"/>
          <w:b/>
          <w:color w:val="ff0000"/>
          <w:sz w:val="28"/>
          <w:szCs w:val="28"/>
        </w:rPr>
      </w:pPr>
      <w:r>
        <w:rPr>
          <w:rFonts w:hint="eastAsia" w:ascii="宋体" w:hAnsi="宋体"/>
          <w:b/>
          <w:color w:val="ff0000"/>
          <w:sz w:val="28"/>
          <w:szCs w:val="28"/>
        </w:rPr>
      </w:r>
      <w:r/>
    </w:p>
    <w:p>
      <w:pPr>
        <w:spacing w:line="400" w:lineRule="exact"/>
        <w:rPr>
          <w:rFonts w:hint="eastAsia" w:ascii="宋体" w:hAnsi="宋体"/>
          <w:b/>
          <w:color w:val="ff0000"/>
          <w:sz w:val="28"/>
          <w:szCs w:val="28"/>
        </w:rPr>
      </w:pPr>
      <w:r>
        <w:rPr>
          <w:rFonts w:hint="eastAsia" w:ascii="宋体" w:hAnsi="宋体"/>
          <w:b/>
          <w:color w:val="ff0000"/>
          <w:sz w:val="28"/>
          <w:szCs w:val="28"/>
        </w:rPr>
      </w:r>
      <w:r/>
    </w:p>
    <w:p>
      <w:pPr>
        <w:spacing w:line="400" w:lineRule="exact"/>
        <w:rPr>
          <w:rFonts w:hint="eastAsia" w:ascii="宋体" w:hAnsi="宋体"/>
          <w:b/>
          <w:color w:val="ff0000"/>
          <w:sz w:val="28"/>
          <w:szCs w:val="28"/>
        </w:rPr>
      </w:pPr>
      <w:r>
        <w:rPr>
          <w:rFonts w:hint="eastAsia" w:ascii="宋体" w:hAnsi="宋体"/>
          <w:b/>
          <w:color w:val="ff0000"/>
          <w:sz w:val="28"/>
          <w:szCs w:val="28"/>
        </w:rPr>
      </w:r>
      <w:r/>
    </w:p>
    <w:p>
      <w:pPr>
        <w:spacing w:line="400" w:lineRule="exact"/>
        <w:rPr>
          <w:rFonts w:hint="eastAsia" w:ascii="宋体" w:hAnsi="宋体"/>
          <w:b/>
          <w:color w:val="ff0000"/>
          <w:sz w:val="28"/>
          <w:szCs w:val="28"/>
        </w:rPr>
      </w:pPr>
      <w:r>
        <w:rPr>
          <w:rFonts w:hint="eastAsia" w:ascii="宋体" w:hAnsi="宋体"/>
          <w:b/>
          <w:color w:val="ff0000"/>
          <w:sz w:val="28"/>
          <w:szCs w:val="28"/>
        </w:rPr>
      </w:r>
      <w:r/>
    </w:p>
    <w:p>
      <w:pPr>
        <w:spacing w:line="400" w:lineRule="exact"/>
        <w:rPr>
          <w:rFonts w:hint="eastAsia" w:ascii="宋体" w:hAnsi="宋体"/>
          <w:b/>
          <w:color w:val="ff0000"/>
          <w:sz w:val="28"/>
          <w:szCs w:val="28"/>
        </w:rPr>
      </w:pPr>
      <w:r>
        <w:rPr>
          <w:rFonts w:hint="eastAsia" w:ascii="宋体" w:hAnsi="宋体"/>
          <w:b/>
          <w:color w:val="ff0000"/>
          <w:sz w:val="28"/>
          <w:szCs w:val="28"/>
        </w:rPr>
      </w:r>
      <w:r/>
    </w:p>
    <w:p>
      <w:pPr>
        <w:spacing w:line="400" w:lineRule="exact"/>
        <w:rPr>
          <w:rFonts w:hint="eastAsia" w:ascii="宋体" w:hAnsi="宋体"/>
          <w:b/>
          <w:color w:val="ff0000"/>
          <w:sz w:val="28"/>
          <w:szCs w:val="28"/>
        </w:rPr>
      </w:pPr>
      <w:r>
        <w:rPr>
          <w:rFonts w:hint="eastAsia" w:ascii="宋体" w:hAnsi="宋体"/>
          <w:b/>
          <w:color w:val="ff0000"/>
          <w:sz w:val="28"/>
          <w:szCs w:val="28"/>
        </w:rPr>
      </w:r>
      <w:r/>
    </w:p>
    <w:p>
      <w:pPr>
        <w:spacing w:line="400" w:lineRule="exact"/>
        <w:rPr>
          <w:rFonts w:hint="eastAsia" w:ascii="宋体" w:hAnsi="宋体"/>
          <w:b/>
          <w:color w:val="ff0000"/>
          <w:sz w:val="28"/>
          <w:szCs w:val="28"/>
        </w:rPr>
      </w:pPr>
      <w:r>
        <w:rPr>
          <w:rFonts w:hint="eastAsia" w:ascii="宋体" w:hAnsi="宋体"/>
          <w:b/>
          <w:color w:val="ff0000"/>
          <w:sz w:val="28"/>
          <w:szCs w:val="28"/>
        </w:rPr>
      </w:r>
      <w:r/>
    </w:p>
    <w:p>
      <w:pPr>
        <w:spacing w:line="400" w:lineRule="exact"/>
        <w:rPr>
          <w:rFonts w:hint="eastAsia" w:ascii="宋体" w:hAnsi="宋体"/>
          <w:b/>
          <w:color w:val="ff0000"/>
          <w:sz w:val="28"/>
          <w:szCs w:val="28"/>
        </w:rPr>
      </w:pPr>
      <w:r>
        <w:rPr>
          <w:rFonts w:hint="eastAsia" w:ascii="宋体" w:hAnsi="宋体"/>
          <w:b/>
          <w:color w:val="ff0000"/>
          <w:sz w:val="28"/>
          <w:szCs w:val="28"/>
        </w:rPr>
      </w:r>
      <w:r/>
    </w:p>
    <w:p>
      <w:pPr>
        <w:spacing w:line="400" w:lineRule="exact"/>
        <w:rPr>
          <w:rFonts w:hint="eastAsia" w:ascii="宋体" w:hAnsi="宋体"/>
          <w:b/>
          <w:color w:val="ff0000"/>
          <w:sz w:val="28"/>
          <w:szCs w:val="28"/>
        </w:rPr>
      </w:pPr>
      <w:r>
        <w:rPr>
          <w:rFonts w:hint="eastAsia" w:ascii="宋体" w:hAnsi="宋体"/>
          <w:b/>
          <w:color w:val="ff0000"/>
          <w:sz w:val="28"/>
          <w:szCs w:val="28"/>
        </w:rPr>
      </w:r>
      <w:r/>
    </w:p>
    <w:p>
      <w:pPr>
        <w:spacing w:line="400" w:lineRule="exact"/>
        <w:rPr>
          <w:rFonts w:hint="eastAsia" w:ascii="宋体" w:hAnsi="宋体"/>
          <w:b/>
          <w:color w:val="ff0000"/>
          <w:sz w:val="28"/>
          <w:szCs w:val="28"/>
        </w:rPr>
      </w:pPr>
      <w:r>
        <w:rPr>
          <w:rFonts w:hint="eastAsia" w:ascii="宋体" w:hAnsi="宋体"/>
          <w:b/>
          <w:color w:val="ff0000"/>
          <w:sz w:val="28"/>
          <w:szCs w:val="28"/>
        </w:rPr>
      </w:r>
      <w:r/>
    </w:p>
    <w:p>
      <w:pPr>
        <w:spacing w:line="400" w:lineRule="exact"/>
        <w:rPr>
          <w:rFonts w:hint="eastAsia" w:ascii="宋体" w:hAnsi="宋体"/>
          <w:b/>
          <w:color w:val="ff0000"/>
          <w:sz w:val="28"/>
          <w:szCs w:val="28"/>
        </w:rPr>
      </w:pPr>
      <w:r>
        <w:rPr>
          <w:rFonts w:hint="eastAsia" w:ascii="宋体" w:hAnsi="宋体"/>
          <w:b/>
          <w:color w:val="ff0000"/>
          <w:sz w:val="28"/>
          <w:szCs w:val="28"/>
        </w:rPr>
      </w:r>
      <w:r/>
    </w:p>
    <w:p>
      <w:pPr>
        <w:spacing w:line="400" w:lineRule="exact"/>
        <w:rPr>
          <w:rFonts w:hint="eastAsia" w:ascii="宋体" w:hAnsi="宋体"/>
          <w:b/>
          <w:color w:val="ff0000"/>
          <w:sz w:val="28"/>
          <w:szCs w:val="28"/>
        </w:rPr>
      </w:pPr>
      <w:r>
        <w:rPr>
          <w:rFonts w:hint="eastAsia" w:ascii="宋体" w:hAnsi="宋体"/>
          <w:b/>
          <w:color w:val="ff0000"/>
          <w:sz w:val="28"/>
          <w:szCs w:val="28"/>
        </w:rPr>
      </w:r>
      <w:r/>
    </w:p>
    <w:p>
      <w:pPr>
        <w:spacing w:line="400" w:lineRule="exact"/>
        <w:rPr>
          <w:rFonts w:hint="eastAsia" w:ascii="宋体" w:hAnsi="宋体"/>
          <w:b/>
          <w:color w:val="ff0000"/>
          <w:sz w:val="28"/>
          <w:szCs w:val="28"/>
        </w:rPr>
      </w:pPr>
      <w:r>
        <w:rPr>
          <w:rFonts w:hint="eastAsia" w:ascii="宋体" w:hAnsi="宋体"/>
          <w:b/>
          <w:color w:val="ff0000"/>
          <w:sz w:val="28"/>
          <w:szCs w:val="28"/>
        </w:rPr>
      </w:r>
      <w:r/>
    </w:p>
    <w:p>
      <w:pPr>
        <w:spacing w:line="400" w:lineRule="exact"/>
        <w:rPr>
          <w:rFonts w:hint="eastAsia" w:ascii="宋体" w:hAnsi="宋体"/>
          <w:b/>
          <w:color w:val="ff0000"/>
          <w:sz w:val="28"/>
          <w:szCs w:val="28"/>
        </w:rPr>
      </w:pPr>
      <w:r>
        <w:rPr>
          <w:rFonts w:hint="eastAsia" w:ascii="宋体" w:hAnsi="宋体"/>
          <w:b/>
          <w:color w:val="ff0000"/>
          <w:sz w:val="28"/>
          <w:szCs w:val="28"/>
        </w:rPr>
      </w:r>
      <w:r/>
    </w:p>
    <w:p>
      <w:pPr>
        <w:spacing w:line="400" w:lineRule="exact"/>
        <w:rPr>
          <w:rFonts w:hint="eastAsia" w:ascii="宋体" w:hAnsi="宋体"/>
          <w:b/>
          <w:color w:val="ff0000"/>
          <w:sz w:val="28"/>
          <w:szCs w:val="28"/>
        </w:rPr>
      </w:pPr>
      <w:r>
        <w:rPr>
          <w:rFonts w:hint="eastAsia" w:ascii="宋体" w:hAnsi="宋体"/>
          <w:b/>
          <w:color w:val="ff0000"/>
          <w:sz w:val="28"/>
          <w:szCs w:val="28"/>
        </w:rPr>
      </w:r>
      <w:r/>
    </w:p>
    <w:p>
      <w:pPr>
        <w:pStyle w:val="930"/>
        <w:rPr>
          <w:rFonts w:hint="eastAsia" w:ascii="宋体" w:hAnsi="宋体"/>
          <w:b/>
          <w:color w:val="ff0000"/>
          <w:sz w:val="28"/>
          <w:szCs w:val="28"/>
        </w:rPr>
      </w:pPr>
      <w:r>
        <w:rPr>
          <w:rFonts w:hint="eastAsia" w:ascii="宋体" w:hAnsi="宋体"/>
          <w:b/>
          <w:color w:val="ff0000"/>
          <w:sz w:val="28"/>
          <w:szCs w:val="28"/>
        </w:rPr>
      </w:r>
      <w:r/>
    </w:p>
    <w:p>
      <w:pPr>
        <w:rPr>
          <w:rFonts w:hint="eastAsia" w:ascii="宋体" w:hAnsi="宋体"/>
          <w:b/>
          <w:color w:val="ff0000"/>
          <w:sz w:val="28"/>
          <w:szCs w:val="28"/>
        </w:rPr>
      </w:pPr>
      <w:r>
        <w:rPr>
          <w:rFonts w:hint="eastAsia" w:ascii="宋体" w:hAnsi="宋体"/>
          <w:b/>
          <w:color w:val="ff0000"/>
          <w:sz w:val="28"/>
          <w:szCs w:val="28"/>
        </w:rPr>
      </w:r>
      <w:r/>
    </w:p>
    <w:p>
      <w:pPr>
        <w:pStyle w:val="930"/>
        <w:rPr>
          <w:rFonts w:hint="eastAsia" w:ascii="宋体" w:hAnsi="宋体"/>
          <w:b/>
          <w:color w:val="ff0000"/>
          <w:sz w:val="28"/>
          <w:szCs w:val="28"/>
        </w:rPr>
      </w:pPr>
      <w:r>
        <w:rPr>
          <w:rFonts w:hint="eastAsia" w:ascii="宋体" w:hAnsi="宋体"/>
          <w:b/>
          <w:color w:val="ff0000"/>
          <w:sz w:val="28"/>
          <w:szCs w:val="28"/>
        </w:rPr>
      </w:r>
      <w:r/>
    </w:p>
    <w:p>
      <w:pPr>
        <w:rPr>
          <w:rFonts w:hint="eastAsia" w:ascii="宋体" w:hAnsi="宋体"/>
          <w:b/>
          <w:color w:val="ff0000"/>
          <w:sz w:val="28"/>
          <w:szCs w:val="28"/>
        </w:rPr>
      </w:pPr>
      <w:r>
        <w:rPr>
          <w:rFonts w:hint="eastAsia" w:ascii="宋体" w:hAnsi="宋体"/>
          <w:b/>
          <w:color w:val="ff0000"/>
          <w:sz w:val="28"/>
          <w:szCs w:val="28"/>
        </w:rPr>
      </w:r>
      <w:r/>
    </w:p>
    <w:p>
      <w:pPr>
        <w:pStyle w:val="930"/>
        <w:rPr>
          <w:rFonts w:hint="eastAsia"/>
        </w:rPr>
      </w:pPr>
      <w:r>
        <w:rPr>
          <w:rFonts w:hint="eastAsia"/>
        </w:rPr>
      </w:r>
      <w:r/>
    </w:p>
    <w:p>
      <w:pPr>
        <w:spacing w:line="400" w:lineRule="exact"/>
        <w:rPr>
          <w:rFonts w:hint="eastAsia" w:ascii="宋体" w:hAnsi="宋体"/>
          <w:b/>
          <w:color w:val="ff0000"/>
          <w:sz w:val="28"/>
          <w:szCs w:val="28"/>
        </w:rPr>
      </w:pPr>
      <w:r>
        <w:rPr>
          <w:rFonts w:hint="eastAsia" w:ascii="宋体" w:hAnsi="宋体"/>
          <w:b/>
          <w:color w:val="ff0000"/>
          <w:sz w:val="28"/>
          <w:szCs w:val="28"/>
        </w:rPr>
      </w:r>
      <w:r/>
    </w:p>
    <w:p>
      <w:pP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p>
    <w:tbl>
      <w:tblPr>
        <w:tblStyle w:val="9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1005"/>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bl>
    <w:p>
      <w:pPr>
        <w:ind w:firstLine="480"/>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p>
    <w:tbl>
      <w:tblPr>
        <w:tblStyle w:val="929"/>
        <w:tblW w:w="9861" w:type="dxa"/>
        <w:tblInd w:w="-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04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10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04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textDirection w:val="lrTb"/>
            <w:noWrap w:val="false"/>
          </w:tcPr>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57"/>
        </w:trPr>
        <w:tc>
          <w:tcPr>
            <w:gridSpan w:val="10"/>
            <w:tcW w:w="9861" w:type="dxa"/>
            <w:textDirection w:val="lrTb"/>
            <w:noWrap w:val="false"/>
          </w:tcPr>
          <w:p>
            <w:pPr>
              <w:pStyle w:val="957"/>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spacing w:line="400" w:lineRule="exact"/>
        <w:rPr>
          <w:rFonts w:hint="eastAsia" w:ascii="宋体" w:hAnsi="宋体"/>
          <w:sz w:val="28"/>
          <w:szCs w:val="28"/>
        </w:rPr>
      </w:pPr>
      <w:r>
        <w:rPr>
          <w:rFonts w:hint="eastAsia" w:ascii="宋体" w:hAnsi="宋体"/>
          <w:sz w:val="28"/>
          <w:szCs w:val="28"/>
        </w:rPr>
        <w:t xml:space="preserve">                         </w:t>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附件3-1  证明材料1，证明材料2，……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spacing w:line="400" w:lineRule="exact"/>
        <w:rPr>
          <w:rFonts w:hint="eastAsia" w:ascii="宋体" w:hAnsi="宋体"/>
          <w:b/>
          <w:color w:val="000000"/>
          <w:sz w:val="28"/>
          <w:szCs w:val="28"/>
        </w:rPr>
      </w:pPr>
      <w:r>
        <w:rPr>
          <w:rFonts w:hint="eastAsia" w:ascii="宋体" w:hAnsi="宋体"/>
          <w:bCs/>
          <w:color w:val="000000"/>
          <w:sz w:val="28"/>
          <w:szCs w:val="28"/>
        </w:rPr>
        <w:t xml:space="preserve">                                     </w:t>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jc w:val="center"/>
        <w:spacing w:line="400" w:lineRule="exact"/>
        <w:rPr>
          <w:rFonts w:hint="eastAsia"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jc w:val="center"/>
        <w:spacing w:line="400" w:lineRule="exact"/>
        <w:rPr>
          <w:rFonts w:hint="eastAsia"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p>
    <w:p>
      <w:pPr>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致：中心</w:t>
      </w:r>
      <w:r/>
    </w:p>
    <w:p>
      <w:pPr>
        <w:pStyle w:val="100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100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pStyle w:val="100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100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100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100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100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100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p>
    <w:p>
      <w:pPr>
        <w:pStyle w:val="100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100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100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100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100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100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100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100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0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0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05"/>
        <w:ind w:left="420" w:firstLine="560"/>
        <w:spacing w:before="0" w:after="0" w:line="400" w:lineRule="exact"/>
        <w:rPr>
          <w:rFonts w:hint="eastAsia" w:ascii="宋体" w:hAnsi="宋体"/>
          <w:sz w:val="28"/>
          <w:szCs w:val="28"/>
        </w:rPr>
      </w:pPr>
      <w:r>
        <w:rPr>
          <w:rFonts w:hint="eastAsia" w:ascii="宋体" w:hAnsi="宋体"/>
          <w:sz w:val="28"/>
          <w:szCs w:val="28"/>
        </w:rPr>
      </w:r>
      <w:r/>
    </w:p>
    <w:p>
      <w:pPr>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pStyle w:val="1005"/>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p>
    <w:p>
      <w:pPr>
        <w:ind w:firstLine="560"/>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宋体" w:hAnsi="宋体"/>
          <w:sz w:val="28"/>
          <w:szCs w:val="28"/>
        </w:rPr>
      </w:pPr>
      <w:r>
        <w:rPr>
          <w:rFonts w:hint="eastAsia" w:ascii="宋体" w:hAnsi="宋体"/>
          <w:sz w:val="28"/>
          <w:szCs w:val="28"/>
        </w:rPr>
      </w:r>
      <w:r/>
    </w:p>
    <w:p>
      <w:pPr>
        <w:pStyle w:val="930"/>
        <w:rPr>
          <w:rFonts w:hint="eastAsia"/>
        </w:rPr>
      </w:pPr>
      <w:r>
        <w:rPr>
          <w:rFonts w:hint="eastAsia"/>
        </w:rPr>
      </w:r>
      <w:r/>
    </w:p>
    <w:p>
      <w:pPr>
        <w:ind w:firstLine="560"/>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宋体" w:hAnsi="宋体"/>
          <w:sz w:val="28"/>
          <w:szCs w:val="28"/>
        </w:rPr>
      </w:pPr>
      <w:r>
        <w:rPr>
          <w:rFonts w:hint="eastAsia" w:ascii="宋体" w:hAnsi="宋体"/>
          <w:sz w:val="28"/>
          <w:szCs w:val="28"/>
        </w:rPr>
      </w:r>
      <w:bookmarkEnd w:id="166"/>
      <w:r/>
      <w:bookmarkEnd w:id="167"/>
      <w:r/>
      <w:bookmarkEnd w:id="168"/>
      <w:r/>
      <w:r/>
    </w:p>
    <w:p>
      <w:pPr>
        <w:jc w:val="center"/>
        <w:spacing w:line="400" w:lineRule="exact"/>
        <w:rPr>
          <w:rFonts w:hint="eastAsia" w:ascii="方正黑体_GBK" w:hAnsi="方正黑体_GBK" w:eastAsia="方正黑体_GBK" w:cs="方正黑体_GBK"/>
          <w:bCs/>
          <w:sz w:val="28"/>
          <w:szCs w:val="28"/>
        </w:rPr>
      </w:pPr>
      <w:r/>
      <w:bookmarkStart w:id="169"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p>
    <w:p>
      <w:pPr>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spacing w:line="400" w:lineRule="exact"/>
        <w:rPr>
          <w:rFonts w:hint="eastAsia" w:ascii="黑体" w:hAnsi="黑体" w:eastAsia="黑体"/>
          <w:b/>
          <w:sz w:val="28"/>
          <w:szCs w:val="28"/>
        </w:rPr>
      </w:pPr>
      <w:r>
        <w:rPr>
          <w:rFonts w:hint="eastAsia" w:ascii="黑体" w:hAnsi="黑体" w:eastAsia="黑体"/>
          <w:b/>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自愿组成联合体，参加中心组织的采购编号为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日期：___年____月____日     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ind w:firstLine="645"/>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实质性要求响应及偏离表（采购包号：XX）</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8"/>
          <w:szCs w:val="28"/>
        </w:rPr>
      </w:pPr>
      <w:r>
        <w:rPr>
          <w:rFonts w:hint="eastAsia" w:ascii="宋体" w:hAnsi="宋体"/>
          <w:color w:val="ff0000"/>
          <w:sz w:val="28"/>
          <w:szCs w:val="28"/>
        </w:rPr>
      </w:r>
      <w:r/>
    </w:p>
    <w:p>
      <w:pPr>
        <w:jc w:val="center"/>
        <w:spacing w:line="400" w:lineRule="exact"/>
        <w:rPr>
          <w:rFonts w:hint="eastAsia" w:ascii="宋体" w:hAnsi="宋体" w:cs="宋体"/>
          <w:b/>
          <w:sz w:val="28"/>
          <w:szCs w:val="28"/>
        </w:rPr>
      </w:pPr>
      <w:r>
        <w:rPr>
          <w:rFonts w:hint="eastAsia" w:ascii="宋体" w:hAnsi="宋体" w:cs="宋体"/>
          <w:b/>
          <w:sz w:val="28"/>
          <w:szCs w:val="28"/>
        </w:rPr>
      </w:r>
      <w:r/>
    </w:p>
    <w:p>
      <w:pPr>
        <w:jc w:val="center"/>
        <w:spacing w:line="400" w:lineRule="exact"/>
        <w:rPr>
          <w:rFonts w:hint="eastAsia" w:ascii="宋体" w:hAnsi="宋体" w:cs="宋体"/>
          <w:b/>
          <w:sz w:val="28"/>
          <w:szCs w:val="28"/>
        </w:rPr>
      </w:pPr>
      <w:r>
        <w:rPr>
          <w:rFonts w:hint="eastAsia" w:ascii="宋体" w:hAnsi="宋体" w:cs="宋体"/>
          <w:b/>
          <w:sz w:val="28"/>
          <w:szCs w:val="28"/>
        </w:rPr>
      </w:r>
      <w:r/>
    </w:p>
    <w:p>
      <w:pPr>
        <w:jc w:val="center"/>
        <w:spacing w:line="400" w:lineRule="exact"/>
        <w:rPr>
          <w:rFonts w:hint="eastAsia" w:ascii="宋体" w:hAnsi="宋体" w:cs="宋体"/>
          <w:b/>
          <w:sz w:val="28"/>
          <w:szCs w:val="28"/>
        </w:rPr>
      </w:pPr>
      <w:r>
        <w:rPr>
          <w:rFonts w:hint="eastAsia" w:ascii="宋体" w:hAnsi="宋体" w:cs="宋体"/>
          <w:b/>
          <w:sz w:val="28"/>
          <w:szCs w:val="28"/>
        </w:rPr>
      </w:r>
      <w:r/>
    </w:p>
    <w:p>
      <w:pPr>
        <w:jc w:val="center"/>
        <w:spacing w:line="400" w:lineRule="exact"/>
        <w:rPr>
          <w:rFonts w:hint="eastAsia" w:ascii="宋体" w:hAnsi="宋体" w:cs="宋体"/>
          <w:b/>
          <w:sz w:val="28"/>
          <w:szCs w:val="28"/>
        </w:rPr>
      </w:pPr>
      <w:r>
        <w:rPr>
          <w:rFonts w:hint="eastAsia" w:ascii="宋体" w:hAnsi="宋体" w:cs="宋体"/>
          <w:b/>
          <w:sz w:val="28"/>
          <w:szCs w:val="28"/>
        </w:rPr>
      </w:r>
      <w:r/>
    </w:p>
    <w:p>
      <w:pPr>
        <w:jc w:val="center"/>
        <w:spacing w:line="400" w:lineRule="exact"/>
        <w:rPr>
          <w:rFonts w:hint="eastAsia" w:ascii="宋体" w:hAnsi="宋体" w:cs="宋体"/>
          <w:b/>
          <w:sz w:val="28"/>
          <w:szCs w:val="28"/>
        </w:rPr>
      </w:pPr>
      <w:r>
        <w:rPr>
          <w:rFonts w:hint="eastAsia" w:ascii="宋体" w:hAnsi="宋体" w:cs="宋体"/>
          <w:b/>
          <w:sz w:val="28"/>
          <w:szCs w:val="28"/>
        </w:rPr>
      </w:r>
      <w:r/>
    </w:p>
    <w:p>
      <w:pPr>
        <w:jc w:val="center"/>
        <w:spacing w:line="400" w:lineRule="exact"/>
        <w:rPr>
          <w:rFonts w:hint="eastAsia" w:ascii="宋体" w:hAnsi="宋体" w:cs="宋体"/>
          <w:b/>
          <w:sz w:val="28"/>
          <w:szCs w:val="28"/>
        </w:rPr>
      </w:pPr>
      <w:r>
        <w:rPr>
          <w:rFonts w:hint="eastAsia" w:ascii="宋体" w:hAnsi="宋体" w:cs="宋体"/>
          <w:b/>
          <w:sz w:val="28"/>
          <w:szCs w:val="28"/>
        </w:rPr>
      </w:r>
      <w:r/>
    </w:p>
    <w:p>
      <w:pPr>
        <w:jc w:val="center"/>
        <w:spacing w:line="400" w:lineRule="exact"/>
        <w:rPr>
          <w:rFonts w:hint="eastAsia" w:ascii="宋体" w:hAnsi="宋体" w:cs="宋体"/>
          <w:b/>
          <w:sz w:val="28"/>
          <w:szCs w:val="28"/>
        </w:rPr>
      </w:pPr>
      <w:r>
        <w:rPr>
          <w:rFonts w:hint="eastAsia" w:ascii="宋体" w:hAnsi="宋体" w:cs="宋体"/>
          <w:b/>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关于符合本国产品标准的声明函（采购包号：XX）</w:t>
      </w:r>
      <w:r/>
    </w:p>
    <w:p>
      <w:pPr>
        <w:pStyle w:val="957"/>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966"/>
          <w:rFonts w:hint="eastAsia" w:ascii="方正仿宋_GBK" w:hAnsi="方正仿宋_GBK" w:eastAsia="方正仿宋_GBK" w:cs="方正仿宋_GBK"/>
          <w:i w:val="0"/>
          <w:sz w:val="28"/>
          <w:szCs w:val="28"/>
          <w:u w:val="single"/>
          <w:shd w:val="clear" w:color="auto" w:fill="ffffff"/>
        </w:rPr>
        <w:t xml:space="preserve">（产品名称1）</w:t>
      </w:r>
      <w:r>
        <w:rPr>
          <w:rStyle w:val="966"/>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966"/>
          <w:rFonts w:hint="eastAsia" w:ascii="方正仿宋_GBK" w:hAnsi="方正仿宋_GBK" w:eastAsia="方正仿宋_GBK" w:cs="方正仿宋_GBK"/>
          <w:i w:val="0"/>
          <w:sz w:val="28"/>
          <w:szCs w:val="28"/>
          <w:u w:val="single"/>
          <w:shd w:val="clear" w:color="auto" w:fill="ffffff"/>
        </w:rPr>
        <w:t xml:space="preserve">（厂名）</w:t>
      </w:r>
      <w:r>
        <w:rPr>
          <w:rStyle w:val="966"/>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966"/>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966"/>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966"/>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966"/>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7"/>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p>
    <w:p>
      <w:pPr>
        <w:pStyle w:val="957"/>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附件14   提供服务的人员均为订立劳动合同的从业人员的书面声明</w:t>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（采购包号：XX）</w:t>
      </w:r>
      <w:r/>
    </w:p>
    <w:p>
      <w:pPr>
        <w:pStyle w:val="957"/>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本企业（本联合体，如项目采购包接受联合体参加的）</w:t>
      </w:r>
      <w:r>
        <w:rPr>
          <w:rFonts w:ascii="方正仿宋_GBK" w:hAnsi="方正仿宋_GBK" w:eastAsia="方正仿宋_GBK" w:cs="方正仿宋_GBK"/>
          <w:sz w:val="28"/>
          <w:szCs w:val="28"/>
          <w:shd w:val="clear" w:color="auto" w:fill="ffffff"/>
        </w:rPr>
        <w:t xml:space="preserve">参加</w:t>
      </w:r>
      <w:r>
        <w:rPr>
          <w:rFonts w:hint="eastAsia" w:ascii="方正仿宋_GBK" w:hAnsi="方正仿宋_GBK" w:eastAsia="方正仿宋_GBK" w:cs="方正仿宋_GBK"/>
          <w:sz w:val="28"/>
          <w:szCs w:val="28"/>
          <w:shd w:val="clear" w:color="auto" w:fill="ffffff"/>
        </w:rPr>
        <w:t xml:space="preserve">中心</w:t>
      </w:r>
      <w:r>
        <w:rPr>
          <w:rFonts w:ascii="方正仿宋_GBK" w:hAnsi="方正仿宋_GBK" w:eastAsia="方正仿宋_GBK" w:cs="方正仿宋_GBK"/>
          <w:sz w:val="28"/>
          <w:szCs w:val="28"/>
          <w:shd w:val="clear" w:color="auto" w:fill="ffffff"/>
        </w:rPr>
        <w:t xml:space="preserve">组织的项目编号为JSZC-320000-SCZX-</w:t>
      </w:r>
      <w:r>
        <w:rPr>
          <w:rFonts w:hint="eastAsia" w:ascii="方正仿宋_GBK" w:hAnsi="方正仿宋_GBK" w:eastAsia="方正仿宋_GBK" w:cs="方正仿宋_GBK"/>
          <w:sz w:val="28"/>
          <w:szCs w:val="28"/>
          <w:shd w:val="clear" w:color="auto" w:fill="ffffff"/>
        </w:rPr>
        <w:t xml:space="preserve">G（C、T、K）</w:t>
      </w:r>
      <w:r>
        <w:rPr>
          <w:rFonts w:ascii="方正仿宋_GBK" w:hAnsi="方正仿宋_GBK" w:eastAsia="方正仿宋_GBK" w:cs="方正仿宋_GBK"/>
          <w:sz w:val="28"/>
          <w:szCs w:val="28"/>
          <w:shd w:val="clear" w:color="auto" w:fill="ffffff"/>
        </w:rPr>
        <w:t xml:space="preserve">20XX-XXXX，XXXX（项目名称）（采购包号：XX）项目采购活动</w:t>
      </w:r>
      <w:r>
        <w:rPr>
          <w:rFonts w:hint="eastAsia" w:ascii="方正仿宋_GBK" w:hAnsi="方正仿宋_GBK" w:eastAsia="方正仿宋_GBK" w:cs="方正仿宋_GBK"/>
          <w:sz w:val="28"/>
          <w:szCs w:val="28"/>
          <w:shd w:val="clear" w:color="auto" w:fill="ffffff"/>
        </w:rPr>
        <w:t xml:space="preserve">，根据</w:t>
      </w:r>
      <w:r>
        <w:rPr>
          <w:rFonts w:ascii="方正仿宋_GBK" w:hAnsi="方正仿宋_GBK" w:eastAsia="方正仿宋_GBK" w:cs="方正仿宋_GBK"/>
          <w:sz w:val="28"/>
          <w:szCs w:val="28"/>
          <w:shd w:val="clear" w:color="auto" w:fill="ffffff"/>
        </w:rPr>
        <w:t xml:space="preserve">《政府采购促进中小企业发展管理办法》</w:t>
      </w:r>
      <w:r>
        <w:rPr>
          <w:rFonts w:hint="eastAsia" w:ascii="方正仿宋_GBK" w:hAnsi="方正仿宋_GBK" w:eastAsia="方正仿宋_GBK" w:cs="方正仿宋_GBK"/>
          <w:sz w:val="28"/>
          <w:szCs w:val="28"/>
          <w:shd w:val="clear" w:color="auto" w:fill="ffffff"/>
        </w:rPr>
        <w:t xml:space="preserve">第四条规定</w:t>
      </w:r>
      <w:r>
        <w:rPr>
          <w:rFonts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shd w:val="clear" w:color="auto" w:fill="ffffff"/>
        </w:rPr>
        <w:t xml:space="preserve">本企业（本联合体，如项目采购包接受联合体参加的）</w:t>
      </w:r>
      <w:r>
        <w:rPr>
          <w:rFonts w:ascii="方正仿宋_GBK" w:hAnsi="方正仿宋_GBK" w:eastAsia="方正仿宋_GBK" w:cs="方正仿宋_GBK"/>
          <w:sz w:val="28"/>
          <w:szCs w:val="28"/>
          <w:shd w:val="clear" w:color="auto" w:fill="ffffff"/>
        </w:rPr>
        <w:t xml:space="preserve">郑重声明</w:t>
      </w:r>
      <w:r>
        <w:rPr>
          <w:rFonts w:hint="eastAsia" w:ascii="方正仿宋_GBK" w:hAnsi="方正仿宋_GBK" w:eastAsia="方正仿宋_GBK" w:cs="方正仿宋_GBK"/>
          <w:sz w:val="28"/>
          <w:szCs w:val="28"/>
          <w:shd w:val="clear" w:color="auto" w:fill="ffffff"/>
        </w:rPr>
        <w:t xml:space="preserve">：如服务由本企业（本联合体，如项目采购包接受联合体参加的）承接，为本项目采购包提供服务的人员均为依照《中华人民共和国劳动合同法》订立劳动合同的从业人员。</w:t>
      </w:r>
      <w:r/>
    </w:p>
    <w:p>
      <w:pPr>
        <w:pStyle w:val="957"/>
        <w:ind w:firstLine="560"/>
        <w:spacing w:before="30" w:beforeAutospacing="0" w:after="30" w:afterAutospacing="0" w:line="400" w:lineRule="exact"/>
        <w:rPr>
          <w:rFonts w:hint="eastAsia"/>
        </w:rPr>
      </w:pPr>
      <w:r>
        <w:rPr>
          <w:rFonts w:ascii="方正仿宋_GBK" w:hAnsi="方正仿宋_GBK" w:eastAsia="方正仿宋_GBK" w:cs="方正仿宋_GBK"/>
          <w:sz w:val="28"/>
          <w:szCs w:val="28"/>
          <w:shd w:val="clear" w:color="auto" w:fill="ffffff"/>
        </w:rPr>
        <w:t xml:space="preserve">本</w:t>
      </w:r>
      <w:r>
        <w:rPr>
          <w:rFonts w:hint="eastAsia" w:ascii="方正仿宋_GBK" w:hAnsi="方正仿宋_GBK" w:eastAsia="方正仿宋_GBK" w:cs="方正仿宋_GBK"/>
          <w:sz w:val="28"/>
          <w:szCs w:val="28"/>
          <w:shd w:val="clear" w:color="auto" w:fill="ffffff"/>
        </w:rPr>
        <w:t xml:space="preserve">企业（联合体）</w:t>
      </w:r>
      <w:r>
        <w:rPr>
          <w:rFonts w:ascii="方正仿宋_GBK" w:hAnsi="方正仿宋_GBK" w:eastAsia="方正仿宋_GBK" w:cs="方正仿宋_GBK"/>
          <w:sz w:val="28"/>
          <w:szCs w:val="28"/>
          <w:shd w:val="clear" w:color="auto" w:fill="ffffff"/>
        </w:rPr>
        <w:t xml:space="preserve">对上述声明的真实性负责。如有虚假，将依法承担相应责任。</w:t>
      </w:r>
      <w:r/>
    </w:p>
    <w:p>
      <w:pPr>
        <w:rPr>
          <w:rFonts w:hint="eastAsia" w:ascii="方正黑体_GBK" w:hAnsi="方正黑体_GBK" w:eastAsia="方正黑体_GBK" w:cs="方正黑体_GBK"/>
          <w:b/>
          <w:bCs/>
        </w:rPr>
      </w:pPr>
      <w:r>
        <w:rPr>
          <w:rFonts w:hint="eastAsia" w:ascii="方正黑体_GBK" w:hAnsi="方正黑体_GBK" w:eastAsia="方正黑体_GBK" w:cs="方正黑体_GBK"/>
          <w:b/>
          <w:bCs/>
          <w:color w:val="333333"/>
          <w:sz w:val="32"/>
          <w:szCs w:val="32"/>
        </w:rPr>
        <w:t xml:space="preserve">注：专门面向中小微型企业采购的采购项目采购包，投标人（供应商）未提供该书面声明的，投标（响应）无效。</w:t>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sz w:val="28"/>
          <w:szCs w:val="28"/>
        </w:rPr>
      </w:pPr>
      <w:r>
        <w:rPr>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bookmarkEnd w:id="157"/>
      <w:r/>
      <w:bookmarkEnd w:id="158"/>
      <w:r/>
      <w:bookmarkEnd w:id="169"/>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p>
    <w:p>
      <w:pPr>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931"/>
        <w:spacing w:line="400" w:lineRule="exact"/>
        <w:rPr>
          <w:sz w:val="28"/>
          <w:szCs w:val="28"/>
        </w:rPr>
      </w:pPr>
      <w:r>
        <w:rPr>
          <w:sz w:val="28"/>
          <w:szCs w:val="28"/>
        </w:rPr>
      </w:r>
      <w:r/>
    </w:p>
    <w:p>
      <w:pPr>
        <w:pStyle w:val="931"/>
        <w:rPr>
          <w:sz w:val="24"/>
          <w:szCs w:val="24"/>
        </w:rPr>
      </w:pPr>
      <w:r>
        <w:rPr>
          <w:sz w:val="24"/>
          <w:szCs w:val="24"/>
        </w:rPr>
      </w:r>
      <w:r/>
    </w:p>
    <w:p>
      <w:r/>
      <w:r/>
    </w:p>
    <w:p>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方正仿宋_GB2312">
    <w:panose1 w:val="020B0503020202020204"/>
  </w:font>
  <w:font w:name="Verdana">
    <w:panose1 w:val="020B0604030504040204"/>
  </w:font>
  <w:font w:name="幼圆">
    <w:panose1 w:val="02010509060101010101"/>
  </w:font>
  <w:font w:name="黑体">
    <w:panose1 w:val="02010609060101010101"/>
  </w:font>
  <w:font w:name="仿宋">
    <w:panose1 w:val="02010609060101010101"/>
  </w:font>
  <w:font w:name="方正楷体_GB2312">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7"/>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7"/>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p>
  <w:p>
    <w:pPr>
      <w:pStyle w:val="9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7"/>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7"/>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txbxContent>
              </v:textbox>
            </v:shape>
          </w:pict>
        </mc:Fallback>
      </mc:AlternateContent>
    </w:r>
    <w:r/>
  </w:p>
  <w:p>
    <w:pPr>
      <w:pStyle w:val="9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10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920" w:hanging="360"/>
      </w:pPr>
      <w:rPr>
        <w:rFonts w:hint="default"/>
      </w:rPr>
    </w:lvl>
    <w:lvl w:ilvl="1">
      <w:start w:val="1"/>
      <w:numFmt w:val="lowerLetter"/>
      <w:isLgl w:val="false"/>
      <w:suff w:val="tab"/>
      <w:lvlText w:val="%2)"/>
      <w:lvlJc w:val="left"/>
      <w:pPr>
        <w:ind w:left="1440" w:hanging="440"/>
      </w:pPr>
    </w:lvl>
    <w:lvl w:ilvl="2">
      <w:start w:val="1"/>
      <w:numFmt w:val="lowerRoman"/>
      <w:isLgl w:val="false"/>
      <w:suff w:val="tab"/>
      <w:lvlText w:val="%3."/>
      <w:lvlJc w:val="right"/>
      <w:pPr>
        <w:ind w:left="1880" w:hanging="440"/>
      </w:pPr>
    </w:lvl>
    <w:lvl w:ilvl="3">
      <w:start w:val="1"/>
      <w:numFmt w:val="decimal"/>
      <w:isLgl w:val="false"/>
      <w:suff w:val="tab"/>
      <w:lvlText w:val="%4."/>
      <w:lvlJc w:val="left"/>
      <w:pPr>
        <w:ind w:left="2320" w:hanging="440"/>
      </w:pPr>
    </w:lvl>
    <w:lvl w:ilvl="4">
      <w:start w:val="1"/>
      <w:numFmt w:val="lowerLetter"/>
      <w:isLgl w:val="false"/>
      <w:suff w:val="tab"/>
      <w:lvlText w:val="%5)"/>
      <w:lvlJc w:val="left"/>
      <w:pPr>
        <w:ind w:left="2760" w:hanging="440"/>
      </w:pPr>
    </w:lvl>
    <w:lvl w:ilvl="5">
      <w:start w:val="1"/>
      <w:numFmt w:val="lowerRoman"/>
      <w:isLgl w:val="false"/>
      <w:suff w:val="tab"/>
      <w:lvlText w:val="%6."/>
      <w:lvlJc w:val="right"/>
      <w:pPr>
        <w:ind w:left="3200" w:hanging="440"/>
      </w:pPr>
    </w:lvl>
    <w:lvl w:ilvl="6">
      <w:start w:val="1"/>
      <w:numFmt w:val="decimal"/>
      <w:isLgl w:val="false"/>
      <w:suff w:val="tab"/>
      <w:lvlText w:val="%7."/>
      <w:lvlJc w:val="left"/>
      <w:pPr>
        <w:ind w:left="3640" w:hanging="440"/>
      </w:pPr>
    </w:lvl>
    <w:lvl w:ilvl="7">
      <w:start w:val="1"/>
      <w:numFmt w:val="lowerLetter"/>
      <w:isLgl w:val="false"/>
      <w:suff w:val="tab"/>
      <w:lvlText w:val="%8)"/>
      <w:lvlJc w:val="left"/>
      <w:pPr>
        <w:ind w:left="4080" w:hanging="440"/>
      </w:pPr>
    </w:lvl>
    <w:lvl w:ilvl="8">
      <w:start w:val="1"/>
      <w:numFmt w:val="lowerRoman"/>
      <w:isLgl w:val="false"/>
      <w:suff w:val="tab"/>
      <w:lvlText w:val="%9."/>
      <w:lvlJc w:val="right"/>
      <w:pPr>
        <w:ind w:left="4520" w:hanging="440"/>
      </w:pPr>
    </w:lvl>
  </w:abstractNum>
  <w:abstractNum w:abstractNumId="2">
    <w:multiLevelType w:val="hybridMultilevel"/>
    <w:lvl w:ilvl="0">
      <w:start w:val="1"/>
      <w:numFmt w:val="upperLetter"/>
      <w:pStyle w:val="10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05"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EnclosedCircle"/>
      <w:isLgl w:val="false"/>
      <w:suff w:val="tab"/>
      <w:lvlText w:val="%1"/>
      <w:lvlJc w:val="left"/>
      <w:pPr>
        <w:ind w:left="920" w:hanging="360"/>
      </w:pPr>
      <w:rPr>
        <w:rFonts w:hint="default"/>
      </w:rPr>
    </w:lvl>
    <w:lvl w:ilvl="1">
      <w:start w:val="1"/>
      <w:numFmt w:val="lowerLetter"/>
      <w:isLgl w:val="false"/>
      <w:suff w:val="tab"/>
      <w:lvlText w:val="%2)"/>
      <w:lvlJc w:val="left"/>
      <w:pPr>
        <w:ind w:left="1440" w:hanging="440"/>
      </w:pPr>
    </w:lvl>
    <w:lvl w:ilvl="2">
      <w:start w:val="1"/>
      <w:numFmt w:val="lowerRoman"/>
      <w:isLgl w:val="false"/>
      <w:suff w:val="tab"/>
      <w:lvlText w:val="%3."/>
      <w:lvlJc w:val="right"/>
      <w:pPr>
        <w:ind w:left="1880" w:hanging="440"/>
      </w:pPr>
    </w:lvl>
    <w:lvl w:ilvl="3">
      <w:start w:val="1"/>
      <w:numFmt w:val="decimal"/>
      <w:isLgl w:val="false"/>
      <w:suff w:val="tab"/>
      <w:lvlText w:val="%4."/>
      <w:lvlJc w:val="left"/>
      <w:pPr>
        <w:ind w:left="2320" w:hanging="440"/>
      </w:pPr>
    </w:lvl>
    <w:lvl w:ilvl="4">
      <w:start w:val="1"/>
      <w:numFmt w:val="lowerLetter"/>
      <w:isLgl w:val="false"/>
      <w:suff w:val="tab"/>
      <w:lvlText w:val="%5)"/>
      <w:lvlJc w:val="left"/>
      <w:pPr>
        <w:ind w:left="2760" w:hanging="440"/>
      </w:pPr>
    </w:lvl>
    <w:lvl w:ilvl="5">
      <w:start w:val="1"/>
      <w:numFmt w:val="lowerRoman"/>
      <w:isLgl w:val="false"/>
      <w:suff w:val="tab"/>
      <w:lvlText w:val="%6."/>
      <w:lvlJc w:val="right"/>
      <w:pPr>
        <w:ind w:left="3200" w:hanging="440"/>
      </w:pPr>
    </w:lvl>
    <w:lvl w:ilvl="6">
      <w:start w:val="1"/>
      <w:numFmt w:val="decimal"/>
      <w:isLgl w:val="false"/>
      <w:suff w:val="tab"/>
      <w:lvlText w:val="%7."/>
      <w:lvlJc w:val="left"/>
      <w:pPr>
        <w:ind w:left="3640" w:hanging="440"/>
      </w:pPr>
    </w:lvl>
    <w:lvl w:ilvl="7">
      <w:start w:val="1"/>
      <w:numFmt w:val="lowerLetter"/>
      <w:isLgl w:val="false"/>
      <w:suff w:val="tab"/>
      <w:lvlText w:val="%8)"/>
      <w:lvlJc w:val="left"/>
      <w:pPr>
        <w:ind w:left="4080" w:hanging="440"/>
      </w:pPr>
    </w:lvl>
    <w:lvl w:ilvl="8">
      <w:start w:val="1"/>
      <w:numFmt w:val="lowerRoman"/>
      <w:isLgl w:val="false"/>
      <w:suff w:val="tab"/>
      <w:lvlText w:val="%9."/>
      <w:lvlJc w:val="right"/>
      <w:pPr>
        <w:ind w:left="4520" w:hanging="440"/>
      </w:pPr>
    </w:lvl>
  </w:abstractNum>
  <w:abstractNum w:abstractNumId="6">
    <w:multiLevelType w:val="hybridMultilevel"/>
    <w:lvl w:ilvl="0">
      <w:start w:val="1"/>
      <w:numFmt w:val="decimalEnclosedCircle"/>
      <w:isLgl w:val="false"/>
      <w:suff w:val="tab"/>
      <w:lvlText w:val="%1"/>
      <w:lvlJc w:val="left"/>
      <w:pPr>
        <w:ind w:left="920" w:hanging="360"/>
      </w:pPr>
      <w:rPr>
        <w:rFonts w:hint="default"/>
      </w:rPr>
    </w:lvl>
    <w:lvl w:ilvl="1">
      <w:start w:val="1"/>
      <w:numFmt w:val="lowerLetter"/>
      <w:isLgl w:val="false"/>
      <w:suff w:val="tab"/>
      <w:lvlText w:val="%2)"/>
      <w:lvlJc w:val="left"/>
      <w:pPr>
        <w:ind w:left="1440" w:hanging="440"/>
      </w:pPr>
    </w:lvl>
    <w:lvl w:ilvl="2">
      <w:start w:val="1"/>
      <w:numFmt w:val="lowerRoman"/>
      <w:isLgl w:val="false"/>
      <w:suff w:val="tab"/>
      <w:lvlText w:val="%3."/>
      <w:lvlJc w:val="right"/>
      <w:pPr>
        <w:ind w:left="1880" w:hanging="440"/>
      </w:pPr>
    </w:lvl>
    <w:lvl w:ilvl="3">
      <w:start w:val="1"/>
      <w:numFmt w:val="decimal"/>
      <w:isLgl w:val="false"/>
      <w:suff w:val="tab"/>
      <w:lvlText w:val="%4."/>
      <w:lvlJc w:val="left"/>
      <w:pPr>
        <w:ind w:left="2320" w:hanging="440"/>
      </w:pPr>
    </w:lvl>
    <w:lvl w:ilvl="4">
      <w:start w:val="1"/>
      <w:numFmt w:val="lowerLetter"/>
      <w:isLgl w:val="false"/>
      <w:suff w:val="tab"/>
      <w:lvlText w:val="%5)"/>
      <w:lvlJc w:val="left"/>
      <w:pPr>
        <w:ind w:left="2760" w:hanging="440"/>
      </w:pPr>
    </w:lvl>
    <w:lvl w:ilvl="5">
      <w:start w:val="1"/>
      <w:numFmt w:val="lowerRoman"/>
      <w:isLgl w:val="false"/>
      <w:suff w:val="tab"/>
      <w:lvlText w:val="%6."/>
      <w:lvlJc w:val="right"/>
      <w:pPr>
        <w:ind w:left="3200" w:hanging="440"/>
      </w:pPr>
    </w:lvl>
    <w:lvl w:ilvl="6">
      <w:start w:val="1"/>
      <w:numFmt w:val="decimal"/>
      <w:isLgl w:val="false"/>
      <w:suff w:val="tab"/>
      <w:lvlText w:val="%7."/>
      <w:lvlJc w:val="left"/>
      <w:pPr>
        <w:ind w:left="3640" w:hanging="440"/>
      </w:pPr>
    </w:lvl>
    <w:lvl w:ilvl="7">
      <w:start w:val="1"/>
      <w:numFmt w:val="lowerLetter"/>
      <w:isLgl w:val="false"/>
      <w:suff w:val="tab"/>
      <w:lvlText w:val="%8)"/>
      <w:lvlJc w:val="left"/>
      <w:pPr>
        <w:ind w:left="4080" w:hanging="440"/>
      </w:pPr>
    </w:lvl>
    <w:lvl w:ilvl="8">
      <w:start w:val="1"/>
      <w:numFmt w:val="lowerRoman"/>
      <w:isLgl w:val="false"/>
      <w:suff w:val="tab"/>
      <w:lvlText w:val="%9."/>
      <w:lvlJc w:val="right"/>
      <w:pPr>
        <w:ind w:left="4520" w:hanging="440"/>
      </w:p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24"/>
      <w:isLgl w:val="false"/>
      <w:suff w:val="nothing"/>
      <w:lvlText w:val=""/>
      <w:lvlJc w:val="left"/>
      <w:pPr>
        <w:ind w:left="0" w:firstLine="0"/>
      </w:pPr>
      <w:rPr>
        <w:rFonts w:hint="eastAsia"/>
      </w:rPr>
    </w:lvl>
    <w:lvl w:ilvl="6">
      <w:start w:val="1"/>
      <w:numFmt w:val="none"/>
      <w:pStyle w:val="925"/>
      <w:isLgl w:val="false"/>
      <w:suff w:val="nothing"/>
      <w:lvlText w:val=""/>
      <w:lvlJc w:val="left"/>
      <w:pPr>
        <w:ind w:left="0" w:firstLine="0"/>
      </w:pPr>
      <w:rPr>
        <w:rFonts w:hint="eastAsia"/>
      </w:rPr>
    </w:lvl>
    <w:lvl w:ilvl="7">
      <w:start w:val="1"/>
      <w:numFmt w:val="none"/>
      <w:pStyle w:val="926"/>
      <w:isLgl w:val="false"/>
      <w:suff w:val="nothing"/>
      <w:lvlText w:val=""/>
      <w:lvlJc w:val="left"/>
      <w:pPr>
        <w:ind w:left="0" w:firstLine="0"/>
      </w:pPr>
      <w:rPr>
        <w:rFonts w:hint="eastAsia"/>
      </w:rPr>
    </w:lvl>
    <w:lvl w:ilvl="8">
      <w:start w:val="1"/>
      <w:numFmt w:val="none"/>
      <w:pStyle w:val="927"/>
      <w:isLgl w:val="false"/>
      <w:suff w:val="nothing"/>
      <w:lvlText w:val=""/>
      <w:lvlJc w:val="left"/>
      <w:pPr>
        <w:ind w:left="0" w:firstLine="0"/>
      </w:pPr>
      <w:rPr>
        <w:rFonts w:hint="eastAsia"/>
      </w:rPr>
    </w:lvl>
  </w:abstractNum>
  <w:abstractNum w:abstractNumId="8">
    <w:multiLevelType w:val="hybridMultilevel"/>
    <w:lvl w:ilvl="0">
      <w:start w:val="4"/>
      <w:numFmt w:val="decimalEnclosedCircle"/>
      <w:isLgl w:val="false"/>
      <w:suff w:val="tab"/>
      <w:lvlText w:val="%1"/>
      <w:lvlJc w:val="left"/>
      <w:pPr>
        <w:ind w:left="920" w:hanging="360"/>
      </w:pPr>
      <w:rPr>
        <w:rFonts w:hint="default"/>
      </w:rPr>
    </w:lvl>
    <w:lvl w:ilvl="1">
      <w:start w:val="1"/>
      <w:numFmt w:val="lowerLetter"/>
      <w:isLgl w:val="false"/>
      <w:suff w:val="tab"/>
      <w:lvlText w:val="%2)"/>
      <w:lvlJc w:val="left"/>
      <w:pPr>
        <w:ind w:left="1440" w:hanging="440"/>
      </w:pPr>
    </w:lvl>
    <w:lvl w:ilvl="2">
      <w:start w:val="1"/>
      <w:numFmt w:val="lowerRoman"/>
      <w:isLgl w:val="false"/>
      <w:suff w:val="tab"/>
      <w:lvlText w:val="%3."/>
      <w:lvlJc w:val="right"/>
      <w:pPr>
        <w:ind w:left="1880" w:hanging="440"/>
      </w:pPr>
    </w:lvl>
    <w:lvl w:ilvl="3">
      <w:start w:val="1"/>
      <w:numFmt w:val="decimal"/>
      <w:isLgl w:val="false"/>
      <w:suff w:val="tab"/>
      <w:lvlText w:val="%4."/>
      <w:lvlJc w:val="left"/>
      <w:pPr>
        <w:ind w:left="2320" w:hanging="440"/>
      </w:pPr>
    </w:lvl>
    <w:lvl w:ilvl="4">
      <w:start w:val="1"/>
      <w:numFmt w:val="lowerLetter"/>
      <w:isLgl w:val="false"/>
      <w:suff w:val="tab"/>
      <w:lvlText w:val="%5)"/>
      <w:lvlJc w:val="left"/>
      <w:pPr>
        <w:ind w:left="2760" w:hanging="440"/>
      </w:pPr>
    </w:lvl>
    <w:lvl w:ilvl="5">
      <w:start w:val="1"/>
      <w:numFmt w:val="lowerRoman"/>
      <w:isLgl w:val="false"/>
      <w:suff w:val="tab"/>
      <w:lvlText w:val="%6."/>
      <w:lvlJc w:val="right"/>
      <w:pPr>
        <w:ind w:left="3200" w:hanging="440"/>
      </w:pPr>
    </w:lvl>
    <w:lvl w:ilvl="6">
      <w:start w:val="1"/>
      <w:numFmt w:val="decimal"/>
      <w:isLgl w:val="false"/>
      <w:suff w:val="tab"/>
      <w:lvlText w:val="%7."/>
      <w:lvlJc w:val="left"/>
      <w:pPr>
        <w:ind w:left="3640" w:hanging="440"/>
      </w:pPr>
    </w:lvl>
    <w:lvl w:ilvl="7">
      <w:start w:val="1"/>
      <w:numFmt w:val="lowerLetter"/>
      <w:isLgl w:val="false"/>
      <w:suff w:val="tab"/>
      <w:lvlText w:val="%8)"/>
      <w:lvlJc w:val="left"/>
      <w:pPr>
        <w:ind w:left="4080" w:hanging="440"/>
      </w:pPr>
    </w:lvl>
    <w:lvl w:ilvl="8">
      <w:start w:val="1"/>
      <w:numFmt w:val="lowerRoman"/>
      <w:isLgl w:val="false"/>
      <w:suff w:val="tab"/>
      <w:lvlText w:val="%9."/>
      <w:lvlJc w:val="right"/>
      <w:pPr>
        <w:ind w:left="4520" w:hanging="440"/>
      </w:pPr>
    </w:lvl>
  </w:abstractNum>
  <w:abstractNum w:abstractNumId="9">
    <w:multiLevelType w:val="hybridMultilevel"/>
    <w:lvl w:ilvl="0">
      <w:start w:val="1"/>
      <w:numFmt w:val="decimalEnclosedCircle"/>
      <w:isLgl w:val="false"/>
      <w:suff w:val="tab"/>
      <w:lvlText w:val="%1"/>
      <w:lvlJc w:val="left"/>
      <w:pPr>
        <w:ind w:left="920" w:hanging="360"/>
      </w:pPr>
      <w:rPr>
        <w:rFonts w:hint="default"/>
      </w:rPr>
    </w:lvl>
    <w:lvl w:ilvl="1">
      <w:start w:val="1"/>
      <w:numFmt w:val="lowerLetter"/>
      <w:isLgl w:val="false"/>
      <w:suff w:val="tab"/>
      <w:lvlText w:val="%2)"/>
      <w:lvlJc w:val="left"/>
      <w:pPr>
        <w:ind w:left="1440" w:hanging="440"/>
      </w:pPr>
    </w:lvl>
    <w:lvl w:ilvl="2">
      <w:start w:val="1"/>
      <w:numFmt w:val="lowerRoman"/>
      <w:isLgl w:val="false"/>
      <w:suff w:val="tab"/>
      <w:lvlText w:val="%3."/>
      <w:lvlJc w:val="right"/>
      <w:pPr>
        <w:ind w:left="1880" w:hanging="440"/>
      </w:pPr>
    </w:lvl>
    <w:lvl w:ilvl="3">
      <w:start w:val="1"/>
      <w:numFmt w:val="decimal"/>
      <w:isLgl w:val="false"/>
      <w:suff w:val="tab"/>
      <w:lvlText w:val="%4."/>
      <w:lvlJc w:val="left"/>
      <w:pPr>
        <w:ind w:left="2320" w:hanging="440"/>
      </w:pPr>
    </w:lvl>
    <w:lvl w:ilvl="4">
      <w:start w:val="1"/>
      <w:numFmt w:val="lowerLetter"/>
      <w:isLgl w:val="false"/>
      <w:suff w:val="tab"/>
      <w:lvlText w:val="%5)"/>
      <w:lvlJc w:val="left"/>
      <w:pPr>
        <w:ind w:left="2760" w:hanging="440"/>
      </w:pPr>
    </w:lvl>
    <w:lvl w:ilvl="5">
      <w:start w:val="1"/>
      <w:numFmt w:val="lowerRoman"/>
      <w:isLgl w:val="false"/>
      <w:suff w:val="tab"/>
      <w:lvlText w:val="%6."/>
      <w:lvlJc w:val="right"/>
      <w:pPr>
        <w:ind w:left="3200" w:hanging="440"/>
      </w:pPr>
    </w:lvl>
    <w:lvl w:ilvl="6">
      <w:start w:val="1"/>
      <w:numFmt w:val="decimal"/>
      <w:isLgl w:val="false"/>
      <w:suff w:val="tab"/>
      <w:lvlText w:val="%7."/>
      <w:lvlJc w:val="left"/>
      <w:pPr>
        <w:ind w:left="3640" w:hanging="440"/>
      </w:pPr>
    </w:lvl>
    <w:lvl w:ilvl="7">
      <w:start w:val="1"/>
      <w:numFmt w:val="lowerLetter"/>
      <w:isLgl w:val="false"/>
      <w:suff w:val="tab"/>
      <w:lvlText w:val="%8)"/>
      <w:lvlJc w:val="left"/>
      <w:pPr>
        <w:ind w:left="4080" w:hanging="440"/>
      </w:pPr>
    </w:lvl>
    <w:lvl w:ilvl="8">
      <w:start w:val="1"/>
      <w:numFmt w:val="lowerRoman"/>
      <w:isLgl w:val="false"/>
      <w:suff w:val="tab"/>
      <w:lvlText w:val="%9."/>
      <w:lvlJc w:val="right"/>
      <w:pPr>
        <w:ind w:left="4520" w:hanging="440"/>
      </w:pPr>
    </w:lvl>
  </w:abstractNum>
  <w:abstractNum w:abstractNumId="10">
    <w:multiLevelType w:val="hybridMultilevel"/>
    <w:lvl w:ilvl="0">
      <w:start w:val="1"/>
      <w:numFmt w:val="decimalEnclosedCircle"/>
      <w:isLgl w:val="false"/>
      <w:suff w:val="tab"/>
      <w:lvlText w:val="%1"/>
      <w:lvlJc w:val="left"/>
      <w:pPr>
        <w:ind w:left="920" w:hanging="360"/>
      </w:pPr>
      <w:rPr>
        <w:rFonts w:hint="default"/>
      </w:rPr>
    </w:lvl>
    <w:lvl w:ilvl="1">
      <w:start w:val="1"/>
      <w:numFmt w:val="lowerLetter"/>
      <w:isLgl w:val="false"/>
      <w:suff w:val="tab"/>
      <w:lvlText w:val="%2)"/>
      <w:lvlJc w:val="left"/>
      <w:pPr>
        <w:ind w:left="1440" w:hanging="440"/>
      </w:pPr>
    </w:lvl>
    <w:lvl w:ilvl="2">
      <w:start w:val="1"/>
      <w:numFmt w:val="lowerRoman"/>
      <w:isLgl w:val="false"/>
      <w:suff w:val="tab"/>
      <w:lvlText w:val="%3."/>
      <w:lvlJc w:val="right"/>
      <w:pPr>
        <w:ind w:left="1880" w:hanging="440"/>
      </w:pPr>
    </w:lvl>
    <w:lvl w:ilvl="3">
      <w:start w:val="1"/>
      <w:numFmt w:val="decimal"/>
      <w:isLgl w:val="false"/>
      <w:suff w:val="tab"/>
      <w:lvlText w:val="%4."/>
      <w:lvlJc w:val="left"/>
      <w:pPr>
        <w:ind w:left="2320" w:hanging="440"/>
      </w:pPr>
    </w:lvl>
    <w:lvl w:ilvl="4">
      <w:start w:val="1"/>
      <w:numFmt w:val="lowerLetter"/>
      <w:isLgl w:val="false"/>
      <w:suff w:val="tab"/>
      <w:lvlText w:val="%5)"/>
      <w:lvlJc w:val="left"/>
      <w:pPr>
        <w:ind w:left="2760" w:hanging="440"/>
      </w:pPr>
    </w:lvl>
    <w:lvl w:ilvl="5">
      <w:start w:val="1"/>
      <w:numFmt w:val="lowerRoman"/>
      <w:isLgl w:val="false"/>
      <w:suff w:val="tab"/>
      <w:lvlText w:val="%6."/>
      <w:lvlJc w:val="right"/>
      <w:pPr>
        <w:ind w:left="3200" w:hanging="440"/>
      </w:pPr>
    </w:lvl>
    <w:lvl w:ilvl="6">
      <w:start w:val="1"/>
      <w:numFmt w:val="decimal"/>
      <w:isLgl w:val="false"/>
      <w:suff w:val="tab"/>
      <w:lvlText w:val="%7."/>
      <w:lvlJc w:val="left"/>
      <w:pPr>
        <w:ind w:left="3640" w:hanging="440"/>
      </w:pPr>
    </w:lvl>
    <w:lvl w:ilvl="7">
      <w:start w:val="1"/>
      <w:numFmt w:val="lowerLetter"/>
      <w:isLgl w:val="false"/>
      <w:suff w:val="tab"/>
      <w:lvlText w:val="%8)"/>
      <w:lvlJc w:val="left"/>
      <w:pPr>
        <w:ind w:left="4080" w:hanging="440"/>
      </w:pPr>
    </w:lvl>
    <w:lvl w:ilvl="8">
      <w:start w:val="1"/>
      <w:numFmt w:val="lowerRoman"/>
      <w:isLgl w:val="false"/>
      <w:suff w:val="tab"/>
      <w:lvlText w:val="%9."/>
      <w:lvlJc w:val="right"/>
      <w:pPr>
        <w:ind w:left="4520" w:hanging="440"/>
      </w:pPr>
    </w:lvl>
  </w:abstractNum>
  <w:num w:numId="1">
    <w:abstractNumId w:val="7"/>
  </w:num>
  <w:num w:numId="2">
    <w:abstractNumId w:val="2"/>
  </w:num>
  <w:num w:numId="3">
    <w:abstractNumId w:val="4"/>
  </w:num>
  <w:num w:numId="4">
    <w:abstractNumId w:val="9"/>
  </w:num>
  <w:num w:numId="5">
    <w:abstractNumId w:val="8"/>
  </w:num>
  <w:num w:numId="6">
    <w:abstractNumId w:val="1"/>
  </w:num>
  <w:num w:numId="7">
    <w:abstractNumId w:val="6"/>
  </w:num>
  <w:num w:numId="8">
    <w:abstractNumId w:val="5"/>
  </w:num>
  <w:num w:numId="9">
    <w:abstractNumId w:val="10"/>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Heading 1 Char"/>
    <w:basedOn w:val="928"/>
    <w:link w:val="919"/>
    <w:uiPriority w:val="9"/>
    <w:rPr>
      <w:rFonts w:ascii="Arial" w:hAnsi="Arial" w:eastAsia="Arial" w:cs="Arial"/>
      <w:sz w:val="40"/>
      <w:szCs w:val="40"/>
    </w:rPr>
  </w:style>
  <w:style w:type="character" w:styleId="766">
    <w:name w:val="Heading 2 Char"/>
    <w:basedOn w:val="928"/>
    <w:link w:val="920"/>
    <w:uiPriority w:val="9"/>
    <w:rPr>
      <w:rFonts w:ascii="Arial" w:hAnsi="Arial" w:eastAsia="Arial" w:cs="Arial"/>
      <w:sz w:val="34"/>
    </w:rPr>
  </w:style>
  <w:style w:type="character" w:styleId="767">
    <w:name w:val="Heading 3 Char"/>
    <w:basedOn w:val="928"/>
    <w:link w:val="921"/>
    <w:uiPriority w:val="9"/>
    <w:rPr>
      <w:rFonts w:ascii="Arial" w:hAnsi="Arial" w:eastAsia="Arial" w:cs="Arial"/>
      <w:sz w:val="30"/>
      <w:szCs w:val="30"/>
    </w:rPr>
  </w:style>
  <w:style w:type="character" w:styleId="768">
    <w:name w:val="Heading 4 Char"/>
    <w:basedOn w:val="928"/>
    <w:link w:val="922"/>
    <w:uiPriority w:val="9"/>
    <w:rPr>
      <w:rFonts w:ascii="Arial" w:hAnsi="Arial" w:eastAsia="Arial" w:cs="Arial"/>
      <w:b/>
      <w:bCs/>
      <w:sz w:val="26"/>
      <w:szCs w:val="26"/>
    </w:rPr>
  </w:style>
  <w:style w:type="character" w:styleId="769">
    <w:name w:val="Heading 5 Char"/>
    <w:basedOn w:val="928"/>
    <w:link w:val="923"/>
    <w:uiPriority w:val="9"/>
    <w:rPr>
      <w:rFonts w:ascii="Arial" w:hAnsi="Arial" w:eastAsia="Arial" w:cs="Arial"/>
      <w:b/>
      <w:bCs/>
      <w:sz w:val="24"/>
      <w:szCs w:val="24"/>
    </w:rPr>
  </w:style>
  <w:style w:type="character" w:styleId="770">
    <w:name w:val="Heading 6 Char"/>
    <w:basedOn w:val="928"/>
    <w:link w:val="924"/>
    <w:uiPriority w:val="9"/>
    <w:rPr>
      <w:rFonts w:ascii="Arial" w:hAnsi="Arial" w:eastAsia="Arial" w:cs="Arial"/>
      <w:b/>
      <w:bCs/>
      <w:sz w:val="22"/>
      <w:szCs w:val="22"/>
    </w:rPr>
  </w:style>
  <w:style w:type="character" w:styleId="771">
    <w:name w:val="Heading 7 Char"/>
    <w:basedOn w:val="928"/>
    <w:link w:val="925"/>
    <w:uiPriority w:val="9"/>
    <w:rPr>
      <w:rFonts w:ascii="Arial" w:hAnsi="Arial" w:eastAsia="Arial" w:cs="Arial"/>
      <w:b/>
      <w:bCs/>
      <w:i/>
      <w:iCs/>
      <w:sz w:val="22"/>
      <w:szCs w:val="22"/>
    </w:rPr>
  </w:style>
  <w:style w:type="character" w:styleId="772">
    <w:name w:val="Heading 8 Char"/>
    <w:basedOn w:val="928"/>
    <w:link w:val="926"/>
    <w:uiPriority w:val="9"/>
    <w:rPr>
      <w:rFonts w:ascii="Arial" w:hAnsi="Arial" w:eastAsia="Arial" w:cs="Arial"/>
      <w:i/>
      <w:iCs/>
      <w:sz w:val="22"/>
      <w:szCs w:val="22"/>
    </w:rPr>
  </w:style>
  <w:style w:type="character" w:styleId="773">
    <w:name w:val="Heading 9 Char"/>
    <w:basedOn w:val="928"/>
    <w:link w:val="927"/>
    <w:uiPriority w:val="9"/>
    <w:rPr>
      <w:rFonts w:ascii="Arial" w:hAnsi="Arial" w:eastAsia="Arial" w:cs="Arial"/>
      <w:i/>
      <w:iCs/>
      <w:sz w:val="21"/>
      <w:szCs w:val="21"/>
    </w:rPr>
  </w:style>
  <w:style w:type="paragraph" w:styleId="774">
    <w:name w:val="Title"/>
    <w:basedOn w:val="918"/>
    <w:next w:val="918"/>
    <w:link w:val="775"/>
    <w:uiPriority w:val="10"/>
    <w:qFormat/>
    <w:pPr>
      <w:contextualSpacing/>
      <w:spacing w:before="300" w:after="200"/>
    </w:pPr>
    <w:rPr>
      <w:sz w:val="48"/>
      <w:szCs w:val="48"/>
    </w:rPr>
  </w:style>
  <w:style w:type="character" w:styleId="775">
    <w:name w:val="Title Char"/>
    <w:basedOn w:val="928"/>
    <w:link w:val="774"/>
    <w:uiPriority w:val="10"/>
    <w:rPr>
      <w:sz w:val="48"/>
      <w:szCs w:val="48"/>
    </w:rPr>
  </w:style>
  <w:style w:type="paragraph" w:styleId="776">
    <w:name w:val="Subtitle"/>
    <w:basedOn w:val="918"/>
    <w:next w:val="918"/>
    <w:link w:val="777"/>
    <w:uiPriority w:val="11"/>
    <w:qFormat/>
    <w:pPr>
      <w:spacing w:before="200" w:after="200"/>
    </w:pPr>
    <w:rPr>
      <w:sz w:val="24"/>
      <w:szCs w:val="24"/>
    </w:rPr>
  </w:style>
  <w:style w:type="character" w:styleId="777">
    <w:name w:val="Subtitle Char"/>
    <w:basedOn w:val="928"/>
    <w:link w:val="776"/>
    <w:uiPriority w:val="11"/>
    <w:rPr>
      <w:sz w:val="24"/>
      <w:szCs w:val="24"/>
    </w:rPr>
  </w:style>
  <w:style w:type="paragraph" w:styleId="778">
    <w:name w:val="Quote"/>
    <w:basedOn w:val="918"/>
    <w:next w:val="918"/>
    <w:link w:val="779"/>
    <w:uiPriority w:val="29"/>
    <w:qFormat/>
    <w:pPr>
      <w:ind w:left="720" w:right="720"/>
    </w:pPr>
    <w:rPr>
      <w:i/>
    </w:rPr>
  </w:style>
  <w:style w:type="character" w:styleId="779">
    <w:name w:val="Quote Char"/>
    <w:link w:val="778"/>
    <w:uiPriority w:val="29"/>
    <w:rPr>
      <w:i/>
    </w:rPr>
  </w:style>
  <w:style w:type="paragraph" w:styleId="780">
    <w:name w:val="Intense Quote"/>
    <w:basedOn w:val="918"/>
    <w:next w:val="918"/>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character" w:styleId="782">
    <w:name w:val="Header Char"/>
    <w:basedOn w:val="928"/>
    <w:link w:val="948"/>
    <w:uiPriority w:val="99"/>
  </w:style>
  <w:style w:type="character" w:styleId="783">
    <w:name w:val="Footer Char"/>
    <w:basedOn w:val="928"/>
    <w:link w:val="947"/>
    <w:uiPriority w:val="99"/>
  </w:style>
  <w:style w:type="paragraph" w:styleId="784">
    <w:name w:val="Caption"/>
    <w:basedOn w:val="918"/>
    <w:next w:val="918"/>
    <w:uiPriority w:val="35"/>
    <w:semiHidden/>
    <w:unhideWhenUsed/>
    <w:qFormat/>
    <w:pPr>
      <w:spacing w:line="276" w:lineRule="auto"/>
    </w:pPr>
    <w:rPr>
      <w:b/>
      <w:bCs/>
      <w:color w:val="4f81bd" w:themeColor="accent1"/>
      <w:sz w:val="18"/>
      <w:szCs w:val="18"/>
    </w:rPr>
  </w:style>
  <w:style w:type="character" w:styleId="785">
    <w:name w:val="Caption Char"/>
    <w:basedOn w:val="784"/>
    <w:link w:val="947"/>
    <w:uiPriority w:val="99"/>
  </w:style>
  <w:style w:type="table" w:styleId="786">
    <w:name w:val="Table Grid Light"/>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9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9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9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basedOn w:val="9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basedOn w:val="9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basedOn w:val="9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basedOn w:val="9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basedOn w:val="9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basedOn w:val="9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basedOn w:val="9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basedOn w:val="9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basedOn w:val="9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basedOn w:val="9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basedOn w:val="9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basedOn w:val="9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basedOn w:val="9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basedOn w:val="9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basedOn w:val="9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basedOn w:val="9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basedOn w:val="9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basedOn w:val="9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basedOn w:val="9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basedOn w:val="9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basedOn w:val="9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basedOn w:val="9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basedOn w:val="9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basedOn w:val="9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basedOn w:val="9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basedOn w:val="9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basedOn w:val="9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basedOn w:val="9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basedOn w:val="9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basedOn w:val="9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basedOn w:val="9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basedOn w:val="9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basedOn w:val="9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basedOn w:val="9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basedOn w:val="9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basedOn w:val="9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basedOn w:val="9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basedOn w:val="9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basedOn w:val="9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basedOn w:val="9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basedOn w:val="9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basedOn w:val="9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basedOn w:val="9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basedOn w:val="9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basedOn w:val="9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basedOn w:val="9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basedOn w:val="9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basedOn w:val="9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basedOn w:val="9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9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basedOn w:val="9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basedOn w:val="9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basedOn w:val="9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basedOn w:val="9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basedOn w:val="9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basedOn w:val="9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basedOn w:val="9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basedOn w:val="9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basedOn w:val="9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basedOn w:val="9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basedOn w:val="9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basedOn w:val="9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basedOn w:val="9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basedOn w:val="9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basedOn w:val="9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basedOn w:val="9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basedOn w:val="9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basedOn w:val="9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basedOn w:val="9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1">
    <w:name w:val="footnote text"/>
    <w:basedOn w:val="91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basedOn w:val="928"/>
    <w:uiPriority w:val="99"/>
    <w:unhideWhenUsed/>
    <w:rPr>
      <w:vertAlign w:val="superscript"/>
    </w:rPr>
  </w:style>
  <w:style w:type="paragraph" w:styleId="914">
    <w:name w:val="endnote text"/>
    <w:basedOn w:val="91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basedOn w:val="928"/>
    <w:uiPriority w:val="99"/>
    <w:semiHidden/>
    <w:unhideWhenUsed/>
    <w:rPr>
      <w:vertAlign w:val="superscript"/>
    </w:rPr>
  </w:style>
  <w:style w:type="paragraph" w:styleId="917">
    <w:name w:val="TOC Heading"/>
    <w:uiPriority w:val="39"/>
    <w:unhideWhenUsed/>
  </w:style>
  <w:style w:type="paragraph" w:styleId="918" w:default="1">
    <w:name w:val="Normal"/>
    <w:next w:val="930"/>
    <w:uiPriority w:val="0"/>
    <w:qFormat/>
    <w:pPr>
      <w:jc w:val="both"/>
      <w:widowControl w:val="off"/>
    </w:pPr>
    <w:rPr>
      <w:rFonts w:ascii="Times New Roman" w:hAnsi="Times New Roman" w:eastAsia="宋体" w:cs="Times New Roman"/>
      <w:sz w:val="21"/>
      <w:szCs w:val="21"/>
      <w:lang w:val="en-US" w:eastAsia="zh-CN" w:bidi="ar-SA"/>
    </w:rPr>
  </w:style>
  <w:style w:type="paragraph" w:styleId="919">
    <w:name w:val="Heading 1"/>
    <w:basedOn w:val="918"/>
    <w:next w:val="918"/>
    <w:link w:val="969"/>
    <w:uiPriority w:val="0"/>
    <w:qFormat/>
    <w:pPr>
      <w:jc w:val="center"/>
      <w:keepNext/>
      <w:outlineLvl w:val="0"/>
    </w:pPr>
    <w:rPr>
      <w:rFonts w:ascii="方正楷体_GB2312" w:eastAsia="方正楷体_GB2312"/>
      <w:sz w:val="28"/>
      <w:szCs w:val="28"/>
    </w:rPr>
  </w:style>
  <w:style w:type="paragraph" w:styleId="920">
    <w:name w:val="Heading 2"/>
    <w:basedOn w:val="918"/>
    <w:next w:val="931"/>
    <w:link w:val="97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1">
    <w:name w:val="Heading 3"/>
    <w:basedOn w:val="918"/>
    <w:next w:val="931"/>
    <w:link w:val="972"/>
    <w:uiPriority w:val="0"/>
    <w:qFormat/>
    <w:pPr>
      <w:keepLines/>
      <w:keepNext/>
      <w:spacing w:before="260" w:after="260" w:line="416" w:lineRule="auto"/>
      <w:outlineLvl w:val="2"/>
    </w:pPr>
    <w:rPr>
      <w:b/>
      <w:bCs/>
      <w:sz w:val="32"/>
      <w:szCs w:val="32"/>
    </w:rPr>
  </w:style>
  <w:style w:type="paragraph" w:styleId="922">
    <w:name w:val="Heading 4"/>
    <w:basedOn w:val="918"/>
    <w:next w:val="931"/>
    <w:link w:val="973"/>
    <w:uiPriority w:val="0"/>
    <w:qFormat/>
    <w:pPr>
      <w:keepLines/>
      <w:keepNext/>
      <w:spacing w:before="280" w:after="290" w:line="376" w:lineRule="auto"/>
      <w:outlineLvl w:val="3"/>
    </w:pPr>
    <w:rPr>
      <w:rFonts w:ascii="Arial" w:hAnsi="Arial" w:eastAsia="黑体" w:cs="Arial"/>
      <w:b/>
      <w:bCs/>
      <w:sz w:val="28"/>
      <w:szCs w:val="28"/>
    </w:rPr>
  </w:style>
  <w:style w:type="paragraph" w:styleId="923">
    <w:name w:val="Heading 5"/>
    <w:basedOn w:val="918"/>
    <w:next w:val="931"/>
    <w:link w:val="974"/>
    <w:uiPriority w:val="0"/>
    <w:qFormat/>
    <w:pPr>
      <w:keepNext/>
      <w:outlineLvl w:val="4"/>
    </w:pPr>
    <w:rPr>
      <w:rFonts w:ascii="宋体"/>
      <w:color w:val="000000"/>
      <w:sz w:val="28"/>
      <w:szCs w:val="28"/>
    </w:rPr>
  </w:style>
  <w:style w:type="paragraph" w:styleId="924">
    <w:name w:val="Heading 6"/>
    <w:basedOn w:val="918"/>
    <w:next w:val="918"/>
    <w:link w:val="97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5">
    <w:name w:val="Heading 7"/>
    <w:basedOn w:val="918"/>
    <w:next w:val="918"/>
    <w:link w:val="976"/>
    <w:uiPriority w:val="0"/>
    <w:qFormat/>
    <w:pPr>
      <w:numPr>
        <w:ilvl w:val="6"/>
        <w:numId w:val="1"/>
      </w:numPr>
      <w:keepLines/>
      <w:keepNext/>
      <w:spacing w:before="240" w:after="64" w:line="320" w:lineRule="auto"/>
      <w:outlineLvl w:val="6"/>
    </w:pPr>
    <w:rPr>
      <w:b/>
      <w:bCs/>
      <w:sz w:val="24"/>
      <w:szCs w:val="24"/>
    </w:rPr>
  </w:style>
  <w:style w:type="paragraph" w:styleId="926">
    <w:name w:val="Heading 8"/>
    <w:basedOn w:val="918"/>
    <w:next w:val="918"/>
    <w:link w:val="97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7">
    <w:name w:val="Heading 9"/>
    <w:basedOn w:val="918"/>
    <w:next w:val="918"/>
    <w:link w:val="978"/>
    <w:uiPriority w:val="0"/>
    <w:qFormat/>
    <w:pPr>
      <w:numPr>
        <w:ilvl w:val="8"/>
        <w:numId w:val="1"/>
      </w:numPr>
      <w:keepLines/>
      <w:keepNext/>
      <w:spacing w:before="240" w:after="64" w:line="320" w:lineRule="auto"/>
      <w:outlineLvl w:val="8"/>
    </w:pPr>
    <w:rPr>
      <w:rFonts w:ascii="Arial" w:hAnsi="Arial" w:eastAsia="黑体"/>
    </w:rPr>
  </w:style>
  <w:style w:type="character" w:styleId="928" w:default="1">
    <w:name w:val="Default Paragraph Font"/>
    <w:uiPriority w:val="1"/>
    <w:semiHidden/>
    <w:unhideWhenUsed/>
    <w:qFormat/>
  </w:style>
  <w:style w:type="table" w:styleId="929" w:default="1">
    <w:name w:val="Normal Table"/>
    <w:uiPriority w:val="99"/>
    <w:semiHidden/>
    <w:unhideWhenUsed/>
    <w:qFormat/>
    <w:tblPr>
      <w:tblCellMar>
        <w:left w:w="108" w:type="dxa"/>
        <w:top w:w="0" w:type="dxa"/>
        <w:right w:w="108" w:type="dxa"/>
        <w:bottom w:w="0" w:type="dxa"/>
      </w:tblCellMar>
    </w:tblPr>
  </w:style>
  <w:style w:type="paragraph" w:styleId="930">
    <w:name w:val="toc 1"/>
    <w:basedOn w:val="918"/>
    <w:next w:val="918"/>
    <w:uiPriority w:val="0"/>
    <w:semiHidden/>
    <w:qFormat/>
    <w:pPr>
      <w:jc w:val="left"/>
      <w:spacing w:before="120" w:after="120" w:line="400" w:lineRule="exact"/>
      <w:tabs>
        <w:tab w:val="right" w:pos="8720" w:leader="dot"/>
      </w:tabs>
    </w:pPr>
    <w:rPr>
      <w:rFonts w:ascii="宋体" w:hAnsi="宋体"/>
      <w:caps/>
      <w:sz w:val="24"/>
      <w:szCs w:val="24"/>
    </w:rPr>
  </w:style>
  <w:style w:type="paragraph" w:styleId="931">
    <w:name w:val="Normal Indent"/>
    <w:basedOn w:val="918"/>
    <w:link w:val="971"/>
    <w:uiPriority w:val="0"/>
    <w:qFormat/>
    <w:pPr>
      <w:ind w:firstLine="420"/>
    </w:pPr>
  </w:style>
  <w:style w:type="paragraph" w:styleId="932">
    <w:name w:val="List 3"/>
    <w:basedOn w:val="918"/>
    <w:uiPriority w:val="0"/>
    <w:qFormat/>
    <w:pPr>
      <w:ind w:left="100" w:hanging="200"/>
    </w:pPr>
  </w:style>
  <w:style w:type="paragraph" w:styleId="933">
    <w:name w:val="toc 7"/>
    <w:basedOn w:val="918"/>
    <w:next w:val="918"/>
    <w:uiPriority w:val="0"/>
    <w:semiHidden/>
    <w:qFormat/>
    <w:pPr>
      <w:ind w:left="1260"/>
      <w:jc w:val="left"/>
    </w:pPr>
  </w:style>
  <w:style w:type="paragraph" w:styleId="934">
    <w:name w:val="Document Map"/>
    <w:basedOn w:val="918"/>
    <w:link w:val="979"/>
    <w:uiPriority w:val="0"/>
    <w:semiHidden/>
    <w:qFormat/>
    <w:pPr>
      <w:shd w:val="clear" w:color="auto" w:fill="000080"/>
    </w:pPr>
  </w:style>
  <w:style w:type="paragraph" w:styleId="935">
    <w:name w:val="annotation text"/>
    <w:basedOn w:val="918"/>
    <w:link w:val="980"/>
    <w:uiPriority w:val="0"/>
    <w:semiHidden/>
    <w:qFormat/>
    <w:pPr>
      <w:jc w:val="left"/>
    </w:pPr>
  </w:style>
  <w:style w:type="paragraph" w:styleId="936">
    <w:name w:val="Body Text 3"/>
    <w:basedOn w:val="918"/>
    <w:link w:val="981"/>
    <w:uiPriority w:val="0"/>
    <w:qFormat/>
    <w:rPr>
      <w:rFonts w:ascii="方正仿宋_GB2312" w:hAnsi="Arial" w:eastAsia="方正仿宋_GB2312"/>
      <w:sz w:val="32"/>
      <w:szCs w:val="32"/>
    </w:rPr>
  </w:style>
  <w:style w:type="paragraph" w:styleId="937">
    <w:name w:val="Body Text"/>
    <w:basedOn w:val="918"/>
    <w:link w:val="982"/>
    <w:uiPriority w:val="0"/>
    <w:qFormat/>
    <w:rPr>
      <w:rFonts w:ascii="方正楷体_GB2312" w:hAnsi="Arial" w:eastAsia="方正楷体_GB2312"/>
      <w:sz w:val="28"/>
      <w:szCs w:val="28"/>
    </w:rPr>
  </w:style>
  <w:style w:type="paragraph" w:styleId="938">
    <w:name w:val="Body Text Indent"/>
    <w:basedOn w:val="918"/>
    <w:link w:val="983"/>
    <w:uiPriority w:val="0"/>
    <w:qFormat/>
    <w:pPr>
      <w:ind w:firstLine="645"/>
    </w:pPr>
    <w:rPr>
      <w:rFonts w:ascii="方正楷体_GB2312" w:eastAsia="方正楷体_GB2312"/>
      <w:sz w:val="32"/>
      <w:szCs w:val="32"/>
    </w:rPr>
  </w:style>
  <w:style w:type="paragraph" w:styleId="939">
    <w:name w:val="List 2"/>
    <w:basedOn w:val="918"/>
    <w:uiPriority w:val="0"/>
    <w:qFormat/>
    <w:pPr>
      <w:ind w:left="100" w:hanging="200"/>
    </w:pPr>
  </w:style>
  <w:style w:type="paragraph" w:styleId="940">
    <w:name w:val="toc 5"/>
    <w:basedOn w:val="918"/>
    <w:next w:val="918"/>
    <w:uiPriority w:val="0"/>
    <w:semiHidden/>
    <w:qFormat/>
    <w:pPr>
      <w:ind w:left="840"/>
      <w:jc w:val="left"/>
    </w:pPr>
  </w:style>
  <w:style w:type="paragraph" w:styleId="941">
    <w:name w:val="toc 3"/>
    <w:basedOn w:val="918"/>
    <w:next w:val="918"/>
    <w:uiPriority w:val="0"/>
    <w:semiHidden/>
    <w:qFormat/>
    <w:pPr>
      <w:ind w:left="420"/>
      <w:jc w:val="left"/>
    </w:pPr>
    <w:rPr>
      <w:i/>
      <w:iCs/>
      <w:szCs w:val="24"/>
    </w:rPr>
  </w:style>
  <w:style w:type="paragraph" w:styleId="942">
    <w:name w:val="Plain Text"/>
    <w:basedOn w:val="918"/>
    <w:link w:val="984"/>
    <w:uiPriority w:val="0"/>
    <w:qFormat/>
    <w:rPr>
      <w:rFonts w:ascii="宋体" w:hAnsi="Courier New" w:cs="Courier New"/>
    </w:rPr>
  </w:style>
  <w:style w:type="paragraph" w:styleId="943">
    <w:name w:val="toc 8"/>
    <w:basedOn w:val="918"/>
    <w:next w:val="918"/>
    <w:uiPriority w:val="0"/>
    <w:semiHidden/>
    <w:qFormat/>
    <w:pPr>
      <w:ind w:left="1470"/>
      <w:jc w:val="left"/>
    </w:pPr>
  </w:style>
  <w:style w:type="paragraph" w:styleId="944">
    <w:name w:val="Date"/>
    <w:basedOn w:val="918"/>
    <w:next w:val="918"/>
    <w:link w:val="985"/>
    <w:uiPriority w:val="0"/>
    <w:qFormat/>
    <w:rPr>
      <w:sz w:val="24"/>
      <w:szCs w:val="24"/>
    </w:rPr>
  </w:style>
  <w:style w:type="paragraph" w:styleId="945">
    <w:name w:val="Body Text Indent 2"/>
    <w:basedOn w:val="918"/>
    <w:link w:val="986"/>
    <w:uiPriority w:val="0"/>
    <w:qFormat/>
    <w:pPr>
      <w:ind w:left="630" w:firstLine="645"/>
    </w:pPr>
    <w:rPr>
      <w:rFonts w:ascii="Arial" w:hAnsi="Arial" w:eastAsia="方正仿宋_GB2312" w:cs="Arial"/>
      <w:sz w:val="32"/>
      <w:szCs w:val="32"/>
    </w:rPr>
  </w:style>
  <w:style w:type="paragraph" w:styleId="946">
    <w:name w:val="Balloon Text"/>
    <w:basedOn w:val="918"/>
    <w:link w:val="987"/>
    <w:uiPriority w:val="0"/>
    <w:semiHidden/>
    <w:qFormat/>
    <w:rPr>
      <w:sz w:val="18"/>
      <w:szCs w:val="18"/>
    </w:rPr>
  </w:style>
  <w:style w:type="paragraph" w:styleId="947">
    <w:name w:val="Footer"/>
    <w:basedOn w:val="918"/>
    <w:link w:val="988"/>
    <w:uiPriority w:val="99"/>
    <w:qFormat/>
    <w:pPr>
      <w:jc w:val="left"/>
      <w:tabs>
        <w:tab w:val="center" w:pos="4153" w:leader="none"/>
        <w:tab w:val="right" w:pos="8306" w:leader="none"/>
      </w:tabs>
    </w:pPr>
    <w:rPr>
      <w:sz w:val="18"/>
      <w:szCs w:val="18"/>
    </w:rPr>
  </w:style>
  <w:style w:type="paragraph" w:styleId="948">
    <w:name w:val="Header"/>
    <w:basedOn w:val="918"/>
    <w:link w:val="989"/>
    <w:uiPriority w:val="0"/>
    <w:qFormat/>
    <w:pPr>
      <w:jc w:val="center"/>
      <w:tabs>
        <w:tab w:val="center" w:pos="4153" w:leader="none"/>
        <w:tab w:val="right" w:pos="8306" w:leader="none"/>
      </w:tabs>
      <w:pBdr>
        <w:bottom w:val="single" w:color="auto" w:sz="6" w:space="1"/>
      </w:pBdr>
    </w:pPr>
    <w:rPr>
      <w:sz w:val="18"/>
      <w:szCs w:val="18"/>
    </w:rPr>
  </w:style>
  <w:style w:type="paragraph" w:styleId="949">
    <w:name w:val="toc 4"/>
    <w:basedOn w:val="918"/>
    <w:next w:val="918"/>
    <w:uiPriority w:val="0"/>
    <w:semiHidden/>
    <w:qFormat/>
    <w:pPr>
      <w:ind w:left="630"/>
      <w:jc w:val="left"/>
    </w:pPr>
  </w:style>
  <w:style w:type="paragraph" w:styleId="950">
    <w:name w:val="List"/>
    <w:basedOn w:val="918"/>
    <w:uiPriority w:val="0"/>
    <w:qFormat/>
    <w:pPr>
      <w:ind w:left="200" w:hanging="200"/>
    </w:pPr>
  </w:style>
  <w:style w:type="paragraph" w:styleId="951">
    <w:name w:val="toc 6"/>
    <w:basedOn w:val="918"/>
    <w:next w:val="918"/>
    <w:uiPriority w:val="0"/>
    <w:semiHidden/>
    <w:qFormat/>
    <w:pPr>
      <w:ind w:left="1050"/>
      <w:jc w:val="left"/>
    </w:pPr>
  </w:style>
  <w:style w:type="paragraph" w:styleId="952">
    <w:name w:val="Body Text Indent 3"/>
    <w:basedOn w:val="918"/>
    <w:link w:val="990"/>
    <w:uiPriority w:val="0"/>
    <w:qFormat/>
    <w:pPr>
      <w:ind w:left="645" w:firstLine="645"/>
    </w:pPr>
    <w:rPr>
      <w:rFonts w:ascii="Arial" w:hAnsi="Arial" w:eastAsia="方正仿宋_GB2312" w:cs="Arial"/>
      <w:color w:val="ffff00"/>
      <w:sz w:val="32"/>
      <w:szCs w:val="32"/>
    </w:rPr>
  </w:style>
  <w:style w:type="paragraph" w:styleId="953">
    <w:name w:val="table of figures"/>
    <w:basedOn w:val="918"/>
    <w:next w:val="918"/>
    <w:uiPriority w:val="0"/>
    <w:semiHidden/>
    <w:qFormat/>
    <w:pPr>
      <w:ind w:left="840" w:hanging="420"/>
    </w:pPr>
  </w:style>
  <w:style w:type="paragraph" w:styleId="954">
    <w:name w:val="toc 2"/>
    <w:basedOn w:val="918"/>
    <w:next w:val="918"/>
    <w:uiPriority w:val="0"/>
    <w:semiHidden/>
    <w:qFormat/>
    <w:pPr>
      <w:ind w:left="210"/>
      <w:jc w:val="left"/>
    </w:pPr>
    <w:rPr>
      <w:smallCaps/>
      <w:szCs w:val="24"/>
    </w:rPr>
  </w:style>
  <w:style w:type="paragraph" w:styleId="955">
    <w:name w:val="toc 9"/>
    <w:basedOn w:val="918"/>
    <w:next w:val="918"/>
    <w:uiPriority w:val="0"/>
    <w:semiHidden/>
    <w:qFormat/>
    <w:pPr>
      <w:ind w:left="1680"/>
      <w:jc w:val="left"/>
    </w:pPr>
  </w:style>
  <w:style w:type="paragraph" w:styleId="956">
    <w:name w:val="Body Text 2"/>
    <w:basedOn w:val="918"/>
    <w:link w:val="991"/>
    <w:uiPriority w:val="0"/>
    <w:qFormat/>
    <w:pPr>
      <w:jc w:val="center"/>
      <w:widowControl/>
    </w:pPr>
    <w:rPr>
      <w:rFonts w:ascii="方正楷体_GB2312" w:eastAsia="方正楷体_GB2312"/>
      <w:sz w:val="28"/>
      <w:szCs w:val="28"/>
    </w:rPr>
  </w:style>
  <w:style w:type="paragraph" w:styleId="957">
    <w:name w:val="Normal (Web)"/>
    <w:basedOn w:val="918"/>
    <w:uiPriority w:val="99"/>
    <w:qFormat/>
    <w:pPr>
      <w:jc w:val="left"/>
      <w:spacing w:before="100" w:beforeAutospacing="1" w:after="100" w:afterAutospacing="1"/>
      <w:widowControl/>
    </w:pPr>
    <w:rPr>
      <w:rFonts w:ascii="宋体" w:hAnsi="宋体" w:cs="宋体"/>
      <w:sz w:val="24"/>
      <w:szCs w:val="24"/>
    </w:rPr>
  </w:style>
  <w:style w:type="paragraph" w:styleId="958">
    <w:name w:val="index 1"/>
    <w:basedOn w:val="918"/>
    <w:next w:val="918"/>
    <w:uiPriority w:val="0"/>
    <w:semiHidden/>
    <w:qFormat/>
    <w:pPr>
      <w:spacing w:line="240" w:lineRule="atLeast"/>
    </w:pPr>
    <w:rPr>
      <w:b/>
      <w:bCs/>
    </w:rPr>
  </w:style>
  <w:style w:type="paragraph" w:styleId="959">
    <w:name w:val="annotation subject"/>
    <w:basedOn w:val="935"/>
    <w:next w:val="935"/>
    <w:link w:val="992"/>
    <w:uiPriority w:val="0"/>
    <w:semiHidden/>
    <w:qFormat/>
    <w:rPr>
      <w:b/>
      <w:bCs/>
    </w:rPr>
  </w:style>
  <w:style w:type="paragraph" w:styleId="960">
    <w:name w:val="Body Text First Indent"/>
    <w:basedOn w:val="918"/>
    <w:link w:val="993"/>
    <w:uiPriority w:val="0"/>
    <w:qFormat/>
    <w:pPr>
      <w:ind w:firstLine="200"/>
      <w:spacing w:line="360" w:lineRule="auto"/>
    </w:pPr>
    <w:rPr>
      <w:rFonts w:ascii="方正仿宋_GB2312" w:eastAsia="方正仿宋_GB2312"/>
      <w:sz w:val="30"/>
      <w:szCs w:val="30"/>
    </w:rPr>
  </w:style>
  <w:style w:type="paragraph" w:styleId="961">
    <w:name w:val="Body Text First Indent 2"/>
    <w:basedOn w:val="938"/>
    <w:link w:val="994"/>
    <w:uiPriority w:val="0"/>
    <w:qFormat/>
    <w:pPr>
      <w:ind w:firstLine="420"/>
      <w:spacing w:line="360" w:lineRule="auto"/>
    </w:pPr>
    <w:rPr>
      <w:rFonts w:ascii="宋体" w:hAnsi="宋体" w:eastAsia="宋体"/>
      <w:sz w:val="21"/>
      <w:szCs w:val="20"/>
    </w:rPr>
  </w:style>
  <w:style w:type="table" w:styleId="962">
    <w:name w:val="Table Grid"/>
    <w:basedOn w:val="929"/>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3">
    <w:name w:val="Strong"/>
    <w:uiPriority w:val="0"/>
    <w:qFormat/>
    <w:rPr>
      <w:b/>
      <w:bCs/>
    </w:rPr>
  </w:style>
  <w:style w:type="character" w:styleId="964">
    <w:name w:val="page number"/>
    <w:uiPriority w:val="0"/>
    <w:qFormat/>
  </w:style>
  <w:style w:type="character" w:styleId="965">
    <w:name w:val="FollowedHyperlink"/>
    <w:uiPriority w:val="0"/>
    <w:qFormat/>
    <w:rPr>
      <w:color w:val="800080"/>
      <w:u w:val="single"/>
    </w:rPr>
  </w:style>
  <w:style w:type="character" w:styleId="966">
    <w:name w:val="Emphasis"/>
    <w:basedOn w:val="928"/>
    <w:uiPriority w:val="0"/>
    <w:qFormat/>
    <w:rPr>
      <w:i/>
    </w:rPr>
  </w:style>
  <w:style w:type="character" w:styleId="967">
    <w:name w:val="Hyperlink"/>
    <w:uiPriority w:val="0"/>
    <w:qFormat/>
    <w:rPr>
      <w:color w:val="0000ff"/>
      <w:u w:val="single"/>
    </w:rPr>
  </w:style>
  <w:style w:type="character" w:styleId="968">
    <w:name w:val="annotation reference"/>
    <w:uiPriority w:val="0"/>
    <w:semiHidden/>
    <w:qFormat/>
    <w:rPr>
      <w:sz w:val="21"/>
      <w:szCs w:val="21"/>
    </w:rPr>
  </w:style>
  <w:style w:type="character" w:styleId="969" w:customStyle="1">
    <w:name w:val="标题 1 字符"/>
    <w:link w:val="919"/>
    <w:uiPriority w:val="0"/>
    <w:qFormat/>
    <w:rPr>
      <w:rFonts w:ascii="方正楷体_GB2312" w:hAnsi="Times New Roman" w:eastAsia="方正楷体_GB2312" w:cs="Times New Roman"/>
      <w:sz w:val="28"/>
      <w:szCs w:val="28"/>
    </w:rPr>
  </w:style>
  <w:style w:type="character" w:styleId="970" w:customStyle="1">
    <w:name w:val="标题 2 字符"/>
    <w:link w:val="920"/>
    <w:uiPriority w:val="0"/>
    <w:qFormat/>
    <w:rPr>
      <w:rFonts w:ascii="Arial" w:hAnsi="Arial" w:eastAsia="幼圆" w:cs="Arial"/>
      <w:b/>
      <w:bCs/>
      <w:sz w:val="44"/>
      <w:szCs w:val="44"/>
    </w:rPr>
  </w:style>
  <w:style w:type="character" w:styleId="971" w:customStyle="1">
    <w:name w:val="正文缩进 字符"/>
    <w:link w:val="931"/>
    <w:uiPriority w:val="0"/>
    <w:qFormat/>
    <w:rPr>
      <w:rFonts w:ascii="Times New Roman" w:hAnsi="Times New Roman" w:eastAsia="宋体" w:cs="Times New Roman"/>
      <w:szCs w:val="21"/>
    </w:rPr>
  </w:style>
  <w:style w:type="character" w:styleId="972" w:customStyle="1">
    <w:name w:val="标题 3 字符"/>
    <w:link w:val="921"/>
    <w:uiPriority w:val="0"/>
    <w:qFormat/>
    <w:rPr>
      <w:rFonts w:ascii="Times New Roman" w:hAnsi="Times New Roman" w:eastAsia="宋体" w:cs="Times New Roman"/>
      <w:b/>
      <w:bCs/>
      <w:sz w:val="32"/>
      <w:szCs w:val="32"/>
    </w:rPr>
  </w:style>
  <w:style w:type="character" w:styleId="973" w:customStyle="1">
    <w:name w:val="标题 4 字符"/>
    <w:link w:val="922"/>
    <w:uiPriority w:val="0"/>
    <w:qFormat/>
    <w:rPr>
      <w:rFonts w:ascii="Arial" w:hAnsi="Arial" w:eastAsia="黑体" w:cs="Arial"/>
      <w:b/>
      <w:bCs/>
      <w:sz w:val="28"/>
      <w:szCs w:val="28"/>
    </w:rPr>
  </w:style>
  <w:style w:type="character" w:styleId="974" w:customStyle="1">
    <w:name w:val="标题 5 字符"/>
    <w:link w:val="923"/>
    <w:uiPriority w:val="0"/>
    <w:qFormat/>
    <w:rPr>
      <w:rFonts w:ascii="宋体" w:hAnsi="Times New Roman" w:eastAsia="宋体" w:cs="Times New Roman"/>
      <w:color w:val="000000"/>
      <w:sz w:val="28"/>
      <w:szCs w:val="28"/>
    </w:rPr>
  </w:style>
  <w:style w:type="character" w:styleId="975" w:customStyle="1">
    <w:name w:val="标题 6 字符"/>
    <w:link w:val="924"/>
    <w:uiPriority w:val="0"/>
    <w:qFormat/>
    <w:rPr>
      <w:rFonts w:ascii="Arial" w:hAnsi="Arial" w:eastAsia="黑体" w:cs="Times New Roman"/>
      <w:b/>
      <w:bCs/>
      <w:sz w:val="24"/>
      <w:szCs w:val="24"/>
    </w:rPr>
  </w:style>
  <w:style w:type="character" w:styleId="976" w:customStyle="1">
    <w:name w:val="标题 7 字符"/>
    <w:link w:val="925"/>
    <w:uiPriority w:val="0"/>
    <w:qFormat/>
    <w:rPr>
      <w:rFonts w:ascii="Times New Roman" w:hAnsi="Times New Roman" w:eastAsia="宋体" w:cs="Times New Roman"/>
      <w:b/>
      <w:bCs/>
      <w:sz w:val="24"/>
      <w:szCs w:val="24"/>
    </w:rPr>
  </w:style>
  <w:style w:type="character" w:styleId="977" w:customStyle="1">
    <w:name w:val="标题 8 字符"/>
    <w:link w:val="926"/>
    <w:uiPriority w:val="0"/>
    <w:qFormat/>
    <w:rPr>
      <w:rFonts w:ascii="Arial" w:hAnsi="Arial" w:eastAsia="黑体" w:cs="Times New Roman"/>
      <w:sz w:val="24"/>
      <w:szCs w:val="24"/>
    </w:rPr>
  </w:style>
  <w:style w:type="character" w:styleId="978" w:customStyle="1">
    <w:name w:val="标题 9 字符"/>
    <w:link w:val="927"/>
    <w:uiPriority w:val="0"/>
    <w:qFormat/>
    <w:rPr>
      <w:rFonts w:ascii="Arial" w:hAnsi="Arial" w:eastAsia="黑体" w:cs="Times New Roman"/>
      <w:szCs w:val="21"/>
    </w:rPr>
  </w:style>
  <w:style w:type="character" w:styleId="979" w:customStyle="1">
    <w:name w:val="文档结构图 字符"/>
    <w:link w:val="934"/>
    <w:uiPriority w:val="0"/>
    <w:semiHidden/>
    <w:qFormat/>
    <w:rPr>
      <w:rFonts w:ascii="Times New Roman" w:hAnsi="Times New Roman" w:eastAsia="宋体" w:cs="Times New Roman"/>
      <w:szCs w:val="21"/>
      <w:shd w:val="clear" w:color="auto" w:fill="000080"/>
    </w:rPr>
  </w:style>
  <w:style w:type="character" w:styleId="980" w:customStyle="1">
    <w:name w:val="批注文字 字符"/>
    <w:link w:val="935"/>
    <w:uiPriority w:val="0"/>
    <w:semiHidden/>
    <w:qFormat/>
    <w:rPr>
      <w:rFonts w:ascii="Times New Roman" w:hAnsi="Times New Roman" w:eastAsia="宋体" w:cs="Times New Roman"/>
      <w:szCs w:val="21"/>
    </w:rPr>
  </w:style>
  <w:style w:type="character" w:styleId="981" w:customStyle="1">
    <w:name w:val="正文文本 3 字符"/>
    <w:link w:val="936"/>
    <w:uiPriority w:val="0"/>
    <w:qFormat/>
    <w:rPr>
      <w:rFonts w:ascii="方正仿宋_GB2312" w:hAnsi="Arial" w:eastAsia="方正仿宋_GB2312" w:cs="Times New Roman"/>
      <w:sz w:val="32"/>
      <w:szCs w:val="32"/>
    </w:rPr>
  </w:style>
  <w:style w:type="character" w:styleId="982" w:customStyle="1">
    <w:name w:val="正文文本 字符"/>
    <w:link w:val="937"/>
    <w:uiPriority w:val="0"/>
    <w:qFormat/>
    <w:rPr>
      <w:rFonts w:ascii="方正楷体_GB2312" w:hAnsi="Arial" w:eastAsia="方正楷体_GB2312" w:cs="Times New Roman"/>
      <w:sz w:val="28"/>
      <w:szCs w:val="28"/>
    </w:rPr>
  </w:style>
  <w:style w:type="character" w:styleId="983" w:customStyle="1">
    <w:name w:val="正文文本缩进 字符"/>
    <w:link w:val="938"/>
    <w:uiPriority w:val="0"/>
    <w:qFormat/>
    <w:rPr>
      <w:rFonts w:ascii="方正楷体_GB2312" w:hAnsi="Times New Roman" w:eastAsia="方正楷体_GB2312" w:cs="Times New Roman"/>
      <w:sz w:val="32"/>
      <w:szCs w:val="32"/>
    </w:rPr>
  </w:style>
  <w:style w:type="character" w:styleId="984" w:customStyle="1">
    <w:name w:val="纯文本 字符"/>
    <w:link w:val="942"/>
    <w:uiPriority w:val="0"/>
    <w:qFormat/>
    <w:rPr>
      <w:rFonts w:ascii="宋体" w:hAnsi="Courier New" w:eastAsia="宋体" w:cs="Courier New"/>
      <w:szCs w:val="21"/>
    </w:rPr>
  </w:style>
  <w:style w:type="character" w:styleId="985" w:customStyle="1">
    <w:name w:val="日期 字符"/>
    <w:link w:val="944"/>
    <w:uiPriority w:val="0"/>
    <w:qFormat/>
    <w:rPr>
      <w:rFonts w:ascii="Times New Roman" w:hAnsi="Times New Roman" w:eastAsia="宋体" w:cs="Times New Roman"/>
      <w:sz w:val="24"/>
      <w:szCs w:val="24"/>
    </w:rPr>
  </w:style>
  <w:style w:type="character" w:styleId="986" w:customStyle="1">
    <w:name w:val="正文文本缩进 2 字符"/>
    <w:link w:val="945"/>
    <w:uiPriority w:val="0"/>
    <w:qFormat/>
    <w:rPr>
      <w:rFonts w:ascii="Arial" w:hAnsi="Arial" w:eastAsia="方正仿宋_GB2312" w:cs="Arial"/>
      <w:sz w:val="32"/>
      <w:szCs w:val="32"/>
    </w:rPr>
  </w:style>
  <w:style w:type="character" w:styleId="987" w:customStyle="1">
    <w:name w:val="批注框文本 字符"/>
    <w:link w:val="946"/>
    <w:uiPriority w:val="0"/>
    <w:semiHidden/>
    <w:qFormat/>
    <w:rPr>
      <w:rFonts w:ascii="Times New Roman" w:hAnsi="Times New Roman" w:eastAsia="宋体" w:cs="Times New Roman"/>
      <w:sz w:val="18"/>
      <w:szCs w:val="18"/>
    </w:rPr>
  </w:style>
  <w:style w:type="character" w:styleId="988" w:customStyle="1">
    <w:name w:val="页脚 字符"/>
    <w:link w:val="947"/>
    <w:uiPriority w:val="99"/>
    <w:qFormat/>
    <w:rPr>
      <w:rFonts w:ascii="Times New Roman" w:hAnsi="Times New Roman" w:eastAsia="宋体" w:cs="Times New Roman"/>
      <w:sz w:val="18"/>
      <w:szCs w:val="18"/>
    </w:rPr>
  </w:style>
  <w:style w:type="character" w:styleId="989" w:customStyle="1">
    <w:name w:val="页眉 字符"/>
    <w:link w:val="948"/>
    <w:uiPriority w:val="0"/>
    <w:qFormat/>
    <w:rPr>
      <w:rFonts w:ascii="Times New Roman" w:hAnsi="Times New Roman" w:eastAsia="宋体" w:cs="Times New Roman"/>
      <w:sz w:val="18"/>
      <w:szCs w:val="18"/>
    </w:rPr>
  </w:style>
  <w:style w:type="character" w:styleId="990" w:customStyle="1">
    <w:name w:val="正文文本缩进 3 字符"/>
    <w:link w:val="952"/>
    <w:uiPriority w:val="0"/>
    <w:qFormat/>
    <w:rPr>
      <w:rFonts w:ascii="Arial" w:hAnsi="Arial" w:eastAsia="方正仿宋_GB2312" w:cs="Arial"/>
      <w:color w:val="ffff00"/>
      <w:sz w:val="32"/>
      <w:szCs w:val="32"/>
    </w:rPr>
  </w:style>
  <w:style w:type="character" w:styleId="991" w:customStyle="1">
    <w:name w:val="正文文本 2 字符"/>
    <w:link w:val="956"/>
    <w:uiPriority w:val="0"/>
    <w:qFormat/>
    <w:rPr>
      <w:rFonts w:ascii="方正楷体_GB2312" w:hAnsi="Times New Roman" w:eastAsia="方正楷体_GB2312" w:cs="Times New Roman"/>
      <w:sz w:val="28"/>
      <w:szCs w:val="28"/>
    </w:rPr>
  </w:style>
  <w:style w:type="character" w:styleId="992" w:customStyle="1">
    <w:name w:val="批注主题 字符"/>
    <w:link w:val="959"/>
    <w:uiPriority w:val="0"/>
    <w:semiHidden/>
    <w:qFormat/>
    <w:rPr>
      <w:rFonts w:ascii="Times New Roman" w:hAnsi="Times New Roman" w:eastAsia="宋体" w:cs="Times New Roman"/>
      <w:b/>
      <w:bCs/>
      <w:szCs w:val="21"/>
    </w:rPr>
  </w:style>
  <w:style w:type="character" w:styleId="993" w:customStyle="1">
    <w:name w:val="正文文本首行缩进 字符"/>
    <w:link w:val="960"/>
    <w:uiPriority w:val="0"/>
    <w:qFormat/>
    <w:rPr>
      <w:rFonts w:ascii="方正仿宋_GB2312" w:hAnsi="Times New Roman" w:eastAsia="方正仿宋_GB2312" w:cs="Times New Roman"/>
      <w:sz w:val="30"/>
      <w:szCs w:val="30"/>
    </w:rPr>
  </w:style>
  <w:style w:type="character" w:styleId="994" w:customStyle="1">
    <w:name w:val="正文文本首行缩进 2 字符"/>
    <w:link w:val="961"/>
    <w:uiPriority w:val="0"/>
    <w:qFormat/>
    <w:rPr>
      <w:rFonts w:ascii="宋体" w:hAnsi="宋体" w:eastAsia="宋体" w:cs="Times New Roman"/>
      <w:sz w:val="32"/>
      <w:szCs w:val="20"/>
    </w:rPr>
  </w:style>
  <w:style w:type="character" w:styleId="995" w:customStyle="1">
    <w:name w:val="font5 Char"/>
    <w:uiPriority w:val="0"/>
    <w:qFormat/>
    <w:rPr>
      <w:rFonts w:ascii="宋体" w:hAnsi="宋体" w:eastAsia="宋体"/>
      <w:sz w:val="28"/>
      <w:szCs w:val="28"/>
      <w:lang w:val="en-US" w:eastAsia="zh-CN" w:bidi="ar-SA"/>
    </w:rPr>
  </w:style>
  <w:style w:type="character" w:styleId="996" w:customStyle="1">
    <w:name w:val="二级目录 Char"/>
    <w:link w:val="997"/>
    <w:uiPriority w:val="0"/>
    <w:qFormat/>
    <w:rPr>
      <w:b/>
      <w:sz w:val="30"/>
      <w:szCs w:val="28"/>
    </w:rPr>
  </w:style>
  <w:style w:type="paragraph" w:styleId="997" w:customStyle="1">
    <w:name w:val="二级目录"/>
    <w:next w:val="918"/>
    <w:link w:val="996"/>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98" w:customStyle="1">
    <w:name w:val="列出段落 Char"/>
    <w:link w:val="999"/>
    <w:uiPriority w:val="0"/>
    <w:qFormat/>
    <w:rPr>
      <w:rFonts w:ascii="Calibri" w:hAnsi="Calibri"/>
      <w:sz w:val="24"/>
      <w:szCs w:val="24"/>
      <w:lang w:eastAsia="en-US" w:bidi="en-US"/>
    </w:rPr>
  </w:style>
  <w:style w:type="paragraph" w:styleId="999" w:customStyle="1">
    <w:name w:val="列出段落1"/>
    <w:basedOn w:val="918"/>
    <w:link w:val="998"/>
    <w:uiPriority w:val="0"/>
    <w:qFormat/>
    <w:pPr>
      <w:contextualSpacing/>
      <w:ind w:left="720"/>
      <w:jc w:val="left"/>
      <w:widowControl/>
    </w:pPr>
    <w:rPr>
      <w:rFonts w:ascii="Calibri" w:hAnsi="Calibri"/>
      <w:sz w:val="24"/>
      <w:szCs w:val="24"/>
      <w:lang w:eastAsia="en-US" w:bidi="en-US"/>
    </w:rPr>
  </w:style>
  <w:style w:type="paragraph" w:styleId="1000" w:customStyle="1">
    <w:name w:val="Body Text(ch)"/>
    <w:basedOn w:val="918"/>
    <w:next w:val="937"/>
    <w:uiPriority w:val="0"/>
    <w:qFormat/>
    <w:pPr>
      <w:spacing w:after="120"/>
    </w:pPr>
    <w:rPr>
      <w:rFonts w:ascii="宋体" w:hAnsi="Arial"/>
      <w:bCs/>
      <w:iCs/>
      <w:szCs w:val="24"/>
    </w:rPr>
  </w:style>
  <w:style w:type="paragraph" w:styleId="1001" w:customStyle="1">
    <w:name w:val="xl27"/>
    <w:basedOn w:val="9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2" w:customStyle="1">
    <w:name w:val="xl26"/>
    <w:basedOn w:val="9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3" w:customStyle="1">
    <w:name w:val="Char"/>
    <w:basedOn w:val="918"/>
    <w:uiPriority w:val="0"/>
    <w:qFormat/>
    <w:pPr>
      <w:ind w:firstLine="200"/>
      <w:tabs>
        <w:tab w:val="left" w:pos="360" w:leader="none"/>
      </w:tabs>
    </w:pPr>
    <w:rPr>
      <w:sz w:val="28"/>
      <w:szCs w:val="30"/>
    </w:rPr>
  </w:style>
  <w:style w:type="paragraph" w:styleId="1004" w:customStyle="1">
    <w:name w:val="Char1"/>
    <w:basedOn w:val="934"/>
    <w:uiPriority w:val="0"/>
    <w:qFormat/>
    <w:rPr>
      <w:rFonts w:ascii="Tahoma" w:hAnsi="Tahoma"/>
      <w:sz w:val="24"/>
      <w:szCs w:val="24"/>
    </w:rPr>
  </w:style>
  <w:style w:type="paragraph" w:styleId="1005" w:customStyle="1">
    <w:name w:val="普通正文"/>
    <w:basedOn w:val="918"/>
    <w:uiPriority w:val="0"/>
    <w:qFormat/>
    <w:pPr>
      <w:ind w:firstLine="480"/>
      <w:jc w:val="left"/>
      <w:spacing w:before="120" w:after="120" w:line="360" w:lineRule="auto"/>
    </w:pPr>
    <w:rPr>
      <w:rFonts w:ascii="Arial" w:hAnsi="Arial"/>
      <w:sz w:val="24"/>
      <w:szCs w:val="24"/>
    </w:rPr>
  </w:style>
  <w:style w:type="paragraph" w:styleId="1006" w:customStyle="1">
    <w:name w:val="table_lines"/>
    <w:basedOn w:val="918"/>
    <w:uiPriority w:val="0"/>
    <w:qFormat/>
    <w:pPr>
      <w:jc w:val="left"/>
      <w:widowControl/>
    </w:pPr>
    <w:rPr>
      <w:sz w:val="20"/>
      <w:szCs w:val="20"/>
      <w:lang w:val="de-DE" w:eastAsia="de-DE"/>
    </w:rPr>
  </w:style>
  <w:style w:type="paragraph" w:styleId="100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08" w:customStyle="1">
    <w:name w:val="font7"/>
    <w:basedOn w:val="918"/>
    <w:uiPriority w:val="0"/>
    <w:qFormat/>
    <w:pPr>
      <w:jc w:val="left"/>
      <w:spacing w:before="100" w:beforeAutospacing="1" w:after="100" w:afterAutospacing="1"/>
      <w:widowControl/>
    </w:pPr>
    <w:rPr>
      <w:rFonts w:hint="eastAsia" w:ascii="宋体" w:hAnsi="宋体"/>
      <w:sz w:val="18"/>
      <w:szCs w:val="18"/>
    </w:rPr>
  </w:style>
  <w:style w:type="paragraph" w:styleId="1009" w:customStyle="1">
    <w:name w:val="Char Char Char Char"/>
    <w:basedOn w:val="934"/>
    <w:uiPriority w:val="0"/>
    <w:qFormat/>
    <w:pPr>
      <w:spacing w:line="360" w:lineRule="auto"/>
    </w:pPr>
    <w:rPr>
      <w:rFonts w:ascii="Tahoma" w:hAnsi="Tahoma"/>
      <w:sz w:val="24"/>
      <w:szCs w:val="24"/>
    </w:rPr>
  </w:style>
  <w:style w:type="paragraph" w:styleId="1010">
    <w:name w:val="List Paragraph"/>
    <w:basedOn w:val="918"/>
    <w:uiPriority w:val="0"/>
    <w:qFormat/>
    <w:pPr>
      <w:contextualSpacing/>
      <w:ind w:left="720"/>
      <w:jc w:val="left"/>
      <w:widowControl/>
    </w:pPr>
    <w:rPr>
      <w:rFonts w:ascii="Calibri" w:hAnsi="Calibri"/>
      <w:sz w:val="24"/>
      <w:szCs w:val="24"/>
      <w:lang w:eastAsia="en-US" w:bidi="en-US"/>
    </w:rPr>
  </w:style>
  <w:style w:type="paragraph" w:styleId="1011" w:customStyle="1">
    <w:name w:val="4"/>
    <w:basedOn w:val="918"/>
    <w:next w:val="952"/>
    <w:uiPriority w:val="0"/>
    <w:qFormat/>
    <w:pPr>
      <w:ind w:firstLine="420"/>
      <w:spacing w:line="360" w:lineRule="auto"/>
    </w:pPr>
    <w:rPr>
      <w:color w:val="ff0000"/>
      <w:sz w:val="24"/>
      <w:szCs w:val="24"/>
    </w:rPr>
  </w:style>
  <w:style w:type="paragraph" w:styleId="1012" w:customStyle="1">
    <w:name w:val="普通 (Web)"/>
    <w:basedOn w:val="918"/>
    <w:uiPriority w:val="0"/>
    <w:qFormat/>
    <w:pPr>
      <w:jc w:val="left"/>
      <w:spacing w:before="100" w:beforeAutospacing="1" w:after="100" w:afterAutospacing="1"/>
      <w:widowControl/>
    </w:pPr>
    <w:rPr>
      <w:rFonts w:ascii="宋体" w:hAnsi="宋体"/>
      <w:sz w:val="24"/>
      <w:szCs w:val="24"/>
    </w:rPr>
  </w:style>
  <w:style w:type="paragraph" w:styleId="1013" w:customStyle="1">
    <w:name w:val="Char Char Char Char Char Char Char Char Char Char"/>
    <w:basedOn w:val="918"/>
    <w:uiPriority w:val="0"/>
    <w:qFormat/>
    <w:pPr>
      <w:spacing w:line="360" w:lineRule="auto"/>
    </w:pPr>
    <w:rPr>
      <w:sz w:val="24"/>
      <w:szCs w:val="20"/>
    </w:rPr>
  </w:style>
  <w:style w:type="paragraph" w:styleId="1014" w:customStyle="1">
    <w:name w:val="样式1"/>
    <w:basedOn w:val="918"/>
    <w:uiPriority w:val="0"/>
    <w:qFormat/>
    <w:pPr>
      <w:numPr>
        <w:ilvl w:val="0"/>
        <w:numId w:val="3"/>
      </w:numPr>
    </w:pPr>
    <w:rPr>
      <w:rFonts w:ascii="宋体" w:hAnsi="宋体"/>
    </w:rPr>
  </w:style>
  <w:style w:type="paragraph" w:styleId="1015" w:customStyle="1">
    <w:name w:val="font6"/>
    <w:basedOn w:val="918"/>
    <w:uiPriority w:val="0"/>
    <w:qFormat/>
    <w:pPr>
      <w:jc w:val="left"/>
      <w:spacing w:before="100" w:beforeAutospacing="1" w:after="100" w:afterAutospacing="1"/>
      <w:widowControl/>
    </w:pPr>
    <w:rPr>
      <w:rFonts w:hint="eastAsia" w:ascii="宋体" w:hAnsi="宋体"/>
      <w:sz w:val="28"/>
      <w:szCs w:val="28"/>
      <w:u w:val="single"/>
    </w:rPr>
  </w:style>
  <w:style w:type="paragraph" w:styleId="1016" w:customStyle="1">
    <w:name w:val="xl25"/>
    <w:basedOn w:val="9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customStyle="1">
    <w:name w:val="图标"/>
    <w:basedOn w:val="918"/>
    <w:next w:val="918"/>
    <w:uiPriority w:val="0"/>
    <w:qFormat/>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1018" w:customStyle="1">
    <w:name w:val="标题3"/>
    <w:basedOn w:val="918"/>
    <w:next w:val="918"/>
    <w:uiPriority w:val="0"/>
    <w:qFormat/>
    <w:pPr>
      <w:ind w:firstLine="624"/>
      <w:spacing w:line="590" w:lineRule="atLeast"/>
    </w:pPr>
    <w:rPr>
      <w:rFonts w:ascii="方正黑体_GBK" w:eastAsia="方正黑体_GBK"/>
      <w:sz w:val="32"/>
      <w:szCs w:val="32"/>
    </w:rPr>
  </w:style>
  <w:style w:type="paragraph" w:styleId="1019" w:customStyle="1">
    <w:name w:val="xl24"/>
    <w:basedOn w:val="9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0" w:customStyle="1">
    <w:name w:val="xl29"/>
    <w:basedOn w:val="91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21" w:customStyle="1">
    <w:name w:val="Char Char Char Char Char Char Char Char"/>
    <w:basedOn w:val="918"/>
    <w:uiPriority w:val="0"/>
    <w:qFormat/>
    <w:pPr>
      <w:jc w:val="left"/>
      <w:spacing w:after="160" w:line="240" w:lineRule="exact"/>
      <w:widowControl/>
    </w:pPr>
    <w:rPr>
      <w:rFonts w:ascii="Verdana" w:hAnsi="Verdana"/>
      <w:sz w:val="20"/>
      <w:szCs w:val="20"/>
      <w:lang w:eastAsia="en-US"/>
    </w:rPr>
  </w:style>
  <w:style w:type="paragraph" w:styleId="1022" w:customStyle="1">
    <w:name w:val="xl28"/>
    <w:basedOn w:val="91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23" w:customStyle="1">
    <w:name w:val="Char Char Char Char Char Char Char Char1"/>
    <w:basedOn w:val="918"/>
    <w:uiPriority w:val="0"/>
    <w:qFormat/>
    <w:pPr>
      <w:jc w:val="left"/>
      <w:spacing w:after="160" w:line="240" w:lineRule="exact"/>
      <w:widowControl/>
    </w:pPr>
    <w:rPr>
      <w:rFonts w:ascii="Verdana" w:hAnsi="Verdana"/>
      <w:sz w:val="20"/>
      <w:szCs w:val="20"/>
      <w:lang w:eastAsia="en-US"/>
    </w:rPr>
  </w:style>
  <w:style w:type="paragraph" w:styleId="1024" w:customStyle="1">
    <w:name w:val="xl30"/>
    <w:basedOn w:val="918"/>
    <w:uiPriority w:val="0"/>
    <w:qFormat/>
    <w:pPr>
      <w:jc w:val="center"/>
      <w:spacing w:before="100" w:beforeAutospacing="1" w:after="100" w:afterAutospacing="1"/>
      <w:widowControl/>
    </w:pPr>
    <w:rPr>
      <w:rFonts w:ascii="宋体" w:hAnsi="宋体"/>
      <w:b/>
      <w:bCs/>
      <w:sz w:val="36"/>
      <w:szCs w:val="36"/>
    </w:rPr>
  </w:style>
  <w:style w:type="paragraph" w:styleId="1025" w:customStyle="1">
    <w:name w:val="Char Char Char Char1"/>
    <w:basedOn w:val="934"/>
    <w:uiPriority w:val="0"/>
    <w:qFormat/>
    <w:pPr>
      <w:spacing w:line="360" w:lineRule="auto"/>
    </w:pPr>
    <w:rPr>
      <w:rFonts w:ascii="Tahoma" w:hAnsi="Tahoma"/>
      <w:sz w:val="24"/>
      <w:szCs w:val="24"/>
    </w:rPr>
  </w:style>
  <w:style w:type="paragraph" w:styleId="1026" w:customStyle="1">
    <w:name w:val="table_1stline"/>
    <w:basedOn w:val="918"/>
    <w:uiPriority w:val="0"/>
    <w:qFormat/>
    <w:pPr>
      <w:jc w:val="left"/>
      <w:spacing w:before="120"/>
      <w:widowControl/>
    </w:pPr>
    <w:rPr>
      <w:bCs/>
      <w:sz w:val="20"/>
      <w:szCs w:val="20"/>
      <w:lang w:val="de-DE" w:eastAsia="de-DE"/>
    </w:rPr>
  </w:style>
  <w:style w:type="paragraph" w:styleId="1027" w:customStyle="1">
    <w:name w:val="font5"/>
    <w:basedOn w:val="918"/>
    <w:uiPriority w:val="0"/>
    <w:qFormat/>
    <w:pPr>
      <w:jc w:val="left"/>
      <w:spacing w:before="100" w:beforeAutospacing="1" w:after="100" w:afterAutospacing="1"/>
      <w:widowControl/>
    </w:pPr>
    <w:rPr>
      <w:rFonts w:hint="eastAsia" w:ascii="宋体" w:hAnsi="宋体"/>
      <w:sz w:val="28"/>
      <w:szCs w:val="28"/>
    </w:rPr>
  </w:style>
  <w:style w:type="paragraph" w:styleId="1028" w:customStyle="1">
    <w:name w:val="标题1"/>
    <w:basedOn w:val="918"/>
    <w:next w:val="9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customStyle="1">
    <w:name w:val="_Style 111"/>
    <w:uiPriority w:val="99"/>
    <w:semiHidden/>
    <w:qFormat/>
    <w:rPr>
      <w:rFonts w:ascii="Times New Roman" w:hAnsi="Times New Roman" w:eastAsia="宋体" w:cs="Times New Roman"/>
      <w:sz w:val="21"/>
      <w:szCs w:val="21"/>
      <w:lang w:val="en-US" w:eastAsia="zh-CN" w:bidi="ar-SA"/>
    </w:rPr>
  </w:style>
  <w:style w:type="paragraph" w:styleId="1030">
    <w:name w:val="No Spacing"/>
    <w:uiPriority w:val="99"/>
    <w:qFormat/>
    <w:pPr>
      <w:jc w:val="both"/>
      <w:widowControl w:val="off"/>
    </w:pPr>
    <w:rPr>
      <w:rFonts w:ascii="Times New Roman" w:hAnsi="Times New Roman" w:eastAsia="宋体" w:cs="Times New Roman"/>
      <w:sz w:val="21"/>
      <w:szCs w:val="21"/>
      <w:lang w:val="en-US" w:eastAsia="zh-CN" w:bidi="ar-SA"/>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唐雪菲</cp:lastModifiedBy>
  <cp:revision>12</cp:revision>
  <dcterms:created xsi:type="dcterms:W3CDTF">2026-10-13T03:42:00Z</dcterms:created>
  <dcterms:modified xsi:type="dcterms:W3CDTF">2026-10-21T07:22:16Z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eyJoZGlkIjoiOGVmMTA1MjNlOTllNzE0NjI5OTFmMTAzMjJlOWU3N2QiLCJ1c2VySWQiOiI0Njk1NTcwNzAifQ==</vt:lpwstr>
  </property>
  <property fmtid="{D5CDD505-2E9C-101B-9397-08002B2CF9AE}" pid="3" name="KSOProductBuildVer">
    <vt:lpwstr>2052-12.1.0.28505</vt:lpwstr>
  </property>
  <property fmtid="{D5CDD505-2E9C-101B-9397-08002B2CF9AE}" pid="4" name="ICV">
    <vt:lpwstr>8AAC9A4930B34037ABBCBA15224B23A4_13</vt:lpwstr>
  </property>
  <property fmtid="{D5CDD505-2E9C-101B-9397-08002B2CF9AE}" pid="5" name="KSOSaveFontToCloudKey">
    <vt:lpwstr>358027269_cloud</vt:lpwstr>
  </property>
</Properties>
</file>