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4"/>
        <w:rPr>
          <w:rFonts w:hint="eastAsia"/>
          <w:highlight w:val="none"/>
        </w:rPr>
      </w:pPr>
      <w:r>
        <w:rPr>
          <w:rFonts w:hint="eastAsia"/>
          <w:highlight w:val="none"/>
        </w:rPr>
      </w:r>
      <w:r/>
    </w:p>
    <w:p>
      <w:pPr>
        <w:pStyle w:val="967"/>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ascii="Times New Roman" w:hAnsi="Times New Roman"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江苏脑机接口研究院脑机接口平台服务器</w:t>
      </w:r>
      <w:r>
        <w:rPr>
          <w:rFonts w:ascii="Times New Roman" w:hAnsi="Times New Roman" w:eastAsia="宋体" w:cs="Times New Roman"/>
          <w:b/>
          <w:color w:val="000000"/>
          <w:sz w:val="30"/>
          <w:szCs w:val="30"/>
          <w:highlight w:val="none"/>
          <w:lang w:val="en-US" w:eastAsia="zh-CN"/>
        </w:rPr>
      </w:r>
      <w:r/>
    </w:p>
    <w:p>
      <w:pPr>
        <w:pStyle w:val="87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0359</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942"/>
        <w:rPr>
          <w:rFonts w:hint="eastAsia"/>
          <w:color w:val="000000"/>
          <w:lang w:val="en-US" w:eastAsia="zh-CN"/>
        </w:rPr>
      </w:pPr>
      <w:r>
        <w:rPr>
          <w:rFonts w:hint="eastAsia"/>
          <w:color w:val="000000"/>
          <w:lang w:val="en-US"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7"/>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0"/>
        </w:numPr>
        <w:ind w:left="1440" w:hanging="1440"/>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b w:val="0"/>
          <w:color w:val="000000"/>
          <w:sz w:val="36"/>
          <w:szCs w:val="21"/>
          <w:lang w:val="en-US" w:eastAsia="zh-CN" w:bidi="ar-SA"/>
        </w:rPr>
        <w:t xml:space="preserve">第一章</w:t>
      </w: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1"/>
        <w:numPr>
          <w:ilvl w:val="0"/>
          <w:numId w:val="0"/>
        </w:numPr>
        <w:ind w:left="1440" w:hanging="1440"/>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b w:val="0"/>
          <w:color w:val="000000"/>
          <w:sz w:val="36"/>
          <w:szCs w:val="21"/>
          <w:lang w:val="en-US" w:eastAsia="zh-CN" w:bidi="ar-SA"/>
        </w:rPr>
        <w:t xml:space="preserve">第二章</w:t>
      </w: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1"/>
        <w:numPr>
          <w:ilvl w:val="0"/>
          <w:numId w:val="0"/>
        </w:numPr>
        <w:ind w:left="1440" w:hanging="1440"/>
        <w:jc w:val="center"/>
        <w:keepLines w:val="0"/>
        <w:keepNext w:val="0"/>
        <w:pageBreakBefore w:val="0"/>
        <w:spacing w:line="960" w:lineRule="auto"/>
        <w:widowControl w:val="off"/>
        <w:rPr>
          <w:rFonts w:ascii="黑体" w:hAnsi="宋体" w:eastAsia="黑体" w:cs="Times New Roman"/>
          <w:color w:val="000000"/>
          <w:sz w:val="36"/>
          <w:szCs w:val="21"/>
          <w:highlight w:val="none"/>
          <w:lang w:val="en-US"/>
        </w:rPr>
        <w:outlineLvl w:val="1"/>
      </w:pPr>
      <w:r>
        <w:rPr>
          <w:rFonts w:hint="eastAsia" w:ascii="黑体" w:hAnsi="宋体" w:eastAsia="黑体" w:cs="Times New Roman"/>
          <w:b w:val="0"/>
          <w:color w:val="000000"/>
          <w:sz w:val="36"/>
          <w:szCs w:val="21"/>
          <w:lang w:val="en-US" w:eastAsia="zh-CN" w:bidi="ar-SA"/>
        </w:rPr>
        <w:t xml:space="preserve">第三章</w:t>
      </w: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ascii="黑体" w:hAnsi="宋体" w:eastAsia="黑体" w:cs="Times New Roman"/>
          <w:color w:val="000000"/>
          <w:sz w:val="36"/>
          <w:szCs w:val="21"/>
          <w:highlight w:val="none"/>
          <w:lang w:val="en-US"/>
        </w:rPr>
      </w:r>
      <w:r/>
    </w:p>
    <w:p>
      <w:pPr>
        <w:pStyle w:val="871"/>
        <w:numPr>
          <w:ilvl w:val="0"/>
          <w:numId w:val="0"/>
        </w:numPr>
        <w:ind w:left="1440" w:hanging="1440"/>
        <w:jc w:val="center"/>
        <w:keepLines w:val="0"/>
        <w:keepNext w:val="0"/>
        <w:pageBreakBefore w:val="0"/>
        <w:spacing w:line="960" w:lineRule="auto"/>
        <w:widowControl w:val="off"/>
        <w:rPr>
          <w:rFonts w:ascii="黑体" w:hAnsi="宋体" w:eastAsia="黑体" w:cs="Times New Roman"/>
          <w:color w:val="000000"/>
          <w:sz w:val="36"/>
          <w:szCs w:val="21"/>
          <w:highlight w:val="none"/>
          <w:lang w:val="en-US"/>
        </w:rPr>
        <w:outlineLvl w:val="1"/>
      </w:pPr>
      <w:r>
        <w:rPr>
          <w:rFonts w:hint="eastAsia" w:ascii="黑体" w:hAnsi="宋体" w:eastAsia="黑体" w:cs="Times New Roman"/>
          <w:b w:val="0"/>
          <w:color w:val="000000"/>
          <w:sz w:val="36"/>
          <w:szCs w:val="21"/>
          <w:lang w:val="en-US" w:eastAsia="zh-CN" w:bidi="ar-SA"/>
        </w:rPr>
        <w:t xml:space="preserve">第四章</w:t>
      </w: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rPr>
          <w:rFonts w:ascii="黑体" w:hAnsi="宋体" w:eastAsia="黑体" w:cs="Times New Roman"/>
          <w:color w:val="000000"/>
          <w:sz w:val="36"/>
          <w:szCs w:val="21"/>
          <w:highlight w:val="none"/>
          <w:lang w:val="en-US"/>
        </w:rPr>
      </w:r>
      <w:r/>
    </w:p>
    <w:p>
      <w:pPr>
        <w:pStyle w:val="871"/>
        <w:numPr>
          <w:ilvl w:val="0"/>
          <w:numId w:val="0"/>
        </w:numPr>
        <w:ind w:left="1440" w:hanging="1440"/>
        <w:jc w:val="center"/>
        <w:keepLines w:val="0"/>
        <w:keepNext w:val="0"/>
        <w:pageBreakBefore w:val="0"/>
        <w:spacing w:line="960" w:lineRule="auto"/>
        <w:widowControl w:val="off"/>
        <w:rPr>
          <w:rFonts w:ascii="黑体" w:hAnsi="宋体" w:eastAsia="黑体" w:cs="Times New Roman"/>
          <w:color w:val="000000"/>
          <w:sz w:val="36"/>
          <w:szCs w:val="21"/>
          <w:highlight w:val="none"/>
          <w:lang w:val="en-US"/>
        </w:rPr>
        <w:outlineLvl w:val="1"/>
      </w:pPr>
      <w:r>
        <w:rPr>
          <w:rFonts w:hint="eastAsia" w:ascii="黑体" w:hAnsi="宋体" w:eastAsia="黑体" w:cs="Times New Roman"/>
          <w:b w:val="0"/>
          <w:color w:val="000000"/>
          <w:sz w:val="36"/>
          <w:szCs w:val="21"/>
          <w:lang w:val="en-US" w:eastAsia="zh-CN" w:bidi="ar-SA"/>
        </w:rPr>
        <w:t xml:space="preserve">第五章</w:t>
      </w: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26</w:t>
      </w:r>
      <w:r>
        <w:rPr>
          <w:rFonts w:ascii="黑体" w:hAnsi="宋体" w:eastAsia="黑体" w:cs="Times New Roman"/>
          <w:color w:val="000000"/>
          <w:sz w:val="36"/>
          <w:szCs w:val="21"/>
          <w:highlight w:val="none"/>
          <w:lang w:val="en-US"/>
        </w:rPr>
      </w:r>
      <w:r/>
    </w:p>
    <w:p>
      <w:pPr>
        <w:pStyle w:val="871"/>
        <w:numPr>
          <w:ilvl w:val="0"/>
          <w:numId w:val="0"/>
        </w:numPr>
        <w:ind w:left="1440" w:hanging="1440"/>
        <w:jc w:val="center"/>
        <w:keepLines w:val="0"/>
        <w:keepNext w:val="0"/>
        <w:pageBreakBefore w:val="0"/>
        <w:spacing w:line="960" w:lineRule="auto"/>
        <w:widowControl w:val="off"/>
        <w:rPr>
          <w:rFonts w:ascii="黑体" w:hAnsi="宋体" w:eastAsia="黑体" w:cs="Times New Roman"/>
          <w:color w:val="000000"/>
          <w:sz w:val="36"/>
          <w:szCs w:val="21"/>
          <w:highlight w:val="none"/>
          <w:lang w:val="en-US"/>
        </w:rPr>
        <w:outlineLvl w:val="1"/>
      </w:pPr>
      <w:r>
        <w:rPr>
          <w:rFonts w:hint="eastAsia" w:ascii="黑体" w:hAnsi="宋体" w:eastAsia="黑体" w:cs="Times New Roman"/>
          <w:b w:val="0"/>
          <w:color w:val="000000"/>
          <w:sz w:val="36"/>
          <w:szCs w:val="21"/>
          <w:lang w:val="en-US" w:eastAsia="zh-CN" w:bidi="ar-SA"/>
        </w:rPr>
        <w:t xml:space="preserve">第六章</w:t>
      </w: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28</w:t>
      </w:r>
      <w:r>
        <w:rPr>
          <w:rFonts w:ascii="黑体" w:hAnsi="宋体" w:eastAsia="黑体" w:cs="Times New Roman"/>
          <w:color w:val="000000"/>
          <w:sz w:val="36"/>
          <w:szCs w:val="21"/>
          <w:highlight w:val="none"/>
          <w:lang w:val="en-US"/>
        </w:rPr>
      </w:r>
      <w:r/>
    </w:p>
    <w:p>
      <w:pPr>
        <w:pStyle w:val="871"/>
        <w:jc w:val="center"/>
        <w:spacing w:line="480" w:lineRule="auto"/>
        <w:rPr>
          <w:rFonts w:hint="eastAsia" w:ascii="黑体" w:hAnsi="Arial" w:eastAsia="黑体"/>
          <w:b/>
          <w:color w:val="000000"/>
          <w:sz w:val="44"/>
          <w:szCs w:val="21"/>
          <w:highlight w:val="none"/>
        </w:rPr>
        <w:outlineLvl w:val="9"/>
      </w:pPr>
      <w:r>
        <w:rPr>
          <w:rFonts w:hint="eastAsia" w:ascii="黑体" w:hAnsi="Arial" w:eastAsia="黑体"/>
          <w:b/>
          <w:color w:val="000000"/>
          <w:sz w:val="44"/>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bookmarkEnd w:id="0"/>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ascii="宋体" w:hAnsi="宋体"/>
          <w:color w:val="000000"/>
          <w:sz w:val="24"/>
          <w:szCs w:val="24"/>
          <w:highlight w:val="none"/>
        </w:rPr>
      </w:pPr>
      <w:r/>
      <w:bookmarkEnd w:id="11"/>
      <w:r/>
      <w:bookmarkStart w:id="12" w:name="_Toc28359080"/>
      <w:r/>
      <w:bookmarkStart w:id="13" w:name="_Toc38985264"/>
      <w:r/>
      <w:bookmarkStart w:id="14" w:name="_Toc35393622"/>
      <w:r/>
      <w:bookmarkStart w:id="15" w:name="_Toc35393791"/>
      <w:r/>
      <w:bookmarkStart w:id="16" w:name="_Toc28359003"/>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0359</w:t>
      </w:r>
      <w:r>
        <w:rPr>
          <w:rFonts w:hint="eastAsia" w:ascii="宋体" w:hAnsi="宋体" w:eastAsia="宋体" w:cs="Times New Roman"/>
          <w:color w:val="000000"/>
          <w:sz w:val="24"/>
          <w:szCs w:val="24"/>
          <w:highlight w:val="none"/>
          <w:lang w:eastAsia="zh-CN"/>
        </w:rPr>
        <w:t xml:space="preserve"> </w:t>
      </w:r>
      <w:r>
        <w:rPr>
          <w:rFonts w:ascii="宋体" w:hAnsi="宋体"/>
          <w:color w:val="000000"/>
          <w:sz w:val="24"/>
          <w:szCs w:val="24"/>
          <w:highlight w:val="none"/>
        </w:rPr>
      </w:r>
      <w:r/>
    </w:p>
    <w:p>
      <w:pPr>
        <w:pStyle w:val="871"/>
        <w:ind w:firstLine="480"/>
        <w:pageBreakBefore w:val="0"/>
        <w:spacing w:line="264"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eastAsia="宋体" w:cs="Times New Roman"/>
          <w:sz w:val="24"/>
          <w:szCs w:val="24"/>
          <w:highlight w:val="none"/>
        </w:rPr>
        <w:t xml:space="preserve">江苏脑机接口研究院脑机接口平台服务器</w:t>
      </w:r>
      <w:r>
        <w:rPr>
          <w:rFonts w:hint="eastAsia" w:ascii="宋体" w:hAnsi="宋体" w:eastAsia="宋体"/>
          <w:sz w:val="24"/>
          <w:szCs w:val="24"/>
          <w:highlight w:val="none"/>
          <w:lang w:eastAsia="zh-CN"/>
        </w:rPr>
      </w:r>
      <w:r/>
    </w:p>
    <w:p>
      <w:pPr>
        <w:pStyle w:val="871"/>
        <w:ind w:firstLine="480"/>
        <w:spacing w:line="264" w:lineRule="auto"/>
        <w:rPr>
          <w:rFonts w:ascii="宋体" w:hAnsi="宋体"/>
          <w:color w:val="000000"/>
          <w:sz w:val="24"/>
          <w:szCs w:val="24"/>
          <w:highlight w:val="none"/>
          <w:lang w:val="en-US"/>
        </w:rPr>
      </w:pPr>
      <w:r>
        <w:rPr>
          <w:rFonts w:hint="eastAsia" w:ascii="宋体" w:hAnsi="宋体"/>
          <w:sz w:val="24"/>
          <w:szCs w:val="24"/>
          <w:highlight w:val="none"/>
        </w:rPr>
        <w:t xml:space="preserve">3.预算金额</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400万元</w:t>
      </w:r>
      <w:r>
        <w:rPr>
          <w:rFonts w:ascii="宋体" w:hAnsi="宋体"/>
          <w:color w:val="000000"/>
          <w:sz w:val="24"/>
          <w:szCs w:val="24"/>
          <w:highlight w:val="none"/>
          <w:lang w:val="en-US"/>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400万元</w:t>
      </w:r>
      <w:r>
        <w:rPr>
          <w:rFonts w:hint="eastAsia" w:ascii="宋体" w:hAnsi="宋体" w:eastAsia="宋体" w:cs="宋体"/>
          <w:color w:val="000000"/>
          <w:sz w:val="24"/>
          <w:szCs w:val="24"/>
          <w:highlight w:val="none"/>
          <w:lang w:eastAsia="zh-CN"/>
        </w:rPr>
      </w:r>
      <w:r/>
    </w:p>
    <w:p>
      <w:pPr>
        <w:pStyle w:val="871"/>
        <w:ind w:firstLine="480"/>
        <w:pageBreakBefore w:val="0"/>
        <w:spacing w:line="264"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sz w:val="24"/>
          <w:szCs w:val="24"/>
          <w:highlight w:val="none"/>
        </w:rPr>
        <w:t xml:space="preserve">为开展脑机接口相关科研工作，采购通用服务器、交换机及配套超融合软件，构建虚拟化环境，满足业务系统部署需求</w:t>
      </w:r>
      <w:r>
        <w:rPr>
          <w:rFonts w:hint="eastAsia" w:ascii="宋体" w:hAnsi="宋体"/>
          <w:color w:val="000000"/>
          <w:sz w:val="24"/>
          <w:szCs w:val="24"/>
          <w:highlight w:val="none"/>
          <w:lang w:val="en-US" w:eastAsia="zh-CN"/>
        </w:rPr>
        <w:t xml:space="preserve">。</w:t>
      </w:r>
      <w:r>
        <w:rPr>
          <w:rFonts w:hint="eastAsia" w:ascii="宋体" w:hAnsi="宋体" w:cs="宋体"/>
          <w:sz w:val="24"/>
          <w:szCs w:val="24"/>
          <w:highlight w:val="none"/>
        </w:rPr>
        <w:t xml:space="preserve">（详细内容见本招标文件第四章） </w:t>
      </w:r>
      <w:r>
        <w:rPr>
          <w:rFonts w:ascii="宋体" w:hAnsi="宋体"/>
          <w:sz w:val="24"/>
          <w:szCs w:val="24"/>
          <w:highlight w:val="none"/>
          <w:u w:val="single"/>
        </w:rPr>
      </w:r>
      <w:r/>
    </w:p>
    <w:p>
      <w:pPr>
        <w:pStyle w:val="871"/>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sz w:val="24"/>
          <w:szCs w:val="24"/>
          <w:highlight w:val="none"/>
        </w:rPr>
        <w:t xml:space="preserve">6.合同履行期限：</w:t>
      </w:r>
      <w:r>
        <w:rPr>
          <w:rFonts w:hint="eastAsia" w:ascii="宋体" w:hAnsi="宋体"/>
          <w:color w:val="000000"/>
          <w:sz w:val="24"/>
          <w:szCs w:val="24"/>
          <w:highlight w:val="none"/>
          <w:lang w:val="en-US" w:eastAsia="zh-CN"/>
        </w:rPr>
        <w:t xml:space="preserve">90天</w:t>
      </w:r>
      <w:r>
        <w:rPr>
          <w:rFonts w:hint="eastAsia" w:ascii="宋体" w:hAnsi="宋体"/>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28359081"/>
      <w:r/>
      <w:bookmarkStart w:id="19" w:name="_Toc28359004"/>
      <w:r/>
      <w:bookmarkStart w:id="20" w:name="_Toc35393623"/>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4"/>
        <w:ind w:firstLine="465"/>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1"/>
        <w:ind w:firstLine="480"/>
        <w:pageBreakBefore w:val="0"/>
        <w:spacing w:line="264"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bCs/>
          <w:sz w:val="24"/>
          <w:szCs w:val="24"/>
          <w:highlight w:val="none"/>
          <w:u w:val="single"/>
          <w:lang w:val="en-US" w:eastAsia="zh-CN"/>
        </w:rPr>
      </w:pPr>
      <w:r/>
      <w:bookmarkStart w:id="27" w:name="_Toc28359084"/>
      <w:r/>
      <w:bookmarkStart w:id="28" w:name="_Toc35393625"/>
      <w:r/>
      <w:bookmarkStart w:id="29" w:name="_Toc35393794"/>
      <w:r/>
      <w:bookmarkStart w:id="30" w:name="_Toc38985267"/>
      <w:r/>
      <w:bookmarkStart w:id="31" w:name="_Toc2835900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年11</w:t>
      </w:r>
      <w:r>
        <w:rPr>
          <w:rFonts w:hint="eastAsia" w:ascii="宋体" w:hAnsi="宋体"/>
          <w:bCs/>
          <w:color w:val="000000" w:themeColor="text1"/>
          <w:sz w:val="24"/>
          <w:szCs w:val="24"/>
          <w:highlight w:val="none"/>
          <w:u w:val="none"/>
        </w:rPr>
        <w:t xml:space="preserve">月5</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highlight w:val="none"/>
          <w:u w:val="none"/>
          <w:lang w:val="en-US" w:eastAsia="zh-CN"/>
        </w:rPr>
        <w:t xml:space="preserve">时00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rPr>
        <w:t xml:space="preserve">（</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1"/>
        <w:ind w:firstLine="480"/>
        <w:pageBreakBefore w:val="0"/>
        <w:spacing w:line="264"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ascii="宋体" w:hAnsi="宋体" w:cs="宋体"/>
          <w:sz w:val="24"/>
          <w:szCs w:val="24"/>
          <w:highlight w:val="none"/>
        </w:rPr>
      </w:pPr>
      <w:r/>
      <w:bookmarkStart w:id="32" w:name="_Toc35393626"/>
      <w:r/>
      <w:bookmarkStart w:id="33" w:name="_Toc38985268"/>
      <w:r/>
      <w:bookmarkStart w:id="34" w:name="_Toc35393795"/>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28359008"/>
      <w:r/>
      <w:bookmarkStart w:id="36" w:name="_Toc35393627"/>
      <w:r/>
      <w:bookmarkStart w:id="37" w:name="_Toc35393796"/>
      <w:r/>
      <w:bookmarkStart w:id="38" w:name="_Toc38985269"/>
      <w:r/>
      <w:bookmarkStart w:id="39"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w:t>
      </w:r>
      <w:r>
        <w:rPr>
          <w:rFonts w:hint="eastAsia" w:ascii="宋体" w:hAnsi="宋体" w:eastAsia="宋体" w:cs="Times New Roman"/>
          <w:b/>
          <w:bCs/>
          <w:color w:val="000000"/>
          <w:sz w:val="24"/>
          <w:highlight w:val="none"/>
          <w:lang w:val="en-US" w:eastAsia="zh-CN"/>
        </w:rPr>
        <w:t xml:space="preserve">与</w:t>
      </w:r>
      <w:r>
        <w:rPr>
          <w:rFonts w:hint="eastAsia" w:ascii="宋体" w:hAnsi="宋体" w:eastAsia="宋体" w:cs="Times New Roman"/>
          <w:b/>
          <w:bCs/>
          <w:color w:val="000000"/>
          <w:sz w:val="24"/>
          <w:highlight w:val="none"/>
          <w:lang w:val="en-US"/>
        </w:rPr>
        <w:t xml:space="preserve">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olor w:val="000000"/>
          <w:sz w:val="24"/>
          <w:szCs w:val="24"/>
          <w:lang w:val="en-US" w:eastAsia="zh-CN"/>
        </w:rPr>
        <w:t xml:space="preserve">吴女士</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4"/>
        </w:rPr>
        <w:t xml:space="preserve">南京市栖霞区纬地路9号江苏生命科技创新园 A3 栋</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olor w:val="000000"/>
          <w:sz w:val="24"/>
          <w:szCs w:val="24"/>
        </w:rPr>
        <w:t xml:space="preserve">025-</w:t>
      </w:r>
      <w:r>
        <w:rPr>
          <w:rFonts w:hint="eastAsia" w:ascii="宋体" w:hAnsi="宋体"/>
          <w:color w:val="000000"/>
          <w:sz w:val="24"/>
          <w:szCs w:val="24"/>
          <w:lang w:val="en-US" w:eastAsia="zh-CN"/>
        </w:rPr>
        <w:t xml:space="preserve">69567700</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871"/>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eastAsia="宋体" w:cs="Times New Roman"/>
          <w:color w:val="000000"/>
          <w:sz w:val="24"/>
          <w:szCs w:val="24"/>
        </w:rPr>
        <w:t xml:space="preserve">江苏脑机接口研究院  </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color w:val="000000"/>
          <w:sz w:val="24"/>
          <w:szCs w:val="24"/>
        </w:rPr>
        <w:t xml:space="preserve">地  址：</w:t>
      </w:r>
      <w:r>
        <w:rPr>
          <w:rFonts w:hint="eastAsia" w:ascii="宋体" w:hAnsi="宋体" w:eastAsia="宋体" w:cs="Times New Roman"/>
          <w:color w:val="000000"/>
          <w:sz w:val="24"/>
          <w:szCs w:val="24"/>
        </w:rPr>
        <w:t xml:space="preserve">南京市栖霞区纬地路9号江苏生命科技创新园 A3 栋    </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吴女士</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w:t>
      </w:r>
      <w:r>
        <w:rPr>
          <w:rFonts w:hint="eastAsia" w:ascii="宋体" w:hAnsi="宋体"/>
          <w:color w:val="000000"/>
          <w:sz w:val="24"/>
          <w:szCs w:val="24"/>
          <w:lang w:val="en-US" w:eastAsia="zh-CN"/>
        </w:rPr>
        <w:t xml:space="preserve">69567700</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pageBreakBefore w:val="0"/>
        <w:spacing w:line="264" w:lineRule="auto"/>
        <w:widowControl w:val="off"/>
        <w:rPr>
          <w:rFonts w:hint="eastAsia"/>
          <w:highlight w:val="none"/>
          <w:u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highlight w:val="none"/>
          <w:u w:val="none"/>
          <w:lang w:val="en-US" w:eastAsia="zh-CN"/>
        </w:rPr>
        <w:t xml:space="preserve"> </w:t>
      </w:r>
      <w:r>
        <w:rPr>
          <w:rFonts w:hint="eastAsia"/>
          <w:highlight w:val="none"/>
          <w:u w:val="none"/>
        </w:rPr>
      </w:r>
      <w:r/>
    </w:p>
    <w:p>
      <w:pPr>
        <w:pStyle w:val="95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14:ligatures w14:val="none"/>
        </w:rPr>
      </w:pPr>
      <w:r>
        <w:rPr>
          <w:rFonts w:hint="eastAsia" w:ascii="方正楷体_GBK" w:hAnsi="方正楷体_GBK" w:eastAsia="方正楷体_GBK" w:cs="方正楷体_GBK"/>
          <w:b/>
          <w:bCs/>
          <w:highlight w:val="none"/>
          <w:lang w:val="en-US" w:eastAsia="zh-CN"/>
        </w:rPr>
        <w:t xml:space="preserve">18.</w:t>
      </w:r>
      <w:r>
        <w:rPr>
          <w:rFonts w:hint="eastAsia" w:ascii="方正楷体_GBK" w:hAnsi="方正楷体_GBK" w:eastAsia="方正楷体_GBK" w:cs="方正楷体_GBK"/>
          <w:b/>
          <w:bCs/>
          <w:highlight w:val="none"/>
          <w:lang w:val="en-US"/>
        </w:rPr>
        <w:t xml:space="preserve">评标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南京市栖霞区财政局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479757207"/>
      <w:r/>
      <w:bookmarkStart w:id="45" w:name="_Toc20823314"/>
      <w:r/>
      <w:bookmarkStart w:id="46" w:name="_Toc513029242"/>
      <w:r/>
      <w:bookmarkStart w:id="47" w:name="_Toc16938558"/>
      <w:r>
        <w:rPr>
          <w:rFonts w:hint="eastAsia" w:ascii="宋体" w:hAnsi="宋体" w:eastAsia="宋体" w:cs="Times New Roman"/>
          <w:color w:val="000000"/>
          <w:sz w:val="24"/>
          <w:highlight w:val="none"/>
          <w:lang w:val="zh-CN" w:eastAsia="zh-CN"/>
        </w:rPr>
      </w:r>
      <w:r/>
    </w:p>
    <w:p>
      <w:pPr>
        <w:pStyle w:val="95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4"/>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1"/>
        <w:ind w:firstLine="480"/>
        <w:keepLines w:val="0"/>
        <w:keepNext w:val="0"/>
        <w:pageBreakBefore w:val="0"/>
        <w:spacing w:line="264" w:lineRule="auto"/>
        <w:widowControl w:val="off"/>
        <w:rPr>
          <w:rFonts w:hint="eastAsia" w:ascii="宋体" w:hAnsi="宋体"/>
          <w:bCs/>
          <w:color w:val="000000"/>
          <w:sz w:val="24"/>
          <w:szCs w:val="21"/>
          <w:highlight w:val="none"/>
        </w:rPr>
        <w:outlineLvl w:val="9"/>
      </w:pPr>
      <w:r/>
      <w:bookmarkStart w:id="48" w:name="_Toc16938559"/>
      <w:r/>
      <w:bookmarkStart w:id="49" w:name="_Toc20823315"/>
      <w:r/>
      <w:bookmarkStart w:id="50" w:name="_Toc513029243"/>
      <w:r/>
      <w:bookmarkStart w:id="51" w:name="_Hlt16619350"/>
      <w:r/>
      <w:bookmarkStart w:id="52" w:name="_Toc20823346"/>
      <w:r/>
      <w:bookmarkStart w:id="53" w:name="_Toc16938590"/>
      <w:r/>
      <w:bookmarkStart w:id="54" w:name="_Toc120614244"/>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eastAsia="宋体" w:cs="Courier New"/>
          <w:color w:val="000000"/>
          <w:sz w:val="24"/>
          <w:szCs w:val="24"/>
          <w:highlight w:val="none"/>
          <w:lang w:val="en-US"/>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七、合同转包或</w:t>
      </w:r>
      <w:r>
        <w:rPr>
          <w:rFonts w:hint="eastAsia" w:ascii="方正黑体_GBK" w:hAnsi="方正黑体_GBK" w:eastAsia="方正黑体_GBK" w:cs="方正黑体_GBK"/>
          <w:b w:val="0"/>
          <w:bCs/>
          <w:color w:val="000000"/>
          <w:sz w:val="24"/>
          <w:szCs w:val="24"/>
          <w:highlight w:val="none"/>
          <w:lang w:val="en-US" w:eastAsia="zh-CN"/>
        </w:rPr>
        <w:t xml:space="preserve">分</w:t>
      </w:r>
      <w:r>
        <w:rPr>
          <w:rFonts w:hint="eastAsia" w:ascii="方正黑体_GBK" w:hAnsi="方正黑体_GBK" w:eastAsia="方正黑体_GBK" w:cs="方正黑体_GBK"/>
          <w:b w:val="0"/>
          <w:bCs/>
          <w:color w:val="000000"/>
          <w:sz w:val="24"/>
          <w:szCs w:val="24"/>
          <w:highlight w:val="none"/>
          <w:lang w:eastAsia="zh-CN"/>
        </w:rPr>
        <w:t xml:space="preserve">包</w:t>
      </w:r>
      <w:r>
        <w:rPr>
          <w:rFonts w:hint="eastAsia" w:ascii="方正黑体_GBK" w:hAnsi="方正黑体_GBK" w:eastAsia="方正黑体_GBK" w:cs="方正黑体_GBK"/>
          <w:b w:val="0"/>
          <w:bCs/>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甲方支付合同总价款的70%。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w:t>
      </w:r>
      <w:r>
        <w:rPr>
          <w:rFonts w:hint="eastAsia" w:ascii="宋体" w:hAnsi="宋体" w:eastAsia="宋体" w:cs="Courier New"/>
          <w:color w:val="000000"/>
          <w:sz w:val="24"/>
          <w:szCs w:val="24"/>
          <w:highlight w:val="none"/>
          <w:lang w:val="en-US" w:eastAsia="zh-CN"/>
        </w:rPr>
        <w:t xml:space="preserve">身</w:t>
      </w:r>
      <w:r>
        <w:rPr>
          <w:rFonts w:hint="eastAsia" w:ascii="宋体" w:hAnsi="宋体" w:eastAsia="宋体" w:cs="Courier New"/>
          <w:color w:val="000000"/>
          <w:sz w:val="24"/>
          <w:szCs w:val="24"/>
          <w:highlight w:val="none"/>
        </w:rPr>
        <w:t xml:space="preserve">维修，维修时只收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甲方在组织履约验收前，将根据项目特点制定验收方案，明确验收的时间、方式、程序等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乙方在货物发运手续办理完毕后24小时内或货到甲方48小时前通知甲方，以准备接货。</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color w:val="000000"/>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万分之五</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lang w:val="en-US" w:eastAsia="zh-CN"/>
        </w:rPr>
        <w:t xml:space="preserve">百分之三十</w:t>
      </w:r>
      <w:r>
        <w:rPr>
          <w:rFonts w:ascii="宋体" w:hAnsi="宋体" w:cs="宋体"/>
          <w:sz w:val="24"/>
          <w:szCs w:val="24"/>
        </w:rPr>
        <w:t xml:space="preserve">。</w:t>
      </w:r>
      <w:r>
        <w:rPr>
          <w:rFonts w:hint="eastAsia" w:ascii="宋体" w:hAnsi="宋体" w:cs="Courier New"/>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color w:val="000000"/>
          <w:sz w:val="24"/>
          <w:szCs w:val="24"/>
          <w:u w:val="single"/>
        </w:rPr>
        <w:t xml:space="preserve">万分之五</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71"/>
        <w:keepLines w:val="0"/>
        <w:keepNext w:val="0"/>
        <w:pageBreakBefore w:val="0"/>
        <w:spacing w:before="0" w:after="0" w:line="264" w:lineRule="auto"/>
        <w:widowControl w:val="off"/>
        <w:rPr>
          <w:rFonts w:hint="eastAsia"/>
          <w:highlight w:val="none"/>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本合同正本一式两份，具有同等法律效力，甲方、乙方各执一份。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bookmarkEnd w:id="48"/>
      <w:r/>
      <w:bookmarkEnd w:id="49"/>
      <w:r/>
      <w:bookmarkEnd w:id="50"/>
      <w:r/>
      <w:bookmarkStart w:id="57" w:name="_Hlt16619369"/>
      <w:r/>
      <w:bookmarkEnd w:id="57"/>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49090575"/>
      <w:r/>
      <w:bookmarkStart w:id="59"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为开展脑机接口相关科研工作，采购通用服务器、交换机及配套超融合软件，构建虚拟化环境，满足业务系统部署需求。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（二）项目建设遵循标准</w:t>
      </w:r>
      <w:r>
        <w:rPr>
          <w:rFonts w:hint="eastAsia" w:ascii="宋体" w:hAnsi="宋体" w:eastAsia="宋体" w:cs="宋体"/>
          <w:bCs/>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sz w:val="24"/>
          <w:szCs w:val="24"/>
          <w:highlight w:val="none"/>
          <w:lang w:eastAsia="zh-CN"/>
        </w:rPr>
      </w:r>
      <w:r/>
    </w:p>
    <w:tbl>
      <w:tblPr>
        <w:tblStyle w:val="993"/>
        <w:tblW w:w="5066"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7"/>
        <w:gridCol w:w="2079"/>
        <w:gridCol w:w="590"/>
        <w:gridCol w:w="634"/>
        <w:gridCol w:w="1134"/>
        <w:gridCol w:w="1156"/>
        <w:gridCol w:w="1289"/>
        <w:gridCol w:w="1152"/>
        <w:gridCol w:w="1200"/>
      </w:tblGrid>
      <w:tr>
        <w:trPr>
          <w:trHeight w:val="470"/>
        </w:trPr>
        <w:tc>
          <w:tcPr>
            <w:tcW w:w="33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10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29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2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Fonts w:hint="eastAsia"/>
                <w:highlight w:val="none"/>
                <w:lang w:eastAsia="zh-CN"/>
              </w:rPr>
            </w:pPr>
            <w:r>
              <w:rPr>
                <w:rFonts w:hint="eastAsia"/>
                <w:highlight w:val="none"/>
                <w:lang w:eastAsia="zh-CN"/>
              </w:rPr>
              <w:t xml:space="preserve">单价上限</w:t>
            </w:r>
            <w:r>
              <w:rPr>
                <w:rFonts w:hint="eastAsia"/>
                <w:highlight w:val="none"/>
                <w:lang w:eastAsia="zh-CN"/>
              </w:rPr>
            </w:r>
            <w:r/>
          </w:p>
          <w:p>
            <w:pPr>
              <w:pStyle w:val="942"/>
              <w:ind w:firstLine="0"/>
              <w:jc w:val="center"/>
              <w:spacing w:line="400" w:lineRule="exact"/>
              <w:rPr>
                <w:rFonts w:hint="eastAsia"/>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元</w:t>
            </w:r>
            <w:r>
              <w:rPr>
                <w:rFonts w:hint="eastAsia" w:ascii="宋体" w:hAnsi="宋体" w:eastAsia="宋体" w:cs="宋体"/>
                <w:bCs/>
                <w:sz w:val="24"/>
                <w:szCs w:val="24"/>
                <w:highlight w:val="none"/>
                <w:lang w:eastAsia="zh-CN"/>
              </w:rPr>
              <w:t xml:space="preserve">）</w:t>
            </w:r>
            <w:r>
              <w:rPr>
                <w:rFonts w:hint="eastAsia"/>
                <w:highlight w:val="none"/>
                <w:lang w:eastAsia="zh-CN"/>
              </w:rPr>
            </w:r>
            <w:r/>
          </w:p>
        </w:tc>
        <w:tc>
          <w:tcPr>
            <w:tcW w:w="58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产品类型</w:t>
            </w:r>
            <w:r>
              <w:rPr>
                <w:rFonts w:hint="eastAsia" w:ascii="宋体" w:hAnsi="宋体" w:eastAsia="宋体" w:cs="宋体"/>
                <w:bCs/>
                <w:sz w:val="24"/>
                <w:szCs w:val="24"/>
                <w:highlight w:val="none"/>
                <w:lang w:val="en-US" w:eastAsia="zh-CN" w:bidi="ar-SA"/>
              </w:rPr>
            </w:r>
            <w:r/>
          </w:p>
        </w:tc>
        <w:tc>
          <w:tcPr>
            <w:tcW w:w="6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rPr>
              <w:t xml:space="preserve">中小企业划分标准</w:t>
            </w:r>
            <w:r>
              <w:rPr>
                <w:rFonts w:hint="eastAsia" w:ascii="宋体" w:hAnsi="宋体" w:eastAsia="宋体" w:cs="宋体"/>
                <w:bCs/>
                <w:sz w:val="24"/>
                <w:szCs w:val="24"/>
                <w:highlight w:val="none"/>
              </w:rPr>
              <w:t xml:space="preserve">所属</w:t>
            </w:r>
            <w:r>
              <w:rPr>
                <w:rFonts w:hint="eastAsia" w:ascii="宋体" w:hAnsi="宋体" w:eastAsia="宋体" w:cs="宋体"/>
                <w:bCs/>
                <w:sz w:val="24"/>
                <w:szCs w:val="24"/>
                <w:highlight w:val="none"/>
                <w:lang w:eastAsia="zh-CN"/>
              </w:rPr>
              <w:t xml:space="preserve">行业</w:t>
            </w:r>
            <w:r>
              <w:rPr>
                <w:rFonts w:hint="eastAsia" w:ascii="宋体" w:hAnsi="宋体" w:eastAsia="宋体" w:cs="宋体"/>
                <w:bCs/>
                <w:sz w:val="24"/>
                <w:szCs w:val="24"/>
                <w:highlight w:val="none"/>
                <w:lang w:val="en-US" w:eastAsia="zh-CN" w:bidi="ar-SA"/>
              </w:rPr>
            </w:r>
            <w:r/>
          </w:p>
        </w:tc>
        <w:tc>
          <w:tcPr>
            <w:tcW w:w="58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属性</w:t>
            </w:r>
            <w:r>
              <w:rPr>
                <w:rFonts w:hint="eastAsia" w:ascii="宋体" w:hAnsi="宋体" w:eastAsia="宋体" w:cs="宋体"/>
                <w:bCs/>
                <w:sz w:val="24"/>
                <w:szCs w:val="24"/>
                <w:highlight w:val="none"/>
                <w:lang w:eastAsia="zh-CN"/>
              </w:rPr>
            </w:r>
            <w:r/>
          </w:p>
        </w:tc>
        <w:tc>
          <w:tcPr>
            <w:tcW w:w="60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政府强制采购节能产品</w:t>
            </w:r>
            <w:r>
              <w:rPr>
                <w:rFonts w:hint="eastAsia" w:ascii="宋体" w:hAnsi="宋体" w:eastAsia="宋体" w:cs="Times New Roman"/>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05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国产信创超融合服务器（混闪）</w:t>
            </w:r>
            <w:r>
              <w:rPr>
                <w:rFonts w:hint="eastAsia" w:ascii="宋体" w:hAnsi="宋体" w:eastAsia="宋体" w:cs="宋体"/>
                <w:bCs/>
                <w:color w:val="000000"/>
                <w:sz w:val="24"/>
                <w:szCs w:val="24"/>
                <w:highlight w:val="none"/>
                <w:lang w:val="en-US" w:eastAsia="zh-CN"/>
              </w:rPr>
            </w:r>
            <w:r/>
          </w:p>
        </w:tc>
        <w:tc>
          <w:tcPr>
            <w:tcW w:w="29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r>
            <w:r/>
          </w:p>
        </w:tc>
        <w:tc>
          <w:tcPr>
            <w:tcW w:w="32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350000</w:t>
            </w:r>
            <w:r>
              <w:rPr>
                <w:rFonts w:ascii="宋体" w:hAnsi="宋体" w:eastAsia="宋体" w:cs="宋体"/>
                <w:bCs/>
                <w:color w:val="000000"/>
                <w:sz w:val="24"/>
                <w:szCs w:val="24"/>
                <w:highlight w:val="none"/>
                <w:lang w:val="en-US" w:eastAsia="zh-CN" w:bidi="ar-SA"/>
              </w:rPr>
            </w:r>
            <w:r/>
          </w:p>
        </w:tc>
        <w:tc>
          <w:tcPr>
            <w:tcW w:w="58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6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58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0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05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国产信创交换机</w:t>
            </w:r>
            <w:r>
              <w:rPr>
                <w:rFonts w:hint="eastAsia" w:ascii="宋体" w:hAnsi="宋体" w:eastAsia="宋体" w:cs="宋体"/>
                <w:bCs/>
                <w:color w:val="000000"/>
                <w:sz w:val="24"/>
                <w:szCs w:val="24"/>
                <w:highlight w:val="none"/>
                <w:lang w:val="en-US" w:eastAsia="zh-CN"/>
              </w:rPr>
            </w:r>
            <w:r/>
          </w:p>
        </w:tc>
        <w:tc>
          <w:tcPr>
            <w:tcW w:w="29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bidi="ar-SA"/>
              </w:rPr>
            </w:r>
            <w:r/>
          </w:p>
        </w:tc>
        <w:tc>
          <w:tcPr>
            <w:tcW w:w="32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100000</w:t>
            </w:r>
            <w:r>
              <w:rPr>
                <w:rFonts w:ascii="宋体" w:hAnsi="宋体" w:eastAsia="宋体" w:cs="宋体"/>
                <w:bCs/>
                <w:color w:val="000000"/>
                <w:sz w:val="24"/>
                <w:szCs w:val="24"/>
                <w:highlight w:val="none"/>
                <w:lang w:val="en-US" w:eastAsia="zh-CN" w:bidi="ar-SA"/>
              </w:rPr>
            </w:r>
            <w:r/>
          </w:p>
        </w:tc>
        <w:tc>
          <w:tcPr>
            <w:tcW w:w="58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6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58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rPr>
            </w:r>
            <w:r/>
          </w:p>
        </w:tc>
        <w:tc>
          <w:tcPr>
            <w:tcW w:w="60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ascii="宋体" w:hAnsi="宋体" w:eastAsia="宋体" w:cs="宋体"/>
                <w:bCs/>
                <w:sz w:val="24"/>
                <w:szCs w:val="24"/>
                <w:highlight w:val="none"/>
                <w:lang w:val="en-US" w:eastAsia="zh-CN"/>
              </w:rPr>
            </w:r>
            <w:r/>
          </w:p>
        </w:tc>
        <w:tc>
          <w:tcPr>
            <w:tcW w:w="1050" w:type="dxa"/>
            <w:vAlign w:val="center"/>
            <w:textDirection w:val="lrTb"/>
            <w:noWrap w:val="false"/>
          </w:tcPr>
          <w:p>
            <w:pPr>
              <w:pStyle w:val="871"/>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国产化超融合软件</w:t>
            </w:r>
            <w:r>
              <w:rPr>
                <w:rFonts w:ascii="宋体" w:hAnsi="宋体" w:eastAsia="宋体" w:cs="宋体"/>
                <w:bCs/>
                <w:color w:val="000000"/>
                <w:sz w:val="24"/>
                <w:szCs w:val="24"/>
                <w:highlight w:val="none"/>
                <w:lang w:val="en-US" w:eastAsia="zh-CN"/>
              </w:rPr>
            </w:r>
            <w:r/>
          </w:p>
        </w:tc>
        <w:tc>
          <w:tcPr>
            <w:tcW w:w="29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bidi="ar-SA"/>
              </w:rPr>
            </w:r>
            <w:r/>
          </w:p>
        </w:tc>
        <w:tc>
          <w:tcPr>
            <w:tcW w:w="32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100000</w:t>
            </w:r>
            <w:r>
              <w:rPr>
                <w:rFonts w:hint="eastAsia" w:ascii="宋体" w:hAnsi="宋体" w:eastAsia="宋体" w:cs="宋体"/>
                <w:bCs/>
                <w:color w:val="000000"/>
                <w:sz w:val="24"/>
                <w:szCs w:val="24"/>
                <w:highlight w:val="none"/>
                <w:lang w:val="en-US" w:eastAsia="zh-CN" w:bidi="ar-SA"/>
              </w:rPr>
            </w:r>
            <w:r/>
          </w:p>
        </w:tc>
        <w:tc>
          <w:tcPr>
            <w:tcW w:w="58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651" w:type="dxa"/>
            <w:vAlign w:val="center"/>
            <w:textDirection w:val="lrTb"/>
            <w:noWrap w:val="false"/>
          </w:tcPr>
          <w:p>
            <w:pPr>
              <w:pStyle w:val="899"/>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58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货物（成品软件）</w:t>
            </w:r>
            <w:r>
              <w:rPr>
                <w:rFonts w:hint="eastAsia" w:ascii="宋体" w:hAnsi="宋体" w:eastAsia="宋体" w:cs="宋体"/>
                <w:bCs/>
                <w:color w:val="000000"/>
                <w:sz w:val="24"/>
                <w:szCs w:val="24"/>
                <w:highlight w:val="none"/>
                <w:lang w:val="en-US" w:eastAsia="zh-CN" w:bidi="ar-SA"/>
              </w:rPr>
            </w:r>
            <w:r/>
          </w:p>
        </w:tc>
        <w:tc>
          <w:tcPr>
            <w:tcW w:w="60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bookmarkStart w:id="60" w:name="_Hlk202782595"/>
      <w:r>
        <w:rPr>
          <w:rFonts w:hint="eastAsia" w:ascii="宋体" w:hAnsi="宋体" w:eastAsia="宋体" w:cs="宋体"/>
          <w:bCs/>
          <w:color w:val="000000"/>
          <w:sz w:val="24"/>
          <w:szCs w:val="24"/>
          <w:highlight w:val="none"/>
          <w:lang w:val="en-US" w:eastAsia="zh-CN"/>
        </w:rPr>
        <w:t xml:space="preserve">1.国产信创超融合服务器（混闪）</w:t>
      </w:r>
      <w:r>
        <w:rPr>
          <w:rFonts w:hint="eastAsia" w:ascii="宋体" w:hAnsi="宋体" w:eastAsia="宋体" w:cs="宋体"/>
          <w:bCs/>
          <w:color w:val="000000"/>
          <w:sz w:val="24"/>
          <w:szCs w:val="24"/>
          <w:highlight w:val="none"/>
          <w:lang w:val="en-US" w:eastAsia="zh-CN"/>
        </w:rPr>
      </w:r>
      <w:r/>
    </w:p>
    <w:tbl>
      <w:tblPr>
        <w:tblW w:w="978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232"/>
        <w:gridCol w:w="7854"/>
      </w:tblGrid>
      <w:tr>
        <w:trPr>
          <w:trHeight w:val="351"/>
        </w:trPr>
        <w:tc>
          <w:tcPr>
            <w:tcW w:w="701" w:type="dxa"/>
            <w:vAlign w:val="top"/>
            <w:textDirection w:val="lrTb"/>
            <w:noWrap w:val="false"/>
          </w:tcPr>
          <w:p>
            <w:pPr>
              <w:pStyle w:val="871"/>
              <w:jc w:val="center"/>
              <w:spacing w:line="276"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序号</w:t>
            </w:r>
            <w:r>
              <w:rPr>
                <w:rFonts w:hint="eastAsia" w:ascii="宋体" w:hAnsi="宋体"/>
                <w:b/>
                <w:bCs/>
                <w:color w:val="000000"/>
                <w:sz w:val="24"/>
                <w:szCs w:val="24"/>
                <w:highlight w:val="none"/>
              </w:rPr>
            </w:r>
            <w:r/>
          </w:p>
        </w:tc>
        <w:tc>
          <w:tcPr>
            <w:tcW w:w="1232" w:type="dxa"/>
            <w:vAlign w:val="center"/>
            <w:textDirection w:val="lrTb"/>
            <w:noWrap w:val="false"/>
          </w:tcPr>
          <w:p>
            <w:pPr>
              <w:pStyle w:val="871"/>
              <w:jc w:val="center"/>
              <w:spacing w:line="276"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指标项</w:t>
            </w:r>
            <w:r>
              <w:rPr>
                <w:rFonts w:hint="eastAsia" w:ascii="宋体" w:hAnsi="宋体"/>
                <w:b/>
                <w:bCs/>
                <w:color w:val="000000"/>
                <w:sz w:val="24"/>
                <w:szCs w:val="24"/>
                <w:highlight w:val="none"/>
              </w:rPr>
            </w:r>
            <w:r/>
          </w:p>
        </w:tc>
        <w:tc>
          <w:tcPr>
            <w:tcW w:w="7854" w:type="dxa"/>
            <w:vAlign w:val="center"/>
            <w:textDirection w:val="lrTb"/>
            <w:noWrap w:val="false"/>
          </w:tcPr>
          <w:p>
            <w:pPr>
              <w:pStyle w:val="871"/>
              <w:jc w:val="center"/>
              <w:spacing w:line="276" w:lineRule="auto"/>
              <w:rPr>
                <w:rFonts w:hint="eastAsia" w:ascii="宋体" w:hAnsi="宋体"/>
                <w:b/>
                <w:bCs/>
                <w:color w:val="000000"/>
                <w:sz w:val="24"/>
                <w:szCs w:val="24"/>
                <w:highlight w:val="none"/>
              </w:rPr>
            </w:pPr>
            <w:r>
              <w:rPr>
                <w:rFonts w:hint="eastAsia" w:ascii="宋体" w:hAnsi="宋体" w:eastAsia="宋体" w:cs="宋体"/>
                <w:b/>
                <w:bCs w:val="0"/>
                <w:sz w:val="24"/>
                <w:szCs w:val="24"/>
                <w:highlight w:val="none"/>
              </w:rPr>
              <w:t xml:space="preserve">功能、性能、配置要求</w:t>
            </w:r>
            <w:r>
              <w:rPr>
                <w:rFonts w:hint="eastAsia" w:ascii="宋体" w:hAnsi="宋体" w:eastAsia="宋体" w:cs="宋体"/>
                <w:b/>
                <w:bCs w:val="0"/>
                <w:sz w:val="24"/>
                <w:szCs w:val="24"/>
                <w:highlight w:val="none"/>
                <w:lang w:val="en-US" w:eastAsia="zh-CN"/>
              </w:rPr>
              <w:t xml:space="preserve">不低于以下要求</w:t>
            </w:r>
            <w:r>
              <w:rPr>
                <w:rFonts w:hint="eastAsia" w:ascii="宋体" w:hAnsi="宋体"/>
                <w:b/>
                <w:bCs/>
                <w:color w:val="000000"/>
                <w:sz w:val="24"/>
                <w:szCs w:val="24"/>
                <w:highlight w:val="none"/>
              </w:rPr>
            </w:r>
            <w:r/>
          </w:p>
        </w:tc>
      </w:tr>
      <w:tr>
        <w:trPr>
          <w:trHeight w:val="90"/>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规格要求</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★国产标准机架式服务器，≤2U，含导轨。</w:t>
            </w:r>
            <w:r>
              <w:rPr>
                <w:rFonts w:hint="eastAsia" w:ascii="宋体" w:hAnsi="宋体" w:eastAsia="宋体" w:cs="宋体"/>
                <w:bCs/>
                <w:color w:val="000000"/>
                <w:sz w:val="24"/>
                <w:szCs w:val="24"/>
                <w:highlight w:val="none"/>
                <w:lang w:val="en-US" w:eastAsia="zh-CN" w:bidi="ar-SA"/>
              </w:rPr>
            </w:r>
            <w:r/>
          </w:p>
        </w:tc>
      </w:tr>
      <w:tr>
        <w:trPr>
          <w:cantSplit/>
          <w:trHeight w:val="306"/>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处理器</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★国产C86架构高性能处理器≥2颗，单颗处理器核心数≥32核，主频≥2.5GHz，支持超线程。</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vMerge w:val="restart"/>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r>
            <w:r/>
          </w:p>
        </w:tc>
        <w:tc>
          <w:tcPr>
            <w:tcW w:w="1232" w:type="dxa"/>
            <w:vAlign w:val="center"/>
            <w:vMerge w:val="restart"/>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内存</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★≥8根，≥64GB内存，DDR5 4800MHz ECC RDIMM。</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vMerge w:val="continue"/>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232" w:type="dxa"/>
            <w:vAlign w:val="center"/>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支持ECC风暴抑制和CE漏斗机制（签订合同时提供管理界面截图证明材料）。</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系统盘</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★≥2块，≥480GB SATA SSD硬盘。</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缓存盘</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★≥2块，≥3.84TB NVMe SSD。</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数据盘</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★≥10块，≥8TB 7.2K SATA HDD硬盘。</w:t>
            </w:r>
            <w:r>
              <w:rPr>
                <w:rFonts w:hint="eastAsia" w:ascii="宋体" w:hAnsi="宋体" w:eastAsia="宋体" w:cs="宋体"/>
                <w:bCs/>
                <w:color w:val="000000"/>
                <w:sz w:val="24"/>
                <w:szCs w:val="24"/>
                <w:highlight w:val="none"/>
                <w:lang w:val="en-US" w:eastAsia="zh-CN" w:bidi="ar-SA"/>
              </w:rPr>
            </w:r>
            <w:r/>
          </w:p>
        </w:tc>
      </w:tr>
      <w:tr>
        <w:trPr>
          <w:trHeight w:val="717"/>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网络</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★≥2个万兆网口（含光模块），≥2块双口25G万兆网卡（含25G万兆光模块）。</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RAID卡</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★≥1块RAID阵列卡，缓存≥2G。支持0, 1, 5, 6, 10, 50, 60，直通模式。</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lang w:val="en-US" w:eastAsia="zh-CN" w:bidi="ar-SA"/>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操作系统</w:t>
            </w:r>
            <w:r>
              <w:rPr>
                <w:rFonts w:hint="eastAsia" w:ascii="宋体" w:hAnsi="宋体" w:eastAsia="宋体" w:cs="宋体"/>
                <w:bCs/>
                <w:color w:val="000000"/>
                <w:sz w:val="24"/>
                <w:szCs w:val="24"/>
                <w:highlight w:val="none"/>
                <w:lang w:val="en-US" w:eastAsia="zh-CN" w:bidi="ar-SA"/>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配置兼容正版国产服务器操作系统，支持基于模块流的软件包源管理，支持基于yum module的模块安装与更新、实现应用软件及其依赖组件的高效安装与更新。</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bidi="ar-SA"/>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扩展性</w:t>
            </w:r>
            <w:r>
              <w:rPr>
                <w:rFonts w:hint="eastAsia" w:ascii="宋体" w:hAnsi="宋体" w:eastAsia="宋体" w:cs="宋体"/>
                <w:bCs/>
                <w:color w:val="000000"/>
                <w:sz w:val="24"/>
                <w:szCs w:val="24"/>
                <w:highlight w:val="none"/>
                <w:lang w:val="en-US" w:eastAsia="zh-CN" w:bidi="ar-SA"/>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最大扩展支持≥10个PCIe插槽。</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11</w:t>
            </w:r>
            <w:r>
              <w:rPr>
                <w:rFonts w:ascii="宋体" w:hAnsi="宋体" w:eastAsia="宋体" w:cs="宋体"/>
                <w:bCs/>
                <w:sz w:val="24"/>
                <w:szCs w:val="24"/>
                <w:highlight w:val="none"/>
                <w:lang w:val="en-US" w:eastAsia="zh-CN" w:bidi="ar-SA"/>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可靠性</w:t>
            </w:r>
            <w:r>
              <w:rPr>
                <w:rFonts w:hint="eastAsia" w:ascii="宋体" w:hAnsi="宋体" w:eastAsia="宋体" w:cs="宋体"/>
                <w:bCs/>
                <w:color w:val="000000"/>
                <w:sz w:val="24"/>
                <w:szCs w:val="24"/>
                <w:highlight w:val="none"/>
                <w:lang w:val="en-US" w:eastAsia="zh-CN" w:bidi="ar-SA"/>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为保证设备可靠性，要求MTBF时间≥150000小时（签订合同时提供所投产品的MTBF评估报告）。</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vMerge w:val="restart"/>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12</w:t>
            </w:r>
            <w:r>
              <w:rPr>
                <w:rFonts w:ascii="宋体" w:hAnsi="宋体" w:eastAsia="宋体" w:cs="宋体"/>
                <w:bCs/>
                <w:sz w:val="24"/>
                <w:szCs w:val="24"/>
                <w:highlight w:val="none"/>
                <w:lang w:val="en-US" w:eastAsia="zh-CN" w:bidi="ar-SA"/>
              </w:rPr>
            </w:r>
            <w:r/>
          </w:p>
        </w:tc>
        <w:tc>
          <w:tcPr>
            <w:tcW w:w="1232" w:type="dxa"/>
            <w:vAlign w:val="center"/>
            <w:vMerge w:val="restart"/>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兼容性</w:t>
            </w:r>
            <w:r>
              <w:rPr>
                <w:rFonts w:hint="eastAsia" w:ascii="宋体" w:hAnsi="宋体" w:eastAsia="宋体" w:cs="宋体"/>
                <w:bCs/>
                <w:color w:val="000000"/>
                <w:sz w:val="24"/>
                <w:szCs w:val="24"/>
                <w:highlight w:val="none"/>
                <w:lang w:val="en-US" w:eastAsia="zh-CN"/>
              </w:rPr>
            </w:r>
            <w:r/>
          </w:p>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要求</w:t>
            </w:r>
            <w:r>
              <w:rPr>
                <w:rFonts w:hint="eastAsia" w:ascii="宋体" w:hAnsi="宋体" w:eastAsia="宋体" w:cs="宋体"/>
                <w:bCs/>
                <w:color w:val="000000"/>
                <w:sz w:val="24"/>
                <w:szCs w:val="24"/>
                <w:highlight w:val="none"/>
                <w:lang w:val="en-US" w:eastAsia="zh-CN" w:bidi="ar-SA"/>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★要求核心部件（CPU、硬盘、RAID卡、网卡）与本项目采购的国产化超融合软件平台兼容。</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vMerge w:val="continue"/>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1232" w:type="dxa"/>
            <w:vAlign w:val="center"/>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要求所投产品通过可信计算兼容性测试（签订合同时提供可信计算兼容性认证证书或</w:t>
            </w:r>
            <w:r>
              <w:rPr>
                <w:rFonts w:hint="eastAsia" w:ascii="宋体" w:hAnsi="宋体" w:eastAsia="宋体" w:cs="宋体"/>
                <w:bCs/>
                <w:color w:val="000000"/>
                <w:sz w:val="24"/>
                <w:szCs w:val="24"/>
                <w:highlight w:val="none"/>
                <w:lang w:val="zh-CN" w:eastAsia="zh-CN"/>
              </w:rPr>
              <w:t xml:space="preserve">符合国家及行业相关管理规范要求的</w:t>
            </w:r>
            <w:r>
              <w:rPr>
                <w:rFonts w:hint="eastAsia" w:ascii="宋体" w:hAnsi="宋体" w:eastAsia="宋体" w:cs="宋体"/>
                <w:bCs/>
                <w:color w:val="000000"/>
                <w:sz w:val="24"/>
                <w:szCs w:val="24"/>
                <w:highlight w:val="none"/>
                <w:lang w:val="en-US" w:eastAsia="zh-CN"/>
              </w:rPr>
              <w:t xml:space="preserve">第三方检测报告）。</w:t>
            </w:r>
            <w:r>
              <w:rPr>
                <w:rFonts w:hint="eastAsia" w:ascii="宋体" w:hAnsi="宋体" w:eastAsia="宋体" w:cs="宋体"/>
                <w:bCs/>
                <w:color w:val="000000"/>
                <w:sz w:val="24"/>
                <w:szCs w:val="24"/>
                <w:highlight w:val="none"/>
                <w:lang w:val="en-US" w:eastAsia="zh-CN"/>
              </w:rPr>
            </w:r>
            <w:r/>
          </w:p>
        </w:tc>
      </w:tr>
      <w:tr>
        <w:trPr>
          <w:cantSplit/>
          <w:trHeight w:val="459"/>
        </w:trPr>
        <w:tc>
          <w:tcPr>
            <w:tcW w:w="701"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w:t>
            </w:r>
            <w:r>
              <w:rPr>
                <w:rFonts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互认要求</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支持深信服信云sCloud、SmartX超融合等产品；支持银河麒麟V10、统信V2.0等操作系统和宝兰德、东方通、金蝶、中创等应用软件，支持瀚高、人大金仓、南大通用、神州通用等数据库。</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14</w:t>
            </w:r>
            <w:r>
              <w:rPr>
                <w:rFonts w:ascii="宋体" w:hAnsi="宋体" w:eastAsia="宋体" w:cs="宋体"/>
                <w:bCs/>
                <w:sz w:val="24"/>
                <w:szCs w:val="24"/>
                <w:highlight w:val="none"/>
                <w:lang w:val="en-US" w:eastAsia="zh-CN" w:bidi="ar-SA"/>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管理要求</w:t>
            </w:r>
            <w:r>
              <w:rPr>
                <w:rFonts w:hint="eastAsia" w:ascii="宋体" w:hAnsi="宋体" w:eastAsia="宋体" w:cs="宋体"/>
                <w:bCs/>
                <w:color w:val="000000"/>
                <w:sz w:val="24"/>
                <w:szCs w:val="24"/>
                <w:highlight w:val="none"/>
                <w:lang w:val="en-US" w:eastAsia="zh-CN" w:bidi="ar-SA"/>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配置国产BMC管理芯片，支持IPMI、远程虚拟媒体、双镜像等功能（签订合同时提供BMC芯片型号在BIOS中的截图）。</w:t>
            </w:r>
            <w:r>
              <w:rPr>
                <w:rFonts w:hint="eastAsia" w:ascii="宋体" w:hAnsi="宋体" w:eastAsia="宋体" w:cs="宋体"/>
                <w:bCs/>
                <w:color w:val="000000"/>
                <w:sz w:val="24"/>
                <w:szCs w:val="24"/>
                <w:highlight w:val="none"/>
                <w:lang w:val="en-US" w:eastAsia="zh-CN" w:bidi="ar-SA"/>
              </w:rPr>
            </w:r>
            <w:r/>
          </w:p>
        </w:tc>
      </w:tr>
      <w:tr>
        <w:trPr>
          <w:cantSplit/>
          <w:trHeight w:val="338"/>
        </w:trPr>
        <w:tc>
          <w:tcPr>
            <w:tcW w:w="701"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w:t>
            </w:r>
            <w:r>
              <w:rPr>
                <w:rFonts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w:t>
            </w:r>
            <w:r>
              <w:rPr>
                <w:rFonts w:hint="eastAsia" w:ascii="宋体" w:hAnsi="宋体" w:eastAsia="宋体" w:cs="宋体"/>
                <w:bCs/>
                <w:color w:val="000000"/>
                <w:sz w:val="24"/>
                <w:szCs w:val="24"/>
                <w:highlight w:val="none"/>
                <w:lang w:val="en-US" w:eastAsia="zh-CN"/>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★满配冗余风扇模块，配置冗余电源。电源线配置欧标和国标。</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16</w:t>
            </w:r>
            <w:r>
              <w:rPr>
                <w:rFonts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BIOS</w:t>
            </w:r>
            <w:r>
              <w:rPr>
                <w:rFonts w:hint="eastAsia" w:ascii="宋体" w:hAnsi="宋体" w:eastAsia="宋体" w:cs="宋体"/>
                <w:bCs/>
                <w:color w:val="000000"/>
                <w:sz w:val="24"/>
                <w:szCs w:val="24"/>
                <w:highlight w:val="none"/>
                <w:lang w:val="en-US" w:eastAsia="zh-CN" w:bidi="ar-SA"/>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BIOS开机自检代码（POST CODE）明文化展示：将BIOS启动过程中的所有POST CODE以明文化的形式展示在界面中，方便快速定位POST阶段故障（故障位置和类型）（签订合同时提供管理界面截图证明材料）。</w:t>
            </w:r>
            <w:r>
              <w:rPr>
                <w:rFonts w:hint="eastAsia" w:ascii="宋体" w:hAnsi="宋体" w:eastAsia="宋体" w:cs="宋体"/>
                <w:bCs/>
                <w:color w:val="000000"/>
                <w:sz w:val="24"/>
                <w:szCs w:val="24"/>
                <w:highlight w:val="none"/>
                <w:lang w:val="en-US" w:eastAsia="zh-CN" w:bidi="ar-SA"/>
              </w:rPr>
            </w:r>
            <w:r/>
          </w:p>
        </w:tc>
      </w:tr>
      <w:tr>
        <w:trPr>
          <w:trHeight w:val="145"/>
        </w:trPr>
        <w:tc>
          <w:tcPr>
            <w:tcW w:w="701"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bookmarkEnd w:id="60"/>
            <w:r>
              <w:rPr>
                <w:rFonts w:hint="eastAsia" w:ascii="宋体" w:hAnsi="宋体" w:eastAsia="宋体" w:cs="宋体"/>
                <w:bCs/>
                <w:sz w:val="24"/>
                <w:szCs w:val="24"/>
                <w:highlight w:val="none"/>
                <w:lang w:val="en-US" w:eastAsia="zh-CN"/>
              </w:rPr>
            </w:r>
            <w:r/>
          </w:p>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17</w:t>
            </w:r>
            <w:r>
              <w:rPr>
                <w:rFonts w:ascii="宋体" w:hAnsi="宋体" w:eastAsia="宋体" w:cs="宋体"/>
                <w:bCs/>
                <w:sz w:val="24"/>
                <w:szCs w:val="24"/>
                <w:highlight w:val="none"/>
                <w:lang w:val="en-US" w:eastAsia="zh-CN"/>
              </w:rPr>
            </w:r>
            <w:r/>
          </w:p>
        </w:tc>
        <w:tc>
          <w:tcPr>
            <w:tcW w:w="123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国密算法</w:t>
            </w:r>
            <w:r>
              <w:rPr>
                <w:rFonts w:hint="eastAsia" w:ascii="宋体" w:hAnsi="宋体" w:eastAsia="宋体" w:cs="宋体"/>
                <w:bCs/>
                <w:color w:val="000000"/>
                <w:sz w:val="24"/>
                <w:szCs w:val="24"/>
                <w:highlight w:val="none"/>
                <w:lang w:val="en-US" w:eastAsia="zh-CN" w:bidi="ar-SA"/>
              </w:rPr>
            </w:r>
            <w:r/>
          </w:p>
        </w:tc>
        <w:tc>
          <w:tcPr>
            <w:tcW w:w="785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所投服务器所配备的CPU内置密码模块或密码协处理器，可实现SM2、SM3和SM4国密算法的硬件加速。（签订合同时提供所投服务器所配备的CPU具有上述密码技术特性的证明材料）</w:t>
            </w:r>
            <w:r>
              <w:rPr>
                <w:rFonts w:hint="eastAsia" w:ascii="宋体" w:hAnsi="宋体" w:eastAsia="宋体" w:cs="宋体"/>
                <w:bCs/>
                <w:color w:val="000000"/>
                <w:sz w:val="24"/>
                <w:szCs w:val="24"/>
                <w:highlight w:val="none"/>
                <w:lang w:val="en-US"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2.国产信创交换机</w:t>
      </w:r>
      <w:r>
        <w:rPr>
          <w:rFonts w:hint="eastAsia" w:ascii="宋体" w:hAnsi="宋体" w:eastAsia="宋体" w:cs="宋体"/>
          <w:bCs/>
          <w:color w:val="000000"/>
          <w:sz w:val="24"/>
          <w:szCs w:val="24"/>
          <w:highlight w:val="none"/>
          <w:lang w:val="en-US" w:eastAsia="zh-CN"/>
        </w:rPr>
      </w:r>
      <w:r/>
    </w:p>
    <w:tbl>
      <w:tblPr>
        <w:tblStyle w:val="944"/>
        <w:tblW w:w="9639"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76"/>
        <w:gridCol w:w="7654"/>
      </w:tblGrid>
      <w:tr>
        <w:trPr>
          <w:trHeight w:val="316"/>
        </w:trPr>
        <w:tc>
          <w:tcPr>
            <w:tcW w:w="709" w:type="dxa"/>
            <w:vAlign w:val="top"/>
            <w:textDirection w:val="lrTb"/>
            <w:noWrap w:val="false"/>
          </w:tcPr>
          <w:p>
            <w:pPr>
              <w:pStyle w:val="871"/>
              <w:jc w:val="center"/>
              <w:spacing w:line="276"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序号</w:t>
            </w:r>
            <w:r>
              <w:rPr>
                <w:rFonts w:hint="eastAsia" w:ascii="宋体" w:hAnsi="宋体"/>
                <w:b/>
                <w:bCs/>
                <w:color w:val="000000"/>
                <w:sz w:val="24"/>
                <w:szCs w:val="24"/>
                <w:highlight w:val="none"/>
              </w:rPr>
            </w:r>
            <w:r/>
          </w:p>
        </w:tc>
        <w:tc>
          <w:tcPr>
            <w:tcW w:w="1276" w:type="dxa"/>
            <w:vAlign w:val="center"/>
            <w:textDirection w:val="lrTb"/>
            <w:noWrap w:val="false"/>
          </w:tcPr>
          <w:p>
            <w:pPr>
              <w:pStyle w:val="871"/>
              <w:jc w:val="center"/>
              <w:spacing w:line="276" w:lineRule="auto"/>
              <w:rPr>
                <w:color w:val="000000"/>
                <w:highlight w:val="none"/>
              </w:rPr>
            </w:pPr>
            <w:r/>
            <w:bookmarkStart w:id="61" w:name="OLE_LINK4"/>
            <w:r>
              <w:rPr>
                <w:rFonts w:hint="eastAsia" w:ascii="宋体" w:hAnsi="宋体"/>
                <w:b/>
                <w:bCs/>
                <w:color w:val="000000"/>
                <w:sz w:val="24"/>
                <w:szCs w:val="24"/>
                <w:highlight w:val="none"/>
              </w:rPr>
              <w:t xml:space="preserve">指标项</w:t>
            </w:r>
            <w:r>
              <w:rPr>
                <w:color w:val="000000"/>
                <w:highlight w:val="none"/>
              </w:rPr>
            </w:r>
            <w:r/>
          </w:p>
        </w:tc>
        <w:tc>
          <w:tcPr>
            <w:tcW w:w="7654" w:type="dxa"/>
            <w:vAlign w:val="center"/>
            <w:textDirection w:val="lrTb"/>
            <w:noWrap w:val="false"/>
          </w:tcPr>
          <w:p>
            <w:pPr>
              <w:pStyle w:val="871"/>
              <w:jc w:val="center"/>
              <w:spacing w:line="276" w:lineRule="auto"/>
              <w:rPr>
                <w:color w:val="000000"/>
                <w:highlight w:val="none"/>
              </w:rPr>
            </w:pPr>
            <w:r>
              <w:rPr>
                <w:rFonts w:hint="eastAsia" w:ascii="宋体" w:hAnsi="宋体" w:eastAsia="宋体" w:cs="宋体"/>
                <w:b/>
                <w:bCs w:val="0"/>
                <w:sz w:val="24"/>
                <w:szCs w:val="24"/>
                <w:highlight w:val="none"/>
              </w:rPr>
              <w:t xml:space="preserve">功能、性能、配置要求</w:t>
            </w:r>
            <w:r>
              <w:rPr>
                <w:rFonts w:hint="eastAsia" w:ascii="宋体" w:hAnsi="宋体" w:eastAsia="宋体" w:cs="宋体"/>
                <w:b/>
                <w:bCs w:val="0"/>
                <w:sz w:val="24"/>
                <w:szCs w:val="24"/>
                <w:highlight w:val="none"/>
                <w:lang w:val="en-US" w:eastAsia="zh-CN"/>
              </w:rPr>
              <w:t xml:space="preserve">不低于以下要求</w:t>
            </w:r>
            <w:r>
              <w:rPr>
                <w:color w:val="000000"/>
                <w:highlight w:val="none"/>
              </w:rPr>
            </w:r>
            <w:r/>
          </w:p>
        </w:tc>
      </w:tr>
      <w:tr>
        <w:trPr>
          <w:trHeight w:val="305"/>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bidi="ar-SA"/>
              </w:rPr>
            </w:r>
            <w:r/>
          </w:p>
        </w:tc>
        <w:tc>
          <w:tcPr>
            <w:tcW w:w="1276" w:type="dxa"/>
            <w:vAlign w:val="center"/>
            <w:vMerge w:val="restart"/>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配置要求</w:t>
            </w: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国产标准机架式≤1U交换机。</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CPU采用国产芯片。</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交换容量≥8Tbps，包转发≥2400Mpps。</w:t>
            </w:r>
            <w:r>
              <w:rPr>
                <w:rFonts w:hint="eastAsia" w:ascii="宋体" w:hAnsi="宋体" w:eastAsia="宋体" w:cs="宋体"/>
                <w:bCs/>
                <w:color w:val="000000"/>
                <w:sz w:val="24"/>
                <w:szCs w:val="24"/>
                <w:highlight w:val="none"/>
                <w:lang w:val="en-US" w:eastAsia="zh-CN"/>
              </w:rPr>
            </w:r>
            <w:r/>
          </w:p>
        </w:tc>
      </w:tr>
      <w:tr>
        <w:trPr>
          <w:trHeight w:val="466"/>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固定接口≥48个1G/10/25G SFP28接口，≥8个40/100G QSFP28接口。</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支持≥4个模块化可插拔风扇，≥2个模块化可插拔交流电源。</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支持跨设备链路聚合M-LAG。</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支持静态路由、RIP、OSPF、ISIS、BGP。</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支持对光模块进行健康度检查（签订合同时提供</w:t>
            </w:r>
            <w:r>
              <w:rPr>
                <w:rFonts w:hint="eastAsia" w:ascii="宋体" w:hAnsi="宋体" w:eastAsia="宋体" w:cs="宋体"/>
                <w:bCs/>
                <w:color w:val="000000"/>
                <w:sz w:val="24"/>
                <w:szCs w:val="24"/>
                <w:highlight w:val="none"/>
                <w:lang w:val="zh-CN" w:eastAsia="zh-CN"/>
              </w:rPr>
              <w:t xml:space="preserve">符合国家及行业相关管理规范要求的</w:t>
            </w:r>
            <w:r>
              <w:rPr>
                <w:rFonts w:hint="eastAsia" w:ascii="宋体" w:hAnsi="宋体" w:eastAsia="宋体" w:cs="宋体"/>
                <w:bCs/>
                <w:color w:val="000000"/>
                <w:sz w:val="24"/>
                <w:szCs w:val="24"/>
                <w:highlight w:val="none"/>
                <w:lang w:val="en-US" w:eastAsia="zh-CN"/>
              </w:rPr>
              <w:t xml:space="preserve">第三方检测报告）。</w:t>
            </w:r>
            <w:r>
              <w:rPr>
                <w:rFonts w:hint="eastAsia" w:ascii="宋体" w:hAnsi="宋体" w:eastAsia="宋体" w:cs="宋体"/>
                <w:bCs/>
                <w:color w:val="000000"/>
                <w:sz w:val="24"/>
                <w:szCs w:val="24"/>
                <w:highlight w:val="none"/>
                <w:lang w:val="en-US" w:eastAsia="zh-CN"/>
              </w:rPr>
            </w:r>
            <w:r/>
          </w:p>
        </w:tc>
      </w:tr>
      <w:tr>
        <w:trPr>
          <w:trHeight w:val="564"/>
        </w:trPr>
        <w:tc>
          <w:tcPr>
            <w:tcW w:w="709" w:type="dxa"/>
            <w:vAlign w:val="center"/>
            <w:textDirection w:val="lrTb"/>
            <w:noWrap w:val="false"/>
          </w:tcPr>
          <w:p>
            <w:pPr>
              <w:pStyle w:val="972"/>
              <w:numPr>
                <w:ilvl w:val="0"/>
                <w:numId w:val="0"/>
              </w:numPr>
              <w:ind w:left="1440" w:hanging="1440"/>
              <w:jc w:val="center"/>
              <w:spacing w:line="276" w:lineRule="auto"/>
              <w:rPr>
                <w:rFonts w:ascii="宋体" w:hAnsi="宋体" w:eastAsia="宋体" w:cs="Times New Roman"/>
                <w:color w:val="000000"/>
                <w:sz w:val="24"/>
                <w:szCs w:val="24"/>
                <w:highlight w:val="none"/>
                <w:lang w:val="en-US" w:eastAsia="zh-CN" w:bidi="en-US"/>
              </w:rPr>
            </w:pPr>
            <w:r>
              <w:rPr>
                <w:rFonts w:hint="eastAsia" w:ascii="宋体" w:hAnsi="宋体" w:cs="Times New Roman"/>
                <w:color w:val="000000"/>
                <w:sz w:val="24"/>
                <w:szCs w:val="24"/>
                <w:highlight w:val="none"/>
                <w:lang w:val="en-US" w:eastAsia="zh-CN" w:bidi="en-US"/>
              </w:rPr>
              <w:t xml:space="preserve">9</w:t>
            </w:r>
            <w:r>
              <w:rPr>
                <w:rFonts w:ascii="宋体" w:hAnsi="宋体" w:eastAsia="宋体" w:cs="Times New Roman"/>
                <w:color w:val="000000"/>
                <w:sz w:val="24"/>
                <w:szCs w:val="24"/>
                <w:highlight w:val="none"/>
                <w:lang w:val="en-US" w:eastAsia="zh-CN" w:bidi="en-US"/>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支持全端口 256bit MACsec加密（签订合同时提供</w:t>
            </w:r>
            <w:r>
              <w:rPr>
                <w:rFonts w:hint="eastAsia" w:ascii="宋体" w:hAnsi="宋体" w:eastAsia="宋体" w:cs="宋体"/>
                <w:bCs/>
                <w:color w:val="000000"/>
                <w:sz w:val="24"/>
                <w:szCs w:val="24"/>
                <w:highlight w:val="none"/>
                <w:lang w:val="zh-CN" w:eastAsia="zh-CN"/>
              </w:rPr>
              <w:t xml:space="preserve">符合国家及行业相关管理规范要求的</w:t>
            </w:r>
            <w:r>
              <w:rPr>
                <w:rFonts w:hint="eastAsia" w:ascii="宋体" w:hAnsi="宋体" w:eastAsia="宋体" w:cs="宋体"/>
                <w:bCs/>
                <w:color w:val="000000"/>
                <w:sz w:val="24"/>
                <w:szCs w:val="24"/>
                <w:highlight w:val="none"/>
                <w:lang w:val="en-US" w:eastAsia="zh-CN"/>
              </w:rPr>
              <w:t xml:space="preserve">第三方检测报告）。</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支持基于端口M:N复制，M或N≥48。</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支持RoCE v1、RoCE v2无损网络。</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12</w:t>
            </w:r>
            <w:r>
              <w:rPr>
                <w:rFonts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25G/100G 端口时延≤1us。</w:t>
            </w:r>
            <w:r>
              <w:rPr>
                <w:rFonts w:hint="eastAsia" w:ascii="宋体" w:hAnsi="宋体" w:eastAsia="宋体" w:cs="宋体"/>
                <w:bCs/>
                <w:color w:val="000000"/>
                <w:sz w:val="24"/>
                <w:szCs w:val="24"/>
                <w:highlight w:val="none"/>
                <w:lang w:val="en-US" w:eastAsia="zh-CN"/>
              </w:rPr>
            </w:r>
            <w:r/>
          </w:p>
        </w:tc>
      </w:tr>
      <w:tr>
        <w:trPr>
          <w:trHeight w:val="144"/>
        </w:trPr>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13</w:t>
            </w:r>
            <w:r>
              <w:rPr>
                <w:rFonts w:hint="eastAsia" w:ascii="宋体" w:hAnsi="宋体" w:eastAsia="宋体" w:cs="宋体"/>
                <w:bCs/>
                <w:sz w:val="24"/>
                <w:szCs w:val="24"/>
                <w:highlight w:val="none"/>
                <w:lang w:val="en-US" w:eastAsia="zh-CN" w:bidi="ar-SA"/>
              </w:rPr>
            </w:r>
            <w:r/>
          </w:p>
        </w:tc>
        <w:tc>
          <w:tcPr>
            <w:tcW w:w="1276" w:type="dxa"/>
            <w:vAlign w:val="top"/>
            <w:vMerge w:val="continue"/>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7654" w:type="dxa"/>
            <w:vAlign w:val="top"/>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2" w:name="OLE_LINK9"/>
            <w:r>
              <w:rPr>
                <w:rFonts w:hint="eastAsia" w:ascii="宋体" w:hAnsi="宋体" w:eastAsia="宋体" w:cs="宋体"/>
                <w:bCs/>
                <w:color w:val="000000"/>
                <w:sz w:val="24"/>
                <w:szCs w:val="24"/>
                <w:highlight w:val="none"/>
                <w:lang w:val="en-US" w:eastAsia="zh-CN"/>
              </w:rPr>
              <w:t xml:space="preserve">≥8个25G多模光模块，1根4</w:t>
            </w:r>
            <w:r>
              <w:rPr>
                <w:rFonts w:hint="eastAsia" w:ascii="宋体" w:hAnsi="宋体" w:eastAsia="宋体" w:cs="宋体"/>
                <w:bCs/>
                <w:color w:val="000000"/>
                <w:sz w:val="24"/>
                <w:szCs w:val="24"/>
                <w:highlight w:val="none"/>
                <w:lang w:val="en-US" w:eastAsia="zh-CN"/>
              </w:rPr>
              <w:t xml:space="preserve">0G-1米虚拟化</w:t>
            </w:r>
            <w:r>
              <w:rPr>
                <w:rFonts w:hint="eastAsia" w:ascii="宋体" w:hAnsi="宋体" w:eastAsia="宋体" w:cs="宋体"/>
                <w:bCs/>
                <w:color w:val="000000"/>
                <w:sz w:val="24"/>
                <w:szCs w:val="24"/>
                <w:highlight w:val="none"/>
                <w:lang w:val="en-US" w:eastAsia="zh-CN"/>
              </w:rPr>
              <w:t xml:space="preserve">线缆</w:t>
            </w:r>
            <w:bookmarkEnd w:id="62"/>
            <w:r>
              <w:rPr>
                <w:rFonts w:hint="eastAsia" w:ascii="宋体" w:hAnsi="宋体" w:eastAsia="宋体" w:cs="宋体"/>
                <w:bCs/>
                <w:color w:val="000000"/>
                <w:sz w:val="24"/>
                <w:szCs w:val="24"/>
                <w:highlight w:val="none"/>
                <w:lang w:val="en-US" w:eastAsia="zh-CN"/>
              </w:rPr>
              <w:t xml:space="preserve">。电源线配置欧标和国标。</w:t>
            </w:r>
            <w:r>
              <w:rPr>
                <w:rFonts w:hint="eastAsia" w:ascii="宋体" w:hAnsi="宋体" w:eastAsia="宋体" w:cs="宋体"/>
                <w:bCs/>
                <w:color w:val="000000"/>
                <w:sz w:val="24"/>
                <w:szCs w:val="24"/>
                <w:highlight w:val="none"/>
                <w:lang w:val="en-US" w:eastAsia="zh-CN"/>
              </w:rPr>
            </w:r>
            <w:r/>
          </w:p>
        </w:tc>
      </w:tr>
    </w:tbl>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End w:id="61"/>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国产化超融合软件</w:t>
      </w:r>
      <w:r>
        <w:rPr>
          <w:rFonts w:hint="eastAsia" w:ascii="宋体" w:hAnsi="宋体" w:eastAsia="宋体" w:cs="宋体"/>
          <w:bCs/>
          <w:color w:val="000000"/>
          <w:sz w:val="24"/>
          <w:szCs w:val="24"/>
          <w:highlight w:val="none"/>
        </w:rPr>
      </w:r>
      <w:r/>
    </w:p>
    <w:tbl>
      <w:tblPr>
        <w:tblW w:w="96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416"/>
        <w:gridCol w:w="7498"/>
      </w:tblGrid>
      <w:tr>
        <w:trPr>
          <w:trHeight w:val="351"/>
        </w:trPr>
        <w:tc>
          <w:tcPr>
            <w:tcW w:w="731" w:type="dxa"/>
            <w:vAlign w:val="top"/>
            <w:textDirection w:val="lrTb"/>
            <w:noWrap w:val="false"/>
          </w:tcPr>
          <w:p>
            <w:pPr>
              <w:pStyle w:val="871"/>
              <w:jc w:val="center"/>
              <w:spacing w:line="276" w:lineRule="auto"/>
              <w:rPr>
                <w:rFonts w:hint="eastAsia" w:ascii="宋体" w:hAnsi="宋体"/>
                <w:b/>
                <w:bCs/>
                <w:color w:val="000000"/>
                <w:sz w:val="24"/>
                <w:szCs w:val="24"/>
              </w:rPr>
            </w:pPr>
            <w:r>
              <w:rPr>
                <w:rFonts w:hint="eastAsia" w:ascii="宋体" w:hAnsi="宋体"/>
                <w:b/>
                <w:bCs/>
                <w:color w:val="000000"/>
                <w:sz w:val="24"/>
                <w:szCs w:val="24"/>
              </w:rPr>
              <w:t xml:space="preserve">序号</w:t>
            </w:r>
            <w:r>
              <w:rPr>
                <w:rFonts w:hint="eastAsia" w:ascii="宋体" w:hAnsi="宋体"/>
                <w:b/>
                <w:bCs/>
                <w:color w:val="000000"/>
                <w:sz w:val="24"/>
                <w:szCs w:val="24"/>
              </w:rPr>
            </w:r>
            <w:r/>
          </w:p>
        </w:tc>
        <w:tc>
          <w:tcPr>
            <w:tcW w:w="1416" w:type="dxa"/>
            <w:vAlign w:val="center"/>
            <w:textDirection w:val="lrTb"/>
            <w:noWrap w:val="false"/>
          </w:tcPr>
          <w:p>
            <w:pPr>
              <w:pStyle w:val="871"/>
              <w:jc w:val="center"/>
              <w:spacing w:line="276" w:lineRule="auto"/>
              <w:rPr>
                <w:rFonts w:hint="eastAsia" w:ascii="宋体" w:hAnsi="宋体"/>
                <w:b/>
                <w:bCs/>
                <w:color w:val="000000"/>
                <w:sz w:val="24"/>
                <w:szCs w:val="24"/>
              </w:rPr>
            </w:pPr>
            <w:r>
              <w:rPr>
                <w:rFonts w:hint="eastAsia" w:ascii="宋体" w:hAnsi="宋体"/>
                <w:b/>
                <w:bCs/>
                <w:color w:val="000000"/>
                <w:sz w:val="24"/>
                <w:szCs w:val="24"/>
              </w:rPr>
              <w:t xml:space="preserve">指标项</w:t>
            </w:r>
            <w:r>
              <w:rPr>
                <w:rFonts w:hint="eastAsia" w:ascii="宋体" w:hAnsi="宋体"/>
                <w:b/>
                <w:bCs/>
                <w:color w:val="000000"/>
                <w:sz w:val="24"/>
                <w:szCs w:val="24"/>
              </w:rPr>
            </w:r>
            <w:r/>
          </w:p>
        </w:tc>
        <w:tc>
          <w:tcPr>
            <w:tcW w:w="7498" w:type="dxa"/>
            <w:vAlign w:val="center"/>
            <w:textDirection w:val="lrTb"/>
            <w:noWrap w:val="false"/>
          </w:tcPr>
          <w:p>
            <w:pPr>
              <w:pStyle w:val="871"/>
              <w:jc w:val="center"/>
              <w:spacing w:line="276" w:lineRule="auto"/>
              <w:rPr>
                <w:rFonts w:hint="eastAsia" w:ascii="宋体" w:hAnsi="宋体"/>
                <w:b/>
                <w:bCs/>
                <w:color w:val="000000"/>
                <w:sz w:val="24"/>
                <w:szCs w:val="24"/>
              </w:rPr>
            </w:pPr>
            <w:r>
              <w:rPr>
                <w:rFonts w:hint="eastAsia" w:ascii="宋体" w:hAnsi="宋体" w:eastAsia="宋体" w:cs="宋体"/>
                <w:b/>
                <w:bCs w:val="0"/>
                <w:sz w:val="24"/>
                <w:szCs w:val="24"/>
                <w:highlight w:val="none"/>
              </w:rPr>
              <w:t xml:space="preserve">功能、性能、配置要求</w:t>
            </w:r>
            <w:r>
              <w:rPr>
                <w:rFonts w:hint="eastAsia" w:ascii="宋体" w:hAnsi="宋体" w:eastAsia="宋体" w:cs="宋体"/>
                <w:b/>
                <w:bCs w:val="0"/>
                <w:sz w:val="24"/>
                <w:szCs w:val="24"/>
                <w:highlight w:val="none"/>
                <w:lang w:val="en-US" w:eastAsia="zh-CN"/>
              </w:rPr>
              <w:t xml:space="preserve">不低于以下要求</w:t>
            </w:r>
            <w:r>
              <w:rPr>
                <w:rFonts w:hint="eastAsia" w:ascii="宋体" w:hAnsi="宋体"/>
                <w:b/>
                <w:bCs/>
                <w:color w:val="000000"/>
                <w:sz w:val="24"/>
                <w:szCs w:val="24"/>
              </w:rPr>
            </w:r>
            <w:r/>
          </w:p>
        </w:tc>
      </w:tr>
      <w:tr>
        <w:trPr>
          <w:trHeight w:val="351"/>
        </w:trPr>
        <w:tc>
          <w:tcPr>
            <w:tcW w:w="731"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ascii="宋体" w:hAnsi="宋体" w:eastAsia="宋体" w:cs="宋体"/>
                <w:bCs/>
                <w:sz w:val="24"/>
                <w:szCs w:val="24"/>
                <w:highlight w:val="none"/>
                <w:lang w:val="en-US" w:eastAsia="zh-CN"/>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软件配置</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Cs/>
                <w:i w:val="0"/>
                <w:iCs w:val="0"/>
                <w:color w:val="000000"/>
                <w:sz w:val="24"/>
                <w:szCs w:val="24"/>
                <w:highlight w:val="none"/>
                <w:u w:val="none"/>
                <w:lang w:val="en-US" w:eastAsia="zh-CN" w:bidi="ar"/>
              </w:rPr>
              <w:t xml:space="preserve">配置8节点超融合正式授权，CPU授权数≥16个，配置计算虚拟化、网络虚拟化、存储</w:t>
            </w:r>
            <w:r>
              <w:rPr>
                <w:rFonts w:hint="eastAsia" w:ascii="宋体" w:hAnsi="宋体" w:eastAsia="宋体" w:cs="宋体"/>
                <w:bCs/>
                <w:i w:val="0"/>
                <w:iCs w:val="0"/>
                <w:color w:val="000000"/>
                <w:sz w:val="24"/>
                <w:szCs w:val="24"/>
                <w:highlight w:val="none"/>
                <w:u w:val="none"/>
                <w:lang w:val="en-US" w:eastAsia="zh-CN" w:bidi="ar"/>
              </w:rPr>
              <w:t xml:space="preserve">虚拟化、管理平台，永久软件授权包括3年原厂服务。配置8节点虚拟机东西向流量安全授权，CPU授权数量≥16个，不限制超融合内虚拟机使用数量，实现基于微分段机制的分布式防火墙功能，以满足虚拟机之间东西向流量管理的要求，永久软件授权包括3年7×24小时原厂服务。配置640TB文件存储授权，或提供一套分布式存储授权，授权容量不低于640TB，永久软件授权包括3年7×24小时原厂服务。配置8节点网络流量可视化服务，CPU授权数量≥16个，支持虚拟机东西南北向流量可视化，支持拓扑视图和表格视图，直观展示虚拟机网络、系统</w:t>
            </w:r>
            <w:r>
              <w:rPr>
                <w:rFonts w:hint="eastAsia" w:ascii="宋体" w:hAnsi="宋体" w:eastAsia="宋体" w:cs="宋体"/>
                <w:bCs/>
                <w:i w:val="0"/>
                <w:iCs w:val="0"/>
                <w:color w:val="000000"/>
                <w:sz w:val="24"/>
                <w:szCs w:val="24"/>
                <w:highlight w:val="none"/>
                <w:u w:val="none"/>
                <w:lang w:val="en-US" w:eastAsia="zh-CN" w:bidi="ar"/>
              </w:rPr>
              <w:t xml:space="preserve">网络及外部IP地址间的数据流大小、方向、路径等详情信息，精确获取五元组详情，自动生成虚拟机之间流量关系的拓扑，并支持导出，永久软件授权包括3年7×24小时原厂服务。配置48个虚拟机容灾授权，采用异步方式将集群内的数据自动备份至其他集群或目标站点上。在必要时，可以使用备份集群的数据对原始站点的保护对象进行回滚操作，并且在原始数据所在站点崩溃时，可以迅速地从目标站点中利用最近的备份数据重建虚拟机。上述所有软件产品必须为国产非OEM产品，提供3年7×24支持服务，提供维保期内的季度巡检、提供现场知识转移培训服务。</w:t>
            </w:r>
            <w:r>
              <w:rPr>
                <w:rFonts w:hint="eastAsia" w:ascii="宋体" w:hAnsi="宋体" w:eastAsia="宋体" w:cs="宋体"/>
                <w:bCs/>
                <w:i w:val="0"/>
                <w:iCs w:val="0"/>
                <w:color w:val="000000"/>
                <w:sz w:val="24"/>
                <w:szCs w:val="24"/>
                <w:highlight w:val="none"/>
                <w:u w:val="none"/>
                <w:lang w:val="en-US" w:eastAsia="zh-CN" w:bidi="ar-SA"/>
              </w:rPr>
            </w:r>
            <w:r/>
          </w:p>
        </w:tc>
      </w:tr>
      <w:tr>
        <w:trPr>
          <w:trHeight w:val="351"/>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兼容性要求</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Cs/>
                <w:i w:val="0"/>
                <w:iCs w:val="0"/>
                <w:color w:val="000000"/>
                <w:sz w:val="24"/>
                <w:szCs w:val="24"/>
                <w:highlight w:val="none"/>
                <w:u w:val="none"/>
                <w:lang w:val="en-US" w:eastAsia="zh-CN" w:bidi="ar"/>
              </w:rPr>
              <w:t xml:space="preserve">本次云平台交付后云平台计算、存储、网络、安全、容灾、备份完全融合，</w:t>
            </w:r>
            <w:r>
              <w:rPr>
                <w:rFonts w:hint="eastAsia" w:ascii="宋体" w:hAnsi="宋体" w:eastAsia="宋体" w:cs="宋体"/>
                <w:bCs/>
                <w:i w:val="0"/>
                <w:iCs w:val="0"/>
                <w:color w:val="000000"/>
                <w:sz w:val="24"/>
                <w:szCs w:val="24"/>
                <w:highlight w:val="none"/>
                <w:u w:val="none"/>
                <w:lang w:val="en-US" w:eastAsia="zh-CN" w:bidi="ar"/>
              </w:rPr>
              <w:t xml:space="preserve">通过</w:t>
            </w:r>
            <w:r>
              <w:rPr>
                <w:rFonts w:hint="eastAsia" w:ascii="宋体" w:hAnsi="宋体" w:eastAsia="宋体" w:cs="宋体"/>
                <w:bCs/>
                <w:i w:val="0"/>
                <w:iCs w:val="0"/>
                <w:color w:val="000000"/>
                <w:sz w:val="24"/>
                <w:szCs w:val="24"/>
                <w:highlight w:val="none"/>
                <w:u w:val="none"/>
                <w:lang w:val="en-US" w:eastAsia="zh-CN" w:bidi="ar"/>
              </w:rPr>
              <w:t xml:space="preserve">统一方式管理。现有云平台品牌技术型号为KVM规格，管理方式需要restapi方式融入现有核心云平台，支持云主机在线迁移，不变</w:t>
            </w:r>
            <w:r>
              <w:rPr>
                <w:rFonts w:hint="eastAsia" w:ascii="宋体" w:hAnsi="宋体" w:eastAsia="宋体" w:cs="宋体"/>
                <w:bCs/>
                <w:i w:val="0"/>
                <w:iCs w:val="0"/>
                <w:color w:val="000000"/>
                <w:sz w:val="24"/>
                <w:szCs w:val="24"/>
                <w:highlight w:val="none"/>
                <w:u w:val="none"/>
                <w:lang w:val="en-US" w:eastAsia="zh-CN" w:bidi="ar"/>
              </w:rPr>
              <w:t xml:space="preserve">更</w:t>
            </w:r>
            <w:r>
              <w:rPr>
                <w:rFonts w:hint="eastAsia" w:ascii="宋体" w:hAnsi="宋体" w:eastAsia="宋体" w:cs="宋体"/>
                <w:bCs/>
                <w:i w:val="0"/>
                <w:iCs w:val="0"/>
                <w:color w:val="000000"/>
                <w:sz w:val="24"/>
                <w:szCs w:val="24"/>
                <w:highlight w:val="none"/>
                <w:u w:val="none"/>
                <w:lang w:val="en-US" w:eastAsia="zh-CN" w:bidi="ar"/>
              </w:rPr>
              <w:t xml:space="preserve">硬件ID</w:t>
            </w:r>
            <w:r>
              <w:rPr>
                <w:rFonts w:hint="eastAsia" w:ascii="宋体" w:hAnsi="宋体" w:eastAsia="宋体" w:cs="宋体"/>
                <w:bCs/>
                <w:i w:val="0"/>
                <w:iCs w:val="0"/>
                <w:color w:val="000000"/>
                <w:sz w:val="24"/>
                <w:szCs w:val="24"/>
                <w:highlight w:val="none"/>
                <w:u w:val="none"/>
                <w:lang w:val="en-US" w:eastAsia="zh-CN" w:bidi="ar"/>
              </w:rPr>
              <w:t xml:space="preserve">。</w:t>
            </w:r>
            <w:r>
              <w:rPr>
                <w:rFonts w:hint="eastAsia" w:ascii="宋体" w:hAnsi="宋体" w:eastAsia="宋体" w:cs="宋体"/>
                <w:bCs/>
                <w:i w:val="0"/>
                <w:iCs w:val="0"/>
                <w:color w:val="000000"/>
                <w:sz w:val="24"/>
                <w:szCs w:val="24"/>
                <w:highlight w:val="none"/>
                <w:u w:val="none"/>
                <w:lang w:val="en-US" w:eastAsia="zh-CN" w:bidi="ar"/>
              </w:rPr>
              <w:t xml:space="preserve">（签订合同时提供技术证明材料及服务承诺函并加盖公章）</w:t>
            </w:r>
            <w:r>
              <w:rPr>
                <w:rFonts w:hint="eastAsia" w:ascii="宋体" w:hAnsi="宋体" w:eastAsia="宋体" w:cs="宋体"/>
                <w:bCs/>
                <w:i w:val="0"/>
                <w:iCs w:val="0"/>
                <w:color w:val="000000"/>
                <w:sz w:val="24"/>
                <w:szCs w:val="24"/>
                <w:highlight w:val="none"/>
                <w:u w:val="none"/>
                <w:lang w:val="en-US" w:eastAsia="zh-CN" w:bidi="ar-SA"/>
              </w:rPr>
            </w:r>
            <w:r/>
          </w:p>
        </w:tc>
      </w:tr>
      <w:tr>
        <w:trPr>
          <w:cantSplit/>
          <w:trHeight w:val="306"/>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SPDK-VHOST</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Cs/>
                <w:i w:val="0"/>
                <w:iCs w:val="0"/>
                <w:color w:val="000000"/>
                <w:sz w:val="24"/>
                <w:szCs w:val="24"/>
                <w:highlight w:val="none"/>
                <w:u w:val="none"/>
                <w:lang w:val="en-US" w:eastAsia="zh-CN" w:bidi="ar"/>
              </w:rPr>
              <w:t xml:space="preserve">虚拟机支持SPDK-VHOST功能，在此模式下虚拟磁盘支持精简置备。（签订合同时提供符合</w:t>
            </w:r>
            <w:r>
              <w:rPr>
                <w:rFonts w:hint="eastAsia" w:ascii="宋体" w:hAnsi="宋体" w:eastAsia="宋体" w:cs="宋体"/>
                <w:bCs/>
                <w:i w:val="0"/>
                <w:iCs w:val="0"/>
                <w:color w:val="000000"/>
                <w:sz w:val="24"/>
                <w:szCs w:val="24"/>
                <w:highlight w:val="none"/>
                <w:u w:val="none"/>
                <w:lang w:val="zh-CN" w:eastAsia="zh-CN" w:bidi="ar"/>
              </w:rPr>
              <w:t xml:space="preserve">国家及行业相关管理规范要求的</w:t>
            </w:r>
            <w:r>
              <w:rPr>
                <w:rFonts w:hint="eastAsia" w:ascii="宋体" w:hAnsi="宋体" w:eastAsia="宋体" w:cs="宋体"/>
                <w:bCs/>
                <w:i w:val="0"/>
                <w:iCs w:val="0"/>
                <w:color w:val="000000"/>
                <w:sz w:val="24"/>
                <w:szCs w:val="24"/>
                <w:highlight w:val="none"/>
                <w:u w:val="none"/>
                <w:lang w:val="en-US" w:eastAsia="zh-CN" w:bidi="ar"/>
              </w:rPr>
              <w:t xml:space="preserve">第三方检测机构出具的检测报告）</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虚拟卷级别存储策略</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支持虚拟卷级别存储策略的功能，支持对单个虚拟机的不同虚拟磁盘应用同一存储池的不同存储策略（纠删码和副本）。（签订合同时提供符合</w:t>
            </w:r>
            <w:r>
              <w:rPr>
                <w:rFonts w:hint="eastAsia" w:ascii="宋体" w:hAnsi="宋体" w:eastAsia="宋体" w:cs="宋体"/>
                <w:bCs/>
                <w:i w:val="0"/>
                <w:iCs w:val="0"/>
                <w:color w:val="000000"/>
                <w:sz w:val="24"/>
                <w:szCs w:val="24"/>
                <w:highlight w:val="none"/>
                <w:u w:val="none"/>
                <w:lang w:val="zh-CN" w:eastAsia="zh-CN" w:bidi="ar"/>
              </w:rPr>
              <w:t xml:space="preserve">国家及行业相关管理规范要求的</w:t>
            </w:r>
            <w:r>
              <w:rPr>
                <w:rFonts w:hint="eastAsia" w:ascii="宋体" w:hAnsi="宋体" w:eastAsia="宋体" w:cs="宋体"/>
                <w:bCs/>
                <w:i w:val="0"/>
                <w:iCs w:val="0"/>
                <w:color w:val="000000"/>
                <w:sz w:val="24"/>
                <w:szCs w:val="24"/>
                <w:highlight w:val="none"/>
                <w:u w:val="none"/>
                <w:lang w:val="en-US" w:eastAsia="zh-CN" w:bidi="ar"/>
              </w:rPr>
              <w:t xml:space="preserve">第三方检测机构出具的检测报告）</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虚拟机资源优化</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支持虚拟机资源优化的功能，能对集群内长期处于低IO状态、vCPU/内存过剩或紧张的虚拟机进行筛选和识别，并能够导出虚拟机列表信息，该功能需要内置于超融合平台内部，无需联通外部网络或借助其他工具实现。</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纠删码与副本共存</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支持对同一存储池同时应用纠删码（EC）和副本两种存储策略。（签订合同时提供符合</w:t>
            </w:r>
            <w:r>
              <w:rPr>
                <w:rFonts w:hint="eastAsia" w:ascii="宋体" w:hAnsi="宋体" w:eastAsia="宋体" w:cs="宋体"/>
                <w:bCs/>
                <w:i w:val="0"/>
                <w:iCs w:val="0"/>
                <w:color w:val="000000"/>
                <w:sz w:val="24"/>
                <w:szCs w:val="24"/>
                <w:highlight w:val="none"/>
                <w:u w:val="none"/>
                <w:lang w:val="zh-CN" w:eastAsia="zh-CN" w:bidi="ar"/>
              </w:rPr>
              <w:t xml:space="preserve">国家及行业相关管理规范要求的</w:t>
            </w:r>
            <w:r>
              <w:rPr>
                <w:rFonts w:hint="eastAsia" w:ascii="宋体" w:hAnsi="宋体" w:eastAsia="宋体" w:cs="宋体"/>
                <w:bCs/>
                <w:i w:val="0"/>
                <w:iCs w:val="0"/>
                <w:color w:val="000000"/>
                <w:sz w:val="24"/>
                <w:szCs w:val="24"/>
                <w:highlight w:val="none"/>
                <w:u w:val="none"/>
                <w:lang w:val="en-US" w:eastAsia="zh-CN" w:bidi="ar"/>
              </w:rPr>
              <w:t xml:space="preserve">第三方检测机构出具的检测报告）</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界面化配置修改</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支持在超融合管理界面，通过界面化方式修改虚拟机IP地址、子网掩码、网关，支持界面化重置NTP服务器、重置指定账户的密码。（签订合同时提供符合</w:t>
            </w:r>
            <w:r>
              <w:rPr>
                <w:rFonts w:hint="eastAsia" w:ascii="宋体" w:hAnsi="宋体" w:eastAsia="宋体" w:cs="宋体"/>
                <w:bCs/>
                <w:i w:val="0"/>
                <w:iCs w:val="0"/>
                <w:color w:val="000000"/>
                <w:sz w:val="24"/>
                <w:szCs w:val="24"/>
                <w:highlight w:val="none"/>
                <w:u w:val="none"/>
                <w:lang w:val="zh-CN" w:eastAsia="zh-CN" w:bidi="ar"/>
              </w:rPr>
              <w:t xml:space="preserve">国家及行业相关管理规范要求的</w:t>
            </w:r>
            <w:r>
              <w:rPr>
                <w:rFonts w:hint="eastAsia" w:ascii="宋体" w:hAnsi="宋体" w:eastAsia="宋体" w:cs="宋体"/>
                <w:bCs/>
                <w:i w:val="0"/>
                <w:iCs w:val="0"/>
                <w:color w:val="000000"/>
                <w:sz w:val="24"/>
                <w:szCs w:val="24"/>
                <w:highlight w:val="none"/>
                <w:u w:val="none"/>
                <w:lang w:val="en-US" w:eastAsia="zh-CN" w:bidi="ar"/>
              </w:rPr>
              <w:t xml:space="preserve">第三方检测机构出具的检测报告）</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内置容器平台</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超融合平台内置容器管理平台，后续可按需扩展，支持Underlay网络插件，可从Kubernetes集群外部通过Pod IP地址直接访问业务应用Pod。（签订合同时提供符合</w:t>
            </w:r>
            <w:r>
              <w:rPr>
                <w:rFonts w:hint="eastAsia" w:ascii="宋体" w:hAnsi="宋体" w:eastAsia="宋体" w:cs="宋体"/>
                <w:bCs/>
                <w:i w:val="0"/>
                <w:iCs w:val="0"/>
                <w:color w:val="000000"/>
                <w:sz w:val="24"/>
                <w:szCs w:val="24"/>
                <w:highlight w:val="none"/>
                <w:u w:val="none"/>
                <w:lang w:val="zh-CN" w:eastAsia="zh-CN" w:bidi="ar"/>
              </w:rPr>
              <w:t xml:space="preserve">国家及行业相关管理规范要求的</w:t>
            </w:r>
            <w:r>
              <w:rPr>
                <w:rFonts w:hint="eastAsia" w:ascii="宋体" w:hAnsi="宋体" w:eastAsia="宋体" w:cs="宋体"/>
                <w:bCs/>
                <w:i w:val="0"/>
                <w:iCs w:val="0"/>
                <w:color w:val="000000"/>
                <w:sz w:val="24"/>
                <w:szCs w:val="24"/>
                <w:highlight w:val="none"/>
                <w:u w:val="none"/>
                <w:lang w:val="en-US" w:eastAsia="zh-CN" w:bidi="ar"/>
              </w:rPr>
              <w:t xml:space="preserve">第三方检测机构出具的检测报告）</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快速克隆</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虚拟机支持快速克隆。虚拟机支持两种克隆模式，包括快速克隆和完整克隆。其中，快速克隆的执行时间不会因为磁盘大小而改变，都能在一分钟之内完成（签订合同时提供产品功能截图和官方产品文档证明，并加盖公章）。</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服务器兼容性</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Cs/>
                <w:i w:val="0"/>
                <w:iCs w:val="0"/>
                <w:color w:val="000000"/>
                <w:sz w:val="24"/>
                <w:szCs w:val="24"/>
                <w:highlight w:val="none"/>
                <w:u w:val="none"/>
                <w:lang w:val="en-US" w:eastAsia="zh-CN" w:bidi="ar"/>
              </w:rPr>
              <w:t xml:space="preserve">支持不同种类服务器在同一云平台内的部署，用户后续采购不受限制，可自主选择主流服务器，支持的服务器可以为：Dell、联想、HPE、新华三、浪潮、超聚变、超微。</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vMerge w:val="restart"/>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val="en-US" w:eastAsia="zh-CN" w:bidi="ar-SA"/>
              </w:rPr>
            </w:r>
            <w:r/>
          </w:p>
        </w:tc>
        <w:tc>
          <w:tcPr>
            <w:tcW w:w="1416" w:type="dxa"/>
            <w:vAlign w:val="center"/>
            <w:vMerge w:val="restart"/>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虚拟机热迁移</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支持将主机上的虚拟机热迁移至集群内其他主机上，迁移过程中业务不中断。</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vMerge w:val="continue"/>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1416" w:type="dxa"/>
            <w:vAlign w:val="center"/>
            <w:vMerge w:val="continue"/>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bidi="ar"/>
              </w:rPr>
              <w:t xml:space="preserve">迁移工作需基于Linux操作系统进行环境部署、命令操作、服务配置及故障排查</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i w:val="0"/>
                <w:iCs w:val="0"/>
                <w:color w:val="000000"/>
                <w:sz w:val="24"/>
                <w:szCs w:val="24"/>
                <w:highlight w:val="none"/>
                <w:u w:val="none"/>
                <w:lang w:val="en-US" w:eastAsia="zh-CN" w:bidi="ar"/>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HA优先级</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为保证节点故障触发HA时，优先保障关键虚拟机，虚拟机高可用（HA）功能需支持优先级设置，HA恢复顺序可根据HA优先级设置执行（签订合同时提供产品功能截图和官方产品文档证明，并加盖公章）。</w:t>
            </w:r>
            <w:r>
              <w:rPr>
                <w:rFonts w:hint="eastAsia" w:ascii="宋体" w:hAnsi="宋体" w:eastAsia="宋体" w:cs="宋体"/>
                <w:bCs/>
                <w:i w:val="0"/>
                <w:iCs w:val="0"/>
                <w:color w:val="000000"/>
                <w:sz w:val="24"/>
                <w:szCs w:val="24"/>
                <w:highlight w:val="none"/>
                <w:u w:val="none"/>
                <w:lang w:val="en-US" w:eastAsia="zh-CN" w:bidi="ar-SA"/>
              </w:rPr>
            </w:r>
            <w:r/>
          </w:p>
        </w:tc>
      </w:tr>
      <w:tr>
        <w:trPr>
          <w:cantSplit/>
          <w:trHeight w:val="881"/>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13</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VMware迁移工具</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提供VMware虚拟化平台的迁移工具：工具可支持VMware vSphere 5.0、6.0、7.0、8.0等多个版本的VMware虚拟机通过无代理的方式迁移到超融合平台之上；工具必须支持已使用VMware分布式交换机（VDS）的虚拟机的迁移。</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14</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硬件监控</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支持对超融合平台的硬件进行监控，包含CPU、内存、网卡、硬盘、存储、RAID等硬件健康检测，便于及时发现问题并提供相应异常检测项的恢复指导建议。</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15</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性能监控</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提供监控实时性能和历史性能数据分析功能，可支持保存历史数据不得低于6个月，通过对集群内的虚拟机和主机等多种资源对象的指标进行监控，并以视图和图表的方式组织和呈现数据，以帮助用户对资源使用情况进行分析。</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16</w:t>
            </w:r>
            <w:r>
              <w:rPr>
                <w:rFonts w:hint="eastAsia" w:ascii="宋体" w:hAnsi="宋体" w:eastAsia="宋体" w:cs="宋体"/>
                <w:bCs/>
                <w:sz w:val="24"/>
                <w:szCs w:val="24"/>
                <w:highlight w:val="none"/>
                <w:lang w:val="en-US" w:eastAsia="zh-CN" w:bidi="ar-SA"/>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异常磁盘隔离</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支持智能精准探测并隔离异常磁盘，如故障磁盘、慢盘、亚健康磁盘、SMART检查不通过磁盘和寿命不足磁盘（签订合同时提供产品功能截图和官方产品文档证明，并加盖公章）。</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17</w:t>
            </w:r>
            <w:r>
              <w:rPr>
                <w:rFonts w:hint="eastAsia" w:ascii="宋体" w:hAnsi="宋体" w:eastAsia="宋体" w:cs="宋体"/>
                <w:bCs/>
                <w:sz w:val="24"/>
                <w:szCs w:val="24"/>
                <w:highlight w:val="none"/>
                <w:lang w:val="en-US" w:eastAsia="zh-CN"/>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快照与重建</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支持通过虚拟机快照重建虚拟机，支持定时快照功能，快照对象可选择虚拟机或虚拟卷。</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18</w:t>
            </w:r>
            <w:r>
              <w:rPr>
                <w:rFonts w:ascii="宋体" w:hAnsi="宋体" w:eastAsia="宋体" w:cs="宋体"/>
                <w:bCs/>
                <w:sz w:val="24"/>
                <w:szCs w:val="24"/>
                <w:highlight w:val="none"/>
                <w:lang w:val="en-US" w:eastAsia="zh-CN"/>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芯片平台兼容</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能够支持Intel X86、AMD X86、鲲鹏、海光芯片服务器。服务许可不限定平台，且不会因为芯片核心数差异而做差异化收费，用户可按需选择，</w:t>
            </w:r>
            <w:r>
              <w:rPr>
                <w:rFonts w:hint="eastAsia" w:ascii="宋体" w:hAnsi="宋体" w:eastAsia="宋体" w:cs="宋体"/>
                <w:bCs/>
                <w:i w:val="0"/>
                <w:iCs w:val="0"/>
                <w:color w:val="000000"/>
                <w:sz w:val="24"/>
                <w:szCs w:val="24"/>
                <w:highlight w:val="none"/>
                <w:u w:val="none"/>
                <w:lang w:val="en-US" w:eastAsia="zh-CN" w:bidi="ar"/>
              </w:rPr>
              <w:t xml:space="preserve">可根据用户需求实现许可的跨平台迁移，例如从Intel X86服务器平台迁移至海光芯片服务器平台，无须额外付费。</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top"/>
            <w:textDirection w:val="lrTb"/>
            <w:noWrap w:val="false"/>
          </w:tcPr>
          <w:p>
            <w:pPr>
              <w:pStyle w:val="871"/>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19</w:t>
            </w:r>
            <w:r>
              <w:rPr>
                <w:rFonts w:ascii="宋体" w:hAnsi="宋体" w:eastAsia="宋体" w:cs="宋体"/>
                <w:bCs/>
                <w:sz w:val="24"/>
                <w:szCs w:val="24"/>
                <w:highlight w:val="none"/>
                <w:lang w:val="en-US" w:eastAsia="zh-CN"/>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热迁移</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Cs/>
                <w:i w:val="0"/>
                <w:iCs w:val="0"/>
                <w:color w:val="000000"/>
                <w:sz w:val="24"/>
                <w:szCs w:val="24"/>
                <w:highlight w:val="none"/>
                <w:u w:val="none"/>
                <w:lang w:val="en-US" w:eastAsia="zh-CN" w:bidi="ar"/>
              </w:rPr>
              <w:t xml:space="preserve">支持将云平台上的虚拟机热迁移至云平台内其他主机上，迁移过程中业务不中断。</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en-US" w:eastAsia="zh-CN"/>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常驻缓存</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在固态硬盘（SSD）+机械硬盘（HDD）组建的混合云平台中，可支持为虚拟机和虚拟磁盘卷启用常驻缓存服务。启用该服务后云平台虚拟机的数据可一直保留在缓存（SSD硬盘），不会被交换至HDD硬盘，确保云平台关键业务虚拟机的I/O性能不会因为缓存空间不足而降低。为确保云平台容量管理统一性，不可通过划分不同磁盘组或者存储资源池实现该效果。（签订合同时提供符合</w:t>
            </w:r>
            <w:r>
              <w:rPr>
                <w:rFonts w:hint="eastAsia" w:ascii="宋体" w:hAnsi="宋体" w:eastAsia="宋体" w:cs="宋体"/>
                <w:bCs/>
                <w:i w:val="0"/>
                <w:iCs w:val="0"/>
                <w:color w:val="000000"/>
                <w:sz w:val="24"/>
                <w:szCs w:val="24"/>
                <w:highlight w:val="none"/>
                <w:u w:val="none"/>
                <w:lang w:val="zh-CN" w:eastAsia="zh-CN" w:bidi="ar"/>
              </w:rPr>
              <w:t xml:space="preserve">国家及行业相关管理规范要求的</w:t>
            </w:r>
            <w:r>
              <w:rPr>
                <w:rFonts w:hint="eastAsia" w:ascii="宋体" w:hAnsi="宋体" w:eastAsia="宋体" w:cs="宋体"/>
                <w:bCs/>
                <w:i w:val="0"/>
                <w:iCs w:val="0"/>
                <w:color w:val="000000"/>
                <w:sz w:val="24"/>
                <w:szCs w:val="24"/>
                <w:highlight w:val="none"/>
                <w:u w:val="none"/>
                <w:lang w:val="en-US" w:eastAsia="zh-CN" w:bidi="ar"/>
              </w:rPr>
              <w:t xml:space="preserve">第三方检测机构出具的检测报告）</w:t>
            </w:r>
            <w:r>
              <w:rPr>
                <w:rFonts w:hint="eastAsia" w:ascii="宋体" w:hAnsi="宋体" w:eastAsia="宋体" w:cs="宋体"/>
                <w:bCs/>
                <w:i w:val="0"/>
                <w:iCs w:val="0"/>
                <w:color w:val="000000"/>
                <w:sz w:val="24"/>
                <w:szCs w:val="24"/>
                <w:highlight w:val="none"/>
                <w:u w:val="none"/>
                <w:lang w:val="en-US" w:eastAsia="zh-CN" w:bidi="ar-SA"/>
              </w:rPr>
            </w:r>
            <w:r/>
          </w:p>
        </w:tc>
      </w:tr>
      <w:tr>
        <w:trPr>
          <w:trHeight w:val="145"/>
        </w:trPr>
        <w:tc>
          <w:tcPr>
            <w:tcW w:w="731"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w:t>
            </w:r>
            <w:r>
              <w:rPr>
                <w:rFonts w:hint="eastAsia" w:ascii="宋体" w:hAnsi="宋体" w:eastAsia="宋体" w:cs="宋体"/>
                <w:bCs/>
                <w:sz w:val="24"/>
                <w:szCs w:val="24"/>
                <w:highlight w:val="none"/>
                <w:lang w:val="en-US" w:eastAsia="zh-CN"/>
              </w:rPr>
            </w:r>
            <w:r/>
          </w:p>
        </w:tc>
        <w:tc>
          <w:tcPr>
            <w:tcW w:w="1416"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文件存储</w:t>
            </w:r>
            <w:r>
              <w:rPr>
                <w:rFonts w:hint="eastAsia" w:ascii="宋体" w:hAnsi="宋体" w:eastAsia="宋体" w:cs="宋体"/>
                <w:bCs/>
                <w:i w:val="0"/>
                <w:iCs w:val="0"/>
                <w:color w:val="000000"/>
                <w:sz w:val="24"/>
                <w:szCs w:val="24"/>
                <w:highlight w:val="none"/>
                <w:u w:val="none"/>
                <w:lang w:val="en-US" w:eastAsia="zh-CN" w:bidi="ar"/>
              </w:rPr>
            </w:r>
            <w:r/>
          </w:p>
        </w:tc>
        <w:tc>
          <w:tcPr>
            <w:tcW w:w="7498" w:type="dxa"/>
            <w:vAlign w:val="center"/>
            <w:textDirection w:val="lrTb"/>
            <w:noWrap w:val="false"/>
          </w:tcPr>
          <w:p>
            <w:pPr>
              <w:pStyle w:val="871"/>
              <w:jc w:val="left"/>
              <w:keepLines w:val="0"/>
              <w:keepNext w:val="0"/>
              <w:spacing w:line="264" w:lineRule="auto"/>
              <w:widowControl w:val="off"/>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
              </w:rPr>
              <w:t xml:space="preserve">超融合云平台升级后本身可对外提供文件存储，至少支持NFS和HDFS。</w:t>
            </w:r>
            <w:r>
              <w:rPr>
                <w:rFonts w:hint="eastAsia" w:ascii="宋体" w:hAnsi="宋体" w:eastAsia="宋体" w:cs="宋体"/>
                <w:bCs/>
                <w:i w:val="0"/>
                <w:iCs w:val="0"/>
                <w:color w:val="000000"/>
                <w:sz w:val="24"/>
                <w:szCs w:val="24"/>
                <w:highlight w:val="none"/>
                <w:u w:val="none"/>
                <w:lang w:val="en-US" w:eastAsia="zh-CN" w:bidi="ar-SA"/>
              </w:rPr>
            </w:r>
            <w:r/>
          </w:p>
        </w:tc>
      </w:tr>
    </w:tbl>
    <w:p>
      <w:pPr>
        <w:pStyle w:val="871"/>
        <w:ind w:firstLine="420"/>
        <w:keepLines w:val="0"/>
        <w:keepNext w:val="0"/>
        <w:pageBreakBefore w:val="0"/>
        <w:spacing w:line="264" w:lineRule="auto"/>
        <w:widowControl w:val="off"/>
        <w:rPr>
          <w:rFonts w:hint="eastAsia"/>
          <w:highlight w:val="none"/>
          <w:lang w:val="en-US" w:eastAsia="zh-CN"/>
        </w:rPr>
      </w:pPr>
      <w:r>
        <w:rPr>
          <w:rFonts w:hint="eastAsia"/>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2"/>
      </w:pPr>
      <w:r>
        <w:rPr>
          <w:rFonts w:hint="eastAsia" w:ascii="宋体" w:hAnsi="宋体" w:eastAsia="宋体" w:cs="Times New Roman"/>
          <w:b w:val="0"/>
          <w:bCs w:val="0"/>
          <w:i w:val="0"/>
          <w:iCs w:val="0"/>
          <w:color w:val="000000"/>
          <w:sz w:val="24"/>
          <w:highlight w:val="none"/>
          <w:u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应具有健全的项目管理制度和流程，以及合格的项目实施人员，对系统建设进行全过程质量管理，确保项目</w:t>
      </w:r>
      <w:r>
        <w:rPr>
          <w:rFonts w:hint="eastAsia" w:ascii="宋体" w:hAnsi="宋体" w:cs="宋体"/>
          <w:color w:val="000000"/>
          <w:sz w:val="24"/>
          <w:szCs w:val="24"/>
          <w:highlight w:val="none"/>
          <w:lang w:val="en-US" w:eastAsia="zh-CN"/>
        </w:rPr>
        <w:t xml:space="preserve">顺利</w:t>
      </w:r>
      <w:r>
        <w:rPr>
          <w:rFonts w:hint="eastAsia" w:ascii="宋体" w:hAnsi="宋体" w:cs="宋体"/>
          <w:color w:val="000000"/>
          <w:sz w:val="24"/>
          <w:szCs w:val="24"/>
          <w:highlight w:val="none"/>
        </w:rPr>
        <w:t xml:space="preserve">实施。</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（2）验收要求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1）产品交付前，供应商应对产品进行全面自检，符合采购人要求的交付条件后，由供应商发起验收申请，采购人评估后组织验收。</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2）在交货时供应商应对所提供的产品出具国家标准规定的产品合格证或国家认可的行业标准规定的产品合格证。</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3）采购人在交货前有权对供应商提供的产品、技术、服务提出异议，并采取相关措施确保质量合格。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4）具体组织程序、验收标准和方法，按采购人规定程序执行，供应商配合。</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5）产品验收不合格，采购人有权拒收和解除采购合同，由此造成的损失，由供应商承担。验收过程中，供应商可有1次整改机会，若未通过，采购人有权解除合同并追回已支付款项。</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6）项目验收前，供应商须培训采购人至少3名工程师和需求部门管理人员。</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（3）质保及售后要求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1）所投</w:t>
      </w:r>
      <w:r>
        <w:rPr>
          <w:rFonts w:hint="eastAsia" w:ascii="宋体" w:hAnsi="宋体" w:eastAsia="宋体" w:cs="宋体"/>
          <w:bCs/>
          <w:color w:val="000000"/>
          <w:sz w:val="24"/>
          <w:szCs w:val="24"/>
          <w:highlight w:val="none"/>
          <w:lang w:val="en-US" w:eastAsia="zh-CN"/>
        </w:rPr>
        <w:t xml:space="preserve">国产信创超融合服务器（混闪）（</w:t>
      </w:r>
      <w:r>
        <w:rPr>
          <w:rFonts w:hint="eastAsia" w:ascii="宋体" w:hAnsi="宋体" w:eastAsia="宋体" w:cs="宋体"/>
          <w:color w:val="000000"/>
          <w:sz w:val="24"/>
          <w:szCs w:val="24"/>
          <w:highlight w:val="none"/>
          <w:lang w:val="en-US" w:eastAsia="zh-CN"/>
        </w:rPr>
        <w:t xml:space="preserve">产品清单1）、</w:t>
      </w:r>
      <w:r>
        <w:rPr>
          <w:rFonts w:hint="eastAsia" w:ascii="宋体" w:hAnsi="宋体" w:eastAsia="宋体" w:cs="宋体"/>
          <w:bCs/>
          <w:color w:val="000000"/>
          <w:sz w:val="24"/>
          <w:szCs w:val="24"/>
          <w:highlight w:val="none"/>
          <w:lang w:val="en-US" w:eastAsia="zh-CN"/>
        </w:rPr>
        <w:t xml:space="preserve">国产信创交换机（</w:t>
      </w:r>
      <w:r>
        <w:rPr>
          <w:rFonts w:hint="eastAsia" w:ascii="宋体" w:hAnsi="宋体" w:eastAsia="宋体" w:cs="宋体"/>
          <w:color w:val="000000"/>
          <w:sz w:val="24"/>
          <w:szCs w:val="24"/>
          <w:highlight w:val="none"/>
          <w:lang w:val="en-US" w:eastAsia="zh-CN"/>
        </w:rPr>
        <w:t xml:space="preserve">产品清单2）：自项目最终验收合格之日起算，供应商须为本系统中软硬件提供五年原厂质保服务。为保证原厂服务的有效执行，要求所有硬件设备保修信息均为脑机接口研究院，须从原厂公布的原厂服务电话得到查询验证：供应商提供的货物必须由原厂商直接发至采购人指定地方，中途不得转运。货物出厂日期不得早于中标通知书发放日期；</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2）所投</w:t>
      </w:r>
      <w:r>
        <w:rPr>
          <w:rFonts w:hint="eastAsia" w:ascii="宋体" w:hAnsi="宋体" w:eastAsia="宋体" w:cs="宋体"/>
          <w:bCs/>
          <w:color w:val="000000"/>
          <w:sz w:val="24"/>
          <w:szCs w:val="24"/>
          <w:highlight w:val="none"/>
        </w:rPr>
        <w:t xml:space="preserve">国产化超融合软件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产品清单3）：自项目最终验收合格之日起算，供应商须为本系统中软硬件提供三年维护、技术支持与故障处理服务，期间不收取任何费用。质保期届满后，年度维保服务费率不得高于所投</w:t>
      </w:r>
      <w:r>
        <w:rPr>
          <w:rFonts w:hint="eastAsia" w:ascii="宋体" w:hAnsi="宋体" w:eastAsia="宋体" w:cs="宋体"/>
          <w:bCs/>
          <w:color w:val="000000"/>
          <w:sz w:val="24"/>
          <w:szCs w:val="24"/>
          <w:highlight w:val="none"/>
        </w:rPr>
        <w:t xml:space="preserve">国产化超融合软件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产品清单3）单项中标金额的5%，具体服务标准由双方另行约定。</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3）软硬件的支持与维护服务</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①供应商应该提供各类技术人员的职责与联系方式，方便采购人与相关人员的沟通，协助制定系统的操作规范。</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②产品质保有效期内，应提供系统扩充、升级方面的技术支持服务，费用包含在投标总价中。</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③供应商应该在项目的实施过程中提供所需软硬件支持的服务，这些服务应该包括：</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对影响到系统平稳作业以及应用模块操作使用的问题解答与分析，并提出解决方案；</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对所有的维护活动进行记录，并形成规范的文档，例如记录时间、地点、原因等，最后还要注明完成的时间和人员；</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7*24小时的现场维护和故障解决。及时响应紧急情况下的用户服务请求和故障申报服务，接听处理用户的技术咨询、服务请求和故障申报，反馈运维服务信息。通过即时通讯软件/书面/电话等多种方式，保持与用户的紧密联系和沟通渠道。</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④供应商须提供7*24小时的技术支持和上门维护升级服务（费用包含在投标总价中）。故障级别定义及解决时间要求如下：</w:t>
      </w:r>
      <w:r>
        <w:rPr>
          <w:rFonts w:hint="eastAsia" w:ascii="宋体" w:hAnsi="宋体" w:eastAsia="宋体" w:cs="宋体"/>
          <w:color w:val="000000"/>
          <w:sz w:val="24"/>
          <w:szCs w:val="24"/>
          <w:highlight w:val="none"/>
          <w:lang w:val="en-US" w:eastAsia="zh-CN"/>
        </w:rPr>
      </w:r>
      <w:r/>
    </w:p>
    <w:tbl>
      <w:tblPr>
        <w:tblW w:w="9532"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5"/>
        <w:gridCol w:w="1110"/>
        <w:gridCol w:w="1890"/>
        <w:gridCol w:w="1978"/>
        <w:gridCol w:w="1431"/>
        <w:gridCol w:w="1378"/>
      </w:tblGrid>
      <w:tr>
        <w:trPr/>
        <w:tc>
          <w:tcPr>
            <w:tcW w:w="174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故障级别</w:t>
            </w:r>
            <w:r>
              <w:rPr>
                <w:rFonts w:hint="eastAsia" w:ascii="宋体" w:hAnsi="宋体" w:eastAsia="宋体" w:cs="宋体"/>
                <w:color w:val="000000"/>
                <w:sz w:val="24"/>
                <w:szCs w:val="24"/>
                <w:highlight w:val="none"/>
                <w:lang w:val="en-US" w:eastAsia="zh-CN"/>
              </w:rPr>
            </w:r>
            <w:r/>
          </w:p>
        </w:tc>
        <w:tc>
          <w:tcPr>
            <w:tcW w:w="111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技术人员到场时间</w:t>
            </w:r>
            <w:r>
              <w:rPr>
                <w:rFonts w:hint="eastAsia" w:ascii="宋体" w:hAnsi="宋体" w:eastAsia="宋体" w:cs="宋体"/>
                <w:color w:val="000000"/>
                <w:sz w:val="24"/>
                <w:szCs w:val="24"/>
                <w:highlight w:val="none"/>
                <w:lang w:val="en-US" w:eastAsia="zh-CN"/>
              </w:rPr>
            </w:r>
            <w:r/>
          </w:p>
        </w:tc>
        <w:tc>
          <w:tcPr>
            <w:tcW w:w="189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提出解决方案</w:t>
            </w:r>
            <w:r>
              <w:rPr>
                <w:rFonts w:hint="eastAsia" w:ascii="宋体" w:hAnsi="宋体" w:eastAsia="宋体" w:cs="宋体"/>
                <w:color w:val="000000"/>
                <w:sz w:val="24"/>
                <w:szCs w:val="24"/>
                <w:highlight w:val="none"/>
                <w:lang w:val="en-US" w:eastAsia="zh-CN"/>
              </w:rPr>
            </w:r>
            <w:r/>
          </w:p>
        </w:tc>
        <w:tc>
          <w:tcPr>
            <w:tcW w:w="197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备件到场时间</w:t>
            </w:r>
            <w:r>
              <w:rPr>
                <w:rFonts w:hint="eastAsia" w:ascii="宋体" w:hAnsi="宋体" w:eastAsia="宋体" w:cs="宋体"/>
                <w:color w:val="000000"/>
                <w:sz w:val="24"/>
                <w:szCs w:val="24"/>
                <w:highlight w:val="none"/>
                <w:lang w:val="en-US" w:eastAsia="zh-CN"/>
              </w:rPr>
            </w:r>
            <w:r/>
          </w:p>
        </w:tc>
        <w:tc>
          <w:tcPr>
            <w:tcW w:w="14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解决时间</w:t>
            </w:r>
            <w:r>
              <w:rPr>
                <w:rFonts w:hint="eastAsia" w:ascii="宋体" w:hAnsi="宋体" w:eastAsia="宋体" w:cs="宋体"/>
                <w:color w:val="000000"/>
                <w:sz w:val="24"/>
                <w:szCs w:val="24"/>
                <w:highlight w:val="none"/>
                <w:lang w:val="en-US" w:eastAsia="zh-CN"/>
              </w:rPr>
            </w:r>
            <w:r/>
          </w:p>
        </w:tc>
        <w:tc>
          <w:tcPr>
            <w:tcW w:w="1378" w:type="dxa"/>
            <w:vAlign w:val="center"/>
            <w:textDirection w:val="lrTb"/>
            <w:noWrap w:val="false"/>
          </w:tcPr>
          <w:p>
            <w:pPr>
              <w:pStyle w:val="87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r>
      <w:tr>
        <w:trPr>
          <w:trHeight w:val="730"/>
        </w:trPr>
        <w:tc>
          <w:tcPr>
            <w:tcW w:w="174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Ⅰ级：属于重特大故障或系统存在重大安全隐患的情况下。</w:t>
            </w:r>
            <w:r>
              <w:rPr>
                <w:rFonts w:hint="eastAsia" w:ascii="宋体" w:hAnsi="宋体" w:eastAsia="宋体" w:cs="宋体"/>
                <w:color w:val="000000"/>
                <w:sz w:val="24"/>
                <w:szCs w:val="24"/>
                <w:highlight w:val="none"/>
                <w:lang w:val="en-US" w:eastAsia="zh-CN"/>
              </w:rPr>
            </w:r>
            <w:r/>
          </w:p>
        </w:tc>
        <w:tc>
          <w:tcPr>
            <w:tcW w:w="111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接报30分钟以内到现场</w:t>
            </w:r>
            <w:r>
              <w:rPr>
                <w:rFonts w:hint="eastAsia" w:ascii="宋体" w:hAnsi="宋体" w:eastAsia="宋体" w:cs="宋体"/>
                <w:color w:val="000000"/>
                <w:sz w:val="24"/>
                <w:szCs w:val="24"/>
                <w:highlight w:val="none"/>
                <w:lang w:val="en-US" w:eastAsia="zh-CN"/>
              </w:rPr>
            </w:r>
            <w:r/>
          </w:p>
        </w:tc>
        <w:tc>
          <w:tcPr>
            <w:tcW w:w="189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到现场后1小时内提交故障解决方案</w:t>
            </w:r>
            <w:r>
              <w:rPr>
                <w:rFonts w:hint="eastAsia" w:ascii="宋体" w:hAnsi="宋体" w:eastAsia="宋体" w:cs="宋体"/>
                <w:color w:val="000000"/>
                <w:sz w:val="24"/>
                <w:szCs w:val="24"/>
                <w:highlight w:val="none"/>
                <w:lang w:val="en-US" w:eastAsia="zh-CN"/>
              </w:rPr>
            </w:r>
            <w:r/>
          </w:p>
        </w:tc>
        <w:tc>
          <w:tcPr>
            <w:tcW w:w="197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提出解决方案后1小时到现场</w:t>
            </w:r>
            <w:r>
              <w:rPr>
                <w:rFonts w:hint="eastAsia" w:ascii="宋体" w:hAnsi="宋体" w:eastAsia="宋体" w:cs="宋体"/>
                <w:color w:val="000000"/>
                <w:sz w:val="24"/>
                <w:szCs w:val="24"/>
                <w:highlight w:val="none"/>
                <w:lang w:val="en-US" w:eastAsia="zh-CN"/>
              </w:rPr>
            </w:r>
            <w:r/>
          </w:p>
        </w:tc>
        <w:tc>
          <w:tcPr>
            <w:tcW w:w="1431"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接报3小时以内</w:t>
            </w:r>
            <w:r>
              <w:rPr>
                <w:rFonts w:hint="eastAsia" w:ascii="宋体" w:hAnsi="宋体" w:eastAsia="宋体" w:cs="宋体"/>
                <w:color w:val="000000"/>
                <w:sz w:val="24"/>
                <w:szCs w:val="24"/>
                <w:highlight w:val="none"/>
                <w:lang w:val="en-US" w:eastAsia="zh-CN"/>
              </w:rPr>
            </w:r>
            <w:r/>
          </w:p>
        </w:tc>
        <w:tc>
          <w:tcPr>
            <w:tcW w:w="1378" w:type="dxa"/>
            <w:vAlign w:val="center"/>
            <w:vMerge w:val="restart"/>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特殊情况，电话通知或下发《紧急维修通知单》，3小时内必须修复。</w:t>
            </w:r>
            <w:r>
              <w:rPr>
                <w:rFonts w:hint="eastAsia" w:ascii="宋体" w:hAnsi="宋体" w:eastAsia="宋体" w:cs="宋体"/>
                <w:color w:val="000000"/>
                <w:sz w:val="24"/>
                <w:szCs w:val="24"/>
                <w:highlight w:val="none"/>
              </w:rPr>
            </w:r>
            <w:r/>
          </w:p>
        </w:tc>
      </w:tr>
      <w:tr>
        <w:trPr/>
        <w:tc>
          <w:tcPr>
            <w:tcW w:w="174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Ⅱ级：属于严重问题：其具体现象为：部分服务器系统发生故障、或小面积瘫痪但不影响系统整体运行。</w:t>
            </w:r>
            <w:r>
              <w:rPr>
                <w:rFonts w:hint="eastAsia" w:ascii="宋体" w:hAnsi="宋体" w:eastAsia="宋体" w:cs="宋体"/>
                <w:color w:val="000000"/>
                <w:sz w:val="24"/>
                <w:szCs w:val="24"/>
                <w:highlight w:val="none"/>
                <w:lang w:val="en-US" w:eastAsia="zh-CN"/>
              </w:rPr>
            </w:r>
            <w:r/>
          </w:p>
        </w:tc>
        <w:tc>
          <w:tcPr>
            <w:tcW w:w="111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接报30分钟以内到现场</w:t>
            </w:r>
            <w:r>
              <w:rPr>
                <w:rFonts w:hint="eastAsia" w:ascii="宋体" w:hAnsi="宋体" w:eastAsia="宋体" w:cs="宋体"/>
                <w:color w:val="000000"/>
                <w:sz w:val="24"/>
                <w:szCs w:val="24"/>
                <w:highlight w:val="none"/>
                <w:lang w:val="en-US" w:eastAsia="zh-CN"/>
              </w:rPr>
            </w:r>
            <w:r/>
          </w:p>
        </w:tc>
        <w:tc>
          <w:tcPr>
            <w:tcW w:w="189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到现场后1小时内提交故障解决方案</w:t>
            </w:r>
            <w:r>
              <w:rPr>
                <w:rFonts w:hint="eastAsia" w:ascii="宋体" w:hAnsi="宋体" w:eastAsia="宋体" w:cs="宋体"/>
                <w:color w:val="000000"/>
                <w:sz w:val="24"/>
                <w:szCs w:val="24"/>
                <w:highlight w:val="none"/>
                <w:lang w:val="en-US" w:eastAsia="zh-CN"/>
              </w:rPr>
            </w:r>
            <w:r/>
          </w:p>
        </w:tc>
        <w:tc>
          <w:tcPr>
            <w:tcW w:w="197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提出解决方案后1小时到现场</w:t>
            </w:r>
            <w:r>
              <w:rPr>
                <w:rFonts w:hint="eastAsia" w:ascii="宋体" w:hAnsi="宋体" w:eastAsia="宋体" w:cs="宋体"/>
                <w:color w:val="000000"/>
                <w:sz w:val="24"/>
                <w:szCs w:val="24"/>
                <w:highlight w:val="none"/>
                <w:lang w:val="en-US" w:eastAsia="zh-CN"/>
              </w:rPr>
            </w:r>
            <w:r/>
          </w:p>
        </w:tc>
        <w:tc>
          <w:tcPr>
            <w:tcW w:w="1431"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接报6小时以内</w:t>
            </w:r>
            <w:r>
              <w:rPr>
                <w:rFonts w:hint="eastAsia" w:ascii="宋体" w:hAnsi="宋体" w:eastAsia="宋体" w:cs="宋体"/>
                <w:color w:val="000000"/>
                <w:sz w:val="24"/>
                <w:szCs w:val="24"/>
                <w:highlight w:val="none"/>
                <w:lang w:val="en-US" w:eastAsia="zh-CN"/>
              </w:rPr>
            </w:r>
            <w:r/>
          </w:p>
        </w:tc>
        <w:tc>
          <w:tcPr>
            <w:tcW w:w="1378" w:type="dxa"/>
            <w:vAlign w:val="top"/>
            <w:vMerge w:val="continue"/>
            <w:textDirection w:val="lrTb"/>
            <w:noWrap w:val="false"/>
          </w:tcPr>
          <w:p>
            <w:pPr>
              <w:pStyle w:val="8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74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Ⅲ级：属于普通问题：其具体现象为：服务器、存储硬盘故障，交换机单点故障，服务故障。</w:t>
            </w:r>
            <w:r>
              <w:rPr>
                <w:rFonts w:hint="eastAsia" w:ascii="宋体" w:hAnsi="宋体" w:eastAsia="宋体" w:cs="宋体"/>
                <w:color w:val="000000"/>
                <w:sz w:val="24"/>
                <w:szCs w:val="24"/>
                <w:highlight w:val="none"/>
                <w:lang w:val="en-US" w:eastAsia="zh-CN"/>
              </w:rPr>
            </w:r>
            <w:r/>
          </w:p>
        </w:tc>
        <w:tc>
          <w:tcPr>
            <w:tcW w:w="111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接报2小时内到现场</w:t>
            </w:r>
            <w:r>
              <w:rPr>
                <w:rFonts w:hint="eastAsia" w:ascii="宋体" w:hAnsi="宋体" w:eastAsia="宋体" w:cs="宋体"/>
                <w:color w:val="000000"/>
                <w:sz w:val="24"/>
                <w:szCs w:val="24"/>
                <w:highlight w:val="none"/>
                <w:lang w:val="en-US" w:eastAsia="zh-CN"/>
              </w:rPr>
            </w:r>
            <w:r/>
          </w:p>
        </w:tc>
        <w:tc>
          <w:tcPr>
            <w:tcW w:w="189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即时提交或到现场后1小时内提交解决方案</w:t>
            </w:r>
            <w:r>
              <w:rPr>
                <w:rFonts w:hint="eastAsia" w:ascii="宋体" w:hAnsi="宋体" w:eastAsia="宋体" w:cs="宋体"/>
                <w:color w:val="000000"/>
                <w:sz w:val="24"/>
                <w:szCs w:val="24"/>
                <w:highlight w:val="none"/>
                <w:lang w:val="en-US" w:eastAsia="zh-CN"/>
              </w:rPr>
            </w:r>
            <w:r/>
          </w:p>
        </w:tc>
        <w:tc>
          <w:tcPr>
            <w:tcW w:w="197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视情况而定</w:t>
            </w:r>
            <w:r>
              <w:rPr>
                <w:rFonts w:hint="eastAsia" w:ascii="宋体" w:hAnsi="宋体" w:eastAsia="宋体" w:cs="宋体"/>
                <w:color w:val="000000"/>
                <w:sz w:val="24"/>
                <w:szCs w:val="24"/>
                <w:highlight w:val="none"/>
                <w:lang w:val="en-US" w:eastAsia="zh-CN"/>
              </w:rPr>
            </w:r>
            <w:r/>
          </w:p>
        </w:tc>
        <w:tc>
          <w:tcPr>
            <w:tcW w:w="1431"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接报12小时以内</w:t>
            </w:r>
            <w:r>
              <w:rPr>
                <w:rFonts w:hint="eastAsia" w:ascii="宋体" w:hAnsi="宋体" w:eastAsia="宋体" w:cs="宋体"/>
                <w:color w:val="000000"/>
                <w:sz w:val="24"/>
                <w:szCs w:val="24"/>
                <w:highlight w:val="none"/>
                <w:lang w:val="en-US" w:eastAsia="zh-CN"/>
              </w:rPr>
            </w:r>
            <w:r/>
          </w:p>
        </w:tc>
        <w:tc>
          <w:tcPr>
            <w:tcW w:w="1378" w:type="dxa"/>
            <w:vAlign w:val="top"/>
            <w:vMerge w:val="continue"/>
            <w:textDirection w:val="lrTb"/>
            <w:noWrap w:val="false"/>
          </w:tcPr>
          <w:p>
            <w:pPr>
              <w:pStyle w:val="8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签订合同时供应商提供详细的项目售后管理方案，包括质保期、质保期后的维保费用、售后要求、售后内容以及售后人员等。中标后应在项目实施当地（市级）设立技术支持和售后服务机构，并有足够的人员来保证技术支持和售后服务。</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5）签订合同时供应商提供应急处置方案，包括但不限于应急处置团队架构、应急处置流程、应急保障资源等，确保遇到紧急情况时有切实有效的处置手段。</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（4）知识产权要求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供应商应保证使用方在使用该产品或其任何一部分时，不受第三方提出侵犯其专利权、商标权和工业设计权的起诉，供应商</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不承担任何连带责任和赔偿责任。该项目涉及的技术、知识产权、源代码知识产权双方共享，编译发包由采购人完成。</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（5）保密要求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供应商不得向第三方泄露采购人提供的技术文件等资料。</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（6）项目管理及实施要求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实施人员：供应商需针对本项目成立专门的实施团队，积极主动与采购人进行协调沟通，在规定的时间内，保证质量完成投标所提供设备的规划、安装、调试及投入运行，达成项目建设目标。安装调试期间，采购人有权派技术人员参加，供应商有义务对其提出问题进行解答。</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3）供应商须承担本项目实施过程涉及的全部费用（包括设备、辅材、测试和验收等），项目实施过程必须接受监督。</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（7）文档资料管理</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文档是保证项目实施连贯性的重要保证，供应商需要提供完善的文档，并对项目进行过程中的文档进行有效的管理，接受采购人对项目各阶段评估分析和监督管理。</w:t>
      </w:r>
      <w:r>
        <w:rPr>
          <w:rFonts w:hint="eastAsia" w:ascii="宋体" w:hAnsi="宋体" w:eastAsia="宋体" w:cs="宋体"/>
          <w:color w:val="000000"/>
          <w:sz w:val="24"/>
          <w:szCs w:val="24"/>
          <w:highlight w:val="none"/>
          <w:lang w:val="en-US" w:eastAsia="zh-CN"/>
        </w:rPr>
      </w:r>
      <w:r/>
    </w:p>
    <w:p>
      <w:pPr>
        <w:pStyle w:val="871"/>
        <w:numPr>
          <w:ilvl w:val="0"/>
          <w:numId w:val="4"/>
        </w:num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项目培训要求</w:t>
      </w:r>
      <w:r>
        <w:rPr>
          <w:rFonts w:hint="eastAsia" w:ascii="宋体" w:hAnsi="宋体" w:eastAsia="宋体" w:cs="宋体"/>
          <w:color w:val="000000"/>
          <w:sz w:val="24"/>
          <w:szCs w:val="24"/>
          <w:highlight w:val="none"/>
          <w:lang w:val="en-US" w:eastAsia="zh-CN"/>
        </w:rPr>
      </w:r>
      <w:r/>
    </w:p>
    <w:p>
      <w:pPr>
        <w:pStyle w:val="871"/>
        <w:numPr>
          <w:ilvl w:val="0"/>
          <w:numId w:val="0"/>
        </w:num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供应商应对采购人技术人员和维护人员进行全面的培训；采购人经过培训后应能熟练掌握使用设备的方法，独立完成软硬件的维护工作，掌握网络运行情况并能及时排除大部分的设备故障。</w:t>
      </w:r>
      <w:r>
        <w:rPr>
          <w:rFonts w:hint="eastAsia" w:ascii="宋体" w:hAnsi="宋体" w:eastAsia="宋体" w:cs="宋体"/>
          <w:color w:val="000000"/>
          <w:sz w:val="24"/>
          <w:szCs w:val="24"/>
          <w:highlight w:val="none"/>
          <w:lang w:val="en-US" w:eastAsia="zh-CN"/>
        </w:rPr>
      </w:r>
      <w:r/>
    </w:p>
    <w:p>
      <w:pPr>
        <w:pStyle w:val="871"/>
        <w:numPr>
          <w:ilvl w:val="0"/>
          <w:numId w:val="4"/>
        </w:numPr>
        <w:ind w:left="0"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人员要求</w:t>
      </w:r>
      <w:r>
        <w:rPr>
          <w:rFonts w:hint="eastAsia" w:ascii="宋体" w:hAnsi="宋体" w:eastAsia="宋体" w:cs="宋体"/>
          <w:bCs/>
          <w:color w:val="000000"/>
          <w:sz w:val="24"/>
          <w:szCs w:val="24"/>
          <w:highlight w:val="none"/>
          <w:lang w:val="en-US" w:eastAsia="zh-CN"/>
        </w:rPr>
      </w:r>
      <w:r/>
    </w:p>
    <w:p>
      <w:pPr>
        <w:pStyle w:val="871"/>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本项目实施人员不少于2人，其中项目经理1人，技术负责人</w:t>
      </w:r>
      <w:r>
        <w:rPr>
          <w:rFonts w:hint="eastAsia" w:ascii="宋体" w:hAnsi="宋体" w:eastAsia="宋体" w:cs="宋体"/>
          <w:bCs/>
          <w:color w:val="000000"/>
          <w:sz w:val="24"/>
          <w:szCs w:val="24"/>
          <w:highlight w:val="none"/>
          <w:lang w:val="en-US" w:eastAsia="zh-CN"/>
        </w:rPr>
        <w:t xml:space="preserve">1人（熟悉服务器维护、Linux操作系统、超融合平台）。</w:t>
      </w:r>
      <w:r>
        <w:rPr>
          <w:rFonts w:ascii="宋体" w:hAnsi="宋体" w:eastAsia="宋体" w:cs="宋体"/>
          <w:bCs/>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14:ligatures w14: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付款条件</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bCs/>
          <w:color w:val="000000"/>
          <w:sz w:val="24"/>
          <w:szCs w:val="24"/>
          <w:highlight w:val="none"/>
          <w:lang w:val="en-US" w:eastAsia="zh-CN"/>
        </w:rPr>
        <w:t xml:space="preserve">90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color w:val="000000"/>
          <w:highlight w:val="none"/>
          <w:lang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63" w:name="OLE_LINK1"/>
      <w:r/>
      <w:bookmarkStart w:id="64" w:name="_Toc12061428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End w:id="63"/>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w:t>
      </w:r>
      <w:r>
        <w:rPr>
          <w:rFonts w:hint="eastAsia"/>
          <w:lang w:val="en-US" w:eastAsia="zh-CN"/>
        </w:rPr>
        <w:t xml:space="preserve">时</w:t>
      </w:r>
      <w:r>
        <w:rPr>
          <w:rFonts w:hint="eastAsia" w:ascii="宋体" w:hAnsi="宋体" w:eastAsia="宋体" w:cs="宋体"/>
          <w:bCs/>
          <w:color w:val="000000"/>
          <w:sz w:val="24"/>
          <w:szCs w:val="24"/>
          <w:highlight w:val="none"/>
          <w:lang w:val="en-US" w:eastAsia="zh-CN"/>
        </w:rPr>
        <w:t xml:space="preserve">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1"/>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1"/>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highlight w:val="none"/>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0"/>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1"/>
        <w:ind w:firstLine="480"/>
        <w:keepLines w:val="0"/>
        <w:keepNext w:val="0"/>
        <w:pageBreakBefore w:val="0"/>
        <w:spacing w:line="264" w:lineRule="auto"/>
        <w:widowControl w:val="off"/>
        <w:rPr>
          <w:rFonts w:hint="eastAsia"/>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highlight w:val="none"/>
          <w:lang w:eastAsia="zh-CN"/>
        </w:rPr>
      </w:r>
      <w:r/>
    </w:p>
    <w:tbl>
      <w:tblPr>
        <w:tblStyle w:val="993"/>
        <w:tblW w:w="957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trHeight w:val="483"/>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序号</w:t>
            </w:r>
            <w:r>
              <w:rPr>
                <w:rFonts w:hint="eastAsia" w:ascii="宋体" w:hAnsi="宋体" w:eastAsia="宋体" w:cs="宋体"/>
                <w:b/>
                <w:bCs/>
                <w:color w:val="000000"/>
                <w:spacing w:val="-3"/>
                <w:sz w:val="21"/>
                <w:szCs w:val="21"/>
                <w:highlight w:val="none"/>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评审因素</w:t>
            </w:r>
            <w:r>
              <w:rPr>
                <w:rFonts w:hint="eastAsia" w:ascii="宋体" w:hAnsi="宋体" w:eastAsia="宋体" w:cs="宋体"/>
                <w:b/>
                <w:bCs/>
                <w:color w:val="000000"/>
                <w:spacing w:val="-3"/>
                <w:sz w:val="21"/>
                <w:szCs w:val="21"/>
                <w:highlight w:val="none"/>
              </w:rPr>
            </w:r>
            <w:r/>
          </w:p>
        </w:tc>
        <w:tc>
          <w:tcPr>
            <w:tcW w:w="6334"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评审细则</w:t>
            </w:r>
            <w:r>
              <w:rPr>
                <w:rFonts w:hint="eastAsia" w:ascii="宋体" w:hAnsi="宋体" w:eastAsia="宋体" w:cs="宋体"/>
                <w:b/>
                <w:bCs/>
                <w:color w:val="000000"/>
                <w:spacing w:val="-3"/>
                <w:sz w:val="21"/>
                <w:szCs w:val="21"/>
                <w:highlight w:val="none"/>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分值</w:t>
            </w:r>
            <w:r>
              <w:rPr>
                <w:rFonts w:hint="eastAsia" w:ascii="宋体" w:hAnsi="宋体" w:eastAsia="宋体" w:cs="宋体"/>
                <w:b/>
                <w:bCs/>
                <w:color w:val="000000"/>
                <w:spacing w:val="-3"/>
                <w:sz w:val="21"/>
                <w:szCs w:val="21"/>
                <w:highlight w:val="none"/>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类型</w:t>
            </w:r>
            <w:r>
              <w:rPr>
                <w:rFonts w:hint="eastAsia" w:ascii="宋体" w:hAnsi="宋体" w:eastAsia="宋体" w:cs="宋体"/>
                <w:b/>
                <w:bCs/>
                <w:color w:val="000000"/>
                <w:spacing w:val="-3"/>
                <w:sz w:val="21"/>
                <w:szCs w:val="21"/>
                <w:highlight w:val="none"/>
              </w:rPr>
            </w:r>
            <w:r/>
          </w:p>
        </w:tc>
      </w:tr>
      <w:tr>
        <w:trPr>
          <w:trHeight w:val="468"/>
        </w:trPr>
        <w:tc>
          <w:tcPr>
            <w:gridSpan w:val="5"/>
            <w:tcW w:w="9579"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1.</w:t>
            </w:r>
            <w:r>
              <w:rPr>
                <w:rFonts w:hint="eastAsia" w:ascii="宋体" w:hAnsi="宋体" w:eastAsia="宋体" w:cs="宋体"/>
                <w:b/>
                <w:bCs/>
                <w:spacing w:val="-3"/>
                <w:sz w:val="21"/>
                <w:szCs w:val="21"/>
                <w:highlight w:val="none"/>
              </w:rPr>
              <w:t xml:space="preserve">价</w:t>
            </w:r>
            <w:r>
              <w:rPr>
                <w:rFonts w:hint="eastAsia" w:ascii="宋体" w:hAnsi="宋体" w:eastAsia="宋体" w:cs="宋体"/>
                <w:b/>
                <w:bCs/>
                <w:spacing w:val="-2"/>
                <w:sz w:val="21"/>
                <w:szCs w:val="21"/>
                <w:highlight w:val="none"/>
              </w:rPr>
              <w:t xml:space="preserve">格</w:t>
            </w:r>
            <w:r>
              <w:rPr>
                <w:rFonts w:hint="eastAsia" w:ascii="宋体" w:hAnsi="宋体" w:eastAsia="宋体" w:cs="宋体"/>
                <w:sz w:val="21"/>
                <w:szCs w:val="21"/>
                <w:highlight w:val="none"/>
              </w:rPr>
            </w:r>
            <w:r/>
          </w:p>
        </w:tc>
      </w:tr>
      <w:tr>
        <w:trPr>
          <w:trHeight w:val="44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1</w:t>
            </w:r>
            <w:r>
              <w:rPr>
                <w:rFonts w:hint="eastAsia" w:ascii="宋体" w:hAnsi="宋体" w:eastAsia="宋体" w:cs="宋体"/>
                <w:spacing w:val="-5"/>
                <w:sz w:val="21"/>
                <w:szCs w:val="21"/>
                <w:highlight w:val="none"/>
              </w:rPr>
              <w:t xml:space="preserve">.1</w:t>
            </w:r>
            <w:r>
              <w:rPr>
                <w:rFonts w:hint="eastAsia" w:ascii="宋体" w:hAnsi="宋体" w:eastAsia="宋体" w:cs="宋体"/>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价格分</w:t>
            </w:r>
            <w:r>
              <w:rPr>
                <w:rFonts w:hint="eastAsia" w:ascii="宋体" w:hAnsi="宋体" w:eastAsia="宋体" w:cs="宋体"/>
                <w:sz w:val="21"/>
                <w:szCs w:val="21"/>
                <w:highlight w:val="none"/>
              </w:rPr>
            </w:r>
            <w:r/>
          </w:p>
        </w:tc>
        <w:tc>
          <w:tcPr>
            <w:tcW w:w="633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保留两位小数）</w:t>
            </w:r>
            <w:r>
              <w:rPr>
                <w:rFonts w:hint="eastAsia" w:ascii="宋体" w:hAnsi="宋体" w:eastAsia="宋体" w:cs="宋体"/>
                <w:sz w:val="21"/>
                <w:szCs w:val="21"/>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w:t>
            </w:r>
            <w:r>
              <w:rPr>
                <w:rFonts w:hint="eastAsia" w:ascii="宋体" w:hAnsi="宋体" w:eastAsia="宋体" w:cs="宋体"/>
                <w:sz w:val="21"/>
                <w:szCs w:val="21"/>
                <w:highlight w:val="none"/>
                <w:lang w:val="en-US" w:eastAsia="zh-CN"/>
              </w:rPr>
            </w:r>
            <w:r/>
          </w:p>
        </w:tc>
      </w:tr>
      <w:tr>
        <w:trPr>
          <w:trHeight w:val="468"/>
        </w:trPr>
        <w:tc>
          <w:tcPr>
            <w:gridSpan w:val="5"/>
            <w:tcW w:w="9579"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hint="eastAsia" w:ascii="宋体" w:hAnsi="宋体" w:eastAsia="宋体" w:cs="宋体"/>
                <w:color w:val="000000"/>
                <w:sz w:val="21"/>
                <w:szCs w:val="21"/>
                <w:highlight w:val="none"/>
              </w:rPr>
            </w:r>
            <w:r/>
          </w:p>
        </w:tc>
      </w:tr>
      <w:tr>
        <w:trPr>
          <w:trHeight w:val="904"/>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产品技术参数</w:t>
            </w:r>
            <w:r>
              <w:rPr>
                <w:rFonts w:hint="eastAsia" w:ascii="宋体" w:hAnsi="宋体" w:eastAsia="宋体" w:cs="宋体"/>
                <w:color w:val="000000"/>
                <w:spacing w:val="-2"/>
                <w:sz w:val="21"/>
                <w:szCs w:val="21"/>
                <w:lang w:val="en-US" w:eastAsia="zh-CN" w:bidi="ar-SA"/>
              </w:rPr>
            </w:r>
            <w:r/>
          </w:p>
        </w:tc>
        <w:tc>
          <w:tcPr>
            <w:tcW w:w="6334" w:type="dxa"/>
            <w:vAlign w:val="center"/>
            <w:textDirection w:val="lrTb"/>
            <w:noWrap w:val="false"/>
          </w:tcPr>
          <w:p>
            <w:pPr>
              <w:pStyle w:val="87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产品技术参数全部满足招标要求的得满分，打★指标为必须满足项，如有负偏离将作为无效投标，打▲指标为重要指标，有1项负偏离扣2分，其余指标有1项负偏离扣0.9分。</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39</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67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rPr>
              <w:t xml:space="preserve">2.2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ind w:right="108"/>
              <w:jc w:val="left"/>
              <w:spacing w:before="68" w:line="264" w:lineRule="auto"/>
              <w:rPr>
                <w:rFonts w:hint="eastAsia" w:ascii="宋体" w:hAnsi="宋体" w:eastAsia="宋体" w:cs="宋体"/>
                <w:color w:val="000000"/>
                <w:spacing w:val="-2"/>
                <w:lang w:val="en-US" w:eastAsia="zh-CN"/>
              </w:rPr>
            </w:pPr>
            <w:r>
              <w:rPr>
                <w:rFonts w:hint="eastAsia" w:ascii="宋体" w:hAnsi="宋体" w:eastAsia="宋体" w:cs="宋体"/>
                <w:color w:val="000000"/>
                <w:spacing w:val="-2"/>
              </w:rPr>
              <w:t xml:space="preserve">实施方案</w:t>
            </w:r>
            <w:r>
              <w:rPr>
                <w:rFonts w:hint="eastAsia" w:ascii="宋体" w:hAnsi="宋体" w:eastAsia="宋体" w:cs="宋体"/>
                <w:color w:val="000000"/>
                <w:spacing w:val="-2"/>
                <w:lang w:val="en-US" w:eastAsia="zh-CN"/>
              </w:rPr>
            </w:r>
            <w:r/>
          </w:p>
        </w:tc>
        <w:tc>
          <w:tcPr>
            <w:tcW w:w="633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根据本项目采购需求及相关要求编制方案，内容包含：1.项目实施流程；2.项目服务质量管理。以上每项内容逐项评分：</w:t>
            </w:r>
            <w:r>
              <w:rPr>
                <w:rFonts w:hint="eastAsia" w:ascii="宋体" w:hAnsi="宋体" w:eastAsia="宋体" w:cs="宋体"/>
                <w:sz w:val="21"/>
                <w:szCs w:val="21"/>
                <w:lang w:val="en-US" w:eastAsia="zh-CN"/>
              </w:rPr>
            </w:r>
            <w:r/>
          </w:p>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方案内容</w:t>
            </w:r>
            <w:r>
              <w:rPr>
                <w:rFonts w:ascii="宋体" w:hAnsi="宋体" w:eastAsia="宋体" w:cs="宋体"/>
                <w:sz w:val="21"/>
                <w:szCs w:val="21"/>
                <w:lang w:val="en-US" w:eastAsia="zh-CN"/>
              </w:rPr>
              <w:t xml:space="preserve">完整深刻、</w:t>
            </w:r>
            <w:r>
              <w:rPr>
                <w:rFonts w:hint="eastAsia" w:ascii="宋体" w:hAnsi="宋体" w:eastAsia="宋体" w:cs="宋体"/>
                <w:sz w:val="21"/>
                <w:szCs w:val="21"/>
                <w:lang w:val="en-US" w:eastAsia="zh-CN"/>
              </w:rPr>
              <w:t xml:space="preserve">具备一定的</w:t>
            </w:r>
            <w:r>
              <w:rPr>
                <w:rFonts w:ascii="宋体" w:hAnsi="宋体" w:eastAsia="宋体" w:cs="宋体"/>
                <w:sz w:val="21"/>
                <w:szCs w:val="21"/>
                <w:lang w:val="en-US" w:eastAsia="zh-CN"/>
              </w:rPr>
              <w:t xml:space="preserve">可行性</w:t>
            </w:r>
            <w:r>
              <w:rPr>
                <w:rFonts w:hint="eastAsia" w:ascii="宋体" w:hAnsi="宋体" w:eastAsia="宋体" w:cs="宋体"/>
                <w:sz w:val="21"/>
                <w:szCs w:val="21"/>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rPr>
            </w:r>
            <w:r/>
          </w:p>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上述每项内容符合得2.5分；部分符合得1分；不符合或不提供不得分。</w:t>
            </w:r>
            <w:r>
              <w:rPr>
                <w:rFonts w:hint="eastAsia" w:ascii="宋体" w:hAnsi="宋体" w:eastAsia="宋体" w:cs="宋体"/>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904"/>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ind w:right="108"/>
              <w:jc w:val="left"/>
              <w:spacing w:before="68" w:line="264" w:lineRule="auto"/>
              <w:rPr>
                <w:rFonts w:hint="eastAsia"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应急处置</w:t>
            </w:r>
            <w:r>
              <w:rPr>
                <w:rFonts w:hint="eastAsia" w:ascii="宋体" w:hAnsi="宋体" w:eastAsia="宋体" w:cs="宋体"/>
                <w:color w:val="000000"/>
                <w:spacing w:val="-2"/>
              </w:rPr>
              <w:t xml:space="preserve">方案</w:t>
            </w:r>
            <w:r>
              <w:rPr>
                <w:rFonts w:hint="eastAsia" w:ascii="宋体" w:hAnsi="宋体" w:eastAsia="宋体" w:cs="宋体"/>
                <w:color w:val="000000"/>
                <w:spacing w:val="-2"/>
                <w:lang w:val="en-US" w:eastAsia="zh-CN"/>
              </w:rPr>
            </w:r>
            <w:r/>
          </w:p>
        </w:tc>
        <w:tc>
          <w:tcPr>
            <w:tcW w:w="633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根据本项目采购需求及相关要求编制方案，内容包含：1.应急处置团队架构及应急处置流程；2.应急保障资源。以上每项内容逐项评分：</w:t>
            </w:r>
            <w:r>
              <w:rPr>
                <w:rFonts w:hint="eastAsia" w:ascii="宋体" w:hAnsi="宋体" w:eastAsia="宋体" w:cs="宋体"/>
                <w:sz w:val="21"/>
                <w:szCs w:val="21"/>
                <w:lang w:val="en-US" w:eastAsia="zh-CN"/>
              </w:rPr>
            </w:r>
            <w:r/>
          </w:p>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方案内容</w:t>
            </w:r>
            <w:r>
              <w:rPr>
                <w:rFonts w:ascii="宋体" w:hAnsi="宋体" w:eastAsia="宋体" w:cs="宋体"/>
                <w:sz w:val="21"/>
                <w:szCs w:val="21"/>
                <w:lang w:val="en-US" w:eastAsia="zh-CN"/>
              </w:rPr>
              <w:t xml:space="preserve">完整深刻、</w:t>
            </w:r>
            <w:r>
              <w:rPr>
                <w:rFonts w:hint="eastAsia" w:ascii="宋体" w:hAnsi="宋体" w:eastAsia="宋体" w:cs="宋体"/>
                <w:sz w:val="21"/>
                <w:szCs w:val="21"/>
                <w:lang w:val="en-US" w:eastAsia="zh-CN"/>
              </w:rPr>
              <w:t xml:space="preserve">具备一定的</w:t>
            </w:r>
            <w:r>
              <w:rPr>
                <w:rFonts w:ascii="宋体" w:hAnsi="宋体" w:eastAsia="宋体" w:cs="宋体"/>
                <w:sz w:val="21"/>
                <w:szCs w:val="21"/>
                <w:lang w:val="en-US" w:eastAsia="zh-CN"/>
              </w:rPr>
              <w:t xml:space="preserve">可行性</w:t>
            </w:r>
            <w:r>
              <w:rPr>
                <w:rFonts w:hint="eastAsia" w:ascii="宋体" w:hAnsi="宋体" w:eastAsia="宋体" w:cs="宋体"/>
                <w:sz w:val="21"/>
                <w:szCs w:val="21"/>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rPr>
            </w:r>
            <w:r/>
          </w:p>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上述每项内容符合得2.5分；部分符合得1分；不符合或不提供不得分。</w:t>
            </w:r>
            <w:r>
              <w:rPr>
                <w:rFonts w:hint="eastAsia" w:ascii="宋体" w:hAnsi="宋体" w:eastAsia="宋体" w:cs="宋体"/>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480"/>
        </w:trPr>
        <w:tc>
          <w:tcPr>
            <w:gridSpan w:val="5"/>
            <w:tcW w:w="9579"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67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售后服务方案</w:t>
            </w:r>
            <w:r>
              <w:rPr>
                <w:rFonts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：1.售后</w:t>
            </w:r>
            <w:r>
              <w:rPr>
                <w:rFonts w:hint="eastAsia" w:ascii="Times New Roman" w:hAnsi="Times New Roman" w:eastAsia="宋体" w:cs="Times New Roman"/>
                <w:color w:val="000000"/>
                <w:sz w:val="21"/>
                <w:szCs w:val="21"/>
                <w:lang w:val="en-US" w:bidi="ar-SA"/>
              </w:rPr>
              <w:t xml:space="preserve">服务内容</w:t>
            </w:r>
            <w:r>
              <w:rPr>
                <w:rFonts w:hint="eastAsia" w:ascii="Times New Roman" w:hAnsi="Times New Roman" w:eastAsia="宋体" w:cs="Times New Roman"/>
                <w:color w:val="000000"/>
                <w:sz w:val="21"/>
                <w:szCs w:val="21"/>
                <w:lang w:val="en-US" w:eastAsia="zh-CN" w:bidi="ar-SA"/>
              </w:rPr>
              <w:t xml:space="preserve">及</w:t>
            </w:r>
            <w:r>
              <w:rPr>
                <w:rFonts w:hint="eastAsia" w:ascii="Times New Roman" w:hAnsi="Times New Roman" w:eastAsia="宋体" w:cs="Times New Roman"/>
                <w:color w:val="000000"/>
                <w:sz w:val="21"/>
                <w:szCs w:val="21"/>
                <w:lang w:val="en-US" w:bidi="ar-SA"/>
              </w:rPr>
              <w:t xml:space="preserve">服务流程</w:t>
            </w:r>
            <w:r>
              <w:rPr>
                <w:rFonts w:hint="eastAsia" w:ascii="Times New Roman" w:hAnsi="Times New Roman" w:eastAsia="宋体" w:cs="Times New Roman"/>
                <w:color w:val="000000"/>
                <w:sz w:val="21"/>
                <w:szCs w:val="21"/>
                <w:lang w:val="en-US" w:eastAsia="zh-CN" w:bidi="ar-SA"/>
              </w:rPr>
              <w:t xml:space="preserve">；2.</w:t>
            </w:r>
            <w:r>
              <w:rPr>
                <w:rFonts w:hint="eastAsia" w:ascii="Times New Roman" w:hAnsi="Times New Roman" w:eastAsia="宋体" w:cs="Times New Roman"/>
                <w:color w:val="000000"/>
                <w:sz w:val="21"/>
                <w:szCs w:val="21"/>
                <w:lang w:val="en-US" w:bidi="ar-SA"/>
              </w:rPr>
              <w:t xml:space="preserve">服务保障体系</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hint="eastAsia" w:ascii="Calibri" w:hAnsi="Calibri" w:eastAsia="Calibri" w:cs="宋体"/>
                <w:color w:val="000000"/>
                <w:sz w:val="20"/>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2.5</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Calibri" w:hAnsi="Calibri" w:eastAsia="Calibri" w:cs="宋体"/>
                <w:color w:val="000000"/>
                <w:sz w:val="20"/>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904"/>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培训方案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：1.培训内容；2.培训日程安排及培训时长。以上每项内容逐条阐述。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完整、合理性、操作性强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2.5</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412"/>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服务承诺</w:t>
            </w:r>
            <w:r>
              <w:rPr>
                <w:rFonts w:ascii="Times New Roman" w:hAnsi="Times New Roman" w:eastAsia="宋体" w:cs="Times New Roman"/>
                <w:color w:val="000000"/>
                <w:sz w:val="21"/>
                <w:szCs w:val="21"/>
                <w:lang w:val="en-US" w:eastAsia="zh-CN" w:bidi="ar-SA"/>
              </w:rPr>
            </w:r>
            <w:r/>
          </w:p>
        </w:tc>
        <w:tc>
          <w:tcPr>
            <w:tcW w:w="6334"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为保障正版化需要，投标人承诺所投所有产品的质保用户为脑机接口研究院。提供承诺得1分，未提供不得分（提供承诺函，格式自拟）。</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412"/>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质保承诺</w:t>
            </w:r>
            <w:r>
              <w:rPr>
                <w:rFonts w:ascii="Times New Roman" w:hAnsi="Times New Roman" w:eastAsia="宋体" w:cs="Times New Roman"/>
                <w:color w:val="000000"/>
                <w:sz w:val="21"/>
                <w:szCs w:val="21"/>
                <w:lang w:val="en-US" w:eastAsia="zh-CN" w:bidi="ar-SA"/>
              </w:rPr>
            </w:r>
            <w:r/>
          </w:p>
        </w:tc>
        <w:tc>
          <w:tcPr>
            <w:tcW w:w="6334" w:type="dxa"/>
            <w:vAlign w:val="center"/>
            <w:textDirection w:val="lrTb"/>
            <w:noWrap w:val="false"/>
          </w:tcPr>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投标人承诺所投硬件质保期提供六年及以上原厂质保服务的，得1分；所投软件质保期</w:t>
            </w:r>
            <w:r>
              <w:rPr>
                <w:rFonts w:hint="eastAsia" w:ascii="Times New Roman" w:hAnsi="Times New Roman" w:eastAsia="宋体" w:cs="Times New Roman"/>
                <w:color w:val="000000"/>
                <w:sz w:val="21"/>
                <w:szCs w:val="21"/>
                <w:lang w:val="en-US" w:eastAsia="zh-CN" w:bidi="ar-SA"/>
              </w:rPr>
              <w:t xml:space="preserve">提供四年及以上原厂质保服务的，得1分（提供承诺函，格式自拟）。</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463"/>
        </w:trPr>
        <w:tc>
          <w:tcPr>
            <w:gridSpan w:val="5"/>
            <w:tcW w:w="95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ff"/>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hint="eastAsia" w:ascii="宋体" w:hAnsi="宋体" w:eastAsia="宋体" w:cs="宋体"/>
                <w:color w:val="0000ff"/>
                <w:sz w:val="21"/>
                <w:szCs w:val="21"/>
                <w:highlight w:val="none"/>
              </w:rPr>
            </w:r>
            <w:r/>
          </w:p>
        </w:tc>
      </w:tr>
      <w:tr>
        <w:trPr>
          <w:trHeight w:val="648"/>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投标人业绩</w:t>
            </w:r>
            <w:r>
              <w:rPr>
                <w:rFonts w:hint="eastAsia" w:ascii="Times New Roman" w:hAnsi="Times New Roman" w:eastAsia="宋体" w:cs="Times New Roman"/>
                <w:color w:val="000000"/>
                <w:sz w:val="21"/>
                <w:szCs w:val="21"/>
                <w:lang w:val="en-US" w:eastAsia="zh-CN" w:bidi="ar-SA"/>
              </w:rPr>
            </w:r>
            <w:r/>
          </w:p>
        </w:tc>
        <w:tc>
          <w:tcPr>
            <w:tcW w:w="6334" w:type="dxa"/>
            <w:vAlign w:val="center"/>
            <w:textDirection w:val="lrTb"/>
            <w:noWrap w:val="false"/>
          </w:tcPr>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投标人提供2022年1月1日（含）以来类似项目业绩（至少包含超融合服务器），每提供1个得1分，最多得3分。（时间以合同签订时间为准，提供有效合同，合同页须清晰可见相应内容）</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648"/>
        </w:trPr>
        <w:tc>
          <w:tcPr>
            <w:gridSpan w:val="5"/>
            <w:tcW w:w="95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6"/>
                <w:sz w:val="21"/>
                <w:szCs w:val="21"/>
                <w:highlight w:val="none"/>
                <w:lang w:val="en-US"/>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pacing w:val="-6"/>
                <w:sz w:val="21"/>
                <w:szCs w:val="21"/>
                <w:highlight w:val="none"/>
                <w:lang w:val="en-US"/>
              </w:rPr>
            </w:r>
            <w:r/>
          </w:p>
        </w:tc>
      </w:tr>
      <w:tr>
        <w:trPr>
          <w:trHeight w:val="648"/>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履约能力1</w:t>
            </w:r>
            <w:r>
              <w:rPr>
                <w:rFonts w:ascii="Times New Roman" w:hAnsi="Times New Roman" w:eastAsia="宋体" w:cs="Times New Roman"/>
                <w:color w:val="000000"/>
                <w:sz w:val="21"/>
                <w:szCs w:val="21"/>
                <w:lang w:val="en-US" w:eastAsia="zh-CN" w:bidi="ar-SA"/>
              </w:rPr>
            </w:r>
            <w:r/>
          </w:p>
        </w:tc>
        <w:tc>
          <w:tcPr>
            <w:tcW w:w="6334"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投标人拟投入本项目的项目经理具有电子信息化类或数字经济类</w:t>
            </w:r>
            <w:r>
              <w:rPr>
                <w:rFonts w:hint="eastAsia" w:ascii="Times New Roman" w:hAnsi="Times New Roman" w:eastAsia="宋体" w:cs="Times New Roman"/>
                <w:color w:val="000000"/>
                <w:sz w:val="21"/>
                <w:szCs w:val="21"/>
                <w:lang w:val="en-US" w:eastAsia="zh-CN" w:bidi="ar-SA"/>
              </w:rPr>
              <w:t xml:space="preserve">高级工程师</w:t>
            </w:r>
            <w:r>
              <w:rPr>
                <w:rFonts w:hint="eastAsia" w:ascii="宋体" w:hAnsi="宋体" w:eastAsia="宋体" w:cs="宋体"/>
                <w:sz w:val="21"/>
                <w:szCs w:val="21"/>
                <w:lang w:val="en-US" w:eastAsia="zh-CN"/>
              </w:rPr>
              <w:t xml:space="preserve">证书，得</w:t>
            </w:r>
            <w:r>
              <w:rPr>
                <w:rFonts w:hint="eastAsia" w:ascii="宋体" w:hAnsi="宋体" w:eastAsia="宋体" w:cs="宋体"/>
                <w:color w:val="000000"/>
                <w:sz w:val="21"/>
                <w:szCs w:val="21"/>
                <w:lang w:val="en-US" w:eastAsia="zh-CN"/>
              </w:rPr>
              <w:t xml:space="preserve">2分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ascii="宋体" w:hAnsi="宋体" w:eastAsia="宋体" w:cs="宋体"/>
                <w:sz w:val="21"/>
                <w:szCs w:val="21"/>
                <w:lang w:val="zh-CN" w:eastAsia="zh-CN"/>
              </w:rPr>
              <w:t xml:space="preserve">（提供</w:t>
            </w:r>
            <w:r>
              <w:rPr>
                <w:rFonts w:hint="eastAsia" w:ascii="宋体" w:hAnsi="宋体" w:eastAsia="宋体" w:cs="宋体"/>
                <w:sz w:val="21"/>
                <w:szCs w:val="21"/>
                <w:lang w:val="zh-CN" w:eastAsia="zh-CN"/>
              </w:rPr>
              <w:t xml:space="preserve">人员</w:t>
            </w:r>
            <w:r>
              <w:rPr>
                <w:rFonts w:ascii="宋体" w:hAnsi="宋体" w:eastAsia="宋体" w:cs="宋体"/>
                <w:sz w:val="21"/>
                <w:szCs w:val="21"/>
                <w:lang w:val="zh-CN" w:eastAsia="zh-CN"/>
              </w:rPr>
              <w:t xml:space="preserve">证书</w:t>
            </w:r>
            <w:r>
              <w:rPr>
                <w:rFonts w:hint="eastAsia" w:ascii="宋体" w:hAnsi="宋体" w:eastAsia="宋体" w:cs="宋体"/>
                <w:sz w:val="21"/>
                <w:szCs w:val="21"/>
                <w:lang w:val="en-US" w:eastAsia="zh-CN"/>
              </w:rPr>
              <w:t xml:space="preserve">及</w:t>
            </w:r>
            <w:r>
              <w:rPr>
                <w:rFonts w:hint="eastAsia" w:ascii="宋体" w:hAnsi="宋体" w:eastAsia="宋体" w:cs="宋体"/>
                <w:color w:val="000000"/>
                <w:sz w:val="21"/>
                <w:szCs w:val="21"/>
                <w:lang w:val="en-US" w:eastAsia="zh-CN"/>
              </w:rPr>
              <w:t xml:space="preserve">投标人为其缴纳的2026年4月以来任意一个月的社保证明材料，缺一不可）</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648"/>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履约能力2</w:t>
            </w:r>
            <w:r>
              <w:rPr>
                <w:rFonts w:hint="eastAsia" w:ascii="Times New Roman" w:hAnsi="Times New Roman" w:eastAsia="宋体" w:cs="Times New Roman"/>
                <w:color w:val="000000"/>
                <w:sz w:val="21"/>
                <w:szCs w:val="21"/>
                <w:lang w:val="en-US" w:eastAsia="zh-CN" w:bidi="ar-SA"/>
              </w:rPr>
            </w:r>
            <w:r/>
          </w:p>
        </w:tc>
        <w:tc>
          <w:tcPr>
            <w:tcW w:w="6334"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投标人拟投入本项目的技术负责人具</w:t>
            </w:r>
            <w:r>
              <w:rPr>
                <w:rFonts w:hint="eastAsia" w:ascii="宋体" w:hAnsi="宋体" w:eastAsia="宋体" w:cs="宋体"/>
                <w:sz w:val="21"/>
                <w:szCs w:val="21"/>
                <w:lang w:val="en-US" w:eastAsia="zh-CN"/>
              </w:rPr>
              <w:t xml:space="preserve">有</w:t>
            </w:r>
            <w:r>
              <w:rPr>
                <w:rFonts w:hint="eastAsia" w:ascii="宋体" w:hAnsi="宋体" w:eastAsia="宋体" w:cs="宋体"/>
                <w:sz w:val="21"/>
                <w:szCs w:val="21"/>
                <w:lang w:val="en-US" w:eastAsia="zh-CN"/>
              </w:rPr>
              <w:t xml:space="preserve">所投服务器原厂技术认证</w:t>
            </w:r>
            <w:r>
              <w:rPr>
                <w:rFonts w:hint="eastAsia" w:ascii="宋体" w:hAnsi="宋体" w:eastAsia="宋体" w:cs="宋体"/>
                <w:sz w:val="21"/>
                <w:szCs w:val="21"/>
                <w:lang w:val="en-US" w:eastAsia="zh-CN"/>
              </w:rPr>
              <w:t xml:space="preserve">、Linux操作系统认证证书，每提供1个证书得1分，最多得2分。</w:t>
            </w:r>
            <w:r>
              <w:rPr>
                <w:rFonts w:hint="eastAsia" w:ascii="宋体" w:hAnsi="宋体" w:eastAsia="宋体" w:cs="宋体"/>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ascii="宋体" w:hAnsi="宋体" w:eastAsia="宋体" w:cs="宋体"/>
                <w:sz w:val="21"/>
                <w:szCs w:val="21"/>
                <w:lang w:val="zh-CN" w:eastAsia="zh-CN"/>
              </w:rPr>
              <w:t xml:space="preserve">（提供</w:t>
            </w:r>
            <w:r>
              <w:rPr>
                <w:rFonts w:hint="eastAsia" w:ascii="宋体" w:hAnsi="宋体" w:eastAsia="宋体" w:cs="宋体"/>
                <w:sz w:val="21"/>
                <w:szCs w:val="21"/>
                <w:lang w:val="zh-CN" w:eastAsia="zh-CN"/>
              </w:rPr>
              <w:t xml:space="preserve">人员</w:t>
            </w:r>
            <w:r>
              <w:rPr>
                <w:rFonts w:ascii="宋体" w:hAnsi="宋体" w:eastAsia="宋体" w:cs="宋体"/>
                <w:sz w:val="21"/>
                <w:szCs w:val="21"/>
                <w:lang w:val="zh-CN" w:eastAsia="zh-CN"/>
              </w:rPr>
              <w:t xml:space="preserve">证书</w:t>
            </w:r>
            <w:r>
              <w:rPr>
                <w:rFonts w:hint="eastAsia" w:ascii="宋体" w:hAnsi="宋体" w:eastAsia="宋体" w:cs="宋体"/>
                <w:sz w:val="21"/>
                <w:szCs w:val="21"/>
                <w:lang w:val="en-US" w:eastAsia="zh-CN"/>
              </w:rPr>
              <w:t xml:space="preserve">及投标人为其缴纳的2026年4月以来任</w:t>
            </w:r>
            <w:r>
              <w:rPr>
                <w:rFonts w:hint="eastAsia" w:ascii="宋体" w:hAnsi="宋体" w:eastAsia="宋体" w:cs="宋体"/>
                <w:color w:val="000000"/>
                <w:sz w:val="21"/>
                <w:szCs w:val="21"/>
                <w:lang w:val="en-US" w:eastAsia="zh-CN"/>
              </w:rPr>
              <w:t xml:space="preserve">意一个月的社保证明材料，缺一不可）</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39"/>
        </w:trPr>
        <w:tc>
          <w:tcPr>
            <w:gridSpan w:val="5"/>
            <w:tcW w:w="9579"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b/>
                <w:bCs/>
                <w:color w:val="000000"/>
                <w:spacing w:val="-3"/>
                <w:sz w:val="21"/>
                <w:szCs w:val="21"/>
                <w:highlight w:val="none"/>
                <w:lang w:val="en-US" w:eastAsia="zh-CN"/>
              </w:rPr>
              <w:t xml:space="preserve">6.绿色采购</w:t>
            </w:r>
            <w:r>
              <w:rPr>
                <w:rFonts w:hint="eastAsia" w:ascii="宋体" w:hAnsi="宋体" w:eastAsia="宋体" w:cs="宋体"/>
                <w:color w:val="000000"/>
                <w:spacing w:val="-6"/>
                <w:sz w:val="21"/>
                <w:szCs w:val="21"/>
                <w:highlight w:val="none"/>
              </w:rPr>
            </w:r>
            <w:r/>
          </w:p>
        </w:tc>
      </w:tr>
      <w:tr>
        <w:trPr>
          <w:trHeight w:val="120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Times New Roman" w:hAnsi="Times New Roman" w:eastAsia="宋体" w:cs="Times New Roman"/>
                <w:color w:val="000000"/>
                <w:spacing w:val="0"/>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val="en-US" w:eastAsia="zh-CN"/>
              </w:rPr>
              <w:t xml:space="preserve">环境标志产品</w:t>
            </w:r>
            <w:r>
              <w:rPr>
                <w:rFonts w:hint="eastAsia" w:ascii="Times New Roman" w:hAnsi="Times New Roman" w:eastAsia="宋体" w:cs="Times New Roman"/>
                <w:color w:val="000000"/>
                <w:spacing w:val="0"/>
                <w:sz w:val="21"/>
                <w:szCs w:val="21"/>
                <w:highlight w:val="none"/>
                <w:lang w:val="en-US" w:eastAsia="zh-CN" w:bidi="ar-SA"/>
              </w:rPr>
            </w:r>
            <w:r/>
          </w:p>
        </w:tc>
        <w:tc>
          <w:tcPr>
            <w:tcW w:w="6334"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rPr>
              <w:t xml:space="preserve">投标产品属于财政部、生态环境部公布的</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环境标志产品</w:t>
            </w:r>
            <w:r>
              <w:rPr>
                <w:rFonts w:hint="eastAsia" w:ascii="宋体" w:hAnsi="宋体" w:eastAsia="宋体" w:cs="宋体"/>
                <w:color w:val="000000"/>
                <w:sz w:val="21"/>
                <w:szCs w:val="21"/>
                <w:highlight w:val="none"/>
                <w:lang w:val="en-US" w:eastAsia="zh-CN"/>
              </w:rPr>
              <w:t xml:space="preserve">政府采购</w:t>
            </w:r>
            <w:r>
              <w:rPr>
                <w:rFonts w:ascii="宋体" w:hAnsi="宋体" w:eastAsia="宋体" w:cs="宋体"/>
                <w:color w:val="000000"/>
                <w:sz w:val="21"/>
                <w:szCs w:val="21"/>
                <w:highlight w:val="none"/>
                <w:lang w:val="en-US" w:eastAsia="zh-CN"/>
              </w:rPr>
              <w:t xml:space="preserve">品目清单</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（财库〔2019〕1</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t xml:space="preserve">号）范围内的，投标人提供国家确定的认证机构出具的、处于有效期内的该环境标志产品认证证书的，有1个得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分，最多得1分。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82"/>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ff0000"/>
                <w:sz w:val="21"/>
                <w:szCs w:val="21"/>
                <w:highlight w:val="none"/>
              </w:rPr>
            </w:pPr>
            <w:r>
              <w:rPr>
                <w:rFonts w:hint="eastAsia" w:ascii="宋体" w:hAnsi="宋体" w:eastAsia="宋体" w:cs="宋体"/>
                <w:spacing w:val="-3"/>
                <w:sz w:val="21"/>
                <w:szCs w:val="21"/>
                <w:highlight w:val="none"/>
              </w:rPr>
              <w:t xml:space="preserve">合</w:t>
            </w:r>
            <w:r>
              <w:rPr>
                <w:rFonts w:hint="eastAsia" w:ascii="宋体" w:hAnsi="宋体" w:eastAsia="宋体" w:cs="宋体"/>
                <w:spacing w:val="-2"/>
                <w:sz w:val="21"/>
                <w:szCs w:val="21"/>
                <w:highlight w:val="none"/>
              </w:rPr>
              <w:t xml:space="preserve">计</w:t>
            </w:r>
            <w:r>
              <w:rPr>
                <w:rFonts w:hint="eastAsia" w:ascii="宋体" w:hAnsi="宋体" w:eastAsia="宋体" w:cs="宋体"/>
                <w:color w:val="ff0000"/>
                <w:sz w:val="21"/>
                <w:szCs w:val="21"/>
                <w:highlight w:val="none"/>
              </w:rPr>
            </w:r>
            <w:r/>
          </w:p>
        </w:tc>
        <w:tc>
          <w:tcPr>
            <w:gridSpan w:val="2"/>
            <w:tcW w:w="7513"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ff0000"/>
                <w:spacing w:val="-2"/>
                <w:sz w:val="21"/>
                <w:szCs w:val="21"/>
                <w:highlight w:val="none"/>
              </w:rPr>
            </w:pPr>
            <w:r>
              <w:rPr>
                <w:rFonts w:hint="eastAsia" w:ascii="宋体" w:hAnsi="宋体" w:eastAsia="宋体" w:cs="宋体"/>
                <w:color w:val="ff0000"/>
                <w:spacing w:val="-2"/>
                <w:sz w:val="21"/>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4"/>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szCs w:val="21"/>
          <w:highlight w:val="none"/>
        </w:rPr>
      </w:pPr>
      <w:r/>
      <w:bookmarkStart w:id="65" w:name="_Hlt26671244"/>
      <w:r/>
      <w:bookmarkEnd w:id="65"/>
      <w:r/>
      <w:bookmarkStart w:id="66" w:name="_Hlt26955039"/>
      <w:r/>
      <w:bookmarkEnd w:id="66"/>
      <w:r/>
      <w:bookmarkStart w:id="67" w:name="_Toc26554094"/>
      <w:r/>
      <w:bookmarkStart w:id="68" w:name="_Toc49090576"/>
      <w:r/>
      <w:bookmarkStart w:id="69" w:name="_Toc120614282"/>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7"/>
      <w:r/>
      <w:bookmarkEnd w:id="68"/>
      <w:r/>
      <w:bookmarkEnd w:id="69"/>
      <w:r>
        <w:rPr>
          <w:rFonts w:hint="eastAsia" w:ascii="方正黑体_GBK" w:hAnsi="方正黑体_GBK" w:eastAsia="方正黑体_GBK" w:cs="方正黑体_GBK"/>
          <w:b w:val="0"/>
          <w:bCs w:val="0"/>
          <w:color w:val="000000"/>
          <w:sz w:val="32"/>
          <w:szCs w:val="32"/>
          <w:highlight w:val="none"/>
        </w:rPr>
      </w:r>
      <w:r/>
    </w:p>
    <w:p>
      <w:pPr>
        <w:pStyle w:val="871"/>
        <w:ind w:firstLine="560"/>
        <w:spacing w:line="600" w:lineRule="exact"/>
        <w:rPr>
          <w:rFonts w:hint="eastAsia" w:ascii="宋体" w:hAnsi="宋体" w:cs="宋体"/>
          <w:sz w:val="28"/>
          <w:szCs w:val="28"/>
          <w:highlight w:val="none"/>
        </w:rPr>
      </w:pPr>
      <w:r/>
      <w:bookmarkStart w:id="70" w:name="_Toc120614284"/>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w:t>
      </w:r>
      <w:r>
        <w:rPr>
          <w:rFonts w:hint="eastAsia" w:ascii="宋体" w:hAnsi="宋体" w:eastAsia="宋体" w:cs="宋体"/>
          <w:b w:val="0"/>
          <w:bCs w:val="0"/>
          <w:i w:val="0"/>
          <w:sz w:val="28"/>
          <w:szCs w:val="28"/>
          <w:highlight w:val="none"/>
          <w:u w:val="none"/>
          <w:lang w:val="en-US" w:eastAsia="zh-CN"/>
        </w:rPr>
        <w:t xml:space="preserve">核心产品品牌一览表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w:t>
      </w:r>
      <w:r>
        <w:rPr>
          <w:rFonts w:hint="eastAsia" w:ascii="宋体" w:hAnsi="宋体" w:eastAsia="宋体" w:cs="宋体"/>
          <w:b w:val="0"/>
          <w:bCs w:val="0"/>
          <w:i w:val="0"/>
          <w:sz w:val="28"/>
          <w:szCs w:val="28"/>
          <w:highlight w:val="none"/>
          <w:u w:val="none"/>
          <w:lang w:val="en-US" w:eastAsia="zh-CN"/>
        </w:rPr>
        <w:t xml:space="preserve">投标分项报价表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w:t>
      </w:r>
      <w:r>
        <w:rPr>
          <w:rFonts w:hint="eastAsia" w:ascii="宋体" w:hAnsi="宋体" w:eastAsia="宋体" w:cs="宋体"/>
          <w:b w:val="0"/>
          <w:bCs w:val="0"/>
          <w:i w:val="0"/>
          <w:sz w:val="28"/>
          <w:szCs w:val="28"/>
          <w:highlight w:val="none"/>
          <w:u w:val="none"/>
          <w:lang w:val="en-US" w:eastAsia="zh-CN"/>
        </w:rPr>
        <w:t xml:space="preserve">技术要求响应及偏离表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w:t>
      </w:r>
      <w:r>
        <w:rPr>
          <w:rFonts w:hint="eastAsia" w:ascii="宋体" w:hAnsi="宋体" w:eastAsia="宋体" w:cs="宋体"/>
          <w:b w:val="0"/>
          <w:bCs w:val="0"/>
          <w:i w:val="0"/>
          <w:sz w:val="28"/>
          <w:szCs w:val="28"/>
          <w:highlight w:val="none"/>
          <w:u w:val="none"/>
          <w:lang w:val="en-US" w:eastAsia="zh-CN"/>
        </w:rPr>
        <w:t xml:space="preserve">商务要求响应及偏离表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w:t>
      </w:r>
      <w:r>
        <w:rPr>
          <w:rFonts w:hint="eastAsia" w:ascii="宋体" w:hAnsi="宋体" w:eastAsia="宋体" w:cs="宋体"/>
          <w:b w:val="0"/>
          <w:bCs w:val="0"/>
          <w:i w:val="0"/>
          <w:sz w:val="28"/>
          <w:szCs w:val="28"/>
          <w:highlight w:val="none"/>
          <w:u w:val="none"/>
          <w:lang w:val="en-US" w:eastAsia="zh-CN"/>
        </w:rPr>
        <w:t xml:space="preserve">中小企业声明函（如有）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lang w:val="en-US" w:eastAsia="zh-CN"/>
        </w:rPr>
        <w:t xml:space="preserve">残疾人福利性单位声明函（如有）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w:t>
      </w:r>
      <w:r>
        <w:rPr>
          <w:rFonts w:hint="eastAsia" w:ascii="宋体" w:hAnsi="宋体" w:eastAsia="宋体" w:cs="宋体"/>
          <w:b w:val="0"/>
          <w:bCs w:val="0"/>
          <w:i w:val="0"/>
          <w:sz w:val="28"/>
          <w:szCs w:val="28"/>
          <w:highlight w:val="none"/>
          <w:u w:val="none"/>
          <w:lang w:val="en-US" w:eastAsia="zh-CN"/>
        </w:rPr>
        <w:t xml:space="preserve">联合体协议（如有）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1"/>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eastAsia="宋体" w:cs="宋体"/>
          <w:sz w:val="28"/>
          <w:szCs w:val="28"/>
          <w:highlight w:val="none"/>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5"/>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5"/>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5"/>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5"/>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6"/>
        <w:ind w:firstLine="0"/>
        <w:rPr>
          <w:rFonts w:hint="eastAsia"/>
          <w:highlight w:val="none"/>
        </w:rPr>
      </w:pPr>
      <w:r>
        <w:rPr>
          <w:rFonts w:hint="eastAsia"/>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w:t>
      </w:r>
      <w:r>
        <w:rPr>
          <w:rFonts w:hint="eastAsia" w:ascii="Times New Roman" w:hAnsi="Times New Roman" w:eastAsia="宋体" w:cs="Times New Roman"/>
          <w:bCs w:val="0"/>
          <w:sz w:val="24"/>
          <w:szCs w:val="24"/>
          <w:highlight w:val="none"/>
          <w:lang w:val="en-US" w:eastAsia="zh-CN"/>
        </w:rPr>
        <w:t xml:space="preserve">签</w:t>
      </w:r>
      <w:r>
        <w:rPr>
          <w:rFonts w:hint="eastAsia" w:ascii="Times New Roman" w:hAnsi="Times New Roman" w:eastAsia="宋体" w:cs="Times New Roman"/>
          <w:bCs w:val="0"/>
          <w:sz w:val="24"/>
          <w:szCs w:val="24"/>
          <w:highlight w:val="none"/>
        </w:rPr>
        <w:t xml:space="preserve">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7"/>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7"/>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2"/>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7"/>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7"/>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7"/>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7"/>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7"/>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7"/>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7"/>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7"/>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7"/>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rPr>
          <w:rFonts w:ascii="宋体" w:hAnsi="宋体"/>
          <w:sz w:val="24"/>
          <w:szCs w:val="24"/>
          <w:highlight w:val="none"/>
        </w:rPr>
      </w:pPr>
      <w:r>
        <w:rPr>
          <w:rFonts w:ascii="宋体" w:hAnsi="宋体"/>
          <w:sz w:val="24"/>
          <w:szCs w:val="24"/>
          <w:highlight w:val="none"/>
        </w:rPr>
      </w:r>
      <w:r/>
    </w:p>
    <w:p>
      <w:pPr>
        <w:pStyle w:val="871"/>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942"/>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2"/>
        <w:rPr>
          <w:rFonts w:hint="eastAsia"/>
          <w:highlight w:val="none"/>
          <w:lang w:val="en-US" w:eastAsia="zh-CN"/>
        </w:rPr>
      </w:pPr>
      <w:r>
        <w:rPr>
          <w:rFonts w:hint="eastAsia"/>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1"/>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hint="eastAsia" w:ascii="宋体" w:hAnsi="宋体" w:eastAsia="宋体" w:cs="Times New Roman"/>
          <w:sz w:val="24"/>
          <w:szCs w:val="24"/>
          <w:highlight w:val="none"/>
          <w:lang w:val="en-US" w:eastAsia="zh-CN"/>
        </w:rPr>
      </w:r>
      <w:r/>
    </w:p>
    <w:p>
      <w:pPr>
        <w:pStyle w:val="87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ascii="宋体" w:hAnsi="宋体" w:eastAsia="宋体" w:cs="Times New Roman"/>
          <w:sz w:val="24"/>
          <w:szCs w:val="24"/>
          <w:highlight w:val="none"/>
          <w:lang w:val="en-US" w:eastAsia="zh-CN"/>
        </w:rPr>
      </w:r>
      <w:r/>
    </w:p>
    <w:p>
      <w:pPr>
        <w:pStyle w:val="883"/>
        <w:rPr>
          <w:lang w:val="en-US" w:eastAsia="zh-CN"/>
        </w:rPr>
      </w:pPr>
      <w:r>
        <w:rPr>
          <w:lang w:val="en-US" w:eastAsia="zh-CN"/>
        </w:rPr>
      </w:r>
      <w:r/>
    </w:p>
    <w:tbl>
      <w:tblPr>
        <w:tblW w:w="10596" w:type="dxa"/>
        <w:tblInd w:w="-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1240"/>
        <w:gridCol w:w="970"/>
        <w:gridCol w:w="1790"/>
        <w:gridCol w:w="1470"/>
        <w:gridCol w:w="830"/>
        <w:gridCol w:w="820"/>
        <w:gridCol w:w="826"/>
        <w:gridCol w:w="1434"/>
      </w:tblGrid>
      <w:tr>
        <w:trPr>
          <w:cantSplit/>
          <w:trHeight w:val="544"/>
        </w:trPr>
        <w:tc>
          <w:tcPr>
            <w:tcW w:w="1216" w:type="dxa"/>
            <w:vAlign w:val="center"/>
            <w:vMerge w:val="restart"/>
            <w:textDirection w:val="lrTb"/>
            <w:noWrap w:val="false"/>
          </w:tcPr>
          <w:p>
            <w:pPr>
              <w:pStyle w:val="871"/>
              <w:ind w:right="180" w:firstLine="24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both"/>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1216"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121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21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21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216"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10596"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1"/>
        <w:ind w:firstLine="480"/>
        <w:rPr>
          <w:rFonts w:hint="eastAsia" w:ascii="宋体" w:hAnsi="宋体"/>
          <w:sz w:val="24"/>
          <w:szCs w:val="24"/>
          <w:highlight w:val="none"/>
        </w:rPr>
      </w:pPr>
      <w:r>
        <w:rPr>
          <w:rFonts w:hint="eastAsia" w:ascii="宋体" w:hAnsi="宋体"/>
          <w:sz w:val="24"/>
          <w:szCs w:val="24"/>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highlight w:val="none"/>
              </w:rPr>
            </w:pPr>
            <w:r>
              <w:rPr>
                <w:highlight w:val="none"/>
              </w:rPr>
            </w:r>
            <w:r/>
          </w:p>
          <w:p>
            <w:pPr>
              <w:pStyle w:val="942"/>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6"/>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highlight w:val="none"/>
              </w:rPr>
            </w:pPr>
            <w:r>
              <w:rPr>
                <w:highlight w:val="none"/>
              </w:rPr>
            </w:r>
            <w:r/>
          </w:p>
          <w:p>
            <w:pPr>
              <w:pStyle w:val="942"/>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4"/>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1"/>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4"/>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588" w:lineRule="exact"/>
        <w:rPr>
          <w:rFonts w:hint="eastAsia" w:ascii="宋体" w:hAnsi="宋体"/>
          <w:sz w:val="24"/>
          <w:highlight w:val="none"/>
        </w:rPr>
      </w:pPr>
      <w:r>
        <w:rPr>
          <w:rFonts w:hint="eastAsia" w:ascii="宋体" w:hAnsi="宋体"/>
          <w:sz w:val="24"/>
          <w:highlight w:val="none"/>
        </w:rPr>
      </w:r>
      <w:r/>
    </w:p>
    <w:p>
      <w:pPr>
        <w:pStyle w:val="871"/>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1"/>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42"/>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871"/>
        <w:ind w:firstLine="645"/>
        <w:spacing w:line="560" w:lineRule="exact"/>
        <w:rPr>
          <w:rFonts w:ascii="宋体" w:hAnsi="宋体"/>
          <w:sz w:val="24"/>
          <w:highlight w:val="none"/>
        </w:rPr>
      </w:pPr>
      <w:r>
        <w:rPr>
          <w:rFonts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pPr>
      <w:r/>
      <w:bookmarkEnd w:id="70"/>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8"/>
          <w:rFonts w:hint="eastAsia"/>
          <w:i w:val="0"/>
          <w:highlight w:val="none"/>
          <w:u w:val="single"/>
          <w:shd w:val="clear" w:color="auto" w:fill="ffffff"/>
        </w:rPr>
        <w:t xml:space="preserve">（产品名称1）</w:t>
      </w:r>
      <w:r>
        <w:rPr>
          <w:rStyle w:val="94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8"/>
          <w:rFonts w:hint="eastAsia"/>
          <w:i w:val="0"/>
          <w:highlight w:val="none"/>
          <w:u w:val="single"/>
          <w:shd w:val="clear" w:color="auto" w:fill="ffffff"/>
        </w:rPr>
        <w:t xml:space="preserve">（厂名）</w:t>
      </w:r>
      <w:r>
        <w:rPr>
          <w:rStyle w:val="94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8"/>
          <w:rFonts w:hint="eastAsia"/>
          <w:i/>
          <w:strike w:val="0"/>
          <w:highlight w:val="none"/>
          <w:u w:val="single"/>
          <w:shd w:val="clear" w:color="auto" w:fill="ffffff"/>
        </w:rPr>
        <w:t xml:space="preserve">（规定比例）</w:t>
      </w:r>
      <w:r>
        <w:rPr>
          <w:rStyle w:val="94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（关键组件）</w:t>
      </w:r>
      <w:r>
        <w:rPr>
          <w:rStyle w:val="94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（关键工序）</w:t>
      </w:r>
      <w:r>
        <w:rPr>
          <w:rStyle w:val="94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6"/>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6"/>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6"/>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6"/>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6"/>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6"/>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1" w:name="OLE_LINK8"/>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9"/>
      </w:pPr>
      <w:r/>
      <w:bookmarkEnd w:id="71"/>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1"/>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Wingdings">
    <w:panose1 w:val="05000000000000000000"/>
  </w:font>
  <w:font w:name="Symbol">
    <w:panose1 w:val="05050102010706020507"/>
  </w:font>
  <w:font w:name="FangSong_GB2312">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hAnsi="Times New Roman" w:eastAsia="楷体_GB2312" w:cs="Times New Roman"/>
      <w:sz w:val="28"/>
      <w:szCs w:val="28"/>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6"/>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90"/>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1"/>
    <w:basedOn w:val="871"/>
    <w:next w:val="883"/>
    <w:link w:val="871"/>
    <w:qFormat/>
    <w:pPr>
      <w:ind w:left="350" w:firstLine="0"/>
    </w:pPr>
    <w:rPr>
      <w:rFonts w:cs="Times New Roman"/>
      <w:sz w:val="20"/>
      <w:szCs w:val="24"/>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paragraph" w:styleId="886">
    <w:name w:val="正文缩进"/>
    <w:basedOn w:val="871"/>
    <w:next w:val="886"/>
    <w:link w:val="887"/>
    <w:pPr>
      <w:ind w:firstLine="420"/>
    </w:pPr>
    <w:rPr>
      <w:szCs w:val="21"/>
    </w:rPr>
  </w:style>
  <w:style w:type="character" w:styleId="887">
    <w:name w:val="正文缩进 Char"/>
    <w:next w:val="887"/>
    <w:link w:val="886"/>
    <w:rPr>
      <w:szCs w:val="21"/>
    </w:rPr>
  </w:style>
  <w:style w:type="character" w:styleId="888">
    <w:name w:val="标题 3 Char"/>
    <w:next w:val="888"/>
    <w:link w:val="874"/>
    <w:rPr>
      <w:rFonts w:ascii="Times New Roman" w:hAnsi="Times New Roman" w:eastAsia="宋体" w:cs="Times New Roman"/>
      <w:b/>
      <w:bCs/>
      <w:sz w:val="32"/>
      <w:szCs w:val="32"/>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rPr>
      <w:rFonts w:ascii="Times New Roman" w:hAnsi="Times New Roman" w:eastAsia="宋体" w:cs="Times New Roman"/>
      <w:szCs w:val="21"/>
    </w:rPr>
  </w:style>
  <w:style w:type="paragraph" w:styleId="896">
    <w:name w:val="目录 7"/>
    <w:basedOn w:val="871"/>
    <w:next w:val="871"/>
    <w:link w:val="871"/>
    <w:semiHidden/>
    <w:pPr>
      <w:ind w:left="1260"/>
      <w:jc w:val="left"/>
    </w:pPr>
    <w:rPr>
      <w:rFonts w:ascii="Times New Roman" w:hAnsi="Times New Roman" w:eastAsia="宋体" w:cs="Times New Roman"/>
      <w:szCs w:val="21"/>
    </w:rPr>
  </w:style>
  <w:style w:type="paragraph" w:styleId="897">
    <w:name w:val="文档结构图"/>
    <w:basedOn w:val="871"/>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unhideWhenUsed/>
    <w:pPr>
      <w:jc w:val="left"/>
    </w:pPr>
  </w:style>
  <w:style w:type="character" w:styleId="900">
    <w:name w:val="批注文字 Char"/>
    <w:basedOn w:val="881"/>
    <w:next w:val="900"/>
    <w:link w:val="899"/>
    <w:uiPriority w:val="99"/>
    <w:semiHidden/>
  </w:style>
  <w:style w:type="paragraph" w:styleId="901">
    <w:name w:val="正文文本 3"/>
    <w:basedOn w:val="871"/>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unhideWhenUsed/>
    <w:pPr>
      <w:ind w:left="420"/>
      <w:spacing w:after="120"/>
    </w:pPr>
  </w:style>
  <w:style w:type="character" w:styleId="906">
    <w:name w:val="正文文本缩进 Char"/>
    <w:basedOn w:val="881"/>
    <w:next w:val="906"/>
    <w:link w:val="905"/>
    <w:uiPriority w:val="99"/>
    <w:semiHidden/>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pPr>
      <w:ind w:left="100" w:hanging="200"/>
    </w:pPr>
    <w:rPr>
      <w:rFonts w:ascii="Times New Roman" w:hAnsi="Times New Roman" w:eastAsia="宋体" w:cs="Times New Roman"/>
      <w:szCs w:val="21"/>
    </w:rPr>
  </w:style>
  <w:style w:type="paragraph" w:styleId="909">
    <w:name w:val="索引 4"/>
    <w:basedOn w:val="871"/>
    <w:next w:val="871"/>
    <w:link w:val="871"/>
    <w:qFormat/>
    <w:pPr>
      <w:ind w:left="600"/>
    </w:pPr>
    <w:rPr>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899"/>
    <w:next w:val="899"/>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5"/>
    <w:next w:val="871"/>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2"/>
    <w:next w:val="944"/>
    <w:link w:val="871"/>
    <w:pPr>
      <w:jc w:val="both"/>
      <w:widowControl w:val="off"/>
    </w:pPr>
    <w:rPr>
      <w:rFonts w:ascii="Times New Roman" w:hAnsi="Times New Roman" w:eastAsia="宋体" w:cs="Times New Roman"/>
      <w:sz w:val="20"/>
      <w:szCs w:val="20"/>
    </w:rPr>
    <w:tblPr/>
  </w:style>
  <w:style w:type="character" w:styleId="945">
    <w:name w:val="要点"/>
    <w:next w:val="945"/>
    <w:link w:val="871"/>
    <w:qFormat/>
    <w:rPr>
      <w:b/>
      <w:bCs/>
    </w:rPr>
  </w:style>
  <w:style w:type="character" w:styleId="946">
    <w:name w:val="页码"/>
    <w:next w:val="946"/>
    <w:link w:val="871"/>
  </w:style>
  <w:style w:type="character" w:styleId="947">
    <w:name w:val="已访问的超链接"/>
    <w:next w:val="947"/>
    <w:link w:val="871"/>
    <w:rPr>
      <w:color w:val="800080"/>
      <w:u w:val="single"/>
    </w:rPr>
  </w:style>
  <w:style w:type="character" w:styleId="948">
    <w:name w:val="强调"/>
    <w:next w:val="948"/>
    <w:link w:val="871"/>
    <w:qFormat/>
    <w:rPr>
      <w:i/>
    </w:rPr>
  </w:style>
  <w:style w:type="character" w:styleId="949">
    <w:name w:val="超链接"/>
    <w:basedOn w:val="881"/>
    <w:next w:val="949"/>
    <w:link w:val="871"/>
    <w:rPr>
      <w:color w:val="0000ff"/>
      <w:u w:val="single"/>
    </w:rPr>
  </w:style>
  <w:style w:type="character" w:styleId="950">
    <w:name w:val="批注引用"/>
    <w:next w:val="950"/>
    <w:link w:val="871"/>
    <w:semiHidden/>
    <w:rPr>
      <w:sz w:val="21"/>
      <w:szCs w:val="21"/>
    </w:rPr>
  </w:style>
  <w:style w:type="paragraph" w:styleId="951">
    <w:name w:val="正文首行缩进 211"/>
    <w:basedOn w:val="952"/>
    <w:next w:val="871"/>
    <w:link w:val="871"/>
    <w:qFormat/>
    <w:pPr>
      <w:ind w:left="0" w:firstLine="420"/>
      <w:spacing w:after="0" w:line="360" w:lineRule="auto"/>
    </w:pPr>
    <w:rPr>
      <w:rFonts w:ascii="宋体" w:hAnsi="宋体" w:eastAsia="宋体" w:cs="Times New Roman"/>
      <w:szCs w:val="20"/>
    </w:rPr>
  </w:style>
  <w:style w:type="paragraph" w:styleId="952">
    <w:name w:val="正文文本缩进11"/>
    <w:basedOn w:val="871"/>
    <w:next w:val="953"/>
    <w:link w:val="871"/>
    <w:unhideWhenUsed/>
    <w:qFormat/>
    <w:pPr>
      <w:ind w:left="420"/>
      <w:spacing w:after="120"/>
    </w:pPr>
  </w:style>
  <w:style w:type="paragraph" w:styleId="953">
    <w:name w:val="寄信人地址1"/>
    <w:basedOn w:val="871"/>
    <w:next w:val="953"/>
    <w:link w:val="871"/>
    <w:qFormat/>
    <w:rPr>
      <w:rFonts w:ascii="Arial" w:hAnsi="Arial" w:eastAsia="宋体" w:cs="宋体"/>
    </w:rPr>
  </w:style>
  <w:style w:type="paragraph" w:styleId="954">
    <w:name w:val="索引 41"/>
    <w:basedOn w:val="871"/>
    <w:next w:val="871"/>
    <w:link w:val="871"/>
    <w:semiHidden/>
    <w:qFormat/>
    <w:pPr>
      <w:ind w:left="1260"/>
    </w:pPr>
    <w:rPr>
      <w:rFonts w:ascii="Calibri" w:hAnsi="Calibri" w:eastAsia="Calibri" w:cs="宋体"/>
      <w:sz w:val="20"/>
      <w:lang w:val="zh-CN"/>
    </w:rPr>
  </w:style>
  <w:style w:type="paragraph" w:styleId="955">
    <w:name w:val="正文文本缩进1"/>
    <w:basedOn w:val="871"/>
    <w:next w:val="956"/>
    <w:link w:val="871"/>
    <w:unhideWhenUsed/>
    <w:qFormat/>
    <w:pPr>
      <w:ind w:left="420"/>
      <w:spacing w:after="120"/>
    </w:pPr>
  </w:style>
  <w:style w:type="paragraph" w:styleId="956">
    <w:name w:val="正文文本首行缩进 2"/>
    <w:basedOn w:val="955"/>
    <w:next w:val="956"/>
    <w:link w:val="871"/>
    <w:qFormat/>
    <w:pPr>
      <w:ind w:left="0" w:firstLine="420"/>
      <w:spacing w:after="0" w:line="360" w:lineRule="auto"/>
    </w:pPr>
    <w:rPr>
      <w:rFonts w:ascii="宋体" w:hAnsi="宋体"/>
      <w:sz w:val="20"/>
      <w:szCs w:val="20"/>
      <w:lang w:val="en-US" w:eastAsia="en-US"/>
    </w:rPr>
  </w:style>
  <w:style w:type="character" w:styleId="957">
    <w:name w:val="font5 Char"/>
    <w:next w:val="957"/>
    <w:link w:val="871"/>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1"/>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1"/>
    <w:next w:val="961"/>
    <w:link w:val="960"/>
    <w:qFormat/>
    <w:pPr>
      <w:contextualSpacing/>
      <w:ind w:left="720"/>
      <w:jc w:val="left"/>
      <w:widowControl/>
    </w:pPr>
    <w:rPr>
      <w:rFonts w:ascii="Calibri" w:hAnsi="Calibri"/>
      <w:sz w:val="24"/>
      <w:szCs w:val="24"/>
      <w:lang w:eastAsia="en-US" w:bidi="en-US"/>
    </w:rPr>
  </w:style>
  <w:style w:type="paragraph" w:styleId="962">
    <w:name w:val="Body Text(ch)"/>
    <w:basedOn w:val="871"/>
    <w:next w:val="903"/>
    <w:link w:val="871"/>
    <w:pPr>
      <w:spacing w:after="120"/>
    </w:pPr>
    <w:rPr>
      <w:rFonts w:ascii="宋体" w:hAnsi="Arial" w:eastAsia="宋体" w:cs="Times New Roman"/>
      <w:bCs/>
      <w:iCs/>
      <w:szCs w:val="24"/>
    </w:rPr>
  </w:style>
  <w:style w:type="paragraph" w:styleId="963">
    <w:name w:val="xl27"/>
    <w:basedOn w:val="871"/>
    <w:next w:val="96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xl26"/>
    <w:basedOn w:val="871"/>
    <w:next w:val="96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Char"/>
    <w:basedOn w:val="871"/>
    <w:next w:val="965"/>
    <w:link w:val="871"/>
    <w:pPr>
      <w:ind w:firstLine="200"/>
      <w:tabs>
        <w:tab w:val="left" w:pos="360" w:leader="none"/>
      </w:tabs>
    </w:pPr>
    <w:rPr>
      <w:rFonts w:ascii="Times New Roman" w:hAnsi="Times New Roman" w:eastAsia="宋体" w:cs="Times New Roman"/>
      <w:sz w:val="28"/>
      <w:szCs w:val="30"/>
    </w:rPr>
  </w:style>
  <w:style w:type="paragraph" w:styleId="966">
    <w:name w:val=" Char"/>
    <w:basedOn w:val="897"/>
    <w:next w:val="966"/>
    <w:link w:val="871"/>
    <w:rPr>
      <w:rFonts w:ascii="Tahoma" w:hAnsi="Tahoma"/>
      <w:sz w:val="24"/>
      <w:szCs w:val="24"/>
    </w:rPr>
  </w:style>
  <w:style w:type="paragraph" w:styleId="967">
    <w:name w:val="普通正文"/>
    <w:basedOn w:val="871"/>
    <w:next w:val="967"/>
    <w:link w:val="871"/>
    <w:pPr>
      <w:ind w:firstLine="480"/>
      <w:jc w:val="left"/>
      <w:spacing w:before="120" w:after="120" w:line="360" w:lineRule="auto"/>
    </w:pPr>
    <w:rPr>
      <w:rFonts w:ascii="Arial" w:hAnsi="Arial" w:eastAsia="宋体" w:cs="Times New Roman"/>
      <w:sz w:val="24"/>
      <w:szCs w:val="24"/>
    </w:rPr>
  </w:style>
  <w:style w:type="paragraph" w:styleId="968">
    <w:name w:val="table_lines"/>
    <w:basedOn w:val="871"/>
    <w:next w:val="968"/>
    <w:link w:val="871"/>
    <w:pPr>
      <w:jc w:val="left"/>
      <w:widowControl/>
    </w:pPr>
    <w:rPr>
      <w:rFonts w:ascii="Times New Roman" w:hAnsi="Times New Roman" w:eastAsia="宋体" w:cs="Times New Roman"/>
      <w:sz w:val="20"/>
      <w:szCs w:val="20"/>
      <w:lang w:val="de-DE" w:eastAsia="de-DE"/>
    </w:rPr>
  </w:style>
  <w:style w:type="paragraph" w:styleId="969">
    <w:name w:val="附录1"/>
    <w:next w:val="969"/>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71"/>
    <w:next w:val="970"/>
    <w:link w:val="871"/>
    <w:pPr>
      <w:jc w:val="left"/>
      <w:spacing w:before="100" w:beforeAutospacing="1" w:after="100" w:afterAutospacing="1"/>
      <w:widowControl/>
    </w:pPr>
    <w:rPr>
      <w:rFonts w:hint="eastAsia" w:ascii="宋体" w:hAnsi="宋体" w:eastAsia="宋体" w:cs="Times New Roman"/>
      <w:sz w:val="18"/>
      <w:szCs w:val="18"/>
    </w:rPr>
  </w:style>
  <w:style w:type="paragraph" w:styleId="971">
    <w:name w:val=" Char Char Char Char"/>
    <w:basedOn w:val="897"/>
    <w:next w:val="971"/>
    <w:link w:val="871"/>
    <w:pPr>
      <w:spacing w:line="360" w:lineRule="auto"/>
    </w:pPr>
    <w:rPr>
      <w:rFonts w:ascii="Tahoma" w:hAnsi="Tahoma"/>
      <w:sz w:val="24"/>
      <w:szCs w:val="24"/>
    </w:rPr>
  </w:style>
  <w:style w:type="paragraph" w:styleId="972">
    <w:name w:val="列出段落"/>
    <w:basedOn w:val="871"/>
    <w:next w:val="972"/>
    <w:link w:val="871"/>
    <w:qFormat/>
    <w:pPr>
      <w:contextualSpacing/>
      <w:ind w:left="720"/>
      <w:jc w:val="left"/>
      <w:widowControl/>
    </w:pPr>
    <w:rPr>
      <w:rFonts w:ascii="Calibri" w:hAnsi="Calibri" w:eastAsia="宋体" w:cs="Times New Roman"/>
      <w:sz w:val="24"/>
      <w:szCs w:val="24"/>
      <w:lang w:eastAsia="en-US" w:bidi="en-US"/>
    </w:rPr>
  </w:style>
  <w:style w:type="paragraph" w:styleId="973">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74">
    <w:name w:val="普通 (Web)"/>
    <w:basedOn w:val="871"/>
    <w:next w:val="974"/>
    <w:link w:val="871"/>
    <w:pPr>
      <w:jc w:val="left"/>
      <w:spacing w:before="100" w:beforeAutospacing="1" w:after="100" w:afterAutospacing="1"/>
      <w:widowControl/>
    </w:pPr>
    <w:rPr>
      <w:rFonts w:ascii="宋体" w:hAnsi="宋体" w:eastAsia="宋体" w:cs="Times New Roman"/>
      <w:sz w:val="24"/>
      <w:szCs w:val="24"/>
    </w:rPr>
  </w:style>
  <w:style w:type="paragraph" w:styleId="975">
    <w:name w:val=" Char Char Char Char Char Char Char Char Char Char"/>
    <w:basedOn w:val="871"/>
    <w:next w:val="975"/>
    <w:link w:val="871"/>
    <w:pPr>
      <w:spacing w:line="360" w:lineRule="auto"/>
    </w:pPr>
    <w:rPr>
      <w:rFonts w:ascii="Times New Roman" w:hAnsi="Times New Roman" w:eastAsia="宋体" w:cs="Times New Roman"/>
      <w:sz w:val="24"/>
      <w:szCs w:val="20"/>
    </w:rPr>
  </w:style>
  <w:style w:type="paragraph" w:styleId="976">
    <w:name w:val="样式1"/>
    <w:basedOn w:val="871"/>
    <w:next w:val="976"/>
    <w:link w:val="871"/>
    <w:pPr>
      <w:numPr>
        <w:ilvl w:val="0"/>
        <w:numId w:val="3"/>
      </w:numPr>
      <w:tabs>
        <w:tab w:val="left" w:pos="709" w:leader="none"/>
      </w:tabs>
    </w:pPr>
    <w:rPr>
      <w:rFonts w:ascii="宋体" w:hAnsi="宋体" w:eastAsia="宋体" w:cs="Times New Roman"/>
      <w:szCs w:val="21"/>
    </w:rPr>
  </w:style>
  <w:style w:type="paragraph" w:styleId="977">
    <w:name w:val="font6"/>
    <w:basedOn w:val="871"/>
    <w:next w:val="977"/>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name w:val="xl25"/>
    <w:basedOn w:val="871"/>
    <w:next w:val="97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81">
    <w:name w:val="xl24"/>
    <w:basedOn w:val="871"/>
    <w:next w:val="98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9"/>
    <w:basedOn w:val="871"/>
    <w:next w:val="982"/>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name w:val="Char Char Char Char Char Char Char Char"/>
    <w:basedOn w:val="871"/>
    <w:next w:val="983"/>
    <w:link w:val="871"/>
    <w:pPr>
      <w:jc w:val="left"/>
      <w:spacing w:after="160" w:line="240" w:lineRule="exact"/>
      <w:widowControl/>
    </w:pPr>
    <w:rPr>
      <w:rFonts w:ascii="Verdana" w:hAnsi="Verdana" w:eastAsia="宋体" w:cs="Times New Roman"/>
      <w:sz w:val="20"/>
      <w:szCs w:val="20"/>
      <w:lang w:eastAsia="en-US"/>
    </w:rPr>
  </w:style>
  <w:style w:type="paragraph" w:styleId="984">
    <w:name w:val="xl28"/>
    <w:basedOn w:val="871"/>
    <w:next w:val="98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name w:val=" Char Char Char Char Char Char Char Char"/>
    <w:basedOn w:val="871"/>
    <w:next w:val="985"/>
    <w:link w:val="871"/>
    <w:pPr>
      <w:jc w:val="left"/>
      <w:spacing w:after="160" w:line="240" w:lineRule="exact"/>
      <w:widowControl/>
    </w:pPr>
    <w:rPr>
      <w:rFonts w:ascii="Verdana" w:hAnsi="Verdana" w:eastAsia="宋体" w:cs="Times New Roman"/>
      <w:sz w:val="20"/>
      <w:szCs w:val="20"/>
      <w:lang w:eastAsia="en-US"/>
    </w:rPr>
  </w:style>
  <w:style w:type="paragraph" w:styleId="986">
    <w:name w:val="xl30"/>
    <w:basedOn w:val="871"/>
    <w:next w:val="986"/>
    <w:link w:val="871"/>
    <w:pPr>
      <w:jc w:val="center"/>
      <w:spacing w:before="100" w:beforeAutospacing="1" w:after="100" w:afterAutospacing="1"/>
      <w:widowControl/>
    </w:pPr>
    <w:rPr>
      <w:rFonts w:ascii="宋体" w:hAnsi="宋体" w:eastAsia="宋体" w:cs="Times New Roman"/>
      <w:b/>
      <w:bCs/>
      <w:sz w:val="36"/>
      <w:szCs w:val="36"/>
    </w:rPr>
  </w:style>
  <w:style w:type="paragraph" w:styleId="987">
    <w:name w:val="Char Char Char Char"/>
    <w:basedOn w:val="897"/>
    <w:next w:val="987"/>
    <w:link w:val="871"/>
    <w:pPr>
      <w:spacing w:line="360" w:lineRule="auto"/>
    </w:pPr>
    <w:rPr>
      <w:rFonts w:ascii="Tahoma" w:hAnsi="Tahoma"/>
      <w:sz w:val="24"/>
      <w:szCs w:val="24"/>
    </w:rPr>
  </w:style>
  <w:style w:type="paragraph" w:styleId="988">
    <w:name w:val="table_1stline"/>
    <w:basedOn w:val="871"/>
    <w:next w:val="988"/>
    <w:link w:val="871"/>
    <w:pPr>
      <w:jc w:val="left"/>
      <w:spacing w:before="120"/>
      <w:widowControl/>
    </w:pPr>
    <w:rPr>
      <w:rFonts w:ascii="Times New Roman" w:hAnsi="Times New Roman" w:eastAsia="宋体" w:cs="Times New Roman"/>
      <w:bCs/>
      <w:sz w:val="20"/>
      <w:szCs w:val="20"/>
      <w:lang w:val="de-DE" w:eastAsia="de-DE"/>
    </w:rPr>
  </w:style>
  <w:style w:type="paragraph" w:styleId="989">
    <w:name w:val="font5"/>
    <w:basedOn w:val="871"/>
    <w:next w:val="989"/>
    <w:link w:val="871"/>
    <w:pPr>
      <w:jc w:val="left"/>
      <w:spacing w:before="100" w:beforeAutospacing="1" w:after="100" w:afterAutospacing="1"/>
      <w:widowControl/>
    </w:pPr>
    <w:rPr>
      <w:rFonts w:hint="eastAsia" w:ascii="宋体" w:hAnsi="宋体" w:eastAsia="宋体" w:cs="Times New Roman"/>
      <w:sz w:val="28"/>
      <w:szCs w:val="28"/>
    </w:rPr>
  </w:style>
  <w:style w:type="paragraph" w:styleId="990">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name w:val="修订"/>
    <w:next w:val="991"/>
    <w:link w:val="871"/>
    <w:uiPriority w:val="99"/>
    <w:semiHidden/>
    <w:rPr>
      <w:rFonts w:ascii="Times New Roman" w:hAnsi="Times New Roman"/>
      <w:sz w:val="21"/>
      <w:szCs w:val="21"/>
      <w:lang w:val="en-US" w:eastAsia="zh-CN" w:bidi="ar-SA"/>
    </w:rPr>
  </w:style>
  <w:style w:type="paragraph" w:styleId="992">
    <w:name w:val="无间隔"/>
    <w:next w:val="992"/>
    <w:link w:val="871"/>
    <w:uiPriority w:val="99"/>
    <w:qFormat/>
    <w:pPr>
      <w:jc w:val="both"/>
      <w:widowControl w:val="off"/>
    </w:pPr>
    <w:rPr>
      <w:rFonts w:ascii="Times New Roman" w:hAnsi="Times New Roman"/>
      <w:sz w:val="21"/>
      <w:szCs w:val="21"/>
      <w:lang w:val="en-US" w:eastAsia="zh-CN" w:bidi="ar-SA"/>
    </w:rPr>
  </w:style>
  <w:style w:type="table" w:styleId="993">
    <w:name w:val="Table Normal"/>
    <w:next w:val="993"/>
    <w:link w:val="871"/>
    <w:qFormat/>
    <w:tblPr/>
  </w:style>
  <w:style w:type="paragraph" w:styleId="994">
    <w:name w:val="正文文本12"/>
    <w:basedOn w:val="871"/>
    <w:next w:val="994"/>
    <w:link w:val="871"/>
    <w:uiPriority w:val="1"/>
    <w:qFormat/>
    <w:pPr>
      <w:ind w:left="120"/>
    </w:pPr>
    <w:rPr>
      <w:rFonts w:ascii="宋体" w:hAnsi="宋体" w:eastAsia="宋体" w:cs="宋体"/>
      <w:sz w:val="21"/>
      <w:szCs w:val="21"/>
      <w:lang w:val="zh-CN" w:eastAsia="zh-CN" w:bidi="zh-CN"/>
    </w:rPr>
  </w:style>
  <w:style w:type="paragraph" w:styleId="995">
    <w:name w:val="正文文本 211"/>
    <w:basedOn w:val="871"/>
    <w:next w:val="995"/>
    <w:link w:val="871"/>
    <w:uiPriority w:val="99"/>
    <w:qFormat/>
    <w:pPr>
      <w:jc w:val="center"/>
    </w:pPr>
    <w:rPr>
      <w:b/>
      <w:bCs/>
      <w:sz w:val="20"/>
      <w:szCs w:val="20"/>
    </w:rPr>
  </w:style>
  <w:style w:type="paragraph" w:styleId="996">
    <w:name w:val="正文文本1"/>
    <w:basedOn w:val="871"/>
    <w:next w:val="871"/>
    <w:link w:val="871"/>
    <w:semiHidden/>
    <w:qFormat/>
    <w:rPr>
      <w:rFonts w:ascii="Arial" w:hAnsi="Arial" w:eastAsia="Arial" w:cs="Arial"/>
      <w:sz w:val="21"/>
      <w:szCs w:val="21"/>
      <w:lang w:val="en-US" w:eastAsia="en-US" w:bidi="ar-SA"/>
    </w:rPr>
  </w:style>
  <w:style w:type="paragraph" w:styleId="997">
    <w:name w:val="Table Paragraph"/>
    <w:basedOn w:val="871"/>
    <w:next w:val="997"/>
    <w:link w:val="871"/>
    <w:uiPriority w:val="1"/>
    <w:qFormat/>
    <w:pPr>
      <w:jc w:val="left"/>
    </w:pPr>
    <w:rPr>
      <w:rFonts w:ascii="宋体" w:hAnsi="宋体" w:eastAsia="宋体" w:cs="宋体"/>
      <w:sz w:val="22"/>
      <w:szCs w:val="22"/>
      <w:lang w:val="zh-CN" w:bidi="zh-CN"/>
    </w:rPr>
  </w:style>
  <w:style w:type="table" w:styleId="998">
    <w:name w:val="网格型1"/>
    <w:basedOn w:val="999"/>
    <w:next w:val="998"/>
    <w:link w:val="871"/>
    <w:qFormat/>
    <w:pPr>
      <w:jc w:val="both"/>
      <w:widowControl w:val="off"/>
    </w:pPr>
    <w:tblPr/>
  </w:style>
  <w:style w:type="table" w:styleId="999">
    <w:name w:val="普通表格1"/>
    <w:next w:val="999"/>
    <w:link w:val="871"/>
    <w:uiPriority w:val="99"/>
    <w:unhideWhenUsed/>
    <w:qFormat/>
    <w:tblPr/>
  </w:style>
  <w:style w:type="character" w:styleId="1000">
    <w:name w:val="15"/>
    <w:basedOn w:val="881"/>
    <w:next w:val="1000"/>
    <w:link w:val="871"/>
    <w:rPr>
      <w:rFonts w:ascii="Times New Roman" w:hAnsi="Times New Roman" w:cs="Times New Roman"/>
    </w:rPr>
  </w:style>
  <w:style w:type="paragraph" w:styleId="1001">
    <w:name w:val="Table Text"/>
    <w:basedOn w:val="871"/>
    <w:next w:val="1001"/>
    <w:link w:val="871"/>
    <w:semiHidden/>
    <w:qFormat/>
    <w:rPr>
      <w:rFonts w:ascii="FangSong_GB2312" w:hAnsi="FangSong_GB2312" w:eastAsia="FangSong_GB2312" w:cs="FangSong_GB2312"/>
      <w:sz w:val="24"/>
      <w:szCs w:val="24"/>
      <w:lang w:val="en-US" w:eastAsia="en-US" w:bidi="ar-SA"/>
    </w:rPr>
  </w:style>
  <w:style w:type="paragraph" w:styleId="1002">
    <w:name w:val="首行缩进"/>
    <w:basedOn w:val="871"/>
    <w:next w:val="1002"/>
    <w:link w:val="871"/>
    <w:qFormat/>
    <w:pPr>
      <w:ind w:firstLine="480"/>
    </w:pPr>
    <w:rPr>
      <w:szCs w:val="20"/>
      <w:lang w:val="zh-CN"/>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2023-03-16T02:13:00Z</dcterms:created>
  <dcterms:modified xsi:type="dcterms:W3CDTF">2026-10-13T23:47:42Z</dcterms:modified>
</cp:coreProperties>
</file>