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苏州工业园区政府采购</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竞争性谈判文件</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1687"/>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采购编号：</w:t>
      </w:r>
      <w:r>
        <w:rPr>
          <w:rFonts w:hint="eastAsia" w:ascii="宋体" w:hAnsi="宋体" w:eastAsia="宋体" w:cs="宋体"/>
          <w:b/>
          <w:color w:val="000000"/>
          <w:sz w:val="28"/>
          <w:highlight w:val="none"/>
          <w:lang w:eastAsia="zh-CN"/>
        </w:rPr>
        <w:t xml:space="preserve">JSZC-320591-SZHQ-T2026-0023</w:t>
      </w:r>
      <w:r/>
    </w:p>
    <w:p>
      <w:pPr>
        <w:ind w:firstLine="1687"/>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采购人：</w:t>
      </w:r>
      <w:r>
        <w:rPr>
          <w:rFonts w:hint="eastAsia" w:ascii="宋体" w:hAnsi="宋体" w:eastAsia="宋体" w:cs="宋体"/>
          <w:b/>
          <w:color w:val="000000"/>
          <w:sz w:val="28"/>
          <w:highlight w:val="none"/>
        </w:rPr>
        <w:t xml:space="preserve">苏州市公安局苏州工业园区分局</w:t>
      </w:r>
      <w:r/>
    </w:p>
    <w:p>
      <w:pPr>
        <w:ind w:firstLine="1687"/>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采购代理机构：苏州海企国际工程咨询有限公司</w:t>
      </w:r>
      <w:r/>
    </w:p>
    <w:p>
      <w:pPr>
        <w:ind w:firstLine="1687"/>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项目名称:</w:t>
      </w:r>
      <w:r>
        <w:rPr>
          <w:rFonts w:hint="eastAsia" w:ascii="宋体" w:hAnsi="宋体" w:eastAsia="宋体" w:cs="宋体"/>
          <w:b/>
          <w:color w:val="000000"/>
          <w:sz w:val="28"/>
          <w:highlight w:val="none"/>
          <w:lang w:eastAsia="zh-CN"/>
        </w:rPr>
        <w:t xml:space="preserve">2026年第一批装备采购</w:t>
      </w:r>
      <w:r/>
    </w:p>
    <w:p>
      <w:pPr>
        <w:ind w:firstLine="1687"/>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采购类别：货物类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spacing w:line="360" w:lineRule="auto"/>
        <w:shd w:val="clear" w:color="auto"/>
        <w:rPr>
          <w:rFonts w:ascii="宋体" w:hAnsi="宋体" w:eastAsia="宋体" w:cs="宋体"/>
          <w:color w:val="000000"/>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pStyle w:val="840"/>
        <w:shd w:val="clear" w:color="auto"/>
        <w:rPr>
          <w:rFonts w:ascii="宋体" w:hAnsi="宋体" w:eastAsia="宋体" w:cs="宋体"/>
          <w:color w:val="000000"/>
          <w:highlight w:val="none"/>
        </w:rPr>
      </w:pPr>
      <w:r>
        <w:rPr>
          <w:rFonts w:ascii="宋体" w:hAnsi="宋体" w:eastAsia="宋体" w:cs="宋体"/>
          <w:color w:val="000000"/>
          <w:highlight w:val="none"/>
        </w:rPr>
      </w:r>
      <w:r/>
    </w:p>
    <w:p>
      <w:pPr>
        <w:shd w:val="clear" w:color="auto"/>
        <w:rPr>
          <w:rFonts w:ascii="宋体" w:hAnsi="宋体" w:eastAsia="宋体" w:cs="宋体"/>
          <w:color w:val="000000"/>
          <w:sz w:val="28"/>
          <w:highlight w:val="none"/>
        </w:rPr>
      </w:pPr>
      <w:r>
        <w:rPr>
          <w:rFonts w:ascii="宋体" w:hAnsi="宋体" w:eastAsia="宋体" w:cs="宋体"/>
          <w:color w:val="000000"/>
          <w:sz w:val="28"/>
          <w:highlight w:val="none"/>
        </w:rPr>
      </w:r>
      <w:r/>
    </w:p>
    <w:p>
      <w:pPr>
        <w:pStyle w:val="840"/>
        <w:shd w:val="clear" w:color="auto"/>
        <w:rPr>
          <w:rFonts w:ascii="宋体" w:hAnsi="宋体" w:eastAsia="宋体" w:cs="宋体"/>
          <w:color w:val="000000"/>
          <w:highlight w:val="none"/>
        </w:rPr>
      </w:pPr>
      <w:r>
        <w:rPr>
          <w:rFonts w:ascii="宋体" w:hAnsi="宋体" w:eastAsia="宋体" w:cs="宋体"/>
          <w:color w:val="000000"/>
          <w:highlight w:val="none"/>
        </w:rPr>
      </w:r>
      <w:r/>
    </w:p>
    <w:p>
      <w:pPr>
        <w:shd w:val="clear" w:color="auto"/>
        <w:rPr>
          <w:highlight w:val="none"/>
        </w:rPr>
      </w:pPr>
      <w:r>
        <w:rPr>
          <w:highlight w:val="none"/>
        </w:rPr>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苏州海企国际工程咨询有限公司</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202</w:t>
      </w:r>
      <w:r>
        <w:rPr>
          <w:rFonts w:hint="eastAsia" w:ascii="宋体" w:hAnsi="宋体" w:eastAsia="宋体" w:cs="宋体"/>
          <w:b/>
          <w:color w:val="000000"/>
          <w:sz w:val="28"/>
          <w:highlight w:val="none"/>
          <w:lang w:val="en-US" w:eastAsia="zh-CN"/>
        </w:rPr>
        <w:t xml:space="preserve">6</w:t>
      </w:r>
      <w:r>
        <w:rPr>
          <w:rFonts w:ascii="宋体" w:hAnsi="宋体" w:eastAsia="宋体" w:cs="宋体"/>
          <w:b/>
          <w:color w:val="000000"/>
          <w:sz w:val="28"/>
          <w:highlight w:val="none"/>
        </w:rPr>
        <w:t xml:space="preserve">年</w:t>
      </w:r>
      <w:r>
        <w:rPr>
          <w:rFonts w:hint="eastAsia" w:ascii="宋体" w:hAnsi="宋体" w:eastAsia="宋体" w:cs="宋体"/>
          <w:b/>
          <w:color w:val="000000"/>
          <w:sz w:val="28"/>
          <w:highlight w:val="none"/>
          <w:lang w:val="en-US" w:eastAsia="zh-CN"/>
        </w:rPr>
        <w:t xml:space="preserve">9</w:t>
      </w:r>
      <w:r>
        <w:rPr>
          <w:rFonts w:ascii="宋体" w:hAnsi="宋体" w:eastAsia="宋体" w:cs="宋体"/>
          <w:b/>
          <w:color w:val="000000"/>
          <w:sz w:val="28"/>
          <w:highlight w:val="none"/>
        </w:rPr>
        <w:t xml:space="preserve">月</w:t>
      </w:r>
      <w:r>
        <w:rPr>
          <w:highlight w:val="none"/>
        </w:rPr>
        <w:br w:type="page" w:clear="all"/>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前附表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515"/>
        <w:gridCol w:w="588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规定</w:t>
            </w:r>
            <w:r/>
          </w:p>
        </w:tc>
      </w:tr>
      <w:tr>
        <w:trP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rFonts w:hint="eastAsia" w:eastAsia="楷体_GB231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2026年第一批装备采购</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合同签订之日起30天内完成交货、调试并验收合格</w:t>
            </w:r>
            <w:r>
              <w:rPr>
                <w:rFonts w:ascii="宋体" w:hAnsi="宋体" w:eastAsia="宋体" w:cs="宋体"/>
                <w:color w:val="000000"/>
                <w:sz w:val="24"/>
                <w:highlight w:val="none"/>
              </w:rPr>
              <w:t xml:space="preserve">。</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jc w:val="left"/>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叁佰叁拾玖万零伍佰陆拾捌元整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3390568.00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w:t>
            </w:r>
            <w:r/>
          </w:p>
          <w:p>
            <w:pPr>
              <w:pStyle w:val="876"/>
              <w:ind w:left="0" w:firstLine="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贰佰玖拾万零伍仟伍佰陆拾捌元整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2905568</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rPr>
                <w:rFonts w:hint="default"/>
                <w:highlight w:val="none"/>
                <w:lang w:val="en-US" w:eastAsia="zh-CN"/>
              </w:rPr>
            </w:pPr>
            <w:r>
              <w:rPr>
                <w:rFonts w:hint="eastAsia" w:ascii="宋体" w:hAnsi="宋体" w:eastAsia="宋体" w:cs="宋体"/>
                <w:color w:val="000000"/>
                <w:sz w:val="24"/>
                <w:highlight w:val="none"/>
                <w:lang w:val="en-US" w:eastAsia="zh-CN"/>
              </w:rPr>
              <w:t xml:space="preserve">采购包2：</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肆拾捌万伍仟元整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485000</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jc w:val="left"/>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叁佰叁拾壹万零伍佰陆拾捌元整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0568.00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w:t>
            </w:r>
            <w:r/>
          </w:p>
          <w:p>
            <w:pPr>
              <w:pStyle w:val="876"/>
              <w:ind w:left="0" w:firstLine="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贰佰捌拾贰万伍仟伍佰陆拾捌元整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2825568</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采购包2：</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肆拾捌万伍仟元整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485000</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p>
        </w:tc>
      </w:tr>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供应商特定资格条件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rFonts w:hint="eastAsia" w:eastAsia="楷体_GB231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落实政府采购政策需满足的资格要求：</w:t>
            </w:r>
            <w:r>
              <w:rPr>
                <w:rFonts w:ascii="宋体" w:hAnsi="宋体" w:eastAsia="宋体" w:cs="宋体"/>
                <w:b/>
                <w:color w:val="auto"/>
                <w:sz w:val="24"/>
                <w:highlight w:val="none"/>
                <w:u w:val="single"/>
              </w:rPr>
              <w:t xml:space="preserve">本项目专门面向中小企业，所属行业为工业，制造商应为中小微企业、监狱企业、残疾人福利性单位；</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进口产品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不接受。</w:t>
            </w:r>
            <w:r/>
          </w:p>
        </w:tc>
      </w:tr>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联合体谈判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不接受，谈判文件中有关联合体规定均不适用。</w:t>
            </w:r>
            <w:r/>
          </w:p>
        </w:tc>
      </w:tr>
      <w:tr>
        <w:trPr>
          <w:trHeight w:val="4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现场考察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不组织，自行考察</w:t>
            </w:r>
            <w:r/>
          </w:p>
        </w:tc>
      </w:tr>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响应文件份数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成交单位成交后须提供2套响应文件。</w:t>
            </w:r>
            <w:r/>
          </w:p>
        </w:tc>
      </w:tr>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谈判响应货币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p>
        </w:tc>
      </w:tr>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代理服务费收费标准：</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依据《关于进一步规范政府采购活动相关费用管理的通知》（苏财规〔2026〕1号）相关规定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本项目收取招标代理服务费的要求如下：</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支付主体：本项目招标代理服务费由中标（成交）供应商支付。</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支付原因：结合本项目实际情况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采购预算中已包含该项代理服务费，供应商</w:t>
            </w:r>
            <w:r>
              <w:rPr>
                <w:rFonts w:hint="eastAsia" w:ascii="宋体" w:hAnsi="宋体" w:eastAsia="宋体" w:cs="宋体"/>
                <w:color w:val="auto"/>
                <w:sz w:val="24"/>
                <w:szCs w:val="24"/>
                <w:highlight w:val="none"/>
                <w:lang w:val="en-US" w:eastAsia="zh-CN"/>
              </w:rPr>
              <w:t xml:space="preserve">报价应当包含代理服务费</w:t>
            </w:r>
            <w:r>
              <w:rPr>
                <w:rFonts w:hint="eastAsia" w:ascii="宋体" w:hAnsi="宋体" w:eastAsia="宋体" w:cs="宋体"/>
                <w:color w:val="auto"/>
                <w:sz w:val="24"/>
                <w:szCs w:val="24"/>
                <w:highlight w:val="none"/>
              </w:rPr>
              <w:t xml:space="preserve">，但无需单独列明。</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收取方式：中标（成交）供应商在领取中标（成交）通知书前，须向采购代理机构一次性付清招标代理服务费。</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收费标准：本项目招标代理服务费参照</w:t>
            </w:r>
            <w:r>
              <w:rPr>
                <w:rFonts w:hint="eastAsia" w:ascii="宋体" w:hAnsi="宋体" w:eastAsia="宋体" w:cs="宋体"/>
                <w:color w:val="auto"/>
                <w:sz w:val="24"/>
                <w:szCs w:val="24"/>
                <w:highlight w:val="none"/>
                <w:lang w:eastAsia="zh-CN"/>
              </w:rPr>
              <w:t xml:space="preserve">“苏州市级政府采购代理服务收费公告信息表第一批（苏财购告【2016】31号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，以项目预算为基数，采用</w:t>
            </w:r>
            <w:r>
              <w:rPr>
                <w:rFonts w:hint="eastAsia" w:ascii="宋体" w:hAnsi="宋体" w:eastAsia="宋体" w:cs="宋体"/>
                <w:color w:val="auto"/>
                <w:sz w:val="24"/>
                <w:szCs w:val="24"/>
                <w:highlight w:val="none"/>
              </w:rPr>
              <w:t xml:space="preserve">“比例差额定率累进法计算”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具体如下：</w:t>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预算金额100万元以下部分，费率为该部分预算金额的1.5%；</w:t>
            </w:r>
            <w:r/>
          </w:p>
          <w:p>
            <w:pPr>
              <w:ind w:firstLine="0"/>
              <w:keepLines w:val="0"/>
              <w:keepNext w:val="0"/>
              <w:pageBreakBefore w:val="0"/>
              <w:spacing w:line="480" w:lineRule="exact"/>
              <w:shd w:val="clear" w:color="auto"/>
              <w:widowControl w:val="off"/>
              <w:rPr>
                <w:rFonts w:hint="eastAsia" w:eastAsia="宋体"/>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预算金额100万元（含）－500万元部分，费率为该部分预算金额的1.1%</w:t>
            </w:r>
            <w:r>
              <w:rPr>
                <w:rFonts w:hint="eastAsia" w:ascii="宋体" w:hAnsi="宋体" w:eastAsia="宋体" w:cs="宋体"/>
                <w:color w:val="auto"/>
                <w:sz w:val="24"/>
                <w:szCs w:val="24"/>
                <w:highlight w:val="none"/>
                <w:lang w:eastAsia="zh-CN"/>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响应保证金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不提交，本项目谈判文件内关于响应保证金的相关规定均不适用。</w:t>
            </w:r>
            <w:r/>
          </w:p>
        </w:tc>
      </w:tr>
      <w:tr>
        <w:trPr>
          <w:trHeight w:val="3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90日历天（从提交响应文件截止时间当日起算）</w:t>
            </w:r>
            <w:r/>
          </w:p>
        </w:tc>
      </w:tr>
      <w:tr>
        <w:trPr>
          <w:trHeight w:val="10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电子响应文件上传截止时间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日09时30分</w:t>
            </w:r>
            <w:r/>
          </w:p>
        </w:tc>
      </w:tr>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谈判时间和地点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ascii="宋体" w:hAnsi="宋体" w:eastAsia="宋体" w:cs="宋体"/>
                <w:color w:val="000000"/>
                <w:sz w:val="24"/>
                <w:highlight w:val="none"/>
              </w:rPr>
              <w:t xml:space="preserve">9月</w:t>
            </w:r>
            <w:r>
              <w:rPr>
                <w:rFonts w:ascii="宋体" w:hAnsi="宋体" w:eastAsia="宋体" w:cs="宋体"/>
                <w:color w:val="000000"/>
                <w:sz w:val="24"/>
                <w:highlight w:val="none"/>
              </w:rPr>
              <w:t xml:space="preserve">30日09时30分</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w:t>
            </w:r>
            <w:r>
              <w:rPr>
                <w:rFonts w:hint="eastAsia" w:ascii="宋体" w:hAnsi="宋体" w:eastAsia="宋体" w:cs="宋体"/>
                <w:color w:val="000000"/>
                <w:sz w:val="24"/>
                <w:highlight w:val="none"/>
                <w:lang w:val="en-US" w:eastAsia="zh-CN"/>
              </w:rPr>
              <w:t xml:space="preserve">采</w:t>
            </w:r>
            <w:r>
              <w:rPr>
                <w:rFonts w:ascii="宋体" w:hAnsi="宋体" w:eastAsia="宋体" w:cs="宋体"/>
                <w:color w:val="000000"/>
                <w:sz w:val="24"/>
                <w:highlight w:val="none"/>
              </w:rPr>
              <w:t xml:space="preserve">云”系统</w:t>
            </w:r>
            <w:r/>
          </w:p>
        </w:tc>
      </w:tr>
      <w:tr>
        <w:trPr>
          <w:trHeight w:val="18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成交原则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在响应报价（包括最后报价）未超过采购预算，且响应内容的质量和服务均能满足谈判文件实质性响应要求的供应商（不少于三家）中，提出最低报价的供应商确定为成交供应商。</w:t>
            </w:r>
            <w:r/>
          </w:p>
        </w:tc>
      </w:tr>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详见第六章</w:t>
            </w:r>
            <w:r/>
          </w:p>
        </w:tc>
      </w:tr>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签订合同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成交通知书发出之日起</w:t>
            </w:r>
            <w:r>
              <w:rPr>
                <w:rFonts w:hint="eastAsia" w:ascii="宋体" w:hAnsi="宋体" w:eastAsia="宋体" w:cs="宋体"/>
                <w:color w:val="000000"/>
                <w:sz w:val="24"/>
                <w:highlight w:val="none"/>
              </w:rPr>
              <w:t xml:space="preserve">30</w:t>
            </w:r>
            <w:r>
              <w:rPr>
                <w:rFonts w:ascii="宋体" w:hAnsi="宋体" w:eastAsia="宋体" w:cs="宋体"/>
                <w:color w:val="000000"/>
                <w:sz w:val="24"/>
                <w:highlight w:val="none"/>
              </w:rPr>
              <w:t xml:space="preserve">日内</w:t>
            </w:r>
            <w:r/>
          </w:p>
        </w:tc>
      </w:tr>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不提交</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监督电话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苏州工业园区财政审计局电话：0512-66681110</w:t>
            </w:r>
            <w:r/>
          </w:p>
        </w:tc>
      </w:tr>
    </w:tbl>
    <w:p>
      <w:pPr>
        <w:jc w:val="center"/>
        <w:spacing w:line="360" w:lineRule="auto"/>
        <w:shd w:val="clear" w:color="auto"/>
        <w:rPr>
          <w:rFonts w:ascii="宋体" w:hAnsi="宋体" w:eastAsia="宋体" w:cs="宋体"/>
          <w:b/>
          <w:color w:val="000000"/>
          <w:sz w:val="52"/>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2"/>
          <w:footerReference w:type="first" r:id="rId13"/>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000000"/>
          <w:sz w:val="52"/>
          <w:highlight w:val="none"/>
        </w:rPr>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highlight w:val="none"/>
        </w:rPr>
        <w:t xml:space="preserve">目录</w:t>
      </w:r>
      <w:r/>
    </w:p>
    <w:p>
      <w:pPr>
        <w:ind w:firstLine="60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firstLine="60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第一章 谈判邀请函</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第二章 供应商须知</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第三章 响应文件格式</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第四章 谈判采购内容</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第五章 合同条款</w:t>
      </w:r>
      <w:r/>
    </w:p>
    <w:p>
      <w:pPr>
        <w:ind w:firstLine="60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第六章 评审办法</w:t>
      </w:r>
      <w:r/>
    </w:p>
    <w:p>
      <w:pPr>
        <w:ind w:firstLine="60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643"/>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第一章 谈判邀请函</w:t>
      </w:r>
      <w:r/>
    </w:p>
    <w:p>
      <w:pPr>
        <w:ind w:firstLine="52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谈判邀请函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firstLine="24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2026年第一批装备采购</w:t>
      </w:r>
      <w:r>
        <w:rPr>
          <w:rFonts w:ascii="宋体" w:hAnsi="宋体" w:eastAsia="宋体" w:cs="宋体"/>
          <w:color w:val="000000"/>
          <w:sz w:val="24"/>
          <w:highlight w:val="none"/>
        </w:rPr>
        <w:t xml:space="preserve">项目的潜在供应商应在“苏采云”系统获取采购文件，并于202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30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0分（北京时间）前递交响应文件。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一、项目基本情况</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JSZC-320591-SZHQ-T2026-0023</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2026年第一批装备采购</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采购方式：竞争性谈判</w:t>
      </w:r>
      <w:r/>
    </w:p>
    <w:p>
      <w:pPr>
        <w:ind w:firstLine="482"/>
        <w:jc w:val="left"/>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预算金额：</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叁佰叁拾玖万零伍佰陆拾捌元整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3390568.00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w:t>
      </w:r>
      <w:r/>
    </w:p>
    <w:p>
      <w:pPr>
        <w:pStyle w:val="876"/>
        <w:ind w:left="0"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贰佰玖拾万零伍仟伍佰陆拾捌元整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2905568</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采购包2：</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肆拾捌万伍仟元整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485000</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ind w:firstLine="482"/>
        <w:jc w:val="left"/>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最高限价：</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叁佰叁拾壹万零伍佰陆拾捌元整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0568.00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w:t>
      </w:r>
      <w:r/>
    </w:p>
    <w:p>
      <w:pPr>
        <w:pStyle w:val="876"/>
        <w:ind w:left="0"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贰佰捌拾贰万伍仟伍佰陆拾捌元整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2825568</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ind w:firstLine="480"/>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采购包2：</w:t>
      </w:r>
      <w:r>
        <w:rPr>
          <w:rFonts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肆拾捌万伍仟元整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485000</w:t>
      </w:r>
      <w:r>
        <w:rPr>
          <w:rFonts w:hint="eastAsia" w:ascii="宋体" w:hAnsi="宋体" w:eastAsia="宋体" w:cs="宋体"/>
          <w:color w:val="000000"/>
          <w:sz w:val="24"/>
          <w:highlight w:val="none"/>
          <w:lang w:eastAsia="zh-CN"/>
        </w:rPr>
        <w:t xml:space="preserve">.00</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p>
    <w:p>
      <w:pPr>
        <w:pStyle w:val="840"/>
        <w:ind w:firstLine="480"/>
        <w:keepLines w:val="0"/>
        <w:keepNext w:val="0"/>
        <w:pageBreakBefore w:val="0"/>
        <w:spacing w:line="360" w:lineRule="auto"/>
        <w:shd w:val="clear" w:color="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1、采购清单：</w:t>
      </w:r>
      <w:r/>
    </w:p>
    <w:p>
      <w:pPr>
        <w:pStyle w:val="840"/>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lang w:val="en-US" w:eastAsia="zh-CN"/>
        </w:rPr>
        <w:t xml:space="preserve">采购包1：2026年第一批装备采购</w:t>
      </w:r>
      <w:r>
        <w:rPr>
          <w:rFonts w:hint="eastAsia" w:ascii="宋体" w:hAnsi="宋体" w:eastAsia="宋体" w:cs="宋体"/>
          <w:color w:val="000000"/>
          <w:sz w:val="24"/>
          <w:highlight w:val="none"/>
        </w:rPr>
        <w:t xml:space="preserve">，包含伸缩警棍</w:t>
      </w:r>
      <w:r>
        <w:rPr>
          <w:rFonts w:hint="eastAsia" w:ascii="宋体" w:hAnsi="宋体" w:eastAsia="宋体" w:cs="宋体"/>
          <w:color w:val="000000"/>
          <w:sz w:val="24"/>
          <w:highlight w:val="none"/>
          <w:lang w:eastAsia="zh-CN"/>
        </w:rPr>
        <w:t xml:space="preserve">、金属手铐、多功能腰带、催泪喷射器、强光手电（基础型）</w:t>
      </w:r>
      <w:r>
        <w:rPr>
          <w:rFonts w:hint="eastAsia" w:ascii="宋体" w:hAnsi="宋体" w:eastAsia="宋体" w:cs="宋体"/>
          <w:color w:val="000000"/>
          <w:sz w:val="24"/>
          <w:highlight w:val="none"/>
        </w:rPr>
        <w:t xml:space="preserve">等货物采购</w:t>
      </w:r>
      <w:r>
        <w:rPr>
          <w:rFonts w:hint="eastAsia" w:ascii="宋体" w:hAnsi="宋体" w:eastAsia="宋体" w:cs="宋体"/>
          <w:sz w:val="24"/>
          <w:szCs w:val="24"/>
          <w:highlight w:val="none"/>
          <w:lang w:val="en-US" w:eastAsia="zh-CN"/>
        </w:rPr>
        <w:t xml:space="preserve">。</w:t>
      </w:r>
      <w:r/>
    </w:p>
    <w:p>
      <w:pPr>
        <w:pStyle w:val="840"/>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lang w:val="en-US" w:eastAsia="zh-CN"/>
        </w:rPr>
        <w:t xml:space="preserve">采购包2：2026年第一批装备采购</w:t>
      </w:r>
      <w:r>
        <w:rPr>
          <w:rFonts w:hint="eastAsia" w:ascii="宋体" w:hAnsi="宋体" w:eastAsia="宋体" w:cs="宋体"/>
          <w:color w:val="000000"/>
          <w:sz w:val="24"/>
          <w:highlight w:val="none"/>
        </w:rPr>
        <w:t xml:space="preserve">，包含健康管理一体机（I型）</w:t>
      </w:r>
      <w:r>
        <w:rPr>
          <w:rFonts w:hint="eastAsia" w:ascii="宋体" w:hAnsi="宋体" w:eastAsia="宋体" w:cs="宋体"/>
          <w:color w:val="000000"/>
          <w:sz w:val="24"/>
          <w:highlight w:val="none"/>
          <w:lang w:eastAsia="zh-CN"/>
        </w:rPr>
        <w:t xml:space="preserve">、健康管理一体机（II型）</w:t>
      </w:r>
      <w:r>
        <w:rPr>
          <w:rFonts w:hint="eastAsia" w:ascii="宋体" w:hAnsi="宋体" w:eastAsia="宋体" w:cs="宋体"/>
          <w:color w:val="000000"/>
          <w:sz w:val="24"/>
          <w:highlight w:val="none"/>
        </w:rPr>
        <w:t xml:space="preserve">货物采购</w:t>
      </w:r>
      <w:r>
        <w:rPr>
          <w:rFonts w:hint="eastAsia" w:ascii="宋体" w:hAnsi="宋体" w:eastAsia="宋体" w:cs="宋体"/>
          <w:color w:val="000000"/>
          <w:sz w:val="24"/>
          <w:highlight w:val="none"/>
          <w:lang w:eastAsia="zh-CN"/>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验收标准：符合我国最新颁布的与之相关的技术规范与标准，同时必须满足采购文件中技术参数要求和成交方承诺的其它指标。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eastAsia="zh-CN"/>
        </w:rPr>
        <w:t xml:space="preserve">合同签订之日起30天内完成交货、调试并验收合格</w:t>
      </w:r>
      <w:r>
        <w:rPr>
          <w:rFonts w:ascii="宋体" w:hAnsi="宋体" w:eastAsia="宋体" w:cs="宋体"/>
          <w:color w:val="000000"/>
          <w:sz w:val="24"/>
          <w:highlight w:val="none"/>
        </w:rPr>
        <w:t xml:space="preserve">。</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开</w:t>
      </w:r>
      <w:r>
        <w:rPr>
          <w:rFonts w:hint="eastAsia" w:ascii="宋体" w:hAnsi="宋体" w:eastAsia="宋体"/>
          <w:color w:val="auto"/>
          <w:sz w:val="24"/>
          <w:szCs w:val="24"/>
          <w:highlight w:val="none"/>
          <w:lang w:val="en-US" w:eastAsia="zh-CN"/>
        </w:rPr>
        <w:t xml:space="preserve">启</w:t>
      </w:r>
      <w:r>
        <w:rPr>
          <w:rFonts w:hint="eastAsia" w:ascii="宋体" w:hAnsi="宋体" w:eastAsia="宋体"/>
          <w:color w:val="auto"/>
          <w:sz w:val="24"/>
          <w:szCs w:val="24"/>
          <w:highlight w:val="none"/>
        </w:rPr>
        <w:t xml:space="preserve">顺序：</w:t>
      </w:r>
      <w:r>
        <w:rPr>
          <w:rFonts w:hint="eastAsia" w:ascii="宋体" w:hAnsi="宋体" w:eastAsia="宋体"/>
          <w:color w:val="auto"/>
          <w:sz w:val="24"/>
          <w:szCs w:val="24"/>
          <w:highlight w:val="none"/>
          <w:lang w:val="en-US" w:eastAsia="zh-CN"/>
        </w:rPr>
        <w:t xml:space="preserve">采购包1</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采购包2</w:t>
      </w:r>
      <w:r/>
    </w:p>
    <w:p>
      <w:pPr>
        <w:ind w:firstLine="482"/>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rPr>
        <w:t xml:space="preserve">顺序：同</w:t>
      </w:r>
      <w:r>
        <w:rPr>
          <w:rFonts w:hint="eastAsia" w:ascii="宋体" w:hAnsi="宋体" w:eastAsia="宋体"/>
          <w:color w:val="auto"/>
          <w:sz w:val="24"/>
          <w:szCs w:val="24"/>
          <w:highlight w:val="none"/>
          <w:lang w:val="en-US" w:eastAsia="zh-CN"/>
        </w:rPr>
        <w:t xml:space="preserve">开启</w:t>
      </w:r>
      <w:r>
        <w:rPr>
          <w:rFonts w:hint="eastAsia" w:ascii="宋体" w:hAnsi="宋体" w:eastAsia="宋体"/>
          <w:color w:val="auto"/>
          <w:sz w:val="24"/>
          <w:szCs w:val="24"/>
          <w:highlight w:val="none"/>
        </w:rPr>
        <w:t xml:space="preserve">顺序</w:t>
      </w:r>
      <w:r>
        <w:rPr>
          <w:rFonts w:hint="eastAsia" w:ascii="宋体" w:hAnsi="宋体" w:eastAsia="宋体"/>
          <w:color w:val="auto"/>
          <w:sz w:val="24"/>
          <w:szCs w:val="24"/>
          <w:highlight w:val="none"/>
          <w:lang w:eastAsia="zh-CN"/>
        </w:rPr>
        <w:t xml:space="preserve">。本次采购分为</w:t>
      </w:r>
      <w:r>
        <w:rPr>
          <w:rFonts w:hint="eastAsia" w:ascii="宋体" w:hAnsi="宋体" w:eastAsia="宋体"/>
          <w:color w:val="auto"/>
          <w:sz w:val="24"/>
          <w:szCs w:val="24"/>
          <w:highlight w:val="none"/>
          <w:lang w:val="en-US" w:eastAsia="zh-CN"/>
        </w:rPr>
        <w:t xml:space="preserve">二</w:t>
      </w:r>
      <w:r>
        <w:rPr>
          <w:rFonts w:hint="eastAsia" w:ascii="宋体" w:hAnsi="宋体" w:eastAsia="宋体"/>
          <w:color w:val="auto"/>
          <w:sz w:val="24"/>
          <w:szCs w:val="24"/>
          <w:highlight w:val="none"/>
          <w:lang w:eastAsia="zh-CN"/>
        </w:rPr>
        <w:t xml:space="preserve">个</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lang w:eastAsia="zh-CN"/>
        </w:rPr>
        <w:t xml:space="preserve">可对某一</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进行</w:t>
      </w:r>
      <w:r>
        <w:rPr>
          <w:rFonts w:hint="eastAsia" w:ascii="宋体" w:hAnsi="宋体" w:eastAsia="宋体"/>
          <w:color w:val="auto"/>
          <w:sz w:val="24"/>
          <w:szCs w:val="24"/>
          <w:highlight w:val="none"/>
          <w:lang w:val="en-US" w:eastAsia="zh-CN"/>
        </w:rPr>
        <w:t xml:space="preserve">响应</w:t>
      </w:r>
      <w:r>
        <w:rPr>
          <w:rFonts w:hint="eastAsia" w:ascii="宋体" w:hAnsi="宋体" w:eastAsia="宋体"/>
          <w:color w:val="auto"/>
          <w:sz w:val="24"/>
          <w:szCs w:val="24"/>
          <w:highlight w:val="none"/>
          <w:lang w:eastAsia="zh-CN"/>
        </w:rPr>
        <w:t xml:space="preserve">，也可对全部</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进行</w:t>
      </w:r>
      <w:r>
        <w:rPr>
          <w:rFonts w:hint="eastAsia" w:ascii="宋体" w:hAnsi="宋体" w:eastAsia="宋体"/>
          <w:color w:val="auto"/>
          <w:sz w:val="24"/>
          <w:szCs w:val="24"/>
          <w:highlight w:val="none"/>
          <w:lang w:val="en-US" w:eastAsia="zh-CN"/>
        </w:rPr>
        <w:t xml:space="preserve">响应</w:t>
      </w:r>
      <w:r>
        <w:rPr>
          <w:rFonts w:hint="eastAsia" w:ascii="宋体" w:hAnsi="宋体" w:eastAsia="宋体"/>
          <w:color w:val="auto"/>
          <w:sz w:val="24"/>
          <w:szCs w:val="24"/>
          <w:highlight w:val="none"/>
          <w:lang w:eastAsia="zh-CN"/>
        </w:rPr>
        <w:t xml:space="preserve">。每个</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lang w:eastAsia="zh-CN"/>
        </w:rPr>
        <w:t xml:space="preserve">的得标上限数为1个</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，开</w:t>
      </w:r>
      <w:r>
        <w:rPr>
          <w:rFonts w:hint="eastAsia" w:ascii="宋体" w:hAnsi="宋体" w:eastAsia="宋体"/>
          <w:color w:val="auto"/>
          <w:sz w:val="24"/>
          <w:szCs w:val="24"/>
          <w:highlight w:val="none"/>
          <w:lang w:val="en-US" w:eastAsia="zh-CN"/>
        </w:rPr>
        <w:t xml:space="preserve">启</w:t>
      </w:r>
      <w:r>
        <w:rPr>
          <w:rFonts w:hint="eastAsia" w:ascii="宋体" w:hAnsi="宋体" w:eastAsia="宋体"/>
          <w:color w:val="auto"/>
          <w:sz w:val="24"/>
          <w:szCs w:val="24"/>
          <w:highlight w:val="none"/>
          <w:lang w:eastAsia="zh-CN"/>
        </w:rPr>
        <w:t xml:space="preserve">时将按</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号正序的顺序进行开</w:t>
      </w:r>
      <w:r>
        <w:rPr>
          <w:rFonts w:hint="eastAsia" w:ascii="宋体" w:hAnsi="宋体" w:eastAsia="宋体"/>
          <w:color w:val="auto"/>
          <w:sz w:val="24"/>
          <w:szCs w:val="24"/>
          <w:highlight w:val="none"/>
          <w:lang w:val="en-US" w:eastAsia="zh-CN"/>
        </w:rPr>
        <w:t xml:space="preserve">启</w:t>
      </w:r>
      <w:r>
        <w:rPr>
          <w:rFonts w:hint="eastAsia" w:ascii="宋体" w:hAnsi="宋体" w:eastAsia="宋体"/>
          <w:color w:val="auto"/>
          <w:sz w:val="24"/>
          <w:szCs w:val="24"/>
          <w:highlight w:val="none"/>
          <w:lang w:eastAsia="zh-CN"/>
        </w:rPr>
        <w:t xml:space="preserve">。递交</w:t>
      </w:r>
      <w:r>
        <w:rPr>
          <w:rFonts w:hint="eastAsia" w:ascii="宋体" w:hAnsi="宋体" w:eastAsia="宋体"/>
          <w:color w:val="auto"/>
          <w:sz w:val="24"/>
          <w:szCs w:val="24"/>
          <w:highlight w:val="none"/>
          <w:lang w:val="en-US" w:eastAsia="zh-CN"/>
        </w:rPr>
        <w:t xml:space="preserve">采购包2响应</w:t>
      </w:r>
      <w:r>
        <w:rPr>
          <w:rFonts w:hint="eastAsia" w:ascii="宋体" w:hAnsi="宋体" w:eastAsia="宋体"/>
          <w:color w:val="auto"/>
          <w:sz w:val="24"/>
          <w:szCs w:val="24"/>
          <w:highlight w:val="none"/>
          <w:lang w:eastAsia="zh-CN"/>
        </w:rPr>
        <w:t xml:space="preserve">文件且实质性响应采购需求，但已在前期</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lang w:eastAsia="zh-CN"/>
        </w:rPr>
        <w:t xml:space="preserve">评审中获得</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lang w:eastAsia="zh-CN"/>
        </w:rPr>
        <w:t xml:space="preserve">资格的供应商，不再具有</w:t>
      </w:r>
      <w:r>
        <w:rPr>
          <w:rFonts w:hint="eastAsia" w:ascii="宋体" w:hAnsi="宋体" w:eastAsia="宋体"/>
          <w:color w:val="auto"/>
          <w:sz w:val="24"/>
          <w:szCs w:val="24"/>
          <w:highlight w:val="none"/>
          <w:lang w:val="en-US" w:eastAsia="zh-CN"/>
        </w:rPr>
        <w:t xml:space="preserve">采购包2</w:t>
      </w:r>
      <w:r>
        <w:rPr>
          <w:rFonts w:hint="eastAsia" w:ascii="宋体" w:hAnsi="宋体" w:eastAsia="宋体"/>
          <w:color w:val="auto"/>
          <w:sz w:val="24"/>
          <w:szCs w:val="24"/>
          <w:highlight w:val="none"/>
          <w:lang w:eastAsia="zh-CN"/>
        </w:rPr>
        <w:t xml:space="preserve">的得标权</w:t>
      </w:r>
      <w:r>
        <w:rPr>
          <w:rFonts w:hint="eastAsia" w:ascii="宋体" w:hAnsi="宋体" w:eastAsia="宋体"/>
          <w:color w:val="auto"/>
          <w:sz w:val="24"/>
          <w:szCs w:val="24"/>
          <w:highlight w:val="none"/>
        </w:rPr>
        <w:t xml:space="preserve">。进入每个</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rPr>
        <w:t xml:space="preserve">评审的实质性响应且具有得标权的</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不得少于三家，如不足三家，认定该</w:t>
      </w:r>
      <w:r>
        <w:rPr>
          <w:rFonts w:hint="eastAsia" w:ascii="宋体" w:hAnsi="宋体" w:eastAsia="宋体"/>
          <w:color w:val="auto"/>
          <w:sz w:val="24"/>
          <w:szCs w:val="24"/>
          <w:highlight w:val="none"/>
          <w:lang w:val="en-US" w:eastAsia="zh-CN"/>
        </w:rPr>
        <w:t xml:space="preserve">采购包</w:t>
      </w:r>
      <w:r>
        <w:rPr>
          <w:rFonts w:hint="eastAsia" w:ascii="宋体" w:hAnsi="宋体" w:eastAsia="宋体"/>
          <w:color w:val="auto"/>
          <w:sz w:val="24"/>
          <w:szCs w:val="24"/>
          <w:highlight w:val="none"/>
        </w:rPr>
        <w:t xml:space="preserve">采购失败。</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二、申请人的资格要求：</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1.1具有独立承担民事责任的能力；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1.2具有良好的商业信誉和健全的财务会计制度；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1.3具有履行合同所必需的设备和专业技术能力；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1.4具有依法缴纳税收和社会保障资金的良好记录；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1.5参加政府采购活动前三年内,在经营活动中没有重大违法记录；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1.6法律、行政法规规定的其他条件；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 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spacing w:line="360" w:lineRule="auto"/>
        <w:shd w:val="clear" w:color="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w:t>
      </w:r>
      <w:r>
        <w:rPr>
          <w:rFonts w:ascii="宋体" w:hAnsi="宋体" w:eastAsia="宋体" w:cs="宋体"/>
          <w:b/>
          <w:color w:val="auto"/>
          <w:sz w:val="24"/>
          <w:highlight w:val="none"/>
          <w:u w:val="single"/>
        </w:rPr>
        <w:t xml:space="preserve">本项目专门面向中小企业，所属行业为工业，制造商应为中小微企业、监狱企业、残疾人福利性单位</w:t>
      </w:r>
      <w:r>
        <w:rPr>
          <w:rFonts w:hint="eastAsia" w:ascii="宋体" w:hAnsi="宋体" w:eastAsia="宋体" w:cs="宋体"/>
          <w:b/>
          <w:color w:val="auto"/>
          <w:sz w:val="24"/>
          <w:highlight w:val="none"/>
          <w:u w:val="single"/>
          <w:lang w:eastAsia="zh-CN"/>
        </w:rPr>
        <w:t xml:space="preserve">。</w:t>
      </w:r>
      <w:r/>
    </w:p>
    <w:p>
      <w:pPr>
        <w:ind w:firstLine="482"/>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p>
    <w:p>
      <w:pPr>
        <w:ind w:firstLine="482"/>
        <w:spacing w:line="360" w:lineRule="auto"/>
        <w:shd w:val="clear" w:color="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采购包1：</w:t>
      </w:r>
      <w:r>
        <w:rPr>
          <w:rFonts w:hint="eastAsia" w:ascii="宋体" w:hAnsi="宋体" w:eastAsia="宋体" w:cs="宋体"/>
          <w:b/>
          <w:bCs/>
          <w:color w:val="000000"/>
          <w:sz w:val="24"/>
          <w:highlight w:val="none"/>
          <w:lang w:val="en-US" w:eastAsia="zh-CN"/>
        </w:rPr>
        <w:t xml:space="preserve">无</w:t>
      </w:r>
      <w:r>
        <w:rPr>
          <w:rFonts w:hint="eastAsia" w:ascii="宋体" w:hAnsi="宋体" w:eastAsia="宋体" w:cs="宋体"/>
          <w:color w:val="000000"/>
          <w:sz w:val="24"/>
          <w:highlight w:val="none"/>
          <w:lang w:eastAsia="zh-CN"/>
        </w:rPr>
        <w:t xml:space="preserve">；</w:t>
      </w:r>
      <w:r/>
    </w:p>
    <w:p>
      <w:pPr>
        <w:ind w:firstLine="482"/>
        <w:spacing w:line="360" w:lineRule="auto"/>
        <w:shd w:val="clear" w:color="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b/>
          <w:bCs/>
          <w:color w:val="000000"/>
          <w:sz w:val="24"/>
          <w:highlight w:val="none"/>
          <w:lang w:val="en-US" w:eastAsia="zh-CN"/>
        </w:rPr>
        <w:t xml:space="preserve">供应商具有所投产品的医疗器械生产或经营（许可）资格。供应商为生产企业的，须提供有效期内的《医疗器械生产许可证》扫描件，供应商为经营企业的，须提供有效期内的医疗器械经营资格证书扫描件。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注：单位负责人为同一人或者存在直接控股、管理关系的不同供应商，不得参加同一合同项下的政府采购活动。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三、获取采购文件</w:t>
      </w:r>
      <w:r/>
    </w:p>
    <w:p>
      <w:pPr>
        <w:ind w:firstLine="480"/>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hint="eastAsia" w:ascii="宋体" w:hAnsi="宋体" w:eastAsia="宋体" w:cs="宋体"/>
          <w:color w:val="auto"/>
          <w:sz w:val="24"/>
          <w:highlight w:val="none"/>
        </w:rPr>
        <w:t xml:space="preserve">自谈判文件公告发布之日起3个工作日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w:t>
      </w:r>
      <w:r>
        <w:rPr>
          <w:rFonts w:ascii="宋体" w:hAnsi="宋体" w:eastAsia="宋体" w:cs="宋体"/>
          <w:color w:val="auto"/>
          <w:sz w:val="24"/>
          <w:highlight w:val="none"/>
        </w:rPr>
        <w:t xml:space="preserve">线上获取，详见其他补充事项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四、响应文件提交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-9</w:t>
      </w:r>
      <w:r>
        <w:rPr>
          <w:rFonts w:ascii="宋体" w:hAnsi="宋体" w:eastAsia="宋体" w:cs="宋体"/>
          <w:color w:val="000000"/>
          <w:sz w:val="24"/>
          <w:highlight w:val="none"/>
        </w:rPr>
        <w:t xml:space="preserve">-30</w:t>
      </w:r>
      <w:r>
        <w:rPr>
          <w:rFonts w:hint="eastAsia" w:ascii="宋体" w:hAnsi="宋体" w:eastAsia="宋体" w:cs="宋体"/>
          <w:color w:val="000000"/>
          <w:sz w:val="24"/>
          <w:highlight w:val="none"/>
          <w:lang w:val="en-US" w:eastAsia="zh-CN"/>
        </w:rPr>
        <w:t xml:space="preserve">   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地点：“苏采云”系统（网址：http://jszfcg.jsczt.cn/）</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五、开启</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w:t>
      </w:r>
      <w:r>
        <w:rPr>
          <w:rFonts w:ascii="宋体" w:hAnsi="宋体" w:eastAsia="宋体" w:cs="宋体"/>
          <w:color w:val="000000"/>
          <w:sz w:val="24"/>
          <w:highlight w:val="none"/>
        </w:rPr>
        <w:t xml:space="preserve">9-30</w:t>
      </w:r>
      <w:r>
        <w:rPr>
          <w:rFonts w:hint="eastAsia" w:ascii="宋体" w:hAnsi="宋体" w:eastAsia="宋体" w:cs="宋体"/>
          <w:color w:val="000000"/>
          <w:sz w:val="24"/>
          <w:highlight w:val="none"/>
          <w:lang w:val="en-US" w:eastAsia="zh-CN"/>
        </w:rPr>
        <w:t xml:space="preserve">   09</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0</w:t>
      </w:r>
      <w:r/>
    </w:p>
    <w:p>
      <w:pPr>
        <w:ind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地点：“苏采云”系统（网址：http://jszfcg.jsczt.cn/）</w:t>
      </w:r>
      <w:r>
        <w:rPr>
          <w:rFonts w:ascii="仿宋" w:hAnsi="仿宋" w:eastAsia="仿宋" w:cs="仿宋"/>
          <w:color w:val="000000"/>
          <w:sz w:val="28"/>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六、公告期限</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rPr>
          <w:rFonts w:ascii="宋体" w:hAnsi="宋体" w:eastAsia="宋体" w:cs="宋体"/>
          <w:color w:val="000000"/>
          <w:sz w:val="24"/>
          <w:highlight w:val="none"/>
        </w:rPr>
        <w:t xml:space="preserve">其他补充事项：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1.获取方式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（1）CA证书办理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4"/>
          <w:highlight w:val="none"/>
        </w:rPr>
        <w:t xml:space="preserve">苏州现场办理地址：</w:t>
      </w:r>
      <w:r>
        <w:rPr>
          <w:rFonts w:hint="eastAsia" w:ascii="宋体" w:hAnsi="宋体" w:eastAsia="宋体" w:cs="宋体"/>
          <w:b/>
          <w:color w:val="000000"/>
          <w:sz w:val="24"/>
          <w:highlight w:val="none"/>
        </w:rPr>
        <w:t xml:space="preserve">苏州高新区邓尉路105号狮山科技馆1楼服务大厅</w:t>
      </w:r>
      <w:r>
        <w:rPr>
          <w:rFonts w:ascii="宋体" w:hAnsi="宋体" w:eastAsia="宋体" w:cs="宋体"/>
          <w:b/>
          <w:color w:val="000000"/>
          <w:sz w:val="24"/>
          <w:highlight w:val="none"/>
        </w:rPr>
        <w:t xml:space="preserve">，咨询电话：</w:t>
      </w:r>
      <w:r>
        <w:rPr>
          <w:rFonts w:hint="eastAsia" w:ascii="宋体" w:hAnsi="宋体" w:eastAsia="宋体" w:cs="宋体"/>
          <w:b/>
          <w:color w:val="000000"/>
          <w:sz w:val="24"/>
          <w:highlight w:val="none"/>
        </w:rPr>
        <w:t xml:space="preserve">0512-65737699</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（2）参与采购活动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考虑到熟悉“苏采云”系统、办理CA证书都需要一定的时间，请提早准备以免耽误招标采购活动。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（3）电子投标准备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4"/>
          <w:highlight w:val="none"/>
        </w:rPr>
        <w:t xml:space="preserve">（具体详见《苏采云系统供应商操作手册》，网址链接https://czju.suzhou.gov.cn/zfcg/html/content/20231220161910031.shtml）</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在系统操作过程中如有疑问，请按以下方式联系：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注册咨询：18261002950；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CA技术咨询电话：400-608-6099；</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签章使用问题：025-83633811、025-83633812、15380932027、15371015030；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系统使用指导与咨询：联系电话：18261002950；QQ：3048755361、1315179389、895706745。</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请供应商确保电脑、系统及其他设备（视频输入输出设备等）无误，且开标直至项目结束始终保持系统在线状态。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6.本项目获取采购文件截止日期之后仍可以下载采购文件，但截止日期之后下载的采购文件,视为非有效方式且不作为供应商权益受到损害的证明材料和依据。</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8.请贵单位领取本次采购文件后，认真阅读各项内容，进行必要的谈判准备，按文件的要求详细填写和编制响应文件。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9.苏州工业园区财政审计局电话：0512-66681110。</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10.本次采购的有关信息将在苏州市政府采购网、江苏政府采购网</w:t>
      </w:r>
      <w:r>
        <w:rPr>
          <w:rFonts w:hint="eastAsia" w:ascii="宋体" w:hAnsi="宋体" w:eastAsia="宋体" w:cs="宋体"/>
          <w:color w:val="000000"/>
          <w:sz w:val="24"/>
          <w:highlight w:val="none"/>
        </w:rPr>
        <w:t xml:space="preserve">、中国政府采购网</w:t>
      </w:r>
      <w:r>
        <w:rPr>
          <w:rFonts w:ascii="宋体" w:hAnsi="宋体" w:eastAsia="宋体" w:cs="宋体"/>
          <w:sz w:val="24"/>
          <w:highlight w:val="none"/>
        </w:rPr>
        <w:t xml:space="preserve">上发布</w:t>
      </w:r>
      <w:r>
        <w:rPr>
          <w:rFonts w:ascii="宋体" w:hAnsi="宋体" w:eastAsia="宋体" w:cs="宋体"/>
          <w:color w:val="000000"/>
          <w:sz w:val="24"/>
          <w:highlight w:val="none"/>
        </w:rPr>
        <w:t xml:space="preserve">，敬请留意。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八、对本次招标提出的询问，请按以下方式联系。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p>
    <w:p>
      <w:pPr>
        <w:ind w:firstLine="480"/>
        <w:spacing w:line="360" w:lineRule="auto"/>
        <w:shd w:val="clear" w:color="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rPr>
          <w:rFonts w:hint="eastAsia" w:ascii="宋体" w:hAnsi="宋体" w:eastAsia="宋体" w:cs="宋体"/>
          <w:color w:val="000000"/>
          <w:sz w:val="24"/>
          <w:highlight w:val="none"/>
        </w:rPr>
        <w:t xml:space="preserve">苏州市公安局苏州工业园区分局</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hint="eastAsia" w:ascii="宋体" w:hAnsi="宋体" w:eastAsia="宋体" w:cs="宋体"/>
          <w:color w:val="000000"/>
          <w:sz w:val="24"/>
          <w:highlight w:val="none"/>
        </w:rPr>
        <w:t xml:space="preserve">苏州工业园区万盛街55号</w:t>
      </w:r>
      <w:r/>
    </w:p>
    <w:p>
      <w:pPr>
        <w:ind w:firstLine="480"/>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联系人：潘洋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t xml:space="preserve">0512-66601108</w:t>
      </w:r>
      <w:r>
        <w:rPr>
          <w:rFonts w:ascii="宋体" w:hAnsi="宋体" w:eastAsia="宋体" w:cs="宋体"/>
          <w:color w:val="000000"/>
          <w:sz w:val="24"/>
          <w:highlight w:val="none"/>
        </w:rPr>
        <w:t xml:space="preserve">   </w:t>
      </w:r>
      <w:r>
        <w:rPr>
          <w:rFonts w:ascii="MS Gothic" w:hAnsi="MS Gothic" w:eastAsia="MS Gothic" w:cs="MS Gothic"/>
          <w:color w:val="000000"/>
          <w:sz w:val="24"/>
          <w:highlight w:val="none"/>
        </w:rPr>
        <w:t xml:space="preserve">‬</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名称：苏州海企国际工程咨询有限公司</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苏州市高新区灵岩街6号9楼</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联系方式：0512-68087208</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val="en-US" w:eastAsia="zh-CN"/>
        </w:rPr>
        <w:t xml:space="preserve">王雨</w:t>
      </w:r>
      <w:r>
        <w:rPr>
          <w:rFonts w:ascii="宋体" w:hAnsi="宋体" w:eastAsia="宋体" w:cs="宋体"/>
          <w:color w:val="000000"/>
          <w:sz w:val="24"/>
          <w:highlight w:val="none"/>
        </w:rPr>
        <w:t xml:space="preserve">、张茂松、赵猛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电话：0512-68087208</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ind w:firstLine="104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第二章 供应商须知</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8" w:type="dxa"/>
            <w:textDirection w:val="lrTb"/>
            <w:noWrap w:val="false"/>
          </w:tcPr>
          <w:p>
            <w:pPr>
              <w:ind w:firstLine="361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提   示</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供应商应仔细阅读谈判文件的所有内容，按谈判文件的要求提供响应文件，并保证所提供的全部资料的真实性，以使其对谈判文件作出实质性响应，否则，响应文件可能被拒绝。</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 说明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1.1本谈判文件仅适用于苏州海企国际工程咨询有限公司组织的采购活动。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1.2本次采购活动及因本次采购产生的合同受中国法律制约和保护。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1.3本谈判文件的解释权属于苏州海企国际工程咨询有限公司。</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词语释义</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2.1采购人：依法进行政府采购的国家机关、事业单位、团体组织。</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2.2供应商：指向采购人提供货物、工程或服务的法人、其他组织或者自然人。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2.3采购代理机构：指依法接受采购人委托，从事货物、工程和服务等政府采购代理业务的社会中介机构。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2.4谈判采购单位：采购人及采购代理机构的统称，具体组织实施谈判采购活动。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2.5响应：供应商根据谈判采购单位发布的谈判文件，编制响应文件并按规定参与谈判的行为。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2.6知识产权：指专利权、商标权、著作权等无形财产专有权的统称。</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2.7天：日历日。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2.8交货地点：合同中明确约定的乙方提交的货物最终地点。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2.9不可抗力：不能预见、不能避免并且不能克服的客观情况。</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w:t>
      </w:r>
      <w:r>
        <w:rPr>
          <w:rFonts w:ascii="宋体" w:hAnsi="宋体" w:eastAsia="宋体" w:cs="宋体"/>
          <w:b/>
          <w:color w:val="000000"/>
          <w:sz w:val="24"/>
          <w:highlight w:val="none"/>
        </w:rPr>
        <w:t xml:space="preserve">实质性响应：满足有关本次采购标的、数量、质量、价款或者报酬、履行期限、履行地点和方式、违约责任和解决争议方法等要求。</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2.11进口产品：通过中国海关报关验放进入中国境内且产自关境外的产品。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2.12书面形式：指书面文字、合同书、信件和传真等可以有形地表现所载内容的形式。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3.合格供应商的基本条件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 满足《中华人民共和国政府采购法》第二十二条之规定；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4.合格供应商的特定条件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 详见前附表规定。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 供应商代表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5.1指全权代表供应商参加谈判采购活动并签署响应文件的人，如果供应商代表不是法定代表人，须持有《法定代表人授权委托书》（详见附件格式）。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 谈判费用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6.1无论谈判过程中的做法和结果如何，供应商自行承担所有与参加谈判有关的全部费用。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 联合响应</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7.1接受联合体参加谈判的，由两个或两个以上法人组成一个联合体以一个供应商的身份共同响应时，联合体各方均应当符合政府采购法第二十二条规定的条件。同时还应符合以下要求：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7.1.1 联合体各方中至少应当有一方应具备承担本谈判项目的相应资格条件。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7.1.2 联合体各方应签订联合谈判响应协议，明确联合体的牵头人，明确约定各方拟承担的工作和责任，并将该联合谈判响应协议随响应文件一并提交给采购代理机构。联合体牵头人应被授权作为联合体所有成员的代表承担责任和接受指令，并负责整个合同的全面履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7.1.3以联合体形式参加政府采购活动的，联合体各方不得再单独参加或者与其他供应商另外组成联合体参加同一合同项下的政府采购活动。出现上述情况者，其谈判响应和与其有关的联合体的谈判响应均做无效响应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7.1.4联合体成交的，联合体各方应当共同与采购人签订合同，就成交项目向采购人承担连带责任。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7.2除非另有规定或说明，本谈判文件中“供应商”一词亦指联合体各成员。</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 谈判文件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供应商获取谈判文件后，应仔细检查谈判文件的所有内容，如有残缺等问题应向谈判采购单位提出，否则，由此产生的影响由供应商自己承担。供应商同时应认真审阅谈判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60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8.2供应商如有疑问需要澄清，应于下载采购文件后，可通过公告中的联系方式及时提出，采购人或采购代理机构将予以解答，但答复内容不得涉及商业秘密。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8.3 谈判文件及其补充文件不是直接从谈判采购单位处获得的，谈判采购单位对谈判文件及其补遗的真实性、完整性不承担任何责任。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9.现场考察</w:t>
      </w:r>
      <w:r>
        <w:rPr>
          <w:rFonts w:hint="eastAsia" w:ascii="宋体" w:hAnsi="宋体"/>
          <w:b/>
          <w:sz w:val="21"/>
          <w:szCs w:val="21"/>
          <w:highlight w:val="none"/>
        </w:rPr>
        <w:t xml:space="preserve">（不涉及此条的忽略）</w:t>
      </w:r>
      <w:r>
        <w:rPr>
          <w:rFonts w:ascii="宋体" w:hAnsi="宋体" w:eastAsia="宋体" w:cs="宋体"/>
          <w:b/>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9.1供应商应按谈判文件中所述时间和方式对有关现场和周围环境进行考察，以获取编制响应文件和签署合同所需的信息。考察现场所发生的费用由供应商自己承担。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9.2谈判采购单位向供应商提供的有关现场的资料和数据，是谈判采购单位现有的并认为能使供应商可利用的资料。谈判采购单位对供应商由此而做出的推论、理解和结论概不负责。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经谈判采购单位允许，供应商可为考察目的进入谈判采购单位的项目现场，但供应商不得因此使谈判采购单位承担有关的责任和蒙受损失。供应商应承担考察现场的责任和风险。</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供应商应在现场考察时，熟悉现场及周围交通道路等情况，以获得一切可能影响其投标的直接资料。供应商成交后，不得以不完全了解现场情况为理由而向谈判采购单位提出任何索赔的要求，对此谈判采购单位不承担任何责任并将不作任何答复与考虑。</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 谈判文件的澄清和修改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提交首次响应文件截止之日前，采购人、采购代理机构或者谈判小组可以对已发出的谈判文件进行必要的澄清或者修改。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10.2谈判文件的澄清、修改等内容与谈判文件在同一内容的表述上不一致时，以发出日期最接近谈判时间的公告为准。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10.3谈判文件的澄清、修改等内容均将在财政部门指定的政府采购信息发布媒体上发布，作为谈判文件的组成部分，对供应商起约束作用。供应商通过“苏州政府采购网”自行查看相关项目的补充通知。</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 响应文件计量单位和使用文字</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11.1响应文件中所使用的计量单位，除谈判文件中有特殊要求外，均应使用中华人民共和国法定计量单位。</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响应文件应使用中文编制，响应文件中必须使用其他文字的，必须附有中文译本，且以中文译本为准。对于未附有中文译本和中文译本不准确的响应文件可能引起的对供应商不利的后果，谈判采购单位概不负责。</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 响应文件的组成</w:t>
      </w:r>
      <w:r/>
    </w:p>
    <w:p>
      <w:pPr>
        <w:ind w:firstLine="482"/>
        <w:jc w:val="left"/>
        <w:spacing w:line="360" w:lineRule="auto"/>
        <w:shd w:val="clear" w:color="auto"/>
        <w:tabs>
          <w:tab w:val="left" w:pos="425" w:leader="none"/>
        </w:tabs>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基本目录：</w:t>
      </w:r>
      <w:r/>
    </w:p>
    <w:p>
      <w:pPr>
        <w:ind w:firstLine="482"/>
        <w:jc w:val="left"/>
        <w:spacing w:line="360" w:lineRule="auto"/>
        <w:shd w:val="clear" w:color="auto"/>
        <w:tabs>
          <w:tab w:val="left" w:pos="425"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12.1、</w:t>
      </w:r>
      <w:r>
        <w:rPr>
          <w:rFonts w:hint="eastAsia" w:ascii="宋体" w:hAnsi="宋体" w:eastAsia="宋体" w:cs="宋体"/>
          <w:b/>
          <w:bCs/>
          <w:sz w:val="24"/>
          <w:szCs w:val="24"/>
          <w:highlight w:val="none"/>
          <w:lang w:val="en-US" w:eastAsia="zh-CN"/>
        </w:rPr>
        <w:t xml:space="preserve">目录</w:t>
      </w:r>
      <w:r/>
    </w:p>
    <w:p>
      <w:pPr>
        <w:ind w:firstLine="482"/>
        <w:jc w:val="left"/>
        <w:spacing w:line="360" w:lineRule="auto"/>
        <w:shd w:val="clear" w:color="auto"/>
        <w:tabs>
          <w:tab w:val="left" w:pos="425"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12.2、</w:t>
      </w:r>
      <w:r>
        <w:rPr>
          <w:rFonts w:hint="eastAsia" w:ascii="宋体" w:hAnsi="宋体" w:eastAsia="宋体" w:cs="宋体"/>
          <w:b/>
          <w:bCs/>
          <w:sz w:val="24"/>
          <w:szCs w:val="24"/>
          <w:highlight w:val="none"/>
          <w:lang w:val="en-US" w:eastAsia="zh-CN"/>
        </w:rPr>
        <w:t xml:space="preserve">谈判报价表</w:t>
      </w:r>
      <w:r/>
    </w:p>
    <w:p>
      <w:pPr>
        <w:ind w:firstLine="482"/>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b/>
          <w:bCs/>
          <w:sz w:val="24"/>
          <w:szCs w:val="24"/>
          <w:highlight w:val="none"/>
        </w:rPr>
        <w:t xml:space="preserve">12.3、</w:t>
      </w:r>
      <w:r>
        <w:rPr>
          <w:rFonts w:hint="eastAsia" w:ascii="宋体" w:hAnsi="宋体" w:eastAsia="宋体" w:cs="宋体"/>
          <w:color w:val="000000"/>
          <w:sz w:val="24"/>
          <w:szCs w:val="24"/>
          <w:highlight w:val="none"/>
        </w:rPr>
        <w:t xml:space="preserve">供应商情况表</w:t>
      </w:r>
      <w:r>
        <w:rPr>
          <w:rFonts w:hint="eastAsia" w:ascii="宋体" w:hAnsi="宋体" w:eastAsia="宋体" w:cs="宋体"/>
          <w:sz w:val="24"/>
          <w:szCs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响应货物数量、规格、品牌、技术指标说明与描述、质量要求、交货期说明、验收方案等；</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、其他需供应商对本次响应的详细说明及采购文件要求提供的相关材料（谈判响应单位视具体项目情况自行编制）；</w:t>
      </w:r>
      <w:r/>
    </w:p>
    <w:p>
      <w:pPr>
        <w:ind w:firstLine="470"/>
        <w:spacing w:line="360" w:lineRule="auto"/>
        <w:shd w:val="clear" w:color="auto"/>
        <w:rPr>
          <w:rFonts w:ascii="宋体" w:hAnsi="宋体" w:eastAsia="宋体" w:cs="宋体"/>
          <w:b/>
          <w:bCs/>
          <w:sz w:val="24"/>
          <w:szCs w:val="24"/>
          <w:highlight w:val="none"/>
        </w:rPr>
      </w:pPr>
      <w:r>
        <w:rPr>
          <w:rFonts w:hint="eastAsia" w:ascii="宋体" w:hAnsi="宋体" w:eastAsia="宋体" w:cs="宋体"/>
          <w:b/>
          <w:bCs/>
          <w:spacing w:val="-3"/>
          <w:sz w:val="24"/>
          <w:szCs w:val="24"/>
          <w:highlight w:val="none"/>
          <w:lang w:val="en-AU"/>
        </w:rPr>
        <w:t xml:space="preserve">资格条件：</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、具有独立承担民事责任的能力。提供包括法人或者其他组织的营业执照等证明文件，自然人的身份证明；</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响应供应商具有良好的商业信誉和健全的财务会计制度证明，法人应提供最近一期</w:t>
      </w:r>
      <w:r>
        <w:rPr>
          <w:rFonts w:hint="eastAsia" w:ascii="宋体" w:hAnsi="宋体" w:eastAsia="宋体" w:cs="宋体"/>
          <w:color w:val="auto"/>
          <w:sz w:val="24"/>
          <w:szCs w:val="24"/>
          <w:highlight w:val="none"/>
        </w:rPr>
        <w:t xml:space="preserve">财务报告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，其他组织、自然人及成立未满一年的法人应提供银行出具的资信证明；</w:t>
      </w:r>
      <w:r/>
    </w:p>
    <w:p>
      <w:pPr>
        <w:ind w:firstLine="480"/>
        <w:jc w:val="left"/>
        <w:spacing w:line="360" w:lineRule="auto"/>
        <w:shd w:val="clear" w:color="auto"/>
        <w:tabs>
          <w:tab w:val="left" w:pos="425" w:leader="none"/>
        </w:tabs>
        <w:rPr>
          <w:rFonts w:hint="eastAsia" w:ascii="宋体" w:hAnsi="宋体" w:eastAsia="楷体_GB2312" w:cs="宋体"/>
          <w:sz w:val="24"/>
          <w:szCs w:val="24"/>
          <w:highlight w:val="none"/>
          <w:lang w:eastAsia="zh-CN"/>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履行合同所必备的设备和专业技术能力的证明材料</w:t>
      </w:r>
      <w:r>
        <w:rPr>
          <w:rFonts w:hint="eastAsia"/>
          <w:highlight w:val="none"/>
          <w:lang w:eastAsia="zh-CN"/>
        </w:rPr>
        <w:t xml:space="preserve">。</w:t>
      </w:r>
      <w:r>
        <w:rPr>
          <w:rFonts w:hint="eastAsia" w:ascii="宋体" w:hAnsi="宋体" w:eastAsia="宋体" w:cs="宋体"/>
          <w:sz w:val="24"/>
          <w:szCs w:val="24"/>
          <w:highlight w:val="none"/>
        </w:rPr>
        <w:t xml:space="preserve">提供书面声明函；</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、有依法缴纳税收和社会保障资金的良好记录。提供提交响应文件截止时间前三个月内</w:t>
      </w:r>
      <w:r>
        <w:rPr>
          <w:rFonts w:hint="eastAsia" w:ascii="宋体" w:hAnsi="宋体" w:eastAsia="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shd w:val="clear" w:color="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、参加政府采购活动前三年内在经营活动中没有重大违法记录。提供书面声明函；</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、单位负责人为同一人或者存在直接控股、管理关系的不同供应商，不得参加同一合同项下的政府采购活动,提供关于资格文件的声明函（详见投标文件格式）；</w:t>
      </w:r>
      <w:r/>
    </w:p>
    <w:p>
      <w:pPr>
        <w:ind w:firstLine="480"/>
        <w:spacing w:line="360" w:lineRule="auto"/>
        <w:shd w:val="clear" w:color="auto"/>
        <w:rPr>
          <w:rFonts w:ascii="宋体" w:hAnsi="宋体" w:eastAsia="宋体" w:cs="宋体"/>
          <w:sz w:val="24"/>
          <w:szCs w:val="24"/>
          <w:highlight w:val="none"/>
        </w:rPr>
      </w:pPr>
      <w:r>
        <w:rPr>
          <w:rFonts w:hint="eastAsia" w:ascii="宋体" w:hAnsi="宋体" w:eastAsia="宋体"/>
          <w:sz w:val="24"/>
          <w:highlight w:val="none"/>
        </w:rPr>
        <w:t xml:space="preserve">12.</w:t>
      </w:r>
      <w:r>
        <w:rPr>
          <w:rFonts w:hint="eastAsia" w:ascii="宋体" w:hAnsi="宋体" w:eastAsia="宋体"/>
          <w:sz w:val="24"/>
          <w:highlight w:val="none"/>
          <w:lang w:val="en-US" w:eastAsia="zh-CN"/>
        </w:rPr>
        <w:t xml:space="preserve">12、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所属行业为工业，制造商应为中小微企业或监狱企业或残疾人福利性单位。</w:t>
      </w:r>
      <w:r>
        <w:rPr>
          <w:rFonts w:hint="eastAsia" w:ascii="宋体" w:hAnsi="宋体" w:eastAsia="宋体" w:cs="宋体"/>
          <w:color w:val="auto"/>
          <w:sz w:val="24"/>
          <w:szCs w:val="24"/>
          <w:highlight w:val="none"/>
        </w:rPr>
        <w:t xml:space="preserve">提供对应的《中小企业声明函》或《残疾人福利性单位声明函》或省级以上监狱管理局、戒毒管理局（含新疆生产建设兵团）出具的属于监狱企业的证明文件，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rPr>
        <w:t xml:space="preserve">否则不享受相应政府采购政策。</w:t>
      </w:r>
      <w:r/>
    </w:p>
    <w:p>
      <w:pPr>
        <w:ind w:firstLine="482"/>
        <w:jc w:val="left"/>
        <w:spacing w:line="360" w:lineRule="auto"/>
        <w:shd w:val="clear" w:color="auto"/>
        <w:tabs>
          <w:tab w:val="left" w:pos="425" w:leader="none"/>
        </w:tabs>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12.13、（适用采购包2）</w:t>
      </w:r>
      <w:r>
        <w:rPr>
          <w:rFonts w:hint="eastAsia" w:ascii="宋体" w:hAnsi="宋体" w:eastAsia="宋体" w:cs="宋体"/>
          <w:b/>
          <w:bCs/>
          <w:color w:val="000000"/>
          <w:sz w:val="24"/>
          <w:highlight w:val="none"/>
          <w:lang w:val="en-US" w:eastAsia="zh-CN"/>
        </w:rPr>
        <w:t xml:space="preserve">具有所投产品的医疗器械生产或经营（许可）资格。供应商为生产企业的，须提供有效期内的《医疗器械生产许可证》扫描件，供应商为经营企业的，须提供有效期内的医疗器械经营资格证书扫描件。</w:t>
      </w:r>
      <w:r/>
    </w:p>
    <w:p>
      <w:pPr>
        <w:ind w:firstLine="482"/>
        <w:jc w:val="left"/>
        <w:spacing w:line="360" w:lineRule="auto"/>
        <w:shd w:val="clear" w:color="auto"/>
        <w:tabs>
          <w:tab w:val="left" w:pos="425"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符合条件：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谈判响应函；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rPr>
        <w:t xml:space="preserve">响应报价表</w:t>
      </w:r>
      <w:r>
        <w:rPr>
          <w:rFonts w:hint="eastAsia" w:ascii="宋体" w:hAnsi="宋体" w:eastAsia="宋体" w:cs="宋体"/>
          <w:color w:val="000000"/>
          <w:sz w:val="24"/>
          <w:highlight w:val="none"/>
        </w:rPr>
        <w:t xml:space="preserve">及分项报价明细表</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rPr>
        <w:t xml:space="preserve">响应供应商法人授权委托书原件</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（如有授权）（详见投标文件格式）；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17</w:t>
      </w:r>
      <w:r>
        <w:rPr>
          <w:rFonts w:ascii="宋体" w:hAnsi="宋体" w:eastAsia="宋体" w:cs="宋体"/>
          <w:color w:val="000000"/>
          <w:sz w:val="24"/>
          <w:highlight w:val="none"/>
        </w:rPr>
        <w:t xml:space="preserve">响应供应商法定代表人身份证</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18</w:t>
      </w:r>
      <w:r>
        <w:rPr>
          <w:rFonts w:ascii="宋体" w:hAnsi="宋体" w:eastAsia="宋体" w:cs="宋体"/>
          <w:color w:val="000000"/>
          <w:sz w:val="24"/>
          <w:highlight w:val="none"/>
        </w:rPr>
        <w:t xml:space="preserve">响应供应商代理人身份证</w:t>
      </w:r>
      <w:r>
        <w:rPr>
          <w:rFonts w:hint="eastAsia" w:ascii="宋体" w:hAnsi="宋体" w:eastAsia="宋体" w:cs="宋体"/>
          <w:color w:val="000000"/>
          <w:sz w:val="24"/>
          <w:szCs w:val="24"/>
          <w:highlight w:val="none"/>
        </w:rPr>
        <w:t xml:space="preserve">扫描件</w:t>
      </w:r>
      <w:r>
        <w:rPr>
          <w:rFonts w:ascii="宋体" w:hAnsi="宋体" w:eastAsia="宋体" w:cs="宋体"/>
          <w:color w:val="000000"/>
          <w:sz w:val="24"/>
          <w:highlight w:val="none"/>
        </w:rPr>
        <w:t xml:space="preserve">（如有授权）；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技术参数偏离表、商务条款偏离表；</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20</w:t>
      </w:r>
      <w:r>
        <w:rPr>
          <w:rFonts w:ascii="宋体" w:hAnsi="宋体" w:eastAsia="宋体" w:cs="宋体"/>
          <w:color w:val="000000"/>
          <w:sz w:val="24"/>
          <w:highlight w:val="none"/>
        </w:rPr>
        <w:t xml:space="preserve">质保期及售后服务承诺书；</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lang w:val="en-US" w:eastAsia="zh-CN"/>
        </w:rPr>
        <w:t xml:space="preserve">12.21</w:t>
      </w:r>
      <w:r>
        <w:rPr>
          <w:rFonts w:hint="eastAsia" w:ascii="宋体" w:hAnsi="宋体" w:eastAsia="宋体" w:cs="宋体"/>
          <w:color w:val="auto"/>
          <w:sz w:val="24"/>
          <w:szCs w:val="24"/>
          <w:highlight w:val="none"/>
        </w:rPr>
        <w:t xml:space="preserve">谈判文件采购需求要求的证书及检测报告；</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22</w:t>
      </w:r>
      <w:r>
        <w:rPr>
          <w:rFonts w:ascii="宋体" w:hAnsi="宋体" w:eastAsia="宋体" w:cs="宋体"/>
          <w:color w:val="auto"/>
          <w:sz w:val="24"/>
          <w:highlight w:val="none"/>
        </w:rPr>
        <w:t xml:space="preserve">响应供应商</w:t>
      </w:r>
      <w:r>
        <w:rPr>
          <w:rFonts w:hint="eastAsia" w:ascii="宋体" w:hAnsi="宋体" w:eastAsia="宋体" w:cs="宋体"/>
          <w:color w:val="auto"/>
          <w:sz w:val="24"/>
          <w:highlight w:val="none"/>
        </w:rPr>
        <w:t xml:space="preserve">对谈判文件响应情况：由谈判小组自行查看，</w:t>
      </w:r>
      <w:r>
        <w:rPr>
          <w:rFonts w:ascii="宋体" w:hAnsi="宋体" w:eastAsia="宋体" w:cs="宋体"/>
          <w:color w:val="auto"/>
          <w:sz w:val="24"/>
          <w:highlight w:val="none"/>
        </w:rPr>
        <w:t xml:space="preserve">响应供应商</w:t>
      </w:r>
      <w:r>
        <w:rPr>
          <w:rFonts w:hint="eastAsia" w:ascii="宋体" w:hAnsi="宋体" w:eastAsia="宋体" w:cs="宋体"/>
          <w:color w:val="auto"/>
          <w:sz w:val="24"/>
          <w:highlight w:val="none"/>
        </w:rPr>
        <w:t xml:space="preserve">无需另行提供证明材料；</w:t>
      </w:r>
      <w:r/>
    </w:p>
    <w:p>
      <w:pPr>
        <w:ind w:firstLine="470"/>
        <w:spacing w:line="360" w:lineRule="auto"/>
        <w:shd w:val="clear" w:color="auto"/>
        <w:rPr>
          <w:rFonts w:ascii="宋体" w:hAnsi="宋体" w:eastAsia="宋体" w:cs="宋体"/>
          <w:color w:val="000000"/>
          <w:sz w:val="24"/>
          <w:szCs w:val="24"/>
          <w:highlight w:val="none"/>
        </w:rPr>
      </w:pPr>
      <w:r>
        <w:rPr>
          <w:rFonts w:hint="eastAsia" w:ascii="宋体" w:hAnsi="宋体" w:eastAsia="宋体" w:cs="宋体"/>
          <w:b/>
          <w:bCs/>
          <w:spacing w:val="-3"/>
          <w:sz w:val="24"/>
          <w:szCs w:val="24"/>
          <w:highlight w:val="none"/>
          <w:lang w:val="en-AU"/>
        </w:rPr>
        <w:t xml:space="preserve">价格折扣文件：</w:t>
      </w:r>
      <w:r/>
    </w:p>
    <w:p>
      <w:pPr>
        <w:ind w:firstLine="480"/>
        <w:spacing w:line="360" w:lineRule="auto"/>
        <w:shd w:val="clear" w:color="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auto"/>
          <w:sz w:val="24"/>
          <w:szCs w:val="24"/>
          <w:highlight w:val="none"/>
        </w:rPr>
        <w:t xml:space="preserve">提供《中小企业声明函》或《残疾人福利性单位声明函》或省级以上监狱管理局、戒毒管理局（含新疆生产建设兵团）出具的属于监狱企业的证明文件，否则不享受相应政府采购政策。</w:t>
      </w:r>
      <w:r/>
    </w:p>
    <w:p>
      <w:pPr>
        <w:ind w:firstLine="482"/>
        <w:spacing w:line="360" w:lineRule="auto"/>
        <w:shd w:val="clear" w:color="auto"/>
        <w:rPr>
          <w:rFonts w:hint="default"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12.24《关于符合本国产品标准的声明函》。</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注：1、供应商应提交以上12.1-12.</w:t>
      </w:r>
      <w:r>
        <w:rPr>
          <w:rFonts w:hint="eastAsia" w:ascii="宋体" w:hAnsi="宋体" w:eastAsia="宋体" w:cs="宋体"/>
          <w:b/>
          <w:color w:val="000000"/>
          <w:sz w:val="24"/>
          <w:highlight w:val="none"/>
          <w:lang w:val="en-US" w:eastAsia="zh-CN"/>
        </w:rPr>
        <w:t xml:space="preserve">24</w:t>
      </w:r>
      <w:r>
        <w:rPr>
          <w:rFonts w:ascii="宋体" w:hAnsi="宋体" w:eastAsia="宋体" w:cs="宋体"/>
          <w:b/>
          <w:color w:val="000000"/>
          <w:sz w:val="24"/>
          <w:highlight w:val="none"/>
        </w:rPr>
        <w:t xml:space="preserve">条完整响应文件。否则，响应文件将因资格条件不符或未实质响应谈判文件而被拒绝。</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2、制作电子投标（响应）文件时请与电子投标（响应）文件制作软件目录一一对应，将相关资料上传至相应模块</w:t>
      </w:r>
      <w:r>
        <w:rPr>
          <w:rFonts w:hint="eastAsia" w:ascii="宋体" w:hAnsi="宋体" w:eastAsia="宋体" w:cs="宋体"/>
          <w:b/>
          <w:color w:val="000000"/>
          <w:sz w:val="24"/>
          <w:highlight w:val="none"/>
        </w:rPr>
        <w:t xml:space="preserve">，如未按照系统中模块上传的，相关不利后果(如资格审查不通过、符合性审查不通过)由供应商自行承担。</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3、供应商应保证上传的投标（响应）文件完整、清晰可辨认，若因上传资料过小或模糊不清等无法辨认的都视为该资料未提供。</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4、响应单位必须保证全部响应资料的真实性，如有虚假或对采购文件所要求说明的情况故意隐瞒或虚报，视为不实质性响应谈判文件，响应无效。</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 电子投标（响应）文件的编制与提交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13.2、电子投标（响应)文件递交：供应商应当按照《操作手册》指引，</w:t>
      </w:r>
      <w:r>
        <w:rPr>
          <w:rFonts w:ascii="宋体" w:hAnsi="宋体" w:eastAsia="宋体" w:cs="宋体"/>
          <w:b/>
          <w:color w:val="000000"/>
          <w:sz w:val="24"/>
          <w:highlight w:val="none"/>
        </w:rPr>
        <w:t xml:space="preserve">在投标（响应）文件提交截止时间前完成电子投标（响应）文件的上传，未按要求成功上传的投标（响应）文件视为未递交。</w:t>
      </w:r>
      <w:r>
        <w:rPr>
          <w:rFonts w:ascii="宋体" w:hAnsi="宋体" w:eastAsia="宋体" w:cs="宋体"/>
          <w:color w:val="000000"/>
          <w:sz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13.3、 </w:t>
      </w:r>
      <w:r>
        <w:rPr>
          <w:rFonts w:ascii="宋体" w:hAnsi="宋体" w:eastAsia="宋体" w:cs="宋体"/>
          <w:b/>
          <w:color w:val="000000"/>
          <w:sz w:val="24"/>
          <w:highlight w:val="none"/>
        </w:rPr>
        <w:t xml:space="preserve">响应文件未按照谈判文件要求加盖CA电子公章的，响应无效。</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13.4、联合体投标：如招标（采购）公告中允许联合体投标，联合体投标的投标（响应）文件制作上传操作如下：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第一步：在投标（响应）文件中上传联合体投标协议书。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第二步；在投标（响应）文件中，由联合体中的牵头人制作投标（响应）文件。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13.5、如投标（响应）文件制作机器码信息一致，视为不同投标供应商使用同一台电脑编制投标（响应）文件，投标（响应）无效。</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响应文件的修改和撤回</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13.6、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报价（编制）要求的说明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rFonts w:ascii="宋体" w:hAnsi="宋体" w:eastAsia="宋体" w:cs="宋体"/>
          <w:color w:val="000000"/>
          <w:sz w:val="24"/>
          <w:highlight w:val="none"/>
        </w:rPr>
        <w:t xml:space="preserve">1除非合同中另有规定，谈判供应商对《谈判报价表》中的全部货物和服务的报价应包括全部货物及其备品备件、专用工具费用、人工、运输、检验、送货、保险、装卸、仓储、保管、安装、调试、包装、技术支持与培训、专利技术、售后服务与维保及其他伴随服务相关劳务支出等工作所发生的全部费用以及投标人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14.2响应报价编制要求</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14.2.1根据提供的谈判文件、采购清单及有关资料单独编制相关项目实施的谈判报价并汇总填入《谈判报价表》；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14.2.2谈判报价明细成交的物顺序和数量均应按本谈判文件提供的采购清单顺序和数量。如发现响应报价中有错算现象，一旦成交，谈判供应商自行承担错算这部分的经济损失。</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供应商应对谈判文件内所要采购的全部内容进行报价，只响应其中部分内容者，其响应文件将被拒绝。但如果采购要求分采购单元响应的，则供应商可以按谈判文件要求有选择地只投其中一个或几个采购单元，也可以投全部采购单元，但各采购单元应分别计算填写单价和总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14.4一项响应内容只允许一个报价，采购人不接受任何有选择性的响应报价。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14.5响应文件中报价全部采用人民币表示，除非合同的特殊条款另有规定。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 响应保证金（本项目无需提交响应保证金，本谈判文件内响应保证金相关规定均不适用。）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 响应文件的有效期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16.1响应文件的有效期见前附表，在此期间内，响应文件应保持有效。有效期短于这个规定期限的响应，将被拒绝。</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在特殊情况下，谈判采购单位可与供应商协商延长响应文件的有效期。这种要求和答复都应以书面形式进行。同意延长有效期的供应商不能修改响应文件，按本谈判文件规定的保证金的有效期也相应延长。拒绝接受延期要求的供应商的响应将被拒绝，但保证金仍予退还。</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 响应截止时间</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17.1电子响应文件上传截止时间前完成加密并上传系统。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17.2在提交截止时间以后上传的响应文件，谈判采购单位将拒绝接收。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 响应文件的补充、修改和撤回</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18.1供应商在上传响应文件截止时间前可对其响应文件进行补充、修改或撤回。</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19.谈判程序</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19.1谈判活动由采购代理机构在线主持，邀请供应商在线参加。供应商应当按照《苏采云系统供应商操作手册》规定，</w:t>
      </w:r>
      <w:r>
        <w:rPr>
          <w:rFonts w:ascii="宋体" w:hAnsi="宋体" w:eastAsia="宋体" w:cs="宋体"/>
          <w:b/>
          <w:color w:val="000000"/>
          <w:sz w:val="24"/>
          <w:highlight w:val="none"/>
        </w:rPr>
        <w:t xml:space="preserve">参加谈判活动和在“苏采云”系统规定的时间内对响应文件进行解密。</w:t>
      </w:r>
      <w:r>
        <w:rPr>
          <w:rFonts w:ascii="宋体" w:hAnsi="宋体" w:eastAsia="宋体" w:cs="宋体"/>
          <w:color w:val="000000"/>
          <w:sz w:val="24"/>
          <w:highlight w:val="none"/>
        </w:rPr>
        <w:t xml:space="preserve">评审小组不得参加谈判采购活动。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19.2由谈判小组审查供应商解密的响应文件，此谈判响应文件的报价为第一次报价。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19.3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19.4谈判小组要求供应商澄清、说明或者更正响应文件应当以书面形式做出。供应商的澄清、说明或者更正应当由其单位加盖电子公章。</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19.5本项目供应商的澄清、说明或者补正采用线上澄清:</w:t>
      </w:r>
      <w:r>
        <w:rPr>
          <w:rFonts w:hint="eastAsia" w:ascii="宋体" w:hAnsi="宋体" w:eastAsia="宋体" w:cs="宋体"/>
          <w:b/>
          <w:color w:val="000000"/>
          <w:sz w:val="24"/>
          <w:highlight w:val="none"/>
        </w:rPr>
        <w:t xml:space="preserve">代理公司</w:t>
      </w:r>
      <w:r>
        <w:rPr>
          <w:rFonts w:ascii="宋体" w:hAnsi="宋体" w:eastAsia="宋体" w:cs="宋体"/>
          <w:b/>
          <w:color w:val="000000"/>
          <w:sz w:val="24"/>
          <w:highlight w:val="none"/>
        </w:rPr>
        <w:t xml:space="preserve">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color w:val="000000"/>
          <w:sz w:val="24"/>
          <w:highlight w:val="none"/>
        </w:rPr>
        <w:t xml:space="preserve">具体操作方式见《操作手册》。</w:t>
      </w:r>
      <w:r>
        <w:rPr>
          <w:rFonts w:ascii="宋体" w:hAnsi="宋体" w:eastAsia="宋体" w:cs="宋体"/>
          <w:b/>
          <w:color w:val="000000"/>
          <w:sz w:val="24"/>
          <w:highlight w:val="none"/>
        </w:rPr>
        <w:t xml:space="preserve">未加盖CA电子公章的澄清无效。</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19.6、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19.7、在谈判过程中，谈判小组可以根据采购文件和谈判情况实质性变动采购需求中的技术、服务要求以及合同草案条款，但不得变动谈判文件中的其他内容。实质性变动的内容，须经采购人代表确认。对采购文件做出的实质性变动是采购文件的有效组成部分，谈判小组应以书面形式记录具体变动内容并经采购人代表签字确认后及时以书面形式（通过“苏采云”系统）同时通知所有参加谈判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19.8、供应商应当按照谈判文件的变动情况和谈判小组的要求在“苏采云”系统中重新提交响应文件，并加盖CA电子公章。重新提交的响应文件按谈判文件进行评审。</w:t>
      </w:r>
      <w:r>
        <w:rPr>
          <w:rFonts w:ascii="宋体" w:hAnsi="宋体" w:eastAsia="宋体" w:cs="宋体"/>
          <w:b/>
          <w:color w:val="000000"/>
          <w:sz w:val="24"/>
          <w:highlight w:val="none"/>
        </w:rPr>
        <w:t xml:space="preserve">未按要求重新提交响应文件的按响应无效处理。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19.9、最后报价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19.9.1、谈判结束后，谈判小组应当要求所有继续参加谈判的供应商在规定时间内提交最后报价（</w:t>
      </w:r>
      <w:r>
        <w:rPr>
          <w:rFonts w:ascii="宋体" w:hAnsi="宋体" w:eastAsia="宋体" w:cs="宋体"/>
          <w:b/>
          <w:color w:val="000000"/>
          <w:sz w:val="24"/>
          <w:highlight w:val="none"/>
        </w:rPr>
        <w:t xml:space="preserve">除因谈判文件修改导致成本增加，二次报价不得超过第一次报价，否则为无效响应报价</w:t>
      </w:r>
      <w:r>
        <w:rPr>
          <w:rFonts w:ascii="宋体" w:hAnsi="宋体" w:eastAsia="宋体" w:cs="宋体"/>
          <w:color w:val="000000"/>
          <w:sz w:val="24"/>
          <w:highlight w:val="none"/>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19.9.2、</w:t>
      </w:r>
      <w:r>
        <w:rPr>
          <w:rFonts w:ascii="宋体" w:hAnsi="宋体" w:eastAsia="宋体" w:cs="宋体"/>
          <w:b/>
          <w:color w:val="000000"/>
          <w:sz w:val="24"/>
          <w:highlight w:val="none"/>
        </w:rPr>
        <w:t xml:space="preserve">本项目采用线上最后报价：</w:t>
      </w:r>
      <w:r>
        <w:rPr>
          <w:rFonts w:ascii="宋体" w:hAnsi="宋体" w:eastAsia="宋体" w:cs="宋体"/>
          <w:color w:val="000000"/>
          <w:sz w:val="24"/>
          <w:highlight w:val="none"/>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eastAsia="宋体" w:cs="宋体"/>
          <w:b/>
          <w:color w:val="000000"/>
          <w:sz w:val="24"/>
          <w:highlight w:val="none"/>
        </w:rPr>
        <w:t xml:space="preserve">供应商未在谈判小组规定的时间内在“苏采云”系统中提交最后报价的视为放弃谈判，其响应文件按无效响应处理，提交最后报价须加盖CA电子签章,否则视为未提交最后报价。</w:t>
      </w:r>
      <w:r>
        <w:rPr>
          <w:rFonts w:ascii="宋体" w:hAnsi="宋体" w:eastAsia="宋体" w:cs="宋体"/>
          <w:color w:val="000000"/>
          <w:sz w:val="24"/>
          <w:highlight w:val="none"/>
        </w:rPr>
        <w:t xml:space="preserve">在提交最后报价之前，可以根据谈判情况退出谈判，并在“苏采云”系统中提交“退出谈判函”并加盖CA电子公章。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19.9.3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jc w:val="left"/>
        <w:spacing w:line="360" w:lineRule="auto"/>
        <w:shd w:val="clear" w:color="auto"/>
        <w:tabs>
          <w:tab w:val="left" w:pos="420" w:leader="none"/>
        </w:tabs>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19.9.4、</w:t>
      </w:r>
      <w:r>
        <w:rPr>
          <w:rFonts w:hint="eastAsia" w:ascii="宋体" w:hAnsi="宋体" w:eastAsia="宋体" w:cs="宋体"/>
          <w:color w:val="000000"/>
          <w:sz w:val="24"/>
          <w:highlight w:val="none"/>
        </w:rPr>
        <w:t xml:space="preserve">采购评审中出现下列情形之一的，评审委员会应当启动异常低价投标（响应）审查程序：</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投标（响应）报价低于全部通过符合性审查供应商投标（响应）报价平均值50%的，即投标（响应）报价&lt;全部通过符合性审查供应商投标（响应）报价平均值×50%；</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评审委员会基于专业判断，认为供应商报价过低，有可能影响产品质量或者不能诚信履约的其他情形。</w:t>
      </w:r>
      <w:r/>
    </w:p>
    <w:p>
      <w:pPr>
        <w:ind w:firstLine="480"/>
        <w:jc w:val="left"/>
        <w:spacing w:line="360" w:lineRule="auto"/>
        <w:shd w:val="clear" w:color="auto"/>
        <w:tabs>
          <w:tab w:val="left" w:pos="4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0"/>
        <w:jc w:val="left"/>
        <w:spacing w:line="360" w:lineRule="auto"/>
        <w:shd w:val="clear" w:color="auto"/>
        <w:tabs>
          <w:tab w:val="left" w:pos="420"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19.10、</w:t>
      </w:r>
      <w:r>
        <w:rPr>
          <w:rFonts w:ascii="宋体" w:hAnsi="宋体" w:eastAsia="宋体" w:cs="宋体"/>
          <w:b/>
          <w:color w:val="000000"/>
          <w:sz w:val="24"/>
          <w:highlight w:val="none"/>
        </w:rPr>
        <w:t xml:space="preserve">响应报价（包括最后报价）超过采购预算者不成交</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19.11、经谈判确定最终采购需求和提交最后报价的供应商后，由谈判小组对提交最后报价的供应商的响应文件和最后报价进行评</w:t>
      </w:r>
      <w:r>
        <w:rPr>
          <w:rFonts w:hint="eastAsia" w:ascii="宋体" w:hAnsi="宋体" w:eastAsia="宋体" w:cs="宋体"/>
          <w:color w:val="000000"/>
          <w:sz w:val="24"/>
          <w:highlight w:val="none"/>
          <w:lang w:val="en-US" w:eastAsia="zh-CN"/>
        </w:rPr>
        <w:t xml:space="preserve">审</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19.12、谈判小组根据谈判成交原则确定成交供应商，并将结果通知所有参加谈判的供应商。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19.13、如谈判过程中出现本采购文件未尽事宜，由谈判小组根据有关法律、法规讨论决定。</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 谈判小组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20.1谈判小组由谈判采购单位依法组建，由采购人代表和评审专家共3人以上单数组成。</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20.2谈判小组负责具体的谈判事务，并独立履行以下职责：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20.2.1确认或者制定谈判文件；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20.2.2从符合相应资格条件的供应商名单中确定不少于3家的供应商参加谈判；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20.2.3审查供应商的响应文件并作出评价；</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20.2.4要求供应商解释或者澄清其响应文件；</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20.2.5编写评审报告；</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20.2.6告知采购人、采购代理机构在评审过程中发现的供应商的违法违规行为。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20.3谈判小组成员应当履行下列义务：</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20.3.1遵纪守法，客观、公正、廉洁地履行职责；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20.3.2按照谈判文件规定的评审办法独立进行评审，对个人的评审意见承担法律责任；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20.3.3参与评审报告的起草；</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20.3.4配合采购人、采购代理机构答复供应商提出的质疑；</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20.3.5配合财政部门的投诉处理和监督检查工作。</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21.谈判说明</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响应文件属下列情况之一的，谈判小组将按无效投标处理：</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1）响应文件载明的投标有效期短于谈判文件规定；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2）响应文件载明的招标项目交货期不满足谈判文件规定；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3）响应文件载明的履约保证、付款方式不满足谈判文件规定；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4）响应文件载明的质保期不满足谈判文件规定；</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5）响应文件未按谈判文件规定的格式填写或递交，内容不全或关键字迹模糊、无法辨认的，从而影响响应文件有效性；</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6）不同供应商的响应文件以及响应文件制作过程出现了谈判小组认为不应当雷同的情况的；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7）不同供应商的响应文件存在“视为串通投标”的情形；</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8）供应商的报价存在选择性的；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9）供应商的报价或响应只响应了项目中部分招标内容；</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10）供应商拒绝修正错误影响评标的；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11）响应文件不符合谈判文件规定的其他实质性条款；</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12）响应文件存在谈判文件规定的其他无效投标情形的；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13）供应商的响应报价（含最后报价）超过采购预算的；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14）谈判响应文件签署不符合要求的；</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15）供应商资格不符合谈判文件要求的。</w:t>
      </w:r>
      <w:r/>
    </w:p>
    <w:p>
      <w:pPr>
        <w:ind w:firstLine="480"/>
        <w:spacing w:line="360" w:lineRule="auto"/>
        <w:shd w:val="clear" w:color="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16）不同供应商响应文件“机器码一致”的情形；</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 评审内容的保密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22.1谈判开始后，直到宣布授予成交供应商合同为止，凡属于审查、澄清、评价和比较响应文件的所有资料，有关授予合同的信息都不应向供应商或与评审无关的其他人泄露。</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22.2在响应文件的审查、澄清、评价和比较以及授予合同的过程中，供应商对谈判采购单位和谈判小组施加影响的任何行为，都将取消其成交资格。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22.3在评审期间，谈判采购单位将通过指定联络人与供应商进行联系。</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23．项目的终止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23.1出现下列情形之一的，将终止竞争性谈判采购活动：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23.1.1因情况变化，不再符合规定的竞争性谈判采购方式适用情形的；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23.1.2出现影响采购公正的违法、违规行为的；</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23.1.3在采购过程中符合竞争要求的供应商或者报价未超过采购预算的供应商不足3家的。</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 响应文件的评价和比较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24.1谈判小组按照本谈判文件有关规定，将仅对资格性检查和符合性检查合格的响应文件进行评价和比较。</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24.2评审办法</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采购人授权谈判小组根据本文件规定的成交原则确定成交供应商，即在响应内容的质量和服务均能满足谈判文件实质性响应要求的供应商（不少于三家）中，以提出最低最后报价的供应商确定为成交供应商。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24.3评价和比较采用合格性评审办法，具体内容详见谈判文件第六章。</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 成交供应商的确认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25.1谈判小组根据供应商资格审查情况，按照评审办法对响应文件进行评价和比较，并按采购人的委托推荐成交候选供应商。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25.2采购人按评审报告推荐的成交候选供应商顺序确定成交供应商。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25.3确定成交供应商后，谈判采购单位将在规定的时间内将成交结果在相关媒体上予以公示。</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 合同授予标准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26.1谈判采购单位将把合同授予其响应文件在实质上响应谈判文件要求和按本谈判文件规定评选出的供应商。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 成交通知书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27.1谈判采购单位应在规定的时间</w:t>
      </w:r>
      <w:r>
        <w:rPr>
          <w:rFonts w:hint="eastAsia" w:ascii="宋体" w:hAnsi="宋体" w:eastAsia="宋体" w:cs="宋体"/>
          <w:color w:val="000000"/>
          <w:sz w:val="24"/>
          <w:highlight w:val="none"/>
          <w:lang w:val="en-US" w:eastAsia="zh-CN"/>
        </w:rPr>
        <w:t xml:space="preserve">内</w:t>
      </w:r>
      <w:r>
        <w:rPr>
          <w:rFonts w:ascii="宋体" w:hAnsi="宋体" w:eastAsia="宋体" w:cs="宋体"/>
          <w:color w:val="000000"/>
          <w:sz w:val="24"/>
          <w:highlight w:val="none"/>
        </w:rPr>
        <w:t xml:space="preserve">向成交供应商发出成交通知书。成交通知书发出后，采购人改变成交结果，或者成交供应商放弃成交，应当承担相应的法律责任。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27.2成交通知书将成为合同的组成部分。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27.3谈判采购单位对未成交供应商不承担解释未成交原因的义务。</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28.告知成交结果</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28.1</w:t>
      </w:r>
      <w:r>
        <w:rPr>
          <w:rFonts w:ascii="宋体" w:hAnsi="宋体" w:eastAsia="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排名，未成交供应商未按约定的时间和方式获取告知信息的，视为自动放弃并自行承担相应后果。</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 合同的签订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29.1成交供应商应按成交通知书中规定的时间和地点，与采购人签订合同。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29.2签订合同及合同条款应以谈判文件和成交供应商的响应文件及其澄清文件为依据。</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 代理服务费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30.1成交供应商须按前附表的规定按预算总金额计算并支付服务费，该费用应在领取成交通知书时向采购代理机构一次性付清。</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30.2成交供应商如果未按规定支付代理服务费，谈判采购单位将保留诉讼的权利。</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 未尽事宜</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按《中华人民共和国政府采购法》</w:t>
      </w:r>
      <w:r>
        <w:rPr>
          <w:rFonts w:ascii="宋体" w:hAnsi="宋体" w:eastAsia="宋体" w:cs="宋体"/>
          <w:color w:val="000000"/>
          <w:sz w:val="22"/>
          <w:highlight w:val="none"/>
        </w:rPr>
        <w:t xml:space="preserve">、</w:t>
      </w:r>
      <w:r>
        <w:rPr>
          <w:rFonts w:ascii="宋体" w:hAnsi="宋体" w:eastAsia="宋体" w:cs="宋体"/>
          <w:color w:val="000000"/>
          <w:sz w:val="24"/>
          <w:highlight w:val="none"/>
        </w:rPr>
        <w:t xml:space="preserve">《中华人民共和国政府采购法实施条例》及其他有关的法律法规的规定执行。</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32、政府采购政策</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32.1根据苏州市财政局《关于贯彻执行绿色采购、促进残疾人就业和支持监狱企业发展有关政策的通知》（苏财购（2019）10号）文件的规定：</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（一）节能产品和环境标志产品</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w:t>
      </w:r>
      <w:r>
        <w:rPr>
          <w:rFonts w:hint="eastAsia" w:ascii="宋体" w:hAnsi="宋体" w:eastAsia="宋体" w:cs="宋体"/>
          <w:color w:val="auto"/>
          <w:sz w:val="24"/>
          <w:highlight w:val="none"/>
          <w:lang w:eastAsia="zh-CN"/>
        </w:rPr>
        <w:t xml:space="preserve">扫描件</w:t>
      </w:r>
      <w:r>
        <w:rPr>
          <w:rFonts w:ascii="宋体" w:hAnsi="宋体" w:eastAsia="宋体" w:cs="宋体"/>
          <w:color w:val="auto"/>
          <w:sz w:val="24"/>
          <w:highlight w:val="none"/>
        </w:rPr>
        <w:t xml:space="preserve">，否则视为无效投标。</w:t>
      </w:r>
      <w:r>
        <w:rPr>
          <w:rFonts w:ascii="宋体" w:hAnsi="宋体" w:eastAsia="宋体" w:cs="宋体"/>
          <w:b/>
          <w:color w:val="auto"/>
          <w:sz w:val="24"/>
          <w:highlight w:val="none"/>
        </w:rPr>
        <w:t xml:space="preserve">本项目不涉及强制采购范围内产品。</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ascii="宋体" w:hAnsi="宋体" w:eastAsia="宋体" w:cs="宋体"/>
          <w:b/>
          <w:color w:val="auto"/>
          <w:sz w:val="24"/>
          <w:highlight w:val="none"/>
        </w:rPr>
        <w:t xml:space="preserve">本项目不涉及优先采购范围内产品。</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（二）根据财政部、工业和信息化部关于印发意见“财库〔2020〕46号” 关于印发《政府采购促进中小企业发展管理办法》的通知规定和苏州市财政局《关于贯彻执行绿色采购、促进残疾人就业和支持监狱企业发展有关政策的通知》（苏财购（2019）10号）文件的规定：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1、小、微企业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1.1本项目为</w:t>
      </w:r>
      <w:r>
        <w:rPr>
          <w:rFonts w:ascii="宋体" w:hAnsi="宋体" w:eastAsia="宋体" w:cs="宋体"/>
          <w:b/>
          <w:color w:val="auto"/>
          <w:sz w:val="24"/>
          <w:highlight w:val="none"/>
          <w:u w:val="single"/>
        </w:rPr>
        <w:t xml:space="preserve">专门面向中小企业采购，制造商应为中小微企业、监狱企业、残疾人福利性单位。</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eastAsia="宋体" w:cs="宋体"/>
          <w:b/>
          <w:color w:val="auto"/>
          <w:sz w:val="24"/>
          <w:highlight w:val="none"/>
        </w:rPr>
        <w:t xml:space="preserve">《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82"/>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其中，供应商提供的货物既有中小企业制造货物，也有大型企业制造货物的，不享受中小企业扶持政策。</w:t>
      </w:r>
      <w:r/>
    </w:p>
    <w:p>
      <w:pPr>
        <w:ind w:left="0" w:right="0" w:firstLine="482"/>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供应商提供声明函内容不实的，依照《中华人民共和国政府采购法》《中华人民共和国政府采购法实施条例》和《管理办法》等法律法规规定追究法律责任。</w:t>
      </w:r>
      <w:r/>
    </w:p>
    <w:p>
      <w:pPr>
        <w:ind w:left="0" w:right="0" w:firstLine="482"/>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以上规定未尽事项，按《政府采购促进中小企业发展管理办法》等有关制度规定执行。</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1.3如供应商属于残疾人福利性单位视同小型或微型企业，享受政府采购促进中小企业发展的政府采购政策。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2、如供应商属于监狱企业视同小型或微型企业，享受政府采购促进中小企业发展的政府采购政策。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3、不同行业的中小微企业划分标准以工信部、国家统计局、国家发改委、财政部《关于印发中小企业划型标准规定的通知》（工信部联企业〔2011〕300号）为准。</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（3）一个项目中包含多项货物采购的，供应商提供的货物既有中小企业制造货物，也有大型企业制造货物的，不享受中小企业扶持政策。</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（4）以联合体形式参加政府采购活动，联合体各方均为中小企业的，联合体视同中小企业。其中，联合体各方均为小微企业的，联合体视同小微企业。</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（5）若中小微企业提供的 “中小企业声明函” 或认定证明为虚假声明则视同提供虚假材料，按政府采购相关规定处理并报请政府监管部门给予行政处罚。 </w:t>
      </w:r>
      <w:r/>
    </w:p>
    <w:p>
      <w:pPr>
        <w:ind w:left="0" w:right="0" w:firstLine="480"/>
        <w:pageBreakBefore w:val="0"/>
        <w:spacing w:before="0" w:after="0" w:line="360" w:lineRule="auto"/>
        <w:shd w:val="clear" w:color="auto"/>
        <w:widowControl w:val="off"/>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33、</w:t>
      </w:r>
      <w:r>
        <w:rPr>
          <w:rFonts w:ascii="宋体" w:hAnsi="宋体" w:eastAsia="宋体" w:cs="宋体"/>
          <w:b/>
          <w:bCs/>
          <w:color w:val="auto"/>
          <w:sz w:val="24"/>
          <w:highlight w:val="none"/>
        </w:rPr>
        <w:t xml:space="preserve">信用记录</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33.1</w:t>
      </w:r>
      <w:r>
        <w:rPr>
          <w:rFonts w:ascii="宋体" w:hAnsi="宋体" w:eastAsia="宋体" w:cs="宋体"/>
          <w:color w:val="auto"/>
          <w:sz w:val="24"/>
          <w:highlight w:val="none"/>
        </w:rPr>
        <w:t xml:space="preserve">查询截止时点：投标文件递交截止时间。</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33.2</w:t>
      </w:r>
      <w:r>
        <w:rPr>
          <w:rFonts w:ascii="宋体" w:hAnsi="宋体" w:eastAsia="宋体" w:cs="宋体"/>
          <w:color w:val="auto"/>
          <w:sz w:val="24"/>
          <w:highlight w:val="none"/>
        </w:rPr>
        <w:t xml:space="preserve">查询渠道：</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将通过苏采云系统跳转查询实现, 通过“信用中国”及“中国政府采购网”上的信用信息查询供应商的信用记录。 </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33.3</w:t>
      </w:r>
      <w:r>
        <w:rPr>
          <w:rFonts w:ascii="宋体" w:hAnsi="宋体" w:eastAsia="宋体" w:cs="宋体"/>
          <w:color w:val="auto"/>
          <w:sz w:val="24"/>
          <w:highlight w:val="none"/>
        </w:rPr>
        <w:t xml:space="preserve">查询证据留存方式：</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33.4</w:t>
      </w:r>
      <w:r>
        <w:rPr>
          <w:rFonts w:ascii="宋体" w:hAnsi="宋体" w:eastAsia="宋体" w:cs="宋体"/>
          <w:color w:val="auto"/>
          <w:sz w:val="24"/>
          <w:highlight w:val="none"/>
        </w:rPr>
        <w:t xml:space="preserve">信用记录使用规则：</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评审小组在对供应商进行资格性审查时，应根据查询结果对供应商的不良信用记录逐项甄别确认。</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33.5</w:t>
      </w:r>
      <w:r>
        <w:rPr>
          <w:rFonts w:ascii="宋体" w:hAnsi="宋体" w:eastAsia="宋体" w:cs="宋体"/>
          <w:color w:val="auto"/>
          <w:sz w:val="24"/>
          <w:highlight w:val="none"/>
        </w:rPr>
        <w:t xml:space="preserve">本次采购的货物如属苏州市政府协议供货目录中规定的产品，投标供应商所投产品必须是最新一期政府采购协议供货清单中的品牌、型号, 并在响应文件中提供网页打印页，否则为无效投标；采购配置清单、单价最高限价可上苏州市政府采购网协议供货核对；有关协议采购的内容登录苏州市政府采购网上查询。</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34.采购文件的质疑、澄清</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34.2本次采购文件要求供应商在法定质疑期内一次性提出针对同一采购程序环节的质疑。</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34.3采购人、采购代理机构收到质疑供应商在法定质疑期内发出的质疑函，应当在收到质疑函后7个工作日内作出答复，并以书面形式通知质疑供应商和其他有关供应商。</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34.4供应商提出质疑应当提交质疑函、报名确认单和必要的证明材料。质疑函应当包括下列内容：</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34.5供应商的姓名或者名称、地址、邮编、联系人及联系电话；</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34.6质疑项目的名称、编号；</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34.7具体、明确的质疑事项和与质疑事项相关的请求；</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34.8事实依据；</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34.9必要的法律依据；</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34.10提出质疑的日期。</w:t>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pageBreakBefore w:val="0"/>
        <w:spacing w:before="0" w:after="0" w:line="360" w:lineRule="auto"/>
        <w:shd w:val="clear" w:color="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34.11质疑联系方式详见采购公告。</w:t>
      </w:r>
      <w:r/>
    </w:p>
    <w:p>
      <w:pPr>
        <w:ind w:firstLine="480"/>
        <w:spacing w:line="360" w:lineRule="auto"/>
        <w:shd w:val="clear" w:color="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35.</w:t>
      </w:r>
      <w:r>
        <w:rPr>
          <w:rFonts w:hint="eastAsia" w:ascii="宋体" w:hAnsi="宋体" w:eastAsia="宋体" w:cs="宋体"/>
          <w:b/>
          <w:bCs/>
          <w:color w:val="000000"/>
          <w:sz w:val="24"/>
          <w:highlight w:val="none"/>
        </w:rPr>
        <w:t xml:space="preserve">对本国产品的支持政策</w:t>
      </w:r>
      <w:r/>
    </w:p>
    <w:p>
      <w:pPr>
        <w:ind w:firstLine="480"/>
        <w:keepLines w:val="0"/>
        <w:keepNext w:val="0"/>
        <w:pageBreakBefore w:val="0"/>
        <w:spacing w:line="360" w:lineRule="auto"/>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国务院办公厅关于在政府采购中实施本国产品标准及相关政策的通知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的相关规定在政府采购活动中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本国产品标准</w:t>
      </w:r>
      <w:r>
        <w:rPr>
          <w:rFonts w:hint="eastAsia" w:ascii="宋体" w:hAnsi="宋体" w:eastAsia="宋体" w:cs="宋体"/>
          <w:color w:val="000000"/>
          <w:sz w:val="24"/>
          <w:highlight w:val="none"/>
          <w:lang w:val="en-US" w:eastAsia="zh-CN"/>
        </w:rPr>
        <w:t xml:space="preserve">及相关</w:t>
      </w:r>
      <w:r>
        <w:rPr>
          <w:rFonts w:hint="eastAsia" w:ascii="宋体" w:hAnsi="宋体" w:eastAsia="宋体" w:cs="宋体"/>
          <w:color w:val="000000"/>
          <w:sz w:val="24"/>
          <w:highlight w:val="none"/>
        </w:rPr>
        <w:t xml:space="preserve">政策</w:t>
      </w:r>
      <w:r>
        <w:rPr>
          <w:rFonts w:hint="eastAsia" w:ascii="宋体" w:hAnsi="宋体" w:eastAsia="宋体" w:cs="宋体"/>
          <w:color w:val="000000"/>
          <w:sz w:val="24"/>
          <w:highlight w:val="none"/>
          <w:lang w:val="en-US" w:eastAsia="zh-CN"/>
        </w:rPr>
        <w:t xml:space="preserve">如下：</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lang w:val="en-US" w:eastAsia="zh-CN"/>
        </w:rPr>
        <w:t xml:space="preserve">（一）</w:t>
      </w:r>
      <w:r>
        <w:rPr>
          <w:rStyle w:val="879"/>
          <w:rFonts w:hint="eastAsia" w:ascii="宋体" w:hAnsi="宋体" w:eastAsia="宋体" w:cs="宋体"/>
          <w:i w:val="0"/>
          <w:iCs w:val="0"/>
          <w:caps w:val="0"/>
          <w:color w:val="auto"/>
          <w:spacing w:val="0"/>
          <w:sz w:val="24"/>
          <w:szCs w:val="24"/>
          <w:highlight w:val="none"/>
          <w:shd w:val="clear" w:color="auto" w:fill="ffffff"/>
        </w:rPr>
        <w:t xml:space="preserve">本国产品标准</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本国产品应当符合以下条件：</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产品应当在中国境内生产，即在中华人民共和国关境内实现从原材料、组件到产品的属性改变。</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为确保产品在运输或者储存期间保持某种状态而进行的操作；</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为产品运输或者销售进行的包装或者展示；</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在产品或者其包装上粘贴或者印刷品牌、标志、标识以及其他用于区别的标记；</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简单的上漆、磨光和分装；</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⑤</w:t>
      </w:r>
      <w:r>
        <w:rPr>
          <w:rFonts w:hint="eastAsia" w:ascii="宋体" w:hAnsi="宋体" w:eastAsia="宋体" w:cs="宋体"/>
          <w:i w:val="0"/>
          <w:iCs w:val="0"/>
          <w:caps w:val="0"/>
          <w:color w:val="auto"/>
          <w:spacing w:val="0"/>
          <w:sz w:val="24"/>
          <w:szCs w:val="24"/>
          <w:highlight w:val="none"/>
          <w:shd w:val="clear" w:color="auto" w:fill="ffffff"/>
        </w:rPr>
        <w:t xml:space="preserve">其他不属于属性改变的情形。</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在中国境内生产的组件成本占比达到规定比例</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产品在中国境内生产的组件成本占比应当达到规定比例，计算公式为：</w:t>
      </w:r>
      <w:r/>
    </w:p>
    <w:p>
      <w:pPr>
        <w:pStyle w:val="872"/>
        <w:ind w:left="0" w:right="0" w:firstLine="0"/>
        <w:jc w:val="center"/>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7">
                          <a:lum contrast="17998"/>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v:path textboxrect="0,0,0,0"/>
                <v:imagedata r:id="rId17" o:title=""/>
              </v:shape>
            </w:pict>
          </mc:Fallback>
        </mc:AlternateConten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i w:val="0"/>
          <w:iCs w:val="0"/>
          <w:caps w:val="0"/>
          <w:color w:val="auto"/>
          <w:spacing w:val="0"/>
          <w:sz w:val="24"/>
          <w:szCs w:val="24"/>
          <w:highlight w:val="none"/>
          <w:shd w:val="clear" w:color="auto" w:fill="ffffff"/>
        </w:rPr>
        <w:t xml:space="preserve">在分产品的中国境内生产的组件成本占比相关要求实施前，符合第</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一</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条第</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项条件的产品在政府采购活动中视同本国产品。</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特定产品的关键组件、关键工序符合相关要求</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对特定产品，在符合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上述</w:t>
      </w:r>
      <w:r>
        <w:rPr>
          <w:rFonts w:hint="eastAsia" w:ascii="宋体" w:hAnsi="宋体" w:eastAsia="宋体" w:cs="宋体"/>
          <w:i w:val="0"/>
          <w:iCs w:val="0"/>
          <w:caps w:val="0"/>
          <w:color w:val="auto"/>
          <w:spacing w:val="0"/>
          <w:sz w:val="24"/>
          <w:szCs w:val="24"/>
          <w:highlight w:val="none"/>
          <w:shd w:val="clear" w:color="auto" w:fill="ffffff"/>
        </w:rPr>
        <w:t xml:space="preserve">第</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一</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条第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项和第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项条件的基础上，应当符合财政部会同有关行业主管部门确定的其关键组件、关键工序在中国境内生产、完成等要求。</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产品在中国境内生产的组件成本核算规则。产品在中国境内生产的组件成本，按照《中国境内生产的组件成本核算基本规则》计算。</w:t>
      </w:r>
      <w:r/>
    </w:p>
    <w:p>
      <w:pPr>
        <w:pStyle w:val="8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rPr>
        <w:t xml:space="preserve">中国境内生产的组件成本核算基本规则</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一、产品的一级组件是指直接组成产品的组件。产品的二级组件是指直接组成产品一级组件的组件。一级组件不可分解的，视同二级组件。</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二、二级组件在中国境内生产的，其全部成本计入中国境内生产的组件成本；二级组件不在中国境内生产的，其成本不计入中国境内生产的组件成本。</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三、产品总成本和组件成本以相关会计核算数据、采购合同、进货记录等为基础进行计算。</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四、需要对成本核算规则予以进一步明确的其他有关事项，由财政部会同有关部门另行规定。</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lang w:val="en-US" w:eastAsia="zh-CN"/>
        </w:rPr>
        <w:t xml:space="preserve">（二）</w:t>
      </w:r>
      <w:r>
        <w:rPr>
          <w:rStyle w:val="879"/>
          <w:rFonts w:hint="eastAsia" w:ascii="宋体" w:hAnsi="宋体" w:eastAsia="宋体" w:cs="宋体"/>
          <w:i w:val="0"/>
          <w:iCs w:val="0"/>
          <w:caps w:val="0"/>
          <w:color w:val="auto"/>
          <w:spacing w:val="0"/>
          <w:sz w:val="24"/>
          <w:szCs w:val="24"/>
          <w:highlight w:val="none"/>
          <w:shd w:val="clear" w:color="auto" w:fill="ffffff"/>
        </w:rPr>
        <w:t xml:space="preserve">本国产品标准的适用范围</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2"/>
        <w:ind w:left="0" w:right="0" w:firstLine="420"/>
        <w:keepLines w:val="0"/>
        <w:keepNext w:val="0"/>
        <w:pageBreakBefore w:val="0"/>
        <w:spacing w:before="20" w:beforeAutospacing="0" w:after="20" w:afterAutospacing="0" w:line="360" w:lineRule="auto"/>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lang w:val="en-US" w:eastAsia="zh-CN"/>
        </w:rPr>
        <w:t xml:space="preserve">（三） </w:t>
      </w:r>
      <w:r>
        <w:rPr>
          <w:rStyle w:val="879"/>
          <w:rFonts w:hint="eastAsia" w:ascii="宋体" w:hAnsi="宋体" w:eastAsia="宋体" w:cs="宋体"/>
          <w:i w:val="0"/>
          <w:iCs w:val="0"/>
          <w:caps w:val="0"/>
          <w:color w:val="auto"/>
          <w:spacing w:val="0"/>
          <w:sz w:val="24"/>
          <w:szCs w:val="24"/>
          <w:highlight w:val="none"/>
          <w:shd w:val="clear" w:color="auto" w:fill="ffffff"/>
        </w:rPr>
        <w:t xml:space="preserve">对本国产品的支持政策</w:t>
      </w:r>
      <w:r/>
    </w:p>
    <w:p>
      <w:pPr>
        <w:ind w:firstLine="480"/>
        <w:spacing w:line="360" w:lineRule="auto"/>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，用扣除后的价格参与评审。对于仅有本国产品参与竞争的政府采购项目，本国产品不享受价格扣除评审优惠。</w:t>
      </w:r>
      <w:r/>
    </w:p>
    <w:p>
      <w:pPr>
        <w:ind w:firstLine="480"/>
        <w:spacing w:line="360" w:lineRule="auto"/>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供应商提供虚假《声明函》、虚假证明文件谋取中标、成交的，依照《中华人民共和国政府采购法》等法律法规规定追究相应责任。</w:t>
      </w:r>
      <w:r/>
    </w:p>
    <w:p>
      <w:pPr>
        <w:pStyle w:val="872"/>
        <w:ind w:left="0" w:right="0" w:firstLine="0"/>
        <w:jc w:val="left"/>
        <w:keepLines w:val="0"/>
        <w:keepNext w:val="0"/>
        <w:spacing w:before="20" w:beforeAutospacing="0" w:after="20" w:afterAutospacing="0" w:line="320" w:lineRule="atLeast"/>
        <w:shd w:val="clear" w:color="auto"/>
        <w:widowControl/>
        <w:rPr>
          <w:rStyle w:val="879"/>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lang w:val="en-US" w:eastAsia="zh-CN"/>
        </w:rPr>
        <w:t xml:space="preserve">附件：</w:t>
      </w:r>
      <w:r/>
    </w:p>
    <w:p>
      <w:pPr>
        <w:pStyle w:val="8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79"/>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83"/>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83"/>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883"/>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883"/>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883"/>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8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72"/>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872"/>
        <w:ind w:left="0" w:right="0" w:firstLine="0"/>
        <w:jc w:val="right"/>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872"/>
        <w:ind w:left="0" w:right="0" w:firstLine="0"/>
        <w:jc w:val="center"/>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　年　月　日</w:t>
      </w:r>
      <w:r/>
    </w:p>
    <w:p>
      <w:pPr>
        <w:pStyle w:val="872"/>
        <w:ind w:left="0" w:right="0" w:firstLine="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b/>
          <w:bCs/>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4.该产品的关键组件要求实施前，“关键组件”栏可不填，下同。</w:t>
      </w:r>
      <w:r/>
    </w:p>
    <w:p>
      <w:pPr>
        <w:pStyle w:val="872"/>
        <w:ind w:left="0" w:right="0" w:firstLine="420"/>
        <w:keepLines w:val="0"/>
        <w:keepNext w:val="0"/>
        <w:spacing w:before="20" w:beforeAutospacing="0" w:after="20" w:afterAutospacing="0" w:line="320" w:lineRule="atLeas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5.该产品的关键工序要求实施前，“关键工序”栏可不填，下同。</w:t>
      </w:r>
      <w:r/>
    </w:p>
    <w:p>
      <w:pPr>
        <w:pStyle w:val="887"/>
        <w:shd w:val="clear" w:color="auto"/>
        <w:rPr>
          <w:highlight w:val="none"/>
        </w:rPr>
      </w:pPr>
      <w:r>
        <w:rPr>
          <w:highlight w:val="none"/>
        </w:rPr>
      </w:r>
      <w:r/>
    </w:p>
    <w:p>
      <w:pPr>
        <w:ind w:left="0" w:right="0" w:firstLine="48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.凡涉及采购文件的补充说明和修改，均以苏州市政府采购网发布内容为准。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第三章 响应文件格式</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对本章所有的格式 ，供应商可根据自身情况进行补充和修改，但补充和修改不得造成与本格式内容有实质性的违背。</w:t>
      </w:r>
      <w:r/>
    </w:p>
    <w:p>
      <w:pPr>
        <w:ind w:firstLine="56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6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1、（供应商）法定代表人授权委托书</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授权委托书</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本授权委托书声明：我（姓名）系</w:t>
      </w:r>
      <w:r>
        <w:rPr>
          <w:rFonts w:ascii="宋体" w:hAnsi="宋体" w:eastAsia="宋体" w:cs="宋体"/>
          <w:color w:val="000000"/>
          <w:sz w:val="24"/>
          <w:highlight w:val="none"/>
          <w:u w:val="single"/>
        </w:rPr>
        <w:t xml:space="preserve">（供应商名称）</w:t>
      </w:r>
      <w:r>
        <w:rPr>
          <w:rFonts w:ascii="宋体" w:hAnsi="宋体" w:eastAsia="宋体" w:cs="宋体"/>
          <w:color w:val="000000"/>
          <w:sz w:val="24"/>
          <w:highlight w:val="none"/>
        </w:rPr>
        <w:t xml:space="preserve">的法定代表人，现授权委托</w:t>
      </w:r>
      <w:r>
        <w:rPr>
          <w:rFonts w:ascii="宋体" w:hAnsi="宋体" w:eastAsia="宋体" w:cs="宋体"/>
          <w:color w:val="000000"/>
          <w:sz w:val="24"/>
          <w:highlight w:val="none"/>
          <w:u w:val="single"/>
        </w:rPr>
        <w:t xml:space="preserve">（姓名）</w:t>
      </w:r>
      <w:r>
        <w:rPr>
          <w:rFonts w:ascii="宋体" w:hAnsi="宋体" w:eastAsia="宋体" w:cs="宋体"/>
          <w:color w:val="000000"/>
          <w:sz w:val="24"/>
          <w:highlight w:val="none"/>
        </w:rPr>
        <w:t xml:space="preserve">为我公司授权代表（即代理人），以本公司的名义参加 </w:t>
      </w:r>
      <w:r>
        <w:rPr>
          <w:rFonts w:ascii="宋体" w:hAnsi="宋体" w:eastAsia="宋体" w:cs="宋体"/>
          <w:color w:val="000000"/>
          <w:sz w:val="24"/>
          <w:highlight w:val="none"/>
          <w:u w:val="single"/>
        </w:rPr>
        <w:t xml:space="preserve"> 苏州海企国际工程咨询有限公司</w:t>
      </w:r>
      <w:r>
        <w:rPr>
          <w:rFonts w:ascii="宋体" w:hAnsi="宋体" w:eastAsia="宋体" w:cs="宋体"/>
          <w:color w:val="000000"/>
          <w:sz w:val="24"/>
          <w:highlight w:val="none"/>
        </w:rPr>
        <w:t xml:space="preserve">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w:t>
      </w:r>
      <w:r>
        <w:rPr>
          <w:rFonts w:hint="eastAsia" w:ascii="宋体" w:hAnsi="宋体" w:eastAsia="宋体" w:cs="宋体"/>
          <w:color w:val="000000"/>
          <w:sz w:val="24"/>
          <w:highlight w:val="none"/>
          <w:lang w:val="en-US" w:eastAsia="zh-CN"/>
        </w:rPr>
        <w:t xml:space="preserve">采购包</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的谈判活动。授权代表在谈判活动过程中所签署的一切文件和处理与这有关的一切事务，我均予以承认。</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授权代表无转委托权。特此委托。</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　　月　　日</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2、谈判响应函</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谈判响应函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（采购代理机构）</w:t>
      </w: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（采购编号） </w:t>
      </w:r>
      <w:r>
        <w:rPr>
          <w:rFonts w:ascii="宋体" w:hAnsi="宋体" w:eastAsia="宋体" w:cs="宋体"/>
          <w:color w:val="000000"/>
          <w:sz w:val="24"/>
          <w:highlight w:val="none"/>
        </w:rPr>
        <w:t xml:space="preserve">号</w:t>
      </w:r>
      <w:r>
        <w:rPr>
          <w:rFonts w:hint="eastAsia" w:ascii="宋体" w:hAnsi="宋体" w:eastAsia="宋体" w:cs="宋体"/>
          <w:color w:val="000000"/>
          <w:sz w:val="24"/>
          <w:highlight w:val="none"/>
          <w:lang w:val="en-US" w:eastAsia="zh-CN"/>
        </w:rPr>
        <w:t xml:space="preserve">采购包</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谈判文件，经仔细阅读和研究，我们决定参加贵单位组织的本项目谈判活动。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1、我们愿意按照谈判文件的一切要求，完成该项目的全部内容。</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2、如果我们的谈判响应文件被接受，我们将严格履行谈判文件中规定的每一项要求，按期、按质、按量履行合同的义务。</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3、我们已详细阅读全部谈判文件，包括更正公告(如有)，对谈判文件及更正公告(如有)无任何异议。我们完全理解并同意放弃对这方面有不明及误解的权力。</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4、我们同意按谈判文件中的规定，本响应文件的有效期限自提交响应文件截止时间之日起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天。</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5、我们愿意提供谈判采购单位在谈判文件中要求的所有资料。</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6、我们愿意遵守谈判文件中所列的收费标准。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7、我们承诺该响应文件在谈判开始后的全过程中保持有效，不作任何更改和变动。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8、我们承诺我公司符合谈判文件供应商须知中“合格供应商的基本、特定条件”的要求，若与真实情况不符，本公司愿意承担由此而产生的一切后果。</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9、我们声明：我们在参加本次政府采购活动前3年内在经营活动中没有重大违法记录。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所有有关谈判文件的函电，请按下列地址联系：</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单位：联系人：</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地址：邮政编码：</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联系电话：传真：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邮箱：</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numPr>
          <w:ilvl w:val="0"/>
          <w:numId w:val="0"/>
        </w:numPr>
        <w:ind w:left="0"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numPr>
          <w:ilvl w:val="0"/>
          <w:numId w:val="0"/>
        </w:numPr>
        <w:ind w:left="0" w:firstLine="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cs="Times New Roman"/>
          <w:sz w:val="26"/>
          <w:highlight w:val="none"/>
          <w:lang w:val="en-US" w:eastAsia="zh-CN" w:bidi="ar-SA"/>
        </w:rPr>
        <w:t xml:space="preserve">3</w:t>
      </w:r>
      <w:r>
        <w:rPr>
          <w:rFonts w:ascii="Times New Roman" w:hAnsi="Times New Roman" w:eastAsia="楷体_GB2312" w:cs="Times New Roman"/>
          <w:sz w:val="26"/>
          <w:highlight w:val="none"/>
          <w:lang w:val="en-US" w:eastAsia="zh-CN" w:bidi="ar-SA"/>
        </w:rPr>
        <w:t xml:space="preserve">、</w:t>
      </w:r>
      <w:r>
        <w:rPr>
          <w:rFonts w:ascii="宋体" w:hAnsi="宋体" w:eastAsia="宋体" w:cs="宋体"/>
          <w:b/>
          <w:color w:val="000000"/>
          <w:sz w:val="24"/>
          <w:highlight w:val="none"/>
        </w:rPr>
        <w:t xml:space="preserve">响应报价表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响应报价一览表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492"/>
        <w:gridCol w:w="1848"/>
        <w:gridCol w:w="1848"/>
        <w:gridCol w:w="1923"/>
        <w:gridCol w:w="148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jc w:val="center"/>
              <w:spacing w:line="360" w:lineRule="auto"/>
              <w:shd w:val="clear" w:color="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采购包</w:t>
            </w:r>
            <w:r>
              <w:rPr>
                <w:rFonts w:hint="eastAsia" w:ascii="宋体" w:hAnsi="宋体" w:eastAsia="宋体" w:cs="宋体"/>
                <w:b/>
                <w:bCs/>
                <w:sz w:val="24"/>
                <w:szCs w:val="24"/>
                <w:highlight w:val="none"/>
                <w:lang w:val="en-US" w:eastAsia="zh-CN"/>
              </w:rPr>
              <w:t xml:space="preserve">号</w:t>
            </w:r>
            <w:r>
              <w:rPr>
                <w:rFonts w:hint="eastAsia" w:ascii="宋体" w:hAnsi="宋体" w:eastAsia="宋体" w:cs="宋体"/>
                <w:b/>
                <w:color w:val="000000"/>
                <w:sz w:val="24"/>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响应总报价（元）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交货期</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81"/>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5" w:type="dxa"/>
            <w:vAlign w:val="center"/>
            <w:textDirection w:val="lrTb"/>
            <w:noWrap w:val="false"/>
          </w:tcPr>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响应总报价（人民币大写）：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 </w:t>
            </w:r>
            <w:r>
              <w:rPr>
                <w:rFonts w:ascii="宋体" w:hAnsi="宋体" w:eastAsia="宋体" w:cs="宋体"/>
                <w:color w:val="000000"/>
                <w:sz w:val="24"/>
                <w:highlight w:val="none"/>
                <w:u w:val="single"/>
              </w:rPr>
              <w:t xml:space="preserve">     </w:t>
            </w:r>
            <w:r/>
          </w:p>
        </w:tc>
      </w:tr>
    </w:tbl>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ascii="宋体" w:hAnsi="宋体" w:eastAsia="宋体" w:cs="宋体"/>
          <w:b/>
          <w:color w:val="000000"/>
          <w:sz w:val="24"/>
          <w:highlight w:val="none"/>
          <w:u w:val="single"/>
        </w:rPr>
        <w:t xml:space="preserve">报价金额全部采取人民币表示，响应报价精确到分。</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82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4、分项报价明细表</w:t>
      </w:r>
      <w:r/>
    </w:p>
    <w:p>
      <w:pPr>
        <w:jc w:val="center"/>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分项报价明细表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采购包号：</w:t>
      </w:r>
      <w:r>
        <w:rPr>
          <w:rFonts w:ascii="宋体" w:hAnsi="宋体" w:eastAsia="宋体" w:cs="宋体"/>
          <w:color w:val="000000"/>
          <w:sz w:val="24"/>
          <w:highlight w:val="none"/>
        </w:rPr>
        <w:t xml:space="preserve"> </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022"/>
        <w:gridCol w:w="826"/>
        <w:gridCol w:w="1241"/>
        <w:gridCol w:w="633"/>
        <w:gridCol w:w="807"/>
        <w:gridCol w:w="959"/>
        <w:gridCol w:w="1008"/>
        <w:gridCol w:w="880"/>
        <w:gridCol w:w="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品牌、生产厂家、产地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制造商</w:t>
            </w:r>
            <w:r>
              <w:rPr>
                <w:rFonts w:hint="eastAsia" w:ascii="宋体" w:hAnsi="宋体" w:eastAsia="宋体" w:cs="宋体"/>
                <w:color w:val="000000"/>
                <w:sz w:val="24"/>
                <w:highlight w:val="none"/>
              </w:rPr>
              <w:t xml:space="preserve">是否为</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小、微企业（填“是”或“否”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2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2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4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3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07"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0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80"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36" w:type="dxa"/>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rHeight w:val="8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小计（元）</w:t>
            </w:r>
            <w:r/>
          </w:p>
        </w:tc>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2" w:type="dxa"/>
            <w:vAlign w:val="center"/>
            <w:textDirection w:val="lrTb"/>
            <w:noWrap w:val="false"/>
          </w:tcPr>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       ；小写：</w:t>
            </w:r>
            <w:r/>
          </w:p>
        </w:tc>
      </w:tr>
      <w:tr>
        <w:trPr>
          <w:trHeight w:val="843"/>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8" w:type="dxa"/>
            <w:vAlign w:val="center"/>
            <w:textDirection w:val="lrTb"/>
            <w:noWrap w:val="false"/>
          </w:tcPr>
          <w:p>
            <w:pPr>
              <w:spacing w:line="360" w:lineRule="auto"/>
              <w:shd w:val="clear" w:color="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p>
        </w:tc>
      </w:tr>
    </w:tbl>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firstLine="480"/>
        <w:keepLines w:val="0"/>
        <w:keepNext w:val="0"/>
        <w:pageBreakBefore w:val="0"/>
        <w:spacing w:line="360" w:lineRule="auto"/>
        <w:shd w:val="clear" w:color="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投标人必须按“分项报价明细表”的格式详细报出投标总价的各个组成部分的报价，否则作无效投标处理。</w:t>
      </w:r>
      <w:r/>
    </w:p>
    <w:p>
      <w:pPr>
        <w:ind w:firstLine="480"/>
        <w:keepLines w:val="0"/>
        <w:keepNext w:val="0"/>
        <w:pageBreakBefore w:val="0"/>
        <w:spacing w:line="360" w:lineRule="auto"/>
        <w:shd w:val="clear" w:color="auto"/>
        <w:widowControl w:val="o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2"/>
        <w:spacing w:line="360" w:lineRule="auto"/>
        <w:shd w:val="clear" w:color="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000000"/>
          <w:sz w:val="24"/>
          <w:highlight w:val="none"/>
        </w:rPr>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5、技术规格和商务偏离表</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技术规格偏离表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采购包号：</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2024"/>
        <w:gridCol w:w="1609"/>
        <w:gridCol w:w="1610"/>
        <w:gridCol w:w="1610"/>
        <w:gridCol w:w="16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6" w:type="dxa"/>
            <w:vAlign w:val="center"/>
            <w:textDirection w:val="lrTb"/>
            <w:noWrap w:val="false"/>
          </w:tcPr>
          <w:p>
            <w:pPr>
              <w:jc w:val="center"/>
              <w:spacing w:line="360" w:lineRule="auto"/>
              <w:shd w:val="clear" w:color="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需要提供证明材料的，填写证明材料页码位置，及证明结论在材料中突出显示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2"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6" w:type="dxa"/>
            <w:textDirection w:val="lrTb"/>
            <w:noWrap w:val="false"/>
          </w:tcPr>
          <w:p>
            <w:pPr>
              <w:jc w:val="cente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 </w:t>
      </w:r>
      <w:r/>
    </w:p>
    <w:p>
      <w:pPr>
        <w:ind w:firstLine="56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highlight w:val="none"/>
        </w:rPr>
        <w:t xml:space="preserve">商务条款偏离表</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采购编号∶</w:t>
      </w:r>
      <w:r/>
    </w:p>
    <w:p>
      <w:pPr>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采购包号：</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售后服务承诺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9"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注：1.供应商提交的响应文件应在本表中把谈判文件要求与实际响应内容逐项对应列出，并在“偏离说明”项下填写以下内容：优于的，填写“正偏离”；符合的，填写“无偏离”；低于的，填写“负偏离”。</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未在上表中说明的，如在响应文件其他内容中已有文字说明的，则以已有文字说明为准，否则，将被认为完全响应谈判文件的规定。但该表不作为响应单位对所响应标的物关于服务要求等详细描述和说明的替代。</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.若事项较多，供应商可根据响应内容的实际情况另纸说明。</w:t>
      </w:r>
      <w:r>
        <w:rPr>
          <w:rFonts w:ascii="宋体" w:hAnsi="宋体" w:eastAsia="宋体" w:cs="宋体"/>
          <w:b/>
          <w:color w:val="000000"/>
          <w:sz w:val="24"/>
          <w:highlight w:val="none"/>
        </w:rPr>
        <w:t xml:space="preserve"> </w:t>
      </w:r>
      <w:r>
        <w:rPr>
          <w:rFonts w:ascii="宋体" w:hAnsi="宋体" w:eastAsia="宋体" w:cs="宋体"/>
          <w:b/>
          <w:color w:val="000000"/>
          <w:sz w:val="24"/>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6、资格证明文件</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(1) 资格文件的声明函</w:t>
      </w:r>
      <w:r/>
    </w:p>
    <w:p>
      <w:pPr>
        <w:ind w:firstLine="482"/>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资格文件的声明函</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1、本公司愿就由贵公司组织实施的编号为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w:t>
      </w:r>
      <w:r>
        <w:rPr>
          <w:rFonts w:hint="eastAsia" w:ascii="宋体" w:hAnsi="宋体" w:eastAsia="宋体" w:cs="宋体"/>
          <w:color w:val="000000"/>
          <w:sz w:val="24"/>
          <w:highlight w:val="none"/>
          <w:lang w:val="en-US" w:eastAsia="zh-CN"/>
        </w:rPr>
        <w:t xml:space="preserve">采购包</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的谈判采购活动进行响应。本公司所提交的响应文件中所有关于响应文件、证明和陈述均是真实的、准确的、有效的。若与真实情况不符，本公司愿意承担由此而产生的一切后果。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2、我方已知晓竞争性谈判文件要求并认真审核自身情况，在此郑重声明，我方遵守如下条款的规定：</w:t>
      </w:r>
      <w:r/>
    </w:p>
    <w:p>
      <w:pPr>
        <w:ind w:firstLine="480"/>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单位负责人为同一人或者存在直接控股、管理关系的不同供应商，不得参加同一合同项下的政府采购活动。</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本声明如有虚假或不实之处，我方将失去合格供应商资格。</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   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p>
    <w:p>
      <w:pPr>
        <w:shd w:val="clear" w:color="auto"/>
        <w:rPr>
          <w:rFonts w:ascii="宋体" w:hAnsi="宋体" w:eastAsia="宋体" w:cs="宋体"/>
          <w:color w:val="000000"/>
          <w:sz w:val="24"/>
          <w:highlight w:val="none"/>
        </w:rPr>
      </w:pPr>
      <w:r>
        <w:rPr>
          <w:rFonts w:ascii="宋体" w:hAnsi="宋体" w:eastAsia="宋体" w:cs="宋体"/>
          <w:color w:val="000000"/>
          <w:sz w:val="24"/>
          <w:highlight w:val="none"/>
        </w:rPr>
        <w:br w:type="page" w:clear="all"/>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zh-CN"/>
        </w:rPr>
        <w:t xml:space="preserve">与其他单位存在控股、管理关系情况表</w:t>
      </w:r>
      <w:r/>
    </w:p>
    <w:p>
      <w:pPr>
        <w:ind w:firstLine="210"/>
        <w:jc w:val="center"/>
        <w:spacing w:line="360" w:lineRule="auto"/>
        <w:shd w:val="clear" w:color="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与其他单位存在控股、管理关系情况表</w:t>
      </w:r>
      <w:r/>
    </w:p>
    <w:p>
      <w:pPr>
        <w:pStyle w:val="1138"/>
        <w:ind w:firstLine="0"/>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编号：</w:t>
      </w:r>
      <w:r/>
    </w:p>
    <w:p>
      <w:pPr>
        <w:rPr>
          <w:rFonts w:hint="default" w:eastAsia="宋体"/>
          <w:highlight w:val="none"/>
          <w:lang w:val="en-US" w:eastAsia="zh-CN"/>
        </w:rPr>
      </w:pPr>
      <w:r>
        <w:rPr>
          <w:rFonts w:hint="eastAsia" w:ascii="宋体" w:hAnsi="宋体" w:eastAsia="宋体" w:cs="宋体"/>
          <w:color w:val="000000"/>
          <w:sz w:val="24"/>
          <w:szCs w:val="24"/>
          <w:highlight w:val="none"/>
          <w:lang w:val="en-US" w:eastAsia="zh-CN"/>
        </w:rPr>
        <w:t xml:space="preserve">采购包号：</w:t>
      </w:r>
      <w:r/>
    </w:p>
    <w:tbl>
      <w:tblPr>
        <w:tblStyle w:val="83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4"/>
        <w:gridCol w:w="4624"/>
      </w:tblGrid>
      <w:tr>
        <w:trPr>
          <w:trHeight w:val="753"/>
        </w:trPr>
        <w:tc>
          <w:tcPr>
            <w:tcW w:w="2500" w:type="dxa"/>
            <w:textDirection w:val="lrTb"/>
            <w:noWrap w:val="false"/>
          </w:tcPr>
          <w:p>
            <w:pPr>
              <w:pStyle w:val="1139"/>
              <w:ind w:left="0" w:firstLine="0"/>
              <w:jc w:val="center"/>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与</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存在控股、管理关系的单位名称</w:t>
            </w:r>
            <w:r/>
          </w:p>
        </w:tc>
        <w:tc>
          <w:tcPr>
            <w:tcW w:w="2500" w:type="dxa"/>
            <w:textDirection w:val="lrTb"/>
            <w:noWrap w:val="false"/>
          </w:tcPr>
          <w:p>
            <w:pPr>
              <w:pStyle w:val="1139"/>
              <w:ind w:left="0" w:firstLine="0"/>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控股、管理关系情况说明</w:t>
            </w:r>
            <w:r/>
          </w:p>
        </w:tc>
      </w:tr>
      <w:tr>
        <w:trPr>
          <w:trHeight w:val="703"/>
        </w:trPr>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8"/>
        </w:trPr>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8"/>
        </w:trPr>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3"/>
        </w:trPr>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0" w:type="dxa"/>
            <w:textDirection w:val="lrTb"/>
            <w:noWrap w:val="false"/>
          </w:tcPr>
          <w:p>
            <w:pPr>
              <w:pStyle w:val="1139"/>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shd w:val="clear" w:color="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须如实填写所有与之有控股管理关系的情况。</w:t>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t xml:space="preserve">响应供应商：（公章）</w:t>
      </w:r>
      <w:r/>
    </w:p>
    <w:p>
      <w:pPr>
        <w:ind w:firstLine="480"/>
        <w:jc w:val="left"/>
        <w:spacing w:line="360" w:lineRule="auto"/>
        <w:shd w:val="clear" w:color="auto"/>
        <w:rPr>
          <w:rFonts w:hint="eastAsia" w:ascii="宋体" w:eastAsia="宋体"/>
          <w:sz w:val="24"/>
          <w:szCs w:val="24"/>
          <w:highlight w:val="none"/>
        </w:rPr>
      </w:pPr>
      <w:r>
        <w:rPr>
          <w:rFonts w:hint="eastAsia" w:ascii="宋体" w:eastAsia="宋体"/>
          <w:sz w:val="24"/>
          <w:szCs w:val="24"/>
          <w:highlight w:val="none"/>
        </w:rPr>
        <w:t xml:space="preserve">法定代表人或代理人（签字或盖章）</w:t>
      </w:r>
      <w:r>
        <w:rPr>
          <w:rFonts w:hint="eastAsia" w:ascii="宋体" w:eastAsia="宋体"/>
          <w:bCs/>
          <w:sz w:val="24"/>
          <w:szCs w:val="24"/>
          <w:highlight w:val="none"/>
        </w:rPr>
        <w:t xml:space="preserve">：</w:t>
      </w:r>
      <w:r/>
    </w:p>
    <w:p>
      <w:pPr>
        <w:ind w:firstLine="480"/>
        <w:spacing w:line="360" w:lineRule="auto"/>
        <w:shd w:val="clear" w:color="auto"/>
        <w:rPr>
          <w:rFonts w:hint="eastAsia" w:ascii="宋体" w:eastAsia="宋体"/>
          <w:b/>
          <w:sz w:val="24"/>
          <w:szCs w:val="24"/>
          <w:highlight w:val="none"/>
        </w:rPr>
      </w:pPr>
      <w:r>
        <w:rPr>
          <w:rFonts w:hint="eastAsia" w:ascii="宋体" w:eastAsia="宋体"/>
          <w:bCs/>
          <w:sz w:val="24"/>
          <w:szCs w:val="24"/>
          <w:highlight w:val="none"/>
        </w:rPr>
        <w:t xml:space="preserve">投标日期:</w:t>
      </w:r>
      <w:r/>
    </w:p>
    <w:p>
      <w:pPr>
        <w:ind w:firstLine="480"/>
        <w:spacing w:line="360" w:lineRule="auto"/>
        <w:shd w:val="clear" w:color="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3</w:t>
      </w:r>
      <w:r>
        <w:rPr>
          <w:rFonts w:ascii="宋体" w:hAnsi="宋体" w:eastAsia="宋体" w:cs="宋体"/>
          <w:b/>
          <w:color w:val="000000"/>
          <w:sz w:val="24"/>
          <w:highlight w:val="none"/>
        </w:rPr>
        <w:t xml:space="preserve">)供应商情况表</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供应商情况表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2086"/>
        <w:gridCol w:w="1702"/>
        <w:gridCol w:w="3323"/>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企业资质等级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员工总人数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bottom"/>
            <w:textDirection w:val="lrTb"/>
            <w:noWrap w:val="false"/>
          </w:tcPr>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0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商业信誉和健全的财务会计制度介绍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履行合同所必需的设备和专业技术能力情况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依法缴纳税收和社会保障资金情况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参加政府采购活动前三年内，在经营活动中有无重大违法记录</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（本页不够可另加页附后）</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7、售后服务承诺书</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售后服务承诺书</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3182"/>
        <w:gridCol w:w="2224"/>
        <w:gridCol w:w="2981"/>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免费质保期满后优惠更换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before="200" w:after="20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4"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响应供应商（单位公章）：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注：1、针对服务内容有必须说明的事项，请在“备注”栏目内注明；</w:t>
      </w:r>
      <w:r/>
    </w:p>
    <w:p>
      <w:pPr>
        <w:ind w:firstLine="96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2、如有其它售后服务内容，可自行参照填写。</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8、中小企业声明函</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中小企业声明函</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采购活动，提供货物全部由符合政策要求的中小企业制造。相关企业（含联合体中的中小企业、签订分包意向协议的中小企业）的具体情况如下：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rPr>
          <w:rFonts w:ascii="宋体" w:hAnsi="宋体" w:eastAsia="宋体" w:cs="宋体"/>
          <w:color w:val="000000"/>
          <w:sz w:val="24"/>
          <w:highlight w:val="none"/>
          <w:u w:val="single"/>
        </w:rPr>
        <w:t xml:space="preserve"> （标的物名称）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工业 </w:t>
      </w:r>
      <w:r>
        <w:rPr>
          <w:rFonts w:ascii="宋体" w:hAnsi="宋体" w:eastAsia="宋体" w:cs="宋体"/>
          <w:color w:val="000000"/>
          <w:sz w:val="24"/>
          <w:highlight w:val="none"/>
        </w:rPr>
        <w:t xml:space="preserve">；制造商为</w:t>
      </w:r>
      <w:r>
        <w:rPr>
          <w:rFonts w:ascii="宋体" w:hAnsi="宋体" w:eastAsia="宋体" w:cs="宋体"/>
          <w:color w:val="000000"/>
          <w:sz w:val="24"/>
          <w:highlight w:val="none"/>
          <w:u w:val="single"/>
        </w:rPr>
        <w:t xml:space="preserve">  （企业名称）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w:t>
      </w:r>
      <w:r>
        <w:rPr>
          <w:rFonts w:ascii="宋体" w:hAnsi="宋体" w:eastAsia="宋体" w:cs="宋体"/>
          <w:color w:val="000000"/>
          <w:sz w:val="24"/>
          <w:highlight w:val="none"/>
          <w:u w:val="single"/>
        </w:rPr>
        <w:t xml:space="preserve">（标的物名称）</w:t>
      </w:r>
      <w:r>
        <w:rPr>
          <w:rFonts w:ascii="宋体" w:hAnsi="宋体" w:eastAsia="宋体" w:cs="宋体"/>
          <w:color w:val="000000"/>
          <w:sz w:val="24"/>
          <w:highlight w:val="none"/>
        </w:rPr>
        <w:t xml:space="preserve"> ，属于</w:t>
      </w:r>
      <w:r>
        <w:rPr>
          <w:rFonts w:ascii="宋体" w:hAnsi="宋体" w:eastAsia="宋体" w:cs="宋体"/>
          <w:color w:val="000000"/>
          <w:sz w:val="24"/>
          <w:highlight w:val="none"/>
          <w:u w:val="single"/>
        </w:rPr>
        <w:t xml:space="preserve"> 工业 </w:t>
      </w:r>
      <w:r>
        <w:rPr>
          <w:rFonts w:ascii="宋体" w:hAnsi="宋体" w:eastAsia="宋体" w:cs="宋体"/>
          <w:color w:val="000000"/>
          <w:sz w:val="24"/>
          <w:highlight w:val="none"/>
        </w:rPr>
        <w:t xml:space="preserve">；制造商为</w:t>
      </w:r>
      <w:r>
        <w:rPr>
          <w:rFonts w:ascii="宋体" w:hAnsi="宋体" w:eastAsia="宋体" w:cs="宋体"/>
          <w:color w:val="000000"/>
          <w:sz w:val="24"/>
          <w:highlight w:val="none"/>
          <w:u w:val="single"/>
        </w:rPr>
        <w:t xml:space="preserve">  （企业名称）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ind w:firstLine="480"/>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企业名称（盖章）：</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numPr>
          <w:ilvl w:val="0"/>
          <w:numId w:val="2"/>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中小企业划分标准详见“工信部联企业〔2011〕300号通知中的《中小企业划型标准规定》”。</w:t>
      </w:r>
      <w:r/>
    </w:p>
    <w:p>
      <w:pPr>
        <w:numPr>
          <w:ilvl w:val="0"/>
          <w:numId w:val="2"/>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single"/>
        </w:rPr>
        <w:t xml:space="preserve">如供应商认定所投货物制造商为中型、小型或微型企业，则需根据“工信部联企业〔2011〕300号”通知中的《中小企业划型标准规定》填报“中小企业声明函”</w:t>
      </w:r>
      <w:r>
        <w:rPr>
          <w:rFonts w:ascii="宋体" w:hAnsi="宋体" w:eastAsia="宋体" w:cs="宋体"/>
          <w:b/>
          <w:color w:val="000000"/>
          <w:sz w:val="24"/>
          <w:highlight w:val="none"/>
        </w:rPr>
        <w:t xml:space="preserve">。</w:t>
      </w:r>
      <w:r/>
    </w:p>
    <w:p>
      <w:pPr>
        <w:numPr>
          <w:ilvl w:val="0"/>
          <w:numId w:val="2"/>
        </w:num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从业人员、营业收入、资产总额填报上一年度数据，无上一年度数据的新成立企业可不填报。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4、响应单位所投不同货物的生产制造商信息均需填报。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5、供应商应对照中小企业划分标准和采购标的所属行业：</w:t>
      </w:r>
      <w:r>
        <w:rPr>
          <w:rFonts w:ascii="宋体" w:hAnsi="宋体" w:eastAsia="宋体" w:cs="宋体"/>
          <w:b/>
          <w:color w:val="000000"/>
          <w:sz w:val="24"/>
          <w:highlight w:val="none"/>
          <w:u w:val="single"/>
        </w:rPr>
        <w:t xml:space="preserve">工业 </w:t>
      </w:r>
      <w:r>
        <w:rPr>
          <w:rFonts w:ascii="宋体" w:hAnsi="宋体" w:eastAsia="宋体" w:cs="宋体"/>
          <w:b/>
          <w:color w:val="000000"/>
          <w:sz w:val="24"/>
          <w:highlight w:val="none"/>
        </w:rPr>
        <w:t xml:space="preserve">，如实、完整填报《中小企业声明函》，如未对（中型企业、小型企业、微型企业）进行勾选，视同非中、小、微企业，不享受相应扶持政策。</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9、残疾人福利性单位声明函</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none"/>
          <w:u w:val="single"/>
        </w:rPr>
        <w:t xml:space="preserve">                    ：</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eastAsia="宋体" w:cs="宋体"/>
          <w:color w:val="000000"/>
          <w:sz w:val="24"/>
          <w:highlight w:val="none"/>
        </w:rPr>
        <w:t xml:space="preserve">〔2017〕141</w:t>
      </w:r>
      <w:r>
        <w:rPr>
          <w:rFonts w:ascii="宋体" w:hAnsi="宋体" w:eastAsia="宋体" w:cs="宋体"/>
          <w:color w:val="000000"/>
          <w:spacing w:val="6"/>
          <w:sz w:val="24"/>
          <w:highlight w:val="none"/>
        </w:rPr>
        <w:t xml:space="preserve">号）的规定，本单位为符合条件的残疾人福利性单位，且本单位参加</w:t>
      </w:r>
      <w:r>
        <w:rPr>
          <w:rFonts w:ascii="宋体" w:hAnsi="宋体" w:eastAsia="宋体" w:cs="宋体"/>
          <w:color w:val="000000"/>
          <w:spacing w:val="6"/>
          <w:sz w:val="24"/>
          <w:highlight w:val="none"/>
          <w:u w:val="single"/>
        </w:rPr>
        <w:t xml:space="preserve"> （采购单位） </w:t>
      </w:r>
      <w:r>
        <w:rPr>
          <w:rFonts w:ascii="宋体" w:hAnsi="宋体" w:eastAsia="宋体" w:cs="宋体"/>
          <w:color w:val="000000"/>
          <w:spacing w:val="6"/>
          <w:sz w:val="24"/>
          <w:highlight w:val="none"/>
        </w:rPr>
        <w:t xml:space="preserve">单位的</w:t>
      </w:r>
      <w:r>
        <w:rPr>
          <w:rFonts w:ascii="宋体" w:hAnsi="宋体" w:eastAsia="宋体" w:cs="宋体"/>
          <w:color w:val="000000"/>
          <w:sz w:val="24"/>
          <w:highlight w:val="none"/>
          <w:u w:val="single"/>
        </w:rPr>
        <w:t xml:space="preserve">（采购编号及项目名称）</w:t>
      </w:r>
      <w:r>
        <w:rPr>
          <w:rFonts w:ascii="宋体" w:hAnsi="宋体" w:eastAsia="宋体" w:cs="宋体"/>
          <w:color w:val="000000"/>
          <w:spacing w:val="6"/>
          <w:sz w:val="24"/>
          <w:highlight w:val="none"/>
        </w:rPr>
        <w:t xml:space="preserve">项目采购活动提供本单位制造的货物；或者提供其他残疾人福利性单位制造的货物（不包括使用非残疾人福利性单位注册商标的货物）。</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本单位对上述声明的真实性负责。如有虚假，将依法承担相应责任。</w:t>
      </w:r>
      <w:r/>
    </w:p>
    <w:p>
      <w:pPr>
        <w:ind w:firstLine="504"/>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 </w:t>
      </w:r>
      <w:r/>
    </w:p>
    <w:p>
      <w:pPr>
        <w:ind w:firstLine="504"/>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响应单位：（单位盖章）</w:t>
      </w:r>
      <w:r/>
    </w:p>
    <w:p>
      <w:pPr>
        <w:ind w:firstLine="480"/>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 </w:t>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第四章 谈判采购内容</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before="240" w:after="24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w:t>
      </w:r>
      <w:r>
        <w:rPr>
          <w:rFonts w:hint="eastAsia" w:ascii="宋体" w:hAnsi="宋体" w:eastAsia="宋体" w:cs="宋体"/>
          <w:color w:val="000000"/>
          <w:sz w:val="24"/>
          <w:highlight w:val="none"/>
        </w:rPr>
        <w:t xml:space="preserve">苏州市公安局苏州工业园区分局</w:t>
      </w:r>
      <w:r>
        <w:rPr>
          <w:rFonts w:ascii="宋体" w:hAnsi="宋体" w:eastAsia="宋体" w:cs="宋体"/>
          <w:color w:val="000000"/>
          <w:sz w:val="24"/>
          <w:highlight w:val="none"/>
        </w:rPr>
        <w:t xml:space="preserve">之委托，苏州海企国际工程咨询有限公司作为采购代理机构，对其拟采购的以下设备进行竞争性谈判采购。欢迎符合资格要求的供应商前来报名参加。</w:t>
      </w:r>
      <w:r/>
    </w:p>
    <w:p>
      <w:pPr>
        <w:pStyle w:val="821"/>
        <w:numPr>
          <w:ilvl w:val="0"/>
          <w:numId w:val="0"/>
        </w:numPr>
        <w:ind w:left="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lang w:val="en-US" w:eastAsia="zh-CN"/>
        </w:rPr>
        <w:t xml:space="preserve">一、</w:t>
      </w:r>
      <w:r>
        <w:rPr>
          <w:rFonts w:cs="宋体"/>
          <w:color w:val="000000"/>
          <w:highlight w:val="none"/>
        </w:rPr>
        <w:t xml:space="preserve">采购编号：</w:t>
      </w:r>
      <w:r>
        <w:rPr>
          <w:rFonts w:hint="eastAsia" w:cs="宋体"/>
          <w:color w:val="000000"/>
          <w:highlight w:val="none"/>
          <w:lang w:eastAsia="zh-CN"/>
        </w:rPr>
        <w:t xml:space="preserve">JSZC-320591-SZHQ-T2026-0023</w:t>
      </w:r>
      <w:r/>
    </w:p>
    <w:p>
      <w:pPr>
        <w:pStyle w:val="821"/>
        <w:numPr>
          <w:ilvl w:val="0"/>
          <w:numId w:val="0"/>
        </w:numPr>
        <w:ind w:left="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lang w:val="en-US" w:eastAsia="zh-CN"/>
        </w:rPr>
        <w:t xml:space="preserve">二、</w:t>
      </w:r>
      <w:r>
        <w:rPr>
          <w:rFonts w:cs="宋体"/>
          <w:color w:val="000000"/>
          <w:highlight w:val="none"/>
        </w:rPr>
        <w:t xml:space="preserve">采购需求</w:t>
      </w:r>
      <w:r/>
    </w:p>
    <w:p>
      <w:pPr>
        <w:pStyle w:val="821"/>
        <w:numPr>
          <w:ilvl w:val="0"/>
          <w:numId w:val="0"/>
        </w:numPr>
        <w:ind w:left="482"/>
        <w:spacing w:line="360" w:lineRule="auto"/>
        <w:shd w:val="clear" w:color="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采购包1：</w:t>
      </w:r>
      <w:r/>
    </w:p>
    <w:p>
      <w:pPr>
        <w:numPr>
          <w:ilvl w:val="0"/>
          <w:numId w:val="3"/>
        </w:numPr>
        <w:ind w:firstLine="480"/>
        <w:spacing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采购清单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技术参数</w:t>
      </w:r>
      <w:r>
        <w:rPr>
          <w:rFonts w:hint="eastAsia" w:ascii="宋体" w:hAnsi="宋体" w:eastAsia="宋体" w:cs="宋体"/>
          <w:color w:val="auto"/>
          <w:sz w:val="24"/>
          <w:highlight w:val="none"/>
          <w:lang w:val="en-US" w:eastAsia="zh-CN"/>
        </w:rPr>
        <w:t xml:space="preserve">及功能</w:t>
      </w:r>
      <w:r>
        <w:rPr>
          <w:rFonts w:hint="eastAsia" w:ascii="宋体" w:hAnsi="宋体" w:eastAsia="宋体" w:cs="宋体"/>
          <w:color w:val="auto"/>
          <w:sz w:val="24"/>
          <w:highlight w:val="none"/>
        </w:rPr>
        <w:t xml:space="preserve">要求</w:t>
      </w:r>
      <w:r>
        <w:rPr>
          <w:rFonts w:ascii="宋体" w:hAnsi="宋体" w:eastAsia="宋体" w:cs="宋体"/>
          <w:color w:val="auto"/>
          <w:sz w:val="24"/>
          <w:highlight w:val="none"/>
        </w:rPr>
        <w:t xml:space="preserve">：</w:t>
      </w:r>
      <w:r/>
    </w:p>
    <w:tbl>
      <w:tblPr>
        <w:tblStyle w:val="8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846"/>
        <w:gridCol w:w="636"/>
        <w:gridCol w:w="468"/>
        <w:gridCol w:w="6763"/>
      </w:tblGrid>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装备名称</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tcW w:w="29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单位</w:t>
            </w:r>
            <w:r/>
          </w:p>
        </w:tc>
        <w:tc>
          <w:tcPr>
            <w:tcW w:w="3696" w:type="pct"/>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技术参数、功能要求</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伸缩警棍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1、产品应符合《GA886-2018公安单警装备 警用伸缩警棍》相关标准；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2、组成:由小管组件,中管组件,握把组件和开关组件组成；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3、外观:产品外观金属表面光滑，镀层均匀、牢固，无斑驳、色差，无毛刺，无锋利边角、划痕、硌印；各节管体无弯曲和变形；棍头无粘合牢固，各端面垂直、平整，无锐边；</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4、质量：≤340g；</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5、长度：224±1.5mm、伸展长度：508±2mm、握把直径：26.5±0.15mm；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6、尺寸:握把外径:26.5±0.15mm,中管外径:20.5±0.1mm,小管外径:16±0.1mm；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7、颜色:产品在完全伸展状态下，所有金属部件为亚光黑色，握把橡胶套为黑色；</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8、抗弯性能：在完全伸展并锁定状态下，对警棍的中管施加5000N压力，保持1min，能正常伸缩；</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9、跌落可靠性:警棍在完全伸展并锁定状态下，以水平、正立、倒立3种姿态，从1.5m高度自由跌落至水泥地面上,能正常伸缩；</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10、抗击打能力：不低于3000次；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11、伸缩次数：不低于3000次。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▲12、握把性能：应具有良好的理化性能，握把经耐臭氧龟裂静态拉伸试验(时间≥100h，试验温度≥40°C，臭氧浓度≥50*10⁻⁸，伸长率≥20%)，试验后不应出现龟裂、发粘现象。（在检测报告中体现）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握把性能的检测报告扫描件。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金属手铐</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付</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1、金属手铐应符合《GA1512-2018 公安单警装备金属手铐》；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2、金属手铐应由左右铐体和三排齿的扇梁、链座、链环、钥匙等组成；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3、金属手铐铐体与扇梁铆接处晃动量≤0.3mm；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4、金属手铐的主要尺寸：铐体间距L:（52-56）mm，啮合三齿状态下手铐的最小孔径H：（55±2）mm，啮合三齿状态下手铐的最大孔径B：（82±2）mm；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5、质量：≤255g；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6、灵活性：金属手铐的钥匙能从正、反两面插入锁孔解除反锁和开启手铐；金属手铐的钥匙能插入反锁定位锁孔实现手铐反锁，反锁定位拨片运行灵活、顺畅；金属手铐的扇梁转动灵活、无阻滞。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7、金属手铐在锁闭并反锁定位状态下施加1500N静压力，不应出现啮合松动或失效现象。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8、纵向静拉力：金属手铐在锁闭状态下，施加2200N的纵向静拉力并保持30s，金属手铐不应被拉开，铐体上不应有永久性变形或裂纹；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9、横向静拉力：金属手铐在锁闭状态下，施加2200N的横向静拉力并保持30s，金属手铐不应被打开，铐体上不应有永久性变形或裂纹；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10、对金属手铐的扇梁铆钉施加2940N静压力，保持30s，固定连接件不应松脱；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11、耐用度：金属手铐用钥匙正常开启、锁闭为一个循环，经过7000次循环（每1000次循环后反锁定位1次）后，应符合 GA1512-2018中 5.12.1和5.12.2的要求。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12、跌落可靠性：跌落高度≥1.5m，自由跌落至水泥地面后，应能正常开启、锁闭和反锁定位；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13、耐腐蚀性：≥6级；</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多功能腰带</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1、多功能腰带应符合《GA 890-2018 公安单警装备多功能腰带》；</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结构：多功能腰带由主腰带、内带、斜挂带和装具套组成，装具套含警棍套、强光手电套、工作包、手铐套、催泪喷射器套、对讲机套、警用水壶套、弹匣套、手枪套,其中警用水壶套、弹匣套、手枪套为选配件；（装具套根据采购方实际需求配置）</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3.主体材质:尼龙机织带，装具套材质为尼龙面料，面料应结实耐磨，应具有优良的力学性能，符合以下要求：</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▲断裂伸长率：经向≥6.8%，纬向≥4.8%（在检测报告中体现）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▲断裂强力：经向≥10000N，纬向≥9900N（在检测报告中体现）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▲顶破强力：＞1340N（在检测报告中体现）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▲耐磨性能: ≥45000次（在检测报告中体现）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4、质量：≤1.2kg；</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5、对装具套中甲醛含量比进行检测，值须小于300mg/kg；</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6、腰带钎子色耐盐雾：≥48h，主要表面无腐蚀斑点；</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7、耐汗渍色牢度/级：≥3-4；</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8、耐摩擦色牢度/级：干、湿磨≥4 ；</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9、耐刷洗色牢度/级：≥4 ；</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10、耐光色牢度/级：≥4-5；</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11、机织带起毛：无变化；</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12、斜挂带卡扣抗拉性能：施加≥500N拉力，并保持30s,卡扣不应破损，并能正常使用；</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13、警棍套警棍插拔性能：≥3000次后，能正常使用；</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14、腰带钎子温度适应性：-30℃～+50℃，能正常使用；</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15、四件子母扣侧掀强力：15N～30N；</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需提供具有检测资质的检测机构出具</w:t>
            </w:r>
            <w:r>
              <w:rPr>
                <w:rFonts w:hint="eastAsia" w:ascii="宋体" w:hAnsi="宋体" w:eastAsia="宋体" w:cs="宋体"/>
                <w:i w:val="0"/>
                <w:iCs w:val="0"/>
                <w:color w:val="auto"/>
                <w:sz w:val="21"/>
                <w:szCs w:val="21"/>
                <w:highlight w:val="none"/>
                <w:u w:val="none"/>
                <w:lang w:val="en-US" w:eastAsia="zh-CN" w:bidi="ar"/>
              </w:rPr>
              <w:t xml:space="preserve">的主体材质力学性能的检测报告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催泪喷射器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517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1、催泪喷射器（竖喷型）应符合《GA884-2018 公安单警装备催泪喷射器》；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2、结构：由保险盖、扭簧、转轴、喷嘴、压套、支撑套、支撑盖、内罐、囊袋组件、催泪剂溶液、外罐等零部件组成，催泪剂为合成辣椒素；</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3、催泪喷射的高度为188.5mm±2mm，筒身最大外径为40mm±0.5mm，罐体外径为37.5mm±0.5mm，观察窗尺寸宽为8mm±1mm，高为80mm±1mm；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4、颜色：催泪喷射器主体颜色应为黑色，喷嘴颜色应为白色，催泪剂溶液颜色为蓝色；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5、竖喷型催泪喷射器质量应185±15g；</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6、催泪剂溶液体积应为70ml±3ml；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7、催泪剂合成辣椒素含量应为1.5%～2.0%；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▲7.1催泪剂眼睛刺激安全性要求：安全性符合GB/T 21609（在检测报告中体现）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▲7.2催泪剂眼睛刺激安全性需符合 GB/T 21609 规定的 3 级（有轻微刺激性）；（在检测报告中体现）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▲7.3眼睛刺激反应症状持续时间：≤24 小时。 （在检测报告中体现）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8、喷射性能：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8.1、连续喷射性能：催泪喷射器喷射应为定向射流状，喷射距离应≥4m，有效喷射时间应≥7s，完全喷射后剩余溶液量应7ml；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8.2、间断喷射性能：催泪喷射器有效喷射3s后，放置8h后再次进行喷射，喷射距离应≥3m；喷射距离达到3m的时间应≥4s，完全喷射后剩余溶液量应≤7ml；</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w:t>
            </w:r>
            <w:r>
              <w:rPr>
                <w:rFonts w:hint="eastAsia" w:ascii="宋体" w:hAnsi="宋体" w:eastAsia="宋体" w:cs="宋体"/>
                <w:i w:val="0"/>
                <w:iCs w:val="0"/>
                <w:color w:val="auto"/>
                <w:sz w:val="21"/>
                <w:szCs w:val="21"/>
                <w:highlight w:val="none"/>
                <w:u w:val="none"/>
                <w:lang w:val="en-US" w:eastAsia="zh-CN" w:bidi="ar"/>
              </w:rPr>
              <w:t xml:space="preserve">的辣椒素性能的检测报告。</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强光手电（基础型）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强光手电采用前置开关，按钮区域分为照明键和爆闪键，外壳为防滚动圆柱形结构。由头盖组件（包括头盖、攻击头等）、筒身组件（包括筒身、隐藏式USE充电接口、开关部件、4格电量提示灯等）、电池、尾盖组件及手绳（包括调节扣）组成。</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2、尺寸：总长度为154.6mm±2mm，握柄直径为28.5mm±1mm，头盖外径为35mm±1mm，手绳长度为155mm±5mm；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3、总重量：≤230g；</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4、强光手电使用1节18650锂离子充电电池、3节AAA碱性电池或1节AA碱性电池，应相互兼容；</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▲4.1锂电池安全性符合GB 31241（在检测报告中体现）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▲4.2锂电池外部短路、过充电、强制放电、挤压情况下不应爆炸起火。（在检测报告中体现）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5、强光初始光通量：≥160lm；、强光初始照度：≥180lx；</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6、强光照明时间：使用18650锂离子充电电池，在完全充电状态下强光手电进入强光模式，连续照明300min,距光源5m处光斑中心照度值应大于或等于1001x；</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7、弱光初始照度：120lx～180lx；</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8、强光爆闪频率：8Hz～10Hz；</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9、光束角：6°～9°；</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10、外壳升温应小于等于25K；</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11、开关耐久性：对照明键、爆闪键分别出触压30000次，开关应正常；</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12、执行标准：GA 883-2018 公安单警装备 强光手电；</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color w:val="auto"/>
                <w:sz w:val="21"/>
                <w:szCs w:val="21"/>
                <w:highlight w:val="none"/>
              </w:rPr>
              <w:t xml:space="preserve">电池安全性性能检验报告。▲</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强光手电（战术型）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1、功能：用于公安民警日常执勤执法时佩戴的便携照明装置，战术型强光手电为尾盖开关；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2、执行标准：符合《GA 883-2018 公安单警装备 强光手电》中战术型强光手电相关要求。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3、一般要求：强光手电表面光滑，无划痕、磨损、毛刺、油渍:镜片和反光杯光洁，无划痕、无污渍。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战术型强光手电采用尾盖开关，按钮区域分为照明键和爆闪键，外壳为防滚动圆柱形结构。由头盖组件(包括头盖、攻击头等)、筒身组件(包括筒身、隐藏式USB充电接口)、电池、尾盖组件(包括开关组件、4格电量提示灯)及手绳(包括调节扣)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5、尺寸：战术型强光手电总长:≤160mm，握柄直径:≤30mm头盖外径:35mm手绳长度:≥150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6、颜色：强光手电主体表面为黑色，激光雕刻处为银白色，手绳为黑色；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标识：强光手电正面有警徽图案和“警POLICE察”字样，字体为黑体，字高5mm;强光手电背面有“强光手电”字样,字体为黑体,字高5mm。强光手电侧面靠近USB充电口位置有充电孔标识。在警徽背面对应位置有强光手电产品编号，字体为黑体，字高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8、质量：强光手电总质量应为≤210g；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发光交通指挥棒（测酒款）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1.1、测量范围：0-200mg/100ml BAC。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1.2、温度范围：-10至50度。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1.3、测量精度：标准气体浓度50mg/100ml BAC时，吹气距离小于5cm时，±5mg/100ml；吹气距离5-10cm时，±6mg/100m；吹气距离大于10cm时，±10mg/100m。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1.4、灵敏度：0.5mg/100ml BAC。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2、选用高精度燃料电池作为酒精传感器，具有较好灵敏度和重复性。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酒精测量模式：快速排查、自动检测。采用连续泵吸的抽气方式，进行自动抽气检测，不需要被测者主动吹气即可测量出酒精浓度。测量时间可现场调置为1至15秒中的任一时长数值，以适应现场快速排查的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4、OLED高亮度显示屏菜单式操作，测量的酒精读数，通过图形显示，可实时显示数值，也可现场设置为显示：有/无酒精。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5、测量过程中配有语音提示，超20mg/100ml会有警示灯和马达震动及语音提示（20mg/100ml的报警阈值可根据现场天气等环境设置为其他数值的报警阈值）。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6、带有指挥棒功能，警示红光，常亮、频闪功能可任意切换。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7、顶部带有强光手电筒功能。高亮白光，上下可任意切换。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8、底部筒灯：具有手电筒功能，可用于照明和阅读。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9、省电功能：酒检模式下5分钟未做任何操作仪器自动关机，手电筒和指挥棒模式下不自动关机。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误触安全保护：设四按键，酒精检测键、手电筒控制键、指挥棒控制键和防误触键。防误触键独立设在仪器背部，可避免在仪器不使用的情况下误触发长时间的开机状态，防误触键在开机状态时所有按键无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11、采用高容量的18650mAh可充电锂电池，可连续测试500次以上。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12、外壳使用工程塑料，耐摔、体积小。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13、仪器顶部有防水滤网，在小雨等阴天环境下也可现场使用。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★14、仪器具有4G传输模块，支持全网通制式，无缝对接支队现有酒驾管理系统平台。（需提供承诺书）</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对讲机肩咪</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1、喇叭规格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2、额定阻抗 16Ω±15% （at 1.5kHz 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3、声压等级 91±4dB （1w/30cm）300Hz-3KHz AVE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4、最大功率 2.5W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5、额定功率 1.5W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6、麦克风规格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7、灵敏度 -42±2dB@1kHz，0dB=1V/pa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8、指向性 全指向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9、外形尺寸 86.3*62.1*43.8（mm）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10、重量约 160g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11、工作温度 -30~65℃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12、防尘防水等级 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13、外接音频接口 Φ3.5mm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14、背夹 360°可旋转定位的金属背夹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15、报警功能 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16、适配机型 ：海能达PD780对讲机</w:t>
            </w:r>
            <w:r/>
          </w:p>
        </w:tc>
      </w:tr>
      <w:tr>
        <w:trPr/>
        <w:tc>
          <w:tcPr>
            <w:tcW w:w="2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对讲机肩咪</w:t>
            </w:r>
            <w:r/>
          </w:p>
        </w:tc>
        <w:tc>
          <w:tcPr>
            <w:shd w:val="clear" w:color="auto" w:fill="auto"/>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个</w:t>
            </w:r>
            <w:r/>
          </w:p>
        </w:tc>
        <w:tc>
          <w:tcPr>
            <w:shd w:val="clear" w:color="auto" w:fill="auto"/>
            <w:tcW w:w="3696" w:type="pct"/>
            <w:vAlign w:val="center"/>
            <w:textDirection w:val="lrTb"/>
            <w:noWrap w:val="false"/>
          </w:tcPr>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 70mm × 60mm × 25mm （不含背夹、线）</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重量 140g</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耳机接口 3.5mm接口</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喇叭性能</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直流阻抗 16±15%Ω</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 1W </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最大功率 2.5W</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声压值 94±3dB @ 1KHZ 0dB=1V/Pa</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麦克性能</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频率响应范围 20Hz—20KHz</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灵敏度 -42±3dB （f=1kHz，0dB=1V/Pa）</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输出阻抗 ≤2.2KΩ@1kHz （f=1kHz， 0dB=1V/Pa）</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指向性 全指向</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信噪比 ≥60dB（f=1kHz， 0dB=1V/Pa  A Curve）</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最大声压 110dB （f=1kHz Distortion&lt;1%）</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线材规格</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外皮 黑色TPE</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外径 Φ4.0±0.1mm</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填充 棉线10S*5*2PCS</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导体 漆包线 0.05/25C</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缠绕 0.05BC/54±2C</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屏蔽 MIC与PTT按键分开屏蔽</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环境指标</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工作温度 -30℃ ~ +60℃</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存储温度 -40℃ ~ +85℃</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气压 86kPa~106kPa</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相对湿度 45%~95%</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ESD（静电防护等级） IEC 61000-4-2 （level 4） ±8kV （接触放电） ±15kV（空气放电</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可靠性指标</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跌落 1500mm水泥地面</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防护等级 IP67（无外接耳机状态）</w:t>
            </w:r>
            <w:r/>
          </w:p>
          <w:p>
            <w:pPr>
              <w:numPr>
                <w:ilvl w:val="0"/>
                <w:numId w:val="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连接强度 5KG拉力保持15秒</w:t>
            </w:r>
            <w:r/>
          </w:p>
          <w:p>
            <w:pPr>
              <w:numPr>
                <w:ilvl w:val="0"/>
                <w:numId w:val="4"/>
              </w:numPr>
              <w:ind w:left="425" w:hanging="425"/>
              <w:jc w:val="left"/>
              <w:keepLines w:val="0"/>
              <w:keepNext w:val="0"/>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适配机型 ：中兴PH790对讲机</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挂肩警示灯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1、执行标准：《GA/T 2140-2024》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2、工作温度：-20°C～+55°C。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3、闪烁频率：5Hz。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4、供电电源：聚合物锂电池。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6、电源适配器：DC5V/1000mA。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7、充电接口：TYPE-C。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8、佩戴方式：旋转不锈钢背夹。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9、组成：频闪发光单元与照明发光单元独立，由同一按钮开关进行功能切换；设置遮光板或防止闪光影响警员的装置或部件。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10、光源：3颗红光2835LED,3颗蓝光2835LED，2颗白光2835LED.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11、充电时间：＜3小时。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12、电量显示：具有电量提示功能，欠压及充满电状况均有提示。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13、频闪模式最大发光强度：频闪发光单元同时点亮时为2cd～3cd。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14、频闪工作时间：红蓝LED闪烁工作时间 ≥10小时。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15、照明初始照度：照明模式下，距光源300mm处，初始照度为80lx～110 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16、照明工作时间：连续工作2 h，距光源300 mm处光斑中心照度≥80 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17、开关耐久性：＞10000次。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18、跌落高度：1.8m。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19、静电放电抗扰度：符合GB/T 17626.2-2018中等级3的规定。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20、防护等级：IP56。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21、外壳温升：≤7K。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22、耐盐雾性能：GA/T 2140-2024中规定的试验条件下，试验后应能正常启动，金属件应无锈蚀现象，壳体不应出现变形或裂纹。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23、外形尺寸：(长75mm x宽30mm x高29mm )±1mm。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24、重量：＜58g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款式要求：反光背心为前开襟马甲式样，开襟用拉链拉合，前后身分别具有三道横向反光条带，前身胸部左右分别缀钉对讲机袢和胸徽、号牌搭扣；两侧用四件按扣和粘扣带连接，可针对不同腰围三档调节肥瘦；两肩部用粘扣带连接，可根据不同身高调节长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2、颜色：反光背心的荧光材料、对讲机袢、搭扣、拉链颜色为荧光黄色；反光条带颜色为白色或银灰色，反光沿条颜色为银灰色；按扣颜色为银白色，缝纫线颜色与缝合部位颜色相匹配。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3、针距要求：缝纫反光条带针距9针/3cm～11针/3cm。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4、pH值：≤4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5、网眼密度（眼/5cm）：直向≥16  横向≥20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6、遮盖率（%）：≥45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7、顶破强力（N）：≥200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8、耐摩擦色牢度：≥4级；耐水洗色牢度：≥4级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9、执行标准：根据公安部《关于启用2014款反光背心的通知》，《警服 反光背心（报批稿）》，</w:t>
            </w:r>
            <w:r/>
          </w:p>
          <w:p>
            <w:pPr>
              <w:numPr>
                <w:ilvl w:val="0"/>
                <w:numId w:val="0"/>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10、执行2014款反光背心相关标准。同时需在产品标识下缝制一片尼龙布材质可水洗的非抗金属RFID标签</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防割手套</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付</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勤务手套轻软贴合，戴着后手掌、手指、手腕动作有最大限度的灵活性，可以灵活操作触屏手机、及执法记录仪、警务通、平板电脑等仪器，可以灵活操作长短枪、及伸缩警棍、催泪器、手铐等警械。在保护手掌、手指和小臂的同时，满足勤务工作中的手掌手指动作需要。在基本防护功能与灵巧性之间达到完美平衡，即防止单一僵硬防割而失去灵巧性，也避免单一灵巧性而失去防护功能，满足了一线警察正常勤务的综合性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2、360º(度)全方位都能抵御各种匕首、三棱刮刀、玻璃等锐器的切割伤害物体。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3、具有良好的防割性能、耐磨性能和抗撕拉性能、防滑性能和热接触性能，有效地保护人手部（手指、手掌、小臂）不被刀具等利刃割伤。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材料特性具有手形记忆功能：第一次使用前，可进行手形配对，材料对手型形状有记忆，佩戴后保证了最佳贴手性。材料拉伸弹性可兼容同一码数规格范围内肥瘦长短不同的手指。面料耐汗、耐海水并耐各种干洗剂和大多数洗涤剂的清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1、面料：混合织物（超高分子量聚乙烯、玻璃纤维、氨纶弹性纤维），手掌面至手指第一节部位涂有丁腈微泡沫涂层，虎口缝制有PU塑胶防护层，可反复多次用水清洗的面料。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2、灵巧性：国家 GB 24541 标准≥4级。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3、防割性能：国家 GB 24541 标准≥4级。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4、耐穿刺性：国家 GB 24541 标准≥1级。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5、抗撕裂性：国家 GB 24541 标准≥3级。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6、耐磨性能：国家 GB 24541 标准≥3级。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7、接触热：热源温度100度时，≥15秒；热源温度250度时，≥7秒。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9、小臂防护面积：静态面积≤260cm2；拉伸面积≤520cm2。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10、重量：≤75g。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11、各种有效防止匕首、三棱刮刀、玻璃等锐器的切割伤害物体；360º(度)防切割。</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单警急救包</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急救包应为竖向长方形皮包，用拉链开合，展开后，左侧有三层横向平面插袋，上层和中层两个插袋各有两个格仓；右侧有一个横向平面插袋，一个竖向小立体插袋，一个竖向大立体插袋和一个横向开口。横向平面插袋的面和底有里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2、长度：220mm±5mm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3、宽度：125mm±3mm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5、皮革撕裂强度：≥25N/mm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6、耐摩擦色牢度：干摩≥4级  湿摩≥3级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7、拉链平拉强力≥600N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8、配置：硝酸甘油片、创可贴、橡胶止血带、无菌纱布片、带垫急救绷带、口对口呼吸膜、酒精消毒片、抗菌湿纸巾、小剪刀、别针。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9、执行标准 GA891-2010 公安单警装备 警用急救包</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防暴头盔</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1、A型防暴头盔由壳体、缓冲层、衬垫、面罩、佩戴装置(包括系带、下颏托、佩戴扣和盔顶悬挂系统等)、护颈、战术导轨组成。</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2、衬垫应吸汗、透气、舒适。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3、防暴头盔不得使用有毒有害或引起皮肤过敏等伤害人体的材料。</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二、外观：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1、防暴头盔外表面应均匀平滑，表面无杂质、起泡、脱皮、剥落等缺陷。</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2、防暴头盔的壳体表面应无明显凹痕、尖锐角等缺陷。</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3、护颈织物部分不应有线头、拉丝、织造瑕疵，不应有翘边、褶皱、缺损。</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4、防暴头盔的面罩不应有凹凸痕、尖锐角、毛刺、气泡等缺陷，边缘应光滑圆钝，不应有毛边。</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三、标识：</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防暴头盔内侧应有清晰永久性的产品标志</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四、帽徽：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防暴头盔上应有帽徽，帽徽的图案、尺寸、颜色应符合GA270中大帽徽的规定,固定位置应符合GA 294-2023中附录A的规定。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五、颜色：</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1、防暴头盔的壳体外表面为藏蓝色哑光，护颈外表面颜色应为藏蓝色，战术导轨、面罩锁止机构外表面应为藏蓝色哑光。</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2、防暴头盔的壳体外表面光泽度为20～30。</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六、尺寸：</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防暴头盔外形尺寸应符合GA294-2023中附录A的规定，盔型应符合GA294-2023中附录B的规定。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七、质量：</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1、不含护颈的A型防暴头盔质量应小于或等于1.00kg，不含面罩、护颈的质量应小于或等于0.75kg。</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2、分体式护颈的质量应小于或等于80g，可拆卸护颈的质量应小于或等于200g。</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八、壳体：</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防暴头盔的壳体内表面应无高度超出3mm的尖锐物体。</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九、缓冲层：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防暴头盔应配置有能吸收碰撞能量的缓冲层，缓冲层应完全贴合壳体内表面，应具备导气槽设计。有灵活可调节缓冲结构设计。</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十、衬垫：</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防暴头盔与人头部接触的衬垫应能拆洗。</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十一、面罩：</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1、结构</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（1）A型防暴头盔的面罩与战术导轨之间应适用卡扣连接。</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（2）防暴头盔的面罩开合过程中，应能保持在非人工外力作用下的定位功能，且锁合可靠、稳定。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2、视觉质量</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（1）防暴头盔的面罩上任何小斑点或黑点的直径应小于等于1mm、数量应小于等于4个。</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（2）面罩透光率应大于等于85%。</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（3）面罩的光畸变最大量应小于等于6′。</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（4）面罩内表面应有防雾性能，主体材质为聚碳酸酯，具有产品透明度高，重量轻，抗冲击力强，坚固耐用等特点；力学性能应符合以下要求：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▲拉伸屈服强度≥60MPa （在检测报告中体现）  </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▲拉伸弹性模量≥2200MPa（在检测报告中体现）</w:t>
            </w:r>
            <w:r/>
          </w:p>
          <w:p>
            <w:pPr>
              <w:jc w:val="left"/>
              <w:keepLines w:val="0"/>
              <w:keepNext w:val="0"/>
              <w:widowControl/>
              <w:rPr>
                <w:rFonts w:hint="eastAsia" w:ascii="宋体" w:hAnsi="宋体" w:eastAsia="楷体_GB2312"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▲弯曲强度≥60MPa</w:t>
            </w:r>
            <w:r>
              <w:rPr>
                <w:rFonts w:hint="eastAsia"/>
                <w:color w:val="auto"/>
                <w:highlight w:val="none"/>
                <w:lang w:val="en-US" w:eastAsia="zh-CN"/>
              </w:rPr>
              <w:t xml:space="preserve"> </w:t>
            </w:r>
            <w:r>
              <w:rPr>
                <w:rFonts w:hint="eastAsia" w:ascii="宋体" w:hAnsi="宋体" w:eastAsia="宋体" w:cs="宋体"/>
                <w:color w:val="auto"/>
                <w:sz w:val="21"/>
                <w:szCs w:val="21"/>
                <w:highlight w:val="none"/>
                <w:vertAlign w:val="baseline"/>
                <w:lang w:val="en-US"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▲弯曲弹性模量≥2200MPa（在检测报告中体现）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▲邵氏硬度≥80HA  （在检测报告中体现）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▲负荷变形温度≥125℃  （在检测报告中体现）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▲线膨胀系数≤6.5x10-5（在检测报告中体现）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十二、佩戴装置：</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1、佩戴装置的系带应与壳体固定连接,A型防暴头盔系带宽度应为15mm±2mm。</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2、佩戴扣的开启闭合功能应方便可靠,能有效调节系带松紧程度。</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3、系带应能承受500N的拉伸负载，加载过程中系带不应出现撕裂、撕断、连接件脱落、佩戴扣松脱的现象,系带伸长量应小于等于25mm,卸载后佩戴扣应能正常使用。</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4、下颏带应具备紧急脱扣功能，且在受到大于500N且小于1000N的外力时，应通过解脱或断裂的方式实现紧急脱扣。</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6、A型防暴头盔应采用旋钮式头围调节方式。</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7、防暴头盔的佩戴装置应牢固舒适，可单手快速释放解脱。</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十三、护颈：</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护颈应使用软质防割阻燃材料制成，与壳体连接可靠，外形尺寸应符合GA294-2023中附录A的规定。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十四、战术导轨：</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1、战术导轨外形尺寸和配合尺寸应符合GA294-2023中附录A的规定。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2、战术导轨装载额定重量范围内的配件应牢固可靠，且拆装方便。</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十五、防渗漏性能：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防暴头盔在面罩闭合后，与壳体面部接合部位应能防液体流入。防暴头盔应能承受试验液体的喷洒，试验头模不应被着色。</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十六、抗撞击防护性能：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防暴头盔应能承受对面罩4.9J动能的冲击,冲击后面罩与试验头模的鼻子不应接触，且面罩应能正常开合。</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十七、抗冲击强度性能：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防暴头盔的面罩应能承受1g铅弹以150m/s±10m/s 速度冲击，冲击后面罩不应被击穿或破碎。</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十八、吸收碰撞能量性能：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防暴头盔应能承受49J能量的冲击，冲击时传递到试验头模上的力应小于4900N,且壳体不应破裂。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十九、耐穿透性能：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防暴头盔应能承受88.2J能量的穿刺，穿刺时落锤不应穿透警用防暴头盔与试验头模产生接触 。</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二十、防割性能：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使用专用的防割手套切割试验机，设定刀口压力为20N，刀片转速为20r/min,在被检测的护颈颈部中间垂直方向进行5次切割，每次割穿发生时，切割周数不少于3周。</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二十一、阻燃性能：</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防暴头盔外表面(面罩、战术导轨和壳体的外表面及护颈主体面料的外表面)续燃时间应小于或等于10s。</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二十二、涂层附着力：</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壳体外表面涂层附着力大于或等于GB/T 9286-2021中2级的规定。</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二十三、执行标准： GA 294-2023《警用防暴头盔》。</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color w:val="auto"/>
                <w:sz w:val="21"/>
                <w:szCs w:val="21"/>
                <w:highlight w:val="none"/>
                <w:vertAlign w:val="baseline"/>
                <w:lang w:val="en-US" w:eastAsia="zh-CN"/>
              </w:rPr>
              <w:t xml:space="preserve">面料材质聚碳酸酯材质力学性能的检验报告扫描件。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防弹头盔</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功能：头盔能吸收和耗散弹头的能量、阻止穿透、减轻钝伤并有效保护人体头部；面罩能吸收和耗散弹头的能量、阻止穿透并有效保护人体面部，不影响正常观察；</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执行标准：符合《GA 293-2012 警用防弹头盔及面罩》中防弹头盔的相关要求；</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材质：芳纶材料；</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防护等级：2级；</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符合以下项目：</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一般要求：防弹头盔由盔壳(含包边)和悬挂缓冲系统(含帽箍、缓冲层、下颏带、连接件等)组成。佩戴舒适、稳定；</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外观：盔壳外表面涂层均匀平滑，无外来杂质、起泡、脱皮、剥落等缺陷。悬挂缓冲系统组件完整、缝合牢固;所有金属件无锈蚀;紧急脱扣、调节扣等功能部件使用方便;下颏带和帽箍能调节。</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颜色：盔壳外表面颜色为“99” 式警服藏蓝色</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质量：小于1500g（不含附件）；</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下颏带装置强度：下颏带紧急脱扣的牢固度大于500N，在外力大于1000N时解脱或断裂；</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防弹性能：使用1954年式7.62mm 手枪, 1951年式7. 62mm手枪弹(铅心)在5m距离对防弹头盔进行射击试验，在5发有效命中情况下，头盔阻断弹头，盔壳弹痕高度均小于等于25mm,且测试后悬挂缓冲系统无零件脱落；</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5.7、</w:t>
            </w:r>
            <w:r>
              <w:rPr>
                <w:rFonts w:hint="eastAsia" w:ascii="宋体" w:hAnsi="宋体" w:eastAsia="宋体" w:cs="宋体"/>
                <w:color w:val="auto"/>
                <w:sz w:val="21"/>
                <w:szCs w:val="21"/>
                <w:highlight w:val="none"/>
              </w:rPr>
              <w:t xml:space="preserve">耐浸水性能：常温下防弹头盔在水中浸泡24h 后，盔壳表面不出现裂缝、起泡、分层的现象。在2发有效命中情况下，防弹头盔阻断弹头，首发弹着点的盔壳弹痕高度25mm，且测试后悬挂缓冲系统无零件脱落；</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5.8、</w:t>
            </w:r>
            <w:r>
              <w:rPr>
                <w:rFonts w:hint="eastAsia" w:ascii="宋体" w:hAnsi="宋体" w:eastAsia="宋体" w:cs="宋体"/>
                <w:color w:val="auto"/>
                <w:sz w:val="21"/>
                <w:szCs w:val="21"/>
                <w:highlight w:val="none"/>
              </w:rPr>
              <w:t xml:space="preserve">环境适应性：环境温度-25℃-+55℃条件下，盔壳表面不出现裂缝，起泡、分层的现象;在2发有效命中情况下，防弹头盔阻断弹头，首发弹着点的盔壳弹痕高度小于等于25mm,且测试后悬挂缓冲系统无零件脱落</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5.9、</w:t>
            </w:r>
            <w:r>
              <w:rPr>
                <w:rFonts w:hint="eastAsia" w:ascii="宋体" w:hAnsi="宋体" w:eastAsia="宋体" w:cs="宋体"/>
                <w:color w:val="auto"/>
                <w:sz w:val="21"/>
                <w:szCs w:val="21"/>
                <w:highlight w:val="none"/>
              </w:rPr>
              <w:t xml:space="preserve">防弹头盔表面应具有防腐蚀性能，涂层要求：表面涂层经300h人工老化后不应起泡、不脱落、不开裂、不粉化、不发霉、不生锈，变色≤1级，失光≤1级 （在检测报告中体现）</w:t>
            </w:r>
            <w:r>
              <w:rPr>
                <w:rFonts w:hint="eastAsia" w:ascii="宋体" w:hAnsi="宋体" w:eastAsia="宋体" w:cs="宋体"/>
                <w:color w:val="auto"/>
                <w:sz w:val="21"/>
                <w:szCs w:val="21"/>
                <w:highlight w:val="none"/>
                <w:lang w:eastAsia="zh-CN"/>
              </w:rPr>
              <w:t xml:space="preserve">；</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color w:val="auto"/>
                <w:sz w:val="21"/>
                <w:szCs w:val="21"/>
                <w:highlight w:val="none"/>
              </w:rPr>
              <w:t xml:space="preserve">头盔油漆性能检验报告</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警用约束带</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1、功能：对人体正常行为姿态进行限制的组合械具，由脚腕束缚带、手腕束缚带和肘臂束缚带三部分组成。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2、执行标准：《GA 814-2009 警用约束带》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观：表面平整、光滑、色泽均匀，金属零部件或其他材料无划痕、尖锐棱角等缺陷。各部位连接圆滑整齐。缝纫线路顺直，定位准确，明线距边宽窄一致，结合牢固，包边平整无皱褶。上下线吻合、平直、针距均匀，无连续跳线、掉道、开线、漏针、线头等缺陷。缝制针码密度:10针/ 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4、结构尺寸：1.脚腕束缚带由左右脚腕带、锁扣和连接链(带)组成，脚腕带宽50mm，脚腕带扣合长度可调节，内周</w:t>
            </w:r>
            <w:r>
              <w:rPr>
                <w:rFonts w:hint="eastAsia" w:ascii="宋体" w:hAnsi="宋体" w:eastAsia="宋体" w:cs="宋体"/>
                <w:i w:val="0"/>
                <w:iCs w:val="0"/>
                <w:color w:val="auto"/>
                <w:sz w:val="21"/>
                <w:szCs w:val="21"/>
                <w:highlight w:val="none"/>
                <w:u w:val="none"/>
                <w:lang w:val="en-US" w:eastAsia="zh-CN" w:bidi="ar"/>
              </w:rPr>
              <w:t xml:space="preserve">长调节范围270mm-370mm;调节孔为单孔或双孔，间距为35mm。连接链(带)长280mm。 2.手腕束缚带由尼龙编织带制成的腰带、左、右手腕带、金属锁扣和金属链连接组成。腰带宽60mm。腰带扣合长度可调节，腰带长度按扣合后内周长分为三个规格; 调节孔分单孔和双孔，间距为55mm，手腕带宽50mm，内周长范围195mm ~ 205mm,调节孔分单孔和双孔，间距为30mm。金属连接链总长280mm。 3.肘臂束缚带由尼龙编织带制成，宽50mm,长800~ 1075mm，调节孔分单孔和双孔，间距为55mm；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5、颜色：带体为黑色，金属件为银白色金属光泽。各部件表面颜色一致。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6、质量：2250g；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7、灵活度：金属锁扣开启、闭合轻松灵活；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8、带体耐摩擦色牢度：耐摩擦色牢度4级；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抗拉强度：手腕束缚带、脚腕束縛带的金属连接件在承受4000N的静拉力后，不出现带体断裂，锁扣松脱现象。手腕束缚带、脚腕束缚带、手腕束缚腰带、肘臂束缚带锁定点在承受4000N静拉力后，锁定点不出现任何脱落、滑脱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10、耐用度：警用约束带的金属锁扣的工作次数不小于6000次。</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单警能源终端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1.标识标志共性：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有明显的环保再循环、禁止明火、环保期限、禁止丢弃标识；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有清晰的产品名称、产品型号、输入输出接口、制造商名称、额定输入输出电流电压、额定容量标识。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2.功能要求：支持随身装备快速充电；具备白光照明、红蓝警示、黄光驱蚊功能。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3.外观材质共性：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3.1颜色：包含黑色、白色（支持颜色定制）；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3.2数显：实时显示电量；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4.主体材质：采用 ABS 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4.1发光体材质：采用可透光 PC 材质（含正面环形、两侧发光结构，支持三面发光）；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4.2正面面板：PC 材质，用于数显及标识显示。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5.规格参数：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5.1本体尺寸（不含线束）：长≤121mm、宽≤71mm、厚≤30.5mm；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5.2正面环形发光体尺寸：左右宽≥14.5mm、长≥93.5mm，上下宽≥11.5mm、长≥68.0mm；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5.3两侧发光体尺寸：下宽≥24.5mm、上宽≤51.5mm、高≤15mm；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5.4线材挂载高度：≥59.0mm；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5.6电芯容量：≥20000mAh；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5.7重量：≤400g；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5.8输入输出：支持 USB、Type-c、Lightning 接口；兼容 5V3A/9V3A/10V2.25A/12V2.5A/15V2A/20V1.5A（30W Max），Lightning 线输出 5V3A/9V3A（27W Max），Type-c 输入 5V3A/9V2.22A/12V*1.66A（20W Max）；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5.9线材：黑色编织线材，支持挂载（承重≥500g）。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6.性能要求共性：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6.1红蓝警示功能：光信号可视距离（红、蓝光）≥200m；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6.2底部强磁：设有内嵌式圆形强磁，可吸附于金属物体；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6.3内嵌芯片：装载 RFID 电子识别芯片；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6.4续航时间：红蓝警示模式下满电续航≥96h；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6.5工作温度：-20℃--60℃；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7.3C认证：产品通过3C认证，提供认证证书。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8.挂载适配共性：支持与战术背心（或腰带）挂载携行，提升实用性。</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伸缩防卫棍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1、伸缩警棍采用基础型，包括棍体、防脱环、维护保养包。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2、尺寸：收回长度L1：224±1.5mm ；伸展长度L2：508±2mm；握把外径D1：φ26.5±0.15mm；中管外径D2：φ20.5±0.1mm；小管外径D3：φ16.0±0.1mm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3、重量：≤340.0g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4、伸缩可靠性：伸缩警棍伸展、收回为一个循环，分别用拉出伸展和甩动伸展循环≥3000次后，应能正常伸展和收回。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5、执行标准《GA 886-2018公安单警装备伸缩警棍》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6、防卫棍上应有“警徽”、“SECURITY”字样，握把橡胶套压注有凸起“伸缩防卫棍”字样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7、警棍握把两侧内嵌入加载2片硬质RFID电子标签，电子标签不凸出表面。</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交通指挥棒</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1、质量：213.4g。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2、工作温度：-20～55℃。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3、电源：18650锂电池，容量1500mAh。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4、发声强度：距离指挥棒10cm处，电子哨音大于110dB(A)。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5、闪烁频率：频闪频率为2.2Hz，频闪时的亮暗时间比为1：0.9。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6、光源： 红蓝LED灯组频闪、白光LED照明。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7、工作时间：频闪状态下连续工作时间≥10h，白光照明≥20h。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8、发光强度： 红蓝频闪常亮状态下大于0.4cd。距100cm处，白光照明初始照度不小于60lx。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9、可视距离: 200米以上（黑暗环境）。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10、开关耐久性：30000次。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11、外壳防护等级：IP55。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12、跌落试验：低温试验后，2m高度，分别以水平、头部、尾部三个方向跌落在水泥地面后，能正常工作，各组成部分无松脱、开裂。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13、吸附功能：尾部内置磁铁，可吸附在磁铁或铁质金属物质表面。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14、规格尺寸：整体长度为298mm；发光部分直径为36.02mm；发光部分总长度为136mm。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15、静电放电抗扰度：符合GB/T 17262.2-2006中等级3的规定。</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战术背心</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为日常勤务人员提供辨识度高及轻量化的背心，方便携带日常勤务所需的单警装备，能够有效减轻单警携装负重，提升穿着舒适度，提高见警率、单警机动性与实战水平。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2.背心结构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2.1背心整体设计可配合传统警服穿着，可集成挂载单警装备快拆模块（单警装备6件套）、LED 警示灯、能源终端、防刺防弹插板、温控模块等单警携行装备；具有装置可拆卸的防刺/弹芯片内层。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2.2肩带采用缓冲垫结构设计，能有效分散肩部压力，减轻携装负重感，左右肩部设置固定织带，可固定挂载手电、对讲机、执法仪等。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2.3前幅具有模组魔术毛，可粘贴警号、胸徽、警察反光识别章。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具有模块化molle大挂载平台，可根据不同实战使用场景需求进行装备携行配置，实现背心与单警装备一体集成。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2.4后幅具有模组魔术毛设计，可粘贴警察反光识别章、LED警示灯，水洗反光布设计，可用于夜间执勤。具有模块化molle大挂载平台，可根据不同实战使用场景需求进行装备携行配置，实现装、服不分离。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2.5背心两侧腰部可根据人体腰围大小调节。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3.1主体面料：符合EN471标准的高强耐磨≥600D涤纶及网布，聚酯纤维。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3.2辅助面料要求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3.2.1 600D PU 防泼水抗污涤纶布，聚酯纤维；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3.2.2 工业水洗反光布，反光度≥400RA；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3.2.3 电压章“警察”“POLICE”“警察 POLICE”字体，反光度≥500RA；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3.2.4前中5#胶牙拉链，内饰5#、7#拉链；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3.2.5 A级尼龙软性魔术毛、尼龙防水魔术勾、尼龙织带。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5.尺寸：均码，适合身高170-185cm的警务人员穿着，兼容度高。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6.重量：背心≤800g；附件包（6件套）≤520g。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7.LED警示灯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7.1尺寸：248(±3)×37(±1)×10(±1)mm；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7.2重量：≤28g；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7.3材质/颜色：ABS，涤纶；红蓝两色；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7.4外观：印有警察POLICE标识；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7.5功能：自带电池、type-c接口，红蓝闪模式，蓝光闪3次，红光闪3次，红/蓝光同时闪3次；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7.6充满电时长：≤2h；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7.7工作时长：红蓝闪续航≥10h；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7.8可视距离：红、蓝光（无月星空，裸眼观测）≥300m；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8.配置要求：多功能战术背心1件、单警附件包1组、led 警示灯1条、执法仪固定套1个。</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辅警勤务头盔</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510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1、材质：工程塑料。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2、产品结构：由壳体、悬挂系统、佩戴装置等构成。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3、规格：小（S）适用头围尺寸540~560mm、中（M）适用头围尺寸560~580mm、大（L）适用头围尺寸580~600mm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标识、帽徽：左侧粘贴黑体正楷英文“POLICE”，字高33mm，字长108mm（弦长）；右侧粘贴黑体中文“督察”或“警察”，字高40mm，字长108mm（弦长）；材料为蓝色反光膜。使用99式警用服饰-帽徽，安装孔间距为22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6、佩戴牢靠舒适，解脱方便。施加23kg±0.5kg的载荷，维持2min,头盔不得出现系带断裂；且不出现连接件脱落及搭扣松脱的现象。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7、头盔质量1kg。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吸收碰撞能量性能：经（高温50℃±2℃，4h）、（低温-10℃±2℃，4h）、（雨淋，喷水量15L/min，1h）预处理后，头盔佩戴于相应的头型上，升高到1000mm±5mm，任选2处，间距不小于120mm，各自由坠落1次。加速度峰值≤400g，头盔壳体不得出现裂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9、耐穿透性能：质量为3kg的钢锥，从1000mm±5mm处自由落下，试验2次，间距不小于75mm，钢锥不得穿透头盔与头型接触。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10、耐候性能：按GB/T16422.2规定老化试验，持续时间7个循环，头盔外表面无明显侵蚀、变形和失色现象。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11、执行标准：《GA296-2001警用勤务头盔》。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手持式催泪喷射器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1、容量：400ml；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2、重量：600g；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3、尺寸：高265mm，直径65mm；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4、OC溶液含量：2.0-3.0%；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5、1秒按压点射次数：25次；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6、持续喷射时间：28秒；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7、保险装置：带有安全插销的激发装置；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8、操作方式：可佩戴手套操作，左、右手均可操作；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9、填充物：凝胶液态；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10、喷射模式:直线射流状；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11、有效射程：1-7m；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12、配有大腿外挂尼龙套。</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臂盾（碳纤维）</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1、配置要求：防暴盾牌盾体材质为碳纤维树脂复合材料，盾体背部有缓冲垫。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2、尺寸规格：长436mm±5mm，宽150mm±5mm；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3、重量：≤700g；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4、防护面积：≥0.05㎡；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5、握把连接强度：握把与盾体之间的连接能承受500N的拉力，不应有脱落、松动或断裂现象；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6、耐冲击强度：护臂的盾体应能承受147J动能的冲击，冲击后受力点不应有穿洞或在受力点半径50mm之外出现贯穿性开裂；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7、耐穿刺性能：护臂的盾体应能承受147J动能的冲击，穿刺后受力点不应有大于6mm的穿洞或在受力点半径20mm之外出现贯穿性开裂；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8、耐击打强度：护臂能承受击打试验机的击打，击打点线速度为18m/s±0. 3m/s,击打能量为342J±13J,一次击打后，盾体不应破碎或出现长度大于5 0mm的贯穿性开裂，击打后盾体产生的最大凹陷深度应小于或等于30mm；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9、耐刀砍性能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9.1、护臂的侧边沿应能抵御线速度为8.5m/s±0.5m/s、能量为100J±5J的击砍,试验后刀砍痕迹深度应小于或等于50mm；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9.2、将护臂平放置于金属底座上并固定，对护臂中间位置进行击砍，护臂应能抵御线速度为8.5m/s±0.5m/s、能量为100J±5J的击砍,试验后盾体应无贯穿性开裂；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10、阻燃性能：护臂的盾体外表面继燃时间应小于或等于10s；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11、盾体材质为碳纤维树脂复合材料，盾体厚≥3.75mm，盾体背部有缓冲垫。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12、护臂应内嵌装载RFID电子识别芯片。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13、执行标准：GA422-2019《警用防暴盾牌》</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警绳</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要</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1、包装：尼龙绳包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2、结构与外观要求：警绳绳体由包覆4根包芯绳编织而成。警绳外观应整洁、标志清晰、无划伤、无严重起毛起球等缺陷，整根警绳绳体不应有拼接，缝制部位应牢固可靠。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3、尺寸要求：警绳长度应≥5120mm,直径应≥8.7mm。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4、材料要求：警绳应无异味，不应含有危害人体健康的成分。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5、总质量要求：警绳的总质量（含包装）应≤150g.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6、性能要求：警绳承受拉力应≥500N。</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警戒带</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1、一等品涤纶；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2、带身长度60M；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3、带身宽度：75mm±2mm；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4、断裂强力（径向强力、整根）≥600N；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5、断裂伸长率（整根）≤30%；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6、耐洗色牢度≥3级；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7、耐摩擦色牢度≥2级；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8、产品应符合GA/T 375-2016 警戒带标准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约束装具</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1、约束带应符合《GA 814-2009约束带》执行标准。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2、组成及功能：应由脚腕束缚带、手腕束缚带、肘臂束缚带等组成，带体应使用尼龙编织带制成。可通过磁性锁扣实现开启和锁闭。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3、颜色:带体颜色应为黑色或橙色,金属件应为银白色金属光泽。各部件表面颜色应一致。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4、带体材料及规格:使用尼龙6编织带材料制成的带体,规格分为50mm和60mm两种规格。使用其他材料制成的带体,符合相关材料标准的规定,规格分为50mm和60mm两种规格。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5、质量:应≤3000g。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6、灵活度:金属锁扣开启、闭合应轻松、灵活。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7、带体耐摩擦色牢度:应≥4级。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8、锦丝搭扣带扣合强力:应符合GA 732-2007的规定。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抗拉强度:手腕束缚带、脚腕束缚带的金属连接件在承受4000N的静拉力后,不应出现带体断裂,锁扣松脱现象。手腕束缚带、脚腕束缚带、手腕束缚腰带、肘臂束缚带锁定点在承受4000N静拉力后,锁定点不应出现任何脱落、滑脱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10、耐用度:警用约束带金属锁扣的工作次数应≥6000次。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11、耐腐蚀性:警用约束带金属零部件耐腐蚀等级应≥6级,喷雾周期为8h。实验后的金属锁扣开启、闭合应轻松、灵活。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12、包装尺寸（长*宽*高）298mm±5mm*220±5mm*92mm±5mm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阻车路障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Style w:val="1073"/>
                <w:rFonts w:hint="eastAsia" w:ascii="宋体" w:hAnsi="宋体" w:eastAsia="宋体" w:cs="宋体"/>
                <w:color w:val="auto"/>
                <w:sz w:val="21"/>
                <w:szCs w:val="21"/>
                <w:highlight w:val="none"/>
                <w:lang w:val="en-US" w:eastAsia="zh-CN" w:bidi="ar"/>
              </w:rPr>
              <w:t xml:space="preserve">1、结构：穿刺式阻车路障由金属材质底座，阻车钉带、金属刺针、装备箱组成。</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2、一般要求：路障表面无锈蚀和机械损伤，紧固部位牢靠、无松动，活动部位灵活、可靠。各部件质检联接方便。</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3、操作灵活性：路障易于展开、收拢和操作方便，各组成部分相互协调、动作准确；机械机构型路障展开时间不大于1min；收拢时间不大于1min。</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4、材质：主体材质为高强度铝合金，刺针采用三角形锌合金刺针。</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5、质量：</w:t>
            </w:r>
            <w:r>
              <w:rPr>
                <w:rStyle w:val="1072"/>
                <w:rFonts w:hint="eastAsia" w:ascii="宋体" w:hAnsi="宋体" w:eastAsia="宋体" w:cs="宋体"/>
                <w:color w:val="auto"/>
                <w:sz w:val="21"/>
                <w:szCs w:val="21"/>
                <w:highlight w:val="none"/>
                <w:lang w:val="en-US" w:eastAsia="zh-CN" w:bidi="ar"/>
              </w:rPr>
              <w:t xml:space="preserve">≤</w:t>
            </w:r>
            <w:r>
              <w:rPr>
                <w:rStyle w:val="1073"/>
                <w:rFonts w:hint="eastAsia" w:ascii="宋体" w:hAnsi="宋体" w:eastAsia="宋体" w:cs="宋体"/>
                <w:color w:val="auto"/>
                <w:sz w:val="21"/>
                <w:szCs w:val="21"/>
                <w:highlight w:val="none"/>
                <w:lang w:val="en-US" w:eastAsia="zh-CN" w:bidi="ar"/>
              </w:rPr>
              <w:t xml:space="preserve">25kg。</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6、路障有效长度：</w:t>
            </w:r>
            <w:r>
              <w:rPr>
                <w:rStyle w:val="1072"/>
                <w:rFonts w:hint="eastAsia" w:ascii="宋体" w:hAnsi="宋体" w:eastAsia="宋体" w:cs="宋体"/>
                <w:color w:val="auto"/>
                <w:sz w:val="21"/>
                <w:szCs w:val="21"/>
                <w:highlight w:val="none"/>
                <w:lang w:val="en-US" w:eastAsia="zh-CN" w:bidi="ar"/>
              </w:rPr>
              <w:t xml:space="preserve">≥5</w:t>
            </w:r>
            <w:r>
              <w:rPr>
                <w:rStyle w:val="1073"/>
                <w:rFonts w:hint="eastAsia" w:ascii="宋体" w:hAnsi="宋体" w:eastAsia="宋体" w:cs="宋体"/>
                <w:color w:val="auto"/>
                <w:sz w:val="21"/>
                <w:szCs w:val="21"/>
                <w:highlight w:val="none"/>
                <w:lang w:val="en-US" w:eastAsia="zh-CN" w:bidi="ar"/>
              </w:rPr>
              <w:t xml:space="preserve">m。</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7、刺针有效长度：≥20mm。</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8、刺针有效间距：≤70mm。</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90、刺针拔出力：路障的刺针在轴向承受 30N的拉力不脱落；施加100N的拉力时立即脱落。</w:t>
            </w:r>
            <w:r>
              <w:rPr>
                <w:rStyle w:val="1073"/>
                <w:rFonts w:hint="eastAsia" w:ascii="宋体" w:hAnsi="宋体" w:eastAsia="宋体" w:cs="宋体"/>
                <w:color w:val="auto"/>
                <w:sz w:val="21"/>
                <w:szCs w:val="21"/>
                <w:highlight w:val="none"/>
                <w:lang w:val="en-US" w:eastAsia="zh-CN" w:bidi="ar"/>
              </w:rPr>
              <w:br/>
            </w:r>
            <w:r>
              <w:rPr>
                <w:rStyle w:val="1073"/>
                <w:rFonts w:hint="eastAsia" w:ascii="宋体" w:hAnsi="宋体" w:eastAsia="宋体" w:cs="宋体"/>
                <w:color w:val="auto"/>
                <w:sz w:val="21"/>
                <w:szCs w:val="21"/>
                <w:highlight w:val="none"/>
                <w:lang w:val="en-US" w:eastAsia="zh-CN" w:bidi="ar"/>
              </w:rPr>
              <w:t xml:space="preserve">10、有效拦截时间：将路障放置在水泥路面上并展开到有效长度，试验汽车以20km/h 速度压过路障后，左前轮轮胎完全失去充气压力时间为≤1min，右前轮轮胎完全失去充气压力时间为≤1min。</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防弹防刺服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、执行标准：《GA 141-2010警用防弹衣》、《GA 68-2024警用防刺服》。</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、材料:聚乙烯+芳纶。</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、防护等级:防弹性能3级，防刺性能A类。</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、防护层重量（含保护套）:≤3kg。</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、防护面积:≥0.25㎡。</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、防护层主要材料: 高性能芳纶浸胶机织布和高性能聚乙烯纤维无纬布，高性能聚乙烯纤维无纬布是由超高分子量聚乙烯长丝织成，超高分子聚乙烯长丝性能应符合以下要求：</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线密度偏差率：±2%; （在检测报告中体现）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6.2、</w:t>
            </w:r>
            <w:r>
              <w:rPr>
                <w:rFonts w:hint="eastAsia" w:ascii="宋体" w:hAnsi="宋体" w:eastAsia="宋体" w:cs="宋体"/>
                <w:color w:val="auto"/>
                <w:sz w:val="21"/>
                <w:szCs w:val="21"/>
                <w:highlight w:val="none"/>
              </w:rPr>
              <w:t xml:space="preserve">断裂强度：≥30.2cN/dtex ;（在检测报告中体现）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断裂伸长率：≤3.8%; （在检测报告中体现）</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、防护枪械类型:1979年式7.62mm 轻型冲锋枪。</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、防护子弹类型:1951年式7.62mm手枪弹（铅心）。</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、防弹性能：</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rPr>
              <w:t xml:space="preserve">常温背衬材料凹陷深度:≤25mm；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rPr>
              <w:t xml:space="preserve">浸水背衬材料凹陷深度:≤25mm；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9.3、</w:t>
            </w:r>
            <w:r>
              <w:rPr>
                <w:rFonts w:hint="eastAsia" w:ascii="宋体" w:hAnsi="宋体" w:eastAsia="宋体" w:cs="宋体"/>
                <w:color w:val="auto"/>
                <w:sz w:val="21"/>
                <w:szCs w:val="21"/>
                <w:highlight w:val="none"/>
              </w:rPr>
              <w:t xml:space="preserve">高温背衬材料凹陷深度:≤25mm；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9.4、</w:t>
            </w:r>
            <w:r>
              <w:rPr>
                <w:rFonts w:hint="eastAsia" w:ascii="宋体" w:hAnsi="宋体" w:eastAsia="宋体" w:cs="宋体"/>
                <w:color w:val="auto"/>
                <w:sz w:val="21"/>
                <w:szCs w:val="21"/>
                <w:highlight w:val="none"/>
              </w:rPr>
              <w:t xml:space="preserve">低温背衬材料凹陷深度:≤25mm；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9.5、</w:t>
            </w:r>
            <w:r>
              <w:rPr>
                <w:rFonts w:hint="eastAsia" w:ascii="宋体" w:hAnsi="宋体" w:eastAsia="宋体" w:cs="宋体"/>
                <w:color w:val="auto"/>
                <w:sz w:val="21"/>
                <w:szCs w:val="21"/>
                <w:highlight w:val="none"/>
              </w:rPr>
              <w:t xml:space="preserve">湿热背衬材料凹陷深度:≤25mm；</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、防护层保护套为黑色，保护套四边密封且封边均匀一致，耐静水压≥18kPa，抗静水压性能: ≥5级；</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、防刺性能符合:《GA 68-2019警用防刺服》A类防刺服防刺性能的有关要求。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color w:val="auto"/>
                <w:sz w:val="21"/>
                <w:szCs w:val="21"/>
                <w:highlight w:val="none"/>
              </w:rPr>
              <w:t xml:space="preserve">的超高分子量聚乙烯长丝力学性能的检验报告。▲</w:t>
            </w:r>
            <w:r>
              <w:rPr>
                <w:rFonts w:hint="eastAsia" w:ascii="宋体" w:hAnsi="宋体" w:eastAsia="宋体" w:cs="宋体"/>
                <w:color w:val="auto"/>
                <w:sz w:val="21"/>
                <w:szCs w:val="21"/>
                <w:highlight w:val="none"/>
                <w:lang w:val="en-US" w:eastAsia="zh-CN"/>
              </w:rPr>
              <w:t xml:space="preserve">项需在检测报告中体现。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防弹盾牌</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面</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1、防弹盾牌的防弹性能需执行《GA423-2015》防弹盾牌标准；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2、防弹盾牌材料：盾体由≥5.8mm厚高性能聚乙烯纤维无玮布层压制而成；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3、防弹盾牌结构：盾体背面有把手和臂带，防弹玻璃结构由迎弹面依次为：4.0mm厚玻璃+2mm厚胶层+8.0mm厚玻璃+1.25mm厚胶层+4.5mm厚Pc板；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4、防弹级别:公安三级；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5、防弹盾牌防护面积：≥0.16m²；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6、防弹盾牌重量： 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7、盾体视窗透光率：≥ 70%，最小可视面积应≥40cm²；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弹性能：使用79式7.62mm轻型冲锋枪，51式7.62mm手枪弹（铅芯）对防弹盾牌的盾体和视窗进行常温、浸水、高温、低温射击，防弹盾牌应阻断弹头，背面主体防弹材料无脱落、观察窗、射击孔盖板、把手等连接部件无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9、盾体阻燃性能：续燃时间＜10s；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10、漆膜附着力：≥GB/T 9286-1998中规定的2级；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11、连接强度：手柄与盾牌的连接强度≥600N的拉力；</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急救箱</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材质：铝合金框架、铝塑面板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重量：3.71kg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配置清单：材质：铝合金框架、铝塑面板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重量：3.71kg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配置清单：1 听诊器 1 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血压表 1 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硝酸甘油片 1 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医用镊子 1 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体温计 1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乳胶医用手套 1 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剪刀 1 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止血带 1 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口对口呼吸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三角巾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 清洁湿巾 5 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 医用夹板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 网状弹力帽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 急救毯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 清凉油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 无菌敷贴（大号） 2 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 创口贴 1 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 医用棉签 2 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 75%酒精消毒液100ml 1 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 碘伏消毒液100ml 1 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 弹力绷带 1 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 冰袋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 酒精棉球 2 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 医用透气胶带 1 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 医用烧伤敷料（烫伤膏） 1 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 笔记本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 写字笔 1 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 急救手册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29 急救箱空箱 1 个</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应急绳</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1、材质：高强度丙纶+A3钢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2、长度：4米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3、宽度：4.4厘米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4、强度：5吨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5、重量：650g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灭火器（气溶胶）</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1、气溶胶灭火器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2、灭火能力：21B 、5F；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3、灭火类别：B、C、E、F类火；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4、灭火有效距离：≥2m；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喷放时间：≥8s；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5、产品净重：810±10g；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6、产品长度：240±5mm；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7、最大径向尺寸：60±5mm；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救生衣</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1、执行标准：GB4303-2008船用救生衣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2、浮力材质：聚乙烯泡沫塑料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3、被火完全包围后，不致燃烧或维续熔化≥2S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4、跳入水中不致受伤的高度≥4.5m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5、将人员托出水面高度≥120mm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6、身体向后倾斜于竖直方向角度≥20°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7、将人员拖出水面时间&lt;5s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8、浸没于淡水24h浮力损失小于5%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9、浮力≥150N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10、救生衣配置要求,夜间救援灯、拉环、口哨</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破拆工具组</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1、材质：45*钢；热处理工具钢。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2、产品用途：轻松撬开门窗；拔起钢钉；撕开铁皮 ；撬掉挂锁；砍开木门；冲击切割防盗门； 车体等；冲击凿开坚硬物体；冲击凿开混凝土及砖石墙体；高空携带施救。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3、组成：伸缩型冲击杆1根（4.25KG 杆长650MM 冲击行程330MM）长尖凿1根（380MM）长平凿1根（380MM）短尖凿1根（280MM）短平凿1根（280MM）长铲1根（420MM）月牙撬1根（300MM）鹰嘴撬1根（330MM）。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停车示意牌</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1、材料：ABS工程塑料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2、充电时间：≤3h。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3、总质量（含可充电电池）：≤320g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4、工作模式：停车牌有常亮、频闪两种模式，灯色为红色。停车示意牌尾部有照明灯，在充满电的状态下可连续照明≥6H。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5、执行标准：《GA/T1370-2016警用停车示意牌》</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隔离围挡（伞式）</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1、围挡主体：围挡主体由挡布、支撑杆组成、需配字帖、顶棚布、沙袋、地钉、携行包等；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2、颜色:警蓝色；背面PU涂层，正面防水处理；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3、骨架：实心玻璃钢纤维杆，表面喷塑耐腐蚀涂层；直径12mm±0.05mm；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4、中杆材质：6061铝合金；直径：32mm±0.05mm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5、组成：由围挡布、支撑杆、字帖、顶棚布≥长2000mm×宽2000mm±10mm；、沙袋、地钉、携行包组成；围挡与顶棚布（2套围挡配1片顶棚布）；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6、展开尺寸：2m*2m±0.05m；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7、收纳尺寸：≤900mm；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8、重量：4.2kg±0.1kg；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9、骨架由多折叠设计，中杆需有2个转向装置组成；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10、围布中心位置与骨架伞盘需毛刺固定；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11、单片围挡正反面可拆卸字帖设计；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12、围布四个角与伞骨要有尼龙绑绳固定，防止收纳脱落；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13、围挡可采用多片毛刺粘贴组合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14、环境要求：高温耐受≥40℃,4h后无变形、开裂、破损现象；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15、围挡正反面警示条各采用2条3M银灰高强度反光材料；反光条规格：单根长2000mm±5mm，宽50mm±1.5mm；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16、围布两边需要打鸡眼扣各一颗，用于两侧固定加强抗风；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17、四角需设计有高强度不低于750D耐磨复合牛津布；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18、围布底部两侧各加一块魔术贴配重布；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19、配重杆底部加黑色L型金属铁支架；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20、围挡顶部反面加三条毛刺（绒面），四片围挡组使用时可拓展加顶棚遮阳布；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21、围布上反光条距顶部边缘：710mm，上下反光条间距：655mm，下反光条距底部边缘：545mm；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22.状态转换时间：单片围挡展开或收缩时间≤30秒；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23、耐磨性能：采用符合牛津布；NO.600水沙纸；名义压力为9kpa.≥5000次。</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手持喊话器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1、产品组成：手持警用喊话器由喊话器、腕带和肩挂带组成喊话器具有1个USB接口、1个TF卡接口、一个充电器电源插头接口，7个按键、1个开关和3个指示灯。喊话器内置可充2000mAh锂电池；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2、产品功能：喊话、110警报、119火警、录/放音、照明、U盘插口、TF卡盘插口、蓝牙；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3、峰值功率：≥20W；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4、工作电源：锂电池和干电池转换使用；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5、电源电压：7.4V和9V；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6、充电器：10.5V/1000mA；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7、声级：≥112dB；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8、电量显示：显示电池的电量（25%、50%、75%、100%）；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9、照明功率：≥1.2W（弱光、强光、爆闪）；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10、频率特性：300HZ-20KHZ；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11、录音时间：≥240秒；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12、产品规格：长262mm±2mm，外径168mm±2mm，宽225mm±2mm；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13、产品重量：≤650（不含干电池）；</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警灯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主要部件及材料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1.1、底板上盖： 采用铝合金材料，工艺性好，抗冲击力强。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1.2、灯罩： 采用聚碳酸酯材料，表面经镀膜强化处理，硬度&gt;4H，透明度&gt;9级。内置反光镜。灯罩为红、蓝色，中间为透明灯罩，采用高级进口染料，色泽标准、经久耐用不褪色。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1.3、光源：采用透镜反光镜组合式光源模组：9只大功率LED-8闪灯，2只大功率LED-6巷灯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1.4、单颗LED功率≥3W</w:t>
            </w:r>
            <w:r/>
          </w:p>
          <w:p>
            <w:pPr>
              <w:numPr>
                <w:ilvl w:val="0"/>
                <w:numId w:val="0"/>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1.5、LED芯片规格≥45 mil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1.6、控制开关：采用警报器面板开关控制。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1.7、扬声器： 采用钕铁硼磁钢，电声转换效率高，声音响，频响宽。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2、主要技术参数：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2.1、环境温度  -40℃～55℃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2.2、工作电压  DC 12V ，负极接地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2.3、警灯功率：96W （ MAX）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2.4、工作电流：  8A  （MAX）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2.5、熔断器：≥20A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2.6、闪灯频率：0-180次/min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2.7、扬声器：≥100W / 8Ω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2.8、警报器配置：≥100W系列车用警报器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2.9、灯罩密封等级：≥IP65级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2.10、外形尺寸：≥1180×300×140mm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2.11、净   重 ：≤13.5kg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手持式抓捕器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1、执行标准：GA/T 1145-2014《警用约束叉》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2、组成结构：由叉头、叉杆、连接部位和握持部位等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3、尺寸：工作长度≥2050mm，携行长度≤1260mm，叉杆握持部位直径30mm～35mm，叉头闭合应无缝隙；质量：≤2.2kg；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5、尾盖玻璃锤可以击碎8mm钢化玻璃。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6、自锁功能：警用约束叉叉头闭合后，叉头自内向外应不能自由开启；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7、状态转换时间：携行状态与工作状态应能快速有效地转换，转换时间应≤7s；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8、抗破坏能力：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8.1、纵向抗拉能力：在叉头闭合状态下，沿叉杆轴向承受500N的静拉力作用时，叉杆的连接部位、叉杆与叉头的连接部位及叉头部件等不应出现裂纹、断裂或拉脱；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8.2、叉头横向抗拉能力：在叉头闭合状态下，沿叉头开启、闭合方向承受500N的静拉力作用时，叉头部件、叉头与叉杆连接部件等不应出现裂纹、断裂或拉脱；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8.3、叉杆抗弯能力：叉杆的中间点承受500N的横向力作用时，叉杆不应出现裂纹、断裂或拉脱；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9、操作可靠性：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9.1经过1000次开启、闭合循环后，应能正常使用。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9.2、由控制部件控制开启、闭合及锁止的抓捕器，控制部件的设置应符合：控制点与叉头底部的距离应不小于1500mm；若控制部件设有保护措施，其控制点位置不受限制；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9.3、抓捕器的叉杆连接应符合：若连接机构的操作为一次性触碰运动方式，其控制点位置与叉头底部的距离应不小于1500mm；若连接机构设有保护措施，其控制点位置不受限制。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10、所有外露紧固均采用304不锈钢材质.棍体底座有漏水口设计，设备上嵌入RFID电子标签确保整体美观的和可靠性。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1、材质：工程塑料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2、尺寸：Φ25mm±1mm×880±10mm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阻车路障（警摩）</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1、外壳材质：聚乙烯（PE）；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2、外形尺寸：边*边*长75mm*75mm*450mm；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3、工作温度：-20度—60度；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4、支架材质：聚苯乙烯(EPR)；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5、钢钉尺寸：M5*68mm；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6、钢钉数量：21个；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7、钢钉夹角：60度；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8、路障质量（含箱体，但不包括附件及工具）不大于2KG。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9、刺针有效长度检验大于13mm。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10、刺针有效间距检验小于55mm。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11、阻车路障一端内置固定环，连接扣环与连接线，连接线另一端固定阻车路障前端盖板。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12、阻车路障前端盖板表面为金属板，外置连扣环，方便与多功能腰带连接，解放双手。</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臂盾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面</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 422-2019《防暴盾牌》；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2、材质：盾体采用≥2.5mm厚的铝合金板制成；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盾体长度：≤520mm；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盾体宽度：≤135mm；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盾体高度：≤90mm；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盾体厚度：≥2.5mm；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4、外观：臂盾的表面应光滑，无可视的凹坑、突起、毛刺、尖角、划伤、斑点、脱漆及起皮等缺陷，外露金属结构应无锈蚀；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5、结构：由盾体、握把、臂带、缓冲层及破窗器等组成，破窗器安装于臂盾前端中间；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6、颜色：盾体表面为黑色；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7、重量：≤1.0kg；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8、防护面积：≥0.05㎡；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9、臂带连接强度：臂带与盾体间的连接应能承受≥900N拉力，不应有脱落、松动、脱扣或臂带断裂现象；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10、握把连接强度：握把与盾体间的连接应能承受≥900N拉力，不应有断裂、脱扣、松动、或脱落现象；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11、耐冲击强度：臂盾盾体应能承受147J动能的冲击，冲击后受力点不应有穿洞或贯穿性开裂；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12、耐穿刺性能：臂盾盾体应承受147J动能的穿剌,穿刺后受力点不应有大于直径6mm穿洞或贯穿性开裂；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13、耐击打强度：臂盾应能承受线速度为18m/s±0.3m/s、能量为342J±13J的击打，击打后盾体不应破碎或出现长度大于50mm的贯穿性开裂；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14、耐刀砍性能：臂盾盾体的上边沿应能抵御线速度为8.5m/s±0.5m/s、能量为100J±5J的击砍，刀砍痕迹深度应≤10mm；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15、涂层附着力：≥3级；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16、阻燃性能：盾体外表面续燃时间应≤2s；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17、缓冲层：盾体与手臂接触面应有≥13mm厚的缓冲层进行防护；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18、破玻璃功能：破窗器应能击碎5mm厚的钢化玻璃；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19、防水性能：缓冲层具有防水性能；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20、耐腐蚀性：≥10级，喷雾周期≥12h；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21、反光性能：盾体表面标识具有反光性能；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22、防抢倒刺功能：臂盾表面设有防抢倒刺；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23、所有外露紧固均采用304不锈钢材质。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24、在后绑带中间位置缝制RFID电子标签一个，并用红线圈出明显电子标签位置，并刻印二维码，参照江苏省地方标准《DB32/T 4916-2024 公安机关警用装备射频识别标签及二维码标识规范》执行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伸缩反光路锥（三脚架）</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1、特点：可折叠，反光强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2、材质：强反光材料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3、展开尺寸：450±10mm×450±10mm×390±2mm；收缩尺寸：450±10mm×130±2mm×30±2mm。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T型警棍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1、T型警棍应由棍体及T型端构成，棍体分为握持端和击打端。握持端及T型端应有防滑暗纹，T型端末端应有防脱手结构。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2、可以连续击打1000次后，棍体不出现断裂。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3、刚性性能良好，施加2000N的静压力，保持30s，棍体不出现裂纹或断裂，残余变形量小于3mm。                                                                                                   4、尺寸要求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棍体总长度L≤650mm;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握持端长度L1:140mm - 160mm;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T型端长度H:130mm- 150mm，且H≤L1;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棍体外径D1:φ 28mm- φ 33mm;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T型端握持部分外径D2:φ 28mm- φ 33mm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组合式警棍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1、由棍体和可拆卸的钝刺攻击头组成。握把处有橡胶包裹。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2、外观检验：外观应光滑，无弯曲，无变形，无毛刺，无划痕及其他外观缺陷。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3、质量检验：棍体质量应为1.5kg±0.1kg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4、尺寸检验：警棍棍体长度应为700mm±10mm,与攻击头组合后长度应为810mm±10mm，握把直径应为31mm±1mm，两根警棍组合后长度应为1440mm±20mm。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5、连接强度检验：棍体与钝刺攻击头组合后，对组合式警棍两端加拉力至1000N后，组合式警棍应能正常使用；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6、抗弯性能检验：棍体与钝刺攻击头连接后，前端悬持重物10kg，应能正常使用</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金属脚镣</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1、主体材质：ZG35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2、尺寸：镣体间距L为600mm，锁闭状态下单镣体沿中心线方向的内径H尺寸为84mm±2 mm，锁闭状态下单镣体内径B尺寸为85mm～106mm  4种规格。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3、性能：精密铸造镣体与镣梁，强度高，双螺钉锁闭镣体与镣梁的结构型式，保证金属脚镣防开启性能高效。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4、重量：约2215g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高速催泪器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一、功能要求</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可在一定安全距离范围内，连续2次向威胁者或攻击者发射一种专门设计的催泪液体试剂，刺激、灼热对方的眼睛、呼吸道、皮肤等部位，从而阻止对方的威胁行动，使目标瞬间丧失行动反抗能力，却不会造成永久性伤害。 </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rPr>
              <w:t xml:space="preserve">、技术参数</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▲1.结构组成</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高速催泪喷射器(2发)由喷射器主体和发射管模块组成。喷射器主体包含握把、扳机、机械瞄准器、内置激光瞄准器；发射管模块的弹仓内含有 2支发射管，可供连续2 次发射使用。采用机械结构激发发射管底火，通过活塞将催泪剂推出，过程无需电力</w:t>
            </w:r>
            <w:r>
              <w:rPr>
                <w:rFonts w:hint="eastAsia" w:ascii="宋体" w:hAnsi="宋体" w:eastAsia="宋体" w:cs="宋体"/>
                <w:b w:val="0"/>
                <w:bCs w:val="0"/>
                <w:color w:val="auto"/>
                <w:sz w:val="21"/>
                <w:szCs w:val="21"/>
                <w:highlight w:val="none"/>
                <w:lang w:eastAsia="zh-CN"/>
              </w:rPr>
              <w:t xml:space="preserve">（在检测报告中体现）</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▲2.发射管模块</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实战型发射管模块的塑料部分颜色是橙色或黑色，纸质标签有明显的黄色、红色，以及具有明显的警示图标“红色方框、黑色感叹号”。标签的文字有中文、英文与阿拉伯数字，包括“刺激剂”、“注意事项”、“使用前请阅读说明手册”、“每发单位含量”“有效期:XX-20XX”“中国境内:供执法者专用”等描述。训练型发射管模块的塑料部分颜色是蓝色,纸质标签是绿色,有明显的黄色:标签上的文字有中文、英文与阿拉伯数字，包括“使用前请阅读说明手册”、“每发单位含量”“有效期:XX-20XX”、“中国境内:供执法者专用”等描述。</w:t>
            </w:r>
            <w:r>
              <w:rPr>
                <w:rFonts w:hint="eastAsia" w:ascii="宋体" w:hAnsi="宋体" w:eastAsia="宋体" w:cs="宋体"/>
                <w:b w:val="0"/>
                <w:bCs w:val="0"/>
                <w:color w:val="auto"/>
                <w:sz w:val="21"/>
                <w:szCs w:val="21"/>
                <w:highlight w:val="none"/>
                <w:lang w:eastAsia="zh-CN"/>
              </w:rPr>
              <w:t xml:space="preserve">（在检测报告中体现）</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3.尺寸</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3.1高速催泪喷射器：长度≤200mm；宽度≤120mm；高度≤40mm；</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3.2发射管(单支)：长度≤130mm；直径≤20mm。</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4.质量：高速催泪喷射器(喷射器主体和发射管模块)质量:≤510g。</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5.催泪剂体积：实战型发射管内的催泪剂体积为(单支)≥9.5m±0.5ml。</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▲6.发射管状态区分</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使用前的发射管喷口处应有一块5等分金属圆片，发射管底部应有3个同心圆，共同组成圆形平面。使用后的发射管喷口处的5等分金属圆片应分散，发射管底部的圆形中心应凹陷</w:t>
            </w:r>
            <w:r>
              <w:rPr>
                <w:rFonts w:hint="eastAsia" w:ascii="宋体" w:hAnsi="宋体" w:eastAsia="宋体" w:cs="宋体"/>
                <w:b w:val="0"/>
                <w:bCs w:val="0"/>
                <w:color w:val="auto"/>
                <w:sz w:val="21"/>
                <w:szCs w:val="21"/>
                <w:highlight w:val="none"/>
                <w:lang w:eastAsia="zh-CN"/>
              </w:rPr>
              <w:t xml:space="preserve">（在检测报告</w:t>
            </w:r>
            <w:r>
              <w:rPr>
                <w:rFonts w:hint="eastAsia" w:ascii="宋体" w:hAnsi="宋体" w:eastAsia="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lang w:eastAsia="zh-CN"/>
              </w:rPr>
              <w:t xml:space="preserve">体现）</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7.有效发射距离：常温无风环境下，以0°角对瓦楞纸板(5mm厚600mmX600mm)中心进行喷射，喷射距离≥7m。</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8.催泪剂主要成分：0C(天然辣椒素和二氢辣椒素等混合物）。</w:t>
            </w:r>
            <w:r/>
          </w:p>
          <w:p>
            <w:pPr>
              <w:keepLines w:val="0"/>
              <w:keepNext w:val="0"/>
              <w:pageBreakBefore w:val="0"/>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▲9.辣度：催泪剂辣度≥25万SHU。</w:t>
            </w:r>
            <w:r>
              <w:rPr>
                <w:rFonts w:hint="eastAsia" w:ascii="宋体" w:hAnsi="宋体" w:eastAsia="宋体" w:cs="宋体"/>
                <w:b w:val="0"/>
                <w:bCs w:val="0"/>
                <w:color w:val="auto"/>
                <w:sz w:val="21"/>
                <w:szCs w:val="21"/>
                <w:highlight w:val="none"/>
                <w:lang w:eastAsia="zh-CN"/>
              </w:rPr>
              <w:t xml:space="preserve">（在检测报告中体现）</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▲10.发射初速度：喷射管口处的发射初速度≥170m/s</w:t>
            </w:r>
            <w:r>
              <w:rPr>
                <w:rFonts w:hint="eastAsia" w:ascii="宋体" w:hAnsi="宋体" w:eastAsia="宋体" w:cs="宋体"/>
                <w:b w:val="0"/>
                <w:bCs w:val="0"/>
                <w:color w:val="auto"/>
                <w:sz w:val="21"/>
                <w:szCs w:val="21"/>
                <w:highlight w:val="none"/>
                <w:lang w:eastAsia="zh-CN"/>
              </w:rPr>
              <w:t xml:space="preserve">（在检测报告中体现）</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.扳机保险功能：高速催泪喷射器扳机应设置防误触发结构，发射行程扳机力≥80N。</w:t>
            </w:r>
            <w:r>
              <w:rPr>
                <w:rFonts w:hint="eastAsia" w:ascii="宋体" w:hAnsi="宋体" w:eastAsia="宋体" w:cs="宋体"/>
                <w:b w:val="0"/>
                <w:bCs w:val="0"/>
                <w:color w:val="auto"/>
                <w:sz w:val="21"/>
                <w:szCs w:val="21"/>
                <w:highlight w:val="none"/>
                <w:lang w:eastAsia="zh-CN"/>
              </w:rPr>
              <w:t xml:space="preserve">（在检测报告中体现）</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.发射管不得分拆，须是一个整体模块，整体模块与喷射器主体可快速分离，方便快速更换整个喷射模块，满足战术需要，发射管底火须有清晰明确的火药制造商标示。</w:t>
            </w:r>
            <w:r/>
          </w:p>
          <w:p>
            <w:pP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.配置：高速催泪喷射器主体1支、发射匣1组（2发）、枪套1个，弹夹套1个，携行箱</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个。</w:t>
            </w:r>
            <w:r/>
          </w:p>
          <w:p>
            <w:pP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多功能臂盾（具备催泪、炫目等功能）</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1、符合GA422-2019《警用防暴盾牌》标准。</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2、结构:由盾体、高速催泪模块、强光眩目模块、控制单元、电源模块、单警伸缩警棍挂载模块及战术双肩携行背包组成。</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3、盾体材料:非金属材质(碳纤维)，厚度≤2.65mm。</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4、盾体规格:长*宽*厚(mm)≤600*300*2.65。</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5、盾体（含催泪弹）质量:≤1.7kg.</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6、盾体连接强度:盾体握持装置的连接部位应能承受500N的拉力，无脱落、松动、脱扣或断裂现象。</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7、耐刀砍性能:盾体外表面应能承受线速度为8.5m/s±0.5m/s、能量为100J士5J的刀砍。刀砍后盾体不应出现开裂现象，盾体应完整无破碎。8、耐穿刺性能:盾体应承受147J动能的穿刺，穿刺后受力点不应有大于直径2.5mm穿洞或在受力点半径20mm之外出现贯穿性开裂。</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9、激光照明炫目装置:采用绿激光灯头，有强光、爆闪光两种照明模式。电源开启时，可显示剩余电量百分比。在完全充电状态下进入强光模式，距光源5m处光斑中心初始照度≥4001x。距光源15m处光斑中心初始照度≥40 1x，光斑直径≥530mm。眩目爆闪频率为8.0Hz~10.0Hz。</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10、破窗装置:盾体前端安装有两个破窗锥，应可击破5mm厚玻璃。</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vertAlign w:val="baseline"/>
                <w:lang w:val="en-US" w:eastAsia="zh-CN"/>
              </w:rPr>
              <w:t xml:space="preserve">11、高速催泪装置:配套催泪弹1发，质量≤170g，射流初速度》220m/s，可独立击发3次，可射击多个目标。催泪弹中合成辣椒素0C含量》1.8%，发射有效距离&gt;7米。</w:t>
            </w:r>
            <w:r>
              <w:rPr>
                <w:rFonts w:hint="eastAsia" w:ascii="宋体" w:hAnsi="宋体" w:eastAsia="宋体" w:cs="宋体"/>
                <w:b w:val="0"/>
                <w:bCs w:val="0"/>
                <w:color w:val="auto"/>
                <w:sz w:val="21"/>
                <w:szCs w:val="21"/>
                <w:highlight w:val="none"/>
                <w:lang w:eastAsia="zh-CN"/>
              </w:rPr>
              <w:t xml:space="preserve">（在检测报告中体现）</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12、高速催泪装置弹夹可以快速拆卸和更换。</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警戒牌</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材质：铝板、冷轧板支撑架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展开后整体尺寸：563*490*940mm    收缩折叠后尺寸：563*51*631mm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产品整体重量：7.5kg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一体式警示灯工作时间：≥20小时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警示距离：100-300米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防水等级：IP65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警示牌文字内容：按要求定制</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约束毯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1、功能:可对行为嫌疑人进行柔性约束控制，适用于处置“柔性突发事件”。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(1)面料断裂强力(经向) 740N;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(2)面料断裂强力(纬向) 800N;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(3)抗拉强度经向740N，纬向800N;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3、结构:长方形垫毯等;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4、外观:缝纫线路顺直，定位准确，明线距边宽窄致，结合牢固，包边平整无褶皱， 上下线吻合、平直、针距均匀，无连续跳线、漏针、线头等缺陷。</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约束带</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材质：高强塑料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结构：双环约束扣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尺寸：带体宽度12mm,全长700mm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最大捆扎范围：周长不大于80mm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拉力：承受≥750N静拉力不断裂</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防暴盾牌（方盾）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面</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1、外观：防暴盾牌表面应表面光滑，无可视的凹坑、气泡、毛刺、尖角、划伤、斑点、脱漆及起皮等缺陷。防暴盾牌的握持装置应无毛刺、尖角等缺陷，便于握持、手感舒适。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2、标识：防暴盾牌正面对应握持装置应有中文“警察”和英文“POLICE”字样，字样颜色为白色。中文“警察”字体为黑体，字高为85mm±4 mm，英文“POLICE”字体为ArialBlack，字高为55mm±3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3、结构：盾牌由盾体、缓冲衬垫、握把、臂带等组成。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4、盾体：采用进口聚碳酸酯（PC）模具一次注塑成型。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5、缓冲衬垫: 聚氨酯发泡成型，外型美观、不易破损、富有弹性，能有效吸收外部冲击力，使手臂安全，舒张性提高。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6、握把：握柄处设计有与人体手型一致的凹凸槽，便于握持、手感舒适、不易滑脱。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7、技术参数：盾体规格：900mm×500mm；厚度：3.5mm；防护面积：≥0.45㎡；透光率≥85%；盾牌总重量：≤3.05kg；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8、连接强度：握持装置的连接部位、握持装置与盾体的连接部位应能承受大于或等于500N的拉力；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9、耐冲击强度：防暴盾牌应能承受147J动能的冲击，冲击后受力点不应有穿洞或在受力点半径50mm之外出现贯穿性开裂；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10、耐穿刺性能：防暴盾牌应能承受147J的动能穿刺，穿刺后受力点不应有大于直径6mm穿洞或在受力点半径20mm之外出现贯穿性开裂；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11、耐击打强度：防暴盾牌应能承受线速度为18m/s±0.3m/s、能量为342J±13 J的击打，击打后盾牌不应破碎或出现长度大于50mm的贯穿开裂，击打后盾牌产生的最大凹陷深度应小于或等于6mm；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12、耐刀砍性能：防暴盾牌的上边沿应能抵御线速度为8.5m/S±0.5 m/S、能量为100J±5 J的击砍，刀砍痕迹深度小于等于24mm；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13、阻燃性能：防暴盾牌的盾体外表面续燃时间应小于或等于2S；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14、温度适应性：防暴盾牌经高温处理（+55℃±2℃、4H）后，5min内进行击打，对盾牌进行2次击打后，盾体未破裂、未出现贯穿性开裂，2次击打后盾牌产生的最大凹陷深度为10 mm；防暴盾牌经低温处理（—30℃±2℃、4H）后，5min内进行击打，对盾牌进行2次击打后，盾体未破裂、未出现贯穿性开裂，2次击打后盾牌产生的最大凹陷深度为8mm；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15、可折叠式握把：专为防暴盾牌设计的新型握把，握把折叠后，可有效地节省包装空间，为防暴盾牌的包装和运输提供便利，同时也不会影响正常使用。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16、执行标准：《GA422-2019警用防暴盾牌》。</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防毒面具</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式硅胶全面罩，由B.A连接器、吸气阀、两个呼气阀和塑料装置内传声膜片的组合。特殊处理聚碳酸酯面屏，耐腐蚀，防冲击。高科技硅胶，不会产生由氧化造成的粉末，污染现场环境。独特的一键式旋钮调节，佩戴、脱卸快捷。</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防化服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1、防化服等级：二级。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    质：阻燃防静电双面涂覆改性PVC布；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3、材料厚度：0.45mm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    色：橘红。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5、断裂强力（N）：经向762 纬向 299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6、接缝断裂强力：321N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7、屈挠1000次后无破损无断裂。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8、撕破强力：经向≥147N  纬向≥49N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9、耐老化性能（120℃ 24h）：不沾 无裂纹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10、耐寒性能（-50℃ 5min 折180°） 无裂纹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11、阻燃性能：续燃时间≤5s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12、阴燃时间≤10s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13、损毁长度≤10cm.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14、执行标准：GB 24540-2009《防护服 酸碱类化学品防护服》</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便携式照明灯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2、额定容量：≥10Ah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3、额定功率：≥50W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4、工作时间：强光≥9h,工作光≥15h，且在6米中心点照度≥900lx。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5、充电时间：≤7h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6、防爆型式：隔爆，增安，本安，胶封复合型，防爆标志为：Ex d e ib mb IIC T6 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7、防护等级：IP66。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8、外形尺寸：升起状态≥500*150*1200mm收缩状态≤500*150*250mm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9、重量：≤8Kg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10、跌落测试：1m高度跌落4次，灯具不应损坏。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11、升降杆的固定方式为快锁结构,可升高到1.2米作为固定照明使用,亦可折叠作为探照灯使用。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12、底部配有两个稳定支脚，使用时伸展开，更加稳定。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13、灯具具有多档光。具备聚光、泛光、及聚泛光全开模式，灯头背后有红蓝警示灯，灯体表面具备电量显示功能。</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水上救援头盔</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在各种复杂水域情况下保护水域救援队员的头部避免创伤，并为头部提供正浮力。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1、外壳：ABS；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2、内衬垫：高密度EVA，弹性好舒适防震，坚固轻便耐用；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3、头围调节器：耐水塑料头围调节器，只需顺时针或逆时针转动旋钮即可调节头围大小，镂空型护耳设计，不阻碍听；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4、舒适、安全的可调节下颌带，调节部位毛绒衬垫。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5、内衬：衬垫位置固定，不滑动。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6、救生头盔插扣断裂强力：850N；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7、插扣拉伸负载：950N不脱开、不断裂；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8、插扣脱开强力：在外力1020N时解脱或断裂；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9、插扣插拔寿命：插拔2000次后能正常使用；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10、环境温度：-30℃-55℃。</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救生圈</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1、产品执行标准 GB4302-2008救生圈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2、外径：≥705mm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3、内径：≥440mm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4、厚度：≥105mm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5、重量：≥2.6kg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6、浮力：能在淡水中支承不少于14.5kg的铁块达24h之久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7、材质：聚乙烯复合救生圈采用高密度聚乙烯为壳体；内充高密度聚氨酯闭孔泡沫塑料颜色稳定、抗老化。</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伸缩救援套杆</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根</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1、主体材质为高强度碳纤维，收缩后长度≥1.8米，延展最大长度≥6.5米，伸缩杆节数4节，表处理为3K式纤维丝网格处理。具有轻便、耐腐蚀的特点。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2、塑钢材质转轴，中空密封，可漂浮。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3、顶端为美式抓钩，带有两个球点，可以驳接各式救生设备。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4、使用时旋转伸缩固定即可。</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1、优良的耐热性、抗热性能，可在较高温度下长期使用，明火下难燃，离开火焰自熄不外延。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2、优良的隔热性，导热系数小，隔热效果好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3、缝纫性能好，柔顺且具适中强度与好的延伸性，重量轻，手感好。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4、尺寸：≥1500mm*1500mm;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5、厚度：0.88mm左右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6、材料组成：采用玻璃纤维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7、产品功能：扑灭火源、灭火逃生。隔离易燃易爆物品、隔离浓烟、减轻撞击、抢救财物、危难救助。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8、产品特点：重量轻，可减少救护人员的负重。阻燃隔热性能优良，且为绿色环保产品。可反复使用，非一次性使用。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反光路锥</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1、底座材质:PP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2、锥体材质:牛津布</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强光搜索灯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1、材质:高硬度合金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2、额定容量:≥4000mAh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3、额定功率:3x3W(灯珠数量可选)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4、光源(LED)平均使用寿命:≥100000h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5、连续放电时间:≥8h(强光)/16h(弱光)/32h(频闪)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6、充电时间:≤6h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7、外形尺寸:≤70x165mm(直径x长)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8、重量:≤1.2kg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9、外壳防护等级:≥IP68</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酒精检测仪（联网型）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1、产品符合GB/21254-2017《呼出气体酒精含量检测仪》国家标准要求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2、具有《中华人民共和国制造计量器具型式批准证》量程范围须在：0.000mg/L ～    2.000mg/L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3、具有主动测试、被动测试以及快速测试等功能；快速测试自动检测，不需人工操作，中文显示“有酒精”或“无酒精”；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4、具有吹气中断告警提示及拒绝检测记录功能；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主机系统为安卓5.1以上版本操作系统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显示屏：≥4.3吋彩色触摸显示屏；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7、酒精传感器：独立的模块化设计，电化学燃料电池型酒精传感器；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8、主机电池：主机采用定制2000毫安时可充电锂电池，连续测量次数：≥500次（基准工作条件下）；保障机器工作时间≥20小时，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9、检测精度：C ≤2.000mg/L时,误差为0 ~ -0.040mg/L或者0 ~ -10%（取其中较大者）；C &gt; 2.000mg/L 时，误差为 0~ -2*(C/2-0.9)mg/L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10、具备电量实时显示，当电压低于规定下限15%时，具有自动报警功能；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 存储：主机单机存储检测信息≥10万条，可随时进行查询、重复打印等操作，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 自带USB接口，跟电脑联网，对数据下载、统计管理，及对软件的升级；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13、双摄像头设计，后、侧各置500万像素摄像头；侧边摄像头测试过程中自动拍下被测者头像并保存；后置摄像头拍摄车牌号，自动读取车牌，无需手动输入，省时快捷；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14、身份证读取：支持在线身份证信息读取功能，输入被测者信息时可直接读取身份证信息，无需手动输入；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15、登录方式：须采取警号、密码方式登录，具备人工输入方式登录并进行身份识别；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16、输入方式：必须可以输入被测人姓名、驾驶证号码、车牌号码等信息。具备智能联想、自动记忆功能输入法。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17、数据维护：完成吹气检测后，仪器自动以数值形式显示检测结果并进入数据维护界面，执勤民警可对当事人姓名、驾驶证号、车牌号等资料进行录入、编辑。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18、吹管：吹管采用自动弹出式设计，设备在测量完毕之后，能避免操作人接触废弃的吹管，提高卫生水平；吹管必须具有完全防倒吸、单向吹气、一次性独立封装。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19、打印机与主机一体化设计；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20、主机具有压力传感器与酒精传感器，双气孔设计，气路分开，避免二次检测时的酒精残留。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产品须具有无线传输功能，可通过4G全网通等无线方式将现场测试数据实时传输至交管局现有酒驾后台管理系统，并对传输成功的记录进行标记；如遇到网络异常、无信号、设备断电异常情况时，当系统再次连接到网络时，系统会自动将未传输完成的记录继续上传；（需提供承诺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22、具备校时功能：设备能通过无线模块与后台实现同步校时功能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23、定位功能：采用单北斗定位模块，内置陶瓷天线，可实时定位执勤地址；无需手动录入；</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手持金属探测器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1、符合GB 12899-2018《手持式金属探测器通用技术规范》标准；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2、尺寸（长*宽*厚）：≤360mm*85mm*45mm；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3、重量：≤270g（不含电池）；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4、电池：采用2节5号电池，更换方便，供电电压≤15V；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5、辐射磁感应强度：探测器发出的辐射磁场，其磁感应强度在其表面任一点都应≤8μT；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6、探测精度：探测器距离大金属物大于等于0.5m运动时，不应产生报警信号，靠近大金属物体的探测器，在离开大金属物体以后1min内应能自动恢复其探测性能；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7、休眠功能，当设备在开机状态下超过2分钟不使用时，应进入休眠状态；在休眠状态下10分钟内有金属靠近时，设备会自动唤醒；在休眠状态下超过10分钟没有金属靠近时，设备应自动关机；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8、探测模式：探测器应具有3种探测模式，在黑色金属和有色金属混合探测模式下：对半片不锈钢剃须刀片、金银首饰、铝（37 mm *10 mm *0.5mm)和铜（37 mm *10 mm *0.5mm)进行测试应</w:t>
            </w:r>
            <w:r>
              <w:rPr>
                <w:rFonts w:hint="eastAsia" w:ascii="宋体" w:hAnsi="宋体" w:eastAsia="宋体" w:cs="宋体"/>
                <w:i w:val="0"/>
                <w:iCs w:val="0"/>
                <w:color w:val="auto"/>
                <w:sz w:val="21"/>
                <w:szCs w:val="21"/>
                <w:highlight w:val="none"/>
                <w:u w:val="none"/>
                <w:lang w:val="en-US" w:eastAsia="zh-CN" w:bidi="ar"/>
              </w:rPr>
              <w:t xml:space="preserve">均可报警、在黑色金属探测模式下：对半片不锈钢剃须刀片测试应报警，对有色金属金银首饰、铝（37 mm *10 mm *0.5mm)、铜（37 mm *10 mm *0.5mm)进行测试应不报警、在有色金属探测模式下：对金银首饰、铝（37 mm *10 mm *0.5mm)和铜（37 mm *10 mm *0.5mm），测试应可报警。在高灵敏度状态下，距离探测物铝（37 mm *10 mm *0.5mm)和铜（37 mm *10 mm *0.5mm）65mm 应可报警，对黑色金属样品不锈钢剃须刀片测试应不报警；</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执勤帐篷</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1、配置要求：帐篷本体一套、桶型4个底座，单个容量9.5L，HDPE高密度聚乙烯热塑性树脂约24cm(直径)*25cm（高度)，空桶重量1kg，可注水装沙。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2、尺寸规格3m×4m，高顶，增加泄水钢绳以防篷布积水。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3、材料：钢质骨架，4cm加粗腿管，骨架壁厚度1mm。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4、骨架可伸缩可折叠,整体方便拆卸运送﹔不易被风吹倒；加固型铁片保护，省力拉环开关/或安全扣，抗风耐用﹐底座加大稳固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5、面料：遮光，加密防水，防晒涂银篷布，能抗风雨、遮阳、隔热﹑接缝处不漏水，手撕不烂。</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行军床</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张</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产品说明：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1、该产品采用优质的铝合金制成， 环保600D PVC涂层牛津布床面。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2、铝合金管35*25*0.8MM，连接件1.5MM。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3、可快速打开和折叠收起。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4、轻便易携，适用于户内和户外,安全、牢固耐用、舒适 。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1、产品尺寸(长*宽*高)(展开后)：≥189*64*42cm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2、产品尺寸(长*宽*高)(折叠后)：≤95*20*8cm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3、自重：≤5KG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4、承重：≥160KG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4人单警柜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单警装备定位存放和充电管理。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1、每个柜位内含识别天线、电控锁、充电模块、照明等，所有线路隐藏式；主控制器（1套）门锁控制、485通信传输；TCP/IP通讯模式: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2、物品感知：识别距离0-50cm，精度≥99.5%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3、电控锁：（4套）功能要求：柜门保险装置，授权后方能打开。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4.1、功能要求：给设备、元器件供电，装备满电后智能物理断电（下同）。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4.2、电气参数：AC 220V 转DC12V；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4.3、要求：短路/过负载/过压 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5、充电模块（1套）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5.1、具有自动充电，充满电后自动断电；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5.2、智能充电，每个柜门内配置3个五孔，6个USB充电。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5.3、关门自动充电。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5.4、开门亮灯，关门灯灭。实现柜内照明。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三、柜体材质及结构：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1、钢材材质厚度；冷轧板 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高2.00米*宽1.08米*深0.5米；经过酸洗磷化处理后，喷涂成警蓝色或者黑灰色（可定制）。钢板国产一级冷轧钢板，厚度不低于1.0毫米，经过模具冲压成型，钢板之间圆滑、无毛刺，柜体下挡板设计踢脚板，高度不低于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3、铭牌：插片式（标配）：每个单警柜都有唯一的数字化编号，每个单警柜都预留插片式卡位，用于制作“姓名+警号”卡片；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4、柜内隔板（按照柜门不同设置）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四门：每个柜位内部2层隔板，隔板高度可调；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四、其他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应急开门：除生物识别开启外，单警装备柜具有钥匙应急开启的功能</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智能装备柜（主柜）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numPr>
                <w:ilvl w:val="0"/>
                <w:numId w:val="7"/>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生物识别（1套）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1、身份认证：身份识别设备能通过账号密码、指纹识别（选配）、人脸识别三种方式进行用户身份认证，身份认证通过后柜门自动开启。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2、参数：人脸容量：1000枚；指纹容量：10000枚（选配）；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数据传输方式：TCP/IP；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1、每个柜位内含控制器、电控锁、充电模块、照明等，所有线路隐藏式；主控制器（1套）门锁控制、485通信传输；TCP/IP通讯模式: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2、物品感知：识别距离0-50cm，精度≥99.5%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3、电控锁：（3套）功能要求：柜门保险装置，授权后方能打开。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4.1、功能要求：给设备、元器件供电，装备满电后智能物理断电（下同）。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4.2、电气参数：AC 220V 转DC12V；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4.3、要求：短路/过负载/过压 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5、充电模块（1套）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5.1、具有自动充电，充满电后自动断电；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5.2、智能充电，每个柜门内配置3个五孔，6个USB充电。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5.3、关门自动充电。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5.4、开门亮灯，关门灯灭。实现柜内照明。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6、高清摄像头功能要求：当操作人员进行柜门开启动作时，设备能抓拍操作人员图像；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7、高清摄像头像素≥200W；高清摄像头清晰度≥1080p；高清摄像头接口采用usb接口。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三、主控一体机（1套）：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1、主控一体机功能要求：信息采集/监控/展示；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2、尺寸:≥15.6 英寸电容工业触摸一体机;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3、内存：≥4GB、储存：≥32GB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4、网络接口：RJ45 LAN *1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5、电源接口：DC 12V *1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6、分辨率：≥1920 * 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7、性能：能够对不少于100个柜门进行智能管控；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8、支持断网管理功能：即在断网状态下，能够有效控制智能装备室内的门、柜。网络恢复连接后，数据恢复上传。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四、语音模块（1套）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▲4.1、功能要求：设备应具有语音播报功能，播报内容应包括领用及归还的带射频标签装备名称、数量和操作人员姓名等；</w:t>
            </w:r>
            <w:r>
              <w:rPr>
                <w:rFonts w:hint="eastAsia" w:ascii="宋体" w:hAnsi="宋体" w:eastAsia="宋体" w:cs="宋体"/>
                <w:b w:val="0"/>
                <w:bCs w:val="0"/>
                <w:color w:val="auto"/>
                <w:sz w:val="21"/>
                <w:szCs w:val="21"/>
                <w:highlight w:val="none"/>
                <w:lang w:eastAsia="zh-CN"/>
              </w:rPr>
              <w:t xml:space="preserve">（在检测报告中体现）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4.2、支持语音类型：中文，英文（可播放数字、数值、词语等）；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4.3、具有教学视频播放和装备领用预警信息播报功能；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4.4、结合装备携带、佩带等告知或预警，可选择关闭相关语音模块；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五、柜体材质及结构：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1、钢材材质厚度；冷轧板 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高2.00米*宽1.08米*深0.5米；经过酸洗磷化处理后，喷涂成警蓝色或者黑灰色（可定制）。钢板国产一级冷轧钢板，厚度不低于1.0毫米，经过模具冲压成型，钢板之间圆滑、无毛刺，柜体下挡板设计踢脚板，高度不低于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3、铭牌：插片式（标配）：每个单警柜都有唯一的数字化编号，每个单警柜都预留插片式卡位，用于制作“姓名+警号”卡片；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4、柜内隔板（按照柜门不同设置）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四门：每个柜位内部2层隔板，隔板高度可调；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▲六、综合功能：</w:t>
            </w:r>
            <w:r>
              <w:rPr>
                <w:rFonts w:hint="eastAsia" w:ascii="宋体" w:hAnsi="宋体" w:eastAsia="宋体" w:cs="宋体"/>
                <w:b w:val="0"/>
                <w:bCs w:val="0"/>
                <w:color w:val="auto"/>
                <w:sz w:val="21"/>
                <w:szCs w:val="21"/>
                <w:highlight w:val="none"/>
                <w:lang w:eastAsia="zh-CN"/>
              </w:rPr>
              <w:t xml:space="preserve">（在检测报告中体现）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6.1、自动感知功能：在可感知范围内，设备能自动感知读取领用或归还的装备上的射频标签；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6.2、装备状态显示功能：设备能读取装备上的射频标签判定并显示对应装备的在柜及离柜状态；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6.3、日志管理功能：设备能自动存储带射频标签装备领用及归还日志，日志内容包括装备名称、操作人员姓名、操作时间等；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6.4、记录查看功能：设备支持查看装备充电等记录；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6.5、数据保存功能：设备支持将装备领用/归还记录，抓拍人像等数据保存至本地；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6.6、权限功能：设备具备普通用户和管理员两种使用权限；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6.7、一键开柜功能：管理员使用权限下，设备能一键开柜；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6.8、应急开柜功能：设备具备应急开柜装置，在断电等故障情况下，设备能通过应急装置开启全部柜门；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6.9、柜门自检功能：设备具备柜门自检功能；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6.10、识别率：设备对存入的射频标签装备的准确识别率不小于99%；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七、平台对接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★必须与苏州市公安局装备智能管理平台完成对接；（需提供承诺书）</w:t>
            </w:r>
            <w:r/>
          </w:p>
          <w:p>
            <w:pPr>
              <w:numPr>
                <w:ilvl w:val="0"/>
                <w:numId w:val="0"/>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智能装备柜（副柜）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单警装备定位存放和充电管理。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1、每个柜位内含识别天线、电控锁、充电模块、照明等，所有线路隐藏式；主控制器（1套）门锁控制、485通信传输；TCP/IP通讯模式: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2、物品感知：识别距离0-50cm，精度≥99.5%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3、电控锁：（4套）功能要求：柜门保险装置，授权后方能打开。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4、电源模块（1套）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4.1、功能要求：给设备、元器件供电，装备满电后智能物理断电（下同）。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4.2、电气参数：AC 220V 转DC12V；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4.3、要求：短路/过负载/过压 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5、充电模块（1套）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5.1、具有自动充电，充满电后自动断电；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5.2、智能充电，每个柜门内配置3个五孔，6个USB充电。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5.3、关门自动充电。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5.4、开门亮灯，关门灯灭。实现柜内照明。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三、柜体材质及结构：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1、钢材材质厚度；冷轧板 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高2.00米*宽1.08米*深0.5米；经过酸洗磷化处理后，喷涂成警蓝色或者黑灰色（可定制）。钢板国产一级冷轧钢板，厚度不低于1.0毫米，经过模具冲压成型，钢板之间圆滑、无毛刺，柜体下挡板设计踢脚板，高度不低于50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3、铭牌：插片式（标配）：每个单警柜都有唯一的数字化编号，每个单警柜都预留插片式卡位，用于制作“姓名+警号”卡片；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4、柜内隔板（按照柜门不同设置）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四门：每个柜位内部2层隔板，隔板高度可调；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四、其他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应急开门：除生物识别开启外，单警装备柜具有钥匙应急开启的功能</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超高频感知门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1、工作频率：902-928MHz（RFID电子标签须在此频率范围内）；提供带CMA、CNAS标志的检测报告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2、执行标准：EPC C1 G2（ISO 18000-6C）协议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3、工作温度：-20ºC to 70ºC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4、供电电源：AC220V，整机功耗&lt;50W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5、通讯接口：TCP/IP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▲6、外形尺寸：设备外形尺寸不大于宽1230mm，高2150mm；（在检测报告中体现）。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7、输出功率：不超过33dbm,可调；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8、方向传感：红外出入方向传感器；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9、天线配置：≥8dbi;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▲10、最大感知识别距离：设备的最大感知识别距离≤3.5米；（在检测报告中体现）；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11、天线方向：不少于2个感知方向，分布于安装于门套内部的两侧；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▲1、识别率：带射频标签的装备以1m/s的速度通过时，设备的准确识别率不小于99%（至少150次以上的实验）；（在检测报告中体现）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2、感知信息上传功能：设备能将感知读取到的标签所对应的装备名称及感知到的数量等信息上传至管理平台；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3、自动感知功能：设备应能自动感知读取通过的装备射频标签。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4、方向感知功能：设备能感知判定携带装备人员的出入方向；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三、平台对接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★必须与苏州市公安局装备智能管理平台无缝对接，在苏州市公安局装备智能管理平台上能直接对本设备进行管理（设备运行状态实时展示、设备工作数据实时上传、设备启动/停止工作等）（需提供承诺书）。</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人脸识别主机</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1、硬件规格：7 英寸，液晶触摸显示屏，屏幕比例9:16，屏幕分辨率600*1024;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2、设备支持口罩检测模式，可配置提醒戴口量或强制戴口模式，同时可关联门禁控制: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 200万宽动态双目摄像头，面部识别距离0.3~2米，支持照片视频防假，支持远程视频预览;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4、设备采用深度学习算法，支持10000人脸库，人脸比对时间&lt;0.2s/人;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5、广告模式:识别区域与广告区域分屏展示，支持图片(JPG格式，分辨率不高于3000x3000，分辨率不小于100*100图片大小不大于1MB，最多8张)广告信息播放，图片切换时间可配置;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备支持多种认证方式:刷卡、指纹、人脸、密码、刷卡+密码、刷卡+指纹、刷卡+人脸、刷卡+指纹+密码、刷卡+指纹+人脸、刷卡或指纹、指纹+密码、指纹+人脸、指纹+人脸+密码、指纹或人脸、人脸+密码(含指纹认证方式时，需增加指纹识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7、普通模式:全屏视频预览画面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8、支持通过 RS485 外接1个读卡器(可支持指纹读卡器)或外接门禁主机，还可通过 RS485 接入门控安全模块，防止主机被恶意破坏的情况下，门锁不被打开;</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电子标签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纸质RFID标签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1.1、功能要求：嵌入到非金属类装备，与物联网绑定信息，此类电子标签具有抗金属等综合性能力，有效防止不同材质的干扰。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1.2、规格：具有圆形、长方形等，形状、大小适当；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1.3、防护：IP54；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1.4、封装：PCB/PET/ABS等；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▲1.5、用于装备：用于“多功能腰带”，在925MHz频率Read指令下读取距离≥4.1米，在925MHz频率Query指令下读取距离≥4.3米，（在检测报告中体现）。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2、柔性RFID标签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2.1、功能要求：嵌入到金属类或非金属类装备，与物联网绑定信息，此类电子标签具有抗金属等综合性能力，有效防止不同材质的干扰。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2.2、规格：具有圆形、长方形等，形状、大小适当；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2.3、防护：IP54；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2.4、封装：PCB/PET/ABS等；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▲2.5、用于“强光手电（基础型）”，在925MHz频率Read指令下读取距离≥1米，在925MHz频率Query指令下读取距离≥1.1米，（在检测报告中体现）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▲2.6、用于“强光手电（战术型）”，在925MHz频率Read指令下读取距离≥3.4米，在925MHz频率Query指令下读取距离≥3.5米，（在检测报告中体现）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3、抗金属RFID标签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3.1、功能要求：嵌入到金属类，与物联网绑定信息，此类电子标签具有抗金属等综合性能力，有效防止不同材质的干扰。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3.2、规格：具有圆形、长方形等，形状、大小适当；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3.3、防护：IP54；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3.4、封装：PCB/PET/ABS等；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▲3.5、用于“金属手铐”，在925MHz频率Read指令下读取距离≥3.7米，在925MHz频率Query指令下读取距离≥3.7米，（在检测报告中体现）。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▲3.6、用于“伸缩警棍”，在925MHz频率Read指令下读取距离≥2.6米，在925MHz频率Query指令下读取距离≥2.6米，（在检测报告中体现）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智能充电台</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提供设备维护保养和设备充电的台桌。同时，作为新装备加载RFID标签信息的操作平台；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智能充电控制器功能要求：智能充电、断电控制，并将充断电信息传输管理平台；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1、6-8个充电位。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2、电气参数：AC220V；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3、传输方式：TCP/IP。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三、充电说明：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口具有指示灯功能，不充电时处于熄灭状态，充电时“红灯常亮”，充满电后红灯灭；此外，对装备进行充电前，需要通过UHF读卡器读取装备RFID标签信息后，红灯亮，即正在充电状态。若充电口在“红灯常亮”状态5分钟没有充电，表明充电口没有接好，则自动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四、UHF超高频RFID读写器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功能要求：读取装备标签的ID号，并用于新装备入库时和日常充电时的ID读取。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1、电源：DC5V（Mini USB供电）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2、协议：ISO/IEC18000-6C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3、频率：840~960MHz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4、输出功率：≤30dBm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5、读写卡距离：读取距离0-60cm，写入距离0-30cm(与标签有关)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6、天线：内置PCB天线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7、天线增益：3dbi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五、工控一体机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10寸液晶屏 规格：尺寸/类型：10 寸投射型电容触摸屏、分辨率1920 * 1080、亮度220 cd/m²</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RFID发卡器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1、电源：DC5V（Mini USB供电）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2、协议：ISO/IEC18000-6C / IEC18000-6B /EPC C1Gen2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3、频率：840~960MHz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4、输出功率：≤30dBm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5、读写卡距离：读取距离0-60cm，写入距离0-30cm(与标签有关)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6、天线：内置PCB天线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7、天线增益：3dbi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触控一体机</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1、显示尺寸：≥32寸  外观尺寸752mm*446mm*69mm(含壁挂）（具体以实物为准或届时咨询）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2、分辨率：≥1920*1080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3、亮度：≦350cd/m²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4、对比度：4000:1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5、透光率：≥95%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6、CPU：≥I5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7、内存：≥16G 128G 固态硬盘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8、安装方式：壁挂式（默认）、吊装、底座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9、工作温度：0℃～60℃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二、数据看板功能：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1、装备总数、在库数量的数据展示；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2、按装备类型图表展示装备的分布情况；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3、装备出入库统计数据的图表展示；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4、近期装备出入库记录明细的展示；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5、预警提醒，包含装备过期、即将到期的预警，超时未归还预警，长时间未充电预警及待维修保养预警；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6、库房近期人员出入的开门记录展示；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7、库房温度、湿度的库房环境展示；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8、库房实时监控图像的展示；</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温湿度采样模块</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1、功能要求：温湿度信息采样及信息传输，库房前端软件上能实时展示该库房的温湿度值，根据时间能自动生产温湿度报表、温湿度曲线。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2、精度：温度±0.5度，湿度±2%；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3、采样周期：2S；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4、温度量程范围：-20~80度；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5、传输方式：RS-485；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6、工作电源：12VDC 500mA。</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照明控制模块</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1、功能要求：自动控制主灯具的开关，库房前端软件上能实现远程开关照明灯，当库房门口身份识别成功后，库房的照明灯自动打开，库房人员离开后，库房照明灯自动定时关闭。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2、电气参数：直流12V 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3、通讯接口：RS-485；</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库房环境控制模块</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1、功能要求：环境信息，如温度湿度、灯光状态信息集成及数据传输。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2.1、供电：直流12V 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2.2、通信接口：RS-485，TCP/IP。</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除湿机</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1、除湿量：2.50kg/h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2、最大除湿量：138L/d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3、控制精度:士3%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4、防触电等级：I类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5、额定功率:1300W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6、电源电压:220V~50Hz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7、产品尺寸:≥480*435*940mm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定制高精尖装备柜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一、柜体部分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1、外观尺寸：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整体外形尺寸：≥2500mm*2200mm*600mm（深度加深）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整体框架材质：白色免漆颗粒板18mm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搁板材质：白色免漆颗粒板36mm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连接方式：三合一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3、承重能力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整体承重：≥100kg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单个搁板承重：≥20kg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4、柜内橱窗灯带照明，含变压器及接线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5、五金件：包含柜门铰链、柜门拉手等</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定制操作台</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1、操作台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桌面尺寸：1200mm*600mm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桌面厚度：18mm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桌腿直径或尺寸：上方下圆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桌子高度：800mm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2、重量承载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桌面最大承重：平面最大能承重300kg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桌腿结构：三点固定，加厚横梁支撑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3、表面处理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桌面涂层或贴面：防水防刮涂层、PVC封边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桌腿表面处理：经过喷粉处理、烤漆处理，抗腐蚀能力强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优雅黑，自定义颜色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5、附加功能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有防滑垫，桌腿可调节，以确保桌子平稳；含四个圆凳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6货架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6.1、尺寸：≤2000mm*2000mm*600mm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6.2、承载：150kg-300kg层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6.3、材质：冷轧钢材Q235B、立柱壁厚2.0mm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货架结构：货架立柱是由冷轧钢板经专用冷弯成型机组滚轧成型，立柱正面冲双排孔，孔距离以50mm距离沿直线排列，立柱孔用来挂接横梁之用；两根立柱相对，中间有横向连接管与倾斜连接管将两根立柱组装成货架的立柱片。、</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物联网采集管理平台智能控制系统</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库房前端管理控制器，集成库房所有物联网设备智能控制、数据实时采集、监控、信息上传、智能感知、自动记录等，库房端业务操作，如统计汇总、信息查询、设备操控、人员身份认证、智能展示等；当警用装备出入库时，智能控制系统能够自动识别、自动记录、自动提醒、自动推送到警用装备管理系统，并且装备的射频和视频联动；同时，能实现警用装备的智能充电管理（远程上电、智能断电、充电时长统计等）工作。</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防暴盾牌（法式）</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面</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1、材质：优质PC板材；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2、产品规格：≥560*1000*3.5mm•≤重量：4kg；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3、透光率：≥80%；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4、构造：盾板加背板。盾体表面光滑，外观突 出，能有效阻碍危险物的袭击，四周防砍包 边条，双层板面设计，背板设有缓冲高弹海 绵及握把，操作简单便捷且安全有效﹔•耐冲击强度：147J动能冲击复核标准；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5、耐穿刺能力：GA68-2003标准试验刀具20J  动能穿刺符合标准；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6、温度适应性：-20℃—+55℃；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7、阻燃性：离开明火后，被点燃处续燃时间超  过5S</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防暴盾牌（圆盾）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面</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1、圆形盾牌抗冲击力强坚固耐用，能抵御除枪炮之外的投掷物和尖锐器械、酸类的袭击，防护能力强，安装固定牢靠，操作方便，是执法人员执行任务时的优良防护装备。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    料：高强度pc板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3、直径尺寸：≥500mm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4、厚    度：≥3.5mm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    量：≤5kg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防弹面罩</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由透明面板和连接锁紧装置组成。透其防护结构有迎弹面开始依次为：1.0mm厚PC板+1.25mm厚胶层+10.0mm厚亚克力板+1.25mm厚胶层+8.0mm厚PC板。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2、级别：2级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3、重量：≤1500g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4、面罩无毒，为可拆卸式，面罩上金属件做防锈处理。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5、面罩尺寸：圆弧长度：≥310mm；高度：≥144mm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6、透明面板透光率：≥85%</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防弹衣</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1、执行标准：GA141-2010《警用防弹衣》；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2、防护等级：3级；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3、防弹层材质：软质（R）；</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4、一般要求：防弹衣穿着灵活，易于穿脱。穿着后不能使两臂的自由运动及人体跪、跳、蹲、俯仰、转体等动作受到限制。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5、外观要求：防弹衣的外套应无破损、浮线、漏针等缺陷。防弹层材料表面无破洞、深坑、划伤、裂痕缺口、边角毛刺等缺陷，金属材料应进行防锈处理，非金属材料应均匀平整。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6、颜色：防弹衣外套颜色为警服蓝色；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7、防弹层保护套材料性能：防弹层保护套为黑色，防护套耐静水压大于 18kPa；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8、防护面积：≥0.25m²；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9、防弹性能：使用 1979年式轻型冲锋枪和 1951年式7.62mm 手枪弹(铅心)进行试验，在有效击中情况下，防弹衣应阻断弹头，且背衬最大凹陷深度应小于等于 25mm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公文包式防弹盾牌</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1.防弹材质：高性能聚乙烯纤维布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2.防护等级：3级 （79式7.62mm轻型冲锋枪使用51式7.62mm手枪弹(铅心）射击）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背衬凹陷深度≤17.2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3.外形尺寸：防弹公文包外形尺寸为：宽530mm×高390mm×厚45mm，  (厚度：80-100毫米（最厚）报告无体现)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防护板尺寸均为：270mmx390mm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4.结构由弹击面开始依次均为：38层高性能聚乙烯纤维无纬布（6层纤维正交）＋1层0.5m厚PC。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   量：四折  4.5千克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   色: 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7.防弹公文包是一种特殊使用公文包，既能防弹又能防刺，重量轻，可随身携带；隐蔽性好. 提供较大面积的防护。由于性能卓越，世界上许多国家与地区都配备了这种新型防护装备。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执行标准：GA 141-2010《警用防弹衣》</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防刺服（防暴防刺服）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1.功能要求：具有防暴和防刺双重功能。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2.防护性能：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核心部位（心脏部位）的防刺性能符合GA68-2024 A类，即在24焦耳的刺穿动能下不穿透；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3.非核心部位的防刺性能符合按照GA68-2024标准中相关的检测方法，在8焦耳的刺穿动能下不穿透。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4.防护内芯面积：≥0.25㎡；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▲5.防刺层保护套材料的抗静水压等级应能达到GB/T 4744一2013中规定的5级或以上.</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在</w:t>
            </w:r>
            <w:r>
              <w:rPr>
                <w:rFonts w:hint="eastAsia" w:ascii="宋体" w:hAnsi="宋体" w:eastAsia="宋体" w:cs="宋体"/>
                <w:b w:val="0"/>
                <w:bCs w:val="0"/>
                <w:color w:val="auto"/>
                <w:sz w:val="21"/>
                <w:szCs w:val="21"/>
                <w:highlight w:val="none"/>
              </w:rPr>
              <w:t xml:space="preserve">检测报告体现）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6.防刺服质量应小于或等于1.8kg。</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7.防刺服的防刺层厚度应小于或等于10 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▲8.弯曲度：防刺服在外力作用下弯曲20mm时的作用力应小于或等于70N。</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在</w:t>
            </w:r>
            <w:r>
              <w:rPr>
                <w:rFonts w:hint="eastAsia" w:ascii="宋体" w:hAnsi="宋体" w:eastAsia="宋体" w:cs="宋体"/>
                <w:b w:val="0"/>
                <w:bCs w:val="0"/>
                <w:color w:val="auto"/>
                <w:sz w:val="21"/>
                <w:szCs w:val="21"/>
                <w:highlight w:val="none"/>
              </w:rPr>
              <w:t xml:space="preserve">检测报告体现）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▲9.防刺内芯结构：</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在</w:t>
            </w:r>
            <w:r>
              <w:rPr>
                <w:rFonts w:hint="eastAsia" w:ascii="宋体" w:hAnsi="宋体" w:eastAsia="宋体" w:cs="宋体"/>
                <w:b w:val="0"/>
                <w:bCs w:val="0"/>
                <w:color w:val="auto"/>
                <w:sz w:val="21"/>
                <w:szCs w:val="21"/>
                <w:highlight w:val="none"/>
              </w:rPr>
              <w:t xml:space="preserve">检测报告体现）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9.1防刺内芯材料采用非金属碳纤维材料防刺块，防刺单元块相互交错搭接结构，涂覆于芳纶机织布面料上，下面缓冲层为≥5mm厚泡棉材料。</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9.2碳纤维防刺单元块内部由三层组成:最底层为边长≥25mm，厚度≥1.5mm的正方形碳纤维片;中间层为边长≥25mm，厚度≥1.5mm的正方形碳纤维片;最上层为边长为≥25mm，厚度为≥1.0mm的回字形碳纤维防护块。三层之间彼此交错搭接，形成重叠结构，回字形碳纤维防护块起到保护防护单元缝隙的加强作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9.3该防刺内芯具有单向弯折，防冲击形变特点。表面回字形碳纤维防护块凸凹结构可用于阻挡刀尖斜刺和滑动。</w:t>
            </w:r>
            <w:r/>
          </w:p>
          <w:p>
            <w:pPr>
              <w:numPr>
                <w:ilvl w:val="0"/>
                <w:numId w:val="1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执行标准：GA68-2024《警用防刺服》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夜视观察设备</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佩戴方式：自行简便头戴式，专业防爆头盔式，手持式，三角架式，导轨式，多用途多方式融为一体。</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使用环境：白天，全黑（无光）、月光、星光、微光等各类全场景</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图像增强器等级：类3代以上，星光级芯片</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仪器结构:日夜两用，4个镜筒造型，物镜全镀膜，全波段镜头透光率≥98%</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镜身材料：仪器整体高强度防摔ABS，镜头铝合金+玻璃镜片蓝光增透模，表面氧化哑黑</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物镜仪器等级:高清全数字电子式光学彩色成像</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放大倍数： 3× 20 mm（光学镜头:3倍，数码</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eastAsia="宋体" w:cs="宋体"/>
                <w:b w:val="0"/>
                <w:bCs w:val="0"/>
                <w:color w:val="auto"/>
                <w:sz w:val="21"/>
                <w:szCs w:val="21"/>
                <w:highlight w:val="none"/>
              </w:rPr>
              <w:t xml:space="preserve">8倍,物镜口径</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eastAsia="宋体" w:cs="宋体"/>
                <w:b w:val="0"/>
                <w:bCs w:val="0"/>
                <w:color w:val="auto"/>
                <w:sz w:val="21"/>
                <w:szCs w:val="21"/>
                <w:highlight w:val="none"/>
              </w:rPr>
              <w:t xml:space="preserve">20mm）</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视场角范围: 7.8*4.4°,物镜焦距：F=38mm, </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物镜可调焦范围：6.6mm</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镜片镀膜：镀13层氧化碳与氧化硅叠加防蓝光膜，最短对焦观察距离：2M-无限远</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曝光：自动控制，主动红外+自动强光保护</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红外灯：6级简便快速IR旋纽调节，红外IR增透膜玻璃镜片</w:t>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工作模式：拍照，录像，定时无人自动侦察拍摄，回放，WI-FI连接</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仪器内部菜单语言：英德法意俄日西捷波</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图像传感器:CMOS感应器，最高1600万像素</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rPr>
              <w:t xml:space="preserve">数码变焦</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eastAsia="宋体" w:cs="宋体"/>
                <w:b w:val="0"/>
                <w:bCs w:val="0"/>
                <w:color w:val="auto"/>
                <w:sz w:val="21"/>
                <w:szCs w:val="21"/>
                <w:highlight w:val="none"/>
              </w:rPr>
              <w:t xml:space="preserve">8倍</w:t>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color w:val="auto"/>
                <w:sz w:val="21"/>
                <w:szCs w:val="21"/>
                <w:highlight w:val="none"/>
              </w:rPr>
              <w:t xml:space="preserve">观测显示屏：3寸640*480彩色液晶显示屏</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18、</w:t>
            </w:r>
            <w:r>
              <w:rPr>
                <w:rFonts w:hint="eastAsia" w:ascii="宋体" w:hAnsi="宋体" w:eastAsia="宋体" w:cs="宋体"/>
                <w:b w:val="0"/>
                <w:bCs w:val="0"/>
                <w:color w:val="auto"/>
                <w:sz w:val="21"/>
                <w:szCs w:val="21"/>
                <w:highlight w:val="none"/>
              </w:rPr>
              <w:t xml:space="preserve">图像分辨率：16MP=5376×3024，12MP=4608×2592，8MP=3840×2160，6MP=3264×1832,JPEG</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 </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19、</w:t>
            </w:r>
            <w:r>
              <w:rPr>
                <w:rFonts w:hint="eastAsia" w:ascii="宋体" w:hAnsi="宋体" w:eastAsia="宋体" w:cs="宋体"/>
                <w:b w:val="0"/>
                <w:bCs w:val="0"/>
                <w:color w:val="auto"/>
                <w:sz w:val="21"/>
                <w:szCs w:val="21"/>
                <w:highlight w:val="none"/>
              </w:rPr>
              <w:t xml:space="preserve">动态影像分辨率：1920*1080，1280*720 @30 fps带录音</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拍照或录像时，可在影像画面上叠加日期和GPS经纬度坐标</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21、</w:t>
            </w:r>
            <w:r>
              <w:rPr>
                <w:rFonts w:hint="eastAsia" w:ascii="宋体" w:hAnsi="宋体" w:eastAsia="宋体" w:cs="宋体"/>
                <w:b w:val="0"/>
                <w:bCs w:val="0"/>
                <w:color w:val="auto"/>
                <w:sz w:val="21"/>
                <w:szCs w:val="21"/>
                <w:highlight w:val="none"/>
              </w:rPr>
              <w:t xml:space="preserve">隐蔽摄录功能：在录像状态下，可通过旋转旋纽键关闭屏幕</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rPr>
              <w:t xml:space="preserve">自动定时拍摄：可设定3个无人值守时间段，自动智能监控，可在设定时间自动拍摄5秒-24小时不等的视频</w:t>
            </w:r>
            <w:r/>
          </w:p>
          <w:p>
            <w:pPr>
              <w:ind w:left="240" w:hanging="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rPr>
              <w:t xml:space="preserve">支持TF卡存储（标配不含存储卡）：可将照片及音频录像存储至TF卡，最大支持64G，全黑动态连续长达近20小时的摄录时间</w:t>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24、</w:t>
            </w:r>
            <w:r>
              <w:rPr>
                <w:rFonts w:hint="eastAsia" w:ascii="宋体" w:hAnsi="宋体" w:eastAsia="宋体" w:cs="宋体"/>
                <w:b w:val="0"/>
                <w:bCs w:val="0"/>
                <w:color w:val="auto"/>
                <w:sz w:val="21"/>
                <w:szCs w:val="21"/>
                <w:highlight w:val="none"/>
              </w:rPr>
              <w:t xml:space="preserve">无光全黑观察拍摄距离：</w:t>
            </w:r>
            <w:r/>
          </w:p>
          <w:p>
            <w:pPr>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补光灯处于开启状态，可识别距离镜头500m处的人体（1.7m x 0.5m）轮廓</w:t>
            </w:r>
            <w:r/>
          </w:p>
          <w:p>
            <w:pPr>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补光灯处于开启状态，可看清距离镜头200m处的人脸</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白天观察拍摄距离：</w:t>
            </w:r>
            <w:r/>
          </w:p>
          <w:p>
            <w:pPr>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补光灯处于关闭状态，可识别距离镜头1000m处的人体（1.7m x 0.5m）轮廓</w:t>
            </w:r>
            <w:r/>
          </w:p>
          <w:p>
            <w:pPr>
              <w:ind w:firstLine="21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补光灯处于关闭状态，可看清距离镜头400m处的人脸和车牌</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26、</w:t>
            </w:r>
            <w:r>
              <w:rPr>
                <w:rFonts w:hint="eastAsia" w:ascii="宋体" w:hAnsi="宋体" w:eastAsia="宋体" w:cs="宋体"/>
                <w:b w:val="0"/>
                <w:bCs w:val="0"/>
                <w:color w:val="auto"/>
                <w:sz w:val="21"/>
                <w:szCs w:val="21"/>
                <w:highlight w:val="none"/>
              </w:rPr>
              <w:t xml:space="preserve">WI-FI无线传输功能：免费安卓或苹果APP，支持手机或IPAD无线远距大屏查看</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27、</w:t>
            </w:r>
            <w:r>
              <w:rPr>
                <w:rFonts w:hint="eastAsia" w:ascii="宋体" w:hAnsi="宋体" w:eastAsia="宋体" w:cs="宋体"/>
                <w:b w:val="0"/>
                <w:bCs w:val="0"/>
                <w:color w:val="auto"/>
                <w:sz w:val="21"/>
                <w:szCs w:val="21"/>
                <w:highlight w:val="none"/>
              </w:rPr>
              <w:t xml:space="preserve">USB接口类型: Type-C接口，可外接监视器或电脑做红外远程实时监控摄像头，外接显示屏最高达：15-80寸不等</w:t>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28、</w:t>
            </w:r>
            <w:r>
              <w:rPr>
                <w:rFonts w:hint="eastAsia" w:ascii="宋体" w:hAnsi="宋体" w:eastAsia="宋体" w:cs="宋体"/>
                <w:b w:val="0"/>
                <w:bCs w:val="0"/>
                <w:color w:val="auto"/>
                <w:sz w:val="21"/>
                <w:szCs w:val="21"/>
                <w:highlight w:val="none"/>
              </w:rPr>
              <w:t xml:space="preserve">工作电压:3.7V(1节18650可充电锂电)连续工作时间：大于等于 7小时(未开启红外) 、3小时(全黑开启红外) ；</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29、</w:t>
            </w:r>
            <w:r>
              <w:rPr>
                <w:rFonts w:hint="eastAsia" w:ascii="宋体" w:hAnsi="宋体" w:eastAsia="宋体" w:cs="宋体"/>
                <w:b w:val="0"/>
                <w:bCs w:val="0"/>
                <w:color w:val="auto"/>
                <w:sz w:val="21"/>
                <w:szCs w:val="21"/>
                <w:highlight w:val="none"/>
              </w:rPr>
              <w:t xml:space="preserve">支持使用移动电源可永不断电,连接时可连续供电拍摄</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三脚架接口:有（不含三脚架），自带挂带+头戴式固定装置，方便手持或头戴，另可外接防爆头盔式的通用翻斗车</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平均无故障时间：》=10000小时，</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32、</w:t>
            </w:r>
            <w:r>
              <w:rPr>
                <w:rFonts w:hint="eastAsia" w:ascii="宋体" w:hAnsi="宋体" w:eastAsia="宋体" w:cs="宋体"/>
                <w:b w:val="0"/>
                <w:bCs w:val="0"/>
                <w:color w:val="auto"/>
                <w:sz w:val="21"/>
                <w:szCs w:val="21"/>
                <w:highlight w:val="none"/>
              </w:rPr>
              <w:t xml:space="preserve">防水防尘级别IPX65以上；</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w:t>
            </w:r>
            <w:r>
              <w:rPr>
                <w:rFonts w:hint="eastAsia" w:ascii="宋体" w:hAnsi="宋体" w:eastAsia="宋体" w:cs="宋体"/>
                <w:b w:val="0"/>
                <w:bCs w:val="0"/>
                <w:color w:val="auto"/>
                <w:sz w:val="21"/>
                <w:szCs w:val="21"/>
                <w:highlight w:val="none"/>
              </w:rPr>
              <w:t xml:space="preserve">导轨：自带标准通用导轨，可外接各类型红外夜视灯或手电筒</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34、</w:t>
            </w:r>
            <w:r>
              <w:rPr>
                <w:rFonts w:hint="eastAsia" w:ascii="宋体" w:hAnsi="宋体" w:eastAsia="宋体" w:cs="宋体"/>
                <w:b w:val="0"/>
                <w:bCs w:val="0"/>
                <w:color w:val="auto"/>
                <w:sz w:val="21"/>
                <w:szCs w:val="21"/>
                <w:highlight w:val="none"/>
              </w:rPr>
              <w:t xml:space="preserve">工作温度:-30--+55℃(最高: -40 - 60°C)</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35、</w:t>
            </w:r>
            <w:r>
              <w:rPr>
                <w:rFonts w:hint="eastAsia" w:ascii="宋体" w:hAnsi="宋体" w:eastAsia="宋体" w:cs="宋体"/>
                <w:b w:val="0"/>
                <w:bCs w:val="0"/>
                <w:color w:val="auto"/>
                <w:sz w:val="21"/>
                <w:szCs w:val="21"/>
                <w:highlight w:val="none"/>
              </w:rPr>
              <w:t xml:space="preserve">不含电池裸机重量：≤320g，</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36、</w:t>
            </w:r>
            <w:r>
              <w:rPr>
                <w:rFonts w:hint="eastAsia" w:ascii="宋体" w:hAnsi="宋体" w:eastAsia="宋体" w:cs="宋体"/>
                <w:b w:val="0"/>
                <w:bCs w:val="0"/>
                <w:color w:val="auto"/>
                <w:sz w:val="21"/>
                <w:szCs w:val="21"/>
                <w:highlight w:val="none"/>
              </w:rPr>
              <w:t xml:space="preserve">产品配件</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三防仪器工具箱： 1套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便携防震皮包：1个</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主机1套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便携轻便头戴ABS塑胶尼龙支架：1套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Type-C连接线： 1条</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擦镜布： 1个</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皮包挂绳+仪器挂绳</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：各1条</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TF卡+1节18650锂电池：不含，非标配</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ab/>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产品尺寸(含眼罩)：</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180x150x90mm[长 / 宽 / 高]</w:t>
            </w:r>
            <w:r/>
          </w:p>
          <w:p>
            <w:pP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 xml:space="preserve">产品尺寸(不含眼罩)：</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127x140x90mm[长 / 宽 / 高]</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多功能携行具</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1、尺寸：≥49cm*32cm*18cm，采用了坚固耐用的设计。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2、面料：选用900D 尼龙面料、尼龙网布、尼龙织带、A 级魔术毛、UTX 扣具和 SBS 拉链等材质。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携行具包采用模块化分体设计，实现装备分类收纳的精准化管理，让每一件物品都能各归其位、取用便捷。可有序容纳战术背心、头盔、防毒面罩、防护手套、腰封组件、战斗服及战术靴等全套作战物资，为一线任务提供全面装备支撑;外挂模块化设计则聚焦个人随行物品收纳，睡袋、防潮垫、个人洗漱包、应急医疗物资等均能妥善安放，有效避免装备混杂，确保取用过程高效顺畅，彻底解决执勤中装备收纳杂乱的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设计特点：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一、内仓分层收纳设计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外层勤务装备专属仓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独立规整仓位，专属收纳执勤刚需装备：便携灭火器、战术甩棍、约束带、强光勤务电筒、防割防护手套等战术防护器材；仓位加固隔断设计，装备分类摆放不晃动、不刮蹭，紧急出勤可快速取放。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内层个人装备储物仓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包体最内层大容量独立仓区，适配跨市执勤个人生活物资收纳：户外储水袋、换洗衣物、贴身生活用品、个人洗漱杂物等，空间充裕，满足执勤贴身物资存放需求。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二、核心模块化外挂拓展设计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1、顶部睡袋固定位：配备高强度可调节捆绑织带+耐磨卡扣，可牢牢固定执勤驻训睡袋，释放主包内部收纳空间，长途机动背负稳固不滑落，适配夜间野外休整使用。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2、右侧可拆卸连体鞋具收纳袋：与主包一体化连接设计，专属存放执勤作训鞋、勤务鞋，实现鞋具与干净衣物物资脏净隔离，杜绝异味、污渍交叉污染。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前部防爆头盔挂载位：采用加厚承重插扣结构，可快速挂载固定防爆头盔，拆装便捷，解放双手，适配集合赶路、徒步巡逻等机动场景。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底部充气气垫挂载区：预留专属外挂绑带点位，可收纳固定充气休息气垫，为跨市执勤途中临时休憩、野外休整提供舒适保障。</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睡袋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1、警用睡袋（大衣式）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2、外料：210T防水牛津布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3、保温层：280g/㎡腈纶棉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4、里料：190T涤丝纺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5、重量：1.6kg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6、颜色：警蓝色</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充气床垫</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1、警用单人充气垫（带连体枕头）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2、尺寸：1.9x0.7m（±5mm）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3、材料：涤纶双面涂PVC加厚材质，内部高回弹性海绵</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件</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1、防水透湿复合布，规格参数：100D/72f×150D/144f热熔聚氨酯膜复合；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2、防静电涤纶平纹绸，规格参数：68D×68D;密度：460×360，质量：64g/m2；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3、涤棉布，质量符合GA358标准；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4、螺纹布，质量≥480g/m2，1+1罗纹；质量符合GA735标准；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5、金属四件按扣，规格参数：φ15mm；质量符合GA281标准；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6、平剪绒，规格参数：毛高10mm-13mm，克重680g/m2；质量符合GA355标准；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7、内胆超细纤维絮片：规格参数：120g/m2；质量符合GA353标准；功能用途：温区袖子絮片；格参数：150g/m2；质量符合GA353标准；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功能用途：寒区袖子、温区大身、高寒区大身（双层）絮片；规格参数：200g/m2；质量符合GA353标准；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功能用途：寒区大身、高寒区袖子絮片</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多功能工作棒</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1、额定电压：3.7V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2、额定容量：5Ah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3、平均寿命：1000次循环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4、额定功率：聚光3W  泛光6W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5、光通量：聚光172 lm(工作光) 339 lm（强光） 泛光504 lm(工作光)  720 lm（强光）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6、工作时间：聚光（强光）≥8h （工作光）≥16h  泛光（强光）≥4h （工作光）≥8h，充电时间：≤ 5h（完全放电状态下）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7、防爆型式：Exd ibIIC T4 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8、防护等级：IP66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9、外形尺寸：Φ47*239mm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10、重量：≤ 0.53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11、跌落测试：1m高度跌落4次，无影响防爆型式的损坏。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12、热剧变测试：喷射水温10±5℃ 透明件无破裂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13、防爆等级：隔爆本安复合型，安全防爆，本产品可在1区ⅡC级爆炸性气体环境安全使用。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14、高效照明，灯头聚光可完全满足客户日常巡检工作照明需求，灯体泛光可完全满足客户大范围巡检照明需求。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15、采用特殊波段黄色信号灯，不仅在夜间为作业人员提供方位标识，也可有效驱赶灯具周围蚊虫，避免蚊虫叮咬对作业人员造成的不适。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16、具有红、蓝交替闪烁警示灯，可作为夜间危险区域的警示提醒。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17、携带方便，具有手持、肩挎、吊挂（有挂钩）、磁力吸附等多种携带及固定方式。</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移动照明灯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1、外形尺寸：收缩状态≦700x 500x1500mm，升起高度≧4.5m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2、灯具采用一体化设计，一键升降，任意高度可停，最大升高高度≧4.5m，升降过程语音提示，安全可靠；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3、可实现多角度、全方位照明，灯具可10%-100%无极调光，满足不同工作场景需求；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4、灯头防护及电气箱防护等级≥IP65,可在雨雪天气等恶劣环境中正常使用；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5、灯具采用市电或发电机供电，在无外部电源情况下，灯具内部电池组可提供应急照明.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6、灯具内置控制面板，LCD显示屏幕，支持蓝牙连接、无线喊话，U盘播放音频，录音等功能，便于现场指挥，同时具备输出接口，可为手机、布控球等小型设备进行供电.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光源（LED）:额定功率≧3x 150W；光通量≧3x200001m；喇叭功率：30W;10米中心照度≧1300Lx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8、额定电压：≧AC220V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9、连续照明时间：接市电或发电机供电：长时间；应急电池供电：1h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10、充电时间：＜5h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11、重量≦80KG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救生飞盘</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1、外壳材质：ABS工程塑料；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2、救生绳：高强丙纶丝；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3、最大飞行距离：≥50米；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4、真空浮力：≥35N；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5、绳子长度：≥40米；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6、绳子拉力：≥150kg。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抗洪防水设施</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直板防洪挡水板：数量6块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产品描述：高强度塑料材质，外观为红色，底部设置有防滑条和可拆卸防渗。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1、迎水面为L型曲面结构。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2、挡板间拼接方式为弹簧升降立柱。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3、挡板端部配有可拆卸式防渗件。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4、尺寸：≧高55cm×宽90cm×底长60cm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5、产品重量：≧5.5KG。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6、平均厚度：≧4.2mm。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內弯防洪挡水板：数量1块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1、相邻单元拼接方式：弹簧锁扣式。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 高55cm 宽190cm 底长62cm（±2 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 ≥6.5KG。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外弯防洪挡水板：数量1块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▲技术参数：(在检测报告中体现）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1、相邻单元拼接方式：弹簧锁扣式。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2、产品尺寸：高55cm 宽195cm 底长64cm（±2 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 ≥6.3KG。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吸水膨胀袋：数量20袋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1、尺寸：400mm*600mm（±20mm）。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2、产品净重量≥200g/条（ 吸水后≥18Kg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3、膨胀时间 ≦180s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4、膨胀率 ≥18000%。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5、含水率 ≥95%。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6、断裂强度   纵向 ≥3.5KN/m    横向 ≥2KN/m。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7、断裂伸长率  纵向≥35%       横向 ≥50%。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8、CBR顶破强力  ≥400N。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9、撕破强力 纵向  ≥60N   横向≥ 45N。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10、等效孔径 ≥0.1mm。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11、垂直渗透系数 ≥1.50*10¯²。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12、密封性能：吸水前无明显吸水树脂碎屑外漏，吸水后内容物无溢出。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13、跌落性能：从1米高度自由落至平整的混凝土地面，无破损。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14、外袋材料：布料为四合一超声波丙纶无纺布面料。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产品采用真空密封包装每箱十包，每包5条，保质期限5年。</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需提供具有检测资质的检测机构出具的</w:t>
            </w:r>
            <w:r>
              <w:rPr>
                <w:rFonts w:hint="eastAsia" w:ascii="宋体" w:hAnsi="宋体" w:eastAsia="宋体" w:cs="宋体"/>
                <w:i w:val="0"/>
                <w:iCs w:val="0"/>
                <w:color w:val="auto"/>
                <w:sz w:val="21"/>
                <w:szCs w:val="21"/>
                <w:highlight w:val="none"/>
                <w:u w:val="none"/>
                <w:lang w:val="en-US" w:eastAsia="zh-CN" w:bidi="ar"/>
              </w:rPr>
              <w:t xml:space="preserve">检验检测报告</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防暴服</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1.轻便型警用防暴服应符合GA420-2021《警用防暴服》中“轻便型警用防暴服”的技术要求、试验方法、检验规则、包装、标志、运输与贮存等全部技术指标；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2.质量：≤6kg；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3.一般要</w:t>
            </w:r>
            <w:r>
              <w:rPr>
                <w:rFonts w:hint="eastAsia" w:ascii="宋体" w:hAnsi="宋体" w:eastAsia="宋体" w:cs="宋体"/>
                <w:i w:val="0"/>
                <w:iCs w:val="0"/>
                <w:color w:val="auto"/>
                <w:sz w:val="21"/>
                <w:szCs w:val="21"/>
                <w:highlight w:val="none"/>
                <w:u w:val="none"/>
                <w:lang w:val="en-US" w:eastAsia="zh-CN" w:bidi="ar"/>
              </w:rPr>
              <w:t xml:space="preserve">求：应符合GA420-2021《警用防暴服》标准；警用防暴服由防护的前胸、后背、裆部、上肢和下肢等防护部件组成上肢防护部件含肩、上臂、肘和前臂等防护部件，下肢防护部件含大腿、膝、小腿、脚面和脚踝防护部件等，见执行标准图1。防暴服穿着灵活，易于穿脱，穿着时可根据身高借助连接件调节，各部位连接件连接牢固。防暴服的各防护部件采用随形设计，与人体相应部位相适应。防暴服使用的材料无刺激性异味。前胸和后背防护部件的贴身部件可拆卸和清洗，连接和分离方便、可靠。防护部件的各层采用可拆卸结构时，在明显位置标明防护面或贴身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观要求：应符合GA420-2021《警用防暴服》标准；防暴服无皱褶、无裂痕、无破损、无缺口、无开线、无漏针、无线头等缺陷，金属材料进行防锈处理。防暴服无锋利边缘和尖锐角刺。防暴服上有清晰永久性的产品标志，标志位置在后背防护部件内侧，内容包括：a）制造厂名称或商标；b）产品名称和代号；c）产品编号；d）执行标准号；e）生产日期（年月）；f）;有效期；g）使用说明及注意事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5.颜色：应符合GA420-2021《警用防暴服》标准；藏蓝色。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6.防护面积：应符合GA420-2021《警用防暴服》标准；符合轻便型要求。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7.材料和连接件：应符合GA420-2021《警用防暴服》标准；连接带强力-拉伸负荷为2000N不断裂；搭扣带-扣合强度7.9N/cm2，耐用扣合强度7.2N/cm2；主插扣-拉伸负载为500N 不脱开、不断裂（拉伸速度100mm/min），插拔 500次后能正常使用。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8.耐冲击性能：防暴服的防护部件承受 120 J能量冲击，不破碎、不开裂。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9.能量吸收性能：防暴服的前胸、后背防护部件能承受100J能量冲击，且胶泥压痕深度8.9mm。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10.防刺性能：使用GA68-2019中规定的D1测试刀具、测试体以24J±0.5J撞击能量对防暴服的前胸、后背及裆部防护部件进行穿刺，在有效穿刺情况下，防暴服不出现穿透。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11.温度适应性：防暴服在环境温度-20℃±2℃条件下，满足耐冲击性能的要求。防暴服在环境温度+55℃±2℃条件下，满足防刺性能的要求。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12.阻燃性能：＜10s。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13.防护面积：前胸0.085m2；裆部0.036m2；后背0.104m2；上肢0.193m2；下肢0.352m2；符合轻便型要求。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14.轻便型警用防暴服内侧后背水洗标处应牢固缝制1个RFID电子防水纸质标签，标签位置：内侧后背水洗标处，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（1）标签大小：45mm*18mm；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（2）标签位置：内侧后背水洗标处；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（3）标签两侧分别内置1片RFID感应芯片符合江苏省地方标准《公安机关警用装备射频识别标签及二维码标识规范》（DB32/T 4 916—2024）中“警用装备射频识别标签”技术要求；</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储能电池（应急电源）</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1、电池容量：2042wh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2、电池类型：磷酸铁锂电池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3、车载充电：约24小时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4、市电充电：约2小时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5、AC输出*2：220V 50HZ/10A/2200W (峰值4400W)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6、DC输出：12V/10A 120W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7、USB-C输出*2：100W*1；30W*1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8、USB-A输出*1：QC3.0 18W max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9、重量：约17.5KG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10、包装内含：AC电源线，用户指南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11、大容量，大功率2200W输出, 17.5kg超轻2度电。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12、快充功能：主机市电约100分钟充满；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13、采用高循环寿命的磷酸铁锂电芯，4000次循环至70%+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14、三种充电方式，多功能接口设计：满足AC/车充口/USB接口输出，支持PD100W。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15、蓝牙和WiFi双模式通信，App远程控制设备，实现更多用户自定义设置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16、UPS功能，切换时间小于20ms无惧停电。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17、PB+ABS阻燃材料材质，易散热，绝缘防漏电。                          </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灭火器（干粉）</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1、灭火级别:2A34BCE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2、灭火剂:干粉灭火剂组成:75%磷酸二氢铵+15%硫酸铵ABC-NH4H2PO4(75%)+(NH4)2SO4(15%)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3、驱动气体:99%氮气，1.2MPa(20°C)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4、使用温度范围:-20°C~60°C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5、水压试验压力:2.1MPa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6、执行标准:GB 4351-2023</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破窗（胎）设备</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结构设计：主体采用高硬度铝合金加工组成，配置钨钢破窗头；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2、破窗功能：可击碎≤20mm钢化玻璃；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3、整体外形尺寸：高度58mm±2mm,直径φ39mm±1.5mm；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4、破窗头硬度：HRC60；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5、重复使用功能：60次；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6、连接稳定性：连续甩动次数≥100次；</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7、确保与现有的新标单警警棍进行完美结合使用；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8、卡锁设计：内置弹簧卡锁，轻松取放，可在遇到紧急情况时第一时间处理；</w:t>
            </w:r>
            <w:r/>
          </w:p>
          <w:p>
            <w:pPr>
              <w:numPr>
                <w:ilvl w:val="0"/>
                <w:numId w:val="0"/>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9.产品上内嵌RFID芯片，并刻印二维码，参照江苏省地方标准《DB32/T 4916-2024 公安机关警用装备射频识别标签及二维码标识规范》执行。</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智能眼镜</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1、AR显示：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1.1、双目、全彩色。基于Micro-OLED微显示芯片 + 阵列光波导光学模组。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1.2、透光率≥85%；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1.3、视场角（FOV）为26°；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1.4、出瞳距18mm；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1.5、入眼亮度500尼特；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1.6、分辨率≥640×400；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1.7、对比度10000:1；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1.8、刷新率≥60Hz；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1.9、等效于5米87英寸全彩巨幕影院。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2、拍摄：1颗1600万像素微光AF自动对焦摄像头，位置居中，可拍摄1080P高清画质。拍摄视角为70度，不属于广角。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3、拾音：降噪麦克风（数字Mic+模拟Mic），支持定向语音拾取。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4、扬声器：双扬声器。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5、芯片：紫光展锐W517 - 4核1.8GHz。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6、内存：≥2GB。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7、存储：≥32GB。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8、通信：支持蓝牙5.0；无线Wi-Fi（2.4G/5GHz）或移动热点。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9、续航：≥600毫安时大容量电池。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10、镜片厚度：≤1.5毫米。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11、交互方式：滚轮（支持顺时针/逆时针滚动、短按、双击，分别对应切换选项、进入选项、返回上一层）。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12、传感器：佩戴检测、加速度计、陀螺仪等传感器。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13、机身材质：尼龙材质。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14、标准包装包括：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14.1、智能眼镜；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14.2、纸质包装盒；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14.3、眼镜布；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14.4、遮光罩；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14.5、充电线；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14.6、产品说明书。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15、可选购配件包括：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15.1、智能戒指（蓝牙指环）；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15.2、皮质收纳盒；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15.3、挂脖式便携充电宝（900毫安时）；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15.4、领夹式蓝牙音箱。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16、与鼎桥执法记录仪通过专用APP实现实时数据传输。</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智能单兵全景终端</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bottom"/>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1、尺寸：≤120mm×65mm×30mm（长×宽 ×高）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3显示屏：≥2.0 英寸电容触摸屏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4CPU：≥安霸 CV22 处理器（4 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5、操作系统：Linux 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6、内存：≥2GB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7、存储：标配 64GB ，可选 256GB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8、照片：≥JPG（ 3600 万像素）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9、视频：MP4（ 2160P、1440P、1080P、720P） ，H.264 编码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10、录音：MP3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11、视角：水平视场角≥120° ,  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12、辅助光源：LED 照明灯、红外夜视灯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13、红外夜视：≥3m 可见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14、4G 网络：4G 全网通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15、SIM 卡：Nano SIM 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16、工作温度：-20-55°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17、电池：2900mAh 可拆卸锂电池、内置小电池换电池不断电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18、续航时间：单电池连续录像时间≥4 小时 ，实时视频传输≥2小时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19、充电方式：直充充电时间≤2.5 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20、接口：USB-mini B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21、防护等级：≥IP56 ，2 米跌落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22、佩戴方式：标配背夹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23、全景 360°录制：支持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24、全景 360°图传：支持（4G 机型）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25、防抖：FlowState 专业防抖、360°水平矫正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26、国标对接：支持（ GB/T 28181-2016）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27、二次开发：支持</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“苍穹之柱”基站</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1、具备高精度北斗RTK网络基站模组，支持提供高精度北斗网络定位服务和时间同步服务，支持公安私有网络部署。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2、具备气象站模块，支持提供风速数据解码服务，具有超阈值实时预警。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3、具备ADS-B数据解析服务，支持提供民航飞机飞行动态服务。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4、具有RemoteID侦测功能，侦测范围≥500m。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1、采用固定式安装结构，适配户外杆体/支架安装，POE供电。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2、设备主体尺寸：≤350mm×150mm×280mm（不含天线）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3、RTK定位：单北斗卫星导航模式，有效覆盖范围≥6Km；水平定位精度不低于±2cm+1ppm，高程定位精度不低于±2cm+1ppm。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4、ADS-B侦测：民航ADS-B信号解析数据处理延迟≤5s。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5、北斗授时：支持北斗NTP/PTP授时。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6、风速检测：有效测风范围满足0~30m/s，精度≤5%。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7、可侦测频段：支持2.4GHz、5.8GHz主流无人机通信频段。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8、工作温度满足：-10℃~45℃。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9、最高工作海拔：≥2000m。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10、设备防护等级：≥IP56。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11、侦测广播类型：满足GB42590-2023标准设备。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12、★支持侦测数据与苏州市公安局智能尖兵平台对接，支持侦测数据与客户现有平台对接。（需提供承诺书）</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配套显示设备（腕表）：</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腕表集血压测量、心电采集、心率监测、血氧检测、科学睡眠等功能于一体，是符合医疗标准的腕上动态血压表。通过行业场景深度定制、传输管道多样化、平台私有化部署等系统定制，面向行业客户提供智能穿戴创新解决方案，带来主动健康全天守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1、充电：5V/1A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2、支持一键微体检，全天候的睡眠、血氧、心率、压力体温监测，守护用户健康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3、支持80+运动模式、蓝牙通话、超长续航、内置多功能NFC模块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4、全新感知系统，医疗级精准血压测量，动态血压监测助力高血压诊断和降压效果评估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5、尺寸：≤48mmx38mmx14mm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6、重量：约40克(不含表带的重量)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7、屏幕：≥1.82英寸，AMOLED彩色屏幕分辨率480X408，PPI347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8、传感器：9轴惯性传感器(加速度传感器、陀螺仪传感器、磁力计传感器)，光学心率传感器心电传感器，环境光传感器，气压传感器体温传感器，差压传感器，霍尔传感器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9、按钮：旋转表冠，功能+ECG按键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10、充电接口类型：无线充电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11、匹配系统：HarmonyOS2及以上,Android8.0及以上iOS13.0及以上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12、防护等级：≥IP68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13、数据连接：NFC:支持蓝牙:2.4 GHz, Bluetooth 5.2, BR+BLE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14、工作环境温度：5°C~40°C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15、理论工作时间：常规使用场景续航可达6天开启动态血压测量续航1天充电接口类型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16、定制能力：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端云对接：数据服务器私有化部署，支持多种传输通路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系统对接：支持鸿蒙、安卓、苹果、Linux等系统对接解决方案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数据开放:血压、心电、心率、血氧、压力、运动等算法数据可按需开放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深度定制：支持开机L0G0、表盘、按键S0S、业务协同等行业定制智能腕表集血压测量、心电采集、心率监测、血氧检测、科学睡眠等功能于一体，是符合医疗标准的腕上动态血压表。通过行业场景深度定制、传输管道多样化、平台私有化部署等系统定制，面向行业客户提供智能穿戴创新解决方案，带来主动健康全天守护。</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智能巡逻瞭望台（基础款）</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bottom"/>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一、产品尺寸：巡逻状态：1500mm×740mm×3250mm， 收起状态 ：1500mm×740mm×2250mm ，有人值守状态：1500mm×145mm×3960mm，无人值守状态：1500mm×1450mm×2960mm。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电动驱动，满足巡逻功能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48 V电压、1000 W功率、三档速度可调最高速度可达15 km/h，方向通过手把控制，单次可正常行驶80km。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具有顶棚升降、车身升降、座椅靠背升降，其中，顶棚升降实现电动升降，可由遥控钥匙和手动按钮进行控制。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车身升降采用电动剪式液压升降系统作为升降机构。该系统通常30秒可完成升降动作，最大升降高度达1.45m。执法人员站上去后，能够拥有开阔的视野空间。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座椅具备升降功能，通常60秒即可完成升降操作，最大升降高度达0.85m（行程0.35米）。它能够根据执法人员的身高进行调节，升至与执法人员臀部齐平的高度，为执法人员提供一定的依靠，从而避免疲劳执法。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照明警示，满足显性用警功能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顶棚及瞭望台有2组环形LED长条排灯，具有红蓝闪烁，流水，频闪模式切换，也可作为转向灯。瞭望台前底部有2组照明灯，警徽上部有一排LED照明灯组。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警报喊话，满足实战需求功能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有警报和喊话的功能，双喇叭位于顶部。警报器手柄集成了全装备的控制，包括工作台升降、座椅升降、照明灯、频闪灯等。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语音播放，满足巡逻宣传语音播放的功能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内置播放器可将语音通过警报器喇叭循环播放。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文字警告宣传功能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瞭望台前框（选配）、顶棚后面设计LED显示屏，远程操作显示屏开关和更换字幕型式等。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无人机停靠平台，满足无人机停放功能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顶棚前部可停无人机，无人机停靠平台尺寸600mm×1025mm。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装备收纳，满足应急处置功能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车体配备收纳柜和抽屉，可存放路障、头盔、急救包、手铐、AED、警摩款隔离围挡等装备，升降椅后方设置多个挂扣，可放置长短警棍、钢叉，右侧可放置防暴盾牌等装备。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四、技术指标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外观：颜色以深蓝色和瓷白色为主色调。巡特警部门可以定制特警蓝；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额定电压：DC 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电机额定功率：1000 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最高车速：15 km/h；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电池容量：≥100 Ah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充电电池：可更换式，可以快速取放；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充电时间：≤10 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外形尺寸：1500mm（长）×1000mm（宽）×2250/3960（最小降落高/最大升起高）;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地面距工作台高度：740mm±50mm/1450±50mm(无升起/全升起)；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整机重量：≥600kg；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 续航能力：≥80 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 载重：300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 开警灯可持续工作时间：≥24h；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 开照明灯可持续工作时间：≥24h；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 开警报器可持续工作时间：≥12h。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 警示灯参数： 工作电压：DC48V；工作电流：≤2A；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 警报器参数：工作电压：DC48V；工作电流：≤3A；输出功率：≤100W；扬声器阻抗: 8Ω±10%；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 照明灯参数：工作电压：DC48V；照明功率：≤60 W；工作电流： ≤2A；可视距离：≥50m。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智能巡逻瞭望台（标准版）</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bottom"/>
            <w:textDirection w:val="lrTb"/>
            <w:noWrap w:val="false"/>
          </w:tcPr>
          <w:p>
            <w:pPr>
              <w:numPr>
                <w:ilvl w:val="0"/>
                <w:numId w:val="12"/>
              </w:num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产品尺寸：巡逻状态：1500mm×740mm×3250mm（±2%）， 收起状态 ：1500mm×740mm×2250mm（±2%） ，有人值守状态：1500mm×145mm×3960mm（±2%），无人值守状态：1500mm×1450mm×2960mm（±2%）。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二、远程功能：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（1）配置5G通讯模组、独立北斗定位；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（2）顶棚前部及两侧嵌入小摄像头；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（3）车顶配置可变焦的可见光云台相机（具备智能抓拍功能，选配）；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（4）车顶无人机侦测模组（选配）。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（5）实现对于升降系统、供电系统状态、警灯警报器控制、LED屏文字编辑、摄像头控制与图传等所有设备远程控制功能。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三、产品功能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电动驱动，满足巡逻功能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48 V电压、1000 W功率、三档速度可调最高速度可达15 km/h，方向通过手把控制，单次可正常行驶80km。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具有顶棚升降、车身升降、座椅靠背升降，其中，顶棚升降实现电动升降，可由遥控钥匙和手动按钮进行控制。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车身升降采用电动剪式液压升降系统作为升降机构。该系统通常30秒可完成升降动作，最大升降高度达1.45m。执法人员站上去后，能够拥有开阔的视野空间。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座椅具备升降功能，通常60秒即可完成升降操作，最大升降高度达0.85m（行程0.35米）。它能够根据执法人员的身高进行调节，升至与执法人员臀部齐平的高度，为执法人员提供一定的依靠，从而避免疲劳执法。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照明警示，满足显性用警功能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顶棚及瞭望台有2组环形LED长条排灯，具有红蓝闪烁，流水，频闪模式切换，也可作为转向灯。瞭望台前底部有2组照明灯，警徽上部有一排LED照明灯组。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警报喊话，满足实战需求功能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有警报和喊话的功能，双喇叭位于顶部。警报器手柄集成了全装备的控制，包括工作台升降、座椅升降、照明灯、频闪灯等。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语音播放，满足巡逻宣传语音播放的功能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内置播放器可将语音通过警报器喇叭循环播放。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文字警告宣传功能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瞭望台前框（选配）、顶棚后面设计LED显示屏，远程操作显示屏开关和更换字幕型式等。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无人机停靠平台，满足无人机停放功能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顶棚前部可停无人机，无人机停靠平台尺寸600mm×1025mm。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装备收纳，满足应急处置功能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车体配备收纳柜和抽屉，可存放路障、头盔、急救包、手铐、AED、警摩款隔离围挡等装备，升降椅后方设置多个挂扣，可放置长短警棍、钢叉，右侧可放置防暴盾牌等装备。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四、技术指标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外观：颜色以深蓝色和瓷白色为主色调。巡特警部门可以定制特警蓝；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额定电压：DC 48V；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电机额定功率：1000 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最高车速：15 km/h；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电池容量：≥100 Ah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 充电电池：可更换式，可以快速取放；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 充电时间：≤10 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 外形尺寸：1500mm（长）×1000mm（宽）×2250/3960（最小降落高/最大升起高）;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 地面距工作台高度：740mm±50mm/1450±50mm(无升起/全升起)；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 整机重量：≥600kg；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 续航能力：≥80 km；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 载重：300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 开警灯可持续工作时间：≥24h；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 开照明灯可持续工作时间：≥24h；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 开警报器可持续工作时间：≥12h。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 警示灯参数： 工作电压：DC48V；工作电流：≤2A；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 警报器参数：工作电压：DC48V；工作电流：≤3A；输出功率：≤100W；扬声器阻抗: 8Ω±10%；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 照明灯参数：工作电压：DC48V；照明功率：≤60 W；工作电流： ≤2A；可视距离：≥50m。</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车载监控系统(4G云台）</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含智慧车载终端、高清车载红外云台摄像机：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智慧车载终端产品描述：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1、支持车载9-15V宽幅电源输入；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2、支持接入2路专用车载高清数字相机，支持EIS防抖、H.265&amp;H264编码，最大支持4K分辨率；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3、双SIM卡设计、双TF卡槽设计（一路支持TF卡拓展加密一路支持TF卡存储拓展）；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4、支持WIFI、蓝牙、4G/5G全网通数据传输；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5、支持独立北斗；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6、支持GB/T 28181协议平台对接，可进行实时音视频画面浏览和呼叫对讲、支持录像回放和下载、定位上报，支持一键告警上报等；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7、支持标准GA/T 1400视图库协议，支持断网重连后，将主机存储的视频、图片及结构化数据完整传输至后台；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8、支持人脸识别、车牌识别，并支持离线/在线比对告警；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9、支持车辆违法压线（白、黄实线，双黄实线）抓拍；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10、支持车辆违法占用公交车道自动抓拍；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高清车载红外云台摄像机产品描述：</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1、车载宽幅电压输入DC9~36V，IP66防护等级，200米红外夜视；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2、800万像素、4K高清画质，33倍光学变倍；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3、采用新型流线型外观设计，简约美观，支持车载防抖，具备良好的成像效果；</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防割手套（长臂）</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双</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1长款勤务手套可以防止匕首、三棱割刀、玻璃等锐器的伤害；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2、手掌部分设计有防滑橡胶；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3、手指部分有导电丝，可以进行手机的触屏操作；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4、手背、手指关节等处设计有防撞橡胶；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5、手套腕口设计有挂钩孔位，可配合挂钩腰间悬挂；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6、手套符合：《GB24541-2022 手部防护机械危害防护手套》标准中：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耐磨损性：≥4级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耐撕裂性：≥4级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耐穿刺性：≥3级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耐切割型：D(≥5级)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手套灵巧性：≥4级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手套耐热性：热源温度100度时＞15s，热源温度250度时＞7s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7、手套长度：≥40cm，均码。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8、小臂防护面积：静态面积≤260cm2；拉伸面积≤520cm2。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9、重量：≤75g。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10、各种有效防止匕首、三棱刮刀、玻璃等锐器的切割伤害物体；360º(度)防切割。</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约束带</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1、组成：约束带由主腰带、左右手腕带、束脚带及金属扣连接而成。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2、面料：采用尼龙编织带。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3、主腰带宽：35mm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4、总长：1160mm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5、手腕带宽：45mm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6、质量：200g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7、耐用度：3000次。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8、约束带带体颜色为黑色，金属件为银白色金属光泽。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9、约束带上有清晰永久性的产品标志。位于腰带贴身面居中处。</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便携式防弹盾牌</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1、战术型折叠式防弹盾牌为战术突击、防御而设计。适用于各种复杂场景完成进攻、突击、掩护、防御等战术动作。               </w:t>
            </w:r>
            <w:r>
              <w:rPr>
                <w:rFonts w:hint="eastAsia" w:ascii="宋体" w:hAnsi="宋体" w:eastAsia="宋体" w:cs="宋体"/>
                <w:i w:val="0"/>
                <w:iCs w:val="0"/>
                <w:color w:val="auto"/>
                <w:sz w:val="21"/>
                <w:szCs w:val="21"/>
                <w:highlight w:val="none"/>
                <w:u w:val="none"/>
                <w:lang w:val="en-US" w:eastAsia="zh-CN" w:bidi="ar"/>
              </w:rPr>
              <w:t xml:space="preserve">                                2、盾牌可折叠和展开，适合狭小空间战术行动，可装入随行袋便于快速行动。                                    3、盾体折叠中片、左片、右片及中间搭接部位，全部防弹。折叠盾牌中间位置设有枪托支架，战术移动时可交替长、短枪。盾牌悬挂系统可将盾牌快速由前挡转移为背负，解放双手。                                           4、防弹能力：公安部防弹标准3级；防护面积：≥0.58㎡；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5、重量：5.3kg。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前档警告帘</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1、外壳：采用优质航空铝合金外壳。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2、转轴：自动回收转轴，伸缩平滑顺畅。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3、帘面：选用优质尼龙防水面料。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4、磁吸：采用高强度吸力的金属磁吸。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5、展开尺寸：≥1米*1.2米， 收缩尺寸：≤1米，重量：≤1.3kg</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锂电池灭火器</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2、产品尺寸(mm)：≥445*130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3、产品重量(kg)：5±0.5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4、灭火级别：1A、70B、E、5F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5、灭火剂：S-3-AB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6、喷射时间：≥36s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7、喷射距离：≥4.4m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8、保质期：≥4年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9、使用温度：﹢5℃~﹢60℃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10、驱动气体：氮气</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手抛破玻阻车球</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c>
          <w:tcPr>
            <w:tcW w:w="369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1、单人通过手抛方式可直接击穿车窗，无需借助其他发射或辅助装备；设备内含催泪试剂，能够有效驱离车内人员。</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▲2、破玻能力：能击穿12mm厚单层钢化玻璃。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3、外观洁净，无划伤；金属件表面没有涂层脱落、锈蚀现象；表面字样清晰、完整、牢固。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▲4、单球直径≤85mm。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▲5、单球重量≤250g。</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▲6、配有安全可靠的防止误触的保险。</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▲7、延期时间≤2s。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▲8、发烟持续时间≤10s。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▲9、从发烟开始计时，驱离车内人员时间≤15S。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▲10、产品冲击头硬度≥89HRA。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11、正常作用率≥90%。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12、振动性能：振动过程中无燃烧、爆炸现象，振动后零部件不松动、脱落、损伤、变形。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13、跌落安全性：带包装从3m处自由落下无燃烧、爆炸现象。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14、温度适性：在-30℃～45℃条件下正常发射。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15、稳定性：在老化试验后产品表面无剥落，不解体、不泄漏、不爆裂，且正常使用。</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16、▲需提供具有检测资质的检测机构出具的检验检测报告；▲项须在检测报告中体现。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对讲机耳机</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个</w:t>
            </w:r>
            <w:r/>
          </w:p>
        </w:tc>
        <w:tc>
          <w:tcPr>
            <w:tcW w:w="3696"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1、灵敏度：-46±3dB（1kHz，0dB=1V/Pa）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2、阻抗：≤2.2KΩ @1kHz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3、PTT寿命：≥100,000次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4、防护等级：IP67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5、工作温度：-30℃ ~ +60℃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6、接口：17pin专业接口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7、适配机型：中兴PH500/PH520/PH700/PH790/GH650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8、功能特点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可左右耳佩戴的耳挂式设计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人声优化，高保真、低噪音</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战术背心（含防刺芯片）</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件</w:t>
            </w:r>
            <w:r/>
          </w:p>
        </w:tc>
        <w:tc>
          <w:tcPr>
            <w:shd w:val="clear" w:color="auto" w:fill="auto"/>
            <w:tcW w:w="369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为日常勤务人员提供辨识度高及轻量化的背心，方便携带日常勤务所需的单警装备，能够有效减轻单警携装负重，提升穿着舒适度，提高见警率、单警机动性与实战水平。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2、背心结构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2.1、背心整体设计可配合传统警服穿着，可集成挂载单警装备快拆模块（单警装备6件套）、LED 警示灯、能源终端、防刺防弹插板、温控模块等单警携行装备；具有装置可拆卸的防刺/弹芯片内层。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2.2、肩带采用缓冲垫结构设计，能有效分散肩部压力，减轻携装负重感，左右肩部设置固定织带，可固定挂载手电、对讲机、执法仪等。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2.3、前幅具有模组魔术毛，可粘贴警号、胸徽、警察反光识别章。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具有模块化molle大挂载平台，可根据不同实战使用场景需求进行装备携行配置，实现背心与单警装备一体集成。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2.4、后幅具有模组魔术毛设计，可粘贴警察反光识别章、LED警示灯，水洗反光布设计，可用于夜间执勤。具有模块化molle大挂载平台，可根据不同实战使用场景需求进行装备携行配置，实现装、服不分离。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2.5、背心两侧腰部可根据人体腰围大小调节。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3.1、主体面料：符合EN471标准的高强耐磨≥600D涤纶及网布，聚酯纤维。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3.2、辅助面料要求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3.2.1、600D PU 防泼水抗污涤纶布，聚酯纤维；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3.2.2、工业水洗反光布，反光度≥400RA；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3.2.3、电压章“警察”“POLICE”“警察 POLICE”字体，反光度≥500RA；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3.2.4、前中5#胶牙拉链，内饰5#、7#拉链；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3.2.5、A级尼龙软性魔术毛、尼龙防水魔术勾、尼龙织带。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5、尺寸：均码，适合身高170-185cm的警务人员穿着，兼容度高。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6、重量：背心≤800g；附件包（6件套）≤520g。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7、LED警示灯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7.1、尺寸：248(±3)×37(±1)×10(±1)mm；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7.2、重量：≤28g；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7.3、材质/颜色：ABS，涤纶；红蓝两色；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7.4、外观：印有警察POLICE标识；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7.5、功能：自带电池、type-c接口，红蓝闪模式，蓝光闪3次，红光闪3次，红/蓝光同时闪3次；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7.6、充满电时长：≤2h；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7.7、工作时长：红蓝闪续航≥10h；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7.8、可视距离：红、蓝光（无月星空，裸眼观测）≥300m；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8、防刺内芯要求（非金属）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8.1、功能要求：具有防暴和防刺双重功能。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8.2、防护性能：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核心部位（心脏部位）的防刺性能符合GA68-2024 A类，即在24焦耳的刺穿动能下不穿透；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8.3、非核心部位的防刺性能符合按照GA68-2024标准中相关的检测方法，在8焦耳的刺穿动能下不穿透。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8.4、防护内芯面积：≥0.25㎡；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8.5、防刺层保护套材料的抗静水压等级应能达到GB/T 4744一2013中规定的5级或以上.</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8.6、防刺服质量应小于或等于1.8kg。</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8.7、防刺服的防刺层厚度应小于或等于10 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8.8、弯曲度：防刺服在外力作用下弯曲20mm时的作用力应小于或等于70N。</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8.9、防刺内芯结构：</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8.9.1、防刺内芯材料采用非金属碳纤维材料防刺块，防刺单元块相互交错搭接结构，涂覆于芳纶机织布面料上，下面缓冲层为≥5mm厚泡棉材料。</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8.9.2、碳纤维防刺单元块内部由三层组成:最底层为边长≥25mm，厚度≥1.5mm的正方形碳纤维片;中间层为边长≥25mm，厚度≥1.5mm的正方形碳纤维片;最上层为边长为≥25mm，厚度为≥1.0mm的回字形碳纤维防护块。三层之间彼此交错搭接，形成重叠结构，回字形碳纤维防护块起到保护防护单元缝隙的加强作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8.9.3、该防刺内芯具有单向弯折，防冲击形变特点。表面回字形碳纤维防护块凸凹结构可用于阻挡刀尖斜刺和滑动。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8.9.4、执行标准：GA68-2024《警用防刺服》</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9、配置要求：多功能战术背心1件、单警附件包1组、led 警示灯1条、防刺内芯1套、执法仪固定套1个。</w:t>
            </w:r>
            <w:r/>
          </w:p>
        </w:tc>
      </w:tr>
    </w:tbl>
    <w:p>
      <w:pPr>
        <w:pStyle w:val="840"/>
        <w:rPr>
          <w:color w:val="auto"/>
          <w:highlight w:val="none"/>
        </w:rPr>
      </w:pPr>
      <w:r>
        <w:rPr>
          <w:color w:val="auto"/>
          <w:highlight w:val="none"/>
        </w:rPr>
      </w:r>
      <w:r/>
    </w:p>
    <w:p>
      <w:pPr>
        <w:pStyle w:val="821"/>
        <w:numPr>
          <w:ilvl w:val="0"/>
          <w:numId w:val="0"/>
        </w:numPr>
        <w:ind w:left="482"/>
        <w:spacing w:line="360" w:lineRule="auto"/>
        <w:shd w:val="clear" w:color="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采购包2：</w:t>
      </w:r>
      <w:r/>
    </w:p>
    <w:p>
      <w:pPr>
        <w:numPr>
          <w:ilvl w:val="0"/>
          <w:numId w:val="0"/>
        </w:numPr>
        <w:spacing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采购清单及技术参数要求</w:t>
      </w:r>
      <w:r>
        <w:rPr>
          <w:rFonts w:ascii="宋体" w:hAnsi="宋体" w:eastAsia="宋体" w:cs="宋体"/>
          <w:color w:val="auto"/>
          <w:sz w:val="24"/>
          <w:highlight w:val="none"/>
        </w:rPr>
        <w:t xml:space="preserve">：</w:t>
      </w:r>
      <w:r/>
    </w:p>
    <w:tbl>
      <w:tblPr>
        <w:tblStyle w:val="8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736"/>
        <w:gridCol w:w="621"/>
        <w:gridCol w:w="542"/>
        <w:gridCol w:w="6836"/>
      </w:tblGrid>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装备名称</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tcW w:w="29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单位</w:t>
            </w:r>
            <w:r/>
          </w:p>
        </w:tc>
        <w:tc>
          <w:tcPr>
            <w:tcW w:w="369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参数</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健康管理一体机（I型）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台</w:t>
            </w:r>
            <w:r/>
          </w:p>
        </w:tc>
        <w:tc>
          <w:tcPr>
            <w:tcW w:w="3696"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1、配置：</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1）标准项目：身份识别、血压、脉率、血氧饱和度、体温、身高、体重、BMI、腰臀围、腰臀比、血糖、尿酸、总胆固醇</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2）支持拓展项目：血脂四项、视力、尿常规、血红蛋白、快速心电检测、十二导心电检测、肺活量、肺功能评估等</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安卓</w:t>
            </w:r>
            <w:r>
              <w:rPr>
                <w:rFonts w:hint="eastAsia" w:ascii="宋体" w:hAnsi="宋体" w:eastAsia="宋体" w:cs="宋体"/>
                <w:color w:val="auto"/>
                <w:sz w:val="21"/>
                <w:szCs w:val="21"/>
                <w:highlight w:val="none"/>
              </w:rPr>
              <w:t xml:space="preserve">操作平台：触摸屏触控操作。</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2、管理系统软件功能：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1）自助建档支持通过键盘、身份证、社保卡、人脸识别等多种方式自动形成个人健康档案。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2）自助体检从登记到集成体检报告，各设备均可由检测者自助或自动完成，用户可以对检测指标进行查看，实现全程自助理念。</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3）软件数据处理模块可以测量的项目检测数据自动上传系统，无需手动输入，数据结果汇总并生成体检报告，方便医护人员查看检测者信息。</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每个检查项目需有专业的动画操作说明，通过指导客户达到自助检测的目的。（需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具有中医体质辨识系统软件：至少同时支持66道题和33道题，根据实际临床需求可自主选择。（需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6）支持慢病管理功能，支持多种病种管理，具备PC管理端和用户端小程序。</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3、数据传输：设备开机后通过蓝牙/USB连接，每个设备连接情况在系统主界面显示。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1）报告查看：接入网络后，可实现数据共享，电子报告单等健康服务工作。</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结合测量结果，给出健康指南和建议指导。（需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3）提供微信端查询功能，体检者可通过公众号自助查询个人体检报告。</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4）支持数据对接，提供完整的数据传输接口协议，支持多种联网传输方式。</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升级维护：</w:t>
            </w:r>
            <w:r/>
          </w:p>
          <w:p>
            <w:pPr>
              <w:numPr>
                <w:ilvl w:val="1"/>
                <w:numId w:val="0"/>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联网后支持远程升级，故障上报，数据备份，软件更新等服务。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4、标准配置检测参数：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1）脉搏血氧仪</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可连接蓝牙，对接APP，实现数据管理；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2）全自动电子血压计</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适用范围：测量成人血压、脉率和脉搏波波形</w:t>
            </w:r>
            <w:r>
              <w:rPr>
                <w:rFonts w:hint="eastAsia" w:ascii="宋体" w:hAnsi="宋体" w:eastAsia="宋体" w:cs="宋体"/>
                <w:color w:val="auto"/>
                <w:sz w:val="21"/>
                <w:szCs w:val="21"/>
                <w:highlight w:val="none"/>
                <w:lang w:eastAsia="zh-CN"/>
              </w:rPr>
              <w:t xml:space="preserve">；</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测量原理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示波法，</w:t>
            </w:r>
            <w:r>
              <w:rPr>
                <w:rFonts w:hint="eastAsia" w:ascii="宋体" w:hAnsi="宋体" w:eastAsia="宋体" w:cs="宋体"/>
                <w:color w:val="auto"/>
                <w:sz w:val="21"/>
                <w:szCs w:val="21"/>
                <w:highlight w:val="none"/>
                <w:lang w:val="en-US" w:eastAsia="zh-CN"/>
              </w:rPr>
              <w:t xml:space="preserve">降压</w:t>
            </w:r>
            <w:r>
              <w:rPr>
                <w:rFonts w:hint="eastAsia" w:ascii="宋体" w:hAnsi="宋体" w:eastAsia="宋体" w:cs="宋体"/>
                <w:color w:val="auto"/>
                <w:sz w:val="21"/>
                <w:szCs w:val="21"/>
                <w:highlight w:val="none"/>
              </w:rPr>
              <w:t xml:space="preserve">过程测量血压；</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测量范围：</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静态压力：</w:t>
            </w:r>
            <w:r>
              <w:rPr>
                <w:rFonts w:hint="eastAsia" w:ascii="宋体" w:hAnsi="宋体" w:eastAsia="宋体" w:cs="宋体"/>
                <w:color w:val="auto"/>
                <w:sz w:val="21"/>
                <w:szCs w:val="21"/>
                <w:highlight w:val="none"/>
              </w:rPr>
              <w:t xml:space="preserve">0mmHg～300mmHg；</w:t>
            </w:r>
            <w:r>
              <w:rPr>
                <w:rFonts w:hint="eastAsia" w:ascii="宋体" w:hAnsi="宋体" w:eastAsia="宋体" w:cs="宋体"/>
                <w:color w:val="auto"/>
                <w:sz w:val="21"/>
                <w:szCs w:val="21"/>
                <w:highlight w:val="none"/>
                <w:lang w:val="en-US" w:eastAsia="zh-CN"/>
              </w:rPr>
              <w:t xml:space="preserve">动态血压：收缩压≥（60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255）mmHg，舒张压≥（30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195）mmHg；脉率：35 bpm～185 bpm；</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适用臂围：≥16cm～43cm（需提供经过药监局备案的产品技术要求证明）；</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单机存储容量：≥2000例；</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自测自动模式：可自动进行多次测量并计算平均值，测量次数支持2-6次自定义（需提供经过药监局备案的产品技术要求证明或者说明书证明）</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电磁兼容性：辐射发射水平达到B类标准，满足可直接连接家用电网使用的要求。</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3）红外体温计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温度测量范围（包括人体、表面、室温）人体模式：32.0~42.9℃，表面模式：0~100℃，室温模式：5~40℃；可储存99组数据。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4）电子健康尺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测量范围：1500mm。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5）超声波身高体重测量仪</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身高测量范围：70cm～200cm，分辨率≤0.1 cm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HBM称重传感器：提供高度精确的体重检测数据。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6）血糖、尿酸、总胆固醇监测系统：具有无线传输功能，可对接APP，实现数据管理。</w:t>
            </w:r>
            <w:r/>
          </w:p>
          <w:p>
            <w:pPr>
              <w:pStyle w:val="1093"/>
              <w:numPr>
                <w:ilvl w:val="0"/>
                <w:numId w:val="0"/>
              </w:numPr>
              <w:jc w:val="left"/>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7）触控</w:t>
            </w:r>
            <w:r>
              <w:rPr>
                <w:rFonts w:hint="eastAsia" w:ascii="宋体" w:hAnsi="宋体" w:eastAsia="宋体" w:cs="宋体"/>
                <w:b/>
                <w:bCs/>
                <w:color w:val="auto"/>
                <w:sz w:val="21"/>
                <w:szCs w:val="21"/>
                <w:highlight w:val="none"/>
                <w:lang w:val="en-US" w:eastAsia="zh-CN" w:bidi="ar-SA"/>
              </w:rPr>
              <w:t xml:space="preserve">一体机参数</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（1）CPU：RK3288四核处理器、主频1.8G；</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（2）LED 屏：不小于21.5英寸IPS屏；分辨率:1920*1080 FULL HD；</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（3）RAM（内存）：不低于2GB；容量不低于8GB；</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（4）操作系统：不低于Android 5.1；</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（5）网络：支持WIFI、以太网；配备蓝牙4.0；</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（6）媒体播放：视频格式:MPEG-1,MPEG-2,MPEG-4,H.263,H.264,VC1,RV etc.,support up to 1080p；</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（7）标配200万摄像头；</w:t>
            </w:r>
            <w:r/>
          </w:p>
          <w:p>
            <w:pPr>
              <w:numPr>
                <w:ilvl w:val="1"/>
                <w:numId w:val="0"/>
              </w:numPr>
              <w:ind w:left="0" w:firstLine="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 xml:space="preserve">（8）电容触摸屏；</w:t>
            </w:r>
            <w:r/>
          </w:p>
        </w:tc>
      </w:tr>
      <w:tr>
        <w:trPr/>
        <w:tc>
          <w:tcPr>
            <w:tcW w:w="275"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398"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健康管理一体机（Ⅱ型）</w:t>
            </w:r>
            <w:r/>
          </w:p>
        </w:tc>
        <w:tc>
          <w:tcPr>
            <w:tcW w:w="336"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93"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台</w:t>
            </w:r>
            <w:r/>
          </w:p>
        </w:tc>
        <w:tc>
          <w:tcPr>
            <w:tcW w:w="3696"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1、配置：</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1）标准项目：身份识别、血压、脉率、血氧饱和度、体温、身高、体重、BMI、腰臀围、腰臀比、血糖、尿酸、总胆固醇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人体成分分析</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2）支持拓展项目：血脂四项、视力、尿常规、血红蛋白、快速心电检测、十二导心电检测、肺活量、肺功能评估等</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安卓</w:t>
            </w:r>
            <w:r>
              <w:rPr>
                <w:rFonts w:hint="eastAsia" w:ascii="宋体" w:hAnsi="宋体" w:eastAsia="宋体" w:cs="宋体"/>
                <w:color w:val="auto"/>
                <w:sz w:val="21"/>
                <w:szCs w:val="21"/>
                <w:highlight w:val="none"/>
              </w:rPr>
              <w:t xml:space="preserve">操作平台：触摸屏触控操作。</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2、管理系统软件功能：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1）自助建档支持通过键盘、身份证、社保卡、人脸识别等多种方式自动形成个人健康档案。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2）自助体检从登记到集成体检报告，各设备均可由检测者自助或自动完成，用户可以对检测指标进行查看，实现全程自助理念。</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3）软件数据处理模块可以测量的项目检测数据自动上传系统，无需手动输入，数据结果汇总并生成体检报告，方便医护人员查看检测者信息。</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每个检查项目需有专业的动画操作说明，通过指导客户达到自助检测的目的。（需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具有中医体质辨识系统软件：至少同时支持66道题和33道题，根据实际临床需求可自主选择。（需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6）支持慢病管理功能，支持多种病种管理，具备PC管理端和用户端小程序。</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3、数据传输：设备开机后通过蓝牙/USB连接，每个设备连接情况在系统主界面显示。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1）报告查看：接入网络后，可实现数据共享，电子报告单等健康服务工作。</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结合测量结果，给出健康指南和建议指导。（需</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截图）</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3）提供微信端查询功能，体检者可通过公众号自助查询个人体检报告。</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4）支持数据对接，提供完整的数据传输接口协议，支持多种联网传输方式。</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升级维护：</w:t>
            </w:r>
            <w:r/>
          </w:p>
          <w:p>
            <w:pPr>
              <w:numPr>
                <w:ilvl w:val="1"/>
                <w:numId w:val="0"/>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联网后支持远程升级，故障上报，数据备份，软件更新等服务。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4、标准配置检测参数：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1）脉搏血氧仪</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可连接蓝牙，对接APP，实现数据管理；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2）全自动电子血压计</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适用范围：测量成人血压、脉率和脉搏波波形</w:t>
            </w:r>
            <w:r>
              <w:rPr>
                <w:rFonts w:hint="eastAsia" w:ascii="宋体" w:hAnsi="宋体" w:eastAsia="宋体" w:cs="宋体"/>
                <w:color w:val="auto"/>
                <w:sz w:val="21"/>
                <w:szCs w:val="21"/>
                <w:highlight w:val="none"/>
                <w:lang w:eastAsia="zh-CN"/>
              </w:rPr>
              <w:t xml:space="preserve">；</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测量原理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示波法，</w:t>
            </w:r>
            <w:r>
              <w:rPr>
                <w:rFonts w:hint="eastAsia" w:ascii="宋体" w:hAnsi="宋体" w:eastAsia="宋体" w:cs="宋体"/>
                <w:color w:val="auto"/>
                <w:sz w:val="21"/>
                <w:szCs w:val="21"/>
                <w:highlight w:val="none"/>
                <w:lang w:val="en-US" w:eastAsia="zh-CN"/>
              </w:rPr>
              <w:t xml:space="preserve">降压</w:t>
            </w:r>
            <w:r>
              <w:rPr>
                <w:rFonts w:hint="eastAsia" w:ascii="宋体" w:hAnsi="宋体" w:eastAsia="宋体" w:cs="宋体"/>
                <w:color w:val="auto"/>
                <w:sz w:val="21"/>
                <w:szCs w:val="21"/>
                <w:highlight w:val="none"/>
              </w:rPr>
              <w:t xml:space="preserve">过程测量血压；</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测量范围：</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静态压力：</w:t>
            </w:r>
            <w:r>
              <w:rPr>
                <w:rFonts w:hint="eastAsia" w:ascii="宋体" w:hAnsi="宋体" w:eastAsia="宋体" w:cs="宋体"/>
                <w:color w:val="auto"/>
                <w:sz w:val="21"/>
                <w:szCs w:val="21"/>
                <w:highlight w:val="none"/>
              </w:rPr>
              <w:t xml:space="preserve">0mmHg～300mmHg；</w:t>
            </w:r>
            <w:r>
              <w:rPr>
                <w:rFonts w:hint="eastAsia" w:ascii="宋体" w:hAnsi="宋体" w:eastAsia="宋体" w:cs="宋体"/>
                <w:color w:val="auto"/>
                <w:sz w:val="21"/>
                <w:szCs w:val="21"/>
                <w:highlight w:val="none"/>
                <w:lang w:val="en-US" w:eastAsia="zh-CN"/>
              </w:rPr>
              <w:t xml:space="preserve">动态血压：收缩压≥（60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255）mmHg，舒张压≥（30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195）mmHg；脉率：35 bpm～185 bpm；</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适用臂围：≥16cm～43cm（需提供经过药监局备案的产品技术要求证明）；</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单机存储容量：≥2000例；</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自测自动模式：可自动进行多次测量并计算平均值，测量次数支持2-6次自定义（需提供经过药监局备案的产品技术要求证明或者说明书证明）</w:t>
            </w:r>
            <w:r/>
          </w:p>
          <w:p>
            <w:pPr>
              <w:rPr>
                <w:color w:val="auto"/>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电磁兼容性：辐射发射水平达到B类标准，满足可直接连接家用电网使用的要求。</w:t>
            </w:r>
            <w:r/>
          </w:p>
          <w:p>
            <w:pPr>
              <w:rPr>
                <w:color w:val="auto"/>
                <w:highlight w:val="none"/>
              </w:rPr>
            </w:pPr>
            <w:r>
              <w:rPr>
                <w:color w:val="auto"/>
                <w:highlight w:val="none"/>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3）红外体温计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温度测量范围（包括人体、表面、室温）人体模式：32.0~42.9℃，表面模式：0~100℃，室温模式：5~40℃；可储存99组数据。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4）电子健康尺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测量范围：1500mm。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5）超声波身高体重测量仪</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身高测量范围：70cm～200cm，分辨率≤0.1 cm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HBM称重传感器：提供高度精确的体重检测数据。</w:t>
            </w:r>
            <w:r/>
          </w:p>
          <w:p>
            <w:pPr>
              <w:numPr>
                <w:ilvl w:val="0"/>
                <w:numId w:val="13"/>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血糖、尿酸、总胆固醇监测系统：具有无线传输功能，可对接APP，实现数据管理。</w:t>
            </w:r>
            <w:r/>
          </w:p>
          <w:p>
            <w:pPr>
              <w:pStyle w:val="840"/>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bidi="ar-SA"/>
              </w:rPr>
              <w:t xml:space="preserve">人体成分分析</w:t>
            </w:r>
            <w:r>
              <w:rPr>
                <w:rFonts w:hint="eastAsia" w:ascii="宋体" w:hAnsi="宋体" w:eastAsia="宋体" w:cs="宋体"/>
                <w:color w:val="auto"/>
                <w:sz w:val="21"/>
                <w:szCs w:val="21"/>
                <w:highlight w:val="none"/>
                <w:lang w:val="en-US" w:eastAsia="zh" w:bidi="ar-SA"/>
              </w:rPr>
              <w:t xml:space="preserve">仪</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工作原理：多频率生物电阻抗测试。</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电极：4极8点接触式电极。</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测试频率：1kHz、5kHz、50kHz、250kHz。</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测试部位：右上肢、左上肢、躯干、右下肢、左下肢</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体重测量范围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2kg</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250kg；</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可测量的主要参数覆盖以下指标：体重、生物电阻抗、全身相位角、身体总水分、蛋白质、体脂肪、无机盐；肌肉参数：肌肉量、骨骼肌含量、肌肉均衡分析；</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脂肪参数：BMI、去脂体重、体脂百分比、节段脂肪分析、内脏脂肪面积、内脏脂肪等级、肥胖度；无机盐参数：骨矿物质含量；体</w:t>
            </w:r>
            <w:r>
              <w:rPr>
                <w:rFonts w:hint="eastAsia" w:ascii="宋体" w:hAnsi="宋体" w:eastAsia="宋体" w:cs="宋体"/>
                <w:color w:val="auto"/>
                <w:sz w:val="21"/>
                <w:szCs w:val="21"/>
                <w:highlight w:val="none"/>
                <w:lang w:val="en-US" w:eastAsia="zh-CN"/>
              </w:rPr>
              <w:t xml:space="preserve">围</w:t>
            </w:r>
            <w:r>
              <w:rPr>
                <w:rFonts w:hint="eastAsia" w:ascii="宋体" w:hAnsi="宋体" w:eastAsia="宋体" w:cs="宋体"/>
                <w:color w:val="auto"/>
                <w:sz w:val="21"/>
                <w:szCs w:val="21"/>
                <w:highlight w:val="none"/>
              </w:rPr>
              <w:t xml:space="preserve">度参数：颈围、臂围、胸围、腰围、臀围、大腿围、腰臀比；</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综合评估：人体成分总评分、基础代谢</w:t>
            </w:r>
            <w:r>
              <w:rPr>
                <w:rFonts w:hint="eastAsia" w:ascii="宋体" w:hAnsi="宋体" w:eastAsia="宋体" w:cs="宋体"/>
                <w:color w:val="auto"/>
                <w:sz w:val="21"/>
                <w:szCs w:val="21"/>
                <w:highlight w:val="none"/>
                <w:lang w:val="en-US" w:eastAsia="zh-CN"/>
              </w:rPr>
              <w:t xml:space="preserve">率</w:t>
            </w:r>
            <w:r>
              <w:rPr>
                <w:rFonts w:hint="eastAsia" w:ascii="宋体" w:hAnsi="宋体" w:eastAsia="宋体" w:cs="宋体"/>
                <w:color w:val="auto"/>
                <w:sz w:val="21"/>
                <w:szCs w:val="21"/>
                <w:highlight w:val="none"/>
              </w:rPr>
              <w:t xml:space="preserve">、身体细胞量、</w:t>
            </w:r>
            <w:r>
              <w:rPr>
                <w:rFonts w:hint="eastAsia" w:ascii="宋体" w:hAnsi="宋体" w:eastAsia="宋体" w:cs="宋体"/>
                <w:color w:val="auto"/>
                <w:sz w:val="21"/>
                <w:szCs w:val="21"/>
                <w:highlight w:val="none"/>
                <w:lang w:val="en-US" w:eastAsia="zh-CN"/>
              </w:rPr>
              <w:t xml:space="preserve">历史记录</w:t>
            </w:r>
            <w:r>
              <w:rPr>
                <w:rFonts w:hint="eastAsia" w:ascii="宋体" w:hAnsi="宋体" w:eastAsia="宋体" w:cs="宋体"/>
                <w:color w:val="auto"/>
                <w:sz w:val="21"/>
                <w:szCs w:val="21"/>
                <w:highlight w:val="none"/>
              </w:rPr>
              <w:t xml:space="preserve">、生长</w:t>
            </w:r>
            <w:r>
              <w:rPr>
                <w:rFonts w:hint="eastAsia" w:ascii="宋体" w:hAnsi="宋体" w:eastAsia="宋体" w:cs="宋体"/>
                <w:color w:val="auto"/>
                <w:sz w:val="21"/>
                <w:szCs w:val="21"/>
                <w:highlight w:val="none"/>
                <w:lang w:val="en-US" w:eastAsia="zh-CN"/>
              </w:rPr>
              <w:t xml:space="preserve">图表</w:t>
            </w:r>
            <w:r>
              <w:rPr>
                <w:rFonts w:hint="eastAsia" w:ascii="宋体" w:hAnsi="宋体" w:eastAsia="宋体" w:cs="宋体"/>
                <w:color w:val="auto"/>
                <w:sz w:val="21"/>
                <w:szCs w:val="21"/>
                <w:highlight w:val="none"/>
              </w:rPr>
              <w:t xml:space="preserve">、体重控制、体型</w:t>
            </w:r>
            <w:r>
              <w:rPr>
                <w:rFonts w:hint="eastAsia" w:ascii="宋体" w:hAnsi="宋体" w:eastAsia="宋体" w:cs="宋体"/>
                <w:color w:val="auto"/>
                <w:sz w:val="21"/>
                <w:szCs w:val="21"/>
                <w:highlight w:val="none"/>
                <w:lang w:val="en-US" w:eastAsia="zh-CN"/>
              </w:rPr>
              <w:t xml:space="preserve">评估</w:t>
            </w:r>
            <w:r>
              <w:rPr>
                <w:rFonts w:hint="eastAsia" w:ascii="宋体" w:hAnsi="宋体" w:eastAsia="宋体" w:cs="宋体"/>
                <w:color w:val="auto"/>
                <w:sz w:val="21"/>
                <w:szCs w:val="21"/>
                <w:highlight w:val="none"/>
              </w:rPr>
              <w:t xml:space="preserve">、肥胖评估、身体均衡评估、</w:t>
            </w:r>
            <w:r>
              <w:rPr>
                <w:rFonts w:hint="eastAsia" w:ascii="宋体" w:hAnsi="宋体" w:eastAsia="宋体" w:cs="宋体"/>
                <w:color w:val="auto"/>
                <w:sz w:val="21"/>
                <w:szCs w:val="21"/>
                <w:highlight w:val="none"/>
                <w:lang w:val="en-US" w:eastAsia="zh-CN"/>
              </w:rPr>
              <w:t xml:space="preserve">营养</w:t>
            </w:r>
            <w:r>
              <w:rPr>
                <w:rFonts w:hint="eastAsia" w:ascii="宋体" w:hAnsi="宋体" w:eastAsia="宋体" w:cs="宋体"/>
                <w:color w:val="auto"/>
                <w:sz w:val="21"/>
                <w:szCs w:val="21"/>
                <w:highlight w:val="none"/>
              </w:rPr>
              <w:t xml:space="preserve">建议、运动建议。</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检测电流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80uA，更低电流通过人体，更安全</w:t>
            </w:r>
            <w:r>
              <w:rPr>
                <w:rFonts w:hint="eastAsia" w:ascii="宋体" w:hAnsi="宋体" w:eastAsia="宋体" w:cs="宋体"/>
                <w:color w:val="auto"/>
                <w:sz w:val="21"/>
                <w:szCs w:val="21"/>
                <w:highlight w:val="none"/>
                <w:lang w:eastAsia="zh-CN"/>
              </w:rPr>
              <w:t xml:space="preserve">。</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电磁兼容性：辐射发射为B类标准水平，达到可连接家用电源环境（需提供产品技术要求或注册检验报告等官方证明）。</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数据存储：不需要外接计算机，主机本地可存储档案数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12万例（需提供产品技术要求或</w:t>
            </w:r>
            <w:r>
              <w:rPr>
                <w:rFonts w:hint="eastAsia" w:ascii="宋体" w:hAnsi="宋体" w:eastAsia="宋体" w:cs="宋体"/>
                <w:color w:val="auto"/>
                <w:sz w:val="21"/>
                <w:szCs w:val="21"/>
                <w:highlight w:val="none"/>
                <w:lang w:val="en-US" w:eastAsia="zh-CN"/>
              </w:rPr>
              <w:t xml:space="preserve">产品彩页</w:t>
            </w:r>
            <w:r>
              <w:rPr>
                <w:rFonts w:hint="eastAsia" w:ascii="宋体" w:hAnsi="宋体" w:eastAsia="宋体" w:cs="宋体"/>
                <w:color w:val="auto"/>
                <w:sz w:val="21"/>
                <w:szCs w:val="21"/>
                <w:highlight w:val="none"/>
              </w:rPr>
              <w:t xml:space="preserve">证明）。</w:t>
            </w:r>
            <w:r/>
          </w:p>
          <w:p>
            <w:pPr>
              <w:jc w:val="left"/>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触摸屏：主机采用高清彩色液晶屏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尺寸</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英寸触控电容屏，不需要通过按键或外接鼠标键盘操作。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需提供产品</w:t>
            </w:r>
            <w:r>
              <w:rPr>
                <w:rFonts w:hint="eastAsia" w:ascii="宋体" w:hAnsi="宋体" w:eastAsia="宋体" w:cs="宋体"/>
                <w:color w:val="auto"/>
                <w:sz w:val="21"/>
                <w:szCs w:val="21"/>
                <w:highlight w:val="none"/>
                <w:lang w:val="en-US" w:eastAsia="zh-CN"/>
              </w:rPr>
              <w:t xml:space="preserve">说明书或者彩页证明</w:t>
            </w:r>
            <w:r>
              <w:rPr>
                <w:rFonts w:hint="eastAsia" w:ascii="宋体" w:hAnsi="宋体" w:eastAsia="宋体" w:cs="宋体"/>
                <w:color w:val="auto"/>
                <w:sz w:val="21"/>
                <w:szCs w:val="21"/>
                <w:highlight w:val="none"/>
                <w:lang w:eastAsia="zh-CN"/>
              </w:rPr>
              <w:t xml:space="preserve">）</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电池：内置电池电池待机工作时间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4小时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方便外出体检使用。</w:t>
            </w:r>
            <w:r>
              <w:rPr>
                <w:rFonts w:hint="eastAsia" w:ascii="宋体" w:hAnsi="宋体" w:eastAsia="宋体" w:cs="宋体"/>
                <w:color w:val="auto"/>
                <w:sz w:val="21"/>
                <w:szCs w:val="21"/>
                <w:highlight w:val="none"/>
              </w:rPr>
              <w:t xml:space="preserve">（需提供产品技术要求或</w:t>
            </w:r>
            <w:r>
              <w:rPr>
                <w:rFonts w:hint="eastAsia" w:ascii="宋体" w:hAnsi="宋体" w:eastAsia="宋体" w:cs="宋体"/>
                <w:color w:val="auto"/>
                <w:sz w:val="21"/>
                <w:szCs w:val="21"/>
                <w:highlight w:val="none"/>
                <w:lang w:val="en-US" w:eastAsia="zh-CN"/>
              </w:rPr>
              <w:t xml:space="preserve">产品说明书</w:t>
            </w:r>
            <w:r>
              <w:rPr>
                <w:rFonts w:hint="eastAsia" w:ascii="宋体" w:hAnsi="宋体" w:eastAsia="宋体" w:cs="宋体"/>
                <w:color w:val="auto"/>
                <w:sz w:val="21"/>
                <w:szCs w:val="21"/>
                <w:highlight w:val="none"/>
              </w:rPr>
              <w:t xml:space="preserve">）</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产品质量：产品使用期限</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8年，使用过程中支持软件在线升级。</w:t>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（15）安卓操作系统，,数据需跟一体机同步。</w:t>
            </w:r>
            <w:r/>
          </w:p>
          <w:p>
            <w:pPr>
              <w:pStyle w:val="1093"/>
              <w:numPr>
                <w:ilvl w:val="0"/>
                <w:numId w:val="0"/>
              </w:numPr>
              <w:jc w:val="left"/>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8）触控</w:t>
            </w:r>
            <w:r>
              <w:rPr>
                <w:rFonts w:hint="eastAsia" w:ascii="宋体" w:hAnsi="宋体" w:eastAsia="宋体" w:cs="宋体"/>
                <w:b/>
                <w:bCs/>
                <w:color w:val="auto"/>
                <w:sz w:val="21"/>
                <w:szCs w:val="21"/>
                <w:highlight w:val="none"/>
                <w:lang w:val="en-US" w:eastAsia="zh-CN" w:bidi="ar-SA"/>
              </w:rPr>
              <w:t xml:space="preserve">一体机参数</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（1）CPU：RK3288四核处理器、主频1.8G；</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（2）LED 屏：不小于21.5英寸IPS屏；分辨率:1920*1080 FULL HD；</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（3）RAM（内存）：不低于2GB；容量不低于8GB；</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（4）操作系统：不低于Android 5.1；</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（5）网络：支持WIFI、以太网；配备蓝牙4.0；</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（6）媒体播放：视频格式:MPEG-1,MPEG-2,MPEG-4,H.263,H.264,VC1,RV etc.,support up to 1080p；</w:t>
            </w:r>
            <w:r/>
          </w:p>
          <w:p>
            <w:pPr>
              <w:numPr>
                <w:ilvl w:val="1"/>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（7）标配200万摄像头；</w:t>
            </w:r>
            <w:r/>
          </w:p>
          <w:p>
            <w:pPr>
              <w:jc w:val="left"/>
              <w:keepLines w:val="0"/>
              <w:keepNext w:val="0"/>
              <w:widowControl/>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（8）电容触摸屏；</w:t>
            </w:r>
            <w:r/>
          </w:p>
        </w:tc>
      </w:tr>
    </w:tbl>
    <w:p>
      <w:pPr>
        <w:pStyle w:val="877"/>
        <w:shd w:val="clear" w:color="auto"/>
        <w:rPr>
          <w:color w:val="auto"/>
          <w:highlight w:val="none"/>
        </w:rPr>
      </w:pPr>
      <w:r>
        <w:rPr>
          <w:color w:val="auto"/>
          <w:highlight w:val="none"/>
        </w:rPr>
      </w:r>
      <w:r/>
    </w:p>
    <w:p>
      <w:pPr>
        <w:pStyle w:val="821"/>
        <w:numPr>
          <w:ilvl w:val="0"/>
          <w:numId w:val="0"/>
        </w:numPr>
        <w:ind w:firstLine="482"/>
        <w:spacing w:line="360" w:lineRule="auto"/>
        <w:shd w:val="clear" w:color="auto"/>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注：</w:t>
      </w:r>
      <w:r/>
    </w:p>
    <w:p>
      <w:pPr>
        <w:pStyle w:val="821"/>
        <w:numPr>
          <w:ilvl w:val="0"/>
          <w:numId w:val="0"/>
        </w:numPr>
        <w:ind w:firstLine="482"/>
        <w:spacing w:line="360" w:lineRule="auto"/>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响应供应商响应的技术参数</w:t>
      </w:r>
      <w:r>
        <w:rPr>
          <w:rFonts w:hint="eastAsia" w:cs="宋体"/>
          <w:color w:val="auto"/>
          <w:highlight w:val="none"/>
          <w:lang w:eastAsia="zh-CN"/>
        </w:rPr>
        <w:t xml:space="preserve">、</w:t>
      </w:r>
      <w:r>
        <w:rPr>
          <w:rFonts w:hint="eastAsia" w:cs="宋体"/>
          <w:color w:val="auto"/>
          <w:highlight w:val="none"/>
          <w:lang w:val="en-US" w:eastAsia="zh-CN"/>
        </w:rPr>
        <w:t xml:space="preserve">功能</w:t>
      </w:r>
      <w:r>
        <w:rPr>
          <w:rFonts w:hint="eastAsia" w:ascii="宋体" w:hAnsi="宋体" w:eastAsia="宋体" w:cs="宋体"/>
          <w:color w:val="auto"/>
          <w:highlight w:val="none"/>
        </w:rPr>
        <w:t xml:space="preserve">应符合或优于采购文件的要求，不允许出现负偏离，</w:t>
      </w:r>
      <w:r>
        <w:rPr>
          <w:rFonts w:hint="eastAsia" w:cs="宋体"/>
          <w:color w:val="auto"/>
          <w:highlight w:val="none"/>
          <w:lang w:val="en-US" w:eastAsia="zh-CN"/>
        </w:rPr>
        <w:t xml:space="preserve">标“▲，</w:t>
      </w:r>
      <w:r>
        <w:rPr>
          <w:rFonts w:hint="eastAsia" w:ascii="宋体" w:hAnsi="宋体" w:eastAsia="宋体" w:cs="宋体"/>
          <w:i w:val="0"/>
          <w:iCs w:val="0"/>
          <w:color w:val="auto"/>
          <w:sz w:val="21"/>
          <w:szCs w:val="21"/>
          <w:highlight w:val="none"/>
          <w:u w:val="none"/>
          <w:lang w:val="en-US" w:eastAsia="zh-CN" w:bidi="ar"/>
        </w:rPr>
        <w:t xml:space="preserve">★</w:t>
      </w:r>
      <w:r>
        <w:rPr>
          <w:rFonts w:hint="eastAsia" w:cs="宋体"/>
          <w:color w:val="auto"/>
          <w:highlight w:val="none"/>
          <w:lang w:val="en-US" w:eastAsia="zh-CN"/>
        </w:rPr>
        <w:t xml:space="preserve">”参数为重要参数</w:t>
      </w:r>
      <w:r>
        <w:rPr>
          <w:rFonts w:hint="eastAsia" w:ascii="宋体" w:hAnsi="宋体" w:eastAsia="宋体" w:cs="宋体"/>
          <w:color w:val="auto"/>
          <w:highlight w:val="none"/>
        </w:rPr>
        <w:t xml:space="preserve">，响应供应商需提供</w:t>
      </w:r>
      <w:r>
        <w:rPr>
          <w:rFonts w:hint="eastAsia" w:cs="宋体"/>
          <w:color w:val="auto"/>
          <w:highlight w:val="none"/>
          <w:lang w:val="en-US" w:eastAsia="zh-CN"/>
        </w:rPr>
        <w:t xml:space="preserve">相应</w:t>
      </w:r>
      <w:r>
        <w:rPr>
          <w:rFonts w:hint="eastAsia" w:ascii="宋体" w:hAnsi="宋体" w:eastAsia="宋体" w:cs="宋体"/>
          <w:color w:val="auto"/>
          <w:highlight w:val="none"/>
        </w:rPr>
        <w:t xml:space="preserve">证明材料，否则视为非实质性响应，作无效标处理；</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本项目确定核心产品为：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战术背心、多功能臂盾、</w:t>
      </w:r>
      <w:r>
        <w:rPr>
          <w:rFonts w:hint="eastAsia" w:ascii="宋体" w:hAnsi="宋体" w:eastAsia="宋体" w:cs="宋体"/>
          <w:b/>
          <w:bCs w:val="0"/>
          <w:i w:val="0"/>
          <w:iCs w:val="0"/>
          <w:color w:val="auto"/>
          <w:sz w:val="24"/>
          <w:szCs w:val="24"/>
          <w:highlight w:val="none"/>
          <w:u w:val="single"/>
          <w:lang w:val="en-US" w:eastAsia="zh-CN" w:bidi="ar"/>
        </w:rPr>
        <w:t xml:space="preserve">“苍穹之柱”基站</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none"/>
          <w:lang w:eastAsia="zh-CN"/>
        </w:rPr>
        <w:t xml:space="preserve">。</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、其他要求</w:t>
      </w:r>
      <w:r/>
    </w:p>
    <w:p>
      <w:pPr>
        <w:pStyle w:val="821"/>
        <w:numPr>
          <w:ilvl w:val="0"/>
          <w:numId w:val="0"/>
        </w:numPr>
        <w:ind w:firstLine="482"/>
        <w:spacing w:line="360" w:lineRule="auto"/>
        <w:rPr>
          <w:rFonts w:cs="宋体"/>
          <w:color w:val="000000"/>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lang w:val="en-US" w:eastAsia="zh-CN"/>
        </w:rPr>
        <w:t xml:space="preserve">1、</w:t>
      </w:r>
      <w:r>
        <w:rPr>
          <w:rFonts w:hint="eastAsia" w:cs="宋体"/>
          <w:color w:val="000000"/>
          <w:highlight w:val="none"/>
        </w:rPr>
        <w:t xml:space="preserve">交货要求</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.1、交货期限：</w:t>
      </w:r>
      <w:r>
        <w:rPr>
          <w:rFonts w:hint="eastAsia" w:ascii="宋体" w:hAnsi="宋体" w:eastAsia="宋体" w:cs="宋体"/>
          <w:color w:val="000000"/>
          <w:sz w:val="24"/>
          <w:highlight w:val="none"/>
        </w:rPr>
        <w:t xml:space="preserve">合同签订之日起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天内完成交货、调试并</w:t>
      </w:r>
      <w:r>
        <w:rPr>
          <w:rFonts w:hint="eastAsia" w:ascii="宋体" w:hAnsi="宋体" w:eastAsia="宋体" w:cs="宋体"/>
          <w:color w:val="000000"/>
          <w:sz w:val="24"/>
          <w:highlight w:val="none"/>
          <w:lang w:val="en-US" w:eastAsia="zh-CN"/>
        </w:rPr>
        <w:t xml:space="preserve">验收合格</w:t>
      </w:r>
      <w:r>
        <w:rPr>
          <w:rFonts w:ascii="宋体" w:hAnsi="宋体" w:eastAsia="宋体" w:cs="宋体"/>
          <w:color w:val="000000"/>
          <w:sz w:val="24"/>
          <w:highlight w:val="none"/>
        </w:rPr>
        <w:t xml:space="preserve">。</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.2、交货地点：采购人指定地点。</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 售后服务要求</w:t>
      </w:r>
      <w:r/>
    </w:p>
    <w:p>
      <w:pPr>
        <w:ind w:firstLine="480"/>
        <w:jc w:val="left"/>
        <w:spacing w:line="360" w:lineRule="auto"/>
        <w:shd w:val="clear" w:color="auto" w:fill="auto"/>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rPr>
        <w:t xml:space="preserve">（1）质保期：全部货物自货物验收合格之日起计算，</w:t>
      </w:r>
      <w:r>
        <w:rPr>
          <w:rFonts w:hint="eastAsia" w:ascii="宋体" w:hAnsi="宋体" w:eastAsia="宋体" w:cs="宋体"/>
          <w:color w:val="000000"/>
          <w:sz w:val="24"/>
          <w:szCs w:val="24"/>
          <w:highlight w:val="none"/>
          <w:lang w:eastAsia="zh-CN"/>
        </w:rPr>
        <w:t xml:space="preserve">电子产品免费质保期不低于</w:t>
      </w:r>
      <w:r>
        <w:rPr>
          <w:rFonts w:hint="eastAsia" w:ascii="宋体" w:hAnsi="宋体" w:eastAsia="宋体" w:cs="宋体"/>
          <w:color w:val="000000"/>
          <w:sz w:val="24"/>
          <w:szCs w:val="24"/>
          <w:highlight w:val="none"/>
          <w:lang w:val="en-US" w:eastAsia="zh-CN"/>
        </w:rPr>
        <w:t xml:space="preserve">3年，其他货物</w:t>
      </w:r>
      <w:r>
        <w:rPr>
          <w:rFonts w:hint="eastAsia" w:ascii="宋体" w:hAnsi="宋体" w:eastAsia="宋体" w:cs="宋体"/>
          <w:color w:val="000000"/>
          <w:sz w:val="24"/>
          <w:szCs w:val="24"/>
          <w:highlight w:val="none"/>
        </w:rPr>
        <w:t xml:space="preserve">免费质保期不低于5年，在免费质保期内，</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lang w:eastAsia="zh-TW"/>
        </w:rPr>
        <w:t xml:space="preserve">提供免费保修等三包服务</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eastAsia="zh-TW"/>
        </w:rPr>
        <w:t xml:space="preserve">质保期内维修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更换零配件、维修人工费均免费。货物在</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eastAsia="zh-TW"/>
        </w:rPr>
        <w:t xml:space="preserve">质保期内发生的任何故障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非</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故意</w:t>
      </w:r>
      <w:r>
        <w:rPr>
          <w:rFonts w:hint="eastAsia" w:ascii="宋体" w:hAnsi="宋体" w:eastAsia="宋体" w:cs="宋体"/>
          <w:color w:val="000000"/>
          <w:sz w:val="24"/>
          <w:szCs w:val="24"/>
          <w:highlight w:val="none"/>
          <w:lang w:eastAsia="zh-TW"/>
        </w:rPr>
        <w:t xml:space="preserve">损坏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lang w:eastAsia="zh-TW"/>
        </w:rPr>
        <w:t xml:space="preserve">均应负责免费修复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无法修复的产品或零部件应免费更换。</w:t>
      </w:r>
      <w:r>
        <w:rPr>
          <w:rFonts w:hint="eastAsia" w:ascii="宋体" w:hAnsi="宋体" w:eastAsia="宋体" w:cs="宋体"/>
          <w:color w:val="000000"/>
          <w:sz w:val="24"/>
          <w:szCs w:val="24"/>
          <w:highlight w:val="none"/>
        </w:rPr>
        <w:t xml:space="preserve">对于</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故意损坏的零部件，</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应保证以不高于在货物生产地购买的一般价格提供给</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提供终身维保服务，包括维护、保养、大修理。</w:t>
      </w:r>
      <w:r/>
    </w:p>
    <w:p>
      <w:pPr>
        <w:ind w:firstLine="482"/>
        <w:spacing w:line="360" w:lineRule="auto"/>
        <w:rPr>
          <w:rFonts w:ascii="宋体" w:hAnsi="宋体" w:eastAsia="宋体" w:cs="宋体"/>
          <w:b/>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合同约定的质保期内</w:t>
      </w:r>
      <w:r>
        <w:rPr>
          <w:rFonts w:hint="eastAsia" w:ascii="宋体" w:hAnsi="宋体" w:eastAsia="宋体" w:cs="宋体"/>
          <w:color w:val="000000"/>
          <w:sz w:val="24"/>
          <w:szCs w:val="24"/>
          <w:highlight w:val="none"/>
        </w:rPr>
        <w:t xml:space="preserve">，对出现的货物故障应做到2小时内响应，12小时内排除故障并解决出现的问题。若不能及时修理好，乙方将负责免费更换全新设备，并赔偿甲方因此而造成的经济损失。免费</w:t>
      </w:r>
      <w:r>
        <w:rPr>
          <w:rFonts w:hint="eastAsia" w:ascii="宋体" w:hAnsi="宋体" w:eastAsia="宋体" w:cs="宋体"/>
          <w:color w:val="000000"/>
          <w:sz w:val="24"/>
          <w:szCs w:val="24"/>
          <w:highlight w:val="none"/>
          <w:lang w:eastAsia="zh-TW"/>
        </w:rPr>
        <w:t xml:space="preserve">质保期内乙方提供免费上门服务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TW"/>
        </w:rPr>
        <w:t xml:space="preserve">若出现故障</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小时内积极响应并</w:t>
      </w:r>
      <w:r>
        <w:rPr>
          <w:rFonts w:hint="eastAsia" w:ascii="宋体" w:hAnsi="宋体" w:eastAsia="宋体" w:cs="宋体"/>
          <w:color w:val="000000"/>
          <w:sz w:val="24"/>
          <w:szCs w:val="24"/>
          <w:highlight w:val="none"/>
        </w:rPr>
        <w:t xml:space="preserve">在12小时内排除故障并解决出现的问题。在免费质保期结束后，乙方也必须提供2小时对设备故障做出响应和12小时内排除故障并解决出现问题的技术服务</w:t>
      </w:r>
      <w:r>
        <w:rPr>
          <w:rFonts w:hint="eastAsia" w:ascii="宋体" w:hAnsi="宋体" w:eastAsia="宋体" w:cs="宋体"/>
          <w:bCs/>
          <w:sz w:val="24"/>
          <w:szCs w:val="24"/>
          <w:highlight w:val="none"/>
        </w:rPr>
        <w:t xml:space="preserve">。</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（3）伴随服务：质保期满后，提供设备最优惠的维修保养及零配件供应价格。</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（4）提供专业的系统的技术培训（操作、维修），并保证采购单位操作人员正常使用</w:t>
      </w:r>
      <w:r>
        <w:rPr>
          <w:rFonts w:hint="eastAsia" w:ascii="宋体" w:hAnsi="宋体" w:eastAsia="宋体" w:cs="宋体"/>
          <w:bCs/>
          <w:sz w:val="24"/>
          <w:szCs w:val="24"/>
          <w:highlight w:val="none"/>
          <w:lang w:val="en-US" w:eastAsia="zh-CN"/>
        </w:rPr>
        <w:t xml:space="preserve">货物</w:t>
      </w:r>
      <w:r>
        <w:rPr>
          <w:rFonts w:hint="eastAsia" w:ascii="宋体" w:hAnsi="宋体" w:eastAsia="宋体" w:cs="宋体"/>
          <w:bCs/>
          <w:sz w:val="24"/>
          <w:szCs w:val="24"/>
          <w:highlight w:val="none"/>
        </w:rPr>
        <w:t xml:space="preserve">的各种功能。</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（5）若在质保期内，成交人没有按承诺达到服务水平及响应速度到现场进行处理的，采购人有权委托第三方进行维修，且维修所产生的所有费用在合同余款中扣除。</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（6）乙方必须提供所有</w:t>
      </w:r>
      <w:r>
        <w:rPr>
          <w:rFonts w:hint="eastAsia" w:ascii="宋体" w:hAnsi="宋体" w:eastAsia="宋体" w:cs="宋体"/>
          <w:bCs/>
          <w:sz w:val="24"/>
          <w:szCs w:val="24"/>
          <w:highlight w:val="none"/>
          <w:lang w:val="en-US" w:eastAsia="zh-CN"/>
        </w:rPr>
        <w:t xml:space="preserve">产品</w:t>
      </w:r>
      <w:r>
        <w:rPr>
          <w:rFonts w:hint="eastAsia" w:ascii="宋体" w:hAnsi="宋体" w:eastAsia="宋体" w:cs="宋体"/>
          <w:bCs/>
          <w:sz w:val="24"/>
          <w:szCs w:val="24"/>
          <w:highlight w:val="none"/>
        </w:rPr>
        <w:t xml:space="preserve">、备品备件</w:t>
      </w:r>
      <w:r>
        <w:rPr>
          <w:rFonts w:hint="eastAsia" w:ascii="宋体" w:hAnsi="宋体" w:eastAsia="宋体" w:cs="宋体"/>
          <w:bCs/>
          <w:sz w:val="24"/>
          <w:szCs w:val="24"/>
          <w:highlight w:val="none"/>
          <w:lang w:eastAsia="zh-Hans"/>
        </w:rPr>
        <w:t xml:space="preserve">等，以及相关详细</w:t>
      </w:r>
      <w:r>
        <w:rPr>
          <w:rFonts w:hint="eastAsia" w:ascii="宋体" w:hAnsi="宋体" w:eastAsia="宋体" w:cs="宋体"/>
          <w:bCs/>
          <w:sz w:val="24"/>
          <w:szCs w:val="24"/>
          <w:highlight w:val="none"/>
        </w:rPr>
        <w:t xml:space="preserve">中文操作手册，详细的系统操作和维护手册、软件使用手册。 </w:t>
      </w:r>
      <w:r/>
    </w:p>
    <w:p>
      <w:pPr>
        <w:ind w:firstLine="480"/>
        <w:spacing w:line="360" w:lineRule="auto"/>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（7）备品备件要求</w:t>
      </w:r>
      <w:r/>
    </w:p>
    <w:p>
      <w:pPr>
        <w:ind w:firstLine="480"/>
        <w:spacing w:line="360" w:lineRule="auto"/>
        <w:tabs>
          <w:tab w:val="left" w:pos="753"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在质保期内由成交人负责免费维修和更换原配器件，同时按照本节定义的技术支持和售后服务条款提供保障系统正常运行的服务。</w:t>
      </w:r>
      <w:r/>
    </w:p>
    <w:p>
      <w:pPr>
        <w:ind w:firstLine="480"/>
        <w:spacing w:line="360" w:lineRule="auto"/>
        <w:tabs>
          <w:tab w:val="left" w:pos="753" w:leader="none"/>
        </w:tabs>
        <w:rPr>
          <w:rFonts w:hint="eastAsia" w:ascii="宋体" w:hAnsi="宋体" w:eastAsia="宋体" w:cs="宋体"/>
          <w:b/>
          <w:bCs w:val="0"/>
          <w:sz w:val="24"/>
          <w:szCs w:val="24"/>
          <w:highlight w:val="none"/>
          <w:lang w:val="en-US" w:eastAsia="zh-CN"/>
        </w:rPr>
      </w:pPr>
      <w:r/>
      <w:bookmarkStart w:id="0" w:name="_Toc147740148"/>
      <w:r/>
      <w:bookmarkStart w:id="1" w:name="_Toc146016637"/>
      <w:r>
        <w:rPr>
          <w:rFonts w:hint="eastAsia" w:ascii="宋体" w:hAnsi="宋体" w:eastAsia="宋体" w:cs="宋体"/>
          <w:b/>
          <w:bCs w:val="0"/>
          <w:sz w:val="24"/>
          <w:szCs w:val="24"/>
          <w:highlight w:val="none"/>
          <w:lang w:val="en-US" w:eastAsia="zh-CN"/>
        </w:rPr>
        <w:t xml:space="preserve">3、质量保证</w:t>
      </w:r>
      <w:r/>
    </w:p>
    <w:p>
      <w:pPr>
        <w:ind w:firstLine="480"/>
        <w:spacing w:line="360" w:lineRule="auto"/>
        <w:tabs>
          <w:tab w:val="left" w:pos="75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（1）投标产品明确提供检验检测报告的，投标文件须提供与采购货物相对应的检测报告扫描件并加盖投标单位公章。</w:t>
      </w:r>
      <w:r/>
    </w:p>
    <w:p>
      <w:pPr>
        <w:ind w:firstLine="480"/>
        <w:spacing w:line="360" w:lineRule="auto"/>
        <w:tabs>
          <w:tab w:val="left" w:pos="75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（2）投标产品的质量保证期要求，严格按照招标文件或者采购合同要求执行，并在产品标识或者相关说明书上予以标注；</w:t>
      </w:r>
      <w:r/>
    </w:p>
    <w:p>
      <w:pPr>
        <w:ind w:firstLine="480"/>
        <w:spacing w:line="360" w:lineRule="auto"/>
        <w:tabs>
          <w:tab w:val="left" w:pos="75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（3）严格履行检验方案，不接受检验不合格的产品。经过检验合格后，方可履行验收工作。</w:t>
      </w:r>
      <w:r/>
    </w:p>
    <w:p>
      <w:pPr>
        <w:ind w:firstLine="480"/>
        <w:spacing w:line="360" w:lineRule="auto"/>
        <w:tabs>
          <w:tab w:val="left" w:pos="753"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（4）对于装备使用过程中发现质量问题的，中标商应当积极配合甲方调查质量问题的原因。对于属于中标商承担主要责任的，由中标商进行召回，并拿出解决方案。</w:t>
      </w:r>
      <w:r/>
    </w:p>
    <w:p>
      <w:pPr>
        <w:ind w:firstLine="480"/>
        <w:spacing w:line="360" w:lineRule="auto"/>
        <w:tabs>
          <w:tab w:val="left" w:pos="753"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4、RFID标签</w:t>
      </w:r>
      <w:r/>
    </w:p>
    <w:p>
      <w:pPr>
        <w:ind w:firstLine="480"/>
        <w:jc w:val="left"/>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中标单位需在所有供货产品上添加RFID标签，标签要求符合江苏省地方标准《DB32/T 4916-2024 公安机关警用装备射频识别标签及二维码标识规范》</w:t>
      </w:r>
      <w:r>
        <w:rPr>
          <w:rFonts w:hint="eastAsia" w:ascii="宋体" w:hAnsi="宋体" w:eastAsia="宋体" w:cs="宋体"/>
          <w:b/>
          <w:bCs w:val="0"/>
          <w:sz w:val="24"/>
          <w:szCs w:val="24"/>
          <w:highlight w:val="none"/>
        </w:rPr>
        <w:t xml:space="preserve">。</w:t>
      </w:r>
      <w:r/>
    </w:p>
    <w:p>
      <w:pPr>
        <w:ind w:firstLine="482"/>
        <w:spacing w:line="360" w:lineRule="auto"/>
        <w:tabs>
          <w:tab w:val="left" w:pos="753"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项目团队人员配备要求</w:t>
      </w:r>
      <w:r/>
    </w:p>
    <w:p>
      <w:pPr>
        <w:pStyle w:val="850"/>
        <w:ind w:firstLine="439"/>
        <w:jc w:val="left"/>
        <w:rPr>
          <w:rFonts w:hint="eastAsia" w:hAnsi="宋体" w:cs="宋体"/>
          <w:b w:val="0"/>
          <w:color w:val="auto"/>
          <w:sz w:val="24"/>
          <w:szCs w:val="24"/>
          <w:highlight w:val="none"/>
        </w:rPr>
      </w:pPr>
      <w:r>
        <w:rPr>
          <w:rFonts w:hint="eastAsia" w:ascii="宋体" w:hAnsi="宋体" w:eastAsia="宋体" w:cs="宋体"/>
          <w:bCs/>
          <w:color w:val="auto"/>
          <w:sz w:val="24"/>
          <w:szCs w:val="24"/>
          <w:highlight w:val="none"/>
        </w:rPr>
        <w:t xml:space="preserve">配备项目负责人1人，其他团队人员由响应供应商根据项目实际需求（</w:t>
      </w:r>
      <w:r>
        <w:rPr>
          <w:rFonts w:hint="eastAsia" w:hAnsi="宋体" w:cs="宋体"/>
          <w:bCs/>
          <w:color w:val="auto"/>
          <w:sz w:val="24"/>
          <w:szCs w:val="24"/>
          <w:highlight w:val="none"/>
          <w:lang w:val="en-US" w:eastAsia="zh-CN"/>
        </w:rPr>
        <w:t xml:space="preserve">货物交货</w:t>
      </w:r>
      <w:r>
        <w:rPr>
          <w:rFonts w:hint="eastAsia" w:ascii="宋体" w:hAnsi="宋体" w:eastAsia="宋体" w:cs="宋体"/>
          <w:bCs/>
          <w:color w:val="auto"/>
          <w:sz w:val="24"/>
          <w:szCs w:val="24"/>
          <w:highlight w:val="none"/>
        </w:rPr>
        <w:t xml:space="preserve">调试、维保等需求）自行配备。</w:t>
      </w:r>
      <w:r/>
    </w:p>
    <w:p>
      <w:pPr>
        <w:ind w:firstLine="482"/>
        <w:spacing w:line="360" w:lineRule="auto"/>
        <w:tabs>
          <w:tab w:val="left" w:pos="753" w:leader="none"/>
        </w:tabs>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知识产权</w:t>
      </w:r>
      <w:bookmarkEnd w:id="0"/>
      <w:r/>
      <w:bookmarkEnd w:id="1"/>
      <w:r/>
      <w:r/>
    </w:p>
    <w:p>
      <w:pPr>
        <w:pStyle w:val="821"/>
        <w:numPr>
          <w:ilvl w:val="0"/>
          <w:numId w:val="0"/>
        </w:numPr>
        <w:ind w:firstLine="480"/>
        <w:spacing w:line="360" w:lineRule="auto"/>
        <w:rPr>
          <w:rFonts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cs="宋体"/>
          <w:b w:val="0"/>
          <w:bCs/>
          <w:szCs w:val="24"/>
          <w:highlight w:val="none"/>
        </w:rPr>
        <w:t xml:space="preserve">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pStyle w:val="821"/>
        <w:numPr>
          <w:ilvl w:val="0"/>
          <w:numId w:val="0"/>
        </w:numPr>
        <w:ind w:firstLine="482"/>
        <w:spacing w:line="360" w:lineRule="auto"/>
        <w:rPr>
          <w:rFonts w:cs="宋体"/>
          <w:color w:val="000000"/>
          <w:highlight w:val="none"/>
        </w:rPr>
        <w:pBdr>
          <w:top w:val="none" w:color="000000" w:sz="0" w:space="0"/>
          <w:left w:val="none" w:color="000000" w:sz="0" w:space="0"/>
          <w:bottom w:val="none" w:color="000000" w:sz="0" w:space="0"/>
          <w:right w:val="none" w:color="000000" w:sz="0" w:space="0"/>
        </w:pBdr>
      </w:pPr>
      <w:r>
        <w:rPr>
          <w:rFonts w:hint="eastAsia" w:cs="宋体"/>
          <w:color w:val="000000"/>
          <w:highlight w:val="none"/>
        </w:rPr>
        <w:t xml:space="preserve">五、</w:t>
      </w:r>
      <w:r>
        <w:rPr>
          <w:rFonts w:cs="宋体"/>
          <w:color w:val="000000"/>
          <w:highlight w:val="none"/>
        </w:rPr>
        <w:t xml:space="preserve">综合说明：</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响应单位须明确所投产品的品牌、型号、规格及一些必须说明的技术参数等，提供设备的配置清单，并提供详细的技术参数、性能说明书，否则将可能导致其响应文件被评标委员会拒绝；同时，采购方保留对响应单位所投产品委托第三方专业机构检测的权利，如投标产品性能及相关条件不符合采购需求的，采购方有权拒签合同，同时有权追究投标方的责任。</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2、供应商必须承诺响应文件中提出的全部技术规格与要求，如果以其中某些条款不响应时，应在文件中逐条列出，未列出的视同响应。</w:t>
      </w:r>
      <w:r/>
    </w:p>
    <w:p>
      <w:pPr>
        <w:ind w:firstLine="480"/>
        <w:spacing w:line="360" w:lineRule="auto"/>
        <w:rPr>
          <w:rFonts w:ascii="宋体" w:hAnsi="宋体" w:eastAsia="宋体" w:cs="宋体"/>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3、供应商须对所投项目的所有设备全部响应，只投其中部分的为无效投标。响应总报价包括</w:t>
      </w:r>
      <w:r>
        <w:rPr>
          <w:rFonts w:hint="eastAsia" w:ascii="宋体" w:hAnsi="宋体" w:eastAsia="宋体" w:cs="宋体"/>
          <w:color w:val="000000"/>
          <w:sz w:val="24"/>
          <w:highlight w:val="none"/>
          <w:lang w:eastAsia="zh-CN"/>
        </w:rPr>
        <w:t xml:space="preserve">所投产品</w:t>
      </w:r>
      <w:r>
        <w:rPr>
          <w:rFonts w:hint="eastAsia" w:ascii="宋体" w:hAnsi="宋体" w:eastAsia="宋体" w:cs="宋体"/>
          <w:color w:val="000000"/>
          <w:sz w:val="24"/>
          <w:highlight w:val="none"/>
        </w:rPr>
        <w:t xml:space="preserve">及其备品、备件和专用工具费用、税费及包装、运至最终目的地的运输、保险、搬运费、调试、检测验收、采购单位指定部门的抽样产品的检测检验费用、技术支持与培训、售后服务与维保及相关劳务支出等工作所发生的全部费用以及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eastAsia="宋体" w:cs="宋体"/>
          <w:color w:val="000000"/>
          <w:sz w:val="24"/>
          <w:highlight w:val="none"/>
          <w:lang w:val="zh-CN"/>
        </w:rPr>
        <w:t xml:space="preserve">响应单位须对本项目中的所有设备进行投报，不得漏报，否则作无效投标处理。</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、响应单位提供的所有货物必须为合格产品，质量符合国际或国家通用标准、验收规范，如出现质量问题或系假冒伪劣产品，供应商负责包退、包换，发生的费用由响应单位负责。</w:t>
      </w:r>
      <w:r/>
    </w:p>
    <w:p>
      <w:pPr>
        <w:ind w:firstLine="480"/>
        <w:spacing w:line="360" w:lineRule="auto"/>
        <w:rPr>
          <w:rFonts w:ascii="宋体" w:hAnsi="宋体" w:eastAsia="宋体" w:cs="宋体"/>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、响应单位须为本项目配备的所有人员在服务期间内出现的工伤及其他意外事故，均由响应单位自行负责，采购单位不承担任何责任。</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6、任何因忽视或误解项目情况而导致的索赔或交货期延长申请将不被批准。同时响应单位自行承担勘察现场的责任和风险，响应单位成交后，不得以不完全了解现场情况或</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任何理由向采购单位提出任何索赔或追加的要求，对此采购单位不承担任何责任并将不作任何答复与考虑。</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7、付款方式：详见合同条款。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9、凡涉及响应文件的补充说明和修改，均以苏州政府采购网上发布的通知为准。</w:t>
      </w:r>
      <w:r/>
    </w:p>
    <w:p>
      <w:pPr>
        <w:ind w:firstLine="480"/>
        <w:spacing w:line="360" w:lineRule="auto"/>
        <w:shd w:val="clear" w:color="auto"/>
        <w:rPr>
          <w:rFonts w:hint="eastAsia"/>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66" w:bottom="1134" w:left="1508" w:header="569" w:footer="675" w:gutter="0"/>
          <w:cols w:num="1" w:sep="0" w:space="720" w:equalWidth="1"/>
          <w:docGrid w:linePitch="360"/>
          <w:titlePg/>
        </w:sectPr>
      </w:pPr>
      <w:r>
        <w:rPr>
          <w:rFonts w:hint="eastAsia"/>
          <w:highlight w:val="none"/>
          <w:lang w:val="en-US" w:eastAsia="zh-CN"/>
        </w:rPr>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第五章 合同条款</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40" w:lineRule="exact"/>
        <w:shd w:val="clear" w:color="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jc w:val="center"/>
        <w:spacing w:line="240" w:lineRule="atLeast"/>
        <w:shd w:val="clear" w:color="auto"/>
        <w:rPr>
          <w:rFonts w:hint="eastAsia" w:ascii="宋体" w:hAnsi="宋体" w:eastAsia="宋体" w:cs="宋体"/>
          <w:spacing w:val="-10"/>
          <w:sz w:val="44"/>
          <w:szCs w:val="44"/>
          <w:highlight w:val="none"/>
        </w:rPr>
      </w:pPr>
      <w:r>
        <w:rPr>
          <w:rFonts w:hint="eastAsia" w:ascii="宋体" w:hAnsi="宋体" w:eastAsia="宋体" w:cs="宋体"/>
          <w:spacing w:val="-10"/>
          <w:sz w:val="44"/>
          <w:szCs w:val="44"/>
          <w:highlight w:val="none"/>
        </w:rPr>
        <w:t xml:space="preserve">政府采购合同</w:t>
      </w:r>
      <w:r/>
    </w:p>
    <w:p>
      <w:pPr>
        <w:spacing w:before="120" w:after="120" w:line="440" w:lineRule="exact"/>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项目名称：    </w:t>
      </w:r>
      <w:r/>
    </w:p>
    <w:p>
      <w:pPr>
        <w:spacing w:before="120" w:after="120" w:line="440" w:lineRule="exact"/>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w:t>
      </w:r>
      <w:r/>
    </w:p>
    <w:p>
      <w:pPr>
        <w:jc w:val="left"/>
        <w:spacing w:line="360" w:lineRule="auto"/>
        <w:shd w:val="clear" w:color="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采购包号：</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甲方（项目采购人）：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rPr>
        <w:tab/>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乙方（成交供应商）：</w:t>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rPr>
        <w:tab/>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ind w:firstLine="720"/>
        <w:spacing w:before="120" w:after="120"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甲方所需</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u w:val="single"/>
          <w:lang w:val="en-US" w:eastAsia="zh-CN"/>
        </w:rPr>
        <w:t xml:space="preserve">苏州海企国际工程咨询有限公司</w:t>
      </w:r>
      <w:r>
        <w:rPr>
          <w:rFonts w:hint="eastAsia" w:ascii="宋体" w:hAnsi="宋体" w:eastAsia="宋体" w:cs="宋体"/>
          <w:sz w:val="24"/>
          <w:szCs w:val="24"/>
          <w:highlight w:val="none"/>
        </w:rPr>
        <w:t xml:space="preserve">以</w:t>
      </w:r>
      <w:r>
        <w:rPr>
          <w:rFonts w:hint="eastAsia" w:ascii="宋体" w:hAnsi="宋体" w:eastAsia="宋体" w:cs="宋体"/>
          <w:sz w:val="24"/>
          <w:szCs w:val="24"/>
          <w:highlight w:val="none"/>
          <w:u w:val="single"/>
        </w:rPr>
        <w:t xml:space="preserve">  竞争性谈判  </w:t>
      </w:r>
      <w:r>
        <w:rPr>
          <w:rFonts w:hint="eastAsia" w:ascii="宋体" w:hAnsi="宋体" w:eastAsia="宋体" w:cs="宋体"/>
          <w:sz w:val="24"/>
          <w:szCs w:val="24"/>
          <w:highlight w:val="none"/>
        </w:rPr>
        <w:t xml:space="preserve">方式进行采购，并依法确定乙方为成交供应商。甲、乙双方根据《中华人民共和国政府采购法》、《中华人民共和国民法典》等相关法律以及本项目采购文件的规定，签署本合同。下列文件是构成本合同不可分割的部分：</w:t>
      </w:r>
      <w:r/>
    </w:p>
    <w:p>
      <w:pPr>
        <w:numPr>
          <w:ilvl w:val="0"/>
          <w:numId w:val="0"/>
        </w:numPr>
        <w:ind w:firstLine="482"/>
        <w:keepLines w:val="0"/>
        <w:keepNext w:val="0"/>
        <w:pageBreakBefore w:val="0"/>
        <w:spacing w:before="120" w:after="120"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合同文件</w:t>
      </w:r>
      <w:r/>
    </w:p>
    <w:p>
      <w:pPr>
        <w:numPr>
          <w:ilvl w:val="0"/>
          <w:numId w:val="0"/>
        </w:num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以下文件是构成本合同不可分割的部分：</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（一）合同条款及其附件、补充协议等；</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（二）确定成交供应商的文件（包括但不限于中标通知书、成交通知书等）；</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（三）本项目采购文件；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（四）成交供应商响应文件；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（五）成交供应商做出的有关澄清、说明或者补正文件。</w:t>
      </w:r>
      <w:r/>
    </w:p>
    <w:p>
      <w:pPr>
        <w:ind w:firstLine="480"/>
        <w:keepLines w:val="0"/>
        <w:keepNext w:val="0"/>
        <w:pageBreakBefore w:val="0"/>
        <w:spacing w:before="120" w:after="120"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pStyle w:val="887"/>
        <w:ind w:firstLine="482"/>
        <w:keepLines w:val="0"/>
        <w:keepNext w:val="0"/>
        <w:pageBreakBefore w:val="0"/>
        <w:shd w:val="clear" w:color="auto"/>
        <w:widowControl/>
        <w:rPr>
          <w:rFonts w:hint="eastAsia" w:eastAsia="宋体"/>
          <w:b/>
          <w:bCs/>
          <w:highlight w:val="none"/>
          <w:lang w:eastAsia="zh-CN"/>
        </w:rPr>
      </w:pPr>
      <w:r>
        <w:rPr>
          <w:rFonts w:hint="eastAsia"/>
          <w:b/>
          <w:bCs/>
          <w:highlight w:val="none"/>
        </w:rPr>
        <w:t xml:space="preserve">二、采购货物清单</w:t>
      </w:r>
      <w:r>
        <w:rPr>
          <w:rFonts w:hint="eastAsia"/>
          <w:b/>
          <w:bCs/>
          <w:highlight w:val="none"/>
          <w:lang w:eastAsia="zh-CN"/>
        </w:rPr>
        <w:t xml:space="preserve">：</w:t>
      </w:r>
      <w:r/>
    </w:p>
    <w:tbl>
      <w:tblPr>
        <w:tblStyle w:val="8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71"/>
        <w:gridCol w:w="1737"/>
        <w:gridCol w:w="474"/>
        <w:gridCol w:w="791"/>
        <w:gridCol w:w="950"/>
        <w:gridCol w:w="950"/>
        <w:gridCol w:w="950"/>
        <w:gridCol w:w="950"/>
        <w:gridCol w:w="814"/>
        <w:gridCol w:w="950"/>
      </w:tblGrid>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both"/>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262"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量</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w:t>
            </w:r>
            <w:r/>
          </w:p>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261" w:type="pct"/>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6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2"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50"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25" w:type="pct"/>
            <w:textDirection w:val="lrTb"/>
            <w:noWrap w:val="false"/>
          </w:tcPr>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0"/>
          <w:numId w:val="0"/>
        </w:numPr>
        <w:ind w:left="0"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rPr>
        <w:t xml:space="preserve">合同金额</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本合同（含税）金额为人民币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合同金额包括乙方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乙方企业利润、税金和政策性文件规定及合同包含的所有风险、责任等各项应有费用。除双方另有约定且协商一致外，甲方无需支付其他任何费用。</w:t>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rPr>
        <w:t xml:space="preserve">付款</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1、甲方根据乙方在本合同中所提供银行开户信息转账支付。</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乙方开户名称：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数字人民币ID：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乙双方应签订变更账号的补充协议或由乙方提供账号的变更申请。</w:t>
      </w:r>
      <w:r>
        <w:rPr>
          <w:rFonts w:hint="eastAsia" w:ascii="宋体" w:hAnsi="宋体" w:eastAsia="宋体" w:cs="宋体"/>
          <w:color w:val="000000" w:themeColor="text1"/>
          <w:sz w:val="24"/>
          <w:szCs w:val="24"/>
          <w:highlight w:val="none"/>
          <w14:textFill>
            <w14:solidFill>
              <w14:schemeClr w14:val="tx1"/>
            </w14:solidFill>
          </w14:textFill>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sz w:val="24"/>
          <w:szCs w:val="24"/>
          <w:highlight w:val="none"/>
        </w:rPr>
        <w:t xml:space="preserve">除上述情况下，乙方不得擅自变更收款账户信息。</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2、付款条件和付款时间:</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2.1预付款：</w:t>
      </w:r>
      <w:r/>
    </w:p>
    <w:p>
      <w:pPr>
        <w:ind w:firstLine="480"/>
        <w:jc w:val="left"/>
        <w:keepLines w:val="0"/>
        <w:keepNext w:val="0"/>
        <w:pageBreakBefore w:val="0"/>
        <w:spacing w:line="360" w:lineRule="auto"/>
        <w:shd w:val="clear" w:color="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无预付款</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有预付款：</w:t>
      </w:r>
      <w:r/>
    </w:p>
    <w:p>
      <w:pPr>
        <w:ind w:firstLine="72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□乙方明确表示无需预付款；</w:t>
      </w:r>
      <w:r/>
    </w:p>
    <w:p>
      <w:pPr>
        <w:ind w:firstLine="72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□待合同签订生效后，甲方支付合同金额的30%的预付款，预付款将从第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笔（期）待支付的款项中扣除。</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b/>
          <w:sz w:val="24"/>
          <w:szCs w:val="24"/>
          <w:highlight w:val="none"/>
        </w:rPr>
        <w:t xml:space="preserve">结清款：待乙方将全部货物送至甲方指定地点，经甲方验收合格后，甲方向乙方支付</w:t>
      </w:r>
      <w:r>
        <w:rPr>
          <w:rFonts w:hint="eastAsia" w:ascii="宋体" w:hAnsi="宋体" w:eastAsia="宋体" w:cs="宋体"/>
          <w:b/>
          <w:sz w:val="24"/>
          <w:szCs w:val="24"/>
          <w:highlight w:val="none"/>
          <w:lang w:val="en-US" w:eastAsia="zh-CN"/>
        </w:rPr>
        <w:t xml:space="preserve">至</w:t>
      </w:r>
      <w:r>
        <w:rPr>
          <w:rFonts w:hint="eastAsia" w:ascii="宋体" w:hAnsi="宋体" w:eastAsia="宋体" w:cs="宋体"/>
          <w:b/>
          <w:sz w:val="24"/>
          <w:szCs w:val="24"/>
          <w:highlight w:val="none"/>
        </w:rPr>
        <w:t xml:space="preserve">合同总价的100%</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在签订合同时，乙方明确表示无需预付款或者主动要求降低预付款比例的，甲方可不适用上述关于预付款的规定。</w:t>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五、</w:t>
      </w:r>
      <w:r>
        <w:rPr>
          <w:rFonts w:hint="eastAsia" w:ascii="宋体" w:hAnsi="宋体" w:eastAsia="宋体" w:cs="宋体"/>
          <w:b/>
          <w:bCs/>
          <w:sz w:val="24"/>
          <w:szCs w:val="24"/>
          <w:highlight w:val="none"/>
        </w:rPr>
        <w:t xml:space="preserve">交货时间、地点</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1、交付时间：</w:t>
      </w:r>
      <w:r>
        <w:rPr>
          <w:rFonts w:hint="eastAsia" w:ascii="宋体" w:hAnsi="宋体" w:eastAsia="宋体" w:cs="宋体"/>
          <w:sz w:val="24"/>
          <w:szCs w:val="24"/>
          <w:highlight w:val="none"/>
          <w:lang w:eastAsia="zh-CN"/>
        </w:rPr>
        <w:t xml:space="preserve">合同签订之日起30天内完成交货、调试并验收合格</w:t>
      </w:r>
      <w:r>
        <w:rPr>
          <w:rFonts w:hint="eastAsia" w:ascii="宋体" w:hAnsi="宋体" w:eastAsia="宋体" w:cs="宋体"/>
          <w:sz w:val="24"/>
          <w:szCs w:val="24"/>
          <w:highlight w:val="none"/>
        </w:rPr>
        <w:t xml:space="preserve">。如因现场不具备进场安装条件的，甲方将书面或邮件通知乙方调整履行期限的起算日。</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sz w:val="24"/>
          <w:szCs w:val="24"/>
          <w:highlight w:val="none"/>
          <w:u w:val="single"/>
          <w:lang w:val="en-US" w:eastAsia="zh-CN"/>
        </w:rPr>
        <w:t xml:space="preserve">甲方指定地点</w:t>
      </w:r>
      <w:r>
        <w:rPr>
          <w:rFonts w:hint="eastAsia" w:ascii="宋体" w:hAnsi="宋体" w:eastAsia="宋体" w:cs="宋体"/>
          <w:sz w:val="24"/>
          <w:szCs w:val="24"/>
          <w:highlight w:val="none"/>
          <w:u w:val="single"/>
        </w:rPr>
        <w:t xml:space="preserve">  </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、包装与运输</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1、乙方应妥善包装货物，适合运输、防潮、防湿、防锈、耐野蛮装卸，任何由于乙方包装不善而造成的损失由乙方负责；</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2、乙方包装货物时，必须附有装箱清单。</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3、乙方应自行选择适宜的运输工具及线路安排货物运输。</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、质量保证</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1、乙方应保证货物的生产、安装、检验检测、调试等各项技术标准，应当符合国家或行业标准。</w:t>
      </w:r>
      <w:r/>
    </w:p>
    <w:p>
      <w:pPr>
        <w:ind w:firstLine="482"/>
        <w:jc w:val="left"/>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2、乙方应保证提供给甲方的货物是货物生产厂商原造的，全新、未使用过的，产品质量符合国家或行业标准、采购文件所列的各项要求以及乙方在投标（响应）文件中承诺的其它指标。</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3、乙方应保证提供给甲方的货物是通过货物生产厂商的出厂检验合格的，并提供质量合格证书。</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4、乙方应保证所提供的货物经正确安装、合理操作和维护保养在其使用寿命期内具有令甲方满意的性能，并对由于合同货物的设计、工艺或材料的缺陷而发生的任何故障负责。</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p>
    <w:p>
      <w:pPr>
        <w:ind w:firstLine="482"/>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、检验与验收</w:t>
      </w:r>
      <w:r/>
    </w:p>
    <w:p>
      <w:pPr>
        <w:ind w:firstLine="482"/>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将根据政府采购法及相关法规，以及《苏州工业园区政府采购履约验收管理暂行办法》文件的规定，对乙方进行履约验收，采购文件中设置检测报告相关要求，应聘请检测机构实施检验、出具检测报告。具体履约验收方案详见合同文本—附件1”</w:t>
      </w:r>
      <w:r/>
    </w:p>
    <w:p>
      <w:pPr>
        <w:ind w:firstLine="480"/>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rPr>
        <w:t xml:space="preserve">2、由于甲方自身能力、检验方法和检验手段的限制，对于</w:t>
      </w:r>
      <w:r>
        <w:rPr>
          <w:rFonts w:hint="eastAsia" w:ascii="宋体" w:hAnsi="宋体" w:eastAsia="宋体" w:cs="宋体"/>
          <w:color w:val="auto"/>
          <w:sz w:val="24"/>
          <w:szCs w:val="24"/>
          <w:highlight w:val="none"/>
        </w:rPr>
        <w:t xml:space="preserve">货物</w:t>
      </w:r>
      <w:r>
        <w:rPr>
          <w:rFonts w:hint="eastAsia" w:ascii="宋体" w:hAnsi="宋体" w:eastAsia="宋体" w:cs="宋体"/>
          <w:b w:val="0"/>
          <w:color w:val="auto"/>
          <w:sz w:val="24"/>
          <w:szCs w:val="24"/>
          <w:highlight w:val="none"/>
        </w:rPr>
        <w:t xml:space="preserve">部分质量瑕疵尤其是潜在的或隐蔽的质量瑕疵，在短时间内可能无法发现。因此，验收</w:t>
      </w:r>
      <w:r>
        <w:rPr>
          <w:rFonts w:hint="eastAsia" w:ascii="宋体" w:hAnsi="宋体" w:eastAsia="宋体" w:cs="宋体"/>
          <w:color w:val="auto"/>
          <w:sz w:val="24"/>
          <w:szCs w:val="24"/>
          <w:highlight w:val="none"/>
        </w:rPr>
        <w:t xml:space="preserve">书</w:t>
      </w:r>
      <w:r>
        <w:rPr>
          <w:rFonts w:hint="eastAsia" w:ascii="宋体" w:hAnsi="宋体" w:eastAsia="宋体" w:cs="宋体"/>
          <w:b w:val="0"/>
          <w:color w:val="auto"/>
          <w:sz w:val="24"/>
          <w:szCs w:val="24"/>
          <w:highlight w:val="none"/>
        </w:rPr>
        <w:t xml:space="preserve">的签署仅作为合同标的物质保期起算的依据，不代表甲方对质量异议权利的放弃，也不代表乙方对产品质量保证责任的免除。甲方验收通过，并不免除乙方对货物的质量问题承担责任的义务。如验收通过后，产品出现质量问题影响甲方使用的，甲方仍有权要求乙方采取维修、退货换货、支付违约金、赔偿损失等方式处理</w:t>
      </w:r>
      <w:r>
        <w:rPr>
          <w:rFonts w:hint="eastAsia" w:ascii="宋体" w:hAnsi="宋体" w:eastAsia="宋体" w:cs="宋体"/>
          <w:b/>
          <w:color w:val="auto"/>
          <w:sz w:val="24"/>
          <w:szCs w:val="24"/>
          <w:highlight w:val="none"/>
        </w:rPr>
        <w:t xml:space="preserve">。</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、质保期和售后服务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sz w:val="24"/>
          <w:szCs w:val="24"/>
          <w:highlight w:val="none"/>
        </w:rPr>
        <w:t xml:space="preserve">乙方对货物的免费质保期为</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年，时间自最终验收合格并交付使用之日（如交付日与验收合格之日不一致，则以日期后者为准）起计算。若货物生产厂家规定的免费质保期长于本合同质保期，质保期以较长者为准。</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2、在质保期内项目所有产品及其形成的系统性能如出现质量问题（人为除外），乙方负责无条件免费更换或修复。更换的货物的免费质保期应重新计算。</w:t>
      </w:r>
      <w:r/>
    </w:p>
    <w:p>
      <w:pPr>
        <w:ind w:firstLine="482"/>
        <w:keepLines w:val="0"/>
        <w:keepNext w:val="0"/>
        <w:pageBreakBefore w:val="0"/>
        <w:spacing w:line="360" w:lineRule="auto"/>
        <w:shd w:val="clear" w:color="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在免费质保期内，乙方应以优良的服务态度，提供24小时的技术服务支持，一旦货物出现产品问题，乙方应在1小时以内响应，2小时内赶到现场，4小时内解决问题或免费提供同款备品更换到位以保证甲方的使用需要。如乙方在接到通知后24小时内没有答复或处理问题，甲方有权直接聘请第三方提供服务，因此而造成的费用、损失风险由乙方承担，甲方可在保证金或合同金额中直接予以扣除。</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6、在免费保修期内，如果由于乙方更换、修理和续补货物或更换服务，而造成本合同不得不停止履行，保修期应依照停止运行的实际时间加以延长，如因此给甲方造成损失，乙方应负责赔偿。</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8、乙方不履行或拖延履行质保义务、售后服务义务的，甲方有权直接聘请第三方提供，因此而造成的费用、损失风险由乙方承担，甲方可在货款或履约保证金中直接予以扣除。</w:t>
      </w:r>
      <w:r/>
    </w:p>
    <w:p>
      <w:pPr>
        <w:ind w:firstLine="513"/>
        <w:spacing w:line="400" w:lineRule="exact"/>
        <w:shd w:val="clear" w:color="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1、☑不要求提交履约保证金</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2、□要求提交履约保证金：乙方交纳合同金额的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%（不得超过合同金额的10%），即人民币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3、合同履行结束后，甲方应及时退还交纳的履约保证金。采购人逾期退还的，应当根据实际逾期期限向中标供应商支付逾期利息，逾期利率：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4、履约保证金退还条件：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5、履约保证金退还时间：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6、履约保证金退还方式：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7、履约保证金不予退还的情形：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8、其他：中标人无故拖延或拒不提交履约保证金的，视为拒绝与采购人签订合同。</w:t>
      </w:r>
      <w:r/>
    </w:p>
    <w:p>
      <w:pPr>
        <w:ind w:firstLine="511"/>
        <w:spacing w:line="400" w:lineRule="exact"/>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每迟延交付合同货物或提供服务一日，乙方应按照本合同总金额的万分之五向甲方支付违约金。如甲方未选择解除合同的，乙方仍应在甲方要求的期限内履行约定的义务，按照上述约定承担逾期服务违约金，并承担由此给甲方造成的损失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4）按合同规定的同种货币将甲方所退货物已支付的货款全部退还给甲方，并承担由此发生的损失和相关费用及甲方因此产生的对第三方的责任。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5）甲方有权部分或全部解除合同，并要求乙方赔偿由此造成的损失及甲方因此产生的对第三方的责任。此时甲方可采取必要的补救措施，相关费用由乙方承担。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6）甲方为采取必要的补救措施或因防止损失扩大而支出的合理费用应由乙方承担。</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2、如果乙方在收到甲方的违约通知书</w:t>
      </w:r>
      <w:r>
        <w:rPr>
          <w:rFonts w:hint="eastAsia" w:ascii="宋体" w:hAnsi="宋体" w:eastAsia="宋体" w:cs="宋体"/>
          <w:sz w:val="24"/>
          <w:szCs w:val="24"/>
          <w:highlight w:val="none"/>
          <w:u w:val="single"/>
        </w:rPr>
        <w:t xml:space="preserve">7</w:t>
      </w:r>
      <w:r>
        <w:rPr>
          <w:rFonts w:hint="eastAsia" w:ascii="宋体" w:hAnsi="宋体" w:eastAsia="宋体" w:cs="宋体"/>
          <w:sz w:val="24"/>
          <w:szCs w:val="24"/>
          <w:highlight w:val="none"/>
        </w:rPr>
        <w:t xml:space="preserve">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4、因乙方违约导致合同解除的，乙方应当全额退还甲方已经支付的货款，自行取回货物，并向甲方支付合同总金额20%的违约金并承担所有费用。</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6、甲方无故逾期支付货款的应按照逾期付款金额的每天万分之四支付逾期付款违约金，但甲方支付此项违约金的数额不超过合同总金额5%。</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7、甲方违反合同规定，无故拒绝接收乙方交付的合格货物，应当承担乙方由此造成的损失。</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8、乙方应赔偿甲方的损失、支付给甲方的违约金以及其他依据本合同应支付给甲方的费用，甲方有权直接从未支付款项中予以扣除，不足部分有权要求乙方予以补足。</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、合同的解除和转让</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1、有下列情形之一，合同一方可以解除合同：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（2）因一方违约导致合同不能履行，另一方有权解除合同。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（3）一方明确表示不履行或实质上已停止履行合同或发生丧失履约能力的情形时，另一方有权解除合同。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2、政府采购合同继续履行将损害国家利益和社会公共利益，甲方有权变更、中止或者终止、解除合同。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3、合同的部分和全部都不得转让，否则视为违约，乙方应向甲方支付合同总金额20%的违约金，同时甲方有权单方解除合同。</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、不可抗力</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4、合同各方应根据不可抗力对本合同履行的影响程度，协商确定是否终止本合同，或是继续履行本合同。</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、保密条款</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及附件中其他各方的商业秘密和国家秘密等非公开信息负有保密义务。乙方在履行本合同过程中所知悉的甲方相关设施设备的信息以及其他未公开信息，均视为甲方的保密信息，乙方对此负有保密义务，不得泄露给任何第三方或用于本合同之外的目的。</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4、乙方违反前述保密义务的，应向甲方支付合同总金额30%的违约金，并赔偿由此给甲方造成的一切损失。</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、联系方式</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双方发出的与本合同有关的通知或回复均应发至本合同签订时确认的通讯地址（本合同首部载明），一方变更通讯地址，应自变更之日起3个工作日内，将变更后的地址通知对方。变更方不履行通知义务的，应对此造成的一切后果承担法律责任。</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3、上述发出通知、回复的费用由发出一方承担。</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、争议的解决 </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与本合同有关的一切争议，双方应通过友好协商解决。如果经协商不能达成协议，可以向甲方所在地有管辖权的人民法院起诉。</w:t>
      </w:r>
      <w:bookmarkStart w:id="2" w:name="OLE_LINK73"/>
      <w:r/>
      <w:bookmarkStart w:id="3" w:name="OLE_LINK263"/>
      <w:r/>
      <w:bookmarkStart w:id="4" w:name="OLE_LINK170"/>
      <w:r/>
      <w:bookmarkStart w:id="5" w:name="OLE_LINK264"/>
      <w:r/>
      <w:bookmarkStart w:id="6" w:name="OLE_LINK815"/>
      <w:r/>
      <w:bookmarkStart w:id="7" w:name="OLE_LINK814"/>
      <w:r>
        <w:rPr>
          <w:rFonts w:hint="eastAsia" w:ascii="宋体" w:hAnsi="宋体" w:eastAsia="宋体" w:cs="宋体"/>
          <w:sz w:val="24"/>
          <w:szCs w:val="24"/>
          <w:highlight w:val="none"/>
        </w:rPr>
        <w:t xml:space="preserve">若</w:t>
      </w:r>
      <w:bookmarkStart w:id="8" w:name="OLE_LINK102"/>
      <w:r/>
      <w:bookmarkStart w:id="9" w:name="OLE_LINK103"/>
      <w:r>
        <w:rPr>
          <w:rFonts w:hint="eastAsia" w:ascii="宋体" w:hAnsi="宋体" w:eastAsia="宋体" w:cs="宋体"/>
          <w:sz w:val="24"/>
          <w:szCs w:val="24"/>
          <w:highlight w:val="none"/>
        </w:rPr>
        <w:t xml:space="preserve">由于乙方违约或乙方追究甲方违约不成立的而产生纠纷的，甲方为处理纠纷产生的费用由乙方承担，该费用包括但不限于保全费、诉讼费、鉴定费、律师费、差旅费等</w:t>
      </w:r>
      <w:bookmarkEnd w:id="2"/>
      <w:r/>
      <w:bookmarkEnd w:id="3"/>
      <w:r/>
      <w:bookmarkEnd w:id="4"/>
      <w:r/>
      <w:bookmarkEnd w:id="5"/>
      <w:r/>
      <w:bookmarkEnd w:id="8"/>
      <w:r/>
      <w:bookmarkEnd w:id="9"/>
      <w:r>
        <w:rPr>
          <w:rFonts w:hint="eastAsia" w:ascii="宋体" w:hAnsi="宋体" w:eastAsia="宋体" w:cs="宋体"/>
          <w:sz w:val="24"/>
          <w:szCs w:val="24"/>
          <w:highlight w:val="none"/>
        </w:rPr>
        <w:t xml:space="preserve">。</w:t>
      </w:r>
      <w:bookmarkEnd w:id="6"/>
      <w:r/>
      <w:bookmarkEnd w:id="7"/>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十七、</w:t>
      </w:r>
      <w:r>
        <w:rPr>
          <w:rFonts w:hint="eastAsia" w:ascii="宋体" w:hAnsi="宋体" w:eastAsia="宋体" w:cs="宋体"/>
          <w:b/>
          <w:bCs/>
          <w:sz w:val="24"/>
          <w:szCs w:val="24"/>
          <w:highlight w:val="none"/>
        </w:rPr>
        <w:t xml:space="preserve">合同生效及其他</w:t>
      </w: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2、如签署纸质合同，壹式肆份，甲乙双方各执贰份，具有同等法律效力。</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4、本合同应按照中华人民共和国的现行法律进行解释。</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5、合同附件：货物类项目履约验收方案</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名称(公章)：                                   名称(公章)：</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                           法定（授权）代表人：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签订日期： </w:t>
      </w:r>
      <w:r/>
    </w:p>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jc w:val="lef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2"/>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jc w:val="left"/>
        <w:spacing w:line="360" w:lineRule="auto"/>
        <w:shd w:val="clear" w:color="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附件1：</w:t>
      </w:r>
      <w:r/>
    </w:p>
    <w:p>
      <w:pPr>
        <w:jc w:val="cente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货物类项目履约验收方案</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一、项目概况</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验收主体：</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二、验收目的</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三、验收依据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工业园区采购人通过政府采购方式和程序确定供应商的货物和服务类政府采购项目应当执行《苏州工业园区政府采购履约验收管理暂行办法》。政府采购文件、供应商投标（响应）文件、政府采购合同是履约验收工作的基本依据。</w:t>
      </w:r>
      <w:r/>
    </w:p>
    <w:p>
      <w:pPr>
        <w:numPr>
          <w:ilvl w:val="0"/>
          <w:numId w:val="14"/>
        </w:numPr>
        <w:jc w:val="left"/>
        <w:spacing w:line="360" w:lineRule="auto"/>
        <w:shd w:val="clear" w:color="auto"/>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验收</w:t>
      </w:r>
      <w:r>
        <w:rPr>
          <w:rFonts w:hint="eastAsia" w:ascii="宋体" w:hAnsi="宋体" w:eastAsia="宋体" w:cs="宋体"/>
          <w:b/>
          <w:bCs/>
          <w:sz w:val="24"/>
          <w:szCs w:val="24"/>
          <w:highlight w:val="none"/>
        </w:rPr>
        <w:t xml:space="preserve">责任主体</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五、验收方式及验收内容</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5.1日常考核</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eastAsia="宋体" w:cs="宋体"/>
          <w:b/>
          <w:bCs/>
          <w:sz w:val="24"/>
          <w:szCs w:val="24"/>
          <w:highlight w:val="none"/>
        </w:rPr>
        <w:t xml:space="preserve">采购人书面要求供应商限期整改，由此造成的一切损失由供应商承担。</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5.2检测(检验)验收</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w:t>
      </w:r>
      <w:r>
        <w:rPr>
          <w:rFonts w:hint="eastAsia" w:ascii="宋体" w:hAnsi="宋体" w:eastAsia="宋体" w:cs="宋体"/>
          <w:b/>
          <w:bCs/>
          <w:sz w:val="24"/>
          <w:szCs w:val="24"/>
          <w:highlight w:val="none"/>
        </w:rPr>
        <w:t xml:space="preserve">相关费用由供应商承担。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eastAsia="宋体" w:cs="宋体"/>
          <w:b/>
          <w:bCs/>
          <w:sz w:val="24"/>
          <w:szCs w:val="24"/>
          <w:highlight w:val="none"/>
        </w:rPr>
        <w:t xml:space="preserve">供应商拒不配合抽样送检的，其所移交货物作不合格处理。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eastAsia="宋体" w:cs="宋体"/>
          <w:b/>
          <w:bCs/>
          <w:sz w:val="24"/>
          <w:szCs w:val="24"/>
          <w:highlight w:val="none"/>
        </w:rPr>
        <w:t xml:space="preserve">则采购人有权终止合同，重新采购，由此造成的一切损失由供应商承担。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5.2.4对检验结果存在异议时，启用备样检验，</w:t>
      </w:r>
      <w:r>
        <w:rPr>
          <w:rFonts w:hint="eastAsia" w:ascii="宋体" w:hAnsi="宋体" w:eastAsia="宋体" w:cs="宋体"/>
          <w:b/>
          <w:bCs/>
          <w:sz w:val="24"/>
          <w:szCs w:val="24"/>
          <w:highlight w:val="none"/>
        </w:rPr>
        <w:t xml:space="preserve">相关费用由异议提出方承担。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5.2.5实施检验检测所造成的产品损坏、损耗，</w:t>
      </w:r>
      <w:r>
        <w:rPr>
          <w:rFonts w:hint="eastAsia" w:ascii="宋体" w:hAnsi="宋体" w:eastAsia="宋体" w:cs="宋体"/>
          <w:b/>
          <w:bCs/>
          <w:sz w:val="24"/>
          <w:szCs w:val="24"/>
          <w:highlight w:val="none"/>
        </w:rPr>
        <w:t xml:space="preserve">其替换补充或维修费用由供应商承担。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5.2.6除上述5.2.1 条检测要求以外，采购人有权指定有资质的检验检测机构对整体货物按</w:t>
      </w:r>
      <w:r>
        <w:rPr>
          <w:rFonts w:hint="eastAsia" w:ascii="宋体" w:hAnsi="宋体" w:eastAsia="宋体" w:cs="宋体"/>
          <w:b/>
          <w:bCs/>
          <w:sz w:val="24"/>
          <w:szCs w:val="24"/>
          <w:highlight w:val="none"/>
        </w:rPr>
        <w:t xml:space="preserve">不超过合同金额5%</w:t>
      </w:r>
      <w:r>
        <w:rPr>
          <w:rFonts w:hint="eastAsia" w:ascii="宋体" w:hAnsi="宋体" w:eastAsia="宋体" w:cs="宋体"/>
          <w:sz w:val="24"/>
          <w:szCs w:val="24"/>
          <w:highlight w:val="none"/>
        </w:rPr>
        <w:t xml:space="preserve">的比例进行随机抽检，检验依据现行有效的国家或行业标准。</w:t>
      </w:r>
      <w:r>
        <w:rPr>
          <w:rFonts w:hint="eastAsia" w:ascii="宋体" w:hAnsi="宋体" w:eastAsia="宋体" w:cs="宋体"/>
          <w:b/>
          <w:bCs/>
          <w:sz w:val="24"/>
          <w:szCs w:val="24"/>
          <w:highlight w:val="none"/>
        </w:rPr>
        <w:t xml:space="preserve">若检测合格由采购人支付检测费用，检测不合格由供应商支付，</w:t>
      </w:r>
      <w:r>
        <w:rPr>
          <w:rFonts w:hint="eastAsia" w:ascii="宋体" w:hAnsi="宋体" w:eastAsia="宋体" w:cs="宋体"/>
          <w:sz w:val="24"/>
          <w:szCs w:val="24"/>
          <w:highlight w:val="none"/>
        </w:rPr>
        <w:t xml:space="preserve">且采购人书面通知供应商限期进行整改。若供应商未按时完成整改或整改后再次抽检仍不合格的，</w:t>
      </w:r>
      <w:r>
        <w:rPr>
          <w:rFonts w:hint="eastAsia" w:ascii="宋体" w:hAnsi="宋体" w:eastAsia="宋体" w:cs="宋体"/>
          <w:b/>
          <w:bCs/>
          <w:sz w:val="24"/>
          <w:szCs w:val="24"/>
          <w:highlight w:val="none"/>
        </w:rPr>
        <w:t xml:space="preserve">则采购人有权终止合同，重新采购，由此造成的一切损失由供应商承担。</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5.3最终验收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5.3.1验收准备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sz w:val="24"/>
          <w:szCs w:val="24"/>
          <w:highlight w:val="none"/>
        </w:rPr>
        <w:t xml:space="preserve">供应商在收到催告后五个工作日内拒不配合的，采购人应依照合同约定追究其责任。</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5.3.1.3采购人应及时全面准备验收，自收到验收申请之日起</w:t>
      </w:r>
      <w:r>
        <w:rPr>
          <w:rFonts w:hint="eastAsia" w:ascii="宋体" w:hAnsi="宋体" w:eastAsia="宋体" w:cs="宋体"/>
          <w:b/>
          <w:sz w:val="24"/>
          <w:szCs w:val="24"/>
          <w:highlight w:val="none"/>
        </w:rPr>
        <w:t xml:space="preserve">五个工作日</w:t>
      </w:r>
      <w:r>
        <w:rPr>
          <w:rFonts w:hint="eastAsia" w:ascii="宋体" w:hAnsi="宋体" w:eastAsia="宋体" w:cs="宋体"/>
          <w:sz w:val="24"/>
          <w:szCs w:val="24"/>
          <w:highlight w:val="none"/>
        </w:rPr>
        <w:t xml:space="preserve">内做好通水、通电、准备验收工具等必要的验收准备工作、启动项目验收、通知供应商。</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5.3.2验收小组</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5.3.2.1</w:t>
      </w:r>
      <w:r>
        <w:rPr>
          <w:rFonts w:hint="eastAsia" w:ascii="宋体" w:hAnsi="宋体" w:eastAsia="宋体" w:cs="宋体"/>
          <w:b/>
          <w:bCs/>
          <w:sz w:val="24"/>
          <w:szCs w:val="24"/>
          <w:highlight w:val="none"/>
        </w:rPr>
        <w:t xml:space="preserve">采购人应当组织成立验收小组</w:t>
      </w:r>
      <w:r>
        <w:rPr>
          <w:rFonts w:hint="eastAsia" w:ascii="宋体" w:hAnsi="宋体" w:eastAsia="宋体" w:cs="宋体"/>
          <w:sz w:val="24"/>
          <w:szCs w:val="24"/>
          <w:highlight w:val="none"/>
        </w:rPr>
        <w:t xml:space="preserve">，验收小组负责实施项目验收工作，其成员构成、人员数量以及负责人由采购人确定，</w:t>
      </w:r>
      <w:r>
        <w:rPr>
          <w:rFonts w:hint="eastAsia" w:ascii="宋体" w:hAnsi="宋体" w:eastAsia="宋体" w:cs="宋体"/>
          <w:b/>
          <w:bCs/>
          <w:sz w:val="24"/>
          <w:szCs w:val="24"/>
          <w:highlight w:val="none"/>
        </w:rPr>
        <w:t xml:space="preserve">劳务报酬等费用由采购人承担</w:t>
      </w:r>
      <w:r>
        <w:rPr>
          <w:rFonts w:hint="eastAsia" w:ascii="宋体" w:hAnsi="宋体" w:eastAsia="宋体" w:cs="宋体"/>
          <w:sz w:val="24"/>
          <w:szCs w:val="24"/>
          <w:highlight w:val="none"/>
        </w:rPr>
        <w:t xml:space="preserve">。验收小组应由采购人指定的具有相关专业能力或从事相关领域工作的 3 人以上单数人员组成，其中至少包含 1 名采购人的工作人员，若经办采购的人员与采购需求人员分属不同部门，二者应当同时参与验收。</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5.3.2.2采购人可以委托同领域其他单位或者第三方专业机构人员，该人员不得同时作为《苏州工业园区政府采购履约验收管理暂行办法》第二十八条规定的参与验收人员。</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5.3.3参与验收人员</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5.3.4验收内容</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5.3.4.1验收时，验收小组应与供应商一起验货，如发现货物短缺、质次、损坏、产地和规格不符等问题，应作详细记录由双方进行签字确认，</w:t>
      </w:r>
      <w:r>
        <w:rPr>
          <w:rFonts w:hint="eastAsia" w:ascii="宋体" w:hAnsi="宋体" w:eastAsia="宋体" w:cs="宋体"/>
          <w:b/>
          <w:bCs/>
          <w:sz w:val="24"/>
          <w:szCs w:val="24"/>
          <w:highlight w:val="none"/>
        </w:rPr>
        <w:t xml:space="preserve">供应商立即无条件地在合同约定期限内调换或补齐，由此造成的一切损失由供应商承担。</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5.3.4.2交付验收标准适用标准为：</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①按照现行国家标准执行，无国家标准的，按行业标准执行，无国家和行业标准的，按企业标准执行，并且应符合相关法律、法规规定的要求；</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②采购文件所列的各项要求、采购合同、供应商在投标（响应）文件中承诺的质量技术指标。</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5.3.5验收记录</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5.3.5.1验收小组应当要求参与验收的供应商、专业机构、专家和服务对象等出具书面意见，作为验收书的重要组成部分。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六、验收结果</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rPr>
          <w:rFonts w:hint="eastAsia" w:ascii="宋体" w:hAnsi="宋体" w:eastAsia="宋体" w:cs="宋体"/>
          <w:b/>
          <w:bCs/>
          <w:sz w:val="24"/>
          <w:szCs w:val="24"/>
          <w:highlight w:val="none"/>
        </w:rPr>
        <w:t xml:space="preserve">《政府采购履约验收书》（见下表1）、合同是申请支付政府采购合同价款的必备资料。</w:t>
      </w:r>
      <w:r>
        <w:rPr>
          <w:rFonts w:hint="eastAsia" w:ascii="宋体" w:hAnsi="宋体" w:eastAsia="宋体" w:cs="宋体"/>
          <w:sz w:val="24"/>
          <w:szCs w:val="24"/>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七、验收资料归档</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tbl>
      <w:tblPr>
        <w:tblStyle w:val="830"/>
        <w:tblpPr w:horzAnchor="page" w:tblpX="996" w:vertAnchor="text" w:tblpY="-181" w:leftFromText="180" w:topFromText="0" w:rightFromText="180" w:bottomFromText="0"/>
        <w:tblW w:w="5122" w:type="pct"/>
        <w:tblInd w:w="0" w:type="dxa"/>
        <w:tblLayout w:type="fixed"/>
        <w:tblCellMar>
          <w:left w:w="108" w:type="dxa"/>
          <w:top w:w="0" w:type="dxa"/>
          <w:right w:w="108" w:type="dxa"/>
          <w:bottom w:w="0" w:type="dxa"/>
        </w:tblCellMar>
        <w:tblLook w:val="04A0" w:firstRow="1" w:lastRow="0" w:firstColumn="1" w:lastColumn="0" w:noHBand="0" w:noVBand="1"/>
      </w:tblPr>
      <w:tblGrid>
        <w:gridCol w:w="1429"/>
        <w:gridCol w:w="1598"/>
        <w:gridCol w:w="2735"/>
        <w:gridCol w:w="1247"/>
        <w:gridCol w:w="1296"/>
        <w:gridCol w:w="1169"/>
      </w:tblGrid>
      <w:tr>
        <w:trPr>
          <w:trHeight w:val="600"/>
        </w:trPr>
        <w:tc>
          <w:tcPr>
            <w:gridSpan w:val="6"/>
            <w:shd w:val="clear" w:color="auto" w:fill="auto"/>
            <w:tcW w:w="5000" w:type="pct"/>
            <w:vAlign w:val="center"/>
            <w:textDirection w:val="lrTb"/>
            <w:noWrap/>
          </w:tcPr>
          <w:p>
            <w:pPr>
              <w:jc w:val="center"/>
              <w:spacing w:line="480" w:lineRule="auto"/>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表1：政府采购履约验收书（货物类）</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（姓名+职务+单位）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验收日期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□采购人自行组织验收          □委托代理机构验收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是否日常考核/分段验收</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44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日常考核/分段验收情况</w:t>
            </w:r>
            <w:r/>
          </w:p>
        </w:tc>
        <w:tc>
          <w:tcPr>
            <w:gridSpan w:val="3"/>
            <w:shd w:val="clear" w:color="auto" w:fill="auto"/>
            <w:tcBorders>
              <w:top w:val="single" w:color="000000" w:sz="4" w:space="0"/>
              <w:left w:val="none" w:color="000000" w:sz="4" w:space="0"/>
              <w:bottom w:val="none" w:color="000000" w:sz="4" w:space="0"/>
              <w:right w:val="single" w:color="000000" w:sz="4" w:space="0"/>
            </w:tcBorders>
            <w:tcW w:w="1959"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本项目验收共分        期，本次为第        期</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1597"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验收人员</w:t>
            </w:r>
            <w:r>
              <w:rPr>
                <w:rFonts w:hint="eastAsia" w:ascii="宋体" w:hAnsi="宋体" w:eastAsia="宋体" w:cs="宋体"/>
                <w:b/>
                <w:color w:val="auto"/>
                <w:sz w:val="24"/>
                <w:szCs w:val="24"/>
                <w:highlight w:val="none"/>
                <w:lang w:val="en-US" w:eastAsia="zh-CN" w:bidi="ar-SA"/>
              </w:rPr>
              <w:t xml:space="preserve">（按实际情况勾选）</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验收方式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验收依据和过程（可附附件）</w:t>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验收意见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restart"/>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w:t>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（非日常考核/分段验收时必选）</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（姓名+所属部门）</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restart"/>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□外包装检查</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□核对规格参数和数量</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□检查标的物合格证、说明书等证明信息</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□安装调试</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□核实供应商售后服务等在响应文件中承诺的内容</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□对照采购文件中检测机构、检测标准、检测内容对相应标的物进行抽查检验（采购文件中设置相关要求时必选）</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□对照采购人需求，对标的物中涉及专业领域的部分进行复核</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□其他：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restart"/>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□代建单位：</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（姓名+单位+所属部门）</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□受采购人委托的代理机构：</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□采购人委托的同领域其他单位人员或第三方专业机构的专家：</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（姓名+单位）</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vMerge w:val="continue"/>
            <w:textDirection w:val="lrTb"/>
            <w:noWrap w:val="false"/>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283"/>
        </w:trPr>
        <w:tc>
          <w:tcPr>
            <w:shd w:val="clear" w:color="auto" w:fill="auto"/>
            <w:tcBorders>
              <w:top w:val="single" w:color="000000" w:sz="4" w:space="0"/>
              <w:left w:val="single" w:color="000000" w:sz="4" w:space="0"/>
              <w:right w:val="single" w:color="000000" w:sz="4" w:space="0"/>
            </w:tcBorders>
            <w:tcW w:w="754" w:type="pct"/>
            <w:vAlign w:val="center"/>
            <w:vMerge w:val="restart"/>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验收参与人员</w:t>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□实际使用人（符合本办法第二十六条规定情形时必选）：</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417"/>
        </w:trPr>
        <w:tc>
          <w:tcPr>
            <w:shd w:val="clear" w:color="auto" w:fill="auto"/>
            <w:tcBorders>
              <w:left w:val="singl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□第三方专业机构（本办法第二十七条第一款、第二十八条规定情形）：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059"/>
        </w:trPr>
        <w:tc>
          <w:tcPr>
            <w:shd w:val="clear" w:color="auto" w:fill="auto"/>
            <w:tcBorders>
              <w:left w:val="single" w:color="000000" w:sz="4" w:space="0"/>
              <w:right w:val="single" w:color="000000" w:sz="4" w:space="0"/>
            </w:tcBorders>
            <w:tcW w:w="754" w:type="pct"/>
            <w:vAlign w:val="center"/>
            <w:vMerge w:val="continue"/>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□专家（本办法第二十八条规定情形）：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出具书面意见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092"/>
        </w:trPr>
        <w:tc>
          <w:tcPr>
            <w:shd w:val="clear" w:color="auto" w:fill="auto"/>
            <w:tcBorders>
              <w:left w:val="single" w:color="000000" w:sz="4" w:space="0"/>
              <w:bottom w:val="none" w:color="000000" w:sz="4" w:space="0"/>
              <w:right w:val="single" w:color="000000" w:sz="4" w:space="0"/>
            </w:tcBorders>
            <w:tcW w:w="754" w:type="pct"/>
            <w:vAlign w:val="center"/>
            <w:vMerge w:val="continue"/>
            <w:textDirection w:val="lrTb"/>
            <w:noWrap/>
          </w:tcPr>
          <w:p>
            <w:pPr>
              <w:jc w:val="both"/>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none" w:color="000000" w:sz="4" w:space="0"/>
            </w:tcBorders>
            <w:tcW w:w="843" w:type="pct"/>
            <w:vAlign w:val="top"/>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□参加本项目的其他供应商（本办法第二十八条规定情形）：</w:t>
            </w:r>
            <w:r/>
          </w:p>
        </w:tc>
        <w:tc>
          <w:tcPr>
            <w:shd w:val="clear" w:color="auto" w:fill="auto"/>
            <w:tcBorders>
              <w:top w:val="single" w:color="000000" w:sz="4" w:space="0"/>
              <w:left w:val="single" w:color="000000" w:sz="4" w:space="0"/>
              <w:bottom w:val="single" w:color="000000" w:sz="4" w:space="0"/>
              <w:right w:val="single" w:color="000000" w:sz="4" w:space="0"/>
            </w:tcBorders>
            <w:tcW w:w="1443"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bottom"/>
            <w:textDirection w:val="lrTb"/>
            <w:noWrap w:val="false"/>
          </w:tcPr>
          <w:p>
            <w:pPr>
              <w:jc w:val="lef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（如意见一致，请全体验收小组成员分别签名，如有异议，请分别签署意见并签名）</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验收小组成员对上述验收结论：□无异议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验收小组成员签字：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□有异议，单独提供验收意见</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验收小组成员签字：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                                    </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供应商签字：</w:t>
            </w:r>
            <w:r/>
          </w:p>
        </w:tc>
      </w:tr>
      <w:tr>
        <w:trPr>
          <w:trHeight w:val="1966"/>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val="false"/>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异议事项：</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复核意见：</w:t>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签字：</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245" w:type="pct"/>
            <w:vAlign w:val="center"/>
            <w:textDirection w:val="lrTb"/>
            <w:noWrap/>
          </w:tcPr>
          <w:p>
            <w:pPr>
              <w:jc w:val="lef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（采购人签署验收意见并盖章）</w:t>
            </w:r>
            <w:r/>
          </w:p>
        </w:tc>
      </w:tr>
    </w:tbl>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rPr>
          <w:rFonts w:ascii="宋体" w:hAnsi="宋体" w:eastAsia="宋体" w:cs="宋体"/>
          <w:color w:val="000000"/>
          <w:sz w:val="52"/>
          <w:highlight w:val="none"/>
        </w:rPr>
      </w:pPr>
      <w:r>
        <w:rPr>
          <w:rFonts w:ascii="宋体" w:hAnsi="宋体" w:eastAsia="宋体" w:cs="宋体"/>
          <w:color w:val="000000"/>
          <w:sz w:val="52"/>
          <w:highlight w:val="none"/>
        </w:rPr>
        <w:br w:type="page" w:clear="all"/>
      </w:r>
      <w:r/>
    </w:p>
    <w:p>
      <w:pPr>
        <w:pStyle w:val="820"/>
        <w:jc w:val="center"/>
        <w:spacing w:before="0" w:after="0"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第六章 评审办法</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5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一、评审办法</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1、成交原则：在响应最后报价不超过采购预算，且响应内容的质量和服务均能满足谈判文件实质性响应要求的供应商（不少于三家）中，提出最低报价的供应商确定为成交供应商。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通过资格审查、符合性审查的不同供应商参加同一合同项下投标，提供的核心产品同一品牌同一型号的，在供应商递交最终报价后，计算实质性响应供应商数量时，按一家供应商计算；由采购人或采购人委托谈判小组确定一个最终报价最低的同品牌同型号供应商获得成交供应商推荐资格；同品牌同型号供应商最终报价相同的，由谈判小组采取随机抽取方式确定获得成交供应商推荐资格的同品牌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3、供应商如存在第3条评审价格调整因素所列之情形，将按该条的规定对其响应报价进行调整，调整后的价格为评审价格，并以此作为评审成交依据。但，成交后仍将按谈判中最后实际报价签订采购合同。</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4、谈判小组各成员独立对每个进入合格性评审程序的供应商的响应文件按合格性评审办法进行评审和评价，以判定响应文件的质量和服务均能满足谈判文件实质性响应要求，并确定成交供应商。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评审方法如下：</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委对供应商的响应文件按照谈判文件的规定和要求进行资格性和符合性审查。经评委评审，如“评审内容表”中的评审内容均满足谈判文件要求的，则认为该供应商响应文件评审合格；如某一项条款内容评审不合格的，评委需要在备注栏中注明不合格原因。逐项汇总所有评委评审意见，以确定每个项目条款内容的最终合格性。如评委在某一项目条款内容是否合格出现评审意见不一致的，则按少数服从多数的原则，确定该一项条款是否合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（2）评审意见汇总确定后，有评审内容项评审意见确定为不合格的，则该响应文件将被视为不合格，且不具备成交资格。</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在评审合格的响应文件中以提出最后报价中最低报价的供应商作为成交供应商。如有两个或两个以上经评审合格供应商的最后报价相同且均为最低的，则由谈判小组以抽签方式在提出最低报价的供应商中确定成交供应商。</w:t>
      </w:r>
      <w:r/>
    </w:p>
    <w:p>
      <w:pPr>
        <w:ind w:firstLine="48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谈判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谈判小组可以取消该供应商的成交资格，按顺序由排在后面的供应商递补，以此类推。</w:t>
      </w:r>
      <w:r/>
    </w:p>
    <w:p>
      <w:pPr>
        <w:ind w:firstLine="482"/>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二、评审内容表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38"/>
        <w:gridCol w:w="2916"/>
        <w:gridCol w:w="1551"/>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是否合格（是/否）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不合格原因</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1、合格响应供应商的资格条件是否满足谈判文件要求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2、响应产品的数量、技术参数、功能、证明材料等是否符合谈判文件要求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3、交货期、付款方式、</w:t>
            </w:r>
            <w:bookmarkStart w:id="10" w:name="_GoBack"/>
            <w:r/>
            <w:bookmarkEnd w:id="10"/>
            <w:r>
              <w:rPr>
                <w:rFonts w:ascii="宋体" w:hAnsi="宋体" w:eastAsia="宋体" w:cs="宋体"/>
                <w:color w:val="000000"/>
                <w:sz w:val="24"/>
                <w:highlight w:val="none"/>
              </w:rPr>
              <w:t xml:space="preserve">免费质保期、售后服务是否符合谈判文件要求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8"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4、其他（除供应商资格条件及采购技术内容以外的其他涉及实质性响应谈判文件的条款内容）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right"/>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（全文完）</w:t>
      </w:r>
      <w:r/>
    </w:p>
    <w:p>
      <w:pPr>
        <w:spacing w:line="360" w:lineRule="auto"/>
        <w:shd w:val="clear" w:color="auto"/>
        <w:rPr>
          <w:highlight w:val="none"/>
        </w:rPr>
      </w:pPr>
      <w:r>
        <w:rPr>
          <w:highlight w:val="none"/>
        </w:rPr>
      </w:r>
      <w:r/>
    </w:p>
    <w:sectPr>
      <w:headerReference w:type="default" r:id="rId11"/>
      <w:footerReference w:type="default" r:id="rId14"/>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Gothic">
    <w:panose1 w:val="020B0609070205080204"/>
  </w:font>
  <w:font w:name="MingLiU">
    <w:panose1 w:val="02020500000000000000"/>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楷体_GB2312">
    <w:panose1 w:val="02010609060101010101"/>
  </w:font>
  <w:font w:name="Helvetica">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48385" cy="1390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048385" cy="139065"/>
                      </a:xfrm>
                      <a:prstGeom prst="rect">
                        <a:avLst/>
                      </a:prstGeom>
                      <a:noFill/>
                      <a:ln>
                        <a:noFill/>
                      </a:ln>
                      <a:effectLst/>
                    </wps:spPr>
                    <wps:txbx>
                      <w:txbxContent>
                        <w:p>
                          <w:pPr>
                            <w:pStyle w:val="8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2.5pt;height:10.9pt;mso-wrap-distance-left:9.0pt;mso-wrap-distance-top:0.0pt;mso-wrap-distance-right:9.0pt;mso-wrap-distance-bottom:0.0pt;visibility:visible;" filled="f" stroked="f">
              <v:textbox inset="0,0,0,0">
                <w:txbxContent>
                  <w:p>
                    <w:pPr>
                      <w:pStyle w:val="85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063"/>
      <w:spacing w:before="1" w:line="226"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t xml:space="preserve">第 </w:t>
                          </w:r>
                          <w:r>
                            <w:fldChar w:fldCharType="begin"/>
                          </w:r>
                          <w:r>
                            <w:instrText xml:space="preserve"> PAGE  \* MERGEFORMAT </w:instrText>
                          </w:r>
                          <w:r>
                            <w:fldChar w:fldCharType="separate"/>
                          </w:r>
                          <w:r>
                            <w:t xml:space="preserve">100</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t xml:space="preserve">第 </w:t>
                    </w:r>
                    <w:r>
                      <w:fldChar w:fldCharType="begin"/>
                    </w:r>
                    <w:r>
                      <w:instrText xml:space="preserve"> PAGE  \* MERGEFORMAT </w:instrText>
                    </w:r>
                    <w:r>
                      <w:fldChar w:fldCharType="separate"/>
                    </w:r>
                    <w:r>
                      <w:t xml:space="preserve">100</w:t>
                    </w:r>
                    <w:r>
                      <w:fldChar w:fldCharType="end"/>
                    </w:r>
                    <w:r>
                      <w:t xml:space="preserve"> 页 共 </w:t>
                    </w:r>
                    <w:r>
                      <w:fldChar w:fldCharType="begin"/>
                    </w:r>
                    <w:r>
                      <w:instrText xml:space="preserve"> NUMPAGES  \* MERGEFORMAT </w:instrText>
                    </w:r>
                    <w:r>
                      <w:fldChar w:fldCharType="separate"/>
                    </w:r>
                    <w:r>
                      <w:t xml:space="preserve">118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top w:val="none" w:color="auto" w:sz="0" w:space="1"/>
        <w:left w:val="none" w:color="auto" w:sz="0" w:space="4"/>
        <w:bottom w:val="none" w:color="auto" w:sz="0" w:space="1"/>
        <w:right w:val="none" w:color="auto" w:sz="0" w:space="4"/>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3">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12"/>
  </w:num>
  <w:num w:numId="3">
    <w:abstractNumId w:val="4"/>
  </w:num>
  <w:num w:numId="4">
    <w:abstractNumId w:val="0"/>
  </w:num>
  <w:num w:numId="5">
    <w:abstractNumId w:val="6"/>
  </w:num>
  <w:num w:numId="6">
    <w:abstractNumId w:val="2"/>
  </w:num>
  <w:num w:numId="7">
    <w:abstractNumId w:val="3"/>
  </w:num>
  <w:num w:numId="8">
    <w:abstractNumId w:val="5"/>
  </w:num>
  <w:num w:numId="9">
    <w:abstractNumId w:val="9"/>
  </w:num>
  <w:num w:numId="10">
    <w:abstractNumId w:val="8"/>
  </w:num>
  <w:num w:numId="11">
    <w:abstractNumId w:val="10"/>
  </w:num>
  <w:num w:numId="12">
    <w:abstractNumId w:val="11"/>
  </w:num>
  <w:num w:numId="13">
    <w:abstractNumId w:val="1"/>
  </w:num>
  <w:num w:numId="1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20">
    <w:name w:val="Heading 1"/>
    <w:basedOn w:val="819"/>
    <w:next w:val="819"/>
    <w:uiPriority w:val="0"/>
    <w:qFormat/>
    <w:pPr>
      <w:keepLines/>
      <w:keepNext/>
      <w:spacing w:before="340" w:after="330" w:line="578" w:lineRule="auto"/>
      <w:outlineLvl w:val="0"/>
    </w:pPr>
    <w:rPr>
      <w:b/>
      <w:sz w:val="44"/>
    </w:rPr>
  </w:style>
  <w:style w:type="paragraph" w:styleId="821">
    <w:name w:val="Heading 2"/>
    <w:basedOn w:val="819"/>
    <w:next w:val="819"/>
    <w:uiPriority w:val="0"/>
    <w:qFormat/>
    <w:pPr>
      <w:numPr>
        <w:ilvl w:val="0"/>
        <w:numId w:val="1"/>
      </w:numPr>
      <w:jc w:val="left"/>
      <w:keepLines/>
      <w:keepNext/>
      <w:outlineLvl w:val="1"/>
    </w:pPr>
    <w:rPr>
      <w:rFonts w:ascii="宋体" w:hAnsi="宋体" w:eastAsia="宋体"/>
      <w:b/>
      <w:sz w:val="24"/>
    </w:rPr>
  </w:style>
  <w:style w:type="paragraph" w:styleId="822">
    <w:name w:val="Heading 3"/>
    <w:basedOn w:val="819"/>
    <w:next w:val="819"/>
    <w:link w:val="1079"/>
    <w:uiPriority w:val="0"/>
    <w:qFormat/>
    <w:pPr>
      <w:jc w:val="left"/>
      <w:keepLines/>
      <w:keepNext/>
      <w:outlineLvl w:val="2"/>
    </w:pPr>
    <w:rPr>
      <w:rFonts w:hint="eastAsia" w:ascii="楷体_GB2312"/>
      <w:b/>
      <w:sz w:val="32"/>
      <w:szCs w:val="32"/>
    </w:rPr>
  </w:style>
  <w:style w:type="paragraph" w:styleId="823">
    <w:name w:val="Heading 4"/>
    <w:basedOn w:val="819"/>
    <w:next w:val="819"/>
    <w:uiPriority w:val="0"/>
    <w:qFormat/>
    <w:pPr>
      <w:keepLines/>
      <w:keepNext/>
      <w:spacing w:before="280" w:after="290" w:line="376" w:lineRule="auto"/>
      <w:outlineLvl w:val="3"/>
    </w:pPr>
    <w:rPr>
      <w:rFonts w:ascii="Arial" w:hAnsi="Arial" w:eastAsia="黑体"/>
      <w:b/>
      <w:bCs/>
      <w:sz w:val="28"/>
      <w:szCs w:val="28"/>
    </w:rPr>
  </w:style>
  <w:style w:type="paragraph" w:styleId="824">
    <w:name w:val="Heading 5"/>
    <w:basedOn w:val="819"/>
    <w:next w:val="819"/>
    <w:uiPriority w:val="0"/>
    <w:qFormat/>
    <w:pPr>
      <w:jc w:val="left"/>
      <w:keepLines/>
      <w:keepNext/>
      <w:spacing w:before="280" w:after="290" w:line="376" w:lineRule="atLeast"/>
      <w:outlineLvl w:val="4"/>
    </w:pPr>
    <w:rPr>
      <w:rFonts w:ascii="宋体" w:hAnsi="Tms Rmn" w:eastAsia="宋体"/>
      <w:b/>
      <w:sz w:val="28"/>
    </w:rPr>
  </w:style>
  <w:style w:type="paragraph" w:styleId="825">
    <w:name w:val="Heading 6"/>
    <w:basedOn w:val="819"/>
    <w:next w:val="819"/>
    <w:uiPriority w:val="0"/>
    <w:qFormat/>
    <w:pPr>
      <w:jc w:val="left"/>
      <w:keepLines/>
      <w:keepNext/>
      <w:spacing w:before="240" w:after="64" w:line="320" w:lineRule="atLeast"/>
      <w:outlineLvl w:val="5"/>
    </w:pPr>
    <w:rPr>
      <w:rFonts w:ascii="黑体" w:hAnsi="Tms Rmn" w:eastAsia="黑体"/>
      <w:b/>
      <w:sz w:val="24"/>
    </w:rPr>
  </w:style>
  <w:style w:type="paragraph" w:styleId="826">
    <w:name w:val="Heading 7"/>
    <w:basedOn w:val="819"/>
    <w:next w:val="819"/>
    <w:uiPriority w:val="0"/>
    <w:qFormat/>
    <w:pPr>
      <w:jc w:val="left"/>
      <w:keepLines/>
      <w:keepNext/>
      <w:spacing w:before="240" w:after="64" w:line="320" w:lineRule="atLeast"/>
      <w:outlineLvl w:val="6"/>
    </w:pPr>
    <w:rPr>
      <w:rFonts w:ascii="宋体" w:hAnsi="Tms Rmn" w:eastAsia="宋体"/>
      <w:b/>
      <w:sz w:val="24"/>
    </w:rPr>
  </w:style>
  <w:style w:type="paragraph" w:styleId="827">
    <w:name w:val="Heading 8"/>
    <w:basedOn w:val="819"/>
    <w:next w:val="819"/>
    <w:uiPriority w:val="0"/>
    <w:qFormat/>
    <w:pPr>
      <w:keepLines/>
      <w:keepNext/>
      <w:spacing w:before="240" w:after="64" w:line="320" w:lineRule="auto"/>
      <w:outlineLvl w:val="7"/>
    </w:pPr>
    <w:rPr>
      <w:rFonts w:ascii="Arial" w:hAnsi="Arial" w:eastAsia="黑体"/>
      <w:sz w:val="24"/>
      <w:szCs w:val="24"/>
    </w:rPr>
  </w:style>
  <w:style w:type="paragraph" w:styleId="828">
    <w:name w:val="Heading 9"/>
    <w:basedOn w:val="819"/>
    <w:next w:val="819"/>
    <w:uiPriority w:val="0"/>
    <w:qFormat/>
    <w:pPr>
      <w:keepLines/>
      <w:keepNext/>
      <w:spacing w:before="240" w:after="64" w:line="320" w:lineRule="auto"/>
      <w:outlineLvl w:val="8"/>
    </w:pPr>
    <w:rPr>
      <w:rFonts w:ascii="Arial" w:hAnsi="Arial" w:eastAsia="黑体"/>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0"/>
    <w:semiHidden/>
    <w:qFormat/>
    <w:pPr>
      <w:ind w:left="2520"/>
    </w:pPr>
  </w:style>
  <w:style w:type="paragraph" w:styleId="832">
    <w:name w:val="index 8"/>
    <w:basedOn w:val="819"/>
    <w:next w:val="819"/>
    <w:uiPriority w:val="0"/>
    <w:semiHidden/>
    <w:qFormat/>
    <w:pPr>
      <w:ind w:left="2940"/>
    </w:pPr>
  </w:style>
  <w:style w:type="paragraph" w:styleId="833">
    <w:name w:val="List Number"/>
    <w:basedOn w:val="819"/>
    <w:uiPriority w:val="0"/>
    <w:qFormat/>
    <w:pPr>
      <w:ind w:left="1125" w:hanging="555"/>
      <w:tabs>
        <w:tab w:val="left" w:pos="1125" w:leader="none"/>
      </w:tabs>
    </w:pPr>
    <w:rPr>
      <w:rFonts w:eastAsia="宋体"/>
      <w:sz w:val="21"/>
      <w:szCs w:val="24"/>
    </w:rPr>
  </w:style>
  <w:style w:type="paragraph" w:styleId="834">
    <w:name w:val="Normal Indent"/>
    <w:basedOn w:val="819"/>
    <w:link w:val="1067"/>
    <w:uiPriority w:val="0"/>
    <w:qFormat/>
    <w:pPr>
      <w:ind w:firstLine="420"/>
      <w:jc w:val="left"/>
    </w:pPr>
    <w:rPr>
      <w:sz w:val="24"/>
    </w:rPr>
  </w:style>
  <w:style w:type="paragraph" w:styleId="835">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index 5"/>
    <w:basedOn w:val="819"/>
    <w:next w:val="819"/>
    <w:uiPriority w:val="0"/>
    <w:semiHidden/>
    <w:qFormat/>
    <w:pPr>
      <w:ind w:left="1680"/>
    </w:pPr>
  </w:style>
  <w:style w:type="paragraph" w:styleId="837">
    <w:name w:val="Document Map"/>
    <w:basedOn w:val="819"/>
    <w:uiPriority w:val="0"/>
    <w:semiHidden/>
    <w:qFormat/>
    <w:pPr>
      <w:shd w:val="clear" w:color="auto" w:fill="000080"/>
    </w:pPr>
    <w:rPr>
      <w:rFonts w:eastAsia="宋体"/>
      <w:sz w:val="21"/>
    </w:rPr>
  </w:style>
  <w:style w:type="paragraph" w:styleId="838">
    <w:name w:val="annotation text"/>
    <w:basedOn w:val="819"/>
    <w:uiPriority w:val="0"/>
    <w:semiHidden/>
    <w:qFormat/>
    <w:pPr>
      <w:jc w:val="left"/>
    </w:pPr>
  </w:style>
  <w:style w:type="paragraph" w:styleId="839">
    <w:name w:val="index 6"/>
    <w:basedOn w:val="819"/>
    <w:next w:val="819"/>
    <w:uiPriority w:val="0"/>
    <w:semiHidden/>
    <w:qFormat/>
    <w:pPr>
      <w:ind w:left="2100"/>
    </w:pPr>
  </w:style>
  <w:style w:type="paragraph" w:styleId="840">
    <w:name w:val="Body Text"/>
    <w:basedOn w:val="819"/>
    <w:uiPriority w:val="0"/>
    <w:qFormat/>
    <w:pPr>
      <w:spacing w:line="400" w:lineRule="exact"/>
    </w:pPr>
    <w:rPr>
      <w:rFonts w:ascii="楷体_GB2312"/>
      <w:sz w:val="28"/>
    </w:rPr>
  </w:style>
  <w:style w:type="paragraph" w:styleId="841">
    <w:name w:val="Body Text Indent"/>
    <w:basedOn w:val="819"/>
    <w:uiPriority w:val="0"/>
    <w:qFormat/>
    <w:pPr>
      <w:ind w:left="570"/>
      <w:spacing w:line="520" w:lineRule="exact"/>
    </w:pPr>
    <w:rPr>
      <w:rFonts w:ascii="方正仿宋简体" w:hAnsi="创艺简仿宋" w:eastAsia="方正仿宋简体"/>
      <w:sz w:val="24"/>
    </w:rPr>
  </w:style>
  <w:style w:type="paragraph" w:styleId="842">
    <w:name w:val="Block Text"/>
    <w:basedOn w:val="820"/>
    <w:next w:val="819"/>
    <w:uiPriority w:val="0"/>
    <w:qFormat/>
    <w:pPr>
      <w:ind w:left="630" w:right="-609" w:firstLine="420"/>
      <w:spacing w:line="360" w:lineRule="auto"/>
    </w:pPr>
    <w:rPr>
      <w:rFonts w:hint="eastAsia" w:ascii="仿宋_GB2312" w:eastAsia="仿宋_GB2312"/>
      <w:sz w:val="21"/>
    </w:rPr>
  </w:style>
  <w:style w:type="paragraph" w:styleId="843">
    <w:name w:val="index 4"/>
    <w:basedOn w:val="819"/>
    <w:next w:val="819"/>
    <w:uiPriority w:val="0"/>
    <w:semiHidden/>
    <w:qFormat/>
    <w:pPr>
      <w:ind w:left="1260"/>
    </w:pPr>
  </w:style>
  <w:style w:type="paragraph" w:styleId="844">
    <w:name w:val="toc 5"/>
    <w:basedOn w:val="819"/>
    <w:next w:val="819"/>
    <w:uiPriority w:val="0"/>
    <w:semiHidden/>
    <w:qFormat/>
    <w:pPr>
      <w:ind w:left="1680"/>
    </w:pPr>
  </w:style>
  <w:style w:type="paragraph" w:styleId="845">
    <w:name w:val="toc 3"/>
    <w:basedOn w:val="819"/>
    <w:next w:val="819"/>
    <w:uiPriority w:val="0"/>
    <w:semiHidden/>
    <w:qFormat/>
    <w:pPr>
      <w:ind w:left="840"/>
    </w:pPr>
  </w:style>
  <w:style w:type="paragraph" w:styleId="846">
    <w:name w:val="Plain Text"/>
    <w:basedOn w:val="819"/>
    <w:next w:val="819"/>
    <w:link w:val="1075"/>
    <w:uiPriority w:val="0"/>
    <w:qFormat/>
    <w:rPr>
      <w:rFonts w:ascii="宋体" w:hAnsi="Courier New"/>
    </w:rPr>
  </w:style>
  <w:style w:type="paragraph" w:styleId="847">
    <w:name w:val="toc 8"/>
    <w:basedOn w:val="819"/>
    <w:next w:val="819"/>
    <w:uiPriority w:val="0"/>
    <w:semiHidden/>
    <w:qFormat/>
    <w:pPr>
      <w:ind w:left="2940"/>
    </w:pPr>
  </w:style>
  <w:style w:type="paragraph" w:styleId="848">
    <w:name w:val="index 3"/>
    <w:basedOn w:val="819"/>
    <w:next w:val="819"/>
    <w:uiPriority w:val="0"/>
    <w:semiHidden/>
    <w:qFormat/>
    <w:pPr>
      <w:ind w:left="840"/>
    </w:pPr>
  </w:style>
  <w:style w:type="paragraph" w:styleId="849">
    <w:name w:val="Date"/>
    <w:basedOn w:val="819"/>
    <w:next w:val="819"/>
    <w:uiPriority w:val="0"/>
    <w:qFormat/>
    <w:rPr>
      <w:rFonts w:ascii="宋体" w:hAnsi="宋体"/>
      <w:sz w:val="24"/>
    </w:rPr>
  </w:style>
  <w:style w:type="paragraph" w:styleId="850">
    <w:name w:val="Body Text Indent 2"/>
    <w:basedOn w:val="819"/>
    <w:link w:val="1068"/>
    <w:uiPriority w:val="0"/>
    <w:qFormat/>
    <w:pPr>
      <w:ind w:firstLine="502"/>
      <w:spacing w:line="360" w:lineRule="auto"/>
      <w:tabs>
        <w:tab w:val="left" w:pos="0" w:leader="none"/>
      </w:tabs>
    </w:pPr>
    <w:rPr>
      <w:rFonts w:ascii="宋体" w:eastAsia="宋体"/>
      <w:b/>
      <w:bCs/>
      <w:sz w:val="24"/>
    </w:rPr>
  </w:style>
  <w:style w:type="paragraph" w:styleId="851">
    <w:name w:val="endnote text"/>
    <w:basedOn w:val="819"/>
    <w:link w:val="1069"/>
    <w:uiPriority w:val="0"/>
    <w:qFormat/>
    <w:pPr>
      <w:jc w:val="left"/>
    </w:pPr>
  </w:style>
  <w:style w:type="paragraph" w:styleId="852">
    <w:name w:val="Balloon Text"/>
    <w:basedOn w:val="819"/>
    <w:uiPriority w:val="0"/>
    <w:semiHidden/>
    <w:qFormat/>
    <w:rPr>
      <w:sz w:val="18"/>
      <w:szCs w:val="18"/>
    </w:rPr>
  </w:style>
  <w:style w:type="paragraph" w:styleId="853">
    <w:name w:val="Footer"/>
    <w:basedOn w:val="819"/>
    <w:uiPriority w:val="0"/>
    <w:qFormat/>
    <w:pPr>
      <w:jc w:val="left"/>
      <w:tabs>
        <w:tab w:val="center" w:pos="4153" w:leader="none"/>
        <w:tab w:val="right" w:pos="8306" w:leader="none"/>
      </w:tabs>
    </w:pPr>
    <w:rPr>
      <w:sz w:val="18"/>
    </w:rPr>
  </w:style>
  <w:style w:type="paragraph" w:styleId="854">
    <w:name w:val="envelope return"/>
    <w:basedOn w:val="819"/>
    <w:uiPriority w:val="0"/>
    <w:qFormat/>
    <w:rPr>
      <w:rFonts w:ascii="Arial" w:hAnsi="Arial"/>
    </w:rPr>
  </w:style>
  <w:style w:type="paragraph" w:styleId="855">
    <w:name w:val="Header"/>
    <w:basedOn w:val="819"/>
    <w:uiPriority w:val="0"/>
    <w:qFormat/>
    <w:pPr>
      <w:jc w:val="center"/>
      <w:tabs>
        <w:tab w:val="center" w:pos="4153" w:leader="none"/>
        <w:tab w:val="right" w:pos="8306" w:leader="none"/>
      </w:tabs>
      <w:pBdr>
        <w:bottom w:val="single" w:color="auto" w:sz="6" w:space="1"/>
      </w:pBdr>
    </w:pPr>
    <w:rPr>
      <w:sz w:val="18"/>
    </w:rPr>
  </w:style>
  <w:style w:type="paragraph" w:styleId="856">
    <w:name w:val="toc 1"/>
    <w:basedOn w:val="819"/>
    <w:next w:val="819"/>
    <w:uiPriority w:val="39"/>
    <w:qFormat/>
    <w:pPr>
      <w:jc w:val="left"/>
    </w:pPr>
    <w:rPr>
      <w:sz w:val="24"/>
    </w:rPr>
  </w:style>
  <w:style w:type="paragraph" w:styleId="857">
    <w:name w:val="toc 4"/>
    <w:basedOn w:val="819"/>
    <w:next w:val="819"/>
    <w:uiPriority w:val="0"/>
    <w:semiHidden/>
    <w:qFormat/>
    <w:pPr>
      <w:ind w:left="1260"/>
    </w:pPr>
  </w:style>
  <w:style w:type="paragraph" w:styleId="858">
    <w:name w:val="index heading"/>
    <w:basedOn w:val="819"/>
    <w:next w:val="859"/>
    <w:uiPriority w:val="0"/>
    <w:semiHidden/>
    <w:qFormat/>
  </w:style>
  <w:style w:type="paragraph" w:styleId="859">
    <w:name w:val="index 1"/>
    <w:basedOn w:val="819"/>
    <w:next w:val="819"/>
    <w:uiPriority w:val="0"/>
    <w:semiHidden/>
    <w:qFormat/>
  </w:style>
  <w:style w:type="paragraph" w:styleId="860">
    <w:name w:val="Subtitle"/>
    <w:basedOn w:val="819"/>
    <w:link w:val="1071"/>
    <w:uiPriority w:val="0"/>
    <w:qFormat/>
    <w:pPr>
      <w:jc w:val="center"/>
      <w:spacing w:before="240" w:after="60" w:line="312" w:lineRule="auto"/>
      <w:outlineLvl w:val="1"/>
    </w:pPr>
    <w:rPr>
      <w:rFonts w:ascii="Arial" w:hAnsi="Arial" w:eastAsia="宋体"/>
      <w:b/>
      <w:bCs/>
      <w:sz w:val="32"/>
      <w:szCs w:val="32"/>
    </w:rPr>
  </w:style>
  <w:style w:type="paragraph" w:styleId="861">
    <w:name w:val="List"/>
    <w:basedOn w:val="819"/>
    <w:uiPriority w:val="0"/>
    <w:qFormat/>
    <w:pPr>
      <w:contextualSpacing/>
      <w:ind w:left="200" w:hanging="200"/>
    </w:pPr>
  </w:style>
  <w:style w:type="paragraph" w:styleId="862">
    <w:name w:val="footnote text"/>
    <w:basedOn w:val="820"/>
    <w:next w:val="842"/>
    <w:uiPriority w:val="0"/>
    <w:semiHidden/>
    <w:qFormat/>
    <w:pPr>
      <w:jc w:val="left"/>
    </w:pPr>
    <w:rPr>
      <w:sz w:val="18"/>
    </w:rPr>
  </w:style>
  <w:style w:type="paragraph" w:styleId="863">
    <w:name w:val="toc 6"/>
    <w:basedOn w:val="819"/>
    <w:next w:val="819"/>
    <w:uiPriority w:val="0"/>
    <w:semiHidden/>
    <w:qFormat/>
    <w:pPr>
      <w:ind w:left="2100"/>
    </w:pPr>
  </w:style>
  <w:style w:type="paragraph" w:styleId="864">
    <w:name w:val="Body Text Indent 3"/>
    <w:basedOn w:val="819"/>
    <w:uiPriority w:val="0"/>
    <w:qFormat/>
    <w:pPr>
      <w:ind w:firstLine="617"/>
      <w:spacing w:line="360" w:lineRule="auto"/>
    </w:pPr>
    <w:rPr>
      <w:rFonts w:eastAsia="宋体"/>
      <w:sz w:val="24"/>
      <w:szCs w:val="24"/>
    </w:rPr>
  </w:style>
  <w:style w:type="paragraph" w:styleId="865">
    <w:name w:val="index 7"/>
    <w:basedOn w:val="819"/>
    <w:next w:val="819"/>
    <w:uiPriority w:val="0"/>
    <w:semiHidden/>
    <w:qFormat/>
    <w:pPr>
      <w:ind w:left="2520"/>
    </w:pPr>
  </w:style>
  <w:style w:type="paragraph" w:styleId="866">
    <w:name w:val="index 9"/>
    <w:basedOn w:val="819"/>
    <w:next w:val="819"/>
    <w:uiPriority w:val="0"/>
    <w:semiHidden/>
    <w:qFormat/>
    <w:pPr>
      <w:ind w:left="3360"/>
    </w:pPr>
  </w:style>
  <w:style w:type="paragraph" w:styleId="867">
    <w:name w:val="table of figures"/>
    <w:basedOn w:val="819"/>
    <w:next w:val="819"/>
    <w:uiPriority w:val="0"/>
    <w:semiHidden/>
    <w:qFormat/>
    <w:pPr>
      <w:ind w:left="420" w:hanging="420"/>
      <w:jc w:val="left"/>
    </w:pPr>
    <w:rPr>
      <w:smallCaps/>
      <w:sz w:val="24"/>
    </w:rPr>
  </w:style>
  <w:style w:type="paragraph" w:styleId="868">
    <w:name w:val="toc 2"/>
    <w:basedOn w:val="819"/>
    <w:next w:val="819"/>
    <w:uiPriority w:val="0"/>
    <w:semiHidden/>
    <w:qFormat/>
    <w:pPr>
      <w:ind w:left="420"/>
    </w:pPr>
  </w:style>
  <w:style w:type="paragraph" w:styleId="869">
    <w:name w:val="toc 9"/>
    <w:basedOn w:val="819"/>
    <w:next w:val="819"/>
    <w:uiPriority w:val="0"/>
    <w:semiHidden/>
    <w:qFormat/>
    <w:pPr>
      <w:ind w:left="3360"/>
    </w:pPr>
  </w:style>
  <w:style w:type="paragraph" w:styleId="870">
    <w:name w:val="Body Text 2"/>
    <w:basedOn w:val="819"/>
    <w:uiPriority w:val="0"/>
    <w:qFormat/>
    <w:pPr>
      <w:spacing w:after="120" w:line="480" w:lineRule="auto"/>
    </w:pPr>
  </w:style>
  <w:style w:type="paragraph" w:styleId="871">
    <w:name w:val="HTML Preformatted"/>
    <w:basedOn w:val="8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72">
    <w:name w:val="Normal (Web)"/>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873">
    <w:name w:val="index 2"/>
    <w:basedOn w:val="819"/>
    <w:next w:val="819"/>
    <w:uiPriority w:val="0"/>
    <w:semiHidden/>
    <w:qFormat/>
    <w:pPr>
      <w:ind w:left="420"/>
    </w:pPr>
  </w:style>
  <w:style w:type="paragraph" w:styleId="874">
    <w:name w:val="Title"/>
    <w:basedOn w:val="819"/>
    <w:next w:val="819"/>
    <w:link w:val="1132"/>
    <w:uiPriority w:val="0"/>
    <w:qFormat/>
    <w:pPr>
      <w:jc w:val="center"/>
      <w:spacing w:before="240" w:after="60"/>
      <w:outlineLvl w:val="0"/>
    </w:pPr>
    <w:rPr>
      <w:rFonts w:asciiTheme="majorHAnsi" w:hAnsiTheme="majorHAnsi" w:eastAsiaTheme="majorEastAsia" w:cstheme="majorBidi"/>
      <w:b/>
      <w:bCs/>
      <w:sz w:val="32"/>
      <w:szCs w:val="32"/>
    </w:rPr>
  </w:style>
  <w:style w:type="paragraph" w:styleId="875">
    <w:name w:val="annotation subject"/>
    <w:basedOn w:val="838"/>
    <w:next w:val="838"/>
    <w:uiPriority w:val="0"/>
    <w:semiHidden/>
    <w:qFormat/>
    <w:rPr>
      <w:b/>
      <w:bCs/>
    </w:rPr>
  </w:style>
  <w:style w:type="paragraph" w:styleId="876">
    <w:name w:val="Body Text First Indent"/>
    <w:basedOn w:val="819"/>
    <w:next w:val="819"/>
    <w:uiPriority w:val="0"/>
    <w:qFormat/>
    <w:pPr>
      <w:ind w:firstLine="420"/>
      <w:spacing w:after="120" w:line="240" w:lineRule="auto"/>
    </w:pPr>
    <w:rPr>
      <w:rFonts w:ascii="Times New Roman"/>
      <w:sz w:val="26"/>
    </w:rPr>
  </w:style>
  <w:style w:type="paragraph" w:styleId="877">
    <w:name w:val="Body Text First Indent 2"/>
    <w:basedOn w:val="841"/>
    <w:uiPriority w:val="0"/>
    <w:qFormat/>
    <w:pPr>
      <w:ind w:firstLine="420"/>
    </w:pPr>
  </w:style>
  <w:style w:type="table" w:styleId="878">
    <w:name w:val="Table Grid"/>
    <w:basedOn w:val="83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29"/>
    <w:uiPriority w:val="22"/>
    <w:qFormat/>
    <w:rPr>
      <w:b/>
      <w:bCs/>
    </w:rPr>
  </w:style>
  <w:style w:type="character" w:styleId="880">
    <w:name w:val="endnote reference"/>
    <w:uiPriority w:val="0"/>
    <w:qFormat/>
    <w:rPr>
      <w:vertAlign w:val="superscript"/>
    </w:rPr>
  </w:style>
  <w:style w:type="character" w:styleId="881">
    <w:name w:val="page number"/>
    <w:basedOn w:val="829"/>
    <w:uiPriority w:val="99"/>
    <w:qFormat/>
  </w:style>
  <w:style w:type="character" w:styleId="882">
    <w:name w:val="FollowedHyperlink"/>
    <w:uiPriority w:val="0"/>
    <w:qFormat/>
    <w:rPr>
      <w:color w:val="999999"/>
      <w:u w:val="none"/>
    </w:rPr>
  </w:style>
  <w:style w:type="character" w:styleId="883">
    <w:name w:val="Emphasis"/>
    <w:basedOn w:val="829"/>
    <w:uiPriority w:val="0"/>
    <w:qFormat/>
  </w:style>
  <w:style w:type="character" w:styleId="884">
    <w:name w:val="Hyperlink"/>
    <w:uiPriority w:val="0"/>
    <w:qFormat/>
    <w:rPr>
      <w:color w:val="333333"/>
      <w:u w:val="none"/>
    </w:rPr>
  </w:style>
  <w:style w:type="character" w:styleId="885">
    <w:name w:val="annotation reference"/>
    <w:uiPriority w:val="0"/>
    <w:qFormat/>
    <w:rPr>
      <w:sz w:val="21"/>
      <w:szCs w:val="21"/>
    </w:rPr>
  </w:style>
  <w:style w:type="character" w:styleId="886">
    <w:name w:val="footnote reference"/>
    <w:uiPriority w:val="0"/>
    <w:semiHidden/>
    <w:qFormat/>
    <w:rPr>
      <w:vertAlign w:val="superscript"/>
    </w:rPr>
  </w:style>
  <w:style w:type="paragraph" w:styleId="887" w:customStyle="1">
    <w:name w:val="段"/>
    <w:next w:val="81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88" w:customStyle="1">
    <w:name w:val="目录 71"/>
    <w:next w:val="819"/>
    <w:uiPriority w:val="0"/>
    <w:qFormat/>
    <w:pPr>
      <w:ind w:left="2125"/>
      <w:jc w:val="both"/>
    </w:pPr>
    <w:rPr>
      <w:rFonts w:hint="default" w:ascii="Times New Roman" w:hAnsi="Times New Roman" w:eastAsia="宋体" w:cs="Times New Roman"/>
      <w:sz w:val="21"/>
      <w:lang w:val="en-US" w:eastAsia="zh-CN" w:bidi="ar-SA"/>
    </w:rPr>
  </w:style>
  <w:style w:type="character" w:styleId="889" w:customStyle="1">
    <w:name w:val="Quote Char"/>
    <w:uiPriority w:val="29"/>
    <w:qFormat/>
    <w:rPr>
      <w:i/>
    </w:rPr>
  </w:style>
  <w:style w:type="character" w:styleId="890" w:customStyle="1">
    <w:name w:val="Intense Quote Char"/>
    <w:uiPriority w:val="30"/>
    <w:qFormat/>
    <w:rPr>
      <w:i/>
    </w:rPr>
  </w:style>
  <w:style w:type="table" w:styleId="891" w:customStyle="1">
    <w:name w:val="Plain Table 1"/>
    <w:basedOn w:val="8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8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8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3"/>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5 Dark"/>
    <w:basedOn w:val="8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6 Colorful"/>
    <w:basedOn w:val="8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7 Colorful"/>
    <w:basedOn w:val="8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1 Light"/>
    <w:basedOn w:val="8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2"/>
    <w:basedOn w:val="8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3"/>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5 Dark"/>
    <w:basedOn w:val="8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8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7 Colorful"/>
    <w:basedOn w:val="8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Heading 1 Char"/>
    <w:basedOn w:val="829"/>
    <w:uiPriority w:val="9"/>
    <w:qFormat/>
    <w:rPr>
      <w:rFonts w:ascii="Arial" w:hAnsi="Arial" w:eastAsia="Arial" w:cs="Arial"/>
      <w:sz w:val="40"/>
      <w:szCs w:val="40"/>
    </w:rPr>
  </w:style>
  <w:style w:type="character" w:styleId="912" w:customStyle="1">
    <w:name w:val="Heading 2 Char"/>
    <w:basedOn w:val="829"/>
    <w:uiPriority w:val="9"/>
    <w:qFormat/>
    <w:rPr>
      <w:rFonts w:ascii="Arial" w:hAnsi="Arial" w:eastAsia="Arial" w:cs="Arial"/>
      <w:sz w:val="34"/>
    </w:rPr>
  </w:style>
  <w:style w:type="character" w:styleId="913" w:customStyle="1">
    <w:name w:val="Heading 3 Char"/>
    <w:basedOn w:val="829"/>
    <w:uiPriority w:val="9"/>
    <w:qFormat/>
    <w:rPr>
      <w:rFonts w:ascii="Arial" w:hAnsi="Arial" w:eastAsia="Arial" w:cs="Arial"/>
      <w:sz w:val="30"/>
      <w:szCs w:val="30"/>
    </w:rPr>
  </w:style>
  <w:style w:type="character" w:styleId="914" w:customStyle="1">
    <w:name w:val="Heading 4 Char"/>
    <w:basedOn w:val="829"/>
    <w:uiPriority w:val="9"/>
    <w:qFormat/>
    <w:rPr>
      <w:rFonts w:ascii="Arial" w:hAnsi="Arial" w:eastAsia="Arial" w:cs="Arial"/>
      <w:b/>
      <w:bCs/>
      <w:sz w:val="26"/>
      <w:szCs w:val="26"/>
    </w:rPr>
  </w:style>
  <w:style w:type="character" w:styleId="915" w:customStyle="1">
    <w:name w:val="Heading 5 Char"/>
    <w:basedOn w:val="829"/>
    <w:uiPriority w:val="9"/>
    <w:qFormat/>
    <w:rPr>
      <w:rFonts w:ascii="Arial" w:hAnsi="Arial" w:eastAsia="Arial" w:cs="Arial"/>
      <w:b/>
      <w:bCs/>
      <w:sz w:val="24"/>
      <w:szCs w:val="24"/>
    </w:rPr>
  </w:style>
  <w:style w:type="character" w:styleId="916" w:customStyle="1">
    <w:name w:val="Heading 6 Char"/>
    <w:basedOn w:val="829"/>
    <w:uiPriority w:val="9"/>
    <w:qFormat/>
    <w:rPr>
      <w:rFonts w:ascii="Arial" w:hAnsi="Arial" w:eastAsia="Arial" w:cs="Arial"/>
      <w:b/>
      <w:bCs/>
      <w:sz w:val="22"/>
      <w:szCs w:val="22"/>
    </w:rPr>
  </w:style>
  <w:style w:type="character" w:styleId="917" w:customStyle="1">
    <w:name w:val="Heading 7 Char"/>
    <w:basedOn w:val="829"/>
    <w:uiPriority w:val="9"/>
    <w:qFormat/>
    <w:rPr>
      <w:rFonts w:ascii="Arial" w:hAnsi="Arial" w:eastAsia="Arial" w:cs="Arial"/>
      <w:b/>
      <w:bCs/>
      <w:i/>
      <w:iCs/>
      <w:sz w:val="22"/>
      <w:szCs w:val="22"/>
    </w:rPr>
  </w:style>
  <w:style w:type="character" w:styleId="918" w:customStyle="1">
    <w:name w:val="Heading 8 Char"/>
    <w:basedOn w:val="829"/>
    <w:uiPriority w:val="9"/>
    <w:qFormat/>
    <w:rPr>
      <w:rFonts w:ascii="Arial" w:hAnsi="Arial" w:eastAsia="Arial" w:cs="Arial"/>
      <w:i/>
      <w:iCs/>
      <w:sz w:val="22"/>
      <w:szCs w:val="22"/>
    </w:rPr>
  </w:style>
  <w:style w:type="character" w:styleId="919" w:customStyle="1">
    <w:name w:val="Heading 9 Char"/>
    <w:basedOn w:val="829"/>
    <w:uiPriority w:val="9"/>
    <w:qFormat/>
    <w:rPr>
      <w:rFonts w:ascii="Arial" w:hAnsi="Arial" w:eastAsia="Arial" w:cs="Arial"/>
      <w:i/>
      <w:iCs/>
      <w:sz w:val="21"/>
      <w:szCs w:val="21"/>
    </w:r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Title Char"/>
    <w:basedOn w:val="829"/>
    <w:uiPriority w:val="10"/>
    <w:qFormat/>
    <w:rPr>
      <w:sz w:val="48"/>
      <w:szCs w:val="48"/>
    </w:rPr>
  </w:style>
  <w:style w:type="character" w:styleId="922" w:customStyle="1">
    <w:name w:val="Subtitle Char"/>
    <w:basedOn w:val="829"/>
    <w:uiPriority w:val="11"/>
    <w:qFormat/>
    <w:rPr>
      <w:sz w:val="24"/>
      <w:szCs w:val="24"/>
    </w:rPr>
  </w:style>
  <w:style w:type="paragraph" w:styleId="923">
    <w:name w:val="Quote"/>
    <w:basedOn w:val="819"/>
    <w:next w:val="819"/>
    <w:link w:val="924"/>
    <w:uiPriority w:val="29"/>
    <w:qFormat/>
    <w:pPr>
      <w:ind w:left="720" w:right="720"/>
    </w:pPr>
    <w:rPr>
      <w:i/>
    </w:rPr>
  </w:style>
  <w:style w:type="character" w:styleId="924" w:customStyle="1">
    <w:name w:val="引用 Char"/>
    <w:link w:val="923"/>
    <w:uiPriority w:val="29"/>
    <w:qFormat/>
    <w:rPr>
      <w:i/>
    </w:rPr>
  </w:style>
  <w:style w:type="paragraph" w:styleId="925">
    <w:name w:val="Intense Quote"/>
    <w:basedOn w:val="819"/>
    <w:next w:val="819"/>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Char"/>
    <w:link w:val="925"/>
    <w:uiPriority w:val="30"/>
    <w:qFormat/>
    <w:rPr>
      <w:i/>
    </w:rPr>
  </w:style>
  <w:style w:type="character" w:styleId="927" w:customStyle="1">
    <w:name w:val="Header Char"/>
    <w:basedOn w:val="829"/>
    <w:uiPriority w:val="99"/>
    <w:qFormat/>
  </w:style>
  <w:style w:type="character" w:styleId="928" w:customStyle="1">
    <w:name w:val="Footer Char"/>
    <w:basedOn w:val="829"/>
    <w:uiPriority w:val="99"/>
    <w:qFormat/>
  </w:style>
  <w:style w:type="character" w:styleId="929" w:customStyle="1">
    <w:name w:val="Caption Char"/>
    <w:uiPriority w:val="99"/>
    <w:qFormat/>
  </w:style>
  <w:style w:type="table" w:styleId="930" w:customStyle="1">
    <w:name w:val="Table Grid Light"/>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无格式表格 1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3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3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3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3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3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3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3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basedOn w:val="8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basedOn w:val="8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basedOn w:val="8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basedOn w:val="8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basedOn w:val="8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basedOn w:val="8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basedOn w:val="8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3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3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3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3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3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3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3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basedOn w:val="8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basedOn w:val="8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basedOn w:val="8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basedOn w:val="8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basedOn w:val="8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basedOn w:val="8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basedOn w:val="8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basedOn w:val="8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basedOn w:val="8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basedOn w:val="8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basedOn w:val="8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3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3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basedOn w:val="83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basedOn w:val="83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basedOn w:val="83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basedOn w:val="83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basedOn w:val="83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basedOn w:val="83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3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3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3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3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3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3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basedOn w:val="8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basedOn w:val="8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basedOn w:val="8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basedOn w:val="8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basedOn w:val="8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basedOn w:val="8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basedOn w:val="8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basedOn w:val="8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basedOn w:val="8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basedOn w:val="8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basedOn w:val="8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basedOn w:val="8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basedOn w:val="8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uiPriority w:val="99"/>
    <w:qFormat/>
    <w:rPr>
      <w:sz w:val="18"/>
    </w:rPr>
  </w:style>
  <w:style w:type="character" w:styleId="1056" w:customStyle="1">
    <w:name w:val="Endnote Text Char"/>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目录 51"/>
    <w:next w:val="819"/>
    <w:uiPriority w:val="0"/>
    <w:qFormat/>
    <w:pPr>
      <w:ind w:left="1275"/>
      <w:jc w:val="both"/>
    </w:pPr>
    <w:rPr>
      <w:rFonts w:hint="default" w:ascii="Times New Roman" w:hAnsi="Times New Roman" w:eastAsia="宋体" w:cs="Times New Roman"/>
      <w:sz w:val="21"/>
      <w:lang w:val="en-US" w:eastAsia="zh-CN" w:bidi="ar-SA"/>
    </w:rPr>
  </w:style>
  <w:style w:type="paragraph" w:styleId="1059" w:customStyle="1">
    <w:name w:val="一级条标题"/>
    <w:basedOn w:val="1060"/>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0" w:customStyle="1">
    <w:name w:val="章标题"/>
    <w:next w:val="8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1" w:customStyle="1">
    <w:name w:val="style4"/>
    <w:basedOn w:val="819"/>
    <w:next w:val="1062"/>
    <w:uiPriority w:val="0"/>
    <w:qFormat/>
    <w:pPr>
      <w:spacing w:before="280" w:after="280"/>
      <w:widowControl/>
    </w:pPr>
    <w:rPr>
      <w:rFonts w:ascii="宋体"/>
      <w:sz w:val="18"/>
    </w:rPr>
  </w:style>
  <w:style w:type="paragraph" w:styleId="1062" w:customStyle="1">
    <w:name w:val="2"/>
    <w:next w:val="819"/>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63" w:customStyle="1">
    <w:name w:val="font01"/>
    <w:uiPriority w:val="0"/>
    <w:qFormat/>
    <w:rPr>
      <w:rFonts w:hint="eastAsia" w:ascii="宋体" w:hAnsi="宋体" w:eastAsia="宋体" w:cs="宋体"/>
      <w:color w:val="000000"/>
      <w:sz w:val="22"/>
      <w:szCs w:val="22"/>
      <w:u w:val="none"/>
    </w:rPr>
  </w:style>
  <w:style w:type="character" w:styleId="1064" w:customStyle="1">
    <w:name w:val="_正文段落 Char"/>
    <w:link w:val="1065"/>
    <w:uiPriority w:val="0"/>
    <w:qFormat/>
    <w:rPr>
      <w:rFonts w:ascii="宋体" w:hAnsi="宋体"/>
      <w:sz w:val="24"/>
      <w:szCs w:val="24"/>
    </w:rPr>
  </w:style>
  <w:style w:type="paragraph" w:styleId="1065" w:customStyle="1">
    <w:name w:val="_正文段落"/>
    <w:basedOn w:val="819"/>
    <w:link w:val="1064"/>
    <w:uiPriority w:val="0"/>
    <w:qFormat/>
    <w:pPr>
      <w:ind w:firstLine="480"/>
      <w:spacing w:line="360" w:lineRule="auto"/>
    </w:pPr>
    <w:rPr>
      <w:rFonts w:ascii="宋体" w:hAnsi="宋体" w:eastAsia="宋体"/>
      <w:sz w:val="24"/>
      <w:szCs w:val="24"/>
    </w:rPr>
  </w:style>
  <w:style w:type="character" w:styleId="1066" w:customStyle="1">
    <w:name w:val="ca-221"/>
    <w:uiPriority w:val="0"/>
    <w:qFormat/>
    <w:rPr>
      <w:rFonts w:hint="eastAsia" w:ascii="宋体" w:hAnsi="宋体" w:eastAsia="宋体"/>
      <w:color w:val="ff0000"/>
      <w:sz w:val="24"/>
      <w:szCs w:val="24"/>
    </w:rPr>
  </w:style>
  <w:style w:type="character" w:styleId="1067" w:customStyle="1">
    <w:name w:val="正文缩进 Char"/>
    <w:link w:val="834"/>
    <w:uiPriority w:val="0"/>
    <w:qFormat/>
    <w:rPr>
      <w:rFonts w:eastAsia="楷体_GB2312"/>
      <w:sz w:val="24"/>
      <w:lang w:val="en-US" w:eastAsia="zh-CN" w:bidi="ar-SA"/>
    </w:rPr>
  </w:style>
  <w:style w:type="character" w:styleId="1068" w:customStyle="1">
    <w:name w:val="正文文本缩进 2 Char"/>
    <w:link w:val="850"/>
    <w:uiPriority w:val="0"/>
    <w:qFormat/>
    <w:rPr>
      <w:rFonts w:ascii="宋体"/>
      <w:b/>
      <w:bCs/>
      <w:sz w:val="24"/>
    </w:rPr>
  </w:style>
  <w:style w:type="character" w:styleId="1069" w:customStyle="1">
    <w:name w:val="尾注文本 Char"/>
    <w:link w:val="851"/>
    <w:uiPriority w:val="0"/>
    <w:qFormat/>
    <w:rPr>
      <w:rFonts w:eastAsia="楷体_GB2312"/>
      <w:sz w:val="26"/>
    </w:rPr>
  </w:style>
  <w:style w:type="character" w:styleId="1070" w:customStyle="1">
    <w:name w:val="font51"/>
    <w:uiPriority w:val="0"/>
    <w:qFormat/>
    <w:rPr>
      <w:rFonts w:hint="eastAsia" w:ascii="宋体" w:hAnsi="宋体" w:eastAsia="宋体" w:cs="宋体"/>
      <w:color w:val="000000"/>
      <w:sz w:val="16"/>
      <w:szCs w:val="16"/>
      <w:u w:val="none"/>
    </w:rPr>
  </w:style>
  <w:style w:type="character" w:styleId="1071" w:customStyle="1">
    <w:name w:val="副标题 Char"/>
    <w:link w:val="860"/>
    <w:uiPriority w:val="0"/>
    <w:qFormat/>
    <w:rPr>
      <w:rFonts w:ascii="Arial" w:hAnsi="Arial" w:cs="Arial"/>
      <w:b/>
      <w:bCs/>
      <w:sz w:val="32"/>
      <w:szCs w:val="32"/>
    </w:rPr>
  </w:style>
  <w:style w:type="character" w:styleId="1072" w:customStyle="1">
    <w:name w:val="font61"/>
    <w:basedOn w:val="829"/>
    <w:uiPriority w:val="0"/>
    <w:qFormat/>
    <w:rPr>
      <w:rFonts w:hint="eastAsia" w:ascii="宋体" w:hAnsi="宋体" w:eastAsia="宋体" w:cs="宋体"/>
      <w:color w:val="000000"/>
      <w:sz w:val="20"/>
      <w:szCs w:val="20"/>
      <w:u w:val="none"/>
    </w:rPr>
  </w:style>
  <w:style w:type="character" w:styleId="1073" w:customStyle="1">
    <w:name w:val="font11"/>
    <w:basedOn w:val="829"/>
    <w:uiPriority w:val="0"/>
    <w:qFormat/>
    <w:rPr>
      <w:rFonts w:hint="eastAsia" w:ascii="微软雅黑" w:hAnsi="微软雅黑" w:eastAsia="微软雅黑" w:cs="微软雅黑"/>
      <w:color w:val="000000"/>
      <w:sz w:val="18"/>
      <w:szCs w:val="18"/>
      <w:u w:val="none"/>
    </w:rPr>
  </w:style>
  <w:style w:type="character" w:styleId="1074" w:customStyle="1">
    <w:name w:val="fontstyle01"/>
    <w:uiPriority w:val="0"/>
    <w:qFormat/>
    <w:rPr>
      <w:rFonts w:hint="eastAsia" w:ascii="宋体" w:hAnsi="宋体" w:eastAsia="宋体"/>
      <w:color w:val="000000"/>
      <w:sz w:val="22"/>
      <w:szCs w:val="22"/>
    </w:rPr>
  </w:style>
  <w:style w:type="character" w:styleId="1075" w:customStyle="1">
    <w:name w:val="纯文本 Char"/>
    <w:link w:val="846"/>
    <w:uiPriority w:val="0"/>
    <w:qFormat/>
    <w:rPr>
      <w:rFonts w:ascii="宋体" w:hAnsi="Courier New" w:eastAsia="楷体_GB2312"/>
      <w:sz w:val="26"/>
      <w:lang w:val="en-US" w:eastAsia="zh-CN" w:bidi="ar-SA"/>
    </w:rPr>
  </w:style>
  <w:style w:type="character" w:styleId="1076" w:customStyle="1">
    <w:name w:val="font112"/>
    <w:uiPriority w:val="0"/>
    <w:qFormat/>
    <w:rPr>
      <w:rFonts w:hint="eastAsia" w:ascii="宋体" w:hAnsi="宋体" w:eastAsia="宋体" w:cs="宋体"/>
      <w:color w:val="000000"/>
      <w:sz w:val="16"/>
      <w:szCs w:val="16"/>
      <w:u w:val="none"/>
    </w:rPr>
  </w:style>
  <w:style w:type="character" w:styleId="1077" w:customStyle="1">
    <w:name w:val="font41"/>
    <w:uiPriority w:val="0"/>
    <w:qFormat/>
    <w:rPr>
      <w:rFonts w:ascii="宋体" w:hAnsi="宋体" w:eastAsia="宋体" w:cs="宋体"/>
      <w:b/>
      <w:color w:val="000000"/>
      <w:sz w:val="18"/>
      <w:szCs w:val="18"/>
      <w:u w:val="none"/>
    </w:rPr>
  </w:style>
  <w:style w:type="character" w:styleId="1078" w:customStyle="1">
    <w:name w:val="font31"/>
    <w:uiPriority w:val="0"/>
    <w:qFormat/>
    <w:rPr>
      <w:rFonts w:hint="default" w:ascii="Tahoma" w:hAnsi="Tahoma" w:eastAsia="Tahoma" w:cs="Tahoma"/>
      <w:color w:val="000000"/>
      <w:sz w:val="22"/>
      <w:szCs w:val="22"/>
      <w:u w:val="none"/>
    </w:rPr>
  </w:style>
  <w:style w:type="character" w:styleId="1079" w:customStyle="1">
    <w:name w:val="标题 3 Char"/>
    <w:link w:val="822"/>
    <w:uiPriority w:val="0"/>
    <w:qFormat/>
    <w:rPr>
      <w:rFonts w:hint="eastAsia" w:ascii="楷体_GB2312" w:eastAsia="楷体_GB2312" w:cs="楷体_GB2312"/>
      <w:b/>
      <w:sz w:val="32"/>
      <w:szCs w:val="32"/>
    </w:rPr>
  </w:style>
  <w:style w:type="paragraph" w:styleId="1080" w:customStyle="1">
    <w:name w:val="font6"/>
    <w:basedOn w:val="819"/>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81" w:customStyle="1">
    <w:name w:val="xl50"/>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2" w:customStyle="1">
    <w:name w:val="列表段落1"/>
    <w:basedOn w:val="819"/>
    <w:uiPriority w:val="34"/>
    <w:qFormat/>
    <w:pPr>
      <w:ind w:firstLine="420"/>
    </w:pPr>
  </w:style>
  <w:style w:type="paragraph" w:styleId="1083" w:customStyle="1">
    <w:name w:val="xl53"/>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4" w:customStyle="1">
    <w:name w:val="正文1"/>
    <w:next w:val="819"/>
    <w:uiPriority w:val="0"/>
    <w:qFormat/>
    <w:pPr>
      <w:ind w:firstLine="200"/>
      <w:jc w:val="both"/>
      <w:widowControl w:val="off"/>
    </w:pPr>
    <w:rPr>
      <w:rFonts w:hint="default" w:ascii="Times New Roman" w:hAnsi="Times New Roman" w:eastAsia="仿宋_GB2312" w:cs="Times New Roman"/>
      <w:sz w:val="24"/>
      <w:lang w:val="en-US" w:eastAsia="zh-CN" w:bidi="ar-SA"/>
    </w:rPr>
  </w:style>
  <w:style w:type="paragraph" w:styleId="1085" w:customStyle="1">
    <w:name w:val="xl56"/>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6" w:customStyle="1">
    <w:name w:val="xl61"/>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7" w:customStyle="1">
    <w:name w:val="Char"/>
    <w:basedOn w:val="819"/>
    <w:uiPriority w:val="0"/>
    <w:qFormat/>
    <w:rPr>
      <w:rFonts w:ascii="Tahoma" w:hAnsi="Tahoma" w:eastAsia="宋体"/>
      <w:sz w:val="24"/>
    </w:rPr>
  </w:style>
  <w:style w:type="paragraph" w:styleId="1088" w:customStyle="1">
    <w:name w:val="xl51"/>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9" w:customStyle="1">
    <w:name w:val="列出段落1"/>
    <w:basedOn w:val="819"/>
    <w:uiPriority w:val="34"/>
    <w:qFormat/>
    <w:pPr>
      <w:ind w:firstLine="420"/>
    </w:pPr>
    <w:rPr>
      <w:rFonts w:ascii="Calibri" w:hAnsi="Calibri" w:eastAsia="宋体"/>
      <w:sz w:val="21"/>
      <w:szCs w:val="22"/>
    </w:rPr>
  </w:style>
  <w:style w:type="paragraph" w:styleId="1090" w:customStyle="1">
    <w:name w:val="xl66"/>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xl57"/>
    <w:basedOn w:val="8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2" w:customStyle="1">
    <w:name w:val="纯文本4"/>
    <w:basedOn w:val="819"/>
    <w:uiPriority w:val="0"/>
    <w:qFormat/>
    <w:rPr>
      <w:rFonts w:ascii="宋体" w:hAnsi="Courier New"/>
    </w:rPr>
  </w:style>
  <w:style w:type="paragraph" w:styleId="1093">
    <w:name w:val="List Paragraph"/>
    <w:basedOn w:val="819"/>
    <w:uiPriority w:val="34"/>
    <w:qFormat/>
    <w:pPr>
      <w:spacing w:line="360" w:lineRule="auto"/>
      <w:framePr w:hSpace="180" w:wrap="around" w:vAnchor="text" w:hAnchor="page" w:x="1780" w:y="85"/>
    </w:pPr>
    <w:rPr>
      <w:rFonts w:eastAsia="宋体"/>
      <w:sz w:val="21"/>
      <w:szCs w:val="24"/>
    </w:rPr>
  </w:style>
  <w:style w:type="paragraph" w:styleId="1094" w:customStyle="1">
    <w:name w:val="Char1"/>
    <w:basedOn w:val="819"/>
    <w:uiPriority w:val="0"/>
    <w:qFormat/>
    <w:pPr>
      <w:jc w:val="left"/>
      <w:spacing w:after="160" w:line="240" w:lineRule="exact"/>
      <w:widowControl/>
    </w:pPr>
    <w:rPr>
      <w:rFonts w:ascii="Verdana" w:hAnsi="Verdana" w:eastAsia="仿宋_GB2312"/>
      <w:sz w:val="24"/>
      <w:lang w:eastAsia="en-US"/>
    </w:rPr>
  </w:style>
  <w:style w:type="paragraph" w:styleId="1095" w:customStyle="1">
    <w:name w:val="xl49"/>
    <w:basedOn w:val="81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6" w:customStyle="1">
    <w:name w:val="首行缩进"/>
    <w:basedOn w:val="819"/>
    <w:uiPriority w:val="0"/>
    <w:qFormat/>
    <w:pPr>
      <w:ind w:firstLine="480"/>
    </w:pPr>
    <w:rPr>
      <w:lang w:val="zh-CN"/>
    </w:rPr>
  </w:style>
  <w:style w:type="paragraph" w:styleId="1097" w:customStyle="1">
    <w:name w:val="xl63"/>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8" w:customStyle="1">
    <w:name w:val="xl45"/>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9" w:customStyle="1">
    <w:name w:val="正文首行缩进两字符"/>
    <w:basedOn w:val="819"/>
    <w:uiPriority w:val="0"/>
    <w:qFormat/>
    <w:pPr>
      <w:ind w:firstLine="200"/>
      <w:spacing w:line="360" w:lineRule="auto"/>
    </w:pPr>
    <w:rPr>
      <w:rFonts w:eastAsia="宋体"/>
      <w:sz w:val="21"/>
      <w:szCs w:val="24"/>
    </w:rPr>
  </w:style>
  <w:style w:type="paragraph" w:styleId="1100" w:customStyle="1">
    <w:name w:val="xl60"/>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xl59"/>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Default Paragraph Font Para Char"/>
    <w:basedOn w:val="819"/>
    <w:uiPriority w:val="0"/>
    <w:semiHidden/>
    <w:qFormat/>
    <w:pPr>
      <w:jc w:val="left"/>
      <w:spacing w:after="160" w:line="240" w:lineRule="exact"/>
      <w:widowControl/>
    </w:pPr>
    <w:rPr>
      <w:rFonts w:ascii="Verdana" w:hAnsi="Verdana" w:eastAsia="宋体"/>
      <w:sz w:val="20"/>
      <w:lang w:eastAsia="en-US"/>
    </w:rPr>
  </w:style>
  <w:style w:type="paragraph" w:styleId="1103" w:customStyle="1">
    <w:name w:val="List Paragraph1"/>
    <w:basedOn w:val="819"/>
    <w:uiPriority w:val="0"/>
    <w:qFormat/>
    <w:pPr>
      <w:ind w:firstLine="420"/>
    </w:pPr>
    <w:rPr>
      <w:rFonts w:ascii="Calibri" w:hAnsi="Calibri" w:eastAsia="宋体"/>
      <w:sz w:val="21"/>
      <w:szCs w:val="22"/>
    </w:rPr>
  </w:style>
  <w:style w:type="paragraph" w:styleId="1104" w:customStyle="1">
    <w:name w:val="xl54"/>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5" w:customStyle="1">
    <w:name w:val="正文 A A"/>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paragraph" w:styleId="1106" w:customStyle="1">
    <w:name w:val="xl52"/>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Body 1"/>
    <w:uiPriority w:val="0"/>
    <w:qFormat/>
    <w:rPr>
      <w:rFonts w:hint="default" w:ascii="Helvetica" w:hAnsi="Helvetica" w:eastAsia="Arial Unicode MS" w:cs="Times New Roman"/>
      <w:color w:val="000000"/>
      <w:sz w:val="24"/>
      <w:lang w:val="en-US" w:eastAsia="zh-CN" w:bidi="ar-SA"/>
    </w:rPr>
  </w:style>
  <w:style w:type="paragraph" w:styleId="1108" w:customStyle="1">
    <w:name w:val="xl47"/>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9" w:customStyle="1">
    <w:name w:val="小四 段落 宋体 Char"/>
    <w:basedOn w:val="833"/>
    <w:uiPriority w:val="0"/>
    <w:qFormat/>
    <w:pPr>
      <w:ind w:left="0" w:right="-33" w:firstLine="480"/>
      <w:jc w:val="left"/>
      <w:spacing w:line="360" w:lineRule="auto"/>
      <w:tabs>
        <w:tab w:val="clear" w:pos="1125" w:leader="none"/>
      </w:tabs>
    </w:pPr>
    <w:rPr>
      <w:sz w:val="24"/>
    </w:rPr>
  </w:style>
  <w:style w:type="paragraph" w:styleId="1110" w:customStyle="1">
    <w:name w:val="xl58"/>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小四 段落 宋体 Char Char Char Char Char Char Char"/>
    <w:basedOn w:val="833"/>
    <w:uiPriority w:val="0"/>
    <w:semiHidden/>
    <w:qFormat/>
    <w:pPr>
      <w:ind w:left="0" w:right="-33" w:firstLine="545"/>
      <w:jc w:val="left"/>
      <w:spacing w:line="360" w:lineRule="auto"/>
      <w:tabs>
        <w:tab w:val="clear" w:pos="1125" w:leader="none"/>
      </w:tabs>
    </w:pPr>
    <w:rPr>
      <w:sz w:val="24"/>
    </w:rPr>
  </w:style>
  <w:style w:type="paragraph" w:styleId="1112" w:customStyle="1">
    <w:name w:val="Char Char Char"/>
    <w:basedOn w:val="819"/>
    <w:uiPriority w:val="0"/>
    <w:qFormat/>
    <w:rPr>
      <w:rFonts w:ascii="Tahoma" w:hAnsi="Tahoma" w:eastAsia="宋体"/>
      <w:sz w:val="24"/>
    </w:rPr>
  </w:style>
  <w:style w:type="paragraph" w:styleId="1113" w:customStyle="1">
    <w:name w:val="纯文本1"/>
    <w:basedOn w:val="819"/>
    <w:uiPriority w:val="0"/>
    <w:qFormat/>
    <w:pPr>
      <w:ind w:firstLine="520"/>
      <w:jc w:val="right"/>
      <w:spacing w:line="360" w:lineRule="auto"/>
    </w:pPr>
    <w:rPr>
      <w:rFonts w:ascii="宋体" w:hAnsi="Courier New"/>
    </w:rPr>
  </w:style>
  <w:style w:type="paragraph" w:styleId="1114" w:customStyle="1">
    <w:name w:val="xl64"/>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5" w:customStyle="1">
    <w:name w:val="xl55"/>
    <w:basedOn w:val="81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6" w:customStyle="1">
    <w:name w:val="xl46"/>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xl62"/>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18" w:customStyle="1">
    <w:name w:val="xl48"/>
    <w:basedOn w:val="8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9" w:customStyle="1">
    <w:name w:val="_Style 30"/>
    <w:basedOn w:val="819"/>
    <w:next w:val="846"/>
    <w:uiPriority w:val="0"/>
    <w:qFormat/>
    <w:rPr>
      <w:rFonts w:ascii="宋体" w:hAnsi="Courier New"/>
    </w:rPr>
  </w:style>
  <w:style w:type="paragraph" w:styleId="1120" w:customStyle="1">
    <w:name w:val="小四 段落 宋体 Char Char Char Char Char Char"/>
    <w:basedOn w:val="1111"/>
    <w:uiPriority w:val="0"/>
    <w:qFormat/>
    <w:pPr>
      <w:ind w:firstLine="480"/>
    </w:pPr>
    <w:rPr>
      <w:rFonts w:ascii="宋体" w:hAnsi="宋体"/>
    </w:rPr>
  </w:style>
  <w:style w:type="paragraph" w:styleId="1121" w:customStyle="1">
    <w:name w:val="font5"/>
    <w:basedOn w:val="819"/>
    <w:uiPriority w:val="0"/>
    <w:qFormat/>
    <w:pPr>
      <w:jc w:val="left"/>
      <w:spacing w:before="100" w:beforeAutospacing="1" w:after="100" w:afterAutospacing="1"/>
      <w:widowControl/>
    </w:pPr>
    <w:rPr>
      <w:rFonts w:hint="eastAsia" w:ascii="宋体" w:hAnsi="宋体" w:eastAsia="宋体"/>
      <w:sz w:val="18"/>
      <w:szCs w:val="18"/>
    </w:rPr>
  </w:style>
  <w:style w:type="paragraph" w:styleId="1122" w:customStyle="1">
    <w:name w:val="style1"/>
    <w:basedOn w:val="819"/>
    <w:uiPriority w:val="0"/>
    <w:qFormat/>
    <w:pPr>
      <w:jc w:val="left"/>
      <w:spacing w:before="100" w:beforeAutospacing="1" w:after="100" w:afterAutospacing="1"/>
      <w:widowControl/>
    </w:pPr>
    <w:rPr>
      <w:rFonts w:ascii="宋体" w:hAnsi="宋体" w:eastAsia="宋体" w:cs="宋体"/>
      <w:sz w:val="24"/>
      <w:szCs w:val="24"/>
    </w:rPr>
  </w:style>
  <w:style w:type="paragraph" w:styleId="1123" w:customStyle="1">
    <w:name w:val="xl65"/>
    <w:basedOn w:val="8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p0"/>
    <w:basedOn w:val="819"/>
    <w:uiPriority w:val="0"/>
    <w:qFormat/>
    <w:pPr>
      <w:jc w:val="left"/>
      <w:widowControl/>
    </w:pPr>
    <w:rPr>
      <w:rFonts w:eastAsia="宋体"/>
      <w:sz w:val="24"/>
      <w:szCs w:val="24"/>
    </w:rPr>
  </w:style>
  <w:style w:type="paragraph" w:styleId="1125" w:customStyle="1">
    <w:name w:val="正文2"/>
    <w:uiPriority w:val="0"/>
    <w:qFormat/>
    <w:pPr>
      <w:jc w:val="both"/>
    </w:pPr>
    <w:rPr>
      <w:rFonts w:hint="default" w:ascii="Times New Roman" w:hAnsi="Times New Roman" w:eastAsia="宋体" w:cs="Times New Roman"/>
      <w:sz w:val="21"/>
      <w:szCs w:val="21"/>
      <w:lang w:val="en-US" w:eastAsia="zh-CN" w:bidi="ar-SA"/>
    </w:rPr>
  </w:style>
  <w:style w:type="character" w:styleId="1126" w:customStyle="1">
    <w:name w:val="font21"/>
    <w:basedOn w:val="829"/>
    <w:uiPriority w:val="0"/>
    <w:qFormat/>
    <w:rPr>
      <w:rFonts w:hint="eastAsia" w:ascii="MingLiU" w:hAnsi="MingLiU" w:eastAsia="MingLiU" w:cs="MingLiU"/>
      <w:b/>
      <w:bCs/>
      <w:color w:val="000000"/>
      <w:sz w:val="18"/>
      <w:szCs w:val="18"/>
      <w:u w:val="none"/>
    </w:rPr>
  </w:style>
  <w:style w:type="paragraph" w:styleId="1127" w:customStyle="1">
    <w:name w:val="表格文字"/>
    <w:basedOn w:val="841"/>
    <w:next w:val="840"/>
    <w:uiPriority w:val="0"/>
    <w:qFormat/>
    <w:pPr>
      <w:ind w:left="0"/>
    </w:pPr>
    <w:rPr>
      <w:rFonts w:ascii="Times New Roman" w:hAnsi="Times New Roman"/>
      <w:bCs/>
      <w:spacing w:val="10"/>
    </w:rPr>
  </w:style>
  <w:style w:type="paragraph" w:styleId="1128" w:customStyle="1">
    <w:name w:val="标准文件_标准正文"/>
    <w:basedOn w:val="819"/>
    <w:next w:val="1129"/>
    <w:uiPriority w:val="0"/>
    <w:qFormat/>
    <w:pPr>
      <w:ind w:firstLine="200"/>
      <w:spacing w:line="400" w:lineRule="exact"/>
    </w:pPr>
    <w:rPr>
      <w:rFonts w:eastAsia="宋体"/>
    </w:rPr>
  </w:style>
  <w:style w:type="paragraph" w:styleId="1129"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31" w:customStyle="1">
    <w:name w:val="Table Paragraph"/>
    <w:basedOn w:val="819"/>
    <w:uiPriority w:val="1"/>
    <w:qFormat/>
    <w:rPr>
      <w:rFonts w:ascii="宋体" w:hAnsi="宋体" w:eastAsia="宋体" w:cs="宋体"/>
    </w:rPr>
  </w:style>
  <w:style w:type="character" w:styleId="1132" w:customStyle="1">
    <w:name w:val="标题 Char"/>
    <w:basedOn w:val="829"/>
    <w:link w:val="874"/>
    <w:uiPriority w:val="0"/>
    <w:qFormat/>
    <w:rPr>
      <w:rFonts w:asciiTheme="majorHAnsi" w:hAnsiTheme="majorHAnsi" w:eastAsiaTheme="majorEastAsia" w:cstheme="majorBidi"/>
      <w:b/>
      <w:bCs/>
      <w:sz w:val="32"/>
      <w:szCs w:val="32"/>
    </w:rPr>
  </w:style>
  <w:style w:type="paragraph" w:styleId="1133" w:customStyle="1">
    <w:name w:val="修订1"/>
    <w:hidden/>
    <w:uiPriority w:val="99"/>
    <w:unhideWhenUsed/>
    <w:qFormat/>
    <w:rPr>
      <w:rFonts w:hint="default" w:ascii="Times New Roman" w:hAnsi="Times New Roman" w:eastAsia="楷体_GB2312" w:cs="Times New Roman"/>
      <w:sz w:val="26"/>
      <w:lang w:val="en-US" w:eastAsia="zh-CN" w:bidi="ar-SA"/>
    </w:rPr>
  </w:style>
  <w:style w:type="paragraph" w:styleId="1134"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35" w:customStyle="1">
    <w:name w:val="null3"/>
    <w:hidden/>
    <w:uiPriority w:val="0"/>
    <w:qFormat/>
    <w:rPr>
      <w:rFonts w:hint="eastAsia" w:asciiTheme="minorHAnsi" w:hAnsiTheme="minorHAnsi" w:eastAsiaTheme="minorEastAsia" w:cstheme="minorBidi"/>
      <w:lang w:val="en-US" w:eastAsia="zh-CN" w:bidi="ar-SA"/>
    </w:rPr>
  </w:style>
  <w:style w:type="character" w:styleId="1136" w:customStyle="1">
    <w:name w:val="NormalCharacter"/>
    <w:uiPriority w:val="0"/>
    <w:semiHidden/>
    <w:qFormat/>
  </w:style>
  <w:style w:type="paragraph" w:styleId="1137" w:customStyle="1">
    <w:name w:val="UserStyle_13"/>
    <w:basedOn w:val="819"/>
    <w:uiPriority w:val="0"/>
    <w:qFormat/>
    <w:pPr>
      <w:ind w:firstLine="420"/>
      <w:widowControl/>
    </w:pPr>
    <w:rPr>
      <w:rFonts w:ascii="宋体"/>
      <w:sz w:val="24"/>
    </w:rPr>
  </w:style>
  <w:style w:type="paragraph" w:styleId="1138" w:customStyle="1">
    <w:name w:val="正文缩进111"/>
    <w:basedOn w:val="819"/>
    <w:next w:val="819"/>
    <w:uiPriority w:val="0"/>
    <w:qFormat/>
    <w:pPr>
      <w:ind w:firstLine="420"/>
      <w:jc w:val="left"/>
    </w:pPr>
    <w:rPr>
      <w:sz w:val="24"/>
    </w:rPr>
  </w:style>
  <w:style w:type="paragraph" w:styleId="1139" w:customStyle="1">
    <w:name w:val="正文文本缩进1"/>
    <w:basedOn w:val="1140"/>
    <w:next w:val="819"/>
    <w:uiPriority w:val="0"/>
    <w:qFormat/>
    <w:pPr>
      <w:ind w:left="420" w:firstLine="3584"/>
      <w:spacing w:before="0" w:after="120" w:line="240" w:lineRule="auto"/>
    </w:pPr>
  </w:style>
  <w:style w:type="paragraph" w:styleId="1140" w:customStyle="1">
    <w:name w:val="标题 11"/>
    <w:basedOn w:val="819"/>
    <w:next w:val="819"/>
    <w:uiPriority w:val="0"/>
    <w:qFormat/>
    <w:pPr>
      <w:keepLines/>
      <w:keepNext/>
      <w:spacing w:before="340" w:after="330" w:line="578" w:lineRule="auto"/>
      <w:outlineLvl w:val="0"/>
    </w:pPr>
    <w:rPr>
      <w:b/>
      <w:sz w:val="44"/>
    </w:rPr>
  </w:style>
  <w:style w:type="table" w:styleId="1141" w:customStyle="1">
    <w:name w:val="Table Normal"/>
    <w:uiPriority w:val="0"/>
    <w:unhideWhenUsed/>
    <w:qFormat/>
    <w:tblPr>
      <w:tblCellMar>
        <w:left w:w="0" w:type="dxa"/>
        <w:top w:w="0" w:type="dxa"/>
        <w:right w:w="0" w:type="dxa"/>
        <w:bottom w:w="0" w:type="dxa"/>
      </w:tblCellMar>
    </w:tblPr>
  </w:style>
  <w:style w:type="paragraph" w:styleId="1142" w:customStyle="1">
    <w:name w:val="Table Text"/>
    <w:basedOn w:val="819"/>
    <w:uiPriority w:val="0"/>
    <w:semiHidden/>
    <w:qFormat/>
    <w:rPr>
      <w:rFonts w:ascii="Arial" w:hAnsi="Arial" w:eastAsia="Arial" w:cs="Arial"/>
      <w:sz w:val="21"/>
      <w:szCs w:val="21"/>
      <w:lang w:val="en-US" w:eastAsia="en-US" w:bidi="ar-SA"/>
    </w:r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8B5F4E-3DF3-49B4-A59D-9A60FE3B17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钟雅婷</cp:lastModifiedBy>
  <cp:revision>15</cp:revision>
  <dcterms:created xsi:type="dcterms:W3CDTF">2024-09-23T03:14:00Z</dcterms:created>
  <dcterms:modified xsi:type="dcterms:W3CDTF">2026-09-23T07:54:46Z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DB50233C4F0C49D898AFAA816E85D887_13</vt:lpwstr>
  </property>
  <property fmtid="{D5CDD505-2E9C-101B-9397-08002B2CF9AE}" pid="4" name="KSOTemplateDocerSaveRecord">
    <vt:lpwstr>eyJoZGlkIjoiMTk3YTM3OTRiNzI0NDZiNTM2NGY3ZmZmMTViMThmYjQiLCJ1c2VySWQiOiI0MTQ1MjkwNzEifQ==</vt:lpwstr>
  </property>
</Properties>
</file>