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center"/>
        <w:rPr>
          <w:rFonts w:ascii="黑体" w:hAnsi="黑体" w:eastAsia="黑体"/>
          <w:b/>
          <w:sz w:val="84"/>
          <w:szCs w:val="84"/>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rPr>
        <w:t xml:space="preserve">招　标　文　件</w:t>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jc w:val="center"/>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项目名称：2026年度采购项目第四批-设备：气相色谱仪、电感耦合等离子体光谱仪等</w:t>
      </w:r>
      <w:r/>
    </w:p>
    <w:p>
      <w:pPr>
        <w:spacing w:line="480" w:lineRule="auto"/>
        <w:rPr>
          <w:rFonts w:hint="eastAsia" w:ascii="黑体" w:hAnsi="Arial" w:eastAsia="宋体"/>
          <w:b/>
          <w:sz w:val="44"/>
          <w:szCs w:val="21"/>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项目编号：</w:t>
      </w:r>
      <w:r>
        <w:rPr>
          <w:rFonts w:hint="eastAsia" w:ascii="Arial" w:hAnsi="Arial"/>
          <w:b/>
          <w:bCs/>
          <w:sz w:val="32"/>
          <w:szCs w:val="24"/>
          <w:lang w:eastAsia="zh-CN"/>
        </w:rPr>
        <w:t xml:space="preserve">JSZC-320700-XHZX-G2026-0035</w:t>
      </w:r>
      <w:r/>
    </w:p>
    <w:p>
      <w:pPr>
        <w:spacing w:line="480" w:lineRule="auto"/>
        <w:rPr>
          <w:rFonts w:ascii="黑体" w:hAnsi="Arial" w:eastAsia="黑体"/>
          <w:b/>
          <w:sz w:val="44"/>
          <w:szCs w:val="21"/>
        </w:rPr>
        <w:pBdr>
          <w:top w:val="none" w:color="auto" w:sz="0" w:space="1"/>
          <w:left w:val="none" w:color="auto" w:sz="0" w:space="4"/>
          <w:bottom w:val="none" w:color="auto" w:sz="0" w:space="1"/>
          <w:right w:val="none" w:color="auto" w:sz="0" w:space="4"/>
        </w:pBdr>
      </w:pPr>
      <w:r>
        <w:rPr>
          <w:rFonts w:ascii="黑体" w:hAnsi="Arial" w:eastAsia="黑体"/>
          <w:b/>
          <w:sz w:val="44"/>
          <w:szCs w:val="21"/>
        </w:rPr>
      </w:r>
      <w:r/>
    </w:p>
    <w:p>
      <w:pPr>
        <w:spacing w:line="480" w:lineRule="auto"/>
        <w:rPr>
          <w:rFonts w:ascii="黑体" w:hAnsi="Arial" w:eastAsia="黑体"/>
          <w:b/>
          <w:sz w:val="44"/>
          <w:szCs w:val="21"/>
        </w:rPr>
        <w:pBdr>
          <w:top w:val="none" w:color="auto" w:sz="0" w:space="1"/>
          <w:left w:val="none" w:color="auto" w:sz="0" w:space="4"/>
          <w:bottom w:val="none" w:color="auto" w:sz="0" w:space="1"/>
          <w:right w:val="none" w:color="auto" w:sz="0" w:space="4"/>
        </w:pBdr>
      </w:pPr>
      <w:r>
        <w:rPr>
          <w:rFonts w:ascii="黑体" w:hAnsi="Arial" w:eastAsia="黑体"/>
          <w:b/>
          <w:sz w:val="44"/>
          <w:szCs w:val="21"/>
        </w:rPr>
      </w:r>
      <w:r/>
    </w:p>
    <w:p>
      <w:pPr>
        <w:pStyle w:val="718"/>
        <w:jc w:val="center"/>
        <w:spacing w:line="360" w:lineRule="auto"/>
        <w:rPr>
          <w:rFonts w:hint="eastAsia"/>
          <w:b/>
          <w:sz w:val="32"/>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  购  人：</w:t>
      </w:r>
      <w:r>
        <w:rPr>
          <w:rFonts w:hint="eastAsia"/>
          <w:b/>
          <w:sz w:val="32"/>
        </w:rPr>
        <w:t xml:space="preserve">连云港市疾病预防控制中心</w:t>
      </w:r>
      <w:r/>
    </w:p>
    <w:p>
      <w:pPr>
        <w:jc w:val="center"/>
        <w:spacing w:before="120" w:after="120" w:line="36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采购代理机构：江苏协鸿工程咨询有限公司</w:t>
      </w:r>
      <w:r/>
    </w:p>
    <w:p>
      <w:pPr>
        <w:jc w:val="center"/>
        <w:spacing w:before="120" w:after="120" w:line="36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2026年</w:t>
      </w:r>
      <w:r>
        <w:rPr>
          <w:rFonts w:hint="eastAsia" w:ascii="Arial" w:hAnsi="Arial"/>
          <w:b/>
          <w:bCs/>
          <w:sz w:val="32"/>
          <w:szCs w:val="24"/>
          <w:lang w:val="en-US" w:eastAsia="zh-CN"/>
        </w:rPr>
        <w:t xml:space="preserve">9</w:t>
      </w:r>
      <w:r>
        <w:rPr>
          <w:rFonts w:hint="eastAsia" w:ascii="Arial" w:hAnsi="Arial"/>
          <w:b/>
          <w:bCs/>
          <w:sz w:val="32"/>
          <w:szCs w:val="24"/>
        </w:rPr>
        <w:t xml:space="preserve">月</w:t>
      </w:r>
      <w:r/>
    </w:p>
    <w:p>
      <w:pPr>
        <w:jc w:val="center"/>
        <w:spacing w:before="120" w:after="120" w:line="360" w:lineRule="auto"/>
        <w:rPr>
          <w:rFonts w:hint="eastAsia"/>
        </w:rPr>
        <w:pBdr>
          <w:top w:val="none" w:color="auto" w:sz="0" w:space="1"/>
          <w:left w:val="none" w:color="auto" w:sz="0" w:space="4"/>
          <w:bottom w:val="none" w:color="auto" w:sz="0" w:space="1"/>
          <w:right w:val="none" w:color="auto" w:sz="0" w:space="4"/>
        </w:pBdr>
      </w:pPr>
      <w:r>
        <w:fldChar w:fldCharType="begin"/>
      </w:r>
      <w:r>
        <w:instrText xml:space="preserve"> TOC \o "1-1" \u </w:instrText>
      </w:r>
      <w:r>
        <w:fldChar w:fldCharType="separate"/>
      </w:r>
      <w:r/>
    </w:p>
    <w:p>
      <w:pPr>
        <w:pStyle w:val="953"/>
        <w:pBdr>
          <w:top w:val="none" w:color="auto" w:sz="0" w:space="1"/>
          <w:left w:val="none" w:color="auto" w:sz="0" w:space="4"/>
          <w:bottom w:val="none" w:color="auto" w:sz="0" w:space="1"/>
          <w:right w:val="none" w:color="auto" w:sz="0" w:space="4"/>
        </w:pBdr>
      </w:pPr>
      <w:r>
        <w:rPr>
          <w:rFonts w:hint="eastAsia"/>
        </w:rPr>
        <w:t xml:space="preserve">目  录</w:t>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第二章供应商须知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51</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57</w:t>
      </w:r>
      <w:r>
        <w:rPr>
          <w:sz w:val="36"/>
          <w:szCs w:val="36"/>
        </w:rPr>
        <w:fldChar w:fldCharType="end"/>
      </w:r>
      <w:r/>
    </w:p>
    <w:p>
      <w:pPr>
        <w:jc w:val="left"/>
        <w:widowControl/>
        <w:rPr>
          <w:rFonts w:hint="eastAsia"/>
        </w:rPr>
        <w:pBdr>
          <w:top w:val="none" w:color="auto" w:sz="0" w:space="1"/>
          <w:left w:val="none" w:color="auto" w:sz="0" w:space="4"/>
          <w:bottom w:val="none" w:color="auto" w:sz="0" w:space="1"/>
          <w:right w:val="none" w:color="auto" w:sz="0" w:space="4"/>
        </w:pBdr>
      </w:pPr>
      <w:r>
        <w:fldChar w:fldCharType="end"/>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受</w:t>
      </w:r>
      <w:r>
        <w:rPr>
          <w:rFonts w:hint="eastAsia"/>
          <w:sz w:val="24"/>
          <w:szCs w:val="24"/>
          <w:u w:val="single"/>
        </w:rPr>
        <w:t xml:space="preserve">连云港市疾病预防控制中心</w:t>
      </w:r>
      <w:r>
        <w:rPr>
          <w:rFonts w:hint="eastAsia"/>
          <w:sz w:val="24"/>
          <w:szCs w:val="24"/>
        </w:rPr>
        <w:t xml:space="preserve">的委托，</w:t>
      </w:r>
      <w:r>
        <w:rPr>
          <w:rFonts w:hint="eastAsia"/>
          <w:sz w:val="24"/>
          <w:szCs w:val="24"/>
          <w:u w:val="single"/>
        </w:rPr>
        <w:t xml:space="preserve">江苏协鸿工程咨询有限公司</w:t>
      </w:r>
      <w:r>
        <w:rPr>
          <w:rFonts w:hint="eastAsia"/>
          <w:sz w:val="24"/>
          <w:szCs w:val="24"/>
        </w:rPr>
        <w:t xml:space="preserve">就</w:t>
      </w:r>
      <w:r>
        <w:rPr>
          <w:rFonts w:hint="eastAsia"/>
          <w:sz w:val="24"/>
          <w:szCs w:val="24"/>
          <w:u w:val="single"/>
        </w:rPr>
        <w:t xml:space="preserve">2026年度采购项目第四批-设备：气相色谱仪、电感耦合等离子体光谱仪等</w:t>
      </w:r>
      <w:r>
        <w:rPr>
          <w:rFonts w:hint="eastAsia"/>
          <w:sz w:val="24"/>
          <w:szCs w:val="24"/>
        </w:rPr>
        <w:t xml:space="preserve">（项目编号：</w:t>
      </w:r>
      <w:r>
        <w:rPr>
          <w:rFonts w:hint="eastAsia"/>
          <w:sz w:val="24"/>
          <w:szCs w:val="24"/>
          <w:u w:val="single"/>
          <w:lang w:eastAsia="zh-CN"/>
        </w:rPr>
        <w:t xml:space="preserve">JSZC-320700-XHZX-G2026-0035</w:t>
      </w:r>
      <w:r>
        <w:rPr>
          <w:rFonts w:hint="eastAsia"/>
          <w:sz w:val="24"/>
          <w:szCs w:val="24"/>
        </w:rPr>
        <w:t xml:space="preserve">）进行公开招标采购，欢迎符合条件的供应商投标。</w:t>
      </w:r>
      <w:r/>
    </w:p>
    <w:tbl>
      <w:tblPr>
        <w:tblStyle w:val="708"/>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项目概况</w:t>
            </w:r>
            <w:r/>
          </w:p>
          <w:p>
            <w:pPr>
              <w:ind w:firstLine="482"/>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b/>
                <w:bCs/>
                <w:sz w:val="24"/>
                <w:szCs w:val="24"/>
                <w:u w:val="single"/>
              </w:rPr>
              <w:t xml:space="preserve">2026年度采购项目第四批-设备：气相色谱仪、电感耦合等离子体光谱仪等</w:t>
            </w:r>
            <w:r>
              <w:rPr>
                <w:rFonts w:hint="eastAsia"/>
                <w:sz w:val="24"/>
                <w:szCs w:val="24"/>
              </w:rPr>
              <w:t xml:space="preserve">的潜在供应商应在</w:t>
            </w:r>
            <w:r>
              <w:rPr>
                <w:rFonts w:hint="eastAsia"/>
                <w:b/>
                <w:bCs/>
                <w:sz w:val="24"/>
                <w:szCs w:val="24"/>
                <w:u w:val="single"/>
              </w:rPr>
              <w:t xml:space="preserve">江苏政府采购网</w:t>
            </w:r>
            <w:r>
              <w:rPr>
                <w:rFonts w:hint="eastAsia"/>
                <w:sz w:val="24"/>
                <w:szCs w:val="24"/>
              </w:rPr>
              <w:t xml:space="preserve">自行免费下载招标文件，并于2026年10月15日9:00:00（北京时间）前递交（上传）投标文件。</w:t>
            </w:r>
            <w:r/>
          </w:p>
        </w:tc>
      </w:tr>
    </w:tbl>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项目编号：</w:t>
      </w:r>
      <w:r>
        <w:rPr>
          <w:rFonts w:hint="eastAsia"/>
          <w:sz w:val="24"/>
          <w:szCs w:val="24"/>
          <w:lang w:eastAsia="zh-CN"/>
        </w:rPr>
        <w:t xml:space="preserve">JSZC-320700-XHZX-G2026-0035</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项目名称：2026年度采购项目第四批-设备：气相色谱仪、电感耦合等离子体光谱仪等</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预算金额：</w:t>
      </w:r>
      <w:r>
        <w:rPr>
          <w:rFonts w:hint="eastAsia"/>
          <w:sz w:val="24"/>
          <w:szCs w:val="24"/>
          <w:lang w:val="en-US" w:eastAsia="zh-CN"/>
        </w:rPr>
        <w:t xml:space="preserve">125</w:t>
      </w:r>
      <w:r>
        <w:rPr>
          <w:rFonts w:hint="eastAsia"/>
          <w:sz w:val="24"/>
          <w:szCs w:val="24"/>
        </w:rPr>
        <w:t xml:space="preserve">万元</w:t>
      </w:r>
      <w:r/>
    </w:p>
    <w:p>
      <w:pPr>
        <w:ind w:firstLine="480"/>
        <w:jc w:val="left"/>
        <w:spacing w:line="500" w:lineRule="exact"/>
        <w:rPr>
          <w:rFonts w:ascii="宋体" w:hAnsi="宋体"/>
          <w:sz w:val="24"/>
        </w:rPr>
        <w:pBdr>
          <w:top w:val="none" w:color="000000" w:sz="0" w:space="0"/>
          <w:left w:val="none" w:color="000000" w:sz="0" w:space="3"/>
          <w:bottom w:val="none" w:color="000000" w:sz="0" w:space="0"/>
          <w:right w:val="none" w:color="000000" w:sz="0" w:space="3"/>
        </w:pBdr>
      </w:pPr>
      <w:r>
        <w:rPr>
          <w:rFonts w:hint="eastAsia" w:ascii="宋体" w:hAnsi="宋体"/>
          <w:sz w:val="24"/>
        </w:rPr>
        <w:t xml:space="preserve">最高限价：</w:t>
      </w:r>
      <w:r>
        <w:rPr>
          <w:rFonts w:hint="eastAsia" w:ascii="宋体" w:hAnsi="宋体"/>
          <w:sz w:val="24"/>
          <w:szCs w:val="24"/>
        </w:rPr>
        <w:t xml:space="preserve">125万元，其中电感耦合等离子体光谱仪最高限价：65万元；原子吸收光谱仪（带石墨炉）最高限价：60万元，投标报价超过以上最高限价的投标无效</w:t>
      </w:r>
      <w:r>
        <w:rPr>
          <w:rFonts w:hint="eastAsia" w:ascii="宋体" w:hAnsi="宋体"/>
          <w:sz w:val="24"/>
        </w:rPr>
      </w:r>
      <w:r/>
    </w:p>
    <w:p>
      <w:pPr>
        <w:ind w:firstLine="480"/>
        <w:jc w:val="left"/>
        <w:spacing w:line="5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sz w:val="24"/>
        </w:rPr>
        <w:t xml:space="preserve">采购方式：公开招标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sz w:val="24"/>
        </w:rPr>
        <w:t xml:space="preserve">采购需求：连云港市疾病预防控制中心</w:t>
      </w:r>
      <w:r>
        <w:rPr>
          <w:rFonts w:hint="eastAsia" w:ascii="宋体" w:hAnsi="宋体"/>
          <w:sz w:val="24"/>
          <w:lang w:val="en-US" w:eastAsia="zh-CN"/>
        </w:rPr>
        <w:t xml:space="preserve">采购</w:t>
      </w:r>
      <w:r>
        <w:rPr>
          <w:rFonts w:hint="eastAsia" w:ascii="宋体" w:hAnsi="宋体"/>
          <w:sz w:val="24"/>
        </w:rPr>
        <w:t xml:space="preserve">电感耦合等离子体光谱仪、原子吸收光谱仪（带石墨炉），具体详见第四章采购需求；</w:t>
      </w:r>
      <w:r/>
    </w:p>
    <w:p>
      <w:pPr>
        <w:ind w:firstLine="482"/>
        <w:jc w:val="left"/>
        <w:spacing w:line="500" w:lineRule="exact"/>
        <w:rPr>
          <w:rFonts w:hint="eastAsia"/>
          <w:b/>
          <w:sz w:val="24"/>
          <w:szCs w:val="24"/>
        </w:rPr>
        <w:pBdr>
          <w:top w:val="none" w:color="auto" w:sz="0" w:space="1"/>
          <w:left w:val="none" w:color="auto" w:sz="0" w:space="4"/>
          <w:bottom w:val="none" w:color="auto" w:sz="0" w:space="1"/>
          <w:right w:val="none" w:color="auto" w:sz="0" w:space="4"/>
        </w:pBd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合同履行期限</w:t>
      </w:r>
      <w:r>
        <w:rPr>
          <w:rFonts w:hint="eastAsia" w:ascii="宋体" w:hAnsi="宋体"/>
          <w:sz w:val="24"/>
          <w:szCs w:val="24"/>
        </w:rPr>
        <w:t xml:space="preserve">（交货期）</w:t>
      </w:r>
      <w:r>
        <w:rPr>
          <w:rFonts w:hint="eastAsia"/>
          <w:sz w:val="24"/>
          <w:szCs w:val="24"/>
        </w:rPr>
        <w:t xml:space="preserve">：</w:t>
      </w:r>
      <w:r>
        <w:rPr>
          <w:rFonts w:hint="eastAsia" w:ascii="宋体" w:hAnsi="宋体"/>
          <w:sz w:val="24"/>
          <w:szCs w:val="24"/>
        </w:rPr>
        <w:t xml:space="preserve">合同签订后40工作日内供货、安装、调试完毕。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本项目（是/否）接受联合体投标：不接受联合体。</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二、申请人的资格要求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（一）满足《中华人民共和国政府采购法》第二十二条规定，并提供下列材料：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1.法人或者其他组织的营业执照等证明文件，自然人的身份证明；</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2.2024或2025年度的财务状况报告；（成立不满一年无需提供）</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4.具备履行合同所必需的设备和专业技术能力的声明及证明材料；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6.法律、行政法规规定的其他条件；（如有，请按要求提供）</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8.本项目不接受进口产品（进口产品是指通过中国海关报关验放进入中国境内且产自关境外的产品）。</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（二）落实政府采购政策需满足的资格要求：无。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（三）本项目的特定资格要求：无。</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时间：自招标公告发布之日起至2026年9月30日</w:t>
      </w:r>
      <w:r>
        <w:rPr>
          <w:rFonts w:hint="eastAsia"/>
          <w:sz w:val="24"/>
          <w:szCs w:val="24"/>
        </w:rPr>
        <w:t xml:space="preserve">（北京时间）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地点：江苏政府采购网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售价：0.00元</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四、提交投标文件截止时间、开标时间和地点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提交投标文件截止时间：2026年10月15日9:00:00（北京时间）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开标时间：提交投标文件截止时间</w:t>
      </w:r>
      <w:r/>
    </w:p>
    <w:p>
      <w:pPr>
        <w:ind w:firstLine="480"/>
        <w:jc w:val="left"/>
        <w:spacing w:line="500" w:lineRule="exact"/>
        <w:rPr>
          <w:rFonts w:hint="eastAsia"/>
        </w:rPr>
        <w:pBdr>
          <w:top w:val="none" w:color="auto" w:sz="0" w:space="1"/>
          <w:left w:val="none" w:color="auto" w:sz="0" w:space="4"/>
          <w:bottom w:val="none" w:color="auto" w:sz="0" w:space="1"/>
          <w:right w:val="none" w:color="auto" w:sz="0" w:space="4"/>
        </w:pBdr>
      </w:pPr>
      <w:r>
        <w:rPr>
          <w:rFonts w:hint="eastAsia"/>
          <w:sz w:val="24"/>
          <w:szCs w:val="24"/>
        </w:rPr>
        <w:t xml:space="preserve">开标地点：“苏采云”政府采购交易系统网上开标大厅</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五、公告期限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自本公告发布之日起5个工作日。</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六、其他补充事宜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1.本次招标不收取投标保证金。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2.本招标文件中</w:t>
      </w:r>
      <w:r>
        <w:rPr>
          <w:rFonts w:hint="eastAsia"/>
          <w:i/>
          <w:iCs/>
          <w:sz w:val="24"/>
          <w:szCs w:val="24"/>
          <w:u w:val="single"/>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http://www.ccgp-jiangsu.gov.cn/jiangsu/zlxz/ee/ee3a4bc5a3454aa2b0d9312230633ce9.html</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ind w:firstLine="480"/>
        <w:jc w:val="left"/>
        <w:spacing w:line="500" w:lineRule="exact"/>
        <w:rPr>
          <w:rFonts w:hint="eastAsia"/>
          <w:b/>
          <w:bCs/>
          <w:sz w:val="24"/>
          <w:szCs w:val="24"/>
        </w:rPr>
        <w:pBdr>
          <w:top w:val="none" w:color="auto" w:sz="0" w:space="1"/>
          <w:left w:val="none" w:color="auto" w:sz="0" w:space="4"/>
          <w:bottom w:val="none" w:color="auto" w:sz="0" w:space="1"/>
          <w:right w:val="none" w:color="auto" w:sz="0" w:space="4"/>
        </w:pBdr>
      </w:pPr>
      <w:r>
        <w:rPr>
          <w:rFonts w:hint="eastAsia"/>
          <w:b/>
          <w:bCs/>
          <w:sz w:val="24"/>
          <w:szCs w:val="24"/>
          <w:lang w:val="en-US" w:eastAsia="zh-CN"/>
        </w:rPr>
        <w:t xml:space="preserve">5.已中标本项目采购包1的供应商不再推荐为本项目的中标候选人。符合要求的供应商数量不得少于3家，否则按流标处理。</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七、对本次招标提出询问，请按以下方式联系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1.采购人信息</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称：连云港市疾病预防控制中心</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址：江苏省连云港市海州区迎曙路99号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人：沈老师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联系电话：0518-85606056</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2.采购代理机构信息</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称：江苏协鸿工程咨询有限公司</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w:t>
      </w:r>
      <w:r>
        <w:rPr>
          <w:rFonts w:hint="eastAsia" w:ascii="宋体" w:hAnsi="宋体" w:cs="宋体"/>
          <w:sz w:val="24"/>
          <w:szCs w:val="28"/>
        </w:rPr>
        <w:t xml:space="preserve">连云港市海州区秦东门大街兴亿达大厦西厅14楼</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人：陈工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联系电话：0518-82341968</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3.项目联系方式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项目联系人：陈工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电      话：0518-82341968</w:t>
      </w:r>
      <w:r/>
    </w:p>
    <w:p>
      <w:pPr>
        <w:jc w:val="left"/>
        <w:widowControl/>
        <w:rPr>
          <w:rFonts w:ascii="黑体" w:hAnsi="黑体" w:eastAsia="黑体"/>
          <w:bCs/>
          <w:sz w:val="44"/>
          <w:szCs w:val="44"/>
        </w:rPr>
        <w:pBdr>
          <w:top w:val="none" w:color="auto" w:sz="0" w:space="1"/>
          <w:left w:val="none" w:color="auto" w:sz="0" w:space="4"/>
          <w:bottom w:val="none" w:color="auto" w:sz="0" w:space="1"/>
          <w:right w:val="none" w:color="auto" w:sz="0" w:space="4"/>
        </w:pBdr>
      </w:pPr>
      <w:r>
        <w:rPr>
          <w:rFonts w:ascii="黑体" w:hAnsi="黑体" w:eastAsia="黑体"/>
          <w:b/>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rPr>
        <w:t xml:space="preserve">第二章  供应商须知</w:t>
      </w:r>
      <w:bookmarkEnd w:id="1"/>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一、总则</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1、采购方式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 本次招标采取公开招标方式，本招标文件仅适用于招标公告中所述项目。</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2、合格的供应商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 满足招标公告中申请人的资格要求的规定。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 符合上述条件的供应商应承担投标及履约过程应承担的全部责任与义务。</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3、适用法律</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 本次招标及由此产生的合同受中华人民共和国有关的法律法规制约和保护。</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4、投标费用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4.2 </w:t>
      </w:r>
      <w:r>
        <w:rPr>
          <w:rFonts w:cs="Calibri"/>
          <w:sz w:val="24"/>
          <w:szCs w:val="24"/>
        </w:rPr>
        <w:t xml:space="preserve">供应商投标时报价须当包含代理费（供应商在投标报价时可综合考虑此费用，不单列）。依据本项目委托代理协议约定，</w:t>
      </w:r>
      <w:r>
        <w:rPr>
          <w:rFonts w:hint="eastAsia"/>
          <w:sz w:val="24"/>
          <w:szCs w:val="24"/>
        </w:rPr>
        <w:t xml:space="preserve">本项目采购代理费根据苏招协【2022】002号收费标准的69.99%计取，由中标人支付。支付方式：电汇、网银、现金。</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5、招标文件的约束力</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5.1 供应商一旦参与本项目采购活动，即被认为接受了本招标文件的规定和约束。</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二、招标文件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6、招标文件的构成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6.1 招标文件由以下部分构成：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（1）投标邀请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（2）供应商须知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（3）合同文本</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（4）采购需求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（5）评标方法与评标标准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（6）投标文件格式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请仔细检查招标文件是否齐全，如有缺漏请立即与采购代理机构联系解决。</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7、招标文件的澄清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7.1 任何要求对招标文件进行澄清的供应商，应在投标截止时间十日前按招标公告中的通讯地址，以书面形式通知采购人或者采购代理机构。</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8、招标文件的修改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8.1 在投标截止时间前，采购人和采购代理机构可以对招标文件进行修改。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8.2 采购人和采购代理机构有权按照法定的要求推迟投标截止时间和开标时间。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8.3 招标文件的修改将在江苏政府采购网公布，补充文件将作为招标文件的组成部分，并对供应商具有约束力。</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三、投标文件编制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9、投标文件编写注意事项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10、投标文件的语言及度量衡单位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10.2 除技术性能另有规定外，投标文件所使用的度量衡单位，均须采用国家法定计量单位。</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11、投标文件的构成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11.3 特别提醒供应商，混乱的编排导致投标文件被误读或评标委员会（以下简称评委会）查找不到有效文件是供应商的风险。</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12、证明供应商及投标标的符合招标文件规定的文件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12.1 供应商应按照招标文件要求提交证明文件，证明其及投标标的符合招标文件规定。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12.3 供应商委托代理时应当提交授权委托书，请按招标文件第六章给定格式及要求填写并附法定代表人（单位负责人）与委托代理人身份证明。</w:t>
      </w:r>
      <w:r/>
    </w:p>
    <w:p>
      <w:pPr>
        <w:pStyle w:val="928"/>
        <w:ind w:firstLine="562"/>
        <w:jc w:val="left"/>
        <w:spacing w:before="0" w:after="0" w:line="360" w:lineRule="auto"/>
        <w:pBdr>
          <w:top w:val="none" w:color="auto" w:sz="0" w:space="1"/>
          <w:left w:val="none" w:color="auto" w:sz="0" w:space="4"/>
          <w:bottom w:val="none" w:color="auto" w:sz="0" w:space="1"/>
          <w:right w:val="none" w:color="auto" w:sz="0" w:space="4"/>
        </w:pBdr>
      </w:pPr>
      <w:r>
        <w:rPr>
          <w:rFonts w:hint="eastAsia"/>
          <w:sz w:val="28"/>
          <w:szCs w:val="28"/>
        </w:rPr>
        <w:t xml:space="preserve">13、投标分项报价表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（1）投标的货物总价；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（2）货物的标准附件、备品备件、专用工具、运输、装卸等各种费用；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（3）必要的保险费用和各项税金；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（4）投标总价要求包含安装维保费用。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13.2 供应商应根据投标报价要求在投标分项报价表中列明各项投标单价、总价等，未全部列示的作无效响应处理。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13.3 投标文件中的单价和总价无特殊规定的采用人民币报价，以元为单位标注。招标文件中另有规定的按规定执行。</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14、技术要求响应及偏离表、商务要求响应及偏离表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14.2 供应商可在投标文件中提供认为需要的其他技术文件或说明。</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15、服务承诺、培训计划、人员安排及其他</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15.2 供应商应根据招标文件要求提供培训计划、人员安排等。</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15.3 供应商应根据招标文件要求提供所投标的的主要组成部分、功能设计、实现思路及关键技术等。</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16、投标函和开标一览表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16.1 供应商应按照招标文件提供的格式完整、正确填写投标函、开标一览表。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17、投标有效期</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17.1 投标有效期为招标文件规定的开标之日后一百二十（120）天。投标有效期比规定短的将被视为未实质性响应招标文件而予以拒绝。</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四、投标文件递交</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18、电子投标文件的递交</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18.1 供应商应当按照《操作手册》规定，在投标截止时间前制作并递交（上传）电子投标文件。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19、投标截止时间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19.1 供应商递交（上传）电子投标文件的时间不得迟于招标公告中规定的投标截止时间。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20、投标文件的拒收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20.1 采购代理机构拒绝接收在招标文件规定的投标截止时间后递交（上传）的任何投标文件。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21、投标文件的撤回和修改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21.3 在投标截止时间至招标文件规定的投标有效期满之间的这段时间内，供应商不得撤回其投标。</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五、开标与评标</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22、开标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22.2 开标仪式由采购代理机构组织。“苏采云”系统将自动对项目进行开标，并宣布各供应商名称和投标价格。</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22.3 供应商在开标过程中涉及到的投标文件解密、开标结果确认等工作，应当按照《操作手册》规定执行。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22.5 供应商未参加开标的，视同认可开标结果。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22.6 供应商在开标、评标全过程中应保持通讯畅通，及时登录“苏采云”系统查阅、答复相关信息，并安排专人与采购代理机构及评委会联系。</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23、评标委员会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23.1 开标后，采购代理机构将组织评委会进行评标。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23.3 评委会按照采购文件规定的评审程序、评审方法和评审标准进行独立评审并确定中标候选人。</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24、评标过程的保密与公正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24.2 在评标过程中，供应商不得以任何行为影响评标过程，否则其投标文件将被作为无效投标文件。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24.3 采购代理机构和评委会不向未中标的供应商解释未中标原因，也不公布评标过程中的相关细节。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24.4 采用综合评分法的项目，未中标的供应商可于中标结果公告期限届满之日起通过“苏采云”系统查看自己的评审得分及排序情况。</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25、投标文件的澄清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评委会并非对每个供应商都提出澄清、说明或者补正要求。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25.3 接到评委会澄清、说明或者补正要求的供应商如未按要求响应，其风险由供应商自行承担。</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26、对投标文件的审查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26.1 投标文件审查分为资格审查和符合性审查。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26.3如果投标文件实质上没有响应招标文件的要求，评委会将予以拒绝，供应商不得通过修改或撤销不符合要求的偏离而使其投标成为实质性响应的投标。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（1）投标文件中开标一览表内容与投标文件中相应内容不一致的，以开标一览表为准。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（2）大写金额和小写金额不一致的，以大写金额为准。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（3）单价金额小数点或者百分比有明显错位的，以开标一览表的总价为准，并修改单价。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（4）总价金额与按单价汇总金额不一致的，以单价金额计算结果为准。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同时出现两种以上错误的，按照前款规定的顺序修正。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非单一产品采购项目，招标文件中将载明核心产品。多家供应商提供的核心产品品牌相同的，按前两款规定处理。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26.7政府采购异常低价审查：</w:t>
      </w:r>
      <w:r/>
    </w:p>
    <w:p>
      <w:pPr>
        <w:pStyle w:val="712"/>
        <w:rPr>
          <w:rFonts w:hint="eastAsia"/>
          <w:sz w:val="24"/>
          <w:szCs w:val="24"/>
        </w:rPr>
      </w:pPr>
      <w:r>
        <w:rPr>
          <w:rFonts w:hint="eastAsia"/>
          <w:sz w:val="24"/>
          <w:szCs w:val="24"/>
        </w:rPr>
        <w:t xml:space="preserve">（1）评审过程中出现下列情形之一的，</w:t>
      </w:r>
      <w:r>
        <w:rPr>
          <w:rFonts w:ascii="宋体" w:hAnsi="宋体" w:cs="宋体"/>
          <w:sz w:val="24"/>
          <w:szCs w:val="24"/>
        </w:rPr>
        <w:t xml:space="preserve">评标委员会</w:t>
      </w:r>
      <w:r>
        <w:rPr>
          <w:rFonts w:hint="eastAsia"/>
          <w:sz w:val="24"/>
          <w:szCs w:val="24"/>
        </w:rPr>
        <w:t xml:space="preserve">小组应当启动异常低价投标（响应）审查程序：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③投标（响应）报价低于采购项目最高限价45%的，即投标（响应）报价&lt;采购项目最高限价×45%；</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④评审委员会基于专业判断，认为供应商报价过低，有可能影响产品质量或者不能诚信履约的其他情形。</w:t>
      </w:r>
      <w:r/>
    </w:p>
    <w:p>
      <w:pPr>
        <w:ind w:firstLine="480"/>
        <w:spacing w:line="49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eastAsia="Calibri" w:cs="Calibri"/>
          <w:color w:val="000000"/>
          <w:sz w:val="24"/>
        </w:rPr>
        <w:t xml:space="preserve">2</w:t>
      </w:r>
      <w:r>
        <w:rPr>
          <w:rFonts w:ascii="宋体" w:hAnsi="宋体" w:cs="宋体"/>
          <w:color w:val="000000"/>
          <w:sz w:val="24"/>
        </w:rPr>
        <w:t xml:space="preserve">）评审委员会启动异常低价投标（响应）审查后，属于前述第</w:t>
      </w:r>
      <w:r>
        <w:rPr>
          <w:rFonts w:hint="eastAsia"/>
          <w:sz w:val="24"/>
          <w:szCs w:val="24"/>
        </w:rPr>
        <w:t xml:space="preserve">①</w:t>
      </w:r>
      <w:r>
        <w:rPr>
          <w:rFonts w:ascii="宋体" w:hAnsi="宋体" w:cs="宋体"/>
          <w:color w:val="000000"/>
          <w:sz w:val="24"/>
        </w:rPr>
        <w:t xml:space="preserve">项至第</w:t>
      </w:r>
      <w:r>
        <w:rPr>
          <w:rFonts w:hint="eastAsia"/>
          <w:sz w:val="24"/>
          <w:szCs w:val="24"/>
        </w:rPr>
        <w:t xml:space="preserve">④</w:t>
      </w:r>
      <w:r>
        <w:rPr>
          <w:rFonts w:ascii="宋体" w:hAnsi="宋体" w:cs="宋体"/>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Calibri" w:cs="Calibri"/>
          <w:color w:val="000000"/>
          <w:sz w:val="24"/>
        </w:rPr>
        <w:t xml:space="preserve">30</w:t>
      </w:r>
      <w:r>
        <w:rPr>
          <w:rFonts w:ascii="宋体" w:hAnsi="宋体" w:cs="宋体"/>
          <w:color w:val="000000"/>
          <w:sz w:val="24"/>
        </w:rPr>
        <w:t xml:space="preserve">分钟。其中，属于第</w:t>
      </w:r>
      <w:r>
        <w:rPr>
          <w:rFonts w:eastAsia="Calibri" w:cs="Calibri"/>
          <w:color w:val="000000"/>
          <w:sz w:val="24"/>
        </w:rPr>
        <w:t xml:space="preserve">3</w:t>
      </w:r>
      <w:r>
        <w:rPr>
          <w:rFonts w:ascii="宋体" w:hAnsi="宋体" w:cs="宋体"/>
          <w:color w:val="000000"/>
          <w:sz w:val="24"/>
        </w:rPr>
        <w:t xml:space="preserve">项情形，供应商已随投标（响应）文件一并提交相关书面说明及必要的证明材料的，在评审现场可不再重复提交。</w:t>
      </w:r>
      <w:r/>
    </w:p>
    <w:p>
      <w:pPr>
        <w:ind w:firstLine="480"/>
        <w:spacing w:line="49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99" w:lineRule="atLeast"/>
        <w:rPr>
          <w:rFonts w:eastAsia="Calibri" w:cs="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27、无效投标条款和废标条款</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27.1 无效投标条款：</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（1）供应商未按照招标文件要求递交（上传）电子投标文件的。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（2）供应商在“苏采云”系统规定的时间内未成功解密电子投标文件的。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（3）供应商不具备招标文件中规定的资格要求的。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（5）供应商提交两个（含两个）以上不同的投标报价的。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（6）供应商的报价超过了采购预算或者最高限价的。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（10）供应商未通过符合性审查的。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（11）投标文件含有采购人不能接受的附加条件的。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（12）投标文件未按照招标文件要求加盖公章（CA电子公章）的。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（13）其他法律、法规及本招标文件规定的属于无效投标的情形。</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27.2 有下列情形之一的，视为供应商串通投标，投标无效：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（1）不同供应商的投标文件由同一单位或者个人编制。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（2）不同供应商委托同一单位或者个人办理投标事宜。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（3）不同供应商的投标文件载明的项目管理成员或者联系人员为同一人。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（4）不同供应商的投标文件异常一致或者投标报价呈规律性差异。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（5）不同供应商的投标文件相互混装。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27.3 废标条款：</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（1）因“苏采云”系统故障原因造成开标不成功的。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（3）符合专业条件的供应商或者对招标文件作实质响应的供应商不足三家的。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（4）出现影响采购公正的违法、违规行为的。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（5）因重大变故，采购任务取消的。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六、定标</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28、确定中标单位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28.1 中标候选人的选取原则和数量详见招标文件第五章规定。 </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28.2 采购人应根据评委会推荐的中标候选人确定中标人。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28.3 采购代理机构将在江苏政府采购网发布中标公告，公告期限为1个工作日。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28.4 若有充分证据证明，中标人存在下列情形之一的，一经查实，将被取消中标资格：</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（1）提供虚假材料谋取中标、成交的。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（2）采取不正当手段诋毁、排挤其他供应商的。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（3）与采购人、其他供应商或者采购代理机构恶意串通的。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（4）向采购人、采购代理机构行贿或者提供其他不正当利益的。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（5）在招标采购过程中与采购人进行协商谈判的。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（6）属于本招标文件规定的无效情形，但在评标过程中又未被评委会发现的。</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29、中标通知书</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29.3 中标人应在中标后七个工作日内，向采购代理机构提供四份与电子投标文件一致的纸质打印胶装投标文件，封面、骑缝需加盖公章。</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七、授予合同</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30、履约保证金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30.5 本项目履约保证金要求详见招标文件第四章 采购需求。</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31、签订合同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32、合同标的的追加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33、政府采购履约资金扶持政策</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33.1 中标人可凭政府采购合同办理融资贷款，详情请见江苏政府采购网“政采贷”专栏。</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八、询问与质疑</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34、询问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35、质疑提出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35.1 提出质疑的供应商应当是参与所质疑项目采购活动的供应商。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（1）供应商的姓名或者名称、地址、邮编、联系人及联系电话；</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（2）质疑项目的名称、编号；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（3）具体、明确的质疑事项和与质疑事项相关的请求；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（4）事实依据；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（5）必要的法律依据；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（6）提出质疑的日期；</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（7）必要的证明材料；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28"/>
        <w:ind w:firstLine="562"/>
        <w:jc w:val="left"/>
        <w:spacing w:before="0" w:after="0" w:line="360" w:lineRule="auto"/>
        <w:rPr>
          <w:sz w:val="24"/>
          <w:szCs w:val="24"/>
        </w:rPr>
        <w:pBdr>
          <w:top w:val="none" w:color="auto" w:sz="0" w:space="1"/>
          <w:left w:val="none" w:color="auto" w:sz="0" w:space="4"/>
          <w:bottom w:val="none" w:color="auto" w:sz="0" w:space="1"/>
          <w:right w:val="none" w:color="auto" w:sz="0" w:space="4"/>
        </w:pBdr>
      </w:pPr>
      <w:r>
        <w:rPr>
          <w:rFonts w:hint="eastAsia"/>
          <w:sz w:val="28"/>
          <w:szCs w:val="28"/>
        </w:rPr>
        <w:t xml:space="preserve">36、质疑函的受理和答复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36.4 以下情形的质疑依法不予受理：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（1）内容不符合《政府采购质疑和投诉办法》第十二条规定的质疑。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（2）超出政府采购法定期限的质疑。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（3）以传真、电子邮件等方式递交的非原件形式的质疑。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（4）未参与采购活动或在采购活动中自身权益未受到损害的供应商提出的质疑。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（5）供应商组成联合体，联合体中任何一方或多方未按要求签字（盖章）、加盖公章的质疑。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37、质疑处理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37.1 质疑供应商未按照法定程序进行质疑投诉的，视为一般失信行为。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37.4 质疑供应商在全国范围12个月内三次以上质疑查无实据的，视为一般失信行为。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37.6 质疑供应商在全国范围12个月内三次以上投诉查无实据的，视为严重失信行为。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37.7 未尽事宜，依照有关法律、法规执行。</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九、政府采购政策功能</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38、促进中小企业发展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38.3 参加本项目政府采购活动的供应商享受价格评审优惠的应当提供的材料： </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（1）供应商提供的货物全部由中型企业、小型企业、微型企业制造的，提供《中小企业声明函》（第六章 投标文件格式）。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38.4 享受扶持政策获得政府采购合同的，小微型企业不得将合同分包给大中型企业，中型企业不得将合同分包给大型企业。</w:t>
      </w:r>
      <w:r/>
    </w:p>
    <w:p>
      <w:pPr>
        <w:pStyle w:val="928"/>
        <w:ind w:firstLine="562"/>
        <w:jc w:val="left"/>
        <w:spacing w:before="0" w:after="0" w:line="360" w:lineRule="auto"/>
        <w:rPr>
          <w:sz w:val="28"/>
          <w:szCs w:val="28"/>
        </w:rPr>
      </w:pPr>
      <w:r>
        <w:rPr>
          <w:rFonts w:hint="eastAsia"/>
          <w:sz w:val="28"/>
          <w:szCs w:val="28"/>
        </w:rPr>
        <w:t xml:space="preserve">39、政府采购中实施本国产品标准及相关政策</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40、支持绿色发展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41、政府采购需求标准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rPr>
        <w:t xml:space="preserve">第三章  合同文本</w:t>
      </w:r>
      <w:bookmarkEnd w:id="2"/>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bookmarkStart w:id="3" w:name="_Toc3995"/>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ind w:left="420"/>
        <w:spacing w:line="360" w:lineRule="auto"/>
        <w:rPr>
          <w:rFonts w:hint="eastAsia"/>
          <w:sz w:val="32"/>
          <w:szCs w:val="32"/>
        </w:rPr>
        <w:pBdr>
          <w:top w:val="none" w:color="auto" w:sz="0" w:space="1"/>
          <w:left w:val="none" w:color="auto" w:sz="0" w:space="4"/>
          <w:bottom w:val="none" w:color="auto" w:sz="0" w:space="1"/>
          <w:right w:val="none" w:color="auto" w:sz="0" w:space="4"/>
        </w:pBdr>
      </w:pPr>
      <w:r>
        <w:rPr>
          <w:rFonts w:hint="eastAsia" w:ascii="宋体" w:hAnsi="宋体" w:cs="宋体"/>
          <w:sz w:val="32"/>
          <w:szCs w:val="32"/>
        </w:rPr>
        <w:t xml:space="preserve">项目名称：</w:t>
      </w:r>
      <w:r/>
    </w:p>
    <w:p>
      <w:pPr>
        <w:ind w:left="420"/>
        <w:spacing w:line="360" w:lineRule="auto"/>
        <w:rPr>
          <w:rFonts w:hint="eastAsia"/>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合同编号：</w:t>
      </w:r>
      <w:r/>
    </w:p>
    <w:p>
      <w:pPr>
        <w:ind w:left="420"/>
        <w:spacing w:line="360" w:lineRule="auto"/>
        <w:rPr>
          <w:rFonts w:hint="eastAsia"/>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甲    方：</w:t>
      </w:r>
      <w:r/>
    </w:p>
    <w:p>
      <w:pPr>
        <w:ind w:left="420"/>
        <w:spacing w:line="360" w:lineRule="auto"/>
        <w:rPr>
          <w:rFonts w:hint="eastAsia"/>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乙    方：</w:t>
      </w:r>
      <w:r/>
    </w:p>
    <w:p>
      <w:pPr>
        <w:ind w:left="420"/>
        <w:spacing w:line="360" w:lineRule="auto"/>
        <w:rPr>
          <w:rFonts w:hint="eastAsia"/>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签订时间：</w:t>
      </w:r>
      <w:r/>
    </w:p>
    <w:p>
      <w:pPr>
        <w:jc w:val="left"/>
        <w:widowControl/>
        <w:rPr>
          <w:rFonts w:hint="eastAsia" w:eastAsia="黑体"/>
          <w:sz w:val="44"/>
          <w:szCs w:val="44"/>
        </w:rPr>
        <w:pBdr>
          <w:top w:val="none" w:color="auto" w:sz="0" w:space="1"/>
          <w:left w:val="none" w:color="auto" w:sz="0" w:space="4"/>
          <w:bottom w:val="none" w:color="auto" w:sz="0" w:space="1"/>
          <w:right w:val="none" w:color="auto" w:sz="0" w:space="4"/>
        </w:pBdr>
      </w:pPr>
      <w:r>
        <w:rPr>
          <w:rFonts w:eastAsia="黑体"/>
          <w:sz w:val="44"/>
          <w:szCs w:val="44"/>
        </w:rPr>
        <w:br w:type="page" w:clear="all"/>
      </w:r>
      <w:r/>
    </w:p>
    <w:p>
      <w:pPr>
        <w:jc w:val="center"/>
        <w:rPr>
          <w:rFonts w:ascii="黑体" w:hAnsi="黑体" w:eastAsia="黑体"/>
          <w:sz w:val="44"/>
          <w:szCs w:val="44"/>
        </w:rPr>
        <w:pBdr>
          <w:top w:val="none" w:color="auto" w:sz="0" w:space="1"/>
          <w:left w:val="none" w:color="auto" w:sz="0" w:space="4"/>
          <w:bottom w:val="none" w:color="auto" w:sz="0" w:space="1"/>
          <w:right w:val="none" w:color="auto" w:sz="0" w:space="4"/>
        </w:pBd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rPr>
        <w:br w:type="page" w:clear="all"/>
      </w:r>
      <w:r/>
    </w:p>
    <w:p>
      <w:pPr>
        <w:pStyle w:val="927"/>
        <w:jc w:val="center"/>
        <w:spacing w:line="400" w:lineRule="exact"/>
        <w:rPr>
          <w:rFonts w:hint="eastAsia"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乙方（全称）：（供应商）</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spacing w:line="400" w:lineRule="exact"/>
        <w:rPr>
          <w:rFonts w:ascii="宋体" w:hAnsi="宋体"/>
        </w:rPr>
        <w:pBdr>
          <w:top w:val="none" w:color="auto" w:sz="0" w:space="1"/>
          <w:left w:val="none" w:color="auto" w:sz="0" w:space="4"/>
          <w:bottom w:val="none" w:color="auto" w:sz="0" w:space="1"/>
          <w:right w:val="none" w:color="auto" w:sz="0" w:space="4"/>
        </w:pBdr>
      </w:pPr>
      <w:r>
        <w:rPr>
          <w:rFonts w:ascii="宋体" w:hAnsi="宋体"/>
        </w:rPr>
      </w:r>
      <w:r/>
    </w:p>
    <w:p>
      <w:pPr>
        <w:pStyle w:val="714"/>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项目信息</w:t>
      </w:r>
      <w:r/>
    </w:p>
    <w:p>
      <w:pPr>
        <w:pStyle w:val="714"/>
        <w:numPr>
          <w:ilvl w:val="0"/>
          <w:numId w:val="2"/>
        </w:numPr>
        <w:ind w:left="0" w:firstLine="420"/>
        <w:spacing w:after="0"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采购项目名称：</w:t>
      </w:r>
      <w:r>
        <w:rPr>
          <w:rFonts w:ascii="宋体" w:hAnsi="宋体"/>
          <w:szCs w:val="21"/>
          <w:u w:val="single"/>
        </w:rPr>
        <w:t xml:space="preserve">                                          </w:t>
      </w:r>
      <w:r/>
    </w:p>
    <w:p>
      <w:pPr>
        <w:pStyle w:val="714"/>
        <w:numPr>
          <w:ilvl w:val="255"/>
          <w:numId w:val="0"/>
        </w:numPr>
        <w:spacing w:after="0" w:line="400" w:lineRule="exact"/>
        <w:tabs>
          <w:tab w:val="left" w:pos="999"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采购项目编号：</w:t>
      </w:r>
      <w:r>
        <w:rPr>
          <w:rFonts w:ascii="宋体" w:hAnsi="宋体"/>
          <w:szCs w:val="21"/>
          <w:u w:val="single"/>
        </w:rPr>
        <w:t xml:space="preserve">                                          </w:t>
      </w:r>
      <w:r/>
    </w:p>
    <w:p>
      <w:pPr>
        <w:pStyle w:val="714"/>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（3）项目内容：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8"/>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8"/>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58"/>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58"/>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58"/>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w:t>
      </w:r>
      <w:bookmarkStart w:id="24" w:name="_GoBack"/>
      <w:r>
        <w:rPr>
          <w:rFonts w:hint="eastAsia" w:asciiTheme="minorEastAsia" w:hAnsiTheme="minorEastAsia" w:eastAsiaTheme="minorEastAsia" w:cstheme="minorEastAsia"/>
          <w:sz w:val="21"/>
        </w:rPr>
        <w:t xml:space="preserve">采购组</w:t>
      </w:r>
      <w:bookmarkEnd w:id="24"/>
      <w:r>
        <w:rPr>
          <w:rFonts w:hint="eastAsia" w:asciiTheme="minorEastAsia" w:hAnsiTheme="minorEastAsia" w:eastAsiaTheme="minorEastAsia" w:cstheme="minorEastAsia"/>
          <w:sz w:val="21"/>
        </w:rPr>
        <w:t xml:space="preserve">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58"/>
        <w:numPr>
          <w:ilvl w:val="255"/>
          <w:numId w:val="0"/>
        </w:numPr>
        <w:ind w:firstLine="420"/>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58"/>
        <w:numPr>
          <w:ilvl w:val="255"/>
          <w:numId w:val="0"/>
        </w:numPr>
        <w:ind w:firstLine="420"/>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58"/>
        <w:numPr>
          <w:ilvl w:val="255"/>
          <w:numId w:val="0"/>
        </w:numPr>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（注：在框架协议采购的第二阶段，可选择使用该合同文本）</w:t>
      </w:r>
      <w:r/>
    </w:p>
    <w:p>
      <w:pPr>
        <w:pStyle w:val="958"/>
        <w:numPr>
          <w:ilvl w:val="255"/>
          <w:numId w:val="0"/>
        </w:numPr>
        <w:ind w:firstLine="220"/>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rPr>
        <w:pBdr>
          <w:top w:val="none" w:color="auto" w:sz="0" w:space="1"/>
          <w:left w:val="none" w:color="auto" w:sz="0" w:space="4"/>
          <w:bottom w:val="none" w:color="auto" w:sz="0" w:space="1"/>
          <w:right w:val="none" w:color="auto" w:sz="0" w:space="4"/>
        </w:pBd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58"/>
        <w:tabs>
          <w:tab w:val="left" w:pos="1340" w:leader="none"/>
        </w:tabs>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58"/>
        <w:numPr>
          <w:ilvl w:val="255"/>
          <w:numId w:val="0"/>
        </w:numPr>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58"/>
        <w:ind w:firstLine="420"/>
        <w:rPr>
          <w:rFonts w:ascii="宋体" w:hAnsi="宋体" w:eastAsia="宋体"/>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58"/>
        <w:ind w:firstLine="420"/>
        <w:rPr>
          <w:rFonts w:ascii="宋体" w:hAnsi="宋体"/>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合同金额</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9"/>
        <w:spacing w:line="400" w:lineRule="exact"/>
        <w:pBdr>
          <w:top w:val="none" w:color="auto" w:sz="0" w:space="1"/>
          <w:left w:val="none" w:color="auto" w:sz="0" w:space="4"/>
          <w:bottom w:val="none" w:color="auto" w:sz="0" w:space="1"/>
          <w:right w:val="none" w:color="auto" w:sz="0" w:space="4"/>
        </w:pBdr>
      </w:pPr>
      <w:r>
        <w:rPr>
          <w:rFonts w:hint="eastAsia" w:ascii="宋体" w:hAnsi="宋体"/>
        </w:rPr>
        <w:t xml:space="preserve">（3）付款方式（按项目实际勾选填写）：</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合同履行</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（6）履约验收标准：</w:t>
      </w:r>
      <w:r>
        <w:rPr>
          <w:rFonts w:hint="eastAsia" w:ascii="宋体" w:hAnsi="宋体"/>
          <w:bCs/>
          <w:szCs w:val="21"/>
          <w:u w:val="single"/>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组成合同的文件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（2）政府采购合同专用条款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（3）政府采购合同通用条款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（4）中标（成交）通知书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（5）投标（响应）文件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（6）采购文件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（7）有关技术文件，图纸</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（8）国家法律、行政法规和规章制度规定或合同约定的作为合同组成部分的其他文件</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合同生效</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合同份数</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ascii="宋体" w:hAnsi="宋体"/>
        </w:rPr>
        <w:pBdr>
          <w:top w:val="none" w:color="auto" w:sz="0" w:space="1"/>
          <w:left w:val="none" w:color="auto" w:sz="0" w:space="4"/>
          <w:bottom w:val="none" w:color="auto" w:sz="0" w:space="1"/>
          <w:right w:val="none" w:color="auto" w:sz="0" w:space="4"/>
        </w:pBdr>
      </w:pPr>
      <w:r>
        <w:rPr>
          <w:rFonts w:hint="eastAsia" w:ascii="宋体" w:hAnsi="宋体"/>
          <w:szCs w:val="21"/>
        </w:rPr>
        <w:t xml:space="preserve">附件：具体标的及其技术要求和商务要求、联合协议、分包意向协议等。</w:t>
      </w:r>
      <w:r/>
    </w:p>
    <w:p>
      <w:pPr>
        <w:rPr>
          <w:rFonts w:hint="eastAsia"/>
        </w:rPr>
        <w:pBdr>
          <w:top w:val="none" w:color="auto" w:sz="0" w:space="1"/>
          <w:left w:val="none" w:color="auto" w:sz="0" w:space="4"/>
          <w:bottom w:val="none" w:color="auto" w:sz="0" w:space="1"/>
          <w:right w:val="none" w:color="auto" w:sz="0" w:space="4"/>
        </w:pBdr>
      </w:pPr>
      <w:r>
        <w:rPr>
          <w:rFonts w:hint="eastAsia"/>
        </w:rPr>
        <w:br w:type="page" w:clear="all"/>
      </w:r>
      <w:r/>
    </w:p>
    <w:p>
      <w:pPr>
        <w:pStyle w:val="959"/>
        <w:pBdr>
          <w:top w:val="none" w:color="auto" w:sz="0" w:space="1"/>
          <w:left w:val="none" w:color="auto" w:sz="0" w:space="4"/>
          <w:bottom w:val="none" w:color="auto" w:sz="0" w:space="1"/>
          <w:right w:val="none" w:color="auto" w:sz="0" w:space="4"/>
        </w:pBdr>
      </w:pPr>
      <w:r/>
      <w:r/>
    </w:p>
    <w:tbl>
      <w:tblPr>
        <w:tblStyle w:val="70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6"/>
        <w:gridCol w:w="2725"/>
        <w:gridCol w:w="2236"/>
        <w:gridCol w:w="2390"/>
      </w:tblGrid>
      <w:tr>
        <w:trPr>
          <w:jc w:val="center"/>
          <w:trHeight w:val="490"/>
        </w:trPr>
        <w:tc>
          <w:tcPr>
            <w:gridSpan w:val="2"/>
            <w:tcW w:w="4303" w:type="dxa"/>
            <w:vAlign w:val="center"/>
            <w:textDirection w:val="lrTb"/>
            <w:noWrap w:val="false"/>
          </w:tcPr>
          <w:p>
            <w:pPr>
              <w:jc w:val="center"/>
              <w:spacing w:line="300" w:lineRule="exact"/>
              <w:rPr>
                <w:rFonts w:hint="eastAsia"/>
              </w:rPr>
              <w:pBdr>
                <w:top w:val="none" w:color="auto" w:sz="0" w:space="1"/>
                <w:left w:val="none" w:color="auto" w:sz="0" w:space="4"/>
                <w:bottom w:val="none" w:color="auto" w:sz="0" w:space="1"/>
                <w:right w:val="none" w:color="auto" w:sz="0" w:space="4"/>
              </w:pBd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rPr>
                <w:rFonts w:hint="eastAsia"/>
              </w:rPr>
              <w:pBdr>
                <w:top w:val="none" w:color="auto" w:sz="0" w:space="1"/>
                <w:left w:val="none" w:color="auto" w:sz="0" w:space="4"/>
                <w:bottom w:val="none" w:color="auto" w:sz="0" w:space="1"/>
                <w:right w:val="none" w:color="auto" w:sz="0" w:space="4"/>
              </w:pBdr>
            </w:pPr>
            <w:r>
              <w:rPr>
                <w:szCs w:val="21"/>
              </w:rPr>
              <w:t xml:space="preserve">乙方</w:t>
            </w:r>
            <w:r>
              <w:rPr>
                <w:rFonts w:hint="eastAsia"/>
                <w:szCs w:val="21"/>
              </w:rPr>
              <w:t xml:space="preserve">（供应商）</w:t>
            </w:r>
            <w:r/>
          </w:p>
        </w:tc>
      </w:tr>
      <w:tr>
        <w:trPr>
          <w:jc w:val="center"/>
          <w:trHeight w:val="917"/>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1171"/>
        </w:trPr>
        <w:tc>
          <w:tcPr>
            <w:tcW w:w="1891" w:type="dxa"/>
            <w:vAlign w:val="center"/>
            <w:vMerge w:val="restart"/>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法定代表人</w:t>
            </w:r>
            <w:r/>
          </w:p>
          <w:p>
            <w:pPr>
              <w:ind w:firstLine="100"/>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412" w:type="dxa"/>
            <w:vAlign w:val="center"/>
            <w:vMerge w:val="restart"/>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法定代表人</w:t>
            </w:r>
            <w:r/>
          </w:p>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116"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r>
      <w:tr>
        <w:trPr>
          <w:jc w:val="center"/>
          <w:trHeight w:val="483"/>
        </w:trPr>
        <w:tc>
          <w:tcPr>
            <w:tcW w:w="1891"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2412"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拥有者性别</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开户名称</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开户银行</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银行账号</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586"/>
        </w:trPr>
        <w:tc>
          <w:tcPr>
            <w:gridSpan w:val="4"/>
            <w:tcW w:w="8398" w:type="dxa"/>
            <w:vAlign w:val="center"/>
            <w:textDirection w:val="lrTb"/>
            <w:noWrap w:val="false"/>
          </w:tcPr>
          <w:p>
            <w:pPr>
              <w:pStyle w:val="941"/>
              <w:ind w:left="0"/>
              <w:jc w:val="left"/>
              <w:spacing w:after="0" w:line="360" w:lineRule="auto"/>
              <w:rPr>
                <w:spacing w:val="2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注：涉及联合体或其他合同主体的信息应按上表格式加列。</w:t>
            </w:r>
            <w:r/>
          </w:p>
        </w:tc>
      </w:tr>
    </w:tbl>
    <w:p>
      <w:pPr>
        <w:pStyle w:val="927"/>
        <w:jc w:val="center"/>
        <w:spacing w:line="400" w:lineRule="exact"/>
        <w:rPr>
          <w:rFonts w:ascii="黑体" w:hAnsi="黑体" w:eastAsia="黑体"/>
          <w:sz w:val="28"/>
          <w:szCs w:val="28"/>
        </w:rPr>
        <w:pBdr>
          <w:top w:val="none" w:color="auto" w:sz="0" w:space="1"/>
          <w:left w:val="none" w:color="auto" w:sz="0" w:space="4"/>
          <w:bottom w:val="none" w:color="auto" w:sz="0" w:space="1"/>
          <w:right w:val="none" w:color="auto" w:sz="0" w:space="4"/>
        </w:pBd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1.1 合同当事人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4. 甲方的权利和义务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4.1 </w:t>
      </w:r>
      <w:r>
        <w:rPr>
          <w:rFonts w:ascii="宋体" w:hAnsi="宋体"/>
          <w:szCs w:val="21"/>
        </w:rPr>
        <w:t xml:space="preserve">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Bdr>
          <w:top w:val="none" w:color="auto" w:sz="0" w:space="1"/>
          <w:left w:val="none" w:color="auto" w:sz="0" w:space="4"/>
          <w:bottom w:val="none" w:color="auto" w:sz="0" w:space="1"/>
          <w:right w:val="none" w:color="auto" w:sz="0" w:space="4"/>
        </w:pBdr>
      </w:pPr>
      <w:r>
        <w:rPr>
          <w:rFonts w:ascii="宋体" w:hAnsi="宋体"/>
          <w:szCs w:val="21"/>
        </w:rPr>
        <w:t xml:space="preserve">4.4甲方应当按照合同约定及时对交付的货物进行验收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4</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 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5. 乙方的权利和义务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w:t>
      </w:r>
      <w:r>
        <w:rPr>
          <w:rFonts w:ascii="宋体" w:hAnsi="宋体"/>
          <w:szCs w:val="21"/>
        </w:rPr>
        <w:t xml:space="preserve">2乙方应按照合同要求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39"/>
        <w:ind w:firstLine="369"/>
        <w:spacing w:after="0"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 乙方有权</w:t>
      </w:r>
      <w:r>
        <w:rPr>
          <w:rFonts w:hint="eastAsia" w:ascii="宋体" w:hAnsi="宋体" w:cs="宋体"/>
          <w:szCs w:val="21"/>
        </w:rPr>
        <w:t xml:space="preserve">根据合同约定向甲方收取合同价款。</w:t>
      </w:r>
      <w:r/>
    </w:p>
    <w:p>
      <w:pPr>
        <w:pStyle w:val="939"/>
        <w:ind w:firstLine="369"/>
        <w:spacing w:after="0"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58"/>
        <w:ind w:firstLine="420"/>
        <w:rPr>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8. 质量标准和保证</w:t>
      </w:r>
      <w:r/>
    </w:p>
    <w:p>
      <w:pPr>
        <w:pStyle w:val="943"/>
        <w:ind w:firstLine="420"/>
        <w:jc w:val="left"/>
        <w:spacing w:line="400" w:lineRule="exact"/>
        <w:rPr>
          <w:rFonts w:hAnsi="宋体"/>
          <w:b/>
        </w:rPr>
        <w:pBdr>
          <w:top w:val="none" w:color="auto" w:sz="0" w:space="1"/>
          <w:left w:val="none" w:color="auto" w:sz="0" w:space="4"/>
          <w:bottom w:val="none" w:color="auto" w:sz="0" w:space="1"/>
          <w:right w:val="none" w:color="auto" w:sz="0" w:space="4"/>
        </w:pBdr>
      </w:pPr>
      <w:r>
        <w:rPr>
          <w:rFonts w:hint="eastAsia" w:hAnsi="宋体"/>
        </w:rPr>
        <w:t xml:space="preserve">8.1 质量标准</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3"/>
        <w:ind w:firstLine="420"/>
        <w:jc w:val="left"/>
        <w:spacing w:line="400" w:lineRule="exact"/>
        <w:rPr>
          <w:rFonts w:hAnsi="宋体"/>
        </w:rPr>
        <w:pBdr>
          <w:top w:val="none" w:color="auto" w:sz="0" w:space="1"/>
          <w:left w:val="none" w:color="auto" w:sz="0" w:space="4"/>
          <w:bottom w:val="none" w:color="auto" w:sz="0" w:space="1"/>
          <w:right w:val="none" w:color="auto" w:sz="0" w:space="4"/>
        </w:pBdr>
      </w:pPr>
      <w:r>
        <w:rPr>
          <w:rFonts w:hint="eastAsia" w:hAnsi="宋体"/>
        </w:rPr>
        <w:t xml:space="preserve">（2）采用中华人民共和国法定计量单位。</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8.2 保证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9.权利瑕疵担保</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10.知识产权保护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10.1 乙方对其所销售的货物应当享有知识产权或经权利人合法授权，保证没有侵犯任何第三人的知识产权等权利。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11.保密义务</w:t>
      </w:r>
      <w:r/>
    </w:p>
    <w:p>
      <w:pPr>
        <w:ind w:firstLine="420"/>
        <w:jc w:val="left"/>
        <w:spacing w:line="400" w:lineRule="exact"/>
        <w:rPr>
          <w:rFonts w:ascii="宋体" w:hAnsi="宋体" w:cs="宋体"/>
          <w:szCs w:val="15"/>
        </w:rPr>
        <w:pBdr>
          <w:top w:val="none" w:color="auto" w:sz="0" w:space="1"/>
          <w:left w:val="none" w:color="auto" w:sz="0" w:space="4"/>
          <w:bottom w:val="none" w:color="auto" w:sz="0" w:space="1"/>
          <w:right w:val="none" w:color="auto" w:sz="0" w:space="4"/>
        </w:pBd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12.合同价款支付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9"/>
        <w:spacing w:after="0"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8"/>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15.违约责任</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15.3 迟延支付的违约责任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合同变更、中止与终止</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16.1 合同的变更</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16.2 合同的中止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8"/>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16.3 合同的终止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（1）合同因有效期限届满而终止；</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58"/>
        <w:rPr>
          <w:rFonts w:ascii="宋体" w:hAnsi="宋体"/>
        </w:rPr>
        <w:pBdr>
          <w:top w:val="none" w:color="auto" w:sz="0" w:space="1"/>
          <w:left w:val="none" w:color="auto" w:sz="0" w:space="4"/>
          <w:bottom w:val="none" w:color="auto" w:sz="0" w:space="1"/>
          <w:right w:val="none" w:color="auto" w:sz="0" w:space="4"/>
        </w:pBd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58"/>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17.合同分包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18.不可抗力</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19.解决争议的方法</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20.政府采购政策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39"/>
        <w:ind w:firstLine="420"/>
        <w:spacing w:after="0" w:line="400" w:lineRule="exact"/>
        <w:rPr>
          <w:rFonts w:hint="eastAsia"/>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21.法律适用</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21.1 本合同的订立、生效、解释、履行及与本合同有关的争议解决，均适用法律、行政法规。</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22. 通知</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合同未尽事项</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rPr>
        <w:br w:type="page" w:clear="all"/>
      </w:r>
      <w:r/>
    </w:p>
    <w:p>
      <w:pPr>
        <w:pStyle w:val="927"/>
        <w:jc w:val="center"/>
        <w:spacing w:line="400" w:lineRule="exact"/>
        <w:rPr>
          <w:rFonts w:hint="eastAsia"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rPr>
        <w:t xml:space="preserve">第三节 政府采购合同专用条款</w:t>
      </w:r>
      <w:bookmarkEnd w:id="7"/>
      <w:r/>
      <w:r/>
    </w:p>
    <w:tbl>
      <w:tblPr>
        <w:tblStyle w:val="708"/>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联合体具体要求</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其他术语解释</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履行合同义务的顺序</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包装特殊要求</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指定现场</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运输特殊要求</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保险要求</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质量保证期</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货物质量缺陷</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响应时间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乙方在接到甲方通知后在24小时内到达甲方现场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第二节</w:t>
            </w:r>
            <w:r/>
          </w:p>
          <w:p>
            <w:pPr>
              <w:pStyle w:val="958"/>
              <w:ind w:firstLine="0"/>
              <w:jc w:val="center"/>
              <w:pBdr>
                <w:top w:val="none" w:color="auto" w:sz="0" w:space="1"/>
                <w:left w:val="none" w:color="auto" w:sz="0" w:space="4"/>
                <w:bottom w:val="none" w:color="auto" w:sz="0" w:space="1"/>
                <w:right w:val="none" w:color="auto" w:sz="0" w:space="4"/>
              </w:pBd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其他应当保密的信息</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合同价款支付时间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设备安装调试经验收合格后，经审计票据齐全后一次性支付至审计金额的100%</w:t>
            </w:r>
            <w:r>
              <w:rPr>
                <w:rFonts w:ascii="宋体" w:hAnsi="宋体"/>
                <w:szCs w:val="21"/>
              </w:rPr>
              <w:t xml:space="preserve">。</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履约保证金不予退还的情形</w:t>
            </w:r>
            <w:r/>
          </w:p>
        </w:tc>
        <w:tc>
          <w:tcPr>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履约保证金退还时间及逾期退还的违约金</w:t>
            </w:r>
            <w:r/>
          </w:p>
        </w:tc>
        <w:tc>
          <w:tcPr>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运行监督、维修期限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货物回收的约定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乙方提供的其他服务</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修理、重作、更换相关具体规定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ascii="宋体" w:hAnsi="宋体"/>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逾期付款利息</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在逾期</w:t>
            </w:r>
            <w:r>
              <w:rPr>
                <w:rFonts w:ascii="宋体" w:hAnsi="宋体"/>
                <w:szCs w:val="21"/>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其他违约责任</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（1）向仲裁委员会申请仲裁，仲裁地点为        ；</w:t>
            </w:r>
            <w:r/>
          </w:p>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bl>
    <w:p>
      <w:pPr>
        <w:jc w:val="left"/>
        <w:widowControl/>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说明：本项目属性为</w:t>
      </w:r>
      <w:r>
        <w:rPr>
          <w:rFonts w:hint="eastAsia"/>
          <w:b/>
          <w:sz w:val="24"/>
          <w:szCs w:val="24"/>
          <w:u w:val="single"/>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7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058"/>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1447" w:type="dxa"/>
            <w:textDirection w:val="lrTb"/>
            <w:noWrap w:val="false"/>
          </w:tcPr>
          <w:p>
            <w:pPr>
              <w:jc w:val="center"/>
              <w:spacing w:line="500" w:lineRule="exact"/>
              <w:rPr>
                <w:rFonts w:hint="eastAsia"/>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058" w:type="dxa"/>
            <w:textDirection w:val="lrTb"/>
            <w:noWrap w:val="false"/>
          </w:tcPr>
          <w:p>
            <w:pPr>
              <w:jc w:val="center"/>
              <w:spacing w:line="500" w:lineRule="exact"/>
              <w:rPr>
                <w:rFonts w:hint="eastAsia"/>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tcW w:w="1447" w:type="dxa"/>
            <w:vAlign w:val="center"/>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7058" w:type="dxa"/>
            <w:textDirection w:val="lrTb"/>
            <w:noWrap w:val="false"/>
          </w:tcPr>
          <w:p>
            <w:pPr>
              <w:spacing w:line="360" w:lineRule="auto"/>
              <w:rPr>
                <w:rFonts w:ascii="宋体" w:hAnsi="宋体"/>
                <w:b/>
                <w:bCs/>
                <w:i/>
                <w:iCs/>
                <w:sz w:val="24"/>
                <w:szCs w:val="24"/>
                <w:u w:val="single"/>
              </w:rPr>
            </w:pPr>
            <w:r>
              <w:rPr>
                <w:rFonts w:hint="eastAsia" w:ascii="宋体" w:hAnsi="宋体"/>
                <w:b/>
                <w:bCs/>
                <w:i/>
                <w:iCs/>
                <w:sz w:val="24"/>
                <w:szCs w:val="24"/>
                <w:u w:val="single"/>
              </w:rPr>
              <w:t xml:space="preserve">2.1光学元件密封于恒温光室中，保证最低的检出限和优异的长期稳定性。</w:t>
            </w:r>
            <w:r/>
          </w:p>
          <w:p>
            <w:pPr>
              <w:spacing w:line="360" w:lineRule="auto"/>
              <w:rPr>
                <w:rFonts w:ascii="宋体" w:hAnsi="宋体"/>
                <w:b/>
                <w:bCs/>
                <w:i/>
                <w:iCs/>
                <w:sz w:val="24"/>
                <w:szCs w:val="24"/>
                <w:u w:val="single"/>
              </w:rPr>
            </w:pPr>
            <w:r>
              <w:rPr>
                <w:rFonts w:hint="eastAsia" w:ascii="宋体" w:hAnsi="宋体" w:cs="宋体"/>
                <w:b/>
                <w:bCs/>
                <w:i/>
                <w:iCs/>
                <w:sz w:val="24"/>
                <w:szCs w:val="24"/>
                <w:u w:val="single"/>
              </w:rPr>
              <w:t xml:space="preserve">2.</w:t>
            </w:r>
            <w:r>
              <w:rPr>
                <w:rFonts w:ascii="宋体" w:hAnsi="宋体" w:cs="宋体"/>
                <w:b/>
                <w:bCs/>
                <w:i/>
                <w:iCs/>
                <w:sz w:val="24"/>
                <w:szCs w:val="24"/>
                <w:u w:val="single"/>
              </w:rPr>
              <w:t xml:space="preserve">7</w:t>
            </w:r>
            <w:r>
              <w:rPr>
                <w:rFonts w:hint="eastAsia" w:ascii="宋体" w:hAnsi="宋体" w:cs="宋体"/>
                <w:b/>
                <w:bCs/>
                <w:i/>
                <w:iCs/>
                <w:sz w:val="24"/>
                <w:szCs w:val="24"/>
                <w:u w:val="single"/>
              </w:rPr>
              <w:t xml:space="preserve">等离子体观测方式有轴向和径向两种</w:t>
            </w:r>
            <w:r>
              <w:rPr>
                <w:rFonts w:hint="eastAsia" w:ascii="宋体" w:hAnsi="宋体" w:cs="宋体"/>
                <w:i/>
                <w:iCs/>
                <w:sz w:val="24"/>
                <w:szCs w:val="24"/>
                <w:u w:val="single"/>
              </w:rPr>
              <w:t xml:space="preserve">（</w:t>
            </w:r>
            <w:r>
              <w:rPr>
                <w:rFonts w:hint="eastAsia" w:ascii="宋体" w:hAnsi="宋体" w:cs="宋体"/>
                <w:b/>
                <w:bCs/>
                <w:i/>
                <w:iCs/>
                <w:sz w:val="24"/>
                <w:szCs w:val="24"/>
                <w:u w:val="single"/>
              </w:rPr>
              <w:t xml:space="preserve">提供官方彩页或技术说明书或软件截图证明）</w:t>
            </w:r>
            <w:r/>
          </w:p>
        </w:tc>
      </w:tr>
      <w:tr>
        <w:trPr>
          <w:jc w:val="center"/>
        </w:trPr>
        <w:tc>
          <w:tcPr>
            <w:tcW w:w="1447" w:type="dxa"/>
            <w:vAlign w:val="center"/>
            <w:vMerge w:val="restart"/>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w:t>
            </w:r>
            <w:r/>
          </w:p>
        </w:tc>
        <w:tc>
          <w:tcPr>
            <w:tcW w:w="7058" w:type="dxa"/>
            <w:textDirection w:val="lrTb"/>
            <w:noWrap w:val="false"/>
          </w:tcPr>
          <w:p>
            <w:pPr>
              <w:jc w:val="left"/>
              <w:spacing w:line="500" w:lineRule="exact"/>
              <w:rPr>
                <w:rFonts w:ascii="宋体" w:hAnsi="宋体" w:cs="宋体"/>
                <w:b/>
                <w:bCs/>
                <w:i/>
                <w:iCs/>
                <w:u w:val="single"/>
              </w:rPr>
              <w:pBdr>
                <w:top w:val="none" w:color="auto" w:sz="0" w:space="1"/>
                <w:left w:val="none" w:color="auto" w:sz="0" w:space="4"/>
                <w:bottom w:val="none" w:color="auto" w:sz="0" w:space="1"/>
                <w:right w:val="none" w:color="auto" w:sz="0" w:space="4"/>
              </w:pBdr>
            </w:pPr>
            <w:r>
              <w:rPr>
                <w:rFonts w:ascii="宋体" w:hAnsi="宋体"/>
                <w:b/>
                <w:i/>
                <w:iCs/>
                <w:sz w:val="24"/>
                <w:szCs w:val="24"/>
                <w:u w:val="single"/>
              </w:rPr>
              <w:t xml:space="preserve">2.1 </w:t>
            </w:r>
            <w:r>
              <w:rPr>
                <w:rFonts w:ascii="宋体" w:hAnsi="宋体"/>
                <w:b/>
                <w:bCs/>
                <w:i/>
                <w:iCs/>
                <w:sz w:val="24"/>
                <w:szCs w:val="24"/>
                <w:u w:val="single"/>
              </w:rPr>
              <w:t xml:space="preserve">光学系统：</w:t>
            </w:r>
            <w:r>
              <w:rPr>
                <w:rFonts w:hint="eastAsia" w:ascii="宋体" w:hAnsi="宋体"/>
                <w:b/>
                <w:bCs/>
                <w:i/>
                <w:iCs/>
                <w:sz w:val="24"/>
                <w:szCs w:val="24"/>
                <w:u w:val="single"/>
              </w:rPr>
              <w:t xml:space="preserve">单光束</w:t>
            </w:r>
            <w:r>
              <w:rPr>
                <w:rFonts w:ascii="宋体" w:hAnsi="宋体"/>
                <w:b/>
                <w:bCs/>
                <w:i/>
                <w:iCs/>
                <w:sz w:val="24"/>
                <w:szCs w:val="24"/>
                <w:u w:val="single"/>
              </w:rPr>
              <w:t xml:space="preserve">/双光束自动切换。</w:t>
            </w:r>
            <w:r/>
          </w:p>
        </w:tc>
      </w:tr>
      <w:tr>
        <w:trPr>
          <w:jc w:val="center"/>
        </w:trPr>
        <w:tc>
          <w:tcPr>
            <w:tcW w:w="1447" w:type="dxa"/>
            <w:vAlign w:val="center"/>
            <w:vMerge w:val="continue"/>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tc>
        <w:tc>
          <w:tcPr>
            <w:tcW w:w="7058" w:type="dxa"/>
            <w:textDirection w:val="lrTb"/>
            <w:noWrap w:val="false"/>
          </w:tcPr>
          <w:p>
            <w:pPr>
              <w:jc w:val="left"/>
              <w:spacing w:line="500" w:lineRule="exact"/>
              <w:rPr>
                <w:rFonts w:ascii="宋体" w:hAnsi="宋体" w:cs="宋体"/>
                <w:b/>
                <w:bCs/>
                <w:i/>
                <w:iCs/>
                <w:u w:val="single"/>
              </w:rPr>
              <w:pBdr>
                <w:top w:val="none" w:color="auto" w:sz="0" w:space="1"/>
                <w:left w:val="none" w:color="auto" w:sz="0" w:space="4"/>
                <w:bottom w:val="none" w:color="auto" w:sz="0" w:space="1"/>
                <w:right w:val="none" w:color="auto" w:sz="0" w:space="4"/>
              </w:pBdr>
            </w:pPr>
            <w:r>
              <w:rPr>
                <w:rFonts w:hint="eastAsia" w:ascii="宋体" w:hAnsi="宋体"/>
                <w:b/>
                <w:i/>
                <w:iCs/>
                <w:sz w:val="24"/>
                <w:szCs w:val="24"/>
                <w:u w:val="single"/>
              </w:rPr>
              <w:t xml:space="preserve">3.</w:t>
            </w:r>
            <w:r>
              <w:rPr>
                <w:rFonts w:ascii="宋体" w:hAnsi="宋体"/>
                <w:b/>
                <w:i/>
                <w:iCs/>
                <w:sz w:val="24"/>
                <w:szCs w:val="24"/>
                <w:u w:val="single"/>
              </w:rPr>
              <w:t xml:space="preserve">5</w:t>
            </w:r>
            <w:r>
              <w:rPr>
                <w:rFonts w:hint="eastAsia" w:ascii="宋体" w:hAnsi="宋体"/>
                <w:b/>
                <w:bCs/>
                <w:i/>
                <w:iCs/>
                <w:sz w:val="24"/>
                <w:szCs w:val="24"/>
                <w:u w:val="single"/>
              </w:rPr>
              <w:t xml:space="preserve">配石墨炉加氧除碳炉内消解装置</w:t>
            </w:r>
            <w:r/>
          </w:p>
        </w:tc>
      </w:tr>
      <w:tr>
        <w:trPr>
          <w:jc w:val="center"/>
        </w:trPr>
        <w:tc>
          <w:tcPr>
            <w:tcW w:w="1447" w:type="dxa"/>
            <w:vAlign w:val="center"/>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w:t>
            </w:r>
            <w:r/>
          </w:p>
        </w:tc>
        <w:tc>
          <w:tcPr>
            <w:tcW w:w="7058" w:type="dxa"/>
            <w:textDirection w:val="lrTb"/>
            <w:noWrap w:val="false"/>
          </w:tcPr>
          <w:p>
            <w:pPr>
              <w:jc w:val="left"/>
              <w:spacing w:line="360" w:lineRule="auto"/>
              <w:rPr>
                <w:rFonts w:ascii="宋体" w:hAnsi="宋体"/>
                <w:b/>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合同履行期限（交货期）：合同签订后40工作日内供货、安装、调试完毕。</w:t>
            </w:r>
            <w:r/>
          </w:p>
        </w:tc>
      </w:tr>
      <w:tr>
        <w:trPr>
          <w:jc w:val="center"/>
        </w:trPr>
        <w:tc>
          <w:tcPr>
            <w:tcW w:w="1447" w:type="dxa"/>
            <w:vAlign w:val="center"/>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w:t>
            </w:r>
            <w:r/>
          </w:p>
        </w:tc>
        <w:tc>
          <w:tcPr>
            <w:tcW w:w="7058" w:type="dxa"/>
            <w:textDirection w:val="lrTb"/>
            <w:noWrap w:val="false"/>
          </w:tcPr>
          <w:p>
            <w:pPr>
              <w:jc w:val="left"/>
              <w:spacing w:line="360" w:lineRule="auto"/>
              <w:rPr>
                <w:rFonts w:ascii="宋体" w:hAnsi="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Arial"/>
                <w:b/>
                <w:bCs/>
                <w:i/>
                <w:iCs/>
                <w:sz w:val="24"/>
                <w:szCs w:val="24"/>
                <w:u w:val="single"/>
              </w:rPr>
              <w:t xml:space="preserve">安装调试合格之日起不少于二年原厂质保。</w:t>
            </w:r>
            <w:r>
              <w:rPr>
                <w:rFonts w:hint="eastAsia" w:ascii="宋体" w:hAnsi="宋体"/>
                <w:b/>
                <w:bCs/>
                <w:i/>
                <w:iCs/>
                <w:sz w:val="24"/>
                <w:szCs w:val="24"/>
                <w:u w:val="single"/>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r>
        <w:trPr>
          <w:jc w:val="center"/>
        </w:trPr>
        <w:tc>
          <w:tcPr>
            <w:tcW w:w="1447" w:type="dxa"/>
            <w:vAlign w:val="center"/>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w:t>
            </w:r>
            <w:r/>
          </w:p>
        </w:tc>
        <w:tc>
          <w:tcPr>
            <w:tcW w:w="7058" w:type="dxa"/>
            <w:textDirection w:val="lrTb"/>
            <w:noWrap w:val="false"/>
          </w:tcPr>
          <w:p>
            <w:pPr>
              <w:jc w:val="left"/>
              <w:spacing w:line="500" w:lineRule="exact"/>
              <w:rPr>
                <w:rFonts w:ascii="宋体" w:hAnsi="宋体"/>
                <w:b/>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设备安装调试经验收合格后，经审计票据齐全后一次性支付至审计金额的100%</w:t>
            </w:r>
            <w:r/>
          </w:p>
        </w:tc>
      </w:tr>
    </w:tbl>
    <w:p>
      <w:pPr>
        <w:ind w:firstLine="480"/>
        <w:jc w:val="left"/>
        <w:spacing w:line="500" w:lineRule="exact"/>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sz w:val="24"/>
          <w:szCs w:val="24"/>
        </w:rPr>
        <w:t xml:space="preserve">3、本项目核心产品为：</w:t>
      </w:r>
      <w:r>
        <w:rPr>
          <w:rFonts w:hint="eastAsia" w:ascii="宋体" w:hAnsi="宋体"/>
          <w:b/>
          <w:sz w:val="24"/>
          <w:u w:val="single"/>
        </w:rPr>
        <w:t xml:space="preserve"> 电感耦合等离子体光谱仪</w:t>
      </w:r>
      <w:r>
        <w:rPr>
          <w:rFonts w:hint="eastAsia"/>
          <w:sz w:val="24"/>
          <w:szCs w:val="24"/>
        </w:rPr>
        <w:t xml:space="preserve">。</w:t>
      </w:r>
      <w:r/>
    </w:p>
    <w:p>
      <w:pPr>
        <w:ind w:firstLine="562"/>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一、项目概况</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连云港市疾病预防控制中心因实验室工作需求，采购电感耦合等离子体光谱仪、原子吸收光谱仪（带石墨炉）。</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二、货物（标的）采购清单</w:t>
      </w:r>
      <w:r/>
    </w:p>
    <w:tbl>
      <w:tblPr>
        <w:tblStyle w:val="708"/>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3471"/>
        <w:gridCol w:w="1225"/>
        <w:gridCol w:w="1620"/>
        <w:gridCol w:w="2415"/>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单位</w:t>
            </w:r>
            <w:r/>
          </w:p>
        </w:tc>
        <w:tc>
          <w:tcPr>
            <w:tcW w:w="2478" w:type="dxa"/>
            <w:vAlign w:val="center"/>
            <w:textDirection w:val="lrTb"/>
            <w:noWrap w:val="false"/>
          </w:tcPr>
          <w:p>
            <w:pPr>
              <w:jc w:val="center"/>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356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电感耦合等离子体光谱仪</w:t>
            </w:r>
            <w:r/>
          </w:p>
        </w:tc>
        <w:tc>
          <w:tcPr>
            <w:tcW w:w="125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1657"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台</w:t>
            </w:r>
            <w:r/>
          </w:p>
        </w:tc>
        <w:tc>
          <w:tcPr>
            <w:tcW w:w="2478"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2</w:t>
            </w:r>
            <w:r/>
          </w:p>
        </w:tc>
        <w:tc>
          <w:tcPr>
            <w:tcW w:w="356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原子吸收光谱仪（带石墨炉）</w:t>
            </w:r>
            <w:r/>
          </w:p>
        </w:tc>
        <w:tc>
          <w:tcPr>
            <w:tcW w:w="125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1657"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台</w:t>
            </w:r>
            <w:r/>
          </w:p>
        </w:tc>
        <w:tc>
          <w:tcPr>
            <w:tcW w:w="2478"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工业</w:t>
            </w:r>
            <w:r/>
          </w:p>
        </w:tc>
      </w:tr>
    </w:tbl>
    <w:p>
      <w:pPr>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ascii="Times New Roman" w:hAnsi="Times New Roman"/>
          <w:b/>
          <w:sz w:val="28"/>
          <w:szCs w:val="28"/>
        </w:rPr>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三、货物（标的）技术参数及功能指标</w:t>
      </w:r>
      <w:r/>
    </w:p>
    <w:tbl>
      <w:tblPr>
        <w:tblStyle w:val="7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111"/>
        <w:gridCol w:w="6833"/>
      </w:tblGrid>
      <w:tr>
        <w:trPr>
          <w:jc w:val="center"/>
        </w:trPr>
        <w:tc>
          <w:tcPr>
            <w:tcW w:w="355"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序号</w:t>
            </w:r>
            <w:r/>
          </w:p>
        </w:tc>
        <w:tc>
          <w:tcPr>
            <w:tcW w:w="1096"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3548"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技术参数及功能指标</w:t>
            </w:r>
            <w:r/>
          </w:p>
        </w:tc>
      </w:tr>
      <w:tr>
        <w:trPr>
          <w:jc w:val="center"/>
        </w:trPr>
        <w:tc>
          <w:tcPr>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w:t>
            </w:r>
            <w:r/>
          </w:p>
        </w:tc>
        <w:tc>
          <w:tcPr>
            <w:tcW w:w="1096"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电感耦合等离子体光谱仪</w:t>
            </w:r>
            <w:r/>
          </w:p>
        </w:tc>
        <w:tc>
          <w:tcPr>
            <w:tcW w:w="3548" w:type="pct"/>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1、工作条件：</w:t>
            </w:r>
            <w:r/>
          </w:p>
          <w:p>
            <w:pPr>
              <w:spacing w:line="360" w:lineRule="auto"/>
              <w:rPr>
                <w:rFonts w:ascii="宋体" w:hAnsi="宋体"/>
                <w:sz w:val="24"/>
                <w:szCs w:val="24"/>
              </w:rPr>
            </w:pPr>
            <w:r>
              <w:rPr>
                <w:rFonts w:hint="eastAsia" w:ascii="宋体" w:hAnsi="宋体"/>
                <w:sz w:val="24"/>
                <w:szCs w:val="24"/>
              </w:rPr>
              <w:t xml:space="preserve">1.1 适于在气温+15℃～+35℃，相对湿度20-80％的环境条件下长期连续运行</w:t>
            </w:r>
            <w:r/>
          </w:p>
          <w:p>
            <w:pPr>
              <w:spacing w:line="360" w:lineRule="auto"/>
              <w:rPr>
                <w:rFonts w:ascii="宋体" w:hAnsi="宋体"/>
                <w:sz w:val="24"/>
                <w:szCs w:val="24"/>
              </w:rPr>
            </w:pPr>
            <w:r>
              <w:rPr>
                <w:rFonts w:hint="eastAsia" w:ascii="宋体" w:hAnsi="宋体"/>
                <w:sz w:val="24"/>
                <w:szCs w:val="24"/>
              </w:rPr>
              <w:t xml:space="preserve">1.2 适于在交流电源相电压为230V±10％，频率50/60Hz的电网条件下长期正常工作</w:t>
            </w:r>
            <w:r/>
          </w:p>
          <w:p>
            <w:pPr>
              <w:spacing w:line="360" w:lineRule="auto"/>
              <w:rPr>
                <w:rFonts w:ascii="宋体" w:hAnsi="宋体"/>
                <w:b/>
                <w:sz w:val="24"/>
                <w:szCs w:val="24"/>
              </w:rPr>
            </w:pPr>
            <w:r>
              <w:rPr>
                <w:rFonts w:hint="eastAsia" w:ascii="宋体" w:hAnsi="宋体"/>
                <w:b/>
                <w:sz w:val="24"/>
                <w:szCs w:val="24"/>
              </w:rPr>
              <w:t xml:space="preserve">2</w:t>
            </w:r>
            <w:r>
              <w:rPr>
                <w:rFonts w:hint="eastAsia" w:ascii="宋体" w:hAnsi="宋体"/>
                <w:b/>
                <w:bCs/>
                <w:sz w:val="24"/>
                <w:szCs w:val="24"/>
              </w:rPr>
              <w:t xml:space="preserve">技术</w:t>
            </w:r>
            <w:r>
              <w:rPr>
                <w:rFonts w:hint="eastAsia" w:ascii="宋体" w:hAnsi="宋体"/>
                <w:b/>
                <w:sz w:val="24"/>
                <w:szCs w:val="24"/>
              </w:rPr>
              <w:t xml:space="preserve">规格</w:t>
            </w:r>
            <w:r/>
          </w:p>
          <w:p>
            <w:pPr>
              <w:spacing w:line="360" w:lineRule="auto"/>
              <w:rPr>
                <w:rFonts w:ascii="宋体" w:hAnsi="宋体"/>
                <w:b/>
                <w:bCs/>
                <w:i/>
                <w:iCs/>
                <w:sz w:val="24"/>
                <w:szCs w:val="24"/>
                <w:u w:val="single"/>
              </w:rPr>
            </w:pPr>
            <w:r>
              <w:rPr>
                <w:rFonts w:hint="eastAsia" w:ascii="宋体" w:hAnsi="宋体"/>
                <w:b/>
                <w:bCs/>
                <w:i/>
                <w:iCs/>
                <w:sz w:val="24"/>
                <w:szCs w:val="24"/>
                <w:u w:val="single"/>
              </w:rPr>
              <w:t xml:space="preserve">2.1光学元件密封于恒温光室中，保证最低的检出限和优异的长期稳定性。</w:t>
            </w:r>
            <w:r/>
          </w:p>
          <w:p>
            <w:pPr>
              <w:spacing w:line="360" w:lineRule="auto"/>
              <w:rPr>
                <w:rFonts w:ascii="宋体" w:hAnsi="宋体"/>
                <w:sz w:val="24"/>
                <w:szCs w:val="24"/>
              </w:rPr>
            </w:pPr>
            <w:r>
              <w:rPr>
                <w:rFonts w:hint="eastAsia" w:ascii="宋体" w:hAnsi="宋体"/>
                <w:sz w:val="24"/>
                <w:szCs w:val="24"/>
              </w:rPr>
              <w:t xml:space="preserve">2.2分析1ppm的锰标准溶液，Mn 257nm谱线的强度不少于50万cps或cts。</w:t>
            </w:r>
            <w:r/>
          </w:p>
          <w:p>
            <w:pPr>
              <w:spacing w:line="360" w:lineRule="auto"/>
              <w:rPr>
                <w:rFonts w:ascii="宋体" w:hAnsi="宋体"/>
                <w:sz w:val="24"/>
                <w:szCs w:val="24"/>
              </w:rPr>
            </w:pPr>
            <w:r>
              <w:rPr>
                <w:rFonts w:hint="eastAsia" w:ascii="宋体" w:hAnsi="宋体"/>
                <w:sz w:val="24"/>
                <w:szCs w:val="24"/>
              </w:rPr>
              <w:t xml:space="preserve">2.3样品中主要成分的高精密度分析，对于1%以上含量的成分分析，6次分析RSD优于0.5%。</w:t>
            </w:r>
            <w:r/>
          </w:p>
          <w:p>
            <w:pP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耐氢氟酸（HF）进样系统，至少耐：浓度≥</w:t>
            </w:r>
            <w:r>
              <w:rPr>
                <w:rFonts w:ascii="宋体" w:hAnsi="宋体"/>
                <w:sz w:val="24"/>
                <w:szCs w:val="24"/>
              </w:rPr>
              <w:t xml:space="preserve">20</w:t>
            </w:r>
            <w:r>
              <w:rPr>
                <w:rFonts w:hint="eastAsia" w:ascii="宋体" w:hAnsi="宋体"/>
                <w:sz w:val="24"/>
                <w:szCs w:val="24"/>
              </w:rPr>
              <w:t xml:space="preserve">% (v/v) 的盐酸、硝酸；浓度≥20% (v/v) 的氢氟酸；浓度≥2</w:t>
            </w:r>
            <w:r>
              <w:rPr>
                <w:rFonts w:ascii="宋体" w:hAnsi="宋体"/>
                <w:sz w:val="24"/>
                <w:szCs w:val="24"/>
              </w:rPr>
              <w:t xml:space="preserve">0</w:t>
            </w:r>
            <w:r>
              <w:rPr>
                <w:rFonts w:hint="eastAsia" w:ascii="宋体" w:hAnsi="宋体"/>
                <w:sz w:val="24"/>
                <w:szCs w:val="24"/>
              </w:rPr>
              <w:t xml:space="preserve">%的高盐溶液等。</w:t>
            </w:r>
            <w:r/>
          </w:p>
          <w:p>
            <w:pPr>
              <w:spacing w:line="360" w:lineRule="auto"/>
              <w:rPr>
                <w:rFonts w:ascii="宋体" w:hAnsi="宋体" w:cs="Tahoma"/>
                <w:sz w:val="24"/>
                <w:szCs w:val="24"/>
              </w:rPr>
            </w:pPr>
            <w:r>
              <w:rPr>
                <w:rFonts w:hint="eastAsia" w:ascii="宋体" w:hAnsi="宋体" w:cs="Tahoma"/>
                <w:sz w:val="24"/>
                <w:szCs w:val="24"/>
              </w:rPr>
              <w:t xml:space="preserve">2.</w:t>
            </w:r>
            <w:r>
              <w:rPr>
                <w:rFonts w:ascii="宋体" w:hAnsi="宋体" w:cs="Tahoma"/>
                <w:sz w:val="24"/>
                <w:szCs w:val="24"/>
              </w:rPr>
              <w:t xml:space="preserve">5</w:t>
            </w:r>
            <w:r>
              <w:rPr>
                <w:rFonts w:hint="eastAsia" w:ascii="宋体" w:hAnsi="宋体" w:cs="Tahoma"/>
                <w:sz w:val="24"/>
                <w:szCs w:val="24"/>
              </w:rPr>
              <w:t xml:space="preserve">蠕动泵具有智能快速冲洗功能，随时监测特定的谱线，直至其强度降低到设定值后才开始分析下一个样品。</w:t>
            </w:r>
            <w:r/>
          </w:p>
          <w:p>
            <w:pPr>
              <w:spacing w:line="360" w:lineRule="auto"/>
              <w:rPr>
                <w:rFonts w:ascii="宋体" w:hAnsi="宋体" w:cs="宋体"/>
                <w:sz w:val="24"/>
                <w:szCs w:val="24"/>
              </w:rPr>
            </w:pPr>
            <w:r>
              <w:rPr>
                <w:rFonts w:hint="eastAsia" w:ascii="宋体" w:hAnsi="宋体" w:cs="Tahoma"/>
                <w:sz w:val="24"/>
                <w:szCs w:val="24"/>
              </w:rPr>
              <w:t xml:space="preserve">2.</w:t>
            </w:r>
            <w:r>
              <w:rPr>
                <w:rFonts w:ascii="宋体" w:hAnsi="宋体" w:cs="Tahoma"/>
                <w:sz w:val="24"/>
                <w:szCs w:val="24"/>
              </w:rPr>
              <w:t xml:space="preserve">6</w:t>
            </w:r>
            <w:r>
              <w:rPr>
                <w:rFonts w:hint="eastAsia" w:ascii="宋体" w:hAnsi="宋体" w:cs="宋体"/>
                <w:sz w:val="24"/>
                <w:szCs w:val="24"/>
              </w:rPr>
              <w:t xml:space="preserve">自激式射频发生器，</w:t>
            </w:r>
            <w:r>
              <w:rPr>
                <w:rFonts w:hint="eastAsia" w:ascii="宋体" w:hAnsi="宋体"/>
                <w:sz w:val="24"/>
                <w:szCs w:val="24"/>
              </w:rPr>
              <w:t xml:space="preserve">频率≥</w:t>
            </w:r>
            <w:r>
              <w:rPr>
                <w:rFonts w:ascii="宋体" w:hAnsi="宋体"/>
                <w:sz w:val="24"/>
                <w:szCs w:val="24"/>
              </w:rPr>
              <w:t xml:space="preserve">40</w:t>
            </w:r>
            <w:r>
              <w:rPr>
                <w:rFonts w:hint="eastAsia" w:ascii="宋体" w:hAnsi="宋体"/>
                <w:sz w:val="24"/>
                <w:szCs w:val="24"/>
              </w:rPr>
              <w:t xml:space="preserve">MHz</w:t>
            </w:r>
            <w:r>
              <w:rPr>
                <w:rFonts w:hint="eastAsia" w:ascii="宋体" w:hAnsi="宋体" w:cs="宋体"/>
                <w:sz w:val="24"/>
                <w:szCs w:val="24"/>
              </w:rPr>
              <w:t xml:space="preserve">；功率稳定性：≤</w:t>
            </w:r>
            <w:r>
              <w:rPr>
                <w:rFonts w:hint="eastAsia" w:ascii="宋体" w:hAnsi="宋体"/>
                <w:sz w:val="24"/>
                <w:szCs w:val="24"/>
              </w:rPr>
              <w:t xml:space="preserve">0.1%</w:t>
            </w:r>
            <w:r>
              <w:rPr>
                <w:rFonts w:hint="eastAsia" w:ascii="宋体" w:hAnsi="宋体" w:cs="宋体"/>
                <w:sz w:val="24"/>
                <w:szCs w:val="24"/>
              </w:rPr>
              <w:t xml:space="preserve">；射频发生器的功率传输效率≥</w:t>
            </w:r>
            <w:r>
              <w:rPr>
                <w:rFonts w:hint="eastAsia" w:ascii="宋体" w:hAnsi="宋体"/>
                <w:sz w:val="24"/>
                <w:szCs w:val="24"/>
              </w:rPr>
              <w:t xml:space="preserve">81%</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b/>
                <w:bCs/>
                <w:i/>
                <w:iCs/>
                <w:sz w:val="24"/>
                <w:szCs w:val="24"/>
                <w:u w:val="single"/>
              </w:rPr>
              <w:t xml:space="preserve">2.</w:t>
            </w:r>
            <w:r>
              <w:rPr>
                <w:rFonts w:ascii="宋体" w:hAnsi="宋体" w:cs="宋体"/>
                <w:b/>
                <w:bCs/>
                <w:i/>
                <w:iCs/>
                <w:sz w:val="24"/>
                <w:szCs w:val="24"/>
                <w:u w:val="single"/>
              </w:rPr>
              <w:t xml:space="preserve">7</w:t>
            </w:r>
            <w:r>
              <w:rPr>
                <w:rFonts w:hint="eastAsia" w:ascii="宋体" w:hAnsi="宋体" w:cs="宋体"/>
                <w:b/>
                <w:bCs/>
                <w:i/>
                <w:iCs/>
                <w:sz w:val="24"/>
                <w:szCs w:val="24"/>
                <w:u w:val="single"/>
              </w:rPr>
              <w:t xml:space="preserve">等离子体观测方式有轴向和径向两种</w:t>
            </w:r>
            <w:r>
              <w:rPr>
                <w:rFonts w:hint="eastAsia" w:ascii="宋体" w:hAnsi="宋体" w:cs="宋体"/>
                <w:i/>
                <w:iCs/>
                <w:sz w:val="24"/>
                <w:szCs w:val="24"/>
                <w:u w:val="single"/>
              </w:rPr>
              <w:t xml:space="preserve">（</w:t>
            </w:r>
            <w:r>
              <w:rPr>
                <w:rFonts w:hint="eastAsia" w:ascii="宋体" w:hAnsi="宋体" w:cs="宋体"/>
                <w:b/>
                <w:bCs/>
                <w:i/>
                <w:iCs/>
                <w:sz w:val="24"/>
                <w:szCs w:val="24"/>
                <w:u w:val="single"/>
              </w:rPr>
              <w:t xml:space="preserve">提供官方彩页或技术说明书或软件截图证明）</w:t>
            </w:r>
            <w:r/>
          </w:p>
          <w:p>
            <w:pPr>
              <w:spacing w:line="360" w:lineRule="auto"/>
              <w:rPr>
                <w:rFonts w:ascii="宋体" w:hAnsi="宋体" w:cs="Tahoma"/>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等离子体具有实时全彩色摄像系统，操作者在仪器的控制软件中可以实时全彩色看到等离子体的运行图形，并观察炬管、炬管中心管是否变脏需要清洗。</w:t>
            </w:r>
            <w:r>
              <w:rPr>
                <w:rFonts w:hint="eastAsia" w:ascii="宋体" w:hAnsi="宋体"/>
                <w:b/>
                <w:bCs/>
                <w:sz w:val="24"/>
                <w:szCs w:val="24"/>
              </w:rPr>
              <w:t xml:space="preserve">（提供1/500秒、1/1000秒、1/2000秒摄像速度抓拍等离子体照片软件截图）。</w:t>
            </w:r>
            <w:r/>
          </w:p>
          <w:p>
            <w:pPr>
              <w:spacing w:line="360" w:lineRule="auto"/>
              <w:rPr>
                <w:rFonts w:ascii="宋体" w:hAnsi="宋体" w:cs="Tahoma"/>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系统类型：高性能二维(交叉)色散中阶梯光栅(或棱镜)，波长范围：不小于165-780nm。</w:t>
            </w:r>
            <w:r/>
          </w:p>
          <w:p>
            <w:pP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10</w:t>
            </w:r>
            <w:r>
              <w:rPr>
                <w:rFonts w:hint="eastAsia" w:ascii="宋体" w:hAnsi="宋体"/>
                <w:sz w:val="24"/>
                <w:szCs w:val="24"/>
              </w:rPr>
              <w:t xml:space="preserve">在光学设计上采用全谱直读的设计，而且强光和弱光同时测量可以采用不同的积分时间，以避免检测器的损坏，曝光时间和曝光次数自动确定，随样品中谱线的不同而自动变化，无需人工设置积分时间。</w:t>
            </w:r>
            <w:r>
              <w:rPr>
                <w:rFonts w:hint="eastAsia" w:ascii="宋体" w:hAnsi="宋体"/>
                <w:b/>
                <w:bCs/>
                <w:sz w:val="24"/>
                <w:szCs w:val="24"/>
              </w:rPr>
              <w:t xml:space="preserve">（提供</w:t>
            </w:r>
            <w:r>
              <w:rPr>
                <w:rFonts w:hint="eastAsia" w:ascii="宋体" w:hAnsi="宋体"/>
                <w:b/>
                <w:sz w:val="24"/>
                <w:szCs w:val="24"/>
              </w:rPr>
              <w:t xml:space="preserve">官方彩页或技术说明书或软件截图证明</w:t>
            </w:r>
            <w:r>
              <w:rPr>
                <w:rFonts w:hint="eastAsia" w:ascii="宋体" w:hAnsi="宋体"/>
                <w:b/>
                <w:bCs/>
                <w:sz w:val="24"/>
                <w:szCs w:val="24"/>
              </w:rPr>
              <w:t xml:space="preserve">）</w:t>
            </w:r>
            <w:r/>
          </w:p>
          <w:p>
            <w:pPr>
              <w:spacing w:line="360" w:lineRule="auto"/>
              <w:rPr>
                <w:rFonts w:ascii="宋体" w:hAnsi="宋体"/>
                <w:sz w:val="24"/>
                <w:szCs w:val="24"/>
              </w:rPr>
            </w:pPr>
            <w:r>
              <w:rPr>
                <w:rFonts w:hint="eastAsia" w:ascii="宋体" w:hAnsi="宋体"/>
                <w:sz w:val="24"/>
                <w:szCs w:val="24"/>
              </w:rPr>
              <w:t xml:space="preserve">2.1</w:t>
            </w:r>
            <w:r>
              <w:rPr>
                <w:rFonts w:ascii="宋体" w:hAnsi="宋体"/>
                <w:sz w:val="24"/>
                <w:szCs w:val="24"/>
              </w:rPr>
              <w:t xml:space="preserve">1</w:t>
            </w:r>
            <w:r>
              <w:rPr>
                <w:rFonts w:hint="eastAsia" w:ascii="宋体" w:hAnsi="宋体"/>
                <w:sz w:val="24"/>
                <w:szCs w:val="24"/>
              </w:rPr>
              <w:t xml:space="preserve">最小积分时间≤1秒。</w:t>
            </w:r>
            <w:r/>
          </w:p>
          <w:p>
            <w:pPr>
              <w:spacing w:line="360" w:lineRule="auto"/>
              <w:rPr>
                <w:rFonts w:ascii="宋体" w:hAnsi="宋体" w:cs="Tahoma"/>
                <w:sz w:val="24"/>
                <w:szCs w:val="24"/>
              </w:rPr>
            </w:pPr>
            <w:r>
              <w:rPr>
                <w:rFonts w:hint="eastAsia" w:ascii="宋体" w:hAnsi="宋体" w:cs="Tahoma"/>
                <w:sz w:val="24"/>
                <w:szCs w:val="24"/>
              </w:rPr>
              <w:t xml:space="preserve">2.1</w:t>
            </w:r>
            <w:r>
              <w:rPr>
                <w:rFonts w:ascii="宋体" w:hAnsi="宋体" w:cs="Tahoma"/>
                <w:sz w:val="24"/>
                <w:szCs w:val="24"/>
              </w:rPr>
              <w:t xml:space="preserve">2</w:t>
            </w:r>
            <w:r>
              <w:rPr>
                <w:rFonts w:hint="eastAsia" w:ascii="宋体" w:hAnsi="宋体" w:cs="Tahoma"/>
                <w:sz w:val="24"/>
                <w:szCs w:val="24"/>
              </w:rPr>
              <w:t xml:space="preserve">分辨率：光学分辨率＜0.007nm (在As 188nm实际测量半峰宽) 。</w:t>
            </w:r>
            <w:r/>
          </w:p>
          <w:p>
            <w:pPr>
              <w:spacing w:line="360" w:lineRule="auto"/>
              <w:rPr>
                <w:rFonts w:ascii="宋体" w:hAnsi="宋体" w:cs="Tahoma"/>
                <w:b/>
                <w:bCs/>
                <w:sz w:val="24"/>
                <w:szCs w:val="24"/>
              </w:rPr>
            </w:pPr>
            <w:r>
              <w:rPr>
                <w:rFonts w:hint="eastAsia" w:ascii="宋体" w:hAnsi="宋体" w:cs="Tahoma"/>
                <w:sz w:val="24"/>
                <w:szCs w:val="24"/>
              </w:rPr>
              <w:t xml:space="preserve">▲2.1</w:t>
            </w:r>
            <w:r>
              <w:rPr>
                <w:rFonts w:ascii="宋体" w:hAnsi="宋体" w:cs="Tahoma"/>
                <w:sz w:val="24"/>
                <w:szCs w:val="24"/>
              </w:rPr>
              <w:t xml:space="preserve">3</w:t>
            </w:r>
            <w:r>
              <w:rPr>
                <w:rFonts w:hint="eastAsia" w:ascii="宋体" w:hAnsi="宋体" w:cs="Tahoma"/>
                <w:sz w:val="24"/>
                <w:szCs w:val="24"/>
              </w:rPr>
              <w:t xml:space="preserve">具有独立的紫外光分光系统和可见光分光系统，两套系统分别拥有自己独立的分光光学器件和独立的检测器。</w:t>
            </w:r>
            <w:r>
              <w:rPr>
                <w:rFonts w:hint="eastAsia" w:ascii="宋体" w:hAnsi="宋体" w:cs="Tahoma"/>
                <w:b/>
                <w:bCs/>
                <w:sz w:val="24"/>
                <w:szCs w:val="24"/>
              </w:rPr>
              <w:t xml:space="preserve">（提供</w:t>
            </w:r>
            <w:r>
              <w:rPr>
                <w:rFonts w:hint="eastAsia" w:ascii="宋体" w:hAnsi="宋体"/>
                <w:b/>
                <w:sz w:val="24"/>
                <w:szCs w:val="24"/>
              </w:rPr>
              <w:t xml:space="preserve">官方彩页或官方规格参数文件</w:t>
            </w:r>
            <w:r>
              <w:rPr>
                <w:rFonts w:hint="eastAsia" w:ascii="宋体" w:hAnsi="宋体" w:cs="Tahoma"/>
                <w:b/>
                <w:bCs/>
                <w:sz w:val="24"/>
                <w:szCs w:val="24"/>
              </w:rPr>
              <w:t xml:space="preserve">）</w:t>
            </w:r>
            <w:r/>
          </w:p>
          <w:p>
            <w:pPr>
              <w:spacing w:line="360" w:lineRule="auto"/>
              <w:rPr>
                <w:rFonts w:ascii="宋体" w:hAnsi="宋体" w:cs="Tahoma"/>
                <w:sz w:val="24"/>
                <w:szCs w:val="24"/>
              </w:rPr>
            </w:pPr>
            <w:r>
              <w:rPr>
                <w:rFonts w:hint="eastAsia" w:ascii="宋体" w:hAnsi="宋体" w:cs="Tahoma"/>
                <w:sz w:val="24"/>
                <w:szCs w:val="24"/>
              </w:rPr>
              <w:t xml:space="preserve">2.1</w:t>
            </w:r>
            <w:r>
              <w:rPr>
                <w:rFonts w:ascii="宋体" w:hAnsi="宋体" w:cs="Tahoma"/>
                <w:sz w:val="24"/>
                <w:szCs w:val="24"/>
              </w:rPr>
              <w:t xml:space="preserve">4</w:t>
            </w:r>
            <w:r>
              <w:rPr>
                <w:rFonts w:hint="eastAsia" w:ascii="宋体" w:hAnsi="宋体" w:cs="Tahoma"/>
                <w:sz w:val="24"/>
                <w:szCs w:val="24"/>
              </w:rPr>
              <w:t xml:space="preserve">软件必须具有元素间干扰校正技术、谱线拟合干扰校正技术、单边实时背景扣除、双边实时背景扣除、无背景扣除功能，缺一不可。</w:t>
            </w:r>
            <w:r/>
          </w:p>
          <w:p>
            <w:pPr>
              <w:spacing w:line="360" w:lineRule="auto"/>
              <w:rPr>
                <w:rFonts w:ascii="宋体" w:hAnsi="宋体" w:cs="Tahoma"/>
                <w:b/>
                <w:bCs/>
                <w:sz w:val="24"/>
                <w:szCs w:val="24"/>
              </w:rPr>
            </w:pPr>
            <w:r>
              <w:rPr>
                <w:rFonts w:hint="eastAsia" w:ascii="宋体" w:hAnsi="宋体" w:cs="Tahoma"/>
                <w:sz w:val="24"/>
                <w:szCs w:val="24"/>
              </w:rPr>
              <w:t xml:space="preserve">▲2.1</w:t>
            </w:r>
            <w:r>
              <w:rPr>
                <w:rFonts w:ascii="宋体" w:hAnsi="宋体" w:cs="Tahoma"/>
                <w:sz w:val="24"/>
                <w:szCs w:val="24"/>
              </w:rPr>
              <w:t xml:space="preserve">5</w:t>
            </w:r>
            <w:r>
              <w:rPr>
                <w:rFonts w:hint="eastAsia" w:ascii="宋体" w:hAnsi="宋体" w:cs="Tahoma"/>
                <w:sz w:val="24"/>
                <w:szCs w:val="24"/>
              </w:rPr>
              <w:t xml:space="preserve">有全谱全读功能，在用户分析样品的同时，仪器自动采集所有元素的所有谱线（不少于6000条谱线），当用户需要查看分析方法中没有设置的元素时，只需在方法中增加需要查看的元素谱线，再处理数据即可获得结果，无需重新分析样品。</w:t>
            </w:r>
            <w:r>
              <w:rPr>
                <w:rFonts w:hint="eastAsia" w:ascii="宋体" w:hAnsi="宋体" w:cs="Tahoma"/>
                <w:b/>
                <w:bCs/>
                <w:sz w:val="24"/>
                <w:szCs w:val="24"/>
              </w:rPr>
              <w:t xml:space="preserve">（提供软件截图证明）</w:t>
            </w:r>
            <w:r/>
          </w:p>
          <w:p>
            <w:pPr>
              <w:spacing w:line="360" w:lineRule="auto"/>
              <w:rPr>
                <w:rFonts w:ascii="宋体" w:hAnsi="宋体" w:cs="Tahoma"/>
                <w:sz w:val="24"/>
                <w:szCs w:val="24"/>
              </w:rPr>
            </w:pPr>
            <w:r>
              <w:rPr>
                <w:rFonts w:hint="eastAsia" w:ascii="宋体" w:hAnsi="宋体" w:cs="Tahoma"/>
                <w:sz w:val="24"/>
                <w:szCs w:val="24"/>
              </w:rPr>
              <w:t xml:space="preserve">2.1</w:t>
            </w:r>
            <w:r>
              <w:rPr>
                <w:rFonts w:ascii="宋体" w:hAnsi="宋体" w:cs="Tahoma"/>
                <w:sz w:val="24"/>
                <w:szCs w:val="24"/>
              </w:rPr>
              <w:t xml:space="preserve">6</w:t>
            </w:r>
            <w:r>
              <w:rPr>
                <w:rFonts w:hint="eastAsia" w:ascii="宋体" w:hAnsi="宋体" w:cs="Tahoma"/>
                <w:sz w:val="24"/>
                <w:szCs w:val="24"/>
              </w:rPr>
              <w:t xml:space="preserve">具有等离子体切割装置/冷锥，免维护设计或者冷锥原厂质保≥3 年。</w:t>
            </w:r>
            <w:r/>
          </w:p>
          <w:p>
            <w:pPr>
              <w:spacing w:line="360" w:lineRule="auto"/>
              <w:rPr>
                <w:rFonts w:ascii="宋体" w:hAnsi="宋体" w:cs="Tahoma"/>
                <w:b/>
                <w:sz w:val="24"/>
                <w:szCs w:val="24"/>
              </w:rPr>
            </w:pPr>
            <w:r>
              <w:rPr>
                <w:rFonts w:hint="eastAsia" w:ascii="宋体" w:hAnsi="宋体" w:cs="Tahoma"/>
                <w:b/>
                <w:sz w:val="24"/>
                <w:szCs w:val="24"/>
              </w:rPr>
              <w:t xml:space="preserve">3验收指标</w:t>
            </w:r>
            <w:r/>
          </w:p>
          <w:p>
            <w:pPr>
              <w:spacing w:line="360" w:lineRule="auto"/>
              <w:rPr>
                <w:rFonts w:ascii="宋体" w:hAnsi="宋体" w:cs="Tahoma"/>
                <w:sz w:val="24"/>
                <w:szCs w:val="24"/>
              </w:rPr>
            </w:pPr>
            <w:r>
              <w:rPr>
                <w:rFonts w:hint="eastAsia" w:ascii="宋体" w:hAnsi="宋体" w:cs="Tahoma"/>
                <w:sz w:val="24"/>
                <w:szCs w:val="24"/>
              </w:rPr>
              <w:t xml:space="preserve">3.1轴向观测背景等价浓度（BEC），BEC=空白强度×标准浓度/(标准强度-空白强度)Cd 226 BEC ≤ 150 µg/L；径向观测背景等价浓度（BEC），BEC=空白强度×标准浓度/(标准强度-空白强度)Mn 257 BEC ≤ 45 µg/L</w:t>
            </w:r>
            <w:r/>
          </w:p>
          <w:p>
            <w:pPr>
              <w:spacing w:line="360" w:lineRule="auto"/>
              <w:rPr>
                <w:rFonts w:ascii="宋体" w:hAnsi="宋体" w:cs="Tahoma"/>
                <w:sz w:val="24"/>
                <w:szCs w:val="24"/>
              </w:rPr>
            </w:pPr>
            <w:r>
              <w:rPr>
                <w:rFonts w:hint="eastAsia" w:ascii="宋体" w:hAnsi="宋体" w:cs="Tahoma"/>
                <w:sz w:val="24"/>
                <w:szCs w:val="24"/>
              </w:rPr>
              <w:t xml:space="preserve">▲3.</w:t>
            </w:r>
            <w:r>
              <w:rPr>
                <w:rFonts w:ascii="宋体" w:hAnsi="宋体" w:cs="Tahoma"/>
                <w:sz w:val="24"/>
                <w:szCs w:val="24"/>
              </w:rPr>
              <w:t xml:space="preserve">2</w:t>
            </w:r>
            <w:r>
              <w:rPr>
                <w:rFonts w:hint="eastAsia" w:ascii="宋体" w:hAnsi="宋体" w:cs="Tahoma"/>
                <w:sz w:val="24"/>
                <w:szCs w:val="24"/>
              </w:rPr>
              <w:t xml:space="preserve">高精密度分析：以实时内标法分析As、Zn、Mn、La、Ba元素10次，这5个元素中的每个元素的测量RSD必须都小于0.1%。</w:t>
            </w:r>
            <w:r>
              <w:rPr>
                <w:rFonts w:hint="eastAsia" w:ascii="宋体" w:hAnsi="宋体" w:cs="Tahoma"/>
                <w:b/>
                <w:bCs/>
                <w:sz w:val="24"/>
                <w:szCs w:val="24"/>
              </w:rPr>
              <w:t xml:space="preserve">（提供</w:t>
            </w:r>
            <w:r>
              <w:rPr>
                <w:rFonts w:hint="eastAsia" w:ascii="宋体" w:hAnsi="宋体"/>
                <w:b/>
                <w:sz w:val="24"/>
                <w:szCs w:val="24"/>
              </w:rPr>
              <w:t xml:space="preserve">官方彩页或官方规格参数文件</w:t>
            </w:r>
            <w:r>
              <w:rPr>
                <w:rFonts w:hint="eastAsia" w:ascii="宋体" w:hAnsi="宋体" w:cs="Tahoma"/>
                <w:b/>
                <w:bCs/>
                <w:sz w:val="24"/>
                <w:szCs w:val="24"/>
              </w:rPr>
              <w:t xml:space="preserve">）</w:t>
            </w:r>
            <w:r/>
          </w:p>
          <w:p>
            <w:pPr>
              <w:spacing w:line="360" w:lineRule="auto"/>
              <w:rPr>
                <w:rFonts w:ascii="宋体" w:hAnsi="宋体" w:cs="Arial"/>
                <w:sz w:val="24"/>
                <w:szCs w:val="24"/>
              </w:rPr>
            </w:pPr>
            <w:r>
              <w:rPr>
                <w:rFonts w:hint="eastAsia" w:ascii="宋体" w:hAnsi="宋体" w:cs="Tahoma"/>
                <w:sz w:val="24"/>
                <w:szCs w:val="24"/>
              </w:rPr>
              <w:t xml:space="preserve">▲3.</w:t>
            </w:r>
            <w:r>
              <w:rPr>
                <w:rFonts w:ascii="宋体" w:hAnsi="宋体" w:cs="Tahoma"/>
                <w:sz w:val="24"/>
                <w:szCs w:val="24"/>
              </w:rPr>
              <w:t xml:space="preserve">3</w:t>
            </w:r>
            <w:r>
              <w:rPr>
                <w:rFonts w:hint="eastAsia" w:ascii="宋体" w:hAnsi="宋体"/>
                <w:sz w:val="24"/>
                <w:szCs w:val="24"/>
              </w:rPr>
              <w:t xml:space="preserve">等离子体气、雾化器、辅助气全部采用质量流量计控制，连续可调，其中等离子体气流量控制步长不大于1L/min，辅助气流量控制为不大于0.1L/min，雾化器流量控制调节步长不大于0.01L/min。（</w:t>
            </w:r>
            <w:r>
              <w:rPr>
                <w:rFonts w:hint="eastAsia" w:ascii="宋体" w:hAnsi="宋体"/>
                <w:b/>
                <w:bCs/>
                <w:sz w:val="24"/>
                <w:szCs w:val="24"/>
              </w:rPr>
              <w:t xml:space="preserve">提供</w:t>
            </w:r>
            <w:r>
              <w:rPr>
                <w:rFonts w:hint="eastAsia" w:ascii="宋体" w:hAnsi="宋体"/>
                <w:b/>
                <w:sz w:val="24"/>
                <w:szCs w:val="24"/>
              </w:rPr>
              <w:t xml:space="preserve">官方彩页或官方规格参数文件</w:t>
            </w:r>
            <w:r>
              <w:rPr>
                <w:rFonts w:hint="eastAsia" w:ascii="宋体" w:hAnsi="宋体"/>
                <w:b/>
                <w:bCs/>
                <w:sz w:val="24"/>
                <w:szCs w:val="24"/>
              </w:rPr>
              <w:t xml:space="preserve">）</w:t>
            </w:r>
            <w:r>
              <w:rPr>
                <w:rFonts w:ascii="宋体" w:hAnsi="宋体" w:cs="Arial"/>
                <w:sz w:val="24"/>
                <w:szCs w:val="24"/>
              </w:rPr>
              <w:tab/>
            </w:r>
            <w:r/>
          </w:p>
          <w:p>
            <w:pPr>
              <w:spacing w:line="360" w:lineRule="auto"/>
              <w:rPr>
                <w:rFonts w:ascii="宋体" w:hAnsi="宋体"/>
                <w:b/>
                <w:bCs/>
                <w:sz w:val="24"/>
                <w:szCs w:val="24"/>
              </w:rPr>
            </w:pPr>
            <w:r>
              <w:rPr>
                <w:rFonts w:hint="eastAsia" w:ascii="宋体" w:hAnsi="宋体"/>
                <w:b/>
                <w:bCs/>
                <w:sz w:val="24"/>
                <w:szCs w:val="24"/>
              </w:rPr>
              <w:t xml:space="preserve">4．配置要求</w:t>
            </w:r>
            <w:r/>
          </w:p>
          <w:p>
            <w:pPr>
              <w:spacing w:line="360" w:lineRule="auto"/>
              <w:tabs>
                <w:tab w:val="left" w:pos="426" w:leader="none"/>
              </w:tabs>
              <w:rPr>
                <w:rFonts w:ascii="宋体" w:hAnsi="宋体"/>
                <w:sz w:val="24"/>
                <w:szCs w:val="24"/>
              </w:rPr>
            </w:pPr>
            <w:r>
              <w:rPr>
                <w:rFonts w:hint="eastAsia" w:ascii="宋体" w:hAnsi="宋体"/>
                <w:sz w:val="24"/>
                <w:szCs w:val="24"/>
              </w:rPr>
              <w:t xml:space="preserve">4.1电感耦合等离子体发射光谱仪主机一套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4.2等离子体全彩色监测摄像装置1套。</w:t>
            </w:r>
            <w:r/>
          </w:p>
          <w:p>
            <w:pPr>
              <w:spacing w:line="360" w:lineRule="auto"/>
              <w:tabs>
                <w:tab w:val="left" w:pos="426" w:leader="none"/>
              </w:tabs>
              <w:rPr>
                <w:rFonts w:ascii="宋体" w:hAnsi="宋体"/>
                <w:sz w:val="24"/>
                <w:szCs w:val="24"/>
              </w:rPr>
            </w:pPr>
            <w:r>
              <w:rPr>
                <w:rFonts w:hint="eastAsia" w:ascii="宋体" w:hAnsi="宋体"/>
                <w:sz w:val="24"/>
                <w:szCs w:val="24"/>
              </w:rPr>
              <w:t xml:space="preserve">4.3 双向观测系统一套，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4.4 等离子体尾焰切割装置/冷锥一套。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4.5 固态射频发生器一套。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4.6内置式水平4通道蠕动泵一套。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4.7 可拆卸式炬管2套。</w:t>
            </w:r>
            <w:r/>
          </w:p>
          <w:p>
            <w:pPr>
              <w:spacing w:line="360" w:lineRule="auto"/>
              <w:tabs>
                <w:tab w:val="left" w:pos="426" w:leader="none"/>
              </w:tabs>
              <w:rPr>
                <w:rFonts w:ascii="宋体" w:hAnsi="宋体"/>
                <w:sz w:val="24"/>
                <w:szCs w:val="24"/>
              </w:rPr>
            </w:pPr>
            <w:r>
              <w:rPr>
                <w:rFonts w:hint="eastAsia" w:ascii="宋体" w:hAnsi="宋体"/>
                <w:sz w:val="24"/>
                <w:szCs w:val="24"/>
              </w:rPr>
              <w:t xml:space="preserve">4.8 刚玉炬管中心管2根。</w:t>
            </w:r>
            <w:r/>
          </w:p>
          <w:p>
            <w:pPr>
              <w:spacing w:line="360" w:lineRule="auto"/>
              <w:tabs>
                <w:tab w:val="left" w:pos="426" w:leader="none"/>
              </w:tabs>
              <w:rPr>
                <w:rFonts w:ascii="宋体" w:hAnsi="宋体"/>
                <w:sz w:val="24"/>
                <w:szCs w:val="24"/>
              </w:rPr>
            </w:pPr>
            <w:r>
              <w:rPr>
                <w:rFonts w:hint="eastAsia" w:ascii="宋体" w:hAnsi="宋体"/>
                <w:sz w:val="24"/>
                <w:szCs w:val="24"/>
              </w:rPr>
              <w:t xml:space="preserve">4.9用于主机的循环水冷机一台。</w:t>
            </w:r>
            <w:r/>
          </w:p>
          <w:p>
            <w:pPr>
              <w:spacing w:line="360" w:lineRule="auto"/>
              <w:tabs>
                <w:tab w:val="left" w:pos="426" w:leader="none"/>
              </w:tabs>
              <w:rPr>
                <w:rFonts w:ascii="宋体" w:hAnsi="宋体"/>
                <w:sz w:val="24"/>
                <w:szCs w:val="24"/>
              </w:rPr>
            </w:pPr>
            <w:r>
              <w:rPr>
                <w:rFonts w:hint="eastAsia" w:ascii="宋体" w:hAnsi="宋体"/>
                <w:sz w:val="24"/>
                <w:szCs w:val="24"/>
              </w:rPr>
              <w:t xml:space="preserve">4.10进样泵管48根，排废液泵管48根，各类O圈各一套，轴向观测窗一套，径向观测窗一套。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4.11空气、吹扫气、氩气专用连接管路各1套。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4.12 空气压缩机和空气过滤器各1套（如需请配）。</w:t>
            </w:r>
            <w:r/>
          </w:p>
          <w:p>
            <w:pPr>
              <w:spacing w:line="360" w:lineRule="auto"/>
              <w:tabs>
                <w:tab w:val="left" w:pos="426" w:leader="none"/>
              </w:tabs>
              <w:rPr>
                <w:rFonts w:ascii="宋体" w:hAnsi="宋体"/>
                <w:sz w:val="24"/>
                <w:szCs w:val="24"/>
              </w:rPr>
            </w:pPr>
            <w:r>
              <w:rPr>
                <w:rFonts w:hint="eastAsia" w:ascii="宋体" w:hAnsi="宋体"/>
                <w:sz w:val="24"/>
                <w:szCs w:val="24"/>
              </w:rPr>
              <w:t xml:space="preserve">4.13 耐HF酸进样系统一套。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4.14高灵敏度进样系统一套。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4.15不小于150位自动进样器一套。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4.16全中文ICP-OES仪器控制软件1套。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4.17输入与输出设备各一套。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.18</w:t>
            </w:r>
            <w:r>
              <w:rPr>
                <w:rFonts w:hint="eastAsia" w:ascii="宋体" w:hAnsi="宋体"/>
                <w:sz w:val="24"/>
                <w:szCs w:val="24"/>
              </w:rPr>
              <w:t xml:space="preserve">仪器所需排风系统改造，以符合仪器安装要求。</w:t>
            </w:r>
            <w:r/>
          </w:p>
          <w:p>
            <w:pPr>
              <w:spacing w:line="360" w:lineRule="auto"/>
              <w:tabs>
                <w:tab w:val="left" w:pos="426"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.19</w:t>
            </w:r>
            <w:r>
              <w:rPr>
                <w:rFonts w:hint="eastAsia" w:ascii="宋体" w:hAnsi="宋体"/>
                <w:sz w:val="24"/>
                <w:szCs w:val="24"/>
              </w:rPr>
              <w:t xml:space="preserve">大功率除湿机，1台；</w:t>
            </w:r>
            <w:r/>
          </w:p>
          <w:p>
            <w:pPr>
              <w:spacing w:line="360" w:lineRule="auto"/>
              <w:tabs>
                <w:tab w:val="left" w:pos="426" w:leader="none"/>
              </w:tabs>
              <w:rPr>
                <w:rFonts w:ascii="宋体" w:hAnsi="宋体"/>
                <w:sz w:val="24"/>
                <w:szCs w:val="24"/>
              </w:rPr>
            </w:pPr>
            <w:r>
              <w:rPr>
                <w:rFonts w:hint="eastAsia" w:ascii="宋体" w:hAnsi="宋体"/>
                <w:sz w:val="24"/>
                <w:szCs w:val="24"/>
              </w:rPr>
              <w:t xml:space="preserve">除湿量：≥60L/D（35℃ RH90%）；</w:t>
            </w:r>
            <w:r/>
          </w:p>
          <w:p>
            <w:pPr>
              <w:spacing w:line="360" w:lineRule="auto"/>
              <w:tabs>
                <w:tab w:val="left" w:pos="426" w:leader="none"/>
              </w:tabs>
              <w:rPr>
                <w:rFonts w:ascii="宋体" w:hAnsi="宋体"/>
                <w:sz w:val="24"/>
                <w:szCs w:val="24"/>
              </w:rPr>
            </w:pPr>
            <w:r>
              <w:rPr>
                <w:rFonts w:hint="eastAsia" w:ascii="宋体" w:hAnsi="宋体"/>
                <w:sz w:val="24"/>
                <w:szCs w:val="24"/>
              </w:rPr>
              <w:t xml:space="preserve">名义除湿量：≥1.2kg/h（27℃ RH60%）；</w:t>
            </w:r>
            <w:r/>
          </w:p>
          <w:p>
            <w:pPr>
              <w:spacing w:line="360" w:lineRule="auto"/>
              <w:tabs>
                <w:tab w:val="left" w:pos="426" w:leader="none"/>
              </w:tabs>
              <w:rPr>
                <w:rFonts w:ascii="宋体" w:hAnsi="宋体" w:cs="Helvetica"/>
                <w:sz w:val="24"/>
                <w:szCs w:val="32"/>
              </w:rPr>
            </w:pPr>
            <w:r>
              <w:rPr>
                <w:rFonts w:hint="eastAsia" w:ascii="宋体" w:hAnsi="宋体"/>
                <w:sz w:val="24"/>
                <w:szCs w:val="24"/>
              </w:rPr>
              <w:t xml:space="preserve">噪音≤45dB(A)平均值，排水方式为软管连续排水或水箱（≥6.2L）。</w:t>
            </w:r>
            <w:r/>
          </w:p>
        </w:tc>
      </w:tr>
      <w:tr>
        <w:trPr>
          <w:jc w:val="center"/>
          <w:trHeight w:val="6919"/>
        </w:trPr>
        <w:tc>
          <w:tcPr>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w:t>
            </w:r>
            <w:r/>
          </w:p>
        </w:tc>
        <w:tc>
          <w:tcPr>
            <w:tcW w:w="1096" w:type="pct"/>
            <w:vAlign w:val="center"/>
            <w:textDirection w:val="lrTb"/>
            <w:noWrap w:val="false"/>
          </w:tcPr>
          <w:p>
            <w:pPr>
              <w:jc w:val="center"/>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原子吸收光谱仪（带石墨炉）</w:t>
            </w:r>
            <w:r/>
          </w:p>
        </w:tc>
        <w:tc>
          <w:tcPr>
            <w:tcW w:w="3548" w:type="pct"/>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w:t>
            </w:r>
            <w:r>
              <w:rPr>
                <w:rFonts w:hint="eastAsia" w:ascii="宋体" w:hAnsi="宋体"/>
                <w:b/>
                <w:bCs/>
                <w:sz w:val="24"/>
                <w:szCs w:val="24"/>
              </w:rPr>
              <w:t xml:space="preserve">配置要求</w:t>
            </w:r>
            <w:r/>
          </w:p>
          <w:p>
            <w:pPr>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原子吸收光谱仪主机包括火焰分析系统和石墨炉分析系统 ，1</w:t>
            </w:r>
            <w:r>
              <w:rPr>
                <w:rFonts w:ascii="宋体" w:hAnsi="宋体"/>
                <w:bCs/>
                <w:sz w:val="24"/>
                <w:szCs w:val="24"/>
              </w:rPr>
              <w:t xml:space="preserve">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1.2</w:t>
            </w:r>
            <w:r>
              <w:rPr>
                <w:rFonts w:hint="eastAsia" w:ascii="宋体" w:hAnsi="宋体"/>
                <w:bCs/>
                <w:sz w:val="24"/>
                <w:szCs w:val="24"/>
              </w:rPr>
              <w:t xml:space="preserve">空气压缩机和废液分离以及空气干燥过滤器：1套；</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不小于1</w:t>
            </w:r>
            <w:r>
              <w:rPr>
                <w:rFonts w:ascii="宋体" w:hAnsi="宋体"/>
                <w:bCs/>
                <w:sz w:val="24"/>
                <w:szCs w:val="24"/>
              </w:rPr>
              <w:t xml:space="preserve">40</w:t>
            </w:r>
            <w:r>
              <w:rPr>
                <w:rFonts w:hint="eastAsia" w:ascii="宋体" w:hAnsi="宋体"/>
                <w:bCs/>
                <w:sz w:val="24"/>
                <w:szCs w:val="24"/>
              </w:rPr>
              <w:t xml:space="preserve">位石墨炉</w:t>
            </w:r>
            <w:r>
              <w:rPr>
                <w:rFonts w:ascii="宋体" w:hAnsi="宋体"/>
                <w:bCs/>
                <w:sz w:val="24"/>
                <w:szCs w:val="24"/>
              </w:rPr>
              <w:t xml:space="preserve">自动进样器</w:t>
            </w:r>
            <w:r>
              <w:rPr>
                <w:rFonts w:hint="eastAsia" w:ascii="宋体" w:hAnsi="宋体"/>
                <w:bCs/>
                <w:sz w:val="24"/>
                <w:szCs w:val="24"/>
              </w:rPr>
              <w:t xml:space="preserve">1套</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标配</w:t>
            </w:r>
            <w:r>
              <w:rPr>
                <w:rFonts w:ascii="宋体" w:hAnsi="宋体"/>
                <w:bCs/>
                <w:sz w:val="24"/>
                <w:szCs w:val="24"/>
              </w:rPr>
              <w:t xml:space="preserve">循环冷却</w:t>
            </w:r>
            <w:r>
              <w:rPr>
                <w:rFonts w:hint="eastAsia" w:ascii="宋体" w:hAnsi="宋体"/>
                <w:bCs/>
                <w:sz w:val="24"/>
                <w:szCs w:val="24"/>
              </w:rPr>
              <w:t xml:space="preserve">水</w:t>
            </w:r>
            <w:r>
              <w:rPr>
                <w:rFonts w:ascii="宋体" w:hAnsi="宋体"/>
                <w:bCs/>
                <w:sz w:val="24"/>
                <w:szCs w:val="24"/>
              </w:rPr>
              <w:t xml:space="preserve">系统：1套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5中文操作手册：各1套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1.6</w:t>
            </w:r>
            <w:r>
              <w:rPr>
                <w:rFonts w:hint="eastAsia" w:ascii="宋体" w:hAnsi="宋体"/>
                <w:bCs/>
                <w:sz w:val="24"/>
                <w:szCs w:val="24"/>
              </w:rPr>
              <w:t xml:space="preserve">自动识别的编码空心阴极</w:t>
            </w:r>
            <w:r>
              <w:rPr>
                <w:rFonts w:ascii="宋体" w:hAnsi="宋体"/>
                <w:bCs/>
                <w:sz w:val="24"/>
                <w:szCs w:val="24"/>
              </w:rPr>
              <w:t xml:space="preserve">灯：</w:t>
            </w:r>
            <w:r>
              <w:rPr>
                <w:rFonts w:hint="eastAsia" w:ascii="宋体" w:hAnsi="宋体"/>
                <w:bCs/>
                <w:sz w:val="24"/>
                <w:szCs w:val="24"/>
              </w:rPr>
              <w:t xml:space="preserve">铜、</w:t>
            </w:r>
            <w:r>
              <w:rPr>
                <w:rFonts w:ascii="宋体" w:hAnsi="宋体"/>
                <w:bCs/>
                <w:sz w:val="24"/>
                <w:szCs w:val="24"/>
              </w:rPr>
              <w:t xml:space="preserve">铁、</w:t>
            </w:r>
            <w:r>
              <w:rPr>
                <w:rFonts w:hint="eastAsia" w:ascii="宋体" w:hAnsi="宋体"/>
                <w:bCs/>
                <w:sz w:val="24"/>
                <w:szCs w:val="24"/>
              </w:rPr>
              <w:t xml:space="preserve">镍</w:t>
            </w:r>
            <w:r>
              <w:rPr>
                <w:rFonts w:ascii="宋体" w:hAnsi="宋体"/>
                <w:bCs/>
                <w:sz w:val="24"/>
                <w:szCs w:val="24"/>
              </w:rPr>
              <w:t xml:space="preserve">、铅、镉</w:t>
            </w:r>
            <w:r>
              <w:rPr>
                <w:rFonts w:hint="eastAsia" w:ascii="宋体" w:hAnsi="宋体"/>
                <w:bCs/>
                <w:sz w:val="24"/>
                <w:szCs w:val="24"/>
              </w:rPr>
              <w:t xml:space="preserve">、铬</w:t>
            </w:r>
            <w:r>
              <w:rPr>
                <w:rFonts w:ascii="宋体" w:hAnsi="宋体"/>
                <w:bCs/>
                <w:sz w:val="24"/>
                <w:szCs w:val="24"/>
              </w:rPr>
              <w:t xml:space="preserve">、锰</w:t>
            </w:r>
            <w:r>
              <w:rPr>
                <w:rFonts w:hint="eastAsia" w:ascii="宋体" w:hAnsi="宋体"/>
                <w:bCs/>
                <w:sz w:val="24"/>
                <w:szCs w:val="24"/>
              </w:rPr>
              <w:t xml:space="preserve">、锌共8支；</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.7无极放电灯或者高强度元素灯砷、硒各一支，包括灯电源两个；</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.8原装石墨管：20只；</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.9自动进样器样品瓶1000个；</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.10配置主机软件控制石墨炉通空气装置，防止积碳；</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1配置石墨炉摄像可视装置；</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.12</w:t>
            </w:r>
            <w:r>
              <w:rPr>
                <w:rFonts w:hint="eastAsia" w:ascii="宋体" w:hAnsi="宋体"/>
                <w:sz w:val="24"/>
                <w:szCs w:val="24"/>
              </w:rPr>
              <w:t xml:space="preserve">输入与输出设备各一套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1.13配备带液位传感的15升废液桶一个；</w:t>
            </w:r>
            <w:r/>
          </w:p>
          <w:p>
            <w:pPr>
              <w:spacing w:line="360" w:lineRule="auto"/>
              <w:rPr>
                <w:rFonts w:ascii="宋体" w:hAnsi="宋体"/>
                <w:bCs/>
                <w:sz w:val="24"/>
                <w:szCs w:val="24"/>
              </w:rPr>
            </w:pPr>
            <w:r>
              <w:rPr>
                <w:rFonts w:ascii="宋体" w:hAnsi="宋体"/>
                <w:bCs/>
                <w:sz w:val="24"/>
                <w:szCs w:val="24"/>
              </w:rPr>
              <w:t xml:space="preserve">1.14</w:t>
            </w:r>
            <w:r>
              <w:rPr>
                <w:rFonts w:hint="eastAsia" w:ascii="宋体" w:hAnsi="宋体"/>
                <w:bCs/>
                <w:sz w:val="24"/>
                <w:szCs w:val="24"/>
              </w:rPr>
              <w:t xml:space="preserve"> </w:t>
            </w:r>
            <w:r>
              <w:rPr>
                <w:rFonts w:ascii="宋体" w:hAnsi="宋体"/>
                <w:bCs/>
                <w:sz w:val="24"/>
                <w:szCs w:val="24"/>
              </w:rPr>
              <w:t xml:space="preserve">Pd基体改进剂一套；</w:t>
            </w:r>
            <w:r/>
          </w:p>
          <w:p>
            <w:pPr>
              <w:spacing w:line="360" w:lineRule="auto"/>
              <w:rPr>
                <w:rFonts w:ascii="宋体" w:hAnsi="宋体"/>
                <w:bCs/>
                <w:sz w:val="24"/>
                <w:szCs w:val="24"/>
              </w:rPr>
            </w:pPr>
            <w:r>
              <w:rPr>
                <w:rFonts w:ascii="宋体" w:hAnsi="宋体"/>
                <w:bCs/>
                <w:sz w:val="24"/>
                <w:szCs w:val="24"/>
              </w:rPr>
              <w:t xml:space="preserve">1.15两年基本耗材（进样管，各类O圈，火焰进样系统撞击球等）</w:t>
            </w:r>
            <w:r/>
          </w:p>
          <w:p>
            <w:pPr>
              <w:spacing w:line="360" w:lineRule="auto"/>
              <w:rPr>
                <w:rFonts w:ascii="宋体" w:hAnsi="宋体"/>
                <w:bCs/>
                <w:sz w:val="24"/>
                <w:szCs w:val="24"/>
              </w:rPr>
            </w:pPr>
            <w:r>
              <w:rPr>
                <w:rFonts w:ascii="宋体" w:hAnsi="宋体"/>
                <w:bCs/>
                <w:sz w:val="24"/>
                <w:szCs w:val="24"/>
              </w:rPr>
              <w:t xml:space="preserve">1.16仪器所需排风系统改造，以符合仪器安装要求。</w:t>
            </w:r>
            <w:r/>
          </w:p>
          <w:p>
            <w:pPr>
              <w:spacing w:line="360" w:lineRule="auto"/>
              <w:rPr>
                <w:rFonts w:ascii="宋体" w:hAnsi="宋体"/>
                <w:bCs/>
                <w:sz w:val="24"/>
                <w:szCs w:val="24"/>
              </w:rPr>
            </w:pPr>
            <w:r>
              <w:rPr>
                <w:rFonts w:ascii="宋体" w:hAnsi="宋体"/>
                <w:bCs/>
                <w:sz w:val="24"/>
                <w:szCs w:val="24"/>
              </w:rPr>
              <w:t xml:space="preserve">1.17</w:t>
            </w:r>
            <w:r>
              <w:rPr>
                <w:rFonts w:hint="eastAsia" w:ascii="宋体" w:hAnsi="宋体"/>
                <w:bCs/>
                <w:sz w:val="24"/>
                <w:szCs w:val="24"/>
              </w:rPr>
              <w:t xml:space="preserve">医用冷藏箱（</w:t>
            </w:r>
            <w:r>
              <w:rPr>
                <w:rFonts w:ascii="宋体" w:hAnsi="宋体"/>
                <w:bCs/>
                <w:sz w:val="24"/>
                <w:szCs w:val="24"/>
              </w:rPr>
              <w:t xml:space="preserve">2℃ ～8℃）： 2台。</w:t>
            </w:r>
            <w:r>
              <w:rPr>
                <w:rFonts w:hint="eastAsia" w:ascii="宋体" w:hAnsi="宋体"/>
                <w:bCs/>
                <w:sz w:val="24"/>
                <w:szCs w:val="24"/>
              </w:rPr>
              <w:t xml:space="preserve">控温范围</w:t>
            </w:r>
            <w:r>
              <w:rPr>
                <w:rFonts w:ascii="宋体" w:hAnsi="宋体"/>
                <w:bCs/>
                <w:sz w:val="24"/>
                <w:szCs w:val="24"/>
              </w:rPr>
              <w:t xml:space="preserve">2℃ ～8℃, 温度可调，温度显示精度到0.1℃，电子精准控温,容量≥600升  ,玻璃双开门 ，温度异常自动报警  。</w:t>
            </w:r>
            <w:r/>
          </w:p>
          <w:p>
            <w:pPr>
              <w:spacing w:line="360" w:lineRule="auto"/>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w:t>
            </w:r>
            <w:r>
              <w:rPr>
                <w:rFonts w:ascii="宋体" w:hAnsi="宋体"/>
                <w:b/>
                <w:bCs/>
                <w:sz w:val="24"/>
                <w:szCs w:val="24"/>
              </w:rPr>
              <w:t xml:space="preserve">光学系统和火焰分析系统</w:t>
            </w:r>
            <w:r/>
          </w:p>
          <w:p>
            <w:pPr>
              <w:spacing w:line="360" w:lineRule="auto"/>
              <w:rPr>
                <w:rFonts w:ascii="宋体" w:hAnsi="宋体"/>
                <w:bCs/>
                <w:i/>
                <w:iCs/>
                <w:sz w:val="24"/>
                <w:szCs w:val="24"/>
                <w:u w:val="single"/>
              </w:rPr>
            </w:pPr>
            <w:r>
              <w:rPr>
                <w:rFonts w:ascii="宋体" w:hAnsi="宋体"/>
                <w:b/>
                <w:i/>
                <w:iCs/>
                <w:sz w:val="24"/>
                <w:szCs w:val="24"/>
                <w:u w:val="single"/>
              </w:rPr>
              <w:t xml:space="preserve">2.1 光学系统：</w:t>
            </w:r>
            <w:r>
              <w:rPr>
                <w:rFonts w:hint="eastAsia" w:ascii="宋体" w:hAnsi="宋体"/>
                <w:b/>
                <w:i/>
                <w:iCs/>
                <w:sz w:val="24"/>
                <w:szCs w:val="24"/>
                <w:u w:val="single"/>
              </w:rPr>
              <w:t xml:space="preserve">单光束</w:t>
            </w:r>
            <w:r>
              <w:rPr>
                <w:rFonts w:ascii="宋体" w:hAnsi="宋体"/>
                <w:b/>
                <w:i/>
                <w:iCs/>
                <w:sz w:val="24"/>
                <w:szCs w:val="24"/>
                <w:u w:val="single"/>
              </w:rPr>
              <w:t xml:space="preserve">/双光束自动切换</w:t>
            </w:r>
            <w:r/>
          </w:p>
          <w:p>
            <w:pPr>
              <w:spacing w:line="360" w:lineRule="auto"/>
              <w:rPr>
                <w:rFonts w:ascii="宋体" w:hAnsi="宋体"/>
                <w:bCs/>
                <w:sz w:val="24"/>
                <w:szCs w:val="24"/>
              </w:rPr>
            </w:pPr>
            <w:r>
              <w:rPr>
                <w:rFonts w:ascii="宋体" w:hAnsi="宋体"/>
                <w:bCs/>
                <w:sz w:val="24"/>
                <w:szCs w:val="24"/>
              </w:rPr>
              <w:t xml:space="preserve">2.2</w:t>
            </w:r>
            <w:r>
              <w:rPr>
                <w:rFonts w:hint="eastAsia" w:ascii="宋体" w:hAnsi="宋体"/>
                <w:bCs/>
                <w:sz w:val="24"/>
                <w:szCs w:val="24"/>
              </w:rPr>
              <w:t xml:space="preserve"> </w:t>
            </w:r>
            <w:r>
              <w:rPr>
                <w:rFonts w:ascii="宋体" w:hAnsi="宋体"/>
                <w:bCs/>
                <w:sz w:val="24"/>
                <w:szCs w:val="24"/>
              </w:rPr>
              <w:t xml:space="preserve">波长范围：1</w:t>
            </w:r>
            <w:r>
              <w:rPr>
                <w:rFonts w:hint="eastAsia" w:ascii="宋体" w:hAnsi="宋体"/>
                <w:bCs/>
                <w:sz w:val="24"/>
                <w:szCs w:val="24"/>
              </w:rPr>
              <w:t xml:space="preserve">89～</w:t>
            </w:r>
            <w:r>
              <w:rPr>
                <w:rFonts w:ascii="宋体" w:hAnsi="宋体"/>
                <w:bCs/>
                <w:sz w:val="24"/>
                <w:szCs w:val="24"/>
              </w:rPr>
              <w:t xml:space="preserve">900nm或</w:t>
            </w:r>
            <w:r>
              <w:rPr>
                <w:rFonts w:hint="eastAsia" w:ascii="宋体" w:hAnsi="宋体"/>
                <w:bCs/>
                <w:sz w:val="24"/>
                <w:szCs w:val="24"/>
              </w:rPr>
              <w:t xml:space="preserve">范围更宽。光栅刻线密度：</w:t>
            </w:r>
            <w:r>
              <w:rPr>
                <w:rFonts w:ascii="宋体" w:hAnsi="宋体"/>
                <w:bCs/>
                <w:sz w:val="24"/>
                <w:szCs w:val="24"/>
              </w:rPr>
              <w:t xml:space="preserve">1800线/mm</w:t>
            </w:r>
            <w:r>
              <w:rPr>
                <w:rFonts w:hint="eastAsia" w:ascii="宋体" w:hAnsi="宋体"/>
                <w:bCs/>
                <w:sz w:val="24"/>
                <w:szCs w:val="24"/>
              </w:rPr>
              <w:t xml:space="preserve">的</w:t>
            </w:r>
            <w:r>
              <w:rPr>
                <w:rFonts w:ascii="宋体" w:hAnsi="宋体"/>
                <w:bCs/>
                <w:sz w:val="24"/>
                <w:szCs w:val="24"/>
              </w:rPr>
              <w:t xml:space="preserve">大面积</w:t>
            </w:r>
            <w:r>
              <w:rPr>
                <w:rFonts w:hint="eastAsia" w:ascii="宋体" w:hAnsi="宋体"/>
                <w:bCs/>
                <w:sz w:val="24"/>
                <w:szCs w:val="24"/>
              </w:rPr>
              <w:t xml:space="preserve">平面光栅分光系统。</w:t>
            </w:r>
            <w:r/>
          </w:p>
          <w:p>
            <w:pPr>
              <w:spacing w:line="360" w:lineRule="auto"/>
              <w:rPr>
                <w:rFonts w:ascii="宋体" w:hAnsi="宋体"/>
                <w:b/>
                <w:sz w:val="24"/>
                <w:szCs w:val="24"/>
              </w:rPr>
            </w:pPr>
            <w:r>
              <w:rPr>
                <w:rFonts w:hint="eastAsia" w:ascii="宋体" w:hAnsi="宋体"/>
                <w:sz w:val="28"/>
                <w:szCs w:val="21"/>
              </w:rPr>
              <w:t xml:space="preserve">▲</w:t>
            </w:r>
            <w:r>
              <w:rPr>
                <w:rFonts w:ascii="宋体" w:hAnsi="宋体"/>
                <w:bCs/>
                <w:sz w:val="24"/>
                <w:szCs w:val="24"/>
              </w:rPr>
              <w:t xml:space="preserve">2.3</w:t>
            </w:r>
            <w:r>
              <w:rPr>
                <w:rFonts w:hint="eastAsia" w:ascii="宋体" w:hAnsi="宋体"/>
                <w:bCs/>
                <w:sz w:val="24"/>
                <w:szCs w:val="24"/>
              </w:rPr>
              <w:t xml:space="preserve"> </w:t>
            </w:r>
            <w:r>
              <w:rPr>
                <w:rFonts w:ascii="宋体" w:hAnsi="宋体"/>
                <w:bCs/>
                <w:sz w:val="24"/>
                <w:szCs w:val="24"/>
              </w:rPr>
              <w:t xml:space="preserve">狭缝：</w:t>
            </w:r>
            <w:r>
              <w:rPr>
                <w:rFonts w:hint="eastAsia" w:ascii="宋体" w:hAnsi="宋体"/>
                <w:bCs/>
                <w:sz w:val="24"/>
                <w:szCs w:val="24"/>
              </w:rPr>
              <w:t xml:space="preserve">狭缝三档以上，</w:t>
            </w:r>
            <w:r>
              <w:rPr>
                <w:rFonts w:ascii="宋体" w:hAnsi="宋体"/>
                <w:bCs/>
                <w:sz w:val="24"/>
                <w:szCs w:val="24"/>
              </w:rPr>
              <w:t xml:space="preserve">狭缝的宽度自动选择，狭缝的高度自动选择</w:t>
            </w:r>
            <w:r>
              <w:rPr>
                <w:rFonts w:hint="eastAsia" w:ascii="宋体" w:hAnsi="宋体"/>
                <w:bCs/>
                <w:sz w:val="24"/>
                <w:szCs w:val="24"/>
              </w:rPr>
              <w:t xml:space="preserve">。</w:t>
            </w:r>
            <w:r>
              <w:rPr>
                <w:rFonts w:hint="eastAsia" w:ascii="宋体" w:hAnsi="宋体"/>
                <w:b/>
                <w:sz w:val="24"/>
                <w:szCs w:val="24"/>
              </w:rPr>
              <w:t xml:space="preserve">(提供狭缝宽度和高度均可调的仪器软件截图或官方规格参数文件证明。</w:t>
            </w:r>
            <w:r>
              <w:rPr>
                <w:rFonts w:ascii="宋体" w:hAnsi="宋体"/>
                <w:b/>
                <w:sz w:val="24"/>
                <w:szCs w:val="24"/>
              </w:rPr>
              <w:t xml:space="preserve">)</w:t>
            </w:r>
            <w:r/>
          </w:p>
          <w:p>
            <w:pPr>
              <w:spacing w:line="360" w:lineRule="auto"/>
              <w:rPr>
                <w:rFonts w:ascii="宋体" w:hAnsi="宋体"/>
                <w:bCs/>
                <w:sz w:val="24"/>
                <w:szCs w:val="24"/>
              </w:rPr>
            </w:pPr>
            <w:r>
              <w:rPr>
                <w:rFonts w:hint="eastAsia" w:ascii="宋体" w:hAnsi="宋体"/>
                <w:sz w:val="28"/>
                <w:szCs w:val="21"/>
              </w:rPr>
              <w:t xml:space="preserve">▲</w:t>
            </w:r>
            <w:r>
              <w:rPr>
                <w:rFonts w:ascii="宋体" w:hAnsi="宋体"/>
                <w:bCs/>
                <w:sz w:val="24"/>
                <w:szCs w:val="24"/>
              </w:rPr>
              <w:t xml:space="preserve">2.</w:t>
            </w:r>
            <w:r>
              <w:rPr>
                <w:rFonts w:hint="eastAsia" w:ascii="宋体" w:hAnsi="宋体"/>
                <w:bCs/>
                <w:sz w:val="24"/>
                <w:szCs w:val="24"/>
              </w:rPr>
              <w:t xml:space="preserve">5 元素</w:t>
            </w:r>
            <w:r>
              <w:rPr>
                <w:rFonts w:ascii="宋体" w:hAnsi="宋体"/>
                <w:bCs/>
                <w:sz w:val="24"/>
                <w:szCs w:val="24"/>
              </w:rPr>
              <w:t xml:space="preserve">灯</w:t>
            </w:r>
            <w:r>
              <w:rPr>
                <w:rFonts w:hint="eastAsia" w:ascii="宋体" w:hAnsi="宋体"/>
                <w:bCs/>
                <w:sz w:val="24"/>
                <w:szCs w:val="24"/>
              </w:rPr>
              <w:t xml:space="preserve">架和元素灯</w:t>
            </w:r>
            <w:r>
              <w:rPr>
                <w:rFonts w:ascii="宋体" w:hAnsi="宋体"/>
                <w:bCs/>
                <w:sz w:val="24"/>
                <w:szCs w:val="24"/>
              </w:rPr>
              <w:t xml:space="preserve">：</w:t>
            </w:r>
            <w:r>
              <w:rPr>
                <w:rFonts w:hint="eastAsia" w:ascii="宋体" w:hAnsi="宋体"/>
                <w:bCs/>
                <w:sz w:val="24"/>
                <w:szCs w:val="24"/>
              </w:rPr>
              <w:t xml:space="preserve">不小于8灯固定灯架。元素灯类型为可自动识别的智能编码灯。</w:t>
            </w:r>
            <w:r>
              <w:rPr>
                <w:rFonts w:hint="eastAsia" w:ascii="宋体" w:hAnsi="宋体"/>
                <w:b/>
                <w:sz w:val="24"/>
                <w:szCs w:val="24"/>
              </w:rPr>
              <w:t xml:space="preserve">(提供实物图或官方规格参数文件证明材料</w:t>
            </w:r>
            <w:r>
              <w:rPr>
                <w:rFonts w:ascii="宋体" w:hAnsi="宋体"/>
                <w:b/>
                <w:sz w:val="24"/>
                <w:szCs w:val="24"/>
              </w:rPr>
              <w:t xml:space="preserve">)</w:t>
            </w:r>
            <w:r/>
          </w:p>
          <w:p>
            <w:pPr>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.6火焰燃烧系统：耐HF酸型雾化器，耐HF酸高强度惰性材料预混室，全钛燃烧头。雾化器：可调高效雾化器，耐腐蚀（可使用氢氟酸）。</w:t>
            </w:r>
            <w:r/>
          </w:p>
          <w:p>
            <w:pPr>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.7气体控制：全自动计算机控制，流量自动优化。</w:t>
            </w:r>
            <w:r/>
          </w:p>
          <w:p>
            <w:pPr>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.8代表元素检测指标</w:t>
            </w:r>
            <w:r>
              <w:rPr>
                <w:rFonts w:hint="eastAsia" w:ascii="宋体" w:hAnsi="宋体"/>
                <w:bCs/>
                <w:sz w:val="24"/>
                <w:szCs w:val="24"/>
              </w:rPr>
              <w:t xml:space="preserve">C</w:t>
            </w:r>
            <w:r>
              <w:rPr>
                <w:rFonts w:ascii="宋体" w:hAnsi="宋体"/>
                <w:bCs/>
                <w:sz w:val="24"/>
                <w:szCs w:val="24"/>
              </w:rPr>
              <w:t xml:space="preserve">u，检出限≤0.005mg/L，精密度</w:t>
            </w:r>
            <w:r>
              <w:rPr>
                <w:rFonts w:hint="eastAsia" w:ascii="宋体" w:hAnsi="宋体"/>
                <w:bCs/>
                <w:sz w:val="24"/>
                <w:szCs w:val="24"/>
              </w:rPr>
              <w:t xml:space="preserve">≤0</w:t>
            </w:r>
            <w:r>
              <w:rPr>
                <w:rFonts w:ascii="宋体" w:hAnsi="宋体"/>
                <w:bCs/>
                <w:sz w:val="24"/>
                <w:szCs w:val="24"/>
              </w:rPr>
              <w:t xml:space="preserve">.5%。</w:t>
            </w:r>
            <w:r/>
          </w:p>
          <w:p>
            <w:pPr>
              <w:spacing w:line="360" w:lineRule="auto"/>
              <w:rPr>
                <w:rFonts w:ascii="宋体" w:hAnsi="宋体"/>
                <w:bCs/>
                <w:sz w:val="24"/>
                <w:szCs w:val="24"/>
              </w:rPr>
            </w:pPr>
            <w:r>
              <w:rPr>
                <w:rFonts w:ascii="宋体" w:hAnsi="宋体"/>
                <w:bCs/>
                <w:sz w:val="24"/>
                <w:szCs w:val="24"/>
              </w:rPr>
              <w:t xml:space="preserve">2.9</w:t>
            </w:r>
            <w:r>
              <w:rPr>
                <w:rFonts w:hint="eastAsia" w:ascii="宋体" w:hAnsi="宋体"/>
                <w:bCs/>
                <w:sz w:val="24"/>
                <w:szCs w:val="24"/>
              </w:rPr>
              <w:t xml:space="preserve">安全系统：有完善的安全连锁系统，包括废液瓶液面传感器控制。</w:t>
            </w:r>
            <w:r/>
          </w:p>
          <w:p>
            <w:pPr>
              <w:spacing w:line="360" w:lineRule="auto"/>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w:t>
            </w:r>
            <w:r>
              <w:rPr>
                <w:rFonts w:ascii="宋体" w:hAnsi="宋体"/>
                <w:b/>
                <w:bCs/>
                <w:sz w:val="24"/>
                <w:szCs w:val="24"/>
              </w:rPr>
              <w:t xml:space="preserve">石墨炉分析系统技术指标</w:t>
            </w:r>
            <w:r/>
          </w:p>
          <w:p>
            <w:pPr>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1 石墨炉</w:t>
            </w:r>
            <w:r>
              <w:rPr>
                <w:rFonts w:ascii="宋体" w:hAnsi="宋体"/>
                <w:bCs/>
                <w:sz w:val="24"/>
                <w:szCs w:val="24"/>
              </w:rPr>
              <w:t xml:space="preserve">电源：石墨炉电源内置，整个仪器为一个整体</w:t>
            </w:r>
            <w:r>
              <w:rPr>
                <w:rFonts w:hint="eastAsia" w:ascii="宋体" w:hAnsi="宋体"/>
                <w:bCs/>
                <w:sz w:val="24"/>
                <w:szCs w:val="24"/>
              </w:rPr>
              <w:t xml:space="preserve">，无外置电源</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2温度控制：真实温度控制，具有电压补偿和石墨管电阻变化补偿功能，温度准确度≤±10℃。</w:t>
            </w:r>
            <w:r/>
          </w:p>
          <w:p>
            <w:pPr>
              <w:spacing w:line="360" w:lineRule="auto"/>
              <w:rPr>
                <w:rFonts w:ascii="宋体" w:hAnsi="宋体"/>
                <w:bCs/>
                <w:sz w:val="24"/>
                <w:szCs w:val="24"/>
              </w:rPr>
            </w:pPr>
            <w:r>
              <w:rPr>
                <w:rFonts w:hint="eastAsia" w:ascii="宋体" w:hAnsi="宋体"/>
                <w:sz w:val="28"/>
                <w:szCs w:val="21"/>
              </w:rPr>
              <w:t xml:space="preserve">▲</w:t>
            </w:r>
            <w:r>
              <w:rPr>
                <w:rFonts w:ascii="宋体" w:hAnsi="宋体"/>
                <w:bCs/>
                <w:sz w:val="24"/>
                <w:szCs w:val="24"/>
              </w:rPr>
              <w:t xml:space="preserve">3.</w:t>
            </w:r>
            <w:r>
              <w:rPr>
                <w:rFonts w:hint="eastAsia" w:ascii="宋体" w:hAnsi="宋体"/>
                <w:bCs/>
                <w:sz w:val="24"/>
                <w:szCs w:val="24"/>
              </w:rPr>
              <w:t xml:space="preserve">3 </w:t>
            </w:r>
            <w:r>
              <w:rPr>
                <w:rFonts w:ascii="宋体" w:hAnsi="宋体"/>
                <w:bCs/>
                <w:sz w:val="24"/>
                <w:szCs w:val="24"/>
              </w:rPr>
              <w:t xml:space="preserve">石墨</w:t>
            </w:r>
            <w:r>
              <w:rPr>
                <w:rFonts w:hint="eastAsia" w:ascii="宋体" w:hAnsi="宋体"/>
                <w:bCs/>
                <w:sz w:val="24"/>
                <w:szCs w:val="24"/>
              </w:rPr>
              <w:t xml:space="preserve">炉加热方式和背景扣除</w:t>
            </w:r>
            <w:r>
              <w:rPr>
                <w:rFonts w:ascii="宋体" w:hAnsi="宋体"/>
                <w:bCs/>
                <w:sz w:val="24"/>
                <w:szCs w:val="24"/>
              </w:rPr>
              <w:t xml:space="preserve">：标准配置为一体化平台热解涂层石墨管</w:t>
            </w:r>
            <w:r>
              <w:rPr>
                <w:rFonts w:hint="eastAsia" w:ascii="宋体" w:hAnsi="宋体"/>
                <w:bCs/>
                <w:sz w:val="24"/>
                <w:szCs w:val="24"/>
              </w:rPr>
              <w:t xml:space="preserve">，加热方式为横向加热，扣背景方式为纵向塞曼背景扣除方式，扣除背景无需切入偏振镜，无灵敏度损失</w:t>
            </w:r>
            <w:r>
              <w:rPr>
                <w:rFonts w:ascii="宋体" w:hAnsi="宋体"/>
                <w:bCs/>
                <w:sz w:val="24"/>
                <w:szCs w:val="24"/>
              </w:rPr>
              <w:t xml:space="preserve">。</w:t>
            </w:r>
            <w:r>
              <w:rPr>
                <w:rFonts w:hint="eastAsia" w:ascii="宋体" w:hAnsi="宋体"/>
                <w:b/>
                <w:sz w:val="24"/>
                <w:szCs w:val="24"/>
              </w:rPr>
              <w:t xml:space="preserve">(提供官方彩页或软件截图证明</w:t>
            </w:r>
            <w:r>
              <w:rPr>
                <w:rFonts w:ascii="宋体" w:hAnsi="宋体"/>
                <w:b/>
                <w:sz w:val="24"/>
                <w:szCs w:val="24"/>
              </w:rPr>
              <w:t xml:space="preserve">)</w:t>
            </w:r>
            <w:r/>
          </w:p>
          <w:p>
            <w:pPr>
              <w:spacing w:line="360" w:lineRule="auto"/>
              <w:rPr>
                <w:rFonts w:ascii="宋体" w:hAnsi="宋体"/>
                <w:b/>
                <w:color w:val="auto"/>
                <w:sz w:val="24"/>
                <w:szCs w:val="24"/>
              </w:rPr>
            </w:pPr>
            <w:r>
              <w:rPr>
                <w:rFonts w:hint="eastAsia" w:ascii="宋体" w:hAnsi="宋体"/>
                <w:bCs/>
                <w:sz w:val="24"/>
                <w:szCs w:val="24"/>
              </w:rPr>
              <w:t xml:space="preserve">▲</w:t>
            </w:r>
            <w:r>
              <w:rPr>
                <w:rFonts w:ascii="宋体" w:hAnsi="宋体"/>
                <w:bCs/>
                <w:sz w:val="24"/>
                <w:szCs w:val="24"/>
              </w:rPr>
              <w:t xml:space="preserve">3.4</w:t>
            </w:r>
            <w:r>
              <w:rPr>
                <w:rFonts w:hint="eastAsia" w:ascii="宋体" w:hAnsi="宋体"/>
                <w:bCs/>
                <w:sz w:val="24"/>
                <w:szCs w:val="24"/>
              </w:rPr>
              <w:t xml:space="preserve">石墨炉必须配备摄像装置，以便实时监测石墨炉进样针的位置、样品溶液的干</w:t>
            </w:r>
            <w:r>
              <w:rPr>
                <w:rFonts w:hint="eastAsia" w:ascii="宋体" w:hAnsi="宋体"/>
                <w:bCs/>
                <w:color w:val="auto"/>
                <w:sz w:val="24"/>
                <w:szCs w:val="24"/>
              </w:rPr>
              <w:t xml:space="preserve">燥、灰化等过程。摄像装置最高观测温度范围不低于1</w:t>
            </w:r>
            <w:r>
              <w:rPr>
                <w:rFonts w:ascii="宋体" w:hAnsi="宋体"/>
                <w:bCs/>
                <w:color w:val="auto"/>
                <w:sz w:val="24"/>
                <w:szCs w:val="24"/>
              </w:rPr>
              <w:t xml:space="preserve">000</w:t>
            </w:r>
            <w:r>
              <w:rPr>
                <w:rFonts w:hint="eastAsia" w:ascii="宋体" w:hAnsi="宋体"/>
                <w:bCs/>
                <w:color w:val="auto"/>
                <w:sz w:val="24"/>
                <w:szCs w:val="24"/>
              </w:rPr>
              <w:t xml:space="preserve">摄氏度。</w:t>
            </w:r>
            <w:r>
              <w:rPr>
                <w:rFonts w:hint="eastAsia" w:ascii="宋体" w:hAnsi="宋体"/>
                <w:b/>
                <w:color w:val="auto"/>
                <w:sz w:val="24"/>
                <w:szCs w:val="24"/>
              </w:rPr>
              <w:t xml:space="preserve">(提供实际测试软件截图证明或者具备资质的第三方检测机构出具的检测报告)</w:t>
            </w:r>
            <w:r/>
          </w:p>
          <w:p>
            <w:pPr>
              <w:spacing w:line="360" w:lineRule="auto"/>
              <w:rPr>
                <w:rFonts w:ascii="宋体" w:hAnsi="宋体"/>
                <w:bCs/>
                <w:i/>
                <w:iCs/>
                <w:sz w:val="24"/>
                <w:szCs w:val="24"/>
                <w:u w:val="single"/>
              </w:rPr>
            </w:pPr>
            <w:r>
              <w:rPr>
                <w:rFonts w:hint="eastAsia" w:ascii="宋体" w:hAnsi="宋体"/>
                <w:b/>
                <w:i/>
                <w:iCs/>
                <w:sz w:val="24"/>
                <w:szCs w:val="24"/>
                <w:u w:val="single"/>
              </w:rPr>
              <w:t xml:space="preserve">3.</w:t>
            </w:r>
            <w:r>
              <w:rPr>
                <w:rFonts w:ascii="宋体" w:hAnsi="宋体"/>
                <w:b/>
                <w:i/>
                <w:iCs/>
                <w:sz w:val="24"/>
                <w:szCs w:val="24"/>
                <w:u w:val="single"/>
              </w:rPr>
              <w:t xml:space="preserve">5</w:t>
            </w:r>
            <w:r>
              <w:rPr>
                <w:rFonts w:hint="eastAsia" w:ascii="宋体" w:hAnsi="宋体"/>
                <w:b/>
                <w:i/>
                <w:iCs/>
                <w:sz w:val="24"/>
                <w:szCs w:val="24"/>
                <w:u w:val="single"/>
              </w:rPr>
              <w:t xml:space="preserve">配石墨炉加氧除碳炉内消解装置</w:t>
            </w:r>
            <w:r/>
          </w:p>
          <w:p>
            <w:pPr>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石墨炉自动进样器：不小于140样品位，带一个取样嘴清洗池。自动进样器由主机供电并由软件控制。</w:t>
            </w:r>
            <w:r/>
          </w:p>
          <w:p>
            <w:pPr>
              <w:spacing w:line="360" w:lineRule="auto"/>
              <w:rPr>
                <w:rFonts w:ascii="宋体" w:hAnsi="宋体"/>
                <w:b/>
                <w:bCs/>
                <w:sz w:val="24"/>
                <w:szCs w:val="24"/>
              </w:rPr>
            </w:pPr>
            <w:r>
              <w:rPr>
                <w:rFonts w:ascii="宋体" w:hAnsi="宋体"/>
                <w:b/>
                <w:bCs/>
                <w:sz w:val="24"/>
                <w:szCs w:val="24"/>
              </w:rPr>
              <w:t xml:space="preserve">4</w:t>
            </w:r>
            <w:r>
              <w:rPr>
                <w:rFonts w:hint="eastAsia" w:ascii="宋体" w:hAnsi="宋体"/>
                <w:b/>
                <w:bCs/>
                <w:sz w:val="24"/>
                <w:szCs w:val="24"/>
              </w:rPr>
              <w:t xml:space="preserve">、</w:t>
            </w:r>
            <w:r>
              <w:rPr>
                <w:rFonts w:ascii="宋体" w:hAnsi="宋体"/>
                <w:b/>
                <w:bCs/>
                <w:sz w:val="24"/>
                <w:szCs w:val="24"/>
              </w:rPr>
              <w:t xml:space="preserve">操作软件</w:t>
            </w:r>
            <w:r/>
          </w:p>
          <w:p>
            <w:pPr>
              <w:spacing w:line="360" w:lineRule="auto"/>
              <w:rPr>
                <w:rFonts w:ascii="宋体" w:hAnsi="宋体"/>
                <w:bCs/>
                <w:sz w:val="24"/>
                <w:szCs w:val="24"/>
              </w:rPr>
            </w:pPr>
            <w:r>
              <w:rPr>
                <w:rFonts w:ascii="宋体" w:hAnsi="宋体"/>
                <w:bCs/>
                <w:sz w:val="24"/>
                <w:szCs w:val="24"/>
              </w:rPr>
              <w:t xml:space="preserve">4.1</w:t>
            </w:r>
            <w:r>
              <w:rPr>
                <w:rFonts w:hint="eastAsia" w:ascii="宋体" w:hAnsi="宋体"/>
                <w:bCs/>
                <w:sz w:val="24"/>
                <w:szCs w:val="24"/>
              </w:rPr>
              <w:t xml:space="preserve"> </w:t>
            </w:r>
            <w:r>
              <w:rPr>
                <w:rFonts w:ascii="宋体" w:hAnsi="宋体"/>
                <w:bCs/>
                <w:sz w:val="24"/>
                <w:szCs w:val="24"/>
              </w:rPr>
              <w:t xml:space="preserve">分析软件：多任务操作功能，即在分析样品的同时，能同时进行数据处理</w:t>
            </w:r>
            <w:r>
              <w:rPr>
                <w:rFonts w:hint="eastAsia" w:ascii="宋体" w:hAnsi="宋体"/>
                <w:bCs/>
                <w:sz w:val="24"/>
                <w:szCs w:val="24"/>
              </w:rPr>
              <w:t xml:space="preserve">。全中文原版数据处理及控制软件，中文在线帮助系统和中文操作手册。</w:t>
            </w:r>
            <w:r>
              <w:rPr>
                <w:rFonts w:ascii="宋体" w:hAnsi="宋体"/>
                <w:bCs/>
                <w:sz w:val="24"/>
                <w:szCs w:val="24"/>
              </w:rPr>
              <w:t xml:space="preserve">数据处理：仪器吸收值、浓度或发射强度等读数可在0.01至100倍的范围内扩展。</w:t>
            </w:r>
            <w:r/>
          </w:p>
          <w:p>
            <w:pPr>
              <w:spacing w:line="360" w:lineRule="auto"/>
              <w:rPr>
                <w:rFonts w:ascii="宋体" w:hAnsi="宋体"/>
                <w:b/>
                <w:bCs/>
                <w:sz w:val="24"/>
                <w:szCs w:val="24"/>
              </w:rPr>
            </w:pPr>
            <w:r>
              <w:rPr>
                <w:rFonts w:ascii="宋体" w:hAnsi="宋体"/>
                <w:b/>
                <w:bCs/>
                <w:sz w:val="24"/>
                <w:szCs w:val="24"/>
              </w:rPr>
              <w:t xml:space="preserve">5</w:t>
            </w:r>
            <w:r>
              <w:rPr>
                <w:rFonts w:hint="eastAsia" w:ascii="宋体" w:hAnsi="宋体"/>
                <w:b/>
                <w:bCs/>
                <w:sz w:val="24"/>
                <w:szCs w:val="24"/>
              </w:rPr>
              <w:t xml:space="preserve">、仪器验收指标</w:t>
            </w:r>
            <w:r/>
          </w:p>
          <w:p>
            <w:pPr>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.1 石墨炉灵敏度，20ppb Cu 进样20微升，吸光度大于0.1。测量方法按照中华人民共和国国家标准GB/T21187-2007的4.5.2.2试验程序进行。</w:t>
            </w:r>
            <w:r>
              <w:rPr>
                <w:rFonts w:hint="eastAsia" w:ascii="宋体" w:hAnsi="宋体"/>
                <w:b/>
                <w:bCs/>
                <w:sz w:val="24"/>
                <w:szCs w:val="24"/>
              </w:rPr>
              <w:t xml:space="preserve">（提供实际测试软件截图证明)</w:t>
            </w:r>
            <w:r/>
          </w:p>
          <w:p>
            <w:pPr>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.2 石墨炉背景校正能力，大于200倍。测量方法按照中华人民共和国国家标准GB/T 21187-2007的4.10.2试验程序进行。</w:t>
            </w:r>
            <w:r/>
          </w:p>
          <w:p>
            <w:pPr>
              <w:jc w:val="left"/>
              <w:spacing w:line="360" w:lineRule="auto"/>
              <w:rPr>
                <w:rFonts w:ascii="宋体" w:hAnsi="宋体"/>
                <w:b/>
                <w:color w:val="auto"/>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.3以石墨炉方法测量1%氯化钠基体溶液中10ppb、20ppb、30ppb、4</w:t>
            </w:r>
            <w:r>
              <w:rPr>
                <w:rFonts w:hint="eastAsia" w:ascii="宋体" w:hAnsi="宋体"/>
                <w:bCs/>
                <w:color w:val="auto"/>
                <w:sz w:val="24"/>
                <w:szCs w:val="24"/>
              </w:rPr>
              <w:t xml:space="preserve">0ppb、50ppb的铅标准溶液，以线性计算截距的校准方式，线性相关系数必须大于0.999。</w:t>
            </w:r>
            <w:r>
              <w:rPr>
                <w:rFonts w:hint="eastAsia" w:ascii="宋体" w:hAnsi="宋体"/>
                <w:b/>
                <w:color w:val="auto"/>
                <w:sz w:val="24"/>
                <w:szCs w:val="24"/>
              </w:rPr>
              <w:t xml:space="preserve">（提供实际测试软件截图证明或者具备资质的第三方检测机构出具的检测报告)</w:t>
            </w:r>
            <w:r/>
          </w:p>
          <w:p>
            <w:pPr>
              <w:spacing w:line="360" w:lineRule="auto"/>
              <w:rPr>
                <w:rFonts w:ascii="宋体" w:hAnsi="宋体"/>
                <w:b/>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5</w:t>
            </w:r>
            <w:r>
              <w:rPr>
                <w:rFonts w:hint="eastAsia" w:ascii="宋体" w:hAnsi="宋体"/>
                <w:bCs/>
                <w:color w:val="auto"/>
                <w:sz w:val="24"/>
                <w:szCs w:val="24"/>
              </w:rPr>
              <w:t xml:space="preserve">.4 以石墨炉方法测量2ppb、4ppb、6ppb、8ppb的砷和硒标准溶液，以线性计算截距的校准方式，线性相关系数必须大0.999。</w:t>
            </w:r>
            <w:r>
              <w:rPr>
                <w:rFonts w:hint="eastAsia" w:ascii="宋体" w:hAnsi="宋体"/>
                <w:b/>
                <w:color w:val="auto"/>
                <w:sz w:val="24"/>
                <w:szCs w:val="24"/>
              </w:rPr>
              <w:t xml:space="preserve">（提供实际测试软件截图证明或者具备资质的第三方检测机构出具的检测报告)</w:t>
            </w:r>
            <w:r/>
          </w:p>
          <w:p>
            <w:pPr>
              <w:jc w:val="left"/>
              <w:spacing w:line="360" w:lineRule="auto"/>
              <w:rPr>
                <w:rFonts w:ascii="宋体" w:hAnsi="宋体" w:cs="Helvetica"/>
                <w:sz w:val="24"/>
                <w:szCs w:val="32"/>
              </w:rPr>
            </w:pPr>
            <w:r>
              <w:rPr>
                <w:rFonts w:ascii="宋体" w:hAnsi="宋体"/>
                <w:bCs/>
                <w:color w:val="auto"/>
                <w:sz w:val="24"/>
                <w:szCs w:val="24"/>
              </w:rPr>
              <w:t xml:space="preserve">5.5</w:t>
            </w:r>
            <w:r>
              <w:rPr>
                <w:rFonts w:hint="eastAsia" w:ascii="宋体" w:hAnsi="宋体"/>
                <w:bCs/>
                <w:color w:val="auto"/>
                <w:sz w:val="24"/>
                <w:szCs w:val="24"/>
              </w:rPr>
              <w:t xml:space="preserve">精密度：石墨炉法测定铝10ppb时连</w:t>
            </w:r>
            <w:r>
              <w:rPr>
                <w:rFonts w:hint="eastAsia" w:ascii="宋体" w:hAnsi="宋体"/>
                <w:bCs/>
                <w:sz w:val="24"/>
                <w:szCs w:val="24"/>
              </w:rPr>
              <w:t xml:space="preserve">续测定10次，RSD≤5％；铅：2ppb Pb溶液连续测定10次的RSD≤5%。</w:t>
            </w:r>
            <w:r/>
          </w:p>
        </w:tc>
      </w:tr>
    </w:tbl>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2、“▲”为</w:t>
      </w:r>
      <w:r>
        <w:rPr>
          <w:rFonts w:hint="eastAsia" w:ascii="宋体" w:hAnsi="宋体" w:cs="宋体"/>
          <w:sz w:val="24"/>
          <w:szCs w:val="24"/>
        </w:rPr>
        <w:t xml:space="preserve">重要指标项，</w:t>
      </w:r>
      <w:r>
        <w:rPr>
          <w:rFonts w:hint="eastAsia" w:ascii="宋体" w:hAnsi="宋体" w:cs="宋体"/>
          <w:sz w:val="24"/>
        </w:rPr>
        <w:t xml:space="preserve">不作为强制废标条款，但作为重要评分依据。</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b/>
          <w:bCs/>
          <w:i/>
          <w:iCs/>
          <w:sz w:val="24"/>
          <w:szCs w:val="24"/>
          <w:u w:val="single"/>
        </w:rPr>
        <w:t xml:space="preserve">合同履行期限（交货期）：合同签订后40工作日内供货、安装、调试完毕。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2、交货方式：</w:t>
      </w:r>
      <w:r>
        <w:rPr>
          <w:rFonts w:hint="eastAsia" w:ascii="宋体" w:hAnsi="宋体"/>
          <w:sz w:val="24"/>
        </w:rPr>
        <w:t xml:space="preserve">现场验收</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3、交货地点：</w:t>
      </w:r>
      <w:r>
        <w:rPr>
          <w:rFonts w:ascii="宋体" w:hAnsi="宋体"/>
          <w:sz w:val="24"/>
        </w:rPr>
        <w:t xml:space="preserve">采购人指定地点</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3、项目进度计划</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六、人员配备要求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七、履约验收要求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1、验收组织：成立由采购人、中标人组成的验收小组，负责对货物进行各项验收。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2、验收通用要求：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（1）验收前，中标人应提前5天通知采购人。中标人与采购人在验收过程中应密切合作。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3、验收依据：招标文件、投标文件、合同及相关的国家标准、行业标准、规范等。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八、培训要求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1、培训对象与内容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2、培训目标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九、售后服务要求</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1、质保期：</w:t>
      </w:r>
      <w:r>
        <w:rPr>
          <w:rFonts w:hint="eastAsia" w:ascii="宋体" w:hAnsi="宋体" w:cs="Arial"/>
          <w:b/>
          <w:bCs/>
          <w:i/>
          <w:iCs/>
          <w:sz w:val="24"/>
          <w:szCs w:val="24"/>
          <w:u w:val="single"/>
        </w:rPr>
        <w:t xml:space="preserve">安装调试合格之日起不少于二年原厂质保。</w:t>
      </w:r>
      <w:r>
        <w:rPr>
          <w:rFonts w:hint="eastAsia" w:ascii="宋体" w:hAnsi="宋体"/>
          <w:b/>
          <w:bCs/>
          <w:i/>
          <w:iCs/>
          <w:sz w:val="24"/>
          <w:szCs w:val="24"/>
          <w:u w:val="single"/>
        </w:rPr>
        <w:t xml:space="preserve">（投标时提供承诺书，合同签订后7个工作日提供制造商加盖公章的质保承诺或协议，无法提供的，采购人有权单方面解除合同、扣除履约保证金、成交供应商清退出场，同时报政府采购监督管理部门）。</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2、维修要求：</w:t>
      </w:r>
      <w:r>
        <w:rPr>
          <w:rFonts w:hint="eastAsia" w:ascii="宋体" w:hAnsi="宋体" w:cs="宋体"/>
          <w:sz w:val="24"/>
          <w:szCs w:val="24"/>
        </w:rPr>
        <w:t xml:space="preserve">全天候随时响应设备使用等相关问题咨询</w:t>
      </w:r>
      <w:r>
        <w:rPr>
          <w:rFonts w:hint="eastAsia" w:ascii="宋体" w:hAnsi="宋体" w:cs="Arial"/>
          <w:sz w:val="24"/>
          <w:szCs w:val="24"/>
        </w:rPr>
        <w:t xml:space="preserve">，并在需要维修时工程师24小时内到现场。</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3、对操作人员、提供一次的现场培训，</w:t>
      </w:r>
      <w:r>
        <w:rPr>
          <w:rFonts w:hint="eastAsia" w:ascii="宋体" w:hAnsi="宋体"/>
          <w:sz w:val="24"/>
          <w:szCs w:val="21"/>
        </w:rPr>
        <w:t xml:space="preserve">随机提供至少一套产品详细完备资料原件</w:t>
      </w:r>
      <w:r>
        <w:rPr>
          <w:rFonts w:hint="eastAsia" w:ascii="宋体" w:hAnsi="宋体" w:cs="Arial"/>
          <w:sz w:val="24"/>
          <w:szCs w:val="24"/>
        </w:rPr>
        <w:t xml:space="preserve">，包含仪器的操作说明手册、维护手册、光盘资料、软件等。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Arial"/>
          <w:sz w:val="24"/>
          <w:szCs w:val="24"/>
        </w:rPr>
        <w:t xml:space="preserve">4、验收：验收将按照本招标文件技术要求及相关国家标准验收，若发现任何损坏及质量问题，供方应负责妥善处理直至需方满意。此工作所发生的费用应由供方自行承担。</w:t>
      </w:r>
      <w:r/>
    </w:p>
    <w:p>
      <w:pPr>
        <w:ind w:firstLine="480"/>
        <w:spacing w:line="360" w:lineRule="auto"/>
        <w:tabs>
          <w:tab w:val="left" w:pos="426" w:leader="none"/>
        </w:tabs>
        <w:rPr>
          <w:rFonts w:ascii="宋体" w:hAnsi="宋体"/>
          <w:sz w:val="24"/>
          <w:szCs w:val="21"/>
        </w:rPr>
      </w:pPr>
      <w:r>
        <w:rPr>
          <w:rFonts w:hint="eastAsia" w:ascii="宋体" w:hAnsi="宋体"/>
          <w:sz w:val="24"/>
          <w:szCs w:val="21"/>
        </w:rPr>
        <w:t xml:space="preserve">6、安装工程师对本标书中提出的性能指标须逐项演示给用户，所有验收指标要求一次完成；</w:t>
      </w:r>
      <w:r/>
    </w:p>
    <w:p>
      <w:pPr>
        <w:ind w:firstLine="480"/>
        <w:spacing w:line="360" w:lineRule="auto"/>
        <w:tabs>
          <w:tab w:val="left" w:pos="426" w:leader="none"/>
        </w:tabs>
        <w:rPr>
          <w:rFonts w:ascii="宋体" w:hAnsi="宋体"/>
          <w:sz w:val="24"/>
          <w:szCs w:val="21"/>
        </w:rPr>
      </w:pPr>
      <w:r>
        <w:rPr>
          <w:rFonts w:hint="eastAsia" w:ascii="宋体" w:hAnsi="宋体"/>
          <w:sz w:val="24"/>
          <w:szCs w:val="21"/>
        </w:rPr>
        <w:t xml:space="preserve">7、安装、调试过程中，安装工程师有义务对用户讲解仪器的操作及注意事项，对用户提出的问题安装工程师须认真给予正确完整的讲解和回答；</w:t>
      </w:r>
      <w:r/>
    </w:p>
    <w:p>
      <w:pPr>
        <w:ind w:firstLine="480"/>
        <w:spacing w:line="360" w:lineRule="auto"/>
        <w:tabs>
          <w:tab w:val="left" w:pos="426" w:leader="none"/>
        </w:tabs>
        <w:rPr>
          <w:rFonts w:ascii="宋体" w:hAnsi="宋体"/>
          <w:b/>
          <w:bCs/>
          <w:sz w:val="24"/>
          <w:szCs w:val="21"/>
        </w:rPr>
      </w:pPr>
      <w:r>
        <w:rPr>
          <w:rFonts w:hint="eastAsia" w:ascii="宋体" w:hAnsi="宋体" w:cs="宋体"/>
          <w:sz w:val="24"/>
          <w:szCs w:val="21"/>
        </w:rPr>
        <w:t xml:space="preserve">▲</w:t>
      </w:r>
      <w:r>
        <w:rPr>
          <w:rFonts w:hint="eastAsia" w:ascii="宋体" w:hAnsi="宋体"/>
          <w:sz w:val="24"/>
          <w:szCs w:val="21"/>
        </w:rPr>
        <w:t xml:space="preserve">8、人员培训：对采购人使用人员由制造商提供不少于4工作日的培训，培训地点由制造商指定。</w:t>
      </w:r>
      <w:r>
        <w:rPr>
          <w:rFonts w:hint="eastAsia" w:ascii="宋体" w:hAnsi="宋体"/>
          <w:b/>
          <w:bCs/>
          <w:sz w:val="24"/>
          <w:szCs w:val="24"/>
        </w:rPr>
        <w:t xml:space="preserve">（供应商投标时提供承诺书加盖公章，成交后提供由制造商加盖公章的培训承诺或协议）</w:t>
      </w:r>
      <w:r/>
    </w:p>
    <w:p>
      <w:pPr>
        <w:ind w:firstLine="480"/>
        <w:spacing w:line="360" w:lineRule="auto"/>
        <w:tabs>
          <w:tab w:val="left" w:pos="426" w:leader="none"/>
        </w:tabs>
        <w:rPr>
          <w:rFonts w:ascii="宋体" w:hAnsi="宋体"/>
          <w:sz w:val="24"/>
          <w:szCs w:val="24"/>
        </w:rPr>
      </w:pPr>
      <w:r>
        <w:rPr>
          <w:rFonts w:hint="eastAsia" w:ascii="宋体" w:hAnsi="宋体"/>
          <w:sz w:val="24"/>
          <w:szCs w:val="21"/>
        </w:rPr>
        <w:t xml:space="preserve">9、投标人提供给采购人的货物，其所有部件都必须是原厂生产的全新优质产品，且在中国境内买方拥有合法的产权和使用权。</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10、质保期间，中标人承担维修、保养、安检、调换等，相关费用包含在预算内，采购方不再支付任何费用；对于采购方人为原因造成的故障，中标人只收取维保成本费用。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11、质保期内，应确保设备的正常使用。在接到采购人服务要求后应立即做出回应，并在承诺的服务时间内实施服务。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12、承担质保期内的全部技术责任。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13、质保期内，定期对所供产品进行巡检，对巡检中发现的潜在隐患提出改正建议，及时通知采购人。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14、质保期内，发现由于材料、设备或工艺不良造成设备故障时，应研究其故障原因，并迅速修复或免费进行更换。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15、维修后，如果设备配置与初始状态不一致时(如升级或改版)，应附上相应的配置说明。</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十一、投标报价要求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1、报价币种为人民币。</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1、付款方式</w:t>
      </w:r>
      <w:r/>
    </w:p>
    <w:p>
      <w:pPr>
        <w:ind w:left="479" w:firstLine="65"/>
        <w:jc w:val="left"/>
        <w:spacing w:line="360" w:lineRule="auto"/>
        <w:rPr>
          <w:rFonts w:ascii="宋体" w:hAnsi="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设备安装调试经验收合格后，经审计票据齐全后一次性支付至审计金额的100%。</w:t>
      </w:r>
      <w:r/>
    </w:p>
    <w:p>
      <w:pPr>
        <w:ind w:left="479" w:firstLine="6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本项目收取履约保证金，金额为合同金额的10%。</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56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十三、其他</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9"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sz w:val="24"/>
          <w:szCs w:val="24"/>
        </w:rPr>
        <w:t xml:space="preserve">一、评标方法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二、评标标准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（2）本项目评分总分为100分，按四舍五入取至小数点后两位。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（3）总得分=价格分+技术分+商务分。</w:t>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center"/>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（2）技术分（30分）</w:t>
      </w:r>
      <w:r/>
    </w:p>
    <w:tbl>
      <w:tblPr>
        <w:tblStyle w:val="708"/>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8447"/>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824"/>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实施方案（6分）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评委根据供应商的项目实施方案，</w:t>
            </w:r>
            <w:r>
              <w:rPr>
                <w:rFonts w:hint="eastAsia" w:ascii="宋体" w:hAnsi="宋体" w:cs="宋体"/>
                <w:color w:val="auto"/>
                <w:sz w:val="24"/>
              </w:rPr>
              <w:t xml:space="preserve">内容包括但不限于：①</w:t>
            </w:r>
            <w:r>
              <w:rPr>
                <w:rFonts w:hint="eastAsia" w:ascii="宋体" w:hAnsi="宋体" w:cs="宋体"/>
                <w:color w:val="auto"/>
                <w:sz w:val="24"/>
                <w:lang w:bidi="ar"/>
              </w:rPr>
              <w:t xml:space="preserve">组织实施、②人员、③运输供货、④安装、⑤调试测试验收等进行评审。</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1、实施方案全面完整、贴合疾控实验室项目实际、科学合理可行，内容详实细致、统筹考虑周全，各环节保障措施精准到位，项目针对性极强，完全满足本项目设备采购安装落地全部需求的得6分； </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2、实施方案体系完整、贴合本项目实际情况，整体科学合理、可操作性强，组织、人员、运输、供货、安装调试、测试验收各环节规划全面，措施完善，针对性良好，能够充分满足项目实施需求的得5分； </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3、实施方案较为完整、基本符合本项目实际、整体基本合理，各实施环节基本考虑周全，保障措施基本到位，项目针对性较强，可顺利满足本项目实施需要的得4分；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4、实施方案基本完整、基本契合项目实际、整体基本合理，各实施环节有基础规划，措施基本到位，但细节规划有所欠缺，项目针对性一般，可满足项目基础实施需要的得3分； </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5、实施方案内容不完整、实用性偏弱，整体合理性一般，各实施环节考虑不周全，保障措施不够到位，项目针对性不强，仅能勉强满足基本实施需求，需进一步优化完善的得2分；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6、未提供本项目设备实施方案相关资料，或实施方案严重不符合项目要求、无可实施性的得1分。</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1"/>
              <w:jc w:val="center"/>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整体技术方案（</w:t>
            </w:r>
            <w:r>
              <w:rPr>
                <w:rFonts w:hint="eastAsia" w:ascii="宋体" w:hAnsi="宋体" w:cs="宋体"/>
                <w:color w:val="auto"/>
                <w:sz w:val="24"/>
                <w:lang w:bidi="ar"/>
              </w:rPr>
              <w:t xml:space="preserve">6分</w:t>
            </w:r>
            <w:r>
              <w:rPr>
                <w:rFonts w:hint="eastAsia" w:ascii="宋体" w:hAnsi="宋体" w:cs="宋体"/>
                <w:color w:val="auto"/>
                <w:sz w:val="24"/>
                <w:lang w:val="zh-CN" w:bidi="ar"/>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具有科学先进合理的整体技术解决方案，根据实际需求可进行升级开发，整体具有可扩展升级能力。根据技术方案的扩展升级、科学先进性、可扩充性、安全性等因素进行综合评审。</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w:t>
            </w:r>
            <w:r>
              <w:rPr>
                <w:rFonts w:hint="eastAsia" w:ascii="宋体" w:hAnsi="宋体" w:cs="宋体"/>
                <w:color w:val="auto"/>
                <w:sz w:val="24"/>
                <w:lang w:val="zh-CN" w:bidi="ar"/>
              </w:rPr>
              <w:t xml:space="preserve">整体技术方案科学先进、设计合理、贴合疾控实验室实际应用需求，设备安全防护体系完善、安全性极高，具备极强的可扩展、可升级开发能力，可根据项目后期业务发展需求全方位优化升级，完全满足项目长期使用需求</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6</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w:t>
            </w:r>
            <w:r>
              <w:rPr>
                <w:rFonts w:hint="eastAsia" w:ascii="宋体" w:hAnsi="宋体" w:cs="宋体"/>
                <w:color w:val="auto"/>
                <w:sz w:val="24"/>
                <w:lang w:val="zh-CN" w:bidi="ar"/>
              </w:rPr>
              <w:t xml:space="preserve">整体技术方案科学先进、架构合理，安全保障体系完善、安全性良好，可扩充性能优异，具备较强的升级开发潜力，适配实验室大部分后期拓展需求，技术方案落地性与前瞻性较强</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5</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w:t>
            </w:r>
            <w:r>
              <w:rPr>
                <w:rFonts w:hint="eastAsia" w:ascii="宋体" w:hAnsi="宋体" w:cs="宋体"/>
                <w:color w:val="auto"/>
                <w:sz w:val="24"/>
                <w:lang w:val="zh-CN" w:bidi="ar"/>
              </w:rPr>
              <w:t xml:space="preserve">整体技术方案较科学先进，整体设计合理规范，设备安全性较好，具备一定的可扩展升级能力，能够适配项目常规后期升级需求，可满足实验室日常使用及基础拓展需要</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4</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4、整体技术方案科学性一般，设计基本合理，设备安全防护措施基本齐全、安全性达标，可扩充性与设备升级能力一般，仅能满足项目基础使用需求，后期拓展升级空间有限的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3</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w:t>
            </w:r>
            <w:r>
              <w:rPr>
                <w:rFonts w:hint="eastAsia" w:ascii="宋体" w:hAnsi="宋体" w:cs="宋体"/>
                <w:color w:val="auto"/>
                <w:sz w:val="24"/>
                <w:lang w:val="zh-CN" w:bidi="ar"/>
              </w:rPr>
              <w:t xml:space="preserve">整体技术方案科学性偏弱，设计合理性一般，安全保障措施不完善，设备可扩展、可升级能力较差，针对性与实用性不足，仅能勉强满足基础设备使用需求，技术方案需大幅优化完善</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2</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6、</w:t>
            </w:r>
            <w:r>
              <w:rPr>
                <w:rFonts w:hint="eastAsia" w:ascii="宋体" w:hAnsi="宋体" w:cs="宋体"/>
                <w:color w:val="auto"/>
                <w:sz w:val="24"/>
                <w:lang w:val="zh-CN" w:bidi="ar"/>
              </w:rPr>
              <w:t xml:space="preserve">未提供本项目整体技术方案相关资料，或提供的技术方案不符合项目要求、无安全性及可升级性</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1</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b/>
                <w:bCs/>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售后服务（6分）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1、售后服务方案细致完整、针对性强、措施有力，方案的贯彻应能满足本项目各项服务要求，方案内容描述全面合理符合采购需求的得6分；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2、售后服务方案较细致完整，具有较强针对性，措施较为有力，方案的贯彻基本能满足本项目各项服务要求，方案内容描述较全面合理，基本符合采购需求的得5分；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3、售后服务方案基本完整，内容至少覆盖以上5项要素，具有一定针对性，措施基本可行，方案的贯彻能基本满足主要服务要求，方案内容描述基本合理，但部分细节不够具体或略有欠缺的得4分；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4、售后服务方案完整性不足，内容至少覆盖以上4项要素，针对性一般，措施不够得力，方案的贯彻不能完全满足各项服务要求，方案内容描述有较多疏漏，合理性较差的得3分；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5、售后服务方案较为粗略，内容至少覆盖以上3项要素，缺乏针对性，措施乏力或流于形式，方案的贯彻难以有效满足服务要求，方案内容描述粗浅，多处关键内容缺失，不符合采购需求的得2分；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6、售后服务方案严重缺失，内容至少覆盖以上2项要素，内容空泛或与项目无关，无具体针对性，无实质措施，方案的贯彻无法满足基本服务要求，方案内容描述混乱或基本未响应的得1分。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szCs w:val="24"/>
              </w:rPr>
              <w:t xml:space="preserve">培训方案完整，详细，针对性强、贯彻各项服务要求、</w:t>
            </w:r>
            <w:r>
              <w:rPr>
                <w:rFonts w:hint="eastAsia" w:ascii="宋体" w:hAnsi="宋体" w:cs="宋体"/>
                <w:sz w:val="24"/>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rPr>
              <w:t xml:space="preserve">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3、培训方案基本完整，内容至少覆盖以上5项培训要素，针对性一般，能基本满足服务要求，培训内容安排基本符合货物特点，师资力量及经验尚可，有基本的课程时间安排和效果评价框架的得4分；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3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5、培训方案较粗略，内容至少覆盖以上3项培训要素，缺乏针对性，未能有效响应服务要求，培训内容未体现货物特点，师资力量薄弱或未明确，课程安排混乱或缺失，效果评价计划不具可行性的得2分；</w:t>
            </w:r>
            <w:r/>
          </w:p>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6、培训方案严重缺失，内容至少覆盖以上2项培训要素，几乎无针对性，未体现对服务要求的响应，培训内容与货物基本无关，无实质师资和人次说明，无明确课程安排，无效果评价计划的得1分。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r>
        <w:trPr>
          <w:trHeight w:val="496"/>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维修方案</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评标委员会根据各投标文件中质保期内、质保期满后的故障响应时间、应急维修措施预案等进行打分：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服务承诺完全贴合疾控实验室设备运维项目特点，质保期内及质保期满后故障响应时间极快，到场维修、故障排查、问题处置全流程时效标准严苛、贴合实验室应急检测工作需求；应急维修措施预案体系完整、细节详实、针对性极强，可直接落地执行，具备完善的实验室设备突发故障应急处置、备用保障、数据安全防护等专项保障措施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服务承诺完全符合本项目特点，质保期内及质保期满后故障响应速度快速，时效标准优于项目基本要求；应急维修措施预案完整规范、可行性高，覆盖设备各类常见、突发故障场景，保障措施齐全，适配疾控实验室常态化、应急化设备运维需求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服务承诺符合本项目特点，质保期内、质保期满后的售后服务故障响应时间快，满足项目常规运维时效要求；应急维修措施预案较为合理、框架完整，核心故障处置流程清晰，具备基本的应急保障能力，仅少量细节需优化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服务承诺基本贴合本项目特点，整体实用性尚可，质保期内、质保期满后故障响应时效基本达标，但无提速保障优势；应急维修措施预案基本完备，可覆盖常规故障处置，针对实验室特殊突发场景的保障措施有所欠缺的得3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服务承诺基本满足项目基础要求，实用性一般，质保期内、质保期满后的售后服务故障响应时间较长，仅能满足最低运维时效标准；应急维修措施预案内容简略、完整性不足，故障处置流程不完善，应急保障能力有限的得2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6、未提供本项目对应的设备售后服务、故障响应、应急维修预案等相关承诺及方案资料，或提供的服务方案、响应措施严重不符合项目要求，无法满足疾控实验室设备运维需求的得1分。</w:t>
            </w:r>
            <w:r/>
          </w:p>
          <w:p>
            <w:pPr>
              <w:jc w:val="left"/>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lang w:bidi="ar"/>
              </w:rPr>
              <w:t xml:space="preserve">未提供不得分。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（3）商务分（40分）</w:t>
      </w:r>
      <w:r/>
    </w:p>
    <w:tbl>
      <w:tblPr>
        <w:tblStyle w:val="708"/>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7968"/>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w:t>
            </w:r>
            <w:r>
              <w:rPr>
                <w:rFonts w:hint="eastAsia" w:ascii="宋体" w:hAnsi="宋体" w:cs="宋体"/>
                <w:sz w:val="24"/>
              </w:rPr>
              <w:t xml:space="preserve">38</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完全满足采购文件技术参数要求的得38分；采购文件中标注“▲”的为重要参数，对这些重要参数负偏离的，每项扣3分；其他非重要参数负偏离的，每项扣0.5分，扣完为止。缺项漏项视为负偏离。</w:t>
            </w:r>
            <w:r/>
          </w:p>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注：招标文件要求提供技术内容支撑资料的应完整，完善，无遗漏地提供，否则视为未响应。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类似项目业绩（2分）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31"/>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供应商自2021年1月1日以来（合同签订时间）具备类似实验室分析仪器设备业绩，每提供一份类似业绩的合同得1分，最多得2分。</w:t>
            </w:r>
            <w:r/>
          </w:p>
          <w:p>
            <w:pPr>
              <w:pStyle w:val="931"/>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提供类似业绩合同扫描件加盖供应商公章，业绩时间以合同签订时间为准，未提供或合同内无法体现货物种类的不得分。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pPr>
      <w:r>
        <w:rPr>
          <w:rFonts w:hint="eastAsia"/>
          <w:sz w:val="24"/>
          <w:szCs w:val="24"/>
        </w:rPr>
      </w:r>
      <w:r/>
    </w:p>
    <w:p>
      <w:pPr>
        <w:jc w:val="left"/>
        <w:widowControl/>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0" w:name="_Toc165205799"/>
      <w:r>
        <w:rPr>
          <w:rFonts w:hint="eastAsia" w:ascii="黑体" w:hAnsi="黑体" w:eastAsia="黑体"/>
          <w:b w:val="0"/>
        </w:rPr>
        <w:t xml:space="preserve">第六章  投标文件格式</w:t>
      </w:r>
      <w:bookmarkEnd w:id="10"/>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ascii="宋体" w:hAnsi="宋体"/>
          <w:b/>
          <w:sz w:val="72"/>
          <w:szCs w:val="21"/>
        </w:rPr>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hint="eastAsia" w:ascii="宋体" w:hAnsi="宋体"/>
          <w:b/>
          <w:sz w:val="72"/>
          <w:szCs w:val="21"/>
        </w:rPr>
        <w:t xml:space="preserve">投  标  文  件</w:t>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ascii="宋体" w:hAnsi="宋体"/>
          <w:b/>
          <w:sz w:val="72"/>
          <w:szCs w:val="21"/>
        </w:rPr>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ascii="宋体" w:hAnsi="宋体"/>
          <w:b/>
          <w:sz w:val="72"/>
          <w:szCs w:val="21"/>
        </w:rPr>
      </w:r>
      <w:r/>
    </w:p>
    <w:p>
      <w:pPr>
        <w:jc w:val="center"/>
        <w:rPr>
          <w:rFonts w:ascii="宋体" w:hAnsi="宋体"/>
          <w:b/>
          <w:sz w:val="36"/>
          <w:szCs w:val="21"/>
        </w:rPr>
        <w:pBdr>
          <w:top w:val="none" w:color="auto" w:sz="0" w:space="1"/>
          <w:left w:val="none" w:color="auto" w:sz="0" w:space="4"/>
          <w:bottom w:val="none" w:color="auto" w:sz="0" w:space="1"/>
          <w:right w:val="none" w:color="auto" w:sz="0" w:space="4"/>
        </w:pBdr>
      </w:pPr>
      <w:r>
        <w:rPr>
          <w:rFonts w:ascii="宋体" w:hAnsi="宋体"/>
          <w:b/>
          <w:sz w:val="36"/>
          <w:szCs w:val="21"/>
        </w:rPr>
      </w:r>
      <w:r/>
    </w:p>
    <w:p>
      <w:pPr>
        <w:jc w:val="center"/>
        <w:rPr>
          <w:rFonts w:ascii="宋体" w:hAnsi="宋体"/>
          <w:b/>
          <w:sz w:val="36"/>
          <w:szCs w:val="21"/>
        </w:rPr>
        <w:pBdr>
          <w:top w:val="none" w:color="auto" w:sz="0" w:space="1"/>
          <w:left w:val="none" w:color="auto" w:sz="0" w:space="4"/>
          <w:bottom w:val="none" w:color="auto" w:sz="0" w:space="1"/>
          <w:right w:val="none" w:color="auto" w:sz="0" w:space="4"/>
        </w:pBdr>
      </w:pPr>
      <w:r>
        <w:rPr>
          <w:rFonts w:ascii="宋体" w:hAnsi="宋体"/>
          <w:b/>
          <w:sz w:val="36"/>
          <w:szCs w:val="21"/>
        </w:rPr>
      </w:r>
      <w:r/>
    </w:p>
    <w:p>
      <w:pPr>
        <w:jc w:val="center"/>
        <w:rPr>
          <w:rFonts w:ascii="宋体" w:hAnsi="宋体"/>
          <w:b/>
          <w:sz w:val="36"/>
          <w:szCs w:val="21"/>
        </w:rPr>
        <w:pBdr>
          <w:top w:val="none" w:color="auto" w:sz="0" w:space="1"/>
          <w:left w:val="none" w:color="auto" w:sz="0" w:space="4"/>
          <w:bottom w:val="none" w:color="auto" w:sz="0" w:space="1"/>
          <w:right w:val="none" w:color="auto" w:sz="0" w:space="4"/>
        </w:pBdr>
      </w:pPr>
      <w:r>
        <w:rPr>
          <w:rFonts w:ascii="宋体" w:hAnsi="宋体"/>
          <w:b/>
          <w:sz w:val="36"/>
          <w:szCs w:val="21"/>
        </w:rPr>
      </w:r>
      <w:r/>
    </w:p>
    <w:p>
      <w:pPr>
        <w:ind w:firstLine="1084"/>
        <w:rPr>
          <w:rFonts w:ascii="宋体" w:hAnsi="宋体"/>
          <w:b/>
          <w:sz w:val="36"/>
          <w:szCs w:val="21"/>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项 目 名 称：</w:t>
      </w:r>
      <w:r/>
    </w:p>
    <w:p>
      <w:pPr>
        <w:ind w:firstLine="1084"/>
        <w:rPr>
          <w:rFonts w:ascii="宋体" w:hAnsi="宋体"/>
          <w:b/>
          <w:sz w:val="36"/>
          <w:szCs w:val="21"/>
          <w:u w:val="single"/>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项 目 编 号：</w:t>
      </w:r>
      <w:r/>
    </w:p>
    <w:p>
      <w:pPr>
        <w:rPr>
          <w:rFonts w:ascii="宋体" w:hAnsi="宋体"/>
          <w:b/>
          <w:sz w:val="36"/>
          <w:szCs w:val="21"/>
          <w:u w:val="single"/>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      日      期 ：</w:t>
      </w:r>
      <w:r/>
    </w:p>
    <w:p>
      <w:pPr>
        <w:jc w:val="center"/>
        <w:spacing w:line="440" w:lineRule="exact"/>
        <w:rPr>
          <w:rFonts w:ascii="宋体" w:hAnsi="宋体"/>
          <w:b/>
          <w:bCs/>
          <w:sz w:val="32"/>
          <w:szCs w:val="32"/>
        </w:rPr>
        <w:pBdr>
          <w:top w:val="none" w:color="auto" w:sz="0" w:space="1"/>
          <w:left w:val="none" w:color="auto" w:sz="0" w:space="4"/>
          <w:bottom w:val="none" w:color="auto" w:sz="0" w:space="1"/>
          <w:right w:val="none" w:color="auto" w:sz="0" w:space="4"/>
        </w:pBdr>
      </w:pPr>
      <w:r>
        <w:rPr>
          <w:rFonts w:ascii="宋体" w:hAnsi="宋体"/>
          <w:b/>
          <w:bCs/>
          <w:sz w:val="32"/>
          <w:szCs w:val="32"/>
        </w:rPr>
      </w:r>
      <w:r/>
    </w:p>
    <w:p>
      <w:pPr>
        <w:spacing w:line="44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left"/>
        <w:widowControl/>
        <w:rPr>
          <w:rFonts w:hint="eastAsia"/>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jc w:val="left"/>
        <w:keepLines/>
        <w:keepNext/>
        <w:spacing w:before="360" w:after="200" w:line="360" w:lineRule="auto"/>
        <w:rPr>
          <w:rFonts w:ascii="宋体" w:hAnsi="宋体" w:cs="宋体"/>
          <w:i/>
          <w:sz w:val="36"/>
          <w:szCs w:val="36"/>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u w:val="single"/>
        </w:rPr>
        <w:t xml:space="preserve">一、法人或者其他组织的营业执照等证明文件，自然人的身份证明</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u w:val="single"/>
        </w:rPr>
        <w:t xml:space="preserve">二、2024或2025年度的财务状况报告</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（成立不满一年无需提供）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center"/>
        <w:spacing w:line="360" w:lineRule="auto"/>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财务状况报告及税收、社会保障资金缴纳情况承诺函</w:t>
      </w:r>
      <w:r/>
    </w:p>
    <w:p>
      <w:pPr>
        <w:jc w:val="left"/>
        <w:rPr>
          <w:rFonts w:hint="eastAsia" w:ascii="MS Mincho"/>
          <w:szCs w:val="24"/>
        </w:rPr>
        <w:pBdr>
          <w:top w:val="none" w:color="auto" w:sz="0" w:space="1"/>
          <w:left w:val="none" w:color="auto" w:sz="0" w:space="4"/>
          <w:bottom w:val="none" w:color="auto" w:sz="0" w:space="1"/>
          <w:right w:val="none" w:color="auto" w:sz="0" w:space="4"/>
        </w:pBdr>
      </w:pPr>
      <w:r>
        <w:rPr>
          <w:rFonts w:hint="eastAsia" w:ascii="MS Mincho"/>
          <w:szCs w:val="24"/>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（1）具有良好的商业信誉和健全的财务会计制度（财务状况报告）；</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（2）有依法缴纳税收和社会保障资金的良好记录。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特此承诺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供应商（公章）：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rFonts w:hint="eastAsia"/>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jc w:val="left"/>
        <w:rPr>
          <w:rFonts w:hint="eastAsia" w:ascii="MS Mincho"/>
          <w:szCs w:val="24"/>
        </w:rPr>
        <w:pBdr>
          <w:top w:val="none" w:color="auto" w:sz="0" w:space="1"/>
          <w:left w:val="none" w:color="auto" w:sz="0" w:space="4"/>
          <w:bottom w:val="none" w:color="auto" w:sz="0" w:space="1"/>
          <w:right w:val="none" w:color="auto" w:sz="0" w:space="4"/>
        </w:pBdr>
      </w:pPr>
      <w:r>
        <w:rPr>
          <w:rFonts w:hint="eastAsia" w:ascii="MS Mincho"/>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附主要设备和主要专业技术能力的证明材料如下：</w:t>
      </w:r>
      <w:r/>
    </w:p>
    <w:p>
      <w:pPr>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ascii="Times New Roman" w:hAnsi="Times New Roman"/>
          <w:sz w:val="24"/>
          <w:szCs w:val="24"/>
        </w:rPr>
      </w:r>
      <w:r/>
    </w:p>
    <w:p>
      <w:pPr>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ascii="Times New Roman" w:hAnsi="Times New Roman"/>
          <w:sz w:val="24"/>
          <w:szCs w:val="24"/>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sz w:val="44"/>
          <w:szCs w:val="4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声  明</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八、特定资格要求的证明文件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sz w:val="36"/>
          <w:szCs w:val="36"/>
        </w:rPr>
        <w:pBdr>
          <w:top w:val="none" w:color="auto" w:sz="0" w:space="1"/>
          <w:left w:val="none" w:color="auto" w:sz="0" w:space="4"/>
          <w:bottom w:val="none" w:color="auto" w:sz="0" w:space="1"/>
          <w:right w:val="none" w:color="auto" w:sz="0" w:space="4"/>
        </w:pBdr>
      </w:pPr>
      <w:r>
        <w:rPr>
          <w:rFonts w:hint="eastAsia" w:ascii="宋体" w:hAnsi="宋体"/>
          <w:b/>
          <w:sz w:val="36"/>
          <w:szCs w:val="36"/>
        </w:rPr>
        <w:t xml:space="preserve">授权委托书</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致：</w:t>
      </w:r>
      <w:r>
        <w:rPr>
          <w:rFonts w:hint="eastAsia"/>
          <w:sz w:val="24"/>
          <w:szCs w:val="24"/>
          <w:u w:val="single"/>
        </w:rPr>
        <w:t xml:space="preserve">采购单位</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代理人</w:t>
      </w:r>
      <w:r>
        <w:rPr>
          <w:sz w:val="24"/>
          <w:szCs w:val="24"/>
        </w:rPr>
        <w:t xml:space="preserve">无转委托权。</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w:t>
      </w:r>
      <w:r>
        <w:rPr>
          <w:sz w:val="24"/>
          <w:szCs w:val="24"/>
        </w:rPr>
        <w:t xml:space="preserve">名称（加盖公章）：</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ind w:firstLine="480"/>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r>
    </w:tbl>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r>
    </w:tbl>
    <w:p>
      <w:pPr>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center"/>
        <w:spacing w:line="360" w:lineRule="exact"/>
        <w:rPr>
          <w:rFonts w:ascii="宋体" w:hAnsi="宋体"/>
          <w:b/>
          <w:sz w:val="36"/>
          <w:szCs w:val="36"/>
        </w:rPr>
        <w:pBdr>
          <w:top w:val="none" w:color="auto" w:sz="0" w:space="1"/>
          <w:left w:val="none" w:color="auto" w:sz="0" w:space="4"/>
          <w:bottom w:val="none" w:color="auto" w:sz="0" w:space="1"/>
          <w:right w:val="none" w:color="auto" w:sz="0" w:space="4"/>
        </w:pBdr>
      </w:pPr>
      <w:r>
        <w:rPr>
          <w:rFonts w:ascii="宋体" w:hAnsi="宋体"/>
          <w:b/>
          <w:sz w:val="36"/>
          <w:szCs w:val="36"/>
        </w:rPr>
        <w:t xml:space="preserve">法定代表人（单位负责人）身份证明</w:t>
      </w:r>
      <w:r/>
    </w:p>
    <w:p>
      <w:pPr>
        <w:spacing w:line="200" w:lineRule="exact"/>
        <w:rPr>
          <w:rFonts w:ascii="宋体" w:hAnsi="宋体"/>
          <w:sz w:val="20"/>
          <w:szCs w:val="20"/>
        </w:rPr>
        <w:pBdr>
          <w:top w:val="none" w:color="auto" w:sz="0" w:space="1"/>
          <w:left w:val="none" w:color="auto" w:sz="0" w:space="4"/>
          <w:bottom w:val="none" w:color="auto" w:sz="0" w:space="1"/>
          <w:right w:val="none" w:color="auto" w:sz="0" w:space="4"/>
        </w:pBdr>
      </w:pPr>
      <w:r>
        <w:rPr>
          <w:rFonts w:ascii="宋体" w:hAnsi="宋体"/>
          <w:sz w:val="20"/>
          <w:szCs w:val="20"/>
        </w:rPr>
      </w:r>
      <w:r/>
    </w:p>
    <w:p>
      <w:pPr>
        <w:spacing w:line="360" w:lineRule="auto"/>
        <w:tabs>
          <w:tab w:val="left" w:pos="5580"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r>
    </w:tbl>
    <w:p>
      <w:pPr>
        <w:ind w:right="4305"/>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供应商</w:t>
      </w:r>
      <w:r>
        <w:rPr>
          <w:rFonts w:ascii="宋体" w:hAnsi="宋体"/>
          <w:sz w:val="24"/>
          <w:szCs w:val="24"/>
        </w:rPr>
        <w:t xml:space="preserve">名称（加盖公章）</w:t>
      </w:r>
      <w:r>
        <w:rPr>
          <w:rFonts w:ascii="宋体" w:hAnsi="宋体"/>
          <w:sz w:val="24"/>
          <w:szCs w:val="24"/>
          <w:lang w:val="zh-CN"/>
        </w:rPr>
        <w:t xml:space="preserve">：</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260" w:after="260" w:line="416" w:lineRule="auto"/>
        <w:rPr>
          <w:rFonts w:ascii="黑体" w:hAnsi="黑体" w:eastAsia="黑体"/>
          <w:b/>
          <w:i/>
          <w:sz w:val="32"/>
          <w:szCs w:val="32"/>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投标函</w:t>
      </w:r>
      <w:r/>
    </w:p>
    <w:p>
      <w:pPr>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致：采购人</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据此函，__________签字人兹宣布同意如下：</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1.按招标文件规定的各项要求，向买方提供所需货物（包含与货物相关的工程、服务）。</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2.我们完全理解贵方不一定将合同授予最低报价的供应商。</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地        址：</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邮        编：</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电        话：</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传        真：</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供应商开户行：</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账        号： </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sz w:val="24"/>
          <w:szCs w:val="24"/>
          <w:u w:val="single"/>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i/>
          <w:sz w:val="24"/>
          <w:szCs w:val="24"/>
          <w:u w:val="single"/>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rPr>
          <w:rFonts w:hint="eastAsia" w:ascii="宋体" w:hAnsi="宋体"/>
          <w:sz w:val="24"/>
          <w:szCs w:val="24"/>
          <w:u w:val="single"/>
        </w:rPr>
        <w:t xml:space="preserve"> （标的名称）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162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企业名称（盖章）：</w:t>
      </w:r>
      <w:r/>
    </w:p>
    <w:p>
      <w:pPr>
        <w:ind w:right="114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3、中标人的《中小企业声明函》随中标结果公开，接受社会监督。</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141号）的规定，本单位为符合条件的残疾人福利性单位，且本单位参加单位的项目（</w:t>
      </w:r>
      <w:r>
        <w:rPr>
          <w:rFonts w:hint="eastAsia" w:ascii="宋体" w:hAnsi="宋体"/>
          <w:sz w:val="24"/>
          <w:szCs w:val="24"/>
        </w:rPr>
        <w:t xml:space="preserve">项目编号：，分包号：</w:t>
      </w:r>
      <w:r>
        <w:rPr>
          <w:rFonts w:hint="eastAsia" w:ascii="宋体" w:hAnsi="宋体"/>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1.</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 </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2.</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本单位对上述声明的真实性负责。如有虚假，将依法承担相应责任。</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r>
      <w:r/>
    </w:p>
    <w:p>
      <w:pPr>
        <w:ind w:right="162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单位名称（盖章）：</w:t>
      </w:r>
      <w:r/>
    </w:p>
    <w:p>
      <w:pPr>
        <w:ind w:right="114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   期：</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sz w:val="24"/>
          <w:szCs w:val="21"/>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联合体协议</w:t>
      </w:r>
      <w:r/>
    </w:p>
    <w:p>
      <w:pPr>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自愿组成联合体，参加连云港市疾病预防控制中心组织的</w:t>
      </w:r>
      <w:r>
        <w:rPr>
          <w:rFonts w:hint="eastAsia" w:ascii="宋体" w:hAnsi="宋体"/>
          <w:sz w:val="24"/>
          <w:szCs w:val="24"/>
          <w:u w:val="single"/>
        </w:rPr>
        <w:t xml:space="preserve">（项目名称）</w:t>
      </w:r>
      <w:r>
        <w:rPr>
          <w:rFonts w:hint="eastAsia" w:ascii="宋体" w:hAnsi="宋体"/>
          <w:sz w:val="24"/>
          <w:szCs w:val="24"/>
        </w:rPr>
        <w:t xml:space="preserve">（项目编号：，分包号：）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w:t>
      </w:r>
      <w:r>
        <w:rPr>
          <w:rFonts w:hint="eastAsia" w:ascii="宋体" w:hAnsi="宋体"/>
          <w:sz w:val="24"/>
          <w:szCs w:val="21"/>
        </w:rPr>
        <w:t xml:space="preserve">。（可选）</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供应商1全称（公章）：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供应商2全称（公章）：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p>
      <w:pPr>
        <w:jc w:val="right"/>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单位：元</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1</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2</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3</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t xml:space="preserve">…</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67"/>
        </w:trPr>
        <w:tc>
          <w:tcPr>
            <w:gridSpan w:val="11"/>
            <w:tcW w:w="8505" w:type="dxa"/>
            <w:vAlign w:val="center"/>
            <w:textDirection w:val="lrTb"/>
            <w:noWrap/>
          </w:tcPr>
          <w:p>
            <w:pPr>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本采购包中提供的符合本国产品标准的产品成本之和占该采购包提供的全部产品成本之和的比例为</w:t>
            </w:r>
            <w:r>
              <w:rPr>
                <w:rFonts w:ascii="宋体" w:hAnsi="宋体" w:cs="宋体"/>
                <w:color w:val="000000"/>
                <w:u w:val="single"/>
              </w:rPr>
              <w:t xml:space="preserve">    </w:t>
            </w:r>
            <w:r>
              <w:rPr>
                <w:rFonts w:ascii="Times New Roman" w:hAnsi="Times New Roman" w:eastAsia="Times New Roman"/>
                <w:color w:val="000000"/>
              </w:rPr>
              <w:t xml:space="preserve">%</w:t>
            </w:r>
            <w:r>
              <w:rPr>
                <w:rFonts w:ascii="宋体" w:hAnsi="宋体" w:cs="宋体"/>
                <w:color w:val="000000"/>
              </w:rPr>
              <w:t xml:space="preserve">。</w:t>
            </w:r>
            <w:r/>
          </w:p>
        </w:tc>
      </w:tr>
    </w:tbl>
    <w:p>
      <w:pPr>
        <w:ind w:firstLine="420"/>
        <w:spacing w:line="360" w:lineRule="auto"/>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p>
      <w:pPr>
        <w:ind w:firstLine="420"/>
        <w:spacing w:line="360" w:lineRule="auto"/>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供应商（盖章）：</w:t>
      </w:r>
      <w:r/>
    </w:p>
    <w:p>
      <w:pPr>
        <w:ind w:firstLine="420"/>
        <w:spacing w:line="360" w:lineRule="auto"/>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日期：    年     月     日</w:t>
      </w:r>
      <w:r/>
    </w:p>
    <w:p>
      <w:pPr>
        <w:spacing w:line="360" w:lineRule="auto"/>
        <w:rPr>
          <w:rFonts w:ascii="宋体" w:hAnsi="宋体"/>
          <w:szCs w:val="20"/>
        </w:rPr>
        <w:pBdr>
          <w:top w:val="none" w:color="auto" w:sz="0" w:space="1"/>
          <w:left w:val="none" w:color="auto" w:sz="0" w:space="4"/>
          <w:bottom w:val="none" w:color="auto" w:sz="0" w:space="1"/>
          <w:right w:val="none" w:color="auto" w:sz="0" w:space="4"/>
        </w:pBdr>
      </w:pPr>
      <w:r>
        <w:rPr>
          <w:rFonts w:ascii="宋体" w:hAnsi="宋体"/>
          <w:szCs w:val="20"/>
        </w:rPr>
      </w:r>
      <w:r/>
    </w:p>
    <w:p>
      <w:pPr>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填报说明：</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1、“制造商企业类型”栏填写内容为“大型”“中型”“小型”“微型”“监狱企业”或“残疾人福利性单位”。</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2、以上报价包含货物费用、运杂费、安装施工费、集成费、税金和其他费用。</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3、请供应商如实、正确填写本表，所填内容将作为评审的依据，其内容应与对应的证明资料相符。</w:t>
      </w:r>
      <w:r/>
    </w:p>
    <w:p>
      <w:pPr>
        <w:ind w:firstLine="420"/>
        <w:spacing w:line="500" w:lineRule="exact"/>
        <w:rPr>
          <w:rFonts w:ascii="Times New Roman" w:hAnsi="宋体"/>
          <w:szCs w:val="24"/>
        </w:rPr>
        <w:pBdr>
          <w:top w:val="none" w:color="auto" w:sz="0" w:space="1"/>
          <w:left w:val="none" w:color="auto" w:sz="0" w:space="4"/>
          <w:bottom w:val="none" w:color="auto" w:sz="0" w:space="1"/>
          <w:right w:val="none" w:color="auto" w:sz="0" w:space="4"/>
        </w:pBdr>
      </w:pPr>
      <w:r>
        <w:rPr>
          <w:rFonts w:hint="eastAsia" w:ascii="Times New Roman" w:hAnsi="宋体"/>
          <w:szCs w:val="24"/>
        </w:rPr>
        <w:t xml:space="preserve">4、行数或事项不够，可自行增加。</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招标文件要求</w:t>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投标响应情况</w:t>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bookmarkStart w:id="11" w:name="_Hlt26955054"/>
      <w:r/>
      <w:bookmarkEnd w:id="11"/>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商务要求响应及偏离表</w:t>
      </w:r>
      <w:r/>
    </w:p>
    <w:p>
      <w:pPr>
        <w:jc w:val="left"/>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bookmarkStart w:id="12" w:name="_Hlt26955064"/>
            <w:r/>
            <w:bookmarkEnd w:id="12"/>
            <w:r/>
            <w:bookmarkStart w:id="13" w:name="_Hlt26955056"/>
            <w:r/>
            <w:bookmarkEnd w:id="13"/>
            <w:r/>
            <w:bookmarkStart w:id="14" w:name="_Hlt26671343"/>
            <w:r/>
            <w:bookmarkEnd w:id="14"/>
            <w:r/>
            <w:bookmarkStart w:id="15" w:name="_Hlt24879081"/>
            <w:r/>
            <w:bookmarkEnd w:id="15"/>
            <w:r/>
            <w:bookmarkStart w:id="16" w:name="_Hlt26580838"/>
            <w:r/>
            <w:bookmarkEnd w:id="16"/>
            <w:r/>
            <w:bookmarkStart w:id="17" w:name="_Hlt26782999"/>
            <w:r/>
            <w:bookmarkEnd w:id="17"/>
            <w:r/>
            <w:bookmarkStart w:id="18" w:name="_Hlt26609391"/>
            <w:r/>
            <w:bookmarkEnd w:id="18"/>
            <w:r/>
            <w:bookmarkStart w:id="19" w:name="_Hlt26671372"/>
            <w:r/>
            <w:bookmarkEnd w:id="19"/>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招标文件要求</w:t>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投标响应情况</w:t>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bookmarkStart w:id="20" w:name="_Hlt26955066"/>
      <w:r/>
      <w:bookmarkEnd w:id="20"/>
      <w:r/>
      <w:bookmarkStart w:id="21" w:name="_格式2__法定代表人授权书"/>
      <w:r/>
      <w:bookmarkEnd w:id="21"/>
      <w:r/>
      <w:bookmarkStart w:id="22" w:name="_Hlt26671374"/>
      <w:r/>
      <w:bookmarkEnd w:id="22"/>
      <w:r/>
      <w:bookmarkStart w:id="23" w:name="_Hlt26609389"/>
      <w:r/>
      <w:bookmarkEnd w:id="23"/>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类似项目业绩一览表</w:t>
      </w:r>
      <w:r/>
    </w:p>
    <w:p>
      <w:pPr>
        <w:jc w:val="left"/>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序号</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采购单位</w:t>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项目团队人员一览表</w:t>
      </w:r>
      <w:r/>
    </w:p>
    <w:p>
      <w:pPr>
        <w:jc w:val="left"/>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rPr>
          <w:rFonts w:ascii="Times New Roman" w:hAnsi="Times New Roman" w:eastAsia="仿宋_GB2312"/>
          <w:iCs/>
          <w:sz w:val="24"/>
          <w:szCs w:val="20"/>
        </w:rPr>
        <w:pBdr>
          <w:top w:val="none" w:color="auto" w:sz="0" w:space="1"/>
          <w:left w:val="none" w:color="auto" w:sz="0" w:space="4"/>
          <w:bottom w:val="none" w:color="auto" w:sz="0" w:space="1"/>
          <w:right w:val="none" w:color="auto" w:sz="0" w:space="4"/>
        </w:pBdr>
      </w:pPr>
      <w:r>
        <w:rPr>
          <w:rFonts w:hint="eastAsia" w:ascii="宋体" w:hAnsi="宋体" w:cs="宋体"/>
          <w:bCs/>
          <w:iCs/>
          <w:sz w:val="36"/>
          <w:szCs w:val="36"/>
        </w:rPr>
        <w:t xml:space="preserve">十九、开标一览表</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供应商全称（CA公章）：</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项目名称：</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项目编号：                                   分包号：</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投标货物名称</w:t>
            </w:r>
            <w:r/>
          </w:p>
        </w:tc>
        <w:tc>
          <w:tcPr>
            <w:tcW w:w="5703"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总价（小写）</w:t>
            </w:r>
            <w:r/>
          </w:p>
        </w:tc>
      </w:tr>
      <w:tr>
        <w:trPr/>
        <w:tc>
          <w:tcPr>
            <w:tcW w:w="2802"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5703"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元</w:t>
            </w:r>
            <w:r/>
          </w:p>
        </w:tc>
      </w:tr>
      <w:tr>
        <w:trPr/>
        <w:tc>
          <w:tcPr>
            <w:tcW w:w="2802"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核心产品</w:t>
            </w:r>
            <w:r/>
          </w:p>
        </w:tc>
        <w:tc>
          <w:tcPr>
            <w:tcW w:w="5703"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jc w:val="center"/>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Times New Roman" w:hAnsi="Times New Roman"/>
          <w:sz w:val="24"/>
          <w:szCs w:val="24"/>
        </w:rPr>
        <w:t xml:space="preserve">          年     月     日</w:t>
      </w:r>
      <w:r/>
    </w:p>
    <w:p>
      <w:pPr>
        <w:jc w:val="left"/>
        <w:rPr>
          <w:rFonts w:ascii="宋体" w:hAnsi="宋体" w:cs="宋体"/>
          <w:bCs/>
          <w:iCs/>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sz w:val="36"/>
          <w:szCs w:val="36"/>
        </w:rPr>
        <w:t xml:space="preserve">二十、关于符合本国产品标准的声明函</w:t>
      </w:r>
      <w:r>
        <w:rPr>
          <w:rFonts w:hint="eastAsia" w:ascii="宋体" w:hAnsi="宋体" w:cs="宋体"/>
          <w:bCs/>
          <w:iCs/>
          <w:sz w:val="36"/>
          <w:szCs w:val="36"/>
        </w:rPr>
        <w:tab/>
      </w:r>
      <w:r/>
    </w:p>
    <w:p>
      <w:pPr>
        <w:jc w:val="left"/>
        <w:rPr>
          <w:rFonts w:ascii="宋体" w:hAnsi="宋体" w:cs="宋体"/>
          <w:bCs/>
          <w:i/>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sz w:val="36"/>
          <w:szCs w:val="36"/>
          <w:u w:val="single"/>
        </w:rPr>
      </w:r>
      <w:r/>
    </w:p>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关于符合本国产品标准的声明函</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sz w:val="24"/>
          <w:szCs w:val="24"/>
          <w:u w:val="single"/>
        </w:rPr>
        <w:t xml:space="preserve">（产品名称1）</w:t>
      </w:r>
      <w:r>
        <w:rPr>
          <w:rFonts w:hint="eastAsia" w:ascii="宋体" w:hAnsi="宋体"/>
          <w:sz w:val="24"/>
          <w:szCs w:val="24"/>
        </w:rPr>
        <w:t xml:space="preserve">1，生产厂为</w:t>
      </w:r>
      <w:r>
        <w:rPr>
          <w:rFonts w:hint="eastAsia" w:ascii="宋体" w:hAnsi="宋体"/>
          <w:sz w:val="24"/>
          <w:szCs w:val="24"/>
          <w:u w:val="single"/>
        </w:rPr>
        <w:t xml:space="preserve">（厂名）</w:t>
      </w:r>
      <w:r>
        <w:rPr>
          <w:rFonts w:hint="eastAsia" w:ascii="宋体" w:hAnsi="宋体"/>
          <w:sz w:val="24"/>
          <w:szCs w:val="24"/>
        </w:rPr>
        <w:t xml:space="preserve">2，厂址为</w:t>
      </w:r>
      <w:r>
        <w:rPr>
          <w:rFonts w:hint="eastAsia" w:ascii="宋体" w:hAnsi="宋体"/>
          <w:sz w:val="24"/>
          <w:szCs w:val="24"/>
          <w:u w:val="single"/>
        </w:rPr>
        <w:t xml:space="preserve">（生产厂址）</w:t>
      </w:r>
      <w:r>
        <w:rPr>
          <w:rFonts w:hint="eastAsia" w:ascii="宋体" w:hAnsi="宋体"/>
          <w:sz w:val="24"/>
          <w:szCs w:val="24"/>
        </w:rPr>
        <w:t xml:space="preserve">。</w:t>
      </w:r>
      <w:r>
        <w:rPr>
          <w:rFonts w:hint="eastAsia" w:ascii="宋体" w:hAnsi="宋体"/>
          <w:strike/>
          <w:sz w:val="24"/>
          <w:szCs w:val="24"/>
          <w:u w:val="single"/>
        </w:rPr>
        <w:t xml:space="preserve">（产品名称1）</w:t>
      </w:r>
      <w:r>
        <w:rPr>
          <w:rFonts w:hint="eastAsia" w:ascii="宋体" w:hAnsi="宋体"/>
          <w:sz w:val="24"/>
          <w:szCs w:val="24"/>
        </w:rPr>
        <w:t xml:space="preserve">的中国境内生产的组件成本占比≥</w:t>
      </w:r>
      <w:r>
        <w:rPr>
          <w:rFonts w:hint="eastAsia" w:ascii="宋体" w:hAnsi="宋体"/>
          <w:strike/>
          <w:sz w:val="24"/>
          <w:szCs w:val="24"/>
          <w:u w:val="single"/>
        </w:rPr>
        <w:t xml:space="preserve">（规定比例）</w:t>
      </w:r>
      <w:r>
        <w:rPr>
          <w:rFonts w:hint="eastAsia" w:ascii="宋体" w:hAnsi="宋体"/>
          <w:sz w:val="24"/>
          <w:szCs w:val="24"/>
        </w:rPr>
        <w:t xml:space="preserve">3。</w:t>
      </w:r>
      <w:r>
        <w:rPr>
          <w:rFonts w:hint="eastAsia" w:ascii="宋体" w:hAnsi="宋体"/>
          <w:strike/>
          <w:sz w:val="24"/>
          <w:szCs w:val="24"/>
          <w:u w:val="single"/>
        </w:rPr>
        <w:t xml:space="preserve">（产品名称1）</w:t>
      </w:r>
      <w:r>
        <w:rPr>
          <w:rFonts w:hint="eastAsia" w:ascii="宋体" w:hAnsi="宋体"/>
          <w:sz w:val="24"/>
          <w:szCs w:val="24"/>
        </w:rPr>
        <w:t xml:space="preserve">的</w:t>
      </w:r>
      <w:r>
        <w:rPr>
          <w:rFonts w:hint="eastAsia" w:ascii="宋体" w:hAnsi="宋体"/>
          <w:strike/>
          <w:sz w:val="24"/>
          <w:szCs w:val="24"/>
          <w:u w:val="single"/>
        </w:rPr>
        <w:t xml:space="preserve">（关键组件）</w:t>
      </w:r>
      <w:r>
        <w:rPr>
          <w:rFonts w:hint="eastAsia" w:ascii="宋体" w:hAnsi="宋体"/>
          <w:sz w:val="24"/>
          <w:szCs w:val="24"/>
        </w:rPr>
        <w:t xml:space="preserve">4在中国境内生产。</w:t>
      </w:r>
      <w:r>
        <w:rPr>
          <w:rFonts w:hint="eastAsia" w:ascii="宋体" w:hAnsi="宋体"/>
          <w:strike/>
          <w:sz w:val="24"/>
          <w:szCs w:val="24"/>
          <w:u w:val="single"/>
        </w:rPr>
        <w:t xml:space="preserve">（产品名称1）</w:t>
      </w:r>
      <w:r>
        <w:rPr>
          <w:rFonts w:hint="eastAsia" w:ascii="宋体" w:hAnsi="宋体"/>
          <w:sz w:val="24"/>
          <w:szCs w:val="24"/>
        </w:rPr>
        <w:t xml:space="preserve">的</w:t>
      </w:r>
      <w:r>
        <w:rPr>
          <w:rFonts w:hint="eastAsia" w:ascii="宋体" w:hAnsi="宋体"/>
          <w:strike/>
          <w:sz w:val="24"/>
          <w:szCs w:val="24"/>
          <w:u w:val="single"/>
        </w:rPr>
        <w:t xml:space="preserve">（关键工序）</w:t>
      </w:r>
      <w:r>
        <w:rPr>
          <w:rFonts w:hint="eastAsia" w:ascii="宋体" w:hAnsi="宋体"/>
          <w:sz w:val="24"/>
          <w:szCs w:val="24"/>
        </w:rPr>
        <w:t xml:space="preserve">5在中国境内完成。</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rPr>
          <w:rFonts w:hint="eastAsia" w:ascii="宋体" w:hAnsi="宋体"/>
          <w:sz w:val="24"/>
          <w:szCs w:val="24"/>
          <w:u w:val="single"/>
        </w:rPr>
        <w:t xml:space="preserve">（产品名称2）</w:t>
      </w:r>
      <w:r>
        <w:rPr>
          <w:rFonts w:hint="eastAsia" w:ascii="宋体" w:hAnsi="宋体"/>
          <w:sz w:val="24"/>
          <w:szCs w:val="24"/>
        </w:rPr>
        <w:t xml:space="preserve">，生产厂为</w:t>
      </w:r>
      <w:r>
        <w:rPr>
          <w:rFonts w:hint="eastAsia" w:ascii="宋体" w:hAnsi="宋体"/>
          <w:sz w:val="24"/>
          <w:szCs w:val="24"/>
          <w:u w:val="single"/>
        </w:rPr>
        <w:t xml:space="preserve">（厂名）</w:t>
      </w:r>
      <w:r>
        <w:rPr>
          <w:rFonts w:hint="eastAsia" w:ascii="宋体" w:hAnsi="宋体"/>
          <w:sz w:val="24"/>
          <w:szCs w:val="24"/>
        </w:rPr>
        <w:t xml:space="preserve">，厂址为</w:t>
      </w:r>
      <w:r>
        <w:rPr>
          <w:rFonts w:hint="eastAsia" w:ascii="宋体" w:hAnsi="宋体"/>
          <w:sz w:val="24"/>
          <w:szCs w:val="24"/>
          <w:u w:val="single"/>
        </w:rPr>
        <w:t xml:space="preserve">（生产厂址）</w:t>
      </w:r>
      <w:r>
        <w:rPr>
          <w:rFonts w:hint="eastAsia" w:ascii="宋体" w:hAnsi="宋体"/>
          <w:sz w:val="24"/>
          <w:szCs w:val="24"/>
        </w:rPr>
        <w:t xml:space="preserve">。</w:t>
      </w:r>
      <w:r>
        <w:rPr>
          <w:rFonts w:hint="eastAsia" w:ascii="宋体" w:hAnsi="宋体"/>
          <w:strike/>
          <w:sz w:val="24"/>
          <w:szCs w:val="24"/>
          <w:u w:val="single"/>
        </w:rPr>
        <w:t xml:space="preserve">（产品名称2）</w:t>
      </w:r>
      <w:r>
        <w:rPr>
          <w:rFonts w:hint="eastAsia" w:ascii="宋体" w:hAnsi="宋体"/>
          <w:sz w:val="24"/>
          <w:szCs w:val="24"/>
        </w:rPr>
        <w:t xml:space="preserve">的中国境内生产的组件成本占比≥</w:t>
      </w:r>
      <w:r>
        <w:rPr>
          <w:rFonts w:hint="eastAsia" w:ascii="宋体" w:hAnsi="宋体"/>
          <w:strike/>
          <w:sz w:val="24"/>
          <w:szCs w:val="24"/>
          <w:u w:val="single"/>
        </w:rPr>
        <w:t xml:space="preserve">（规定比例）</w:t>
      </w:r>
      <w:r>
        <w:rPr>
          <w:rFonts w:hint="eastAsia" w:ascii="宋体" w:hAnsi="宋体"/>
          <w:sz w:val="24"/>
          <w:szCs w:val="24"/>
        </w:rPr>
        <w:t xml:space="preserve">。</w:t>
      </w:r>
      <w:r>
        <w:rPr>
          <w:rFonts w:hint="eastAsia" w:ascii="宋体" w:hAnsi="宋体"/>
          <w:sz w:val="24"/>
          <w:szCs w:val="24"/>
          <w:u w:val="single"/>
        </w:rPr>
        <w:t xml:space="preserve">（</w:t>
      </w:r>
      <w:r>
        <w:rPr>
          <w:rFonts w:hint="eastAsia" w:ascii="宋体" w:hAnsi="宋体"/>
          <w:strike/>
          <w:sz w:val="24"/>
          <w:szCs w:val="24"/>
          <w:u w:val="single"/>
        </w:rPr>
        <w:t xml:space="preserve">产品名称2）</w:t>
      </w:r>
      <w:r>
        <w:rPr>
          <w:rFonts w:hint="eastAsia" w:ascii="宋体" w:hAnsi="宋体"/>
          <w:sz w:val="24"/>
          <w:szCs w:val="24"/>
        </w:rPr>
        <w:t xml:space="preserve">的</w:t>
      </w:r>
      <w:r>
        <w:rPr>
          <w:rFonts w:hint="eastAsia" w:ascii="宋体" w:hAnsi="宋体"/>
          <w:strike/>
          <w:sz w:val="24"/>
          <w:szCs w:val="24"/>
          <w:u w:val="single"/>
        </w:rPr>
        <w:t xml:space="preserve">（关键组件）</w:t>
      </w:r>
      <w:r>
        <w:rPr>
          <w:rFonts w:hint="eastAsia" w:ascii="宋体" w:hAnsi="宋体"/>
          <w:sz w:val="24"/>
          <w:szCs w:val="24"/>
        </w:rPr>
        <w:t xml:space="preserve">在中国境内生产。</w:t>
      </w:r>
      <w:r>
        <w:rPr>
          <w:rFonts w:hint="eastAsia" w:ascii="宋体" w:hAnsi="宋体"/>
          <w:strike/>
          <w:sz w:val="24"/>
          <w:szCs w:val="24"/>
          <w:u w:val="single"/>
        </w:rPr>
        <w:t xml:space="preserve">（产品名称2）</w:t>
      </w:r>
      <w:r>
        <w:rPr>
          <w:rFonts w:hint="eastAsia" w:ascii="宋体" w:hAnsi="宋体"/>
          <w:sz w:val="24"/>
          <w:szCs w:val="24"/>
        </w:rPr>
        <w:t xml:space="preserve">的</w:t>
      </w:r>
      <w:r>
        <w:rPr>
          <w:rFonts w:hint="eastAsia" w:ascii="宋体" w:hAnsi="宋体"/>
          <w:strike/>
          <w:sz w:val="24"/>
          <w:szCs w:val="24"/>
          <w:u w:val="single"/>
        </w:rPr>
        <w:t xml:space="preserve">（关键工序）</w:t>
      </w:r>
      <w:r>
        <w:rPr>
          <w:rFonts w:hint="eastAsia" w:ascii="宋体" w:hAnsi="宋体"/>
          <w:sz w:val="24"/>
          <w:szCs w:val="24"/>
        </w:rPr>
        <w:t xml:space="preserve">在中国境内完成。</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本公司（单位）对上述声明内容的真实性负责。如有虚假，愿承担相应法律责任。</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 </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504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公司（单位）名称（盖章）：　        </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504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日期：　     年　  月　  日</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1、产品如有型号，请在“产品名称”栏一并填写。</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2、生产厂名与厂址应与生产厂营业执照载明的相关信息保持一致。</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3、该产品的中国境内生产的组件成本占比相关要求实施前，“规定比例”栏可不填，下同。</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4、该产品的关键组件要求实施前，“关键组件”栏可不填。</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5、该产品的关键工序要求实施前，“关键工序”栏可不填。</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6、划除栏无需填写。</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tabs>
          <w:tab w:val="left" w:pos="1562" w:leader="none"/>
        </w:tabs>
        <w:rPr>
          <w:rFonts w:hint="eastAsia"/>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rPr>
        <w:tab/>
      </w:r>
      <w:r/>
    </w:p>
    <w:p>
      <w:pPr>
        <w:jc w:val="left"/>
        <w:widowControl/>
        <w:rPr>
          <w:rFonts w:ascii="黑体" w:hAnsi="黑体" w:eastAsia="黑体" w:cs="仿宋"/>
          <w:bCs/>
          <w:sz w:val="40"/>
          <w:szCs w:val="32"/>
        </w:rPr>
        <w:pBdr>
          <w:top w:val="none" w:color="auto" w:sz="0" w:space="1"/>
          <w:left w:val="none" w:color="auto" w:sz="0" w:space="4"/>
          <w:bottom w:val="none" w:color="auto" w:sz="0" w:space="1"/>
          <w:right w:val="none" w:color="auto" w:sz="0" w:space="4"/>
        </w:pBdr>
      </w:pPr>
      <w:r>
        <w:rPr>
          <w:rFonts w:ascii="黑体" w:hAnsi="黑体" w:eastAsia="黑体" w:cs="仿宋"/>
          <w:bCs/>
          <w:sz w:val="40"/>
          <w:szCs w:val="32"/>
        </w:rPr>
      </w:r>
      <w:r/>
    </w:p>
    <w:p>
      <w:pPr>
        <w:jc w:val="center"/>
        <w:rPr>
          <w:rFonts w:ascii="黑体" w:hAnsi="黑体" w:eastAsia="黑体" w:cs="仿宋"/>
          <w:bCs/>
          <w:sz w:val="40"/>
          <w:szCs w:val="32"/>
        </w:rPr>
        <w:pBdr>
          <w:top w:val="none" w:color="auto" w:sz="0" w:space="1"/>
          <w:left w:val="none" w:color="auto" w:sz="0" w:space="4"/>
          <w:bottom w:val="none" w:color="auto" w:sz="0" w:space="1"/>
          <w:right w:val="none" w:color="auto" w:sz="0" w:space="4"/>
        </w:pBdr>
      </w:pPr>
      <w:r>
        <w:rPr>
          <w:rFonts w:hint="eastAsia" w:ascii="黑体" w:hAnsi="黑体" w:eastAsia="黑体" w:cs="仿宋"/>
          <w:bCs/>
          <w:sz w:val="40"/>
          <w:szCs w:val="32"/>
        </w:rPr>
        <w:t xml:space="preserve">质疑函范本</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质疑供应商：</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地址：邮编：</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联系人：联系电话：</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授权代表：</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联系电话：</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地址：邮编：</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质疑项目的名称：</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质疑项目的编号：包号：</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采购人名称：</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采购文件获取日期：</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质疑事项1：</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事实依据：</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ascii="宋体" w:hAnsi="宋体" w:cs="仿宋"/>
          <w:sz w:val="24"/>
          <w:szCs w:val="24"/>
        </w:rPr>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法律依据：</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ascii="宋体" w:hAnsi="宋体" w:cs="仿宋"/>
          <w:sz w:val="24"/>
          <w:szCs w:val="24"/>
          <w:u w:val="single"/>
        </w:rPr>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质疑事项2</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请求：</w:t>
      </w:r>
      <w:r/>
    </w:p>
    <w:p>
      <w:pP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签字（签章）：                   公章：                      </w:t>
      </w:r>
      <w:r/>
    </w:p>
    <w:p>
      <w:pP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日期：    </w:t>
      </w:r>
      <w:r/>
    </w:p>
    <w:p>
      <w:pPr>
        <w:spacing w:line="5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5.质疑函的质疑请求应与质疑事项相关。</w:t>
      </w:r>
      <w:r/>
    </w:p>
    <w:p>
      <w:pPr>
        <w:ind w:firstLine="480"/>
        <w:jc w:val="left"/>
        <w:spacing w:line="500" w:lineRule="exact"/>
        <w:widowControl/>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Tahoma">
    <w:panose1 w:val="020B0604030504040204"/>
  </w:font>
  <w:font w:name="MS Mincho">
    <w:panose1 w:val="02020603050405090304"/>
  </w:font>
  <w:font w:name="Cambria">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17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44170"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1pt;height:19.2pt;mso-wrap-distance-left:9.0pt;mso-wrap-distance-top:0.0pt;mso-wrap-distance-right:9.0pt;mso-wrap-distance-bottom:0.0pt;v-text-anchor:top;visibility:visible;" filled="f" stroked="f" strokeweight="0.50pt">
              <v:textbox inset="0,0,0,0">
                <w:txbxContent>
                  <w:p>
                    <w:pPr>
                      <w:pStyle w:val="721"/>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8">
    <w:name w:val="Heading 1"/>
    <w:basedOn w:val="697"/>
    <w:next w:val="697"/>
    <w:link w:val="7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98"/>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709"/>
    <w:link w:val="79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80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80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802"/>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803"/>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804"/>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805"/>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99"/>
    <w:unhideWhenUsed/>
    <w:qFormat/>
    <w:pPr>
      <w:ind w:firstLine="420"/>
    </w:p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link w:val="964"/>
    <w:uiPriority w:val="99"/>
    <w:semiHidden/>
    <w:unhideWhenUsed/>
    <w:qFormat/>
    <w:pPr>
      <w:jc w:val="left"/>
    </w:pPr>
  </w:style>
  <w:style w:type="paragraph" w:styleId="713">
    <w:name w:val="Body Text"/>
    <w:basedOn w:val="697"/>
    <w:next w:val="697"/>
    <w:uiPriority w:val="0"/>
    <w:qFormat/>
    <w:rPr>
      <w:rFonts w:ascii="金山简黑体" w:hAnsi="Courier New" w:eastAsia="金山简黑体"/>
      <w:b/>
      <w:spacing w:val="-8"/>
      <w:sz w:val="44"/>
      <w:szCs w:val="20"/>
    </w:rPr>
  </w:style>
  <w:style w:type="paragraph" w:styleId="714">
    <w:name w:val="Body Text Indent"/>
    <w:basedOn w:val="697"/>
    <w:uiPriority w:val="0"/>
    <w:qFormat/>
    <w:pPr>
      <w:ind w:left="420"/>
      <w:spacing w:after="120"/>
    </w:pPr>
  </w:style>
  <w:style w:type="paragraph" w:styleId="715">
    <w:name w:val="toc 5"/>
    <w:basedOn w:val="697"/>
    <w:next w:val="697"/>
    <w:uiPriority w:val="39"/>
    <w:unhideWhenUsed/>
    <w:qFormat/>
    <w:pPr>
      <w:ind w:left="1134"/>
      <w:spacing w:after="57"/>
    </w:pPr>
  </w:style>
  <w:style w:type="paragraph" w:styleId="716">
    <w:name w:val="toc 3"/>
    <w:basedOn w:val="697"/>
    <w:next w:val="697"/>
    <w:uiPriority w:val="39"/>
    <w:unhideWhenUsed/>
    <w:qFormat/>
    <w:pPr>
      <w:ind w:left="567"/>
      <w:spacing w:after="57"/>
    </w:pPr>
  </w:style>
  <w:style w:type="paragraph" w:styleId="717">
    <w:name w:val="toc 8"/>
    <w:basedOn w:val="697"/>
    <w:next w:val="697"/>
    <w:uiPriority w:val="39"/>
    <w:unhideWhenUsed/>
    <w:qFormat/>
    <w:pPr>
      <w:ind w:left="1984"/>
      <w:spacing w:after="57"/>
    </w:pPr>
  </w:style>
  <w:style w:type="paragraph" w:styleId="718">
    <w:name w:val="Date"/>
    <w:basedOn w:val="697"/>
    <w:next w:val="697"/>
    <w:uiPriority w:val="0"/>
    <w:qFormat/>
    <w:rPr>
      <w:sz w:val="24"/>
      <w:szCs w:val="20"/>
    </w:rPr>
  </w:style>
  <w:style w:type="paragraph" w:styleId="719">
    <w:name w:val="endnote text"/>
    <w:basedOn w:val="697"/>
    <w:link w:val="924"/>
    <w:uiPriority w:val="99"/>
    <w:semiHidden/>
    <w:unhideWhenUsed/>
    <w:qFormat/>
    <w:rPr>
      <w:sz w:val="20"/>
    </w:rPr>
  </w:style>
  <w:style w:type="paragraph" w:styleId="720">
    <w:name w:val="Balloon Text"/>
    <w:basedOn w:val="697"/>
    <w:link w:val="963"/>
    <w:uiPriority w:val="99"/>
    <w:semiHidden/>
    <w:unhideWhenUsed/>
    <w:qFormat/>
    <w:rPr>
      <w:sz w:val="18"/>
      <w:szCs w:val="18"/>
    </w:rPr>
  </w:style>
  <w:style w:type="paragraph" w:styleId="721">
    <w:name w:val="Footer"/>
    <w:basedOn w:val="697"/>
    <w:link w:val="816"/>
    <w:uiPriority w:val="99"/>
    <w:unhideWhenUsed/>
    <w:qFormat/>
    <w:pPr>
      <w:tabs>
        <w:tab w:val="center" w:pos="7143" w:leader="none"/>
        <w:tab w:val="right" w:pos="14287" w:leader="none"/>
      </w:tabs>
    </w:pPr>
  </w:style>
  <w:style w:type="paragraph" w:styleId="722">
    <w:name w:val="Header"/>
    <w:basedOn w:val="697"/>
    <w:link w:val="814"/>
    <w:uiPriority w:val="99"/>
    <w:unhideWhenUsed/>
    <w:qFormat/>
    <w:pPr>
      <w:tabs>
        <w:tab w:val="center" w:pos="7143" w:leader="none"/>
        <w:tab w:val="right" w:pos="14287" w:leader="none"/>
      </w:tabs>
    </w:pPr>
  </w:style>
  <w:style w:type="paragraph" w:styleId="723">
    <w:name w:val="toc 1"/>
    <w:basedOn w:val="697"/>
    <w:next w:val="697"/>
    <w:uiPriority w:val="39"/>
    <w:unhideWhenUsed/>
    <w:qFormat/>
    <w:pPr>
      <w:spacing w:after="57"/>
    </w:pPr>
  </w:style>
  <w:style w:type="paragraph" w:styleId="724">
    <w:name w:val="toc 4"/>
    <w:basedOn w:val="697"/>
    <w:next w:val="697"/>
    <w:uiPriority w:val="39"/>
    <w:unhideWhenUsed/>
    <w:qFormat/>
    <w:pPr>
      <w:ind w:left="850"/>
      <w:spacing w:after="57"/>
    </w:pPr>
  </w:style>
  <w:style w:type="paragraph" w:styleId="725">
    <w:name w:val="Subtitle"/>
    <w:basedOn w:val="697"/>
    <w:next w:val="697"/>
    <w:link w:val="809"/>
    <w:uiPriority w:val="11"/>
    <w:qFormat/>
    <w:pPr>
      <w:spacing w:before="200" w:after="200"/>
    </w:pPr>
    <w:rPr>
      <w:sz w:val="24"/>
      <w:szCs w:val="24"/>
    </w:rPr>
  </w:style>
  <w:style w:type="paragraph" w:styleId="726">
    <w:name w:val="footnote text"/>
    <w:basedOn w:val="697"/>
    <w:link w:val="923"/>
    <w:uiPriority w:val="99"/>
    <w:semiHidden/>
    <w:unhideWhenUsed/>
    <w:qFormat/>
    <w:pPr>
      <w:spacing w:after="40"/>
    </w:pPr>
    <w:rPr>
      <w:sz w:val="18"/>
    </w:rPr>
  </w:style>
  <w:style w:type="paragraph" w:styleId="727">
    <w:name w:val="toc 6"/>
    <w:basedOn w:val="697"/>
    <w:next w:val="697"/>
    <w:uiPriority w:val="39"/>
    <w:unhideWhenUsed/>
    <w:qFormat/>
    <w:pPr>
      <w:ind w:left="1417"/>
      <w:spacing w:after="57"/>
    </w:pPr>
  </w:style>
  <w:style w:type="paragraph" w:styleId="728">
    <w:name w:val="table of figures"/>
    <w:basedOn w:val="697"/>
    <w:next w:val="697"/>
    <w:uiPriority w:val="99"/>
    <w:unhideWhenUsed/>
    <w:qFormat/>
  </w:style>
  <w:style w:type="paragraph" w:styleId="729">
    <w:name w:val="toc 2"/>
    <w:basedOn w:val="697"/>
    <w:next w:val="697"/>
    <w:uiPriority w:val="39"/>
    <w:unhideWhenUsed/>
    <w:qFormat/>
    <w:pPr>
      <w:ind w:left="283"/>
      <w:spacing w:after="57"/>
    </w:pPr>
  </w:style>
  <w:style w:type="paragraph" w:styleId="730">
    <w:name w:val="toc 9"/>
    <w:basedOn w:val="697"/>
    <w:next w:val="697"/>
    <w:uiPriority w:val="39"/>
    <w:unhideWhenUsed/>
    <w:qFormat/>
    <w:pPr>
      <w:ind w:left="2268"/>
      <w:spacing w:after="57"/>
    </w:pPr>
  </w:style>
  <w:style w:type="paragraph" w:styleId="731">
    <w:name w:val="Title"/>
    <w:basedOn w:val="697"/>
    <w:next w:val="697"/>
    <w:link w:val="808"/>
    <w:uiPriority w:val="10"/>
    <w:qFormat/>
    <w:pPr>
      <w:contextualSpacing/>
      <w:spacing w:before="300" w:after="200"/>
    </w:pPr>
    <w:rPr>
      <w:sz w:val="48"/>
      <w:szCs w:val="48"/>
    </w:rPr>
  </w:style>
  <w:style w:type="paragraph" w:styleId="732">
    <w:name w:val="annotation subject"/>
    <w:basedOn w:val="712"/>
    <w:next w:val="712"/>
    <w:link w:val="965"/>
    <w:uiPriority w:val="99"/>
    <w:semiHidden/>
    <w:unhideWhenUsed/>
    <w:qFormat/>
    <w:rPr>
      <w:b/>
      <w:bCs/>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7"/>
    <w:uiPriority w:val="22"/>
    <w:qFormat/>
    <w:rPr>
      <w:b/>
    </w:rPr>
  </w:style>
  <w:style w:type="character" w:styleId="735">
    <w:name w:val="endnote reference"/>
    <w:uiPriority w:val="99"/>
    <w:semiHidden/>
    <w:unhideWhenUsed/>
    <w:qFormat/>
    <w:rPr>
      <w:vertAlign w:val="superscript"/>
    </w:rPr>
  </w:style>
  <w:style w:type="character" w:styleId="736">
    <w:name w:val="Emphasis"/>
    <w:basedOn w:val="707"/>
    <w:uiPriority w:val="20"/>
    <w:qFormat/>
    <w:rPr>
      <w:i/>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basedOn w:val="707"/>
    <w:uiPriority w:val="99"/>
    <w:semiHidden/>
    <w:unhideWhenUsed/>
    <w:qFormat/>
    <w:rPr>
      <w:sz w:val="21"/>
      <w:szCs w:val="21"/>
    </w:rPr>
  </w:style>
  <w:style w:type="character" w:styleId="739">
    <w:name w:val="footnote reference"/>
    <w:uiPriority w:val="99"/>
    <w:unhideWhenUsed/>
    <w:qFormat/>
    <w:rPr>
      <w:vertAlign w:val="superscript"/>
    </w:rPr>
  </w:style>
  <w:style w:type="table" w:styleId="740" w:customStyle="1">
    <w:name w:val="Plain Table 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9" w:customStyle="1">
    <w:name w:val="TOC Heading"/>
    <w:uiPriority w:val="39"/>
    <w:unhideWhenUsed/>
    <w:qFormat/>
    <w:rPr>
      <w:rFonts w:hint="default" w:ascii="Times New Roman" w:hAnsi="Times New Roman" w:eastAsia="宋体" w:cs="Times New Roman"/>
      <w:lang w:val="en-US" w:eastAsia="zh-CN" w:bidi="ar-SA"/>
    </w:rPr>
  </w:style>
  <w:style w:type="character" w:styleId="760" w:customStyle="1">
    <w:name w:val="Heading 1 Char"/>
    <w:basedOn w:val="707"/>
    <w:uiPriority w:val="9"/>
    <w:qFormat/>
    <w:rPr>
      <w:rFonts w:ascii="Arial" w:hAnsi="Arial" w:eastAsia="Arial" w:cs="Arial"/>
      <w:sz w:val="40"/>
      <w:szCs w:val="40"/>
    </w:rPr>
  </w:style>
  <w:style w:type="character" w:styleId="761" w:customStyle="1">
    <w:name w:val="Heading 2 Char"/>
    <w:basedOn w:val="707"/>
    <w:uiPriority w:val="9"/>
    <w:qFormat/>
    <w:rPr>
      <w:rFonts w:ascii="Arial" w:hAnsi="Arial" w:eastAsia="Arial" w:cs="Arial"/>
      <w:sz w:val="34"/>
    </w:rPr>
  </w:style>
  <w:style w:type="character" w:styleId="762" w:customStyle="1">
    <w:name w:val="Heading 3 Char"/>
    <w:basedOn w:val="707"/>
    <w:uiPriority w:val="9"/>
    <w:qFormat/>
    <w:rPr>
      <w:rFonts w:ascii="Arial" w:hAnsi="Arial" w:eastAsia="Arial" w:cs="Arial"/>
      <w:sz w:val="30"/>
      <w:szCs w:val="30"/>
    </w:rPr>
  </w:style>
  <w:style w:type="character" w:styleId="763" w:customStyle="1">
    <w:name w:val="Heading 4 Char"/>
    <w:basedOn w:val="707"/>
    <w:uiPriority w:val="9"/>
    <w:qFormat/>
    <w:rPr>
      <w:rFonts w:ascii="Arial" w:hAnsi="Arial" w:eastAsia="Arial" w:cs="Arial"/>
      <w:b/>
      <w:bCs/>
      <w:sz w:val="26"/>
      <w:szCs w:val="26"/>
    </w:rPr>
  </w:style>
  <w:style w:type="character" w:styleId="764" w:customStyle="1">
    <w:name w:val="Heading 5 Char"/>
    <w:basedOn w:val="707"/>
    <w:uiPriority w:val="9"/>
    <w:qFormat/>
    <w:rPr>
      <w:rFonts w:ascii="Arial" w:hAnsi="Arial" w:eastAsia="Arial" w:cs="Arial"/>
      <w:b/>
      <w:bCs/>
      <w:sz w:val="24"/>
      <w:szCs w:val="24"/>
    </w:rPr>
  </w:style>
  <w:style w:type="character" w:styleId="765" w:customStyle="1">
    <w:name w:val="Heading 6 Char"/>
    <w:basedOn w:val="707"/>
    <w:uiPriority w:val="9"/>
    <w:qFormat/>
    <w:rPr>
      <w:rFonts w:ascii="Arial" w:hAnsi="Arial" w:eastAsia="Arial" w:cs="Arial"/>
      <w:b/>
      <w:bCs/>
      <w:sz w:val="22"/>
      <w:szCs w:val="22"/>
    </w:rPr>
  </w:style>
  <w:style w:type="character" w:styleId="766" w:customStyle="1">
    <w:name w:val="Heading 7 Char"/>
    <w:basedOn w:val="707"/>
    <w:uiPriority w:val="9"/>
    <w:qFormat/>
    <w:rPr>
      <w:rFonts w:ascii="Arial" w:hAnsi="Arial" w:eastAsia="Arial" w:cs="Arial"/>
      <w:b/>
      <w:bCs/>
      <w:i/>
      <w:iCs/>
      <w:sz w:val="22"/>
      <w:szCs w:val="22"/>
    </w:rPr>
  </w:style>
  <w:style w:type="character" w:styleId="767" w:customStyle="1">
    <w:name w:val="Heading 8 Char"/>
    <w:basedOn w:val="707"/>
    <w:uiPriority w:val="9"/>
    <w:qFormat/>
    <w:rPr>
      <w:rFonts w:ascii="Arial" w:hAnsi="Arial" w:eastAsia="Arial" w:cs="Arial"/>
      <w:i/>
      <w:iCs/>
      <w:sz w:val="22"/>
      <w:szCs w:val="22"/>
    </w:rPr>
  </w:style>
  <w:style w:type="character" w:styleId="768" w:customStyle="1">
    <w:name w:val="Heading 9 Char"/>
    <w:basedOn w:val="707"/>
    <w:uiPriority w:val="9"/>
    <w:qFormat/>
    <w:rPr>
      <w:rFonts w:ascii="Arial" w:hAnsi="Arial" w:eastAsia="Arial" w:cs="Arial"/>
      <w:i/>
      <w:iCs/>
      <w:sz w:val="21"/>
      <w:szCs w:val="21"/>
    </w:rPr>
  </w:style>
  <w:style w:type="character" w:styleId="769" w:customStyle="1">
    <w:name w:val="Title Char"/>
    <w:basedOn w:val="707"/>
    <w:uiPriority w:val="10"/>
    <w:qFormat/>
    <w:rPr>
      <w:sz w:val="48"/>
      <w:szCs w:val="48"/>
    </w:rPr>
  </w:style>
  <w:style w:type="character" w:styleId="770" w:customStyle="1">
    <w:name w:val="Subtitle Char"/>
    <w:basedOn w:val="707"/>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07"/>
    <w:uiPriority w:val="99"/>
    <w:qFormat/>
  </w:style>
  <w:style w:type="character" w:styleId="774" w:customStyle="1">
    <w:name w:val="Caption Char"/>
    <w:uiPriority w:val="99"/>
    <w:qFormat/>
  </w:style>
  <w:style w:type="table" w:styleId="775"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0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0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0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hint="default" w:ascii="Times New Roman" w:hAnsi="Times New Roman" w:eastAsia="宋体" w:cs="Times New Roman"/>
      <w:lang w:val="en-US" w:eastAsia="zh-CN" w:bidi="ar-SA"/>
    </w:rPr>
  </w:style>
  <w:style w:type="character" w:styleId="797" w:customStyle="1">
    <w:name w:val="标题 1 字符"/>
    <w:link w:val="698"/>
    <w:uiPriority w:val="9"/>
    <w:qFormat/>
    <w:rPr>
      <w:rFonts w:ascii="Arial" w:hAnsi="Arial" w:eastAsia="Arial" w:cs="Arial"/>
      <w:sz w:val="40"/>
      <w:szCs w:val="40"/>
    </w:rPr>
  </w:style>
  <w:style w:type="character" w:styleId="798" w:customStyle="1">
    <w:name w:val="标题 2 字符"/>
    <w:link w:val="699"/>
    <w:uiPriority w:val="9"/>
    <w:qFormat/>
    <w:rPr>
      <w:rFonts w:ascii="Arial" w:hAnsi="Arial" w:eastAsia="Arial" w:cs="Arial"/>
      <w:sz w:val="34"/>
    </w:rPr>
  </w:style>
  <w:style w:type="character" w:styleId="799" w:customStyle="1">
    <w:name w:val="标题 3 字符"/>
    <w:link w:val="700"/>
    <w:uiPriority w:val="9"/>
    <w:qFormat/>
    <w:rPr>
      <w:rFonts w:ascii="Arial" w:hAnsi="Arial" w:eastAsia="Arial" w:cs="Arial"/>
      <w:sz w:val="30"/>
      <w:szCs w:val="30"/>
    </w:rPr>
  </w:style>
  <w:style w:type="character" w:styleId="800" w:customStyle="1">
    <w:name w:val="标题 4 字符"/>
    <w:link w:val="701"/>
    <w:uiPriority w:val="9"/>
    <w:qFormat/>
    <w:rPr>
      <w:rFonts w:ascii="Arial" w:hAnsi="Arial" w:eastAsia="Arial" w:cs="Arial"/>
      <w:b/>
      <w:bCs/>
      <w:sz w:val="26"/>
      <w:szCs w:val="26"/>
    </w:rPr>
  </w:style>
  <w:style w:type="character" w:styleId="801" w:customStyle="1">
    <w:name w:val="标题 5 字符"/>
    <w:link w:val="702"/>
    <w:uiPriority w:val="9"/>
    <w:qFormat/>
    <w:rPr>
      <w:rFonts w:ascii="Arial" w:hAnsi="Arial" w:eastAsia="Arial" w:cs="Arial"/>
      <w:b/>
      <w:bCs/>
      <w:sz w:val="24"/>
      <w:szCs w:val="24"/>
    </w:rPr>
  </w:style>
  <w:style w:type="character" w:styleId="802" w:customStyle="1">
    <w:name w:val="标题 6 字符"/>
    <w:link w:val="703"/>
    <w:uiPriority w:val="9"/>
    <w:qFormat/>
    <w:rPr>
      <w:rFonts w:ascii="Arial" w:hAnsi="Arial" w:eastAsia="Arial" w:cs="Arial"/>
      <w:b/>
      <w:bCs/>
      <w:sz w:val="22"/>
      <w:szCs w:val="22"/>
    </w:rPr>
  </w:style>
  <w:style w:type="character" w:styleId="803" w:customStyle="1">
    <w:name w:val="标题 7 字符"/>
    <w:link w:val="704"/>
    <w:uiPriority w:val="9"/>
    <w:qFormat/>
    <w:rPr>
      <w:rFonts w:ascii="Arial" w:hAnsi="Arial" w:eastAsia="Arial" w:cs="Arial"/>
      <w:b/>
      <w:bCs/>
      <w:i/>
      <w:iCs/>
      <w:sz w:val="22"/>
      <w:szCs w:val="22"/>
    </w:rPr>
  </w:style>
  <w:style w:type="character" w:styleId="804" w:customStyle="1">
    <w:name w:val="标题 8 字符"/>
    <w:link w:val="705"/>
    <w:uiPriority w:val="9"/>
    <w:qFormat/>
    <w:rPr>
      <w:rFonts w:ascii="Arial" w:hAnsi="Arial" w:eastAsia="Arial" w:cs="Arial"/>
      <w:i/>
      <w:iCs/>
      <w:sz w:val="22"/>
      <w:szCs w:val="22"/>
    </w:rPr>
  </w:style>
  <w:style w:type="character" w:styleId="805" w:customStyle="1">
    <w:name w:val="标题 9 字符"/>
    <w:link w:val="706"/>
    <w:uiPriority w:val="9"/>
    <w:qFormat/>
    <w:rPr>
      <w:rFonts w:ascii="Arial" w:hAnsi="Arial" w:eastAsia="Arial" w:cs="Arial"/>
      <w:i/>
      <w:iCs/>
      <w:sz w:val="21"/>
      <w:szCs w:val="21"/>
    </w:rPr>
  </w:style>
  <w:style w:type="paragraph" w:styleId="806">
    <w:name w:val="List Paragraph"/>
    <w:basedOn w:val="697"/>
    <w:uiPriority w:val="34"/>
    <w:qFormat/>
    <w:pPr>
      <w:contextualSpacing/>
      <w:ind w:left="720"/>
    </w:pPr>
  </w:style>
  <w:style w:type="paragraph" w:styleId="807">
    <w:name w:val="No Spacing"/>
    <w:uiPriority w:val="1"/>
    <w:qFormat/>
    <w:rPr>
      <w:rFonts w:hint="default" w:ascii="Times New Roman" w:hAnsi="Times New Roman" w:eastAsia="宋体" w:cs="Times New Roman"/>
      <w:lang w:val="en-US" w:eastAsia="zh-CN" w:bidi="ar-SA"/>
    </w:rPr>
  </w:style>
  <w:style w:type="character" w:styleId="808" w:customStyle="1">
    <w:name w:val="标题 字符"/>
    <w:link w:val="731"/>
    <w:uiPriority w:val="10"/>
    <w:qFormat/>
    <w:rPr>
      <w:sz w:val="48"/>
      <w:szCs w:val="48"/>
    </w:rPr>
  </w:style>
  <w:style w:type="character" w:styleId="809" w:customStyle="1">
    <w:name w:val="副标题 字符"/>
    <w:link w:val="725"/>
    <w:uiPriority w:val="11"/>
    <w:qFormat/>
    <w:rPr>
      <w:sz w:val="24"/>
      <w:szCs w:val="24"/>
    </w:rPr>
  </w:style>
  <w:style w:type="paragraph" w:styleId="810">
    <w:name w:val="Quote"/>
    <w:basedOn w:val="697"/>
    <w:next w:val="697"/>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697"/>
    <w:next w:val="697"/>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页眉 字符"/>
    <w:link w:val="722"/>
    <w:uiPriority w:val="99"/>
    <w:qFormat/>
  </w:style>
  <w:style w:type="character" w:styleId="815" w:customStyle="1">
    <w:name w:val="Footer Char"/>
    <w:uiPriority w:val="99"/>
    <w:qFormat/>
  </w:style>
  <w:style w:type="character" w:styleId="816" w:customStyle="1">
    <w:name w:val="页脚 字符"/>
    <w:link w:val="721"/>
    <w:uiPriority w:val="99"/>
    <w:qFormat/>
  </w:style>
  <w:style w:type="table" w:styleId="8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26"/>
    <w:uiPriority w:val="99"/>
    <w:qFormat/>
    <w:rPr>
      <w:sz w:val="18"/>
    </w:rPr>
  </w:style>
  <w:style w:type="character" w:styleId="924" w:customStyle="1">
    <w:name w:val="尾注文本 字符"/>
    <w:link w:val="719"/>
    <w:uiPriority w:val="99"/>
    <w:qFormat/>
    <w:rPr>
      <w:sz w:val="20"/>
    </w:rPr>
  </w:style>
  <w:style w:type="paragraph" w:styleId="925" w:customStyle="1">
    <w:name w:val="TOC 标题11"/>
    <w:uiPriority w:val="39"/>
    <w:unhideWhenUsed/>
    <w:qFormat/>
    <w:rPr>
      <w:rFonts w:hint="default" w:ascii="Times New Roman" w:hAnsi="Times New Roman" w:eastAsia="宋体" w:cs="Times New Roman"/>
      <w:lang w:val="en-US" w:eastAsia="zh-CN" w:bidi="ar-SA"/>
    </w:rPr>
  </w:style>
  <w:style w:type="paragraph" w:styleId="926" w:customStyle="1">
    <w:name w:val="标题 11"/>
    <w:basedOn w:val="697"/>
    <w:next w:val="697"/>
    <w:link w:val="932"/>
    <w:uiPriority w:val="0"/>
    <w:qFormat/>
    <w:pPr>
      <w:keepLines/>
      <w:keepNext/>
      <w:spacing w:before="340" w:after="330" w:line="578" w:lineRule="auto"/>
      <w:outlineLvl w:val="0"/>
    </w:pPr>
    <w:rPr>
      <w:rFonts w:ascii="Times New Roman" w:hAnsi="Times New Roman"/>
      <w:b/>
      <w:bCs/>
      <w:sz w:val="44"/>
      <w:szCs w:val="44"/>
    </w:rPr>
  </w:style>
  <w:style w:type="paragraph" w:styleId="927" w:customStyle="1">
    <w:name w:val="标题 21"/>
    <w:basedOn w:val="697"/>
    <w:next w:val="697"/>
    <w:link w:val="933"/>
    <w:uiPriority w:val="0"/>
    <w:qFormat/>
    <w:pPr>
      <w:keepLines/>
      <w:keepNext/>
      <w:spacing w:before="260" w:after="260" w:line="416" w:lineRule="auto"/>
      <w:outlineLvl w:val="1"/>
    </w:pPr>
    <w:rPr>
      <w:rFonts w:ascii="Cambria" w:hAnsi="Cambria"/>
      <w:b/>
      <w:bCs/>
      <w:sz w:val="32"/>
      <w:szCs w:val="32"/>
    </w:rPr>
  </w:style>
  <w:style w:type="paragraph" w:styleId="928" w:customStyle="1">
    <w:name w:val="标题 31"/>
    <w:basedOn w:val="697"/>
    <w:next w:val="697"/>
    <w:link w:val="934"/>
    <w:uiPriority w:val="0"/>
    <w:qFormat/>
    <w:pPr>
      <w:keepLines/>
      <w:keepNext/>
      <w:spacing w:before="260" w:after="260" w:line="416" w:lineRule="auto"/>
      <w:outlineLvl w:val="2"/>
    </w:pPr>
    <w:rPr>
      <w:rFonts w:ascii="Times New Roman" w:hAnsi="Times New Roman"/>
      <w:b/>
      <w:bCs/>
      <w:sz w:val="32"/>
      <w:szCs w:val="32"/>
    </w:rPr>
  </w:style>
  <w:style w:type="character" w:styleId="929" w:customStyle="1">
    <w:name w:val="默认段落字体1"/>
    <w:uiPriority w:val="0"/>
    <w:qFormat/>
    <w:rPr>
      <w:rFonts w:ascii="Times New Roman" w:hAnsi="Times New Roman" w:eastAsia="宋体" w:cs="Times New Roman"/>
    </w:rPr>
  </w:style>
  <w:style w:type="table" w:styleId="930" w:customStyle="1">
    <w:name w:val="普通表格1"/>
    <w:uiPriority w:val="0"/>
    <w:qFormat/>
    <w:tblPr>
      <w:tblCellMar>
        <w:left w:w="0" w:type="dxa"/>
        <w:top w:w="0" w:type="dxa"/>
        <w:right w:w="0" w:type="dxa"/>
        <w:bottom w:w="0" w:type="dxa"/>
      </w:tblCellMar>
    </w:tblPr>
  </w:style>
  <w:style w:type="paragraph" w:styleId="93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32" w:customStyle="1">
    <w:name w:val="标题 1 Char"/>
    <w:basedOn w:val="929"/>
    <w:link w:val="926"/>
    <w:uiPriority w:val="0"/>
    <w:qFormat/>
    <w:rPr>
      <w:rFonts w:ascii="Times New Roman" w:hAnsi="Times New Roman" w:eastAsia="宋体" w:cs="Times New Roman"/>
      <w:b/>
      <w:bCs/>
      <w:sz w:val="44"/>
      <w:szCs w:val="44"/>
    </w:rPr>
  </w:style>
  <w:style w:type="character" w:styleId="933" w:customStyle="1">
    <w:name w:val="标题 2 Char"/>
    <w:basedOn w:val="929"/>
    <w:link w:val="927"/>
    <w:uiPriority w:val="0"/>
    <w:qFormat/>
    <w:rPr>
      <w:rFonts w:ascii="Cambria" w:hAnsi="Cambria" w:eastAsia="宋体" w:cs="Times New Roman"/>
      <w:b/>
      <w:bCs/>
      <w:sz w:val="32"/>
      <w:szCs w:val="32"/>
    </w:rPr>
  </w:style>
  <w:style w:type="character" w:styleId="934" w:customStyle="1">
    <w:name w:val="标题 3 Char"/>
    <w:basedOn w:val="929"/>
    <w:link w:val="928"/>
    <w:uiPriority w:val="0"/>
    <w:qFormat/>
    <w:rPr>
      <w:rFonts w:ascii="Times New Roman" w:hAnsi="Times New Roman" w:eastAsia="宋体" w:cs="Times New Roman"/>
      <w:b/>
      <w:bCs/>
      <w:sz w:val="32"/>
      <w:szCs w:val="32"/>
    </w:rPr>
  </w:style>
  <w:style w:type="paragraph" w:styleId="935" w:customStyle="1">
    <w:name w:val="文档结构图1"/>
    <w:basedOn w:val="697"/>
    <w:link w:val="936"/>
    <w:uiPriority w:val="0"/>
    <w:qFormat/>
    <w:rPr>
      <w:rFonts w:ascii="宋体" w:hAnsi="Times New Roman"/>
      <w:sz w:val="18"/>
      <w:szCs w:val="18"/>
    </w:rPr>
  </w:style>
  <w:style w:type="character" w:styleId="936" w:customStyle="1">
    <w:name w:val="文档结构图 Char"/>
    <w:basedOn w:val="929"/>
    <w:link w:val="935"/>
    <w:uiPriority w:val="0"/>
    <w:qFormat/>
    <w:rPr>
      <w:rFonts w:ascii="宋体" w:hAnsi="Times New Roman" w:eastAsia="宋体" w:cs="Times New Roman"/>
      <w:sz w:val="18"/>
      <w:szCs w:val="18"/>
    </w:rPr>
  </w:style>
  <w:style w:type="paragraph" w:styleId="937" w:customStyle="1">
    <w:name w:val="批注文字1"/>
    <w:basedOn w:val="697"/>
    <w:link w:val="938"/>
    <w:uiPriority w:val="0"/>
    <w:qFormat/>
    <w:pPr>
      <w:ind w:firstLine="922"/>
      <w:jc w:val="left"/>
      <w:spacing w:line="360" w:lineRule="auto"/>
    </w:pPr>
    <w:rPr>
      <w:rFonts w:ascii="Times New Roman" w:hAnsi="Times New Roman"/>
      <w:szCs w:val="24"/>
    </w:rPr>
  </w:style>
  <w:style w:type="character" w:styleId="938" w:customStyle="1">
    <w:name w:val="批注文字 Char"/>
    <w:basedOn w:val="929"/>
    <w:link w:val="937"/>
    <w:uiPriority w:val="0"/>
    <w:qFormat/>
    <w:rPr>
      <w:rFonts w:ascii="Times New Roman" w:hAnsi="Times New Roman" w:eastAsia="宋体" w:cs="Times New Roman"/>
      <w:szCs w:val="24"/>
    </w:rPr>
  </w:style>
  <w:style w:type="paragraph" w:styleId="939" w:customStyle="1">
    <w:name w:val="正文文本1"/>
    <w:basedOn w:val="697"/>
    <w:next w:val="697"/>
    <w:link w:val="940"/>
    <w:uiPriority w:val="0"/>
    <w:qFormat/>
    <w:pPr>
      <w:spacing w:after="120"/>
    </w:pPr>
  </w:style>
  <w:style w:type="character" w:styleId="940" w:customStyle="1">
    <w:name w:val="正文文本 Char"/>
    <w:basedOn w:val="929"/>
    <w:link w:val="939"/>
    <w:uiPriority w:val="0"/>
    <w:qFormat/>
    <w:rPr>
      <w:rFonts w:ascii="Calibri" w:hAnsi="Calibri" w:eastAsia="宋体" w:cs="Times New Roman"/>
    </w:rPr>
  </w:style>
  <w:style w:type="paragraph" w:styleId="941" w:customStyle="1">
    <w:name w:val="正文文本缩进1"/>
    <w:basedOn w:val="697"/>
    <w:link w:val="942"/>
    <w:uiPriority w:val="0"/>
    <w:qFormat/>
    <w:pPr>
      <w:ind w:left="420"/>
      <w:spacing w:after="120"/>
    </w:pPr>
    <w:rPr>
      <w:rFonts w:ascii="Times New Roman" w:hAnsi="Times New Roman"/>
      <w:szCs w:val="24"/>
    </w:rPr>
  </w:style>
  <w:style w:type="character" w:styleId="942" w:customStyle="1">
    <w:name w:val="正文文本缩进 Char"/>
    <w:basedOn w:val="929"/>
    <w:link w:val="941"/>
    <w:uiPriority w:val="0"/>
    <w:qFormat/>
    <w:rPr>
      <w:rFonts w:ascii="Times New Roman" w:hAnsi="Times New Roman" w:eastAsia="宋体" w:cs="Times New Roman"/>
      <w:szCs w:val="24"/>
    </w:rPr>
  </w:style>
  <w:style w:type="paragraph" w:styleId="943" w:customStyle="1">
    <w:name w:val="纯文本1"/>
    <w:basedOn w:val="697"/>
    <w:link w:val="944"/>
    <w:uiPriority w:val="0"/>
    <w:qFormat/>
    <w:rPr>
      <w:rFonts w:ascii="宋体" w:hAnsi="Courier New" w:cs="Courier New"/>
      <w:szCs w:val="21"/>
    </w:rPr>
  </w:style>
  <w:style w:type="character" w:styleId="944" w:customStyle="1">
    <w:name w:val="纯文本 Char"/>
    <w:basedOn w:val="929"/>
    <w:link w:val="943"/>
    <w:uiPriority w:val="0"/>
    <w:qFormat/>
    <w:rPr>
      <w:rFonts w:ascii="宋体" w:hAnsi="Courier New" w:eastAsia="宋体" w:cs="Courier New"/>
      <w:szCs w:val="21"/>
    </w:rPr>
  </w:style>
  <w:style w:type="paragraph" w:styleId="945" w:customStyle="1">
    <w:name w:val="日期1"/>
    <w:basedOn w:val="697"/>
    <w:next w:val="697"/>
    <w:link w:val="946"/>
    <w:uiPriority w:val="0"/>
    <w:qFormat/>
    <w:pPr>
      <w:ind w:left="100"/>
    </w:pPr>
    <w:rPr>
      <w:rFonts w:ascii="Times New Roman" w:hAnsi="Times New Roman"/>
    </w:rPr>
  </w:style>
  <w:style w:type="character" w:styleId="946" w:customStyle="1">
    <w:name w:val="日期 Char"/>
    <w:basedOn w:val="929"/>
    <w:link w:val="945"/>
    <w:uiPriority w:val="0"/>
    <w:qFormat/>
    <w:rPr>
      <w:rFonts w:ascii="Times New Roman" w:hAnsi="Times New Roman" w:eastAsia="宋体" w:cs="Times New Roman"/>
    </w:rPr>
  </w:style>
  <w:style w:type="paragraph" w:styleId="947" w:customStyle="1">
    <w:name w:val="批注框文本1"/>
    <w:basedOn w:val="697"/>
    <w:link w:val="948"/>
    <w:uiPriority w:val="0"/>
    <w:qFormat/>
    <w:rPr>
      <w:rFonts w:ascii="Times New Roman" w:hAnsi="Times New Roman"/>
      <w:sz w:val="18"/>
      <w:szCs w:val="18"/>
    </w:rPr>
  </w:style>
  <w:style w:type="character" w:styleId="948" w:customStyle="1">
    <w:name w:val="批注框文本 Char"/>
    <w:basedOn w:val="929"/>
    <w:link w:val="947"/>
    <w:uiPriority w:val="0"/>
    <w:qFormat/>
    <w:rPr>
      <w:rFonts w:ascii="Times New Roman" w:hAnsi="Times New Roman" w:eastAsia="宋体" w:cs="Times New Roman"/>
      <w:sz w:val="18"/>
      <w:szCs w:val="18"/>
    </w:rPr>
  </w:style>
  <w:style w:type="paragraph" w:styleId="949" w:customStyle="1">
    <w:name w:val="页脚1"/>
    <w:basedOn w:val="697"/>
    <w:link w:val="950"/>
    <w:uiPriority w:val="0"/>
    <w:qFormat/>
    <w:pPr>
      <w:jc w:val="left"/>
      <w:tabs>
        <w:tab w:val="center" w:pos="4153" w:leader="none"/>
        <w:tab w:val="right" w:pos="8306" w:leader="none"/>
      </w:tabs>
    </w:pPr>
    <w:rPr>
      <w:rFonts w:ascii="Times New Roman" w:hAnsi="Times New Roman"/>
      <w:sz w:val="18"/>
      <w:szCs w:val="18"/>
    </w:rPr>
  </w:style>
  <w:style w:type="character" w:styleId="950" w:customStyle="1">
    <w:name w:val="页脚 Char"/>
    <w:basedOn w:val="929"/>
    <w:link w:val="949"/>
    <w:uiPriority w:val="0"/>
    <w:qFormat/>
    <w:rPr>
      <w:rFonts w:ascii="Times New Roman" w:hAnsi="Times New Roman" w:eastAsia="宋体" w:cs="Times New Roman"/>
      <w:sz w:val="18"/>
      <w:szCs w:val="18"/>
    </w:rPr>
  </w:style>
  <w:style w:type="paragraph" w:styleId="951" w:customStyle="1">
    <w:name w:val="页眉1"/>
    <w:basedOn w:val="697"/>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2" w:customStyle="1">
    <w:name w:val="页眉 Char"/>
    <w:basedOn w:val="929"/>
    <w:link w:val="951"/>
    <w:uiPriority w:val="0"/>
    <w:qFormat/>
    <w:rPr>
      <w:rFonts w:ascii="Times New Roman" w:hAnsi="Times New Roman" w:eastAsia="宋体" w:cs="Times New Roman"/>
      <w:sz w:val="18"/>
      <w:szCs w:val="18"/>
    </w:rPr>
  </w:style>
  <w:style w:type="paragraph" w:styleId="953" w:customStyle="1">
    <w:name w:val="目录 11"/>
    <w:basedOn w:val="697"/>
    <w:next w:val="697"/>
    <w:uiPriority w:val="0"/>
    <w:qFormat/>
    <w:pPr>
      <w:jc w:val="center"/>
      <w:tabs>
        <w:tab w:val="right" w:pos="8296" w:leader="dot"/>
      </w:tabs>
    </w:pPr>
    <w:rPr>
      <w:rFonts w:ascii="黑体" w:hAnsi="黑体" w:eastAsia="黑体"/>
      <w:sz w:val="44"/>
      <w:szCs w:val="44"/>
    </w:rPr>
  </w:style>
  <w:style w:type="paragraph" w:styleId="954" w:customStyle="1">
    <w:name w:val="普通(网站)1"/>
    <w:basedOn w:val="697"/>
    <w:uiPriority w:val="0"/>
    <w:qFormat/>
    <w:rPr>
      <w:rFonts w:ascii="Times New Roman" w:hAnsi="Times New Roman"/>
      <w:sz w:val="24"/>
    </w:rPr>
  </w:style>
  <w:style w:type="table" w:styleId="955" w:customStyle="1">
    <w:name w:val="网格型1"/>
    <w:basedOn w:val="930"/>
    <w:uiPriority w:val="0"/>
    <w:qFormat/>
    <w:tblPr/>
  </w:style>
  <w:style w:type="character" w:styleId="956" w:customStyle="1">
    <w:name w:val="超链接1"/>
    <w:uiPriority w:val="0"/>
    <w:qFormat/>
    <w:rPr>
      <w:rFonts w:ascii="Times New Roman" w:hAnsi="Times New Roman" w:eastAsia="宋体" w:cs="Times New Roman"/>
      <w:color w:val="0000ff"/>
      <w:u w:val="none"/>
    </w:rPr>
  </w:style>
  <w:style w:type="character" w:styleId="957" w:customStyle="1">
    <w:name w:val="批注引用1"/>
    <w:uiPriority w:val="0"/>
    <w:qFormat/>
    <w:rPr>
      <w:rFonts w:ascii="Times New Roman" w:hAnsi="Times New Roman" w:eastAsia="宋体" w:cs="Times New Roman"/>
      <w:sz w:val="21"/>
      <w:szCs w:val="21"/>
    </w:rPr>
  </w:style>
  <w:style w:type="paragraph" w:styleId="95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9" w:customStyle="1">
    <w:name w:val="列出段落1"/>
    <w:basedOn w:val="697"/>
    <w:uiPriority w:val="0"/>
    <w:qFormat/>
    <w:pPr>
      <w:ind w:firstLine="420"/>
    </w:pPr>
    <w:rPr>
      <w:rFonts w:ascii="Times New Roman" w:hAnsi="Times New Roman"/>
      <w:szCs w:val="21"/>
    </w:rPr>
  </w:style>
  <w:style w:type="paragraph" w:styleId="960" w:customStyle="1">
    <w:name w:val="无间隔1"/>
    <w:basedOn w:val="697"/>
    <w:uiPriority w:val="0"/>
    <w:qFormat/>
    <w:rPr>
      <w:rFonts w:ascii="Times New Roman" w:hAnsi="Times New Roman"/>
    </w:rPr>
  </w:style>
  <w:style w:type="paragraph" w:styleId="961" w:customStyle="1">
    <w:name w:val="正文文本11"/>
    <w:basedOn w:val="697"/>
    <w:next w:val="697"/>
    <w:uiPriority w:val="0"/>
    <w:qFormat/>
    <w:rPr>
      <w:rFonts w:ascii="楷体_GB2312" w:hAnsi="Arial" w:eastAsia="楷体_GB2312"/>
      <w:sz w:val="28"/>
      <w:szCs w:val="28"/>
      <w:lang w:eastAsia="en-US"/>
    </w:rPr>
  </w:style>
  <w:style w:type="paragraph" w:styleId="962" w:customStyle="1">
    <w:name w:val="正文首行缩进11"/>
    <w:basedOn w:val="961"/>
    <w:uiPriority w:val="0"/>
    <w:qFormat/>
    <w:pPr>
      <w:ind w:firstLine="200"/>
      <w:spacing w:line="360" w:lineRule="auto"/>
    </w:pPr>
    <w:rPr>
      <w:rFonts w:ascii="仿宋_GB2312" w:hAnsi="Times New Roman" w:eastAsia="仿宋_GB2312"/>
      <w:sz w:val="30"/>
      <w:szCs w:val="30"/>
    </w:rPr>
  </w:style>
  <w:style w:type="character" w:styleId="963" w:customStyle="1">
    <w:name w:val="批注框文本 字符"/>
    <w:basedOn w:val="707"/>
    <w:link w:val="720"/>
    <w:uiPriority w:val="99"/>
    <w:semiHidden/>
    <w:qFormat/>
    <w:rPr>
      <w:rFonts w:ascii="Calibri" w:hAnsi="Calibri"/>
      <w:sz w:val="18"/>
      <w:szCs w:val="18"/>
    </w:rPr>
  </w:style>
  <w:style w:type="character" w:styleId="964" w:customStyle="1">
    <w:name w:val="批注文字 字符"/>
    <w:basedOn w:val="707"/>
    <w:link w:val="712"/>
    <w:uiPriority w:val="99"/>
    <w:semiHidden/>
    <w:qFormat/>
    <w:rPr>
      <w:rFonts w:ascii="Calibri" w:hAnsi="Calibri"/>
      <w:sz w:val="21"/>
      <w:szCs w:val="22"/>
    </w:rPr>
  </w:style>
  <w:style w:type="character" w:styleId="965" w:customStyle="1">
    <w:name w:val="批注主题 字符"/>
    <w:basedOn w:val="964"/>
    <w:link w:val="732"/>
    <w:uiPriority w:val="99"/>
    <w:semiHidden/>
    <w:qFormat/>
    <w:rPr>
      <w:rFonts w:ascii="Calibri" w:hAnsi="Calibri"/>
      <w:b/>
      <w:bCs/>
      <w:sz w:val="21"/>
      <w:szCs w:val="22"/>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17</cp:revision>
  <dcterms:created xsi:type="dcterms:W3CDTF">2026-06-27T07:06:00Z</dcterms:created>
  <dcterms:modified xsi:type="dcterms:W3CDTF">2026-09-22T09:03:02Z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59E4A41AE51A4B9A9F7D3E255ED69B31_13</vt:lpwstr>
  </property>
</Properties>
</file>