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南京市江宁妇幼保健院采购急救和生命支持设备一批</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JSZC-320115-JCEC-G2026-0394</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pStyle w:val="652"/>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pStyle w:val="652"/>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pStyle w:val="652"/>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pStyle w:val="652"/>
        <w:rPr>
          <w:color w:val="auto"/>
          <w:highlight w:val="none"/>
        </w:rPr>
      </w:pPr>
      <w:r>
        <w:rPr>
          <w:color w:val="auto"/>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w:t>
      </w:r>
      <w:r>
        <w:rPr>
          <w:rFonts w:hint="eastAsia" w:ascii="宋体" w:hAnsi="宋体" w:eastAsia="宋体" w:cs="宋体"/>
          <w:b/>
          <w:color w:val="auto"/>
          <w:sz w:val="36"/>
          <w:highlight w:val="none"/>
          <w:lang w:val="en-US" w:eastAsia="zh-CN"/>
        </w:rPr>
        <w:t xml:space="preserve">10</w:t>
      </w:r>
      <w:r>
        <w:rPr>
          <w:rFonts w:hint="eastAsia" w:ascii="宋体" w:hAnsi="宋体" w:eastAsia="宋体" w:cs="宋体"/>
          <w:b/>
          <w:color w:val="auto"/>
          <w:sz w:val="36"/>
          <w:highlight w:val="none"/>
          <w:lang w:eastAsia="zh-CN"/>
        </w:rPr>
        <w:t xml:space="preserve">月</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82"/>
          <w:rFonts w:ascii="宋体" w:hAnsi="宋体" w:eastAsia="宋体" w:cs="宋体"/>
          <w:color w:val="auto"/>
          <w:sz w:val="24"/>
          <w:highlight w:val="none"/>
        </w:rPr>
        <w:t xml:space="preserve">第一章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招标公告</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82"/>
          <w:rFonts w:ascii="宋体" w:hAnsi="宋体" w:eastAsia="宋体" w:cs="宋体"/>
          <w:color w:val="auto"/>
          <w:sz w:val="24"/>
          <w:highlight w:val="none"/>
        </w:rPr>
        <w:t xml:space="preserve">第二章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投标人须知</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82"/>
          <w:rFonts w:ascii="宋体" w:hAnsi="宋体" w:eastAsia="宋体" w:cs="宋体"/>
          <w:color w:val="auto"/>
          <w:sz w:val="24"/>
          <w:highlight w:val="none"/>
        </w:rPr>
        <w:t xml:space="preserve">第三章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评标标准</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82"/>
          <w:rFonts w:ascii="宋体" w:hAnsi="宋体" w:eastAsia="宋体" w:cs="宋体"/>
          <w:color w:val="auto"/>
          <w:sz w:val="24"/>
          <w:highlight w:val="none"/>
        </w:rPr>
        <w:t xml:space="preserve">第四章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采购需求</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82"/>
          <w:rFonts w:ascii="宋体" w:hAnsi="宋体" w:eastAsia="宋体" w:cs="宋体"/>
          <w:color w:val="auto"/>
          <w:sz w:val="24"/>
          <w:highlight w:val="none"/>
        </w:rPr>
        <w:t xml:space="preserve">第五章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合同主要条款及格式</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82"/>
          <w:rFonts w:ascii="宋体" w:hAnsi="宋体" w:eastAsia="宋体" w:cs="宋体"/>
          <w:color w:val="auto"/>
          <w:sz w:val="24"/>
          <w:highlight w:val="none"/>
        </w:rPr>
        <w:t xml:space="preserve">第六章</w:t>
      </w:r>
      <w:r>
        <w:rPr>
          <w:rStyle w:val="682"/>
          <w:rFonts w:ascii="宋体" w:hAnsi="宋体" w:eastAsia="宋体" w:cs="宋体"/>
          <w:color w:val="auto"/>
          <w:sz w:val="24"/>
          <w:highlight w:val="none"/>
          <w:u w:val="none"/>
        </w:rPr>
        <w:t xml:space="preserve"> </w:t>
      </w:r>
      <w:r>
        <w:rPr>
          <w:rStyle w:val="682"/>
          <w:rFonts w:ascii="宋体" w:hAnsi="宋体" w:eastAsia="宋体" w:cs="宋体"/>
          <w:color w:val="auto"/>
          <w:sz w:val="24"/>
          <w:highlight w:val="none"/>
        </w:rPr>
        <w:t xml:space="preserve">投标文件格式及附件</w:t>
      </w:r>
      <w:r>
        <w:rPr>
          <w:rStyle w:val="682"/>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41"/>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ascii="宋体" w:hAnsi="宋体" w:eastAsia="宋体" w:cs="宋体"/>
          <w:b/>
          <w:color w:val="auto"/>
          <w:sz w:val="32"/>
          <w:highlight w:val="none"/>
        </w:rPr>
      </w:r>
      <w:r/>
    </w:p>
    <w:p>
      <w:pPr>
        <w:pStyle w:val="64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项目概况</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u w:val="single"/>
          <w:lang w:eastAsia="zh-CN"/>
        </w:rPr>
        <w:t xml:space="preserve">南京市江宁妇幼保健院采购急救和生命支持设备一批</w:t>
      </w:r>
      <w:r>
        <w:rPr>
          <w:rFonts w:ascii="宋体" w:hAnsi="宋体" w:eastAsia="宋体" w:cs="宋体"/>
          <w:color w:val="auto"/>
          <w:spacing w:val="8"/>
          <w:highlight w:val="none"/>
        </w:rPr>
        <w:t xml:space="preserve">的潜在投标人应在</w:t>
      </w:r>
      <w:r>
        <w:rPr>
          <w:rFonts w:ascii="宋体" w:hAnsi="宋体" w:eastAsia="宋体" w:cs="宋体"/>
          <w:color w:val="auto"/>
          <w:highlight w:val="none"/>
          <w:u w:val="single"/>
        </w:rPr>
        <w:t xml:space="preserve">江苏政府采购网</w:t>
      </w:r>
      <w:r>
        <w:rPr>
          <w:rFonts w:ascii="宋体" w:hAnsi="宋体" w:eastAsia="宋体" w:cs="宋体"/>
          <w:color w:val="auto"/>
          <w:spacing w:val="8"/>
          <w:highlight w:val="none"/>
        </w:rPr>
        <w:t xml:space="preserve">获取招标文件，并于</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11</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14</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（北京时间）前递交投标文件。</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JSZC-320115-JCEC-G2026-0394</w:t>
      </w:r>
      <w:r>
        <w:rPr>
          <w:rFonts w:ascii="宋体" w:hAnsi="宋体" w:eastAsia="宋体" w:cs="宋体"/>
          <w:color w:val="auto"/>
          <w:spacing w:val="8"/>
          <w:highlight w:val="none"/>
        </w:rPr>
        <w:t xml:space="preserve">  </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w:t>
      </w:r>
      <w:r>
        <w:rPr>
          <w:rFonts w:hint="eastAsia" w:ascii="宋体" w:hAnsi="宋体" w:eastAsia="宋体" w:cs="宋体"/>
          <w:color w:val="auto"/>
          <w:spacing w:val="8"/>
          <w:highlight w:val="none"/>
          <w:lang w:eastAsia="zh-CN"/>
        </w:rPr>
        <w:t xml:space="preserve">项目名称：南京市江宁妇幼保健院采购急救和生命支持设备一批</w:t>
      </w:r>
      <w:r/>
    </w:p>
    <w:p>
      <w:pPr>
        <w:ind w:firstLine="370"/>
        <w:jc w:val="both"/>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eastAsia="zh-CN"/>
        </w:rPr>
        <w:t xml:space="preserve">1.3预算金额：361.9万元；</w:t>
      </w:r>
      <w:r>
        <w:rPr>
          <w:rFonts w:hint="eastAsia" w:ascii="宋体" w:hAnsi="宋体" w:eastAsia="宋体" w:cs="宋体"/>
          <w:color w:val="auto"/>
          <w:spacing w:val="8"/>
          <w:highlight w:val="none"/>
          <w:lang w:val="en-US" w:eastAsia="zh-CN"/>
        </w:rPr>
        <w:t xml:space="preserve">其中：</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包1：除颤监护仪、麻醉机等349.90万元</w:t>
      </w:r>
      <w:r/>
    </w:p>
    <w:p>
      <w:pPr>
        <w:ind w:firstLine="370"/>
        <w:jc w:val="both"/>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包2：心肺复苏机12万元</w:t>
      </w:r>
      <w:r/>
    </w:p>
    <w:p>
      <w:pPr>
        <w:ind w:firstLine="370"/>
        <w:jc w:val="both"/>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1.4最高限价：</w:t>
      </w:r>
      <w:r>
        <w:rPr>
          <w:rFonts w:hint="eastAsia" w:ascii="宋体" w:hAnsi="宋体" w:eastAsia="宋体" w:cs="宋体"/>
          <w:color w:val="auto"/>
          <w:spacing w:val="8"/>
          <w:highlight w:val="none"/>
        </w:rPr>
        <w:t xml:space="preserve">361.9</w:t>
      </w:r>
      <w:r>
        <w:rPr>
          <w:rFonts w:hint="eastAsia" w:ascii="宋体" w:hAnsi="宋体" w:eastAsia="宋体" w:cs="宋体"/>
          <w:color w:val="auto"/>
          <w:spacing w:val="8"/>
          <w:highlight w:val="none"/>
          <w:lang w:eastAsia="zh-CN"/>
        </w:rPr>
        <w:t xml:space="preserve">万元；</w:t>
      </w:r>
      <w:r>
        <w:rPr>
          <w:rFonts w:hint="eastAsia" w:ascii="宋体" w:hAnsi="宋体" w:eastAsia="宋体" w:cs="宋体"/>
          <w:color w:val="auto"/>
          <w:spacing w:val="8"/>
          <w:highlight w:val="none"/>
          <w:lang w:val="en-US" w:eastAsia="zh-CN"/>
        </w:rPr>
        <w:t xml:space="preserve">其中：</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包1：除颤监护仪、麻醉机等349.90万元</w:t>
      </w:r>
      <w:r/>
    </w:p>
    <w:p>
      <w:pPr>
        <w:ind w:firstLine="370"/>
        <w:jc w:val="both"/>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包2：心肺复苏机12万元</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eastAsia="宋体" w:cs="宋体"/>
          <w:color w:val="auto"/>
          <w:spacing w:val="8"/>
          <w:highlight w:val="none"/>
          <w:lang w:eastAsia="zh-CN"/>
        </w:rPr>
        <w:t xml:space="preserve">南京市江宁妇幼保健院采购急救和生命支持设备一批</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lang w:eastAsia="zh-CN"/>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lang w:eastAsia="zh-CN"/>
        </w:rPr>
        <w:t xml:space="preserve">第四章</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eastAsia="宋体" w:cs="宋体"/>
          <w:color w:val="auto"/>
          <w:spacing w:val="8"/>
          <w:highlight w:val="none"/>
        </w:rPr>
        <w:t xml:space="preserve">自合同签订后15日内设备供货并完成安装调试交付使用</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1.9</w:t>
      </w:r>
      <w:r>
        <w:rPr>
          <w:rFonts w:hint="eastAsia" w:ascii="宋体" w:hAnsi="宋体" w:eastAsia="宋体" w:cs="宋体"/>
          <w:color w:val="auto"/>
          <w:spacing w:val="8"/>
          <w:highlight w:val="none"/>
        </w:rPr>
        <w:t xml:space="preserve">本项目不接受进口产品投标。</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1.10</w:t>
      </w:r>
      <w:r>
        <w:rPr>
          <w:rFonts w:hint="eastAsia" w:ascii="宋体" w:hAnsi="宋体" w:eastAsia="宋体" w:cs="宋体"/>
          <w:color w:val="auto"/>
          <w:spacing w:val="8"/>
          <w:highlight w:val="none"/>
        </w:rPr>
        <w:t xml:space="preserve">本项目不接受联合体投标。</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numPr>
          <w:ilvl w:val="0"/>
          <w:numId w:val="1"/>
        </w:num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符合《中华人民共和国政府采购法》第二十二条规定，提供《南京市政府采购供应商信用记录表暨信用承诺书》。</w:t>
      </w:r>
      <w:r/>
    </w:p>
    <w:p>
      <w:pPr>
        <w:numPr>
          <w:ilvl w:val="0"/>
          <w:numId w:val="0"/>
        </w:numPr>
        <w:ind w:firstLine="45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color w:val="auto"/>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(1)本项目整体专门面向中小企业采购服务。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(2)本项目整体专门面向小微企业采购服务。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(3)本项目通过以下第()种方式预留部分采购份额采购中小企业服务: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1本项目要求供应商以联合体形式参加，中小企业合同金额应当达到的比例为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2本项目要求供应商进行合同分包，中小企业合同金额应当达到的比例为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(4)本项目为非预留份额的采购项目或采购包，执行价格扣除优惠政策，具体详见评标办法与标准。</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ascii="宋体" w:hAnsi="宋体" w:eastAsia="宋体" w:cs="宋体"/>
          <w:b/>
          <w:color w:val="auto"/>
          <w:highlight w:val="none"/>
        </w:rPr>
        <w:t xml:space="preserve">采购人根据采购项目的特殊要求规定的特定条件，并提供符合特殊要求的证明材料或者情况说明：</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(1)投标产品如果属于医疗器械注册范畴的，</w:t>
      </w:r>
      <w:r>
        <w:rPr>
          <w:rFonts w:hint="eastAsia" w:ascii="宋体" w:hAnsi="宋体" w:eastAsia="宋体" w:cs="宋体"/>
          <w:color w:val="auto"/>
          <w:highlight w:val="none"/>
          <w:lang w:val="en-US" w:eastAsia="zh-CN"/>
        </w:rPr>
        <w:t xml:space="preserve">须</w:t>
      </w:r>
      <w:r>
        <w:rPr>
          <w:rFonts w:hint="eastAsia" w:ascii="宋体" w:hAnsi="宋体" w:eastAsia="宋体" w:cs="宋体"/>
          <w:color w:val="auto"/>
          <w:highlight w:val="none"/>
        </w:rPr>
        <w:t xml:space="preserve">具有《医疗器械注册证》或者《医疗器械备案凭证》(原件扫描加盖电子公章);</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(2)若投标供应商为代理商，须具有有效的《医疗器械经营许可证》或《医疗器械经营备案凭证》(原件扫描加盖电子公章);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(3)若投标供应商为生产商，须具有有效的《医疗器械生产许可证》或《生产备案凭证》(如有医疗器械生产产品登记表的须一并提供)(原件扫描加盖电子公章)。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ascii="宋体" w:hAnsi="宋体" w:eastAsia="宋体" w:cs="宋体"/>
          <w:color w:val="auto"/>
          <w:highlight w:val="none"/>
        </w:rPr>
        <w:t xml:space="preserve">拒绝下述供应商参加本次招标活动：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（1）单位负责人为同一人或者存在直接控股、管理关系的不同供应商，不得参加同一合同项下的政府采购活动。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（2）为采购项目提供整体设计、规范编制或者项目管理、监理、检测等服务的供应商，不得参加本项目的采购活动。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 xml:space="preserve">失信主体</w:t>
      </w:r>
      <w:r>
        <w:rPr>
          <w:rFonts w:ascii="宋体" w:hAnsi="宋体" w:eastAsia="宋体" w:cs="宋体"/>
          <w:color w:val="auto"/>
          <w:highlight w:val="none"/>
        </w:rPr>
        <w:t xml:space="preserve">名单、政府采购严重违法失信行为记录名单。</w:t>
      </w:r>
      <w:r/>
    </w:p>
    <w:p>
      <w:pPr>
        <w:ind w:firstLine="42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lang w:val="en-US" w:eastAsia="zh-CN"/>
        </w:rPr>
        <w:t xml:space="preserve">招标文件公告发布之日起5个工作日</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3.3方式：本项目采用网上注册登记方式免费获取</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4.1 </w:t>
      </w:r>
      <w:r>
        <w:rPr>
          <w:rFonts w:hint="eastAsia" w:ascii="宋体" w:hAnsi="宋体" w:eastAsia="宋体" w:cs="宋体"/>
          <w:color w:val="auto"/>
          <w:highlight w:val="none"/>
          <w:u w:val="single"/>
          <w:lang w:eastAsia="zh-CN"/>
        </w:rPr>
        <w:t xml:space="preserve">2026年</w:t>
      </w:r>
      <w:r>
        <w:rPr>
          <w:rFonts w:hint="eastAsia" w:ascii="宋体" w:hAnsi="宋体" w:eastAsia="宋体" w:cs="宋体"/>
          <w:color w:val="auto"/>
          <w:highlight w:val="none"/>
          <w:u w:val="single"/>
          <w:lang w:val="en-US" w:eastAsia="zh-CN"/>
        </w:rPr>
        <w:t xml:space="preserve">11</w:t>
      </w:r>
      <w:r>
        <w:rPr>
          <w:rFonts w:hint="eastAsia" w:ascii="宋体" w:hAnsi="宋体" w:eastAsia="宋体" w:cs="宋体"/>
          <w:color w:val="auto"/>
          <w:highlight w:val="none"/>
          <w:u w:val="single"/>
          <w:lang w:eastAsia="zh-CN"/>
        </w:rPr>
        <w:t xml:space="preserve">月</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14</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682"/>
          <w:rFonts w:ascii="宋体" w:hAnsi="宋体" w:eastAsia="宋体" w:cs="宋体"/>
          <w:color w:val="auto"/>
          <w:spacing w:val="8"/>
          <w:highlight w:val="none"/>
        </w:rPr>
        <w:t xml:space="preserve">http://jszfcg.jsczt.cn/）</w:t>
      </w:r>
      <w:r>
        <w:rPr>
          <w:rStyle w:val="682"/>
          <w:rFonts w:ascii="宋体" w:hAnsi="宋体" w:eastAsia="宋体" w:cs="宋体"/>
          <w:color w:val="auto"/>
          <w:spacing w:val="8"/>
          <w:highlight w:val="none"/>
        </w:rPr>
        <w:fldChar w:fldCharType="end"/>
      </w:r>
      <w:r/>
    </w:p>
    <w:p>
      <w:pPr>
        <w:ind w:firstLine="37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4.3开标地点：“苏采云”开标大厅</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6.1本项目在 南京公共采购信息网、江苏政府采购网、中国政府采购网 网站发布公告。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w:instrText>
      </w:r>
      <w:r>
        <w:rPr>
          <w:color w:val="auto"/>
          <w:highlight w:val="none"/>
        </w:rPr>
        <w:instrText xml:space="preserve">%8F%E7%9C%81%E6%94%BF%E5%BA%9C%E9%87%87%E8%B4%AD%E6%95%B0%E5%AD%97%E8%AF%81%E4%B9%A6%E5%8F%8A%E7%94%B5%E5%AD%90%E7%AD%BE%E7%AB%A0%E7%9A%84%EF%BC%8C%E8%AF%A6%E8%A7%81%E8%8B%8F%E9%87%87%E4%BA%91%E5%AE%98%E7%BD%91%E9%A6%96%E9%A1%B5%E2%80%9C%E6%96%B0CA%E5%8A%9</w:instrText>
      </w:r>
      <w:r>
        <w:rPr>
          <w:color w:val="auto"/>
          <w:highlight w:val="none"/>
        </w:rPr>
        <w:instrText xml:space="preserve">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682"/>
          <w:rFonts w:ascii="宋体" w:hAnsi="宋体" w:eastAsia="宋体" w:cs="宋体"/>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82"/>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682"/>
          <w:rFonts w:ascii="宋体" w:hAnsi="宋体" w:eastAsia="宋体" w:cs="宋体"/>
          <w:color w:val="auto"/>
          <w:highlight w:val="none"/>
        </w:rPr>
        <w:t xml:space="preserve">http://www.ccgp-jiangsu.gov.cn/jiangsu/zlxz/ee/ee3a4bc5a3454aa2b0d9312230633ce9.html</w:t>
      </w:r>
      <w:r>
        <w:rPr>
          <w:rStyle w:val="682"/>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6.3 勘察现场：无</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color w:val="auto"/>
          <w:sz w:val="21"/>
          <w:szCs w:val="21"/>
          <w:highlight w:val="none"/>
          <w:shd w:val="clear" w:color="auto" w:fill="ffffff"/>
          <w:lang w:val="en-US" w:eastAsia="zh-CN"/>
        </w:rPr>
        <w:t xml:space="preserve">6.4</w:t>
      </w:r>
      <w:r>
        <w:rPr>
          <w:rFonts w:asciiTheme="minorEastAsia" w:hAnsiTheme="minorEastAsia" w:eastAsiaTheme="minorEastAsia"/>
          <w:color w:val="auto"/>
          <w:sz w:val="21"/>
          <w:szCs w:val="21"/>
          <w:highlight w:val="none"/>
          <w:shd w:val="clear" w:color="auto" w:fill="ffffff"/>
        </w:rPr>
        <w:t xml:space="preserve">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 xml:space="preserve">2021</w:t>
      </w:r>
      <w:r>
        <w:rPr>
          <w:rFonts w:asciiTheme="minorEastAsia" w:hAnsiTheme="minorEastAsia" w:eastAsiaTheme="minorEastAsia"/>
          <w:color w:val="auto"/>
          <w:sz w:val="21"/>
          <w:szCs w:val="21"/>
          <w:highlight w:val="none"/>
          <w:shd w:val="clear" w:color="auto" w:fill="ffffff"/>
        </w:rPr>
        <w:t xml:space="preserve">〕</w:t>
      </w:r>
      <w:r>
        <w:rPr>
          <w:rFonts w:cs="Arial" w:asciiTheme="minorEastAsia" w:hAnsiTheme="minorEastAsia" w:eastAsiaTheme="minorEastAsia"/>
          <w:color w:val="auto"/>
          <w:sz w:val="21"/>
          <w:szCs w:val="21"/>
          <w:highlight w:val="none"/>
          <w:shd w:val="clear" w:color="auto" w:fill="ffffff"/>
        </w:rPr>
        <w:t xml:space="preserve">5</w:t>
      </w:r>
      <w:r>
        <w:rPr>
          <w:rFonts w:asciiTheme="minorEastAsia" w:hAnsiTheme="minorEastAsia" w:eastAsiaTheme="minorEastAsia"/>
          <w:color w:val="auto"/>
          <w:sz w:val="21"/>
          <w:szCs w:val="21"/>
          <w:highlight w:val="none"/>
          <w:shd w:val="clear" w:color="auto" w:fill="ffffff"/>
        </w:rPr>
        <w:t xml:space="preserve">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 xml:space="preserve">详见第六章附件十</w:t>
      </w:r>
      <w:r>
        <w:rPr>
          <w:rFonts w:hint="eastAsia" w:asciiTheme="minorEastAsia" w:hAnsiTheme="minorEastAsia"/>
          <w:color w:val="auto"/>
          <w:sz w:val="21"/>
          <w:szCs w:val="21"/>
          <w:highlight w:val="none"/>
          <w:shd w:val="clear" w:color="auto" w:fill="ffffff"/>
          <w:lang w:val="en-US" w:eastAsia="zh-CN"/>
        </w:rPr>
        <w:t xml:space="preserve">四</w:t>
      </w:r>
      <w:r>
        <w:rPr>
          <w:rFonts w:asciiTheme="minorEastAsia" w:hAnsiTheme="minorEastAsia" w:eastAsiaTheme="minorEastAsia"/>
          <w:color w:val="auto"/>
          <w:sz w:val="21"/>
          <w:szCs w:val="21"/>
          <w:highlight w:val="none"/>
          <w:shd w:val="clear" w:color="auto" w:fill="ffffff"/>
        </w:rPr>
        <w:t xml:space="preserve">《南京市政府采购供应商信用记录表暨信用承诺书》，由法定代表人签字并盖单位公章，随投标文件一并递交。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 xml:space="preserve">未按要求提供《南京市政府采购供应商信用记录表暨信用承诺书》则该供应商投标文件按无效投标处理。</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在政府采购资格审查环节，供应商只需提供书面《南京市政府采购供应商信用记录表暨信用承诺书》，即可替代以下证明材料：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符合国家相关规定的财务状况报告</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依法缴纳税收的证明材料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依法缴纳社会保障资金的证明材料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具备履行政府采购合同所必需的设备和专业技术能力的证明材料；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参加政府采购活动前三年内在经营活动中没有重大违法记录的证明材料；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未被列入失信被执行人、</w:t>
      </w:r>
      <w:r>
        <w:rPr>
          <w:rFonts w:hint="eastAsia" w:asciiTheme="minorEastAsia" w:hAnsiTheme="minorEastAsia" w:eastAsiaTheme="minorEastAsia"/>
          <w:color w:val="auto"/>
          <w:sz w:val="21"/>
          <w:szCs w:val="21"/>
          <w:highlight w:val="none"/>
          <w:shd w:val="clear" w:color="auto" w:fill="ffffff"/>
        </w:rPr>
        <w:t xml:space="preserve">重大税收违法失信主体名单</w:t>
      </w:r>
      <w:r>
        <w:rPr>
          <w:rFonts w:asciiTheme="minorEastAsia" w:hAnsiTheme="minorEastAsia" w:eastAsiaTheme="minorEastAsia"/>
          <w:color w:val="auto"/>
          <w:sz w:val="21"/>
          <w:szCs w:val="21"/>
          <w:highlight w:val="none"/>
          <w:shd w:val="clear" w:color="auto" w:fill="ffffff"/>
        </w:rPr>
        <w:t xml:space="preserve">、政府采购严重违法失信行为记录名单的证明材料。</w:t>
      </w:r>
      <w:r/>
    </w:p>
    <w:p>
      <w:pPr>
        <w:pStyle w:val="676"/>
        <w:ind w:firstLine="363"/>
        <w:jc w:val="both"/>
        <w:spacing w:before="0" w:beforeAutospacing="0" w:after="0" w:afterAutospacing="0" w:line="460" w:lineRule="atLeast"/>
        <w:shd w:val="clear" w:color="auto" w:fill="ffffff"/>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根据宁财购通</w:t>
      </w:r>
      <w:r>
        <w:rPr>
          <w:rFonts w:cs="Arial" w:asciiTheme="minorEastAsia" w:hAnsiTheme="minorEastAsia" w:eastAsiaTheme="minorEastAsia"/>
          <w:color w:val="auto"/>
          <w:sz w:val="21"/>
          <w:szCs w:val="21"/>
          <w:highlight w:val="none"/>
          <w:shd w:val="clear" w:color="auto" w:fill="ffffff"/>
        </w:rPr>
        <w:t xml:space="preserve">[2021]5</w:t>
      </w:r>
      <w:r>
        <w:rPr>
          <w:rFonts w:asciiTheme="minorEastAsia" w:hAnsiTheme="minorEastAsia" w:eastAsiaTheme="minorEastAsia"/>
          <w:color w:val="auto"/>
          <w:sz w:val="21"/>
          <w:szCs w:val="21"/>
          <w:highlight w:val="none"/>
          <w:shd w:val="clear" w:color="auto" w:fill="ffffff"/>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供应商涉及</w:t>
      </w:r>
      <w:r>
        <w:rPr>
          <w:rFonts w:hint="eastAsia" w:asciiTheme="minorEastAsia" w:hAnsiTheme="minorEastAsia" w:eastAsiaTheme="minorEastAsia"/>
          <w:b/>
          <w:bCs/>
          <w:color w:val="auto"/>
          <w:sz w:val="21"/>
          <w:szCs w:val="21"/>
          <w:highlight w:val="none"/>
          <w:shd w:val="clear" w:color="auto" w:fill="ffffff"/>
          <w:lang w:val="en-US" w:eastAsia="zh-CN"/>
        </w:rPr>
        <w:t xml:space="preserve">以</w:t>
      </w:r>
      <w:r>
        <w:rPr>
          <w:rFonts w:asciiTheme="minorEastAsia" w:hAnsiTheme="minorEastAsia" w:eastAsiaTheme="minorEastAsia"/>
          <w:b/>
          <w:bCs/>
          <w:color w:val="auto"/>
          <w:sz w:val="21"/>
          <w:szCs w:val="21"/>
          <w:highlight w:val="none"/>
          <w:shd w:val="clear" w:color="auto" w:fill="ffffff"/>
        </w:rPr>
        <w:t xml:space="preserve">下情形的，不适用信用承诺：</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供应商被列入严重失信主体名单；</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 xml:space="preserve">处罚</w:t>
      </w:r>
      <w:r>
        <w:rPr>
          <w:rFonts w:asciiTheme="minorEastAsia" w:hAnsiTheme="minorEastAsia" w:eastAsiaTheme="minorEastAsia"/>
          <w:b/>
          <w:bCs/>
          <w:color w:val="auto"/>
          <w:sz w:val="21"/>
          <w:szCs w:val="21"/>
          <w:highlight w:val="none"/>
          <w:shd w:val="clear" w:color="auto" w:fill="ffffff"/>
        </w:rPr>
        <w:t xml:space="preserve">有效期内；</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被其他法律、行政法规规定的不适用信用承诺的情形。</w:t>
      </w:r>
      <w:r/>
    </w:p>
    <w:p>
      <w:pPr>
        <w:pStyle w:val="676"/>
        <w:ind w:firstLine="365"/>
        <w:jc w:val="both"/>
        <w:spacing w:before="0" w:beforeAutospacing="0" w:after="0" w:afterAutospacing="0" w:line="460" w:lineRule="atLeast"/>
        <w:shd w:val="clear" w:color="auto" w:fill="ffffff"/>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供应商对信用承诺内容的真实性、合法性、有效性负责。如作出虚假信用承诺，视同为“提供虚假材料谋取中标、成交”的违法行为。</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七、对本次招标提出询问，请按以下方式联系</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7.1采购人信息</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lang w:eastAsia="zh-CN"/>
        </w:rPr>
        <w:t xml:space="preserve">南京市江宁妇幼保健院</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南京市江宁区秣陵街道双金社区佑宁路1号</w:t>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val="en-US" w:eastAsia="zh-CN"/>
        </w:rPr>
        <w:t xml:space="preserve"> 沙老师025-52289689</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江苏省设备成套股份有限公司</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址：南京市鼓楼区清江南路18号鼓楼创新广场D栋1004室</w:t>
      </w:r>
      <w:r/>
    </w:p>
    <w:p>
      <w:pPr>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电子邮箱：</w:t>
      </w:r>
      <w:r>
        <w:rPr>
          <w:rFonts w:hint="eastAsia" w:ascii="宋体" w:hAnsi="宋体" w:eastAsia="宋体" w:cs="宋体"/>
          <w:color w:val="auto"/>
          <w:spacing w:val="8"/>
          <w:highlight w:val="none"/>
          <w:lang w:val="en-US" w:eastAsia="zh-CN"/>
        </w:rPr>
        <w:t xml:space="preserve">2277893572</w:t>
      </w:r>
      <w:r>
        <w:rPr>
          <w:rFonts w:ascii="宋体" w:hAnsi="宋体" w:eastAsia="宋体" w:cs="宋体"/>
          <w:color w:val="auto"/>
          <w:spacing w:val="8"/>
          <w:highlight w:val="none"/>
        </w:rPr>
        <w:t xml:space="preserve">@qq.com</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lang w:eastAsia="zh-CN"/>
        </w:rPr>
        <w:t xml:space="preserve">汪惠子</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　话：</w:t>
      </w:r>
      <w:r>
        <w:rPr>
          <w:rFonts w:hint="eastAsia" w:ascii="宋体" w:hAnsi="宋体" w:eastAsia="宋体" w:cs="宋体"/>
          <w:color w:val="auto"/>
          <w:spacing w:val="8"/>
          <w:highlight w:val="none"/>
          <w:lang w:val="en-US" w:eastAsia="zh-CN"/>
        </w:rPr>
        <w:t xml:space="preserve">13655172889</w:t>
      </w:r>
      <w:r>
        <w:rPr>
          <w:rFonts w:ascii="宋体" w:hAnsi="宋体" w:eastAsia="宋体" w:cs="宋体"/>
          <w:color w:val="auto"/>
          <w:spacing w:val="8"/>
          <w:highlight w:val="none"/>
        </w:rPr>
        <w:t xml:space="preserve"> </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采购代理机构：江苏省设备成套股份有限公司</w:t>
      </w:r>
      <w:r/>
    </w:p>
    <w:p>
      <w:pPr>
        <w:ind w:firstLine="452"/>
        <w:jc w:val="center"/>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 xml:space="preserve">2026年</w:t>
      </w:r>
      <w:r>
        <w:rPr>
          <w:rFonts w:hint="eastAsia" w:ascii="宋体" w:hAnsi="宋体" w:eastAsia="宋体" w:cs="宋体"/>
          <w:color w:val="auto"/>
          <w:spacing w:val="8"/>
          <w:highlight w:val="none"/>
          <w:lang w:val="en-US" w:eastAsia="zh-CN"/>
        </w:rPr>
        <w:t xml:space="preserve">10</w:t>
      </w:r>
      <w:r>
        <w:rPr>
          <w:rFonts w:hint="eastAsia" w:ascii="宋体" w:hAnsi="宋体" w:eastAsia="宋体" w:cs="宋体"/>
          <w:color w:val="auto"/>
          <w:spacing w:val="8"/>
          <w:highlight w:val="none"/>
          <w:lang w:eastAsia="zh-CN"/>
        </w:rPr>
        <w:t xml:space="preserve">月</w:t>
      </w:r>
      <w:r>
        <w:rPr>
          <w:rFonts w:hint="eastAsia" w:ascii="宋体" w:hAnsi="宋体" w:eastAsia="宋体" w:cs="宋体"/>
          <w:color w:val="auto"/>
          <w:spacing w:val="8"/>
          <w:highlight w:val="none"/>
          <w:lang w:val="en-US" w:eastAsia="zh-CN"/>
        </w:rPr>
        <w:t xml:space="preserve">12</w:t>
      </w:r>
      <w:r>
        <w:rPr>
          <w:rFonts w:ascii="宋体" w:hAnsi="宋体" w:eastAsia="宋体" w:cs="宋体"/>
          <w:color w:val="auto"/>
          <w:spacing w:val="8"/>
          <w:highlight w:val="none"/>
        </w:rPr>
        <w:t xml:space="preserve">日</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0" w:name="_Toc513029203"/>
      <w:r/>
      <w:bookmarkStart w:id="1" w:name="_Toc120614214"/>
      <w:r/>
      <w:bookmarkStart w:id="2" w:name="_Toc20823275"/>
      <w:r/>
      <w:bookmarkStart w:id="3" w:name="_Toc16938519"/>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513029204"/>
      <w:r/>
      <w:bookmarkStart w:id="7" w:name="_Toc16938520"/>
      <w:r/>
      <w:bookmarkStart w:id="8" w:name="_Toc20823276"/>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 w:name="_Toc16938521"/>
      <w:r/>
      <w:bookmarkStart w:id="10" w:name="_Toc20823277"/>
      <w:r/>
      <w:bookmarkStart w:id="11" w:name="_Toc513029205"/>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满足招标公告对供应商资格要求的规定。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满足招标文件规定的实质性要求和条件。</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 w:name="_Toc16938522"/>
      <w:r/>
      <w:bookmarkStart w:id="13" w:name="_Toc20823278"/>
      <w:r/>
      <w:bookmarkStart w:id="14" w:name="_Toc513029206"/>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5" w:name="_Toc462564067"/>
      <w:r/>
      <w:bookmarkStart w:id="16" w:name="_Toc20823279"/>
      <w:r/>
      <w:bookmarkStart w:id="17" w:name="_Toc16938523"/>
      <w:r/>
      <w:bookmarkStart w:id="18" w:name="_Toc513029207"/>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在任何情况下均无义务和责任承担这些费用。</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9" w:name="_Toc16938525"/>
      <w:r/>
      <w:bookmarkStart w:id="20" w:name="_Toc20823281"/>
      <w:r/>
      <w:bookmarkStart w:id="21" w:name="_Toc513029209"/>
      <w:r/>
      <w:bookmarkStart w:id="22" w:name="_Toc120614215"/>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3" w:name="_Toc20823282"/>
      <w:r/>
      <w:bookmarkStart w:id="24" w:name="_Toc513029210"/>
      <w:r/>
      <w:bookmarkStart w:id="25" w:name="_Toc16938526"/>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ind w:left="0" w:firstLine="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招标公告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（3）评标标准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left="0" w:firstLine="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（5）合同</w:t>
      </w:r>
      <w:r>
        <w:rPr>
          <w:rFonts w:hint="eastAsia" w:ascii="宋体" w:hAnsi="宋体" w:eastAsia="宋体" w:cs="宋体"/>
          <w:color w:val="auto"/>
          <w:sz w:val="21"/>
          <w:szCs w:val="21"/>
          <w:highlight w:val="none"/>
          <w:lang w:eastAsia="zh-CN"/>
        </w:rPr>
        <w:t xml:space="preserve">主要条款及格式</w:t>
      </w:r>
      <w:r/>
    </w:p>
    <w:p>
      <w:pPr>
        <w:ind w:left="0" w:firstLine="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（6）投标文件格式</w:t>
      </w:r>
      <w:r>
        <w:rPr>
          <w:rFonts w:hint="eastAsia" w:ascii="宋体" w:hAnsi="宋体" w:eastAsia="宋体" w:cs="宋体"/>
          <w:color w:val="auto"/>
          <w:sz w:val="21"/>
          <w:szCs w:val="21"/>
          <w:highlight w:val="none"/>
          <w:lang w:eastAsia="zh-CN"/>
        </w:rPr>
        <w:t xml:space="preserve">及附件</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投标人应仔细检查招标文件是否齐全，如有缺漏请立即与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联系。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6" w:name="_Toc16938527"/>
      <w:r/>
      <w:bookmarkStart w:id="27" w:name="_Toc20823283"/>
      <w:r/>
      <w:bookmarkStart w:id="28" w:name="_Toc513029211"/>
      <w:r/>
      <w:bookmarkStart w:id="29" w:name="_Toc462564070"/>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0" w:name="_Toc462564071"/>
      <w:r/>
      <w:bookmarkStart w:id="31" w:name="_Toc513029212"/>
      <w:r/>
      <w:bookmarkStart w:id="32" w:name="_Toc20823284"/>
      <w:r/>
      <w:bookmarkStart w:id="33" w:name="_Toc16938528"/>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ind w:left="0" w:firstLine="0"/>
        <w:jc w:val="left"/>
        <w:pageBreakBefore w:val="0"/>
        <w:spacing w:line="360" w:lineRule="auto"/>
        <w:rPr>
          <w:rFonts w:hint="eastAsia" w:ascii="宋体" w:hAnsi="宋体" w:eastAsia="宋体" w:cs="宋体"/>
          <w:color w:val="auto"/>
          <w:sz w:val="21"/>
          <w:szCs w:val="21"/>
          <w:highlight w:val="none"/>
        </w:rPr>
      </w:pPr>
      <w:r/>
      <w:bookmarkStart w:id="34" w:name="_Toc462564072"/>
      <w:r/>
      <w:bookmarkStart w:id="35" w:name="_Toc16938529"/>
      <w:r/>
      <w:bookmarkStart w:id="36" w:name="_Toc513029213"/>
      <w:r/>
      <w:bookmarkStart w:id="37" w:name="_Toc20823285"/>
      <w:r/>
      <w:bookmarkStart w:id="38" w:name="_Toc120614216"/>
      <w:r>
        <w:rPr>
          <w:rFonts w:hint="eastAsia" w:ascii="宋体" w:hAnsi="宋体" w:eastAsia="宋体" w:cs="宋体"/>
          <w:color w:val="auto"/>
          <w:sz w:val="21"/>
          <w:szCs w:val="21"/>
          <w:highlight w:val="none"/>
        </w:rPr>
        <w:t xml:space="preserve">8.1 在投标截止时间前，</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可以对招标文件进行修改。招标文件的修改将在原公告媒体发布更正公告，更正内容将作为招标文件的组成部分，并对投标人具有约束力。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有权按照法定的要求推迟投标截止日期和开标日期，并在原公告媒体发布更正公告。</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9" w:name="_Toc16938530"/>
      <w:r/>
      <w:bookmarkStart w:id="40" w:name="_Toc462564073"/>
      <w:r/>
      <w:bookmarkStart w:id="41" w:name="_Toc20823286"/>
      <w:r/>
      <w:bookmarkStart w:id="42" w:name="_Toc513029214"/>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投标人提交的投标文件以及投标人与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就有关投标的所有来往通知、函件和文件均应使用简体中文。</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3" w:name="_Toc462564074"/>
      <w:r/>
      <w:bookmarkStart w:id="44" w:name="_Toc20823287"/>
      <w:r/>
      <w:bookmarkStart w:id="45" w:name="_Toc513029215"/>
      <w:r/>
      <w:bookmarkStart w:id="46" w:name="_Toc16938531"/>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7" w:name="_Hlt26954838"/>
      <w:r/>
      <w:bookmarkEnd w:id="47"/>
      <w:r/>
      <w:bookmarkStart w:id="48" w:name="_Hlt26668975"/>
      <w:r/>
      <w:bookmarkEnd w:id="48"/>
      <w:r/>
      <w:bookmarkStart w:id="49" w:name="_Hlt26670360"/>
      <w:r/>
      <w:bookmarkEnd w:id="49"/>
      <w:r/>
      <w:bookmarkStart w:id="50" w:name="_Toc513029219"/>
      <w:r/>
      <w:bookmarkStart w:id="51" w:name="_Toc49090509"/>
      <w:r/>
      <w:bookmarkStart w:id="52" w:name="_Toc14577357"/>
      <w:r/>
      <w:bookmarkStart w:id="53" w:name="_Toc513029216"/>
      <w:r/>
      <w:bookmarkStart w:id="54" w:name="_Toc49090507"/>
      <w:r/>
      <w:bookmarkStart w:id="55" w:name="_Toc14577354"/>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ind w:left="0" w:firstLine="0"/>
        <w:jc w:val="left"/>
        <w:pageBreakBefore w:val="0"/>
        <w:spacing w:line="360" w:lineRule="auto"/>
        <w:rPr>
          <w:rFonts w:hint="eastAsia" w:ascii="宋体" w:hAnsi="宋体" w:eastAsia="宋体" w:cs="宋体"/>
          <w:color w:val="auto"/>
          <w:sz w:val="21"/>
          <w:szCs w:val="21"/>
          <w:highlight w:val="none"/>
        </w:rPr>
      </w:pPr>
      <w:r/>
      <w:bookmarkStart w:id="56" w:name="_Toc14577355"/>
      <w:r/>
      <w:bookmarkStart w:id="57" w:name="_Toc49090508"/>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w:t>
      </w:r>
      <w:bookmarkStart w:id="59" w:name="_Hlt26954840"/>
      <w:r/>
      <w:bookmarkEnd w:id="59"/>
      <w:r>
        <w:rPr>
          <w:rFonts w:hint="eastAsia" w:ascii="宋体" w:hAnsi="宋体" w:eastAsia="宋体" w:cs="宋体"/>
          <w:color w:val="auto"/>
          <w:sz w:val="21"/>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61" w:name="_Hlt26954731"/>
      <w:r/>
      <w:bookmarkEnd w:id="61"/>
      <w:r/>
      <w:bookmarkStart w:id="62" w:name="_Hlt26668983"/>
      <w:r/>
      <w:bookmarkEnd w:id="62"/>
      <w:r/>
      <w:bookmarkStart w:id="63" w:name="_Hlt26954844"/>
      <w:r/>
      <w:bookmarkEnd w:id="63"/>
      <w:r/>
      <w:bookmarkStart w:id="64" w:name="_Hlt26670482"/>
      <w:r/>
      <w:bookmarkEnd w:id="64"/>
      <w:r/>
      <w:bookmarkStart w:id="65" w:name="_Hlt26670403"/>
      <w:r/>
      <w:bookmarkEnd w:id="65"/>
      <w:r/>
      <w:bookmarkStart w:id="66" w:name="_Hlt26954846"/>
      <w:r/>
      <w:bookmarkEnd w:id="66"/>
      <w:r/>
      <w:bookmarkStart w:id="67" w:name="_Hlt26954842"/>
      <w:r/>
      <w:bookmarkEnd w:id="67"/>
      <w:r/>
      <w:bookmarkStart w:id="68" w:name="_Hlt26670425"/>
      <w:r/>
      <w:bookmarkEnd w:id="68"/>
      <w:r/>
      <w:bookmarkStart w:id="69" w:name="_Hlt26954848"/>
      <w:r/>
      <w:bookmarkEnd w:id="69"/>
      <w:r/>
      <w:bookmarkStart w:id="70" w:name="_Hlt26670486"/>
      <w:r/>
      <w:bookmarkEnd w:id="70"/>
      <w:r>
        <w:rPr>
          <w:rFonts w:hint="eastAsia" w:ascii="宋体" w:hAnsi="宋体" w:eastAsia="宋体" w:cs="宋体"/>
          <w:color w:val="auto"/>
          <w:sz w:val="21"/>
          <w:szCs w:val="21"/>
          <w:highlight w:val="none"/>
          <w:lang w:eastAsia="zh-CN"/>
        </w:rPr>
        <w:t xml:space="preserve">13.响应及偏离表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13.1 投标人需对招标文件中的技术要求与商务要求逐项作出响应或偏离说明。</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投标人可以在投标文件中提供认为需要的其他技术文件或说明。</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1" w:name="_Toc14577359"/>
      <w:r/>
      <w:bookmarkStart w:id="72" w:name="_Toc49090510"/>
      <w:r>
        <w:rPr>
          <w:rFonts w:hint="eastAsia" w:ascii="宋体" w:hAnsi="宋体" w:eastAsia="宋体" w:cs="宋体"/>
          <w:color w:val="auto"/>
          <w:sz w:val="21"/>
          <w:szCs w:val="21"/>
          <w:highlight w:val="none"/>
          <w:lang w:eastAsia="zh-CN"/>
        </w:rPr>
        <w:t xml:space="preserve">14.投标函和开标一览表及核心产品品牌一览表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 投标人应按照招标文件规定格式完整、正确填报投标函、开标一览表及核心产品品牌一览表。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zh-CN"/>
        </w:rPr>
        <w:t xml:space="preserve">开标一览表中价格为准。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 核心产品品牌一览表中所投核心产品品牌缺项的将视为无效投标。</w:t>
      </w:r>
      <w:bookmarkEnd w:id="71"/>
      <w:bookmarkEnd w:id="72"/>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3" w:name="_Hlt26670489"/>
      <w:r/>
      <w:bookmarkEnd w:id="73"/>
      <w:r/>
      <w:bookmarkStart w:id="74" w:name="_Hlt26954734"/>
      <w:r/>
      <w:bookmarkEnd w:id="74"/>
      <w:r/>
      <w:bookmarkStart w:id="75" w:name="_Hlt26954850"/>
      <w:r/>
      <w:bookmarkEnd w:id="75"/>
      <w:r/>
      <w:bookmarkStart w:id="76" w:name="_Toc14577360"/>
      <w:r/>
      <w:bookmarkStart w:id="77" w:name="_Toc49090511"/>
      <w:r>
        <w:rPr>
          <w:rFonts w:hint="eastAsia" w:ascii="宋体" w:hAnsi="宋体" w:eastAsia="宋体" w:cs="宋体"/>
          <w:color w:val="auto"/>
          <w:sz w:val="21"/>
          <w:szCs w:val="21"/>
          <w:highlight w:val="none"/>
          <w:lang w:eastAsia="zh-CN"/>
        </w:rPr>
        <w:t xml:space="preserve">15.投标有效期</w:t>
      </w:r>
      <w:bookmarkEnd w:id="76"/>
      <w:r/>
      <w:bookmarkEnd w:id="77"/>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 投标有效期为</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规定的开标之日</w:t>
      </w:r>
      <w:r>
        <w:rPr>
          <w:rFonts w:hint="eastAsia" w:ascii="宋体" w:hAnsi="宋体" w:eastAsia="宋体" w:cs="宋体"/>
          <w:color w:val="auto"/>
          <w:sz w:val="21"/>
          <w:szCs w:val="21"/>
          <w:highlight w:val="none"/>
        </w:rPr>
        <w:t xml:space="preserve">起</w:t>
      </w:r>
      <w:r>
        <w:rPr>
          <w:rFonts w:hint="eastAsia" w:ascii="宋体" w:hAnsi="宋体" w:eastAsia="宋体" w:cs="宋体"/>
          <w:color w:val="auto"/>
          <w:sz w:val="21"/>
          <w:szCs w:val="21"/>
          <w:highlight w:val="none"/>
          <w:lang w:val="zh-CN"/>
        </w:rPr>
        <w:t xml:space="preserve">六十天。投标有效期比规定短的将被视为未实质性响应招标文件而</w:t>
      </w:r>
      <w:r>
        <w:rPr>
          <w:rFonts w:hint="eastAsia" w:ascii="宋体" w:hAnsi="宋体" w:eastAsia="宋体" w:cs="宋体"/>
          <w:color w:val="auto"/>
          <w:sz w:val="21"/>
          <w:szCs w:val="21"/>
          <w:highlight w:val="none"/>
        </w:rPr>
        <w:t xml:space="preserve">被</w:t>
      </w:r>
      <w:r>
        <w:rPr>
          <w:rFonts w:hint="eastAsia" w:ascii="宋体" w:hAnsi="宋体" w:eastAsia="宋体" w:cs="宋体"/>
          <w:color w:val="auto"/>
          <w:sz w:val="21"/>
          <w:szCs w:val="21"/>
          <w:highlight w:val="none"/>
          <w:lang w:val="zh-CN"/>
        </w:rPr>
        <w:t xml:space="preserve">拒绝。</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78" w:name="_Hlt26954852"/>
      <w:r/>
      <w:bookmarkEnd w:id="78"/>
      <w:r/>
      <w:bookmarkStart w:id="79" w:name="_Hlt26954739"/>
      <w:r/>
      <w:bookmarkEnd w:id="79"/>
      <w:r/>
      <w:bookmarkStart w:id="80" w:name="_Toc20823296"/>
      <w:r/>
      <w:bookmarkStart w:id="81" w:name="_Toc16938540"/>
      <w:r/>
      <w:bookmarkStart w:id="82" w:name="_Toc513029224"/>
      <w:r/>
      <w:bookmarkStart w:id="83" w:name="_Toc120614217"/>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84" w:name="_Toc462564084"/>
      <w:r/>
      <w:bookmarkStart w:id="85" w:name="_Toc513029225"/>
      <w:r/>
      <w:bookmarkStart w:id="86" w:name="_Toc16938541"/>
      <w:r/>
      <w:bookmarkStart w:id="87" w:name="_Toc20823297"/>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投标人应当按照《操作手册》规定，在招标公告规定的投标截止时间前制作并上传电子投标文件。</w:t>
      </w:r>
      <w:bookmarkStart w:id="88" w:name="_Toc16938542"/>
      <w:r/>
      <w:bookmarkEnd w:id="88"/>
      <w:r/>
      <w:bookmarkStart w:id="89" w:name="_Toc513029226"/>
      <w:r/>
      <w:bookmarkEnd w:id="89"/>
      <w:r/>
      <w:bookmarkStart w:id="90" w:name="_Toc20823298"/>
      <w:r/>
      <w:bookmarkEnd w:id="90"/>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 xml:space="preserve">可能对投标产生的影响</w:t>
      </w:r>
      <w:r>
        <w:rPr>
          <w:rFonts w:hint="eastAsia" w:ascii="宋体" w:hAnsi="宋体" w:eastAsia="宋体" w:cs="宋体"/>
          <w:color w:val="auto"/>
          <w:sz w:val="21"/>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.1条规定做无效投标处理。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1" w:name="_Toc20823299"/>
      <w:r/>
      <w:bookmarkStart w:id="92" w:name="_Toc513029227"/>
      <w:r/>
      <w:bookmarkStart w:id="93" w:name="_Toc16938543"/>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投标截止时间后上传的任何投标文件将被拒绝。</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4" w:name="_Toc20823300"/>
      <w:r/>
      <w:bookmarkStart w:id="95" w:name="_Toc513029228"/>
      <w:r/>
      <w:bookmarkStart w:id="96" w:name="_Toc16938544"/>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 投标文件的撤回</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投标人撤回电子投标文件，则认为其不再参与本项目投标活动。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 投标文件的修改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投标人可在投标截止时间前对其电子投标文件进行修改，具体操作方法见《操作手册》。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投标截止时间之后，投标人不得对其电子投标文件作任何修改。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.3 在投标截止时间至招标文件中规定的投标有效期满之间的这段时间内，投标人不得撤回其投标。</w:t>
      </w:r>
      <w:bookmarkStart w:id="97" w:name="_Toc20823301"/>
      <w:r/>
      <w:bookmarkStart w:id="98" w:name="_Toc513029229"/>
      <w:r/>
      <w:bookmarkStart w:id="99" w:name="_Toc16938545"/>
      <w:r/>
      <w:bookmarkStart w:id="100" w:name="_Toc120614218"/>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1" w:name="_Toc16938546"/>
      <w:r/>
      <w:bookmarkStart w:id="102" w:name="_Toc513029230"/>
      <w:r/>
      <w:bookmarkStart w:id="103" w:name="_Toc20823302"/>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 xml:space="preserve">投标人在开标过程中涉及到的投标文件解密、开标结果确认等工作，应按照《操作手册》规定执行。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投标人如果对开标过程和开标</w:t>
      </w:r>
      <w:r>
        <w:rPr>
          <w:rFonts w:hint="eastAsia" w:ascii="宋体" w:hAnsi="宋体" w:eastAsia="宋体" w:cs="宋体"/>
          <w:color w:val="auto"/>
          <w:sz w:val="21"/>
          <w:szCs w:val="21"/>
          <w:highlight w:val="none"/>
        </w:rPr>
        <w:t xml:space="preserve">结果</w:t>
      </w:r>
      <w:r>
        <w:rPr>
          <w:rFonts w:hint="eastAsia" w:ascii="宋体" w:hAnsi="宋体" w:eastAsia="宋体" w:cs="宋体"/>
          <w:color w:val="auto"/>
          <w:sz w:val="21"/>
          <w:szCs w:val="21"/>
          <w:highlight w:val="none"/>
          <w:lang w:val="zh-CN"/>
        </w:rPr>
        <w:t xml:space="preserve">有疑义，应当根据《操作手册》规定提出，苏采云系统中《开标记录表》公布后5分钟内未提出的，视同认可开标结果。</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4" w:name="_Toc20823303"/>
      <w:r/>
      <w:bookmarkStart w:id="105" w:name="_Toc513029231"/>
      <w:r/>
      <w:bookmarkStart w:id="106" w:name="_Toc16938547"/>
      <w:r>
        <w:rPr>
          <w:rFonts w:hint="eastAsia" w:ascii="宋体" w:hAnsi="宋体" w:eastAsia="宋体" w:cs="宋体"/>
          <w:color w:val="auto"/>
          <w:sz w:val="21"/>
          <w:szCs w:val="21"/>
          <w:highlight w:val="none"/>
          <w:lang w:eastAsia="zh-CN"/>
        </w:rPr>
        <w:t xml:space="preserve">21.评标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 xml:space="preserve">评标由依法组建的</w:t>
      </w:r>
      <w:r>
        <w:rPr>
          <w:rFonts w:hint="eastAsia" w:ascii="宋体" w:hAnsi="宋体" w:eastAsia="宋体" w:cs="宋体"/>
          <w:color w:val="auto"/>
          <w:sz w:val="21"/>
          <w:szCs w:val="21"/>
          <w:highlight w:val="none"/>
          <w:lang w:val="zh-CN"/>
        </w:rPr>
        <w:t xml:space="preserve">评标委员会（以下简称“评委会”）进行。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 评委会由采购人代表和有关方面专家组成，人员构成符合政府采购有关规定。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评委会独立工作，负责评审所有投标文件并</w:t>
      </w:r>
      <w:r>
        <w:rPr>
          <w:rFonts w:hint="eastAsia" w:ascii="宋体" w:hAnsi="宋体" w:eastAsia="宋体" w:cs="宋体"/>
          <w:color w:val="auto"/>
          <w:sz w:val="21"/>
          <w:szCs w:val="21"/>
          <w:highlight w:val="none"/>
        </w:rPr>
        <w:t xml:space="preserve">推荐</w:t>
      </w:r>
      <w:r>
        <w:rPr>
          <w:rFonts w:hint="eastAsia" w:ascii="宋体" w:hAnsi="宋体" w:eastAsia="宋体" w:cs="宋体"/>
          <w:color w:val="auto"/>
          <w:sz w:val="21"/>
          <w:szCs w:val="21"/>
          <w:highlight w:val="none"/>
          <w:lang w:val="zh-CN"/>
        </w:rPr>
        <w:t xml:space="preserve">中标候选人，</w:t>
      </w:r>
      <w:r>
        <w:rPr>
          <w:rFonts w:hint="eastAsia" w:ascii="宋体" w:hAnsi="宋体" w:eastAsia="宋体" w:cs="宋体"/>
          <w:color w:val="auto"/>
          <w:sz w:val="21"/>
          <w:szCs w:val="21"/>
          <w:highlight w:val="none"/>
        </w:rPr>
        <w:t xml:space="preserve">或根据采购人授权直接确定中标人</w:t>
      </w:r>
      <w:r>
        <w:rPr>
          <w:rFonts w:hint="eastAsia" w:ascii="宋体" w:hAnsi="宋体" w:eastAsia="宋体" w:cs="宋体"/>
          <w:color w:val="auto"/>
          <w:sz w:val="21"/>
          <w:szCs w:val="21"/>
          <w:highlight w:val="none"/>
          <w:lang w:val="zh-CN"/>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凡是与审查、澄清、评价和比较投标的有关资料以及授标建议等，采购人、评委、招标代理均不得向投标人或与评标无关的其他人员透露。</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投标人不得以任何</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zh-CN"/>
        </w:rPr>
        <w:t xml:space="preserve">影响评标，否则其投标文件将被作为无效投标文件。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 招标代理和评委会不向未中标的投标人解释未中标原因，也不公布评标过程中的相关细节。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lang w:val="zh-CN"/>
        </w:rPr>
        <w:t xml:space="preserve">的评审得分及排</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zh-CN"/>
        </w:rPr>
        <w:t xml:space="preserve">情况。</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7" w:name="_Toc513029232"/>
      <w:r/>
      <w:bookmarkStart w:id="108" w:name="_Toc16938548"/>
      <w:r/>
      <w:bookmarkStart w:id="109" w:name="_Toc20823304"/>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评委会并非对每个投标人都做澄清要求。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需要供应商进行澄清、说明和补正的，评委会将通过苏采云系统向</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发出《澄清要求函》，接到《澄清要求函》的</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应当按照要求在苏采云系统中提交《澄清响应函》并加盖电子公章。澄清、说明和补正的内容作为投标文件的补充部分，具体操作方式见《操作手册》。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 接到评委会澄清、说明和补正要求的，投标人如未按规定</w:t>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lang w:val="zh-CN"/>
        </w:rPr>
        <w:t xml:space="preserve">出澄清、说明和补正，其风险由投标人自行承担。</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10" w:name="_Toc20823305"/>
      <w:r/>
      <w:bookmarkStart w:id="111" w:name="_Toc16938549"/>
      <w:r/>
      <w:bookmarkStart w:id="112" w:name="_Toc513029233"/>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投标文件审查分为资格审查和符合性审查。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资格审查。依据法律法规和招标文件规定，由采购人对投标文件中的资格证明文件进行审查，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向评委会反馈</w:t>
      </w:r>
      <w:r>
        <w:rPr>
          <w:rFonts w:hint="eastAsia" w:ascii="宋体" w:hAnsi="宋体" w:eastAsia="宋体" w:cs="宋体"/>
          <w:color w:val="auto"/>
          <w:sz w:val="21"/>
          <w:szCs w:val="21"/>
          <w:highlight w:val="none"/>
        </w:rPr>
        <w:t xml:space="preserve">审查结论</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采购人进行资格审查时，将在“信用中国”网站（www.creditchina.gov.cn）查询投标人的信用记录，以确定投标人是否具备投标资格，查询结果留存并归档。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接受联合体的项目，联合体成员存在不良信用记录的，视同联合体存在不良</w:t>
      </w: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zh-CN"/>
        </w:rPr>
        <w:t xml:space="preserve">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符合性审查。依据招标文件的规定，由评委会从有效性、完整性和对招标文件的响应程度</w:t>
      </w:r>
      <w:r>
        <w:rPr>
          <w:rFonts w:hint="eastAsia" w:ascii="宋体" w:hAnsi="宋体" w:eastAsia="宋体" w:cs="宋体"/>
          <w:color w:val="auto"/>
          <w:sz w:val="21"/>
          <w:szCs w:val="21"/>
          <w:highlight w:val="none"/>
        </w:rPr>
        <w:t xml:space="preserve">等方面对投标文件</w:t>
      </w:r>
      <w:r>
        <w:rPr>
          <w:rFonts w:hint="eastAsia" w:ascii="宋体" w:hAnsi="宋体" w:eastAsia="宋体" w:cs="宋体"/>
          <w:color w:val="auto"/>
          <w:sz w:val="21"/>
          <w:szCs w:val="21"/>
          <w:highlight w:val="none"/>
          <w:lang w:val="zh-CN"/>
        </w:rPr>
        <w:t xml:space="preserve">进行审查，以确定是否对招标文件的实质性要求作出响应。</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未通过资格审查或符合性审查的投标人，招标代理将</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苏采云系统告知</w:t>
      </w:r>
      <w:r>
        <w:rPr>
          <w:rFonts w:hint="eastAsia" w:ascii="宋体" w:hAnsi="宋体" w:eastAsia="宋体" w:cs="宋体"/>
          <w:color w:val="auto"/>
          <w:sz w:val="21"/>
          <w:szCs w:val="21"/>
          <w:highlight w:val="none"/>
        </w:rPr>
        <w:t xml:space="preserve">其具体</w:t>
      </w:r>
      <w:r>
        <w:rPr>
          <w:rFonts w:hint="eastAsia" w:ascii="宋体" w:hAnsi="宋体" w:eastAsia="宋体" w:cs="宋体"/>
          <w:color w:val="auto"/>
          <w:sz w:val="21"/>
          <w:szCs w:val="21"/>
          <w:highlight w:val="none"/>
          <w:lang w:val="zh-CN"/>
        </w:rPr>
        <w:t xml:space="preserve">原因，评标结束后</w:t>
      </w:r>
      <w:r>
        <w:rPr>
          <w:rFonts w:hint="eastAsia" w:ascii="宋体" w:hAnsi="宋体" w:eastAsia="宋体" w:cs="宋体"/>
          <w:color w:val="auto"/>
          <w:sz w:val="21"/>
          <w:szCs w:val="21"/>
          <w:highlight w:val="none"/>
        </w:rPr>
        <w:t xml:space="preserve">不再接受有关询问</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仅对</w:t>
      </w:r>
      <w:r>
        <w:rPr>
          <w:rFonts w:hint="eastAsia" w:ascii="宋体" w:hAnsi="宋体" w:eastAsia="宋体" w:cs="宋体"/>
          <w:color w:val="auto"/>
          <w:sz w:val="21"/>
          <w:szCs w:val="21"/>
          <w:highlight w:val="none"/>
          <w:lang w:val="zh-CN"/>
        </w:rPr>
        <w:t xml:space="preserve">实质性响应招标文件要求</w:t>
      </w:r>
      <w:r>
        <w:rPr>
          <w:rFonts w:hint="eastAsia" w:ascii="宋体" w:hAnsi="宋体" w:eastAsia="宋体" w:cs="宋体"/>
          <w:color w:val="auto"/>
          <w:sz w:val="21"/>
          <w:szCs w:val="21"/>
          <w:highlight w:val="none"/>
        </w:rPr>
        <w:t xml:space="preserve">的投标文件进行详细评审</w:t>
      </w:r>
      <w:r>
        <w:rPr>
          <w:rFonts w:hint="eastAsia" w:ascii="宋体" w:hAnsi="宋体" w:eastAsia="宋体" w:cs="宋体"/>
          <w:color w:val="auto"/>
          <w:sz w:val="21"/>
          <w:szCs w:val="21"/>
          <w:highlight w:val="none"/>
          <w:lang w:val="zh-CN"/>
        </w:rPr>
        <w:t xml:space="preserve">。实质性响应的投标文件应该是与招标文件要求的全部条款、条件和规格相符，没有重大偏离或保留的文件。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少数服从多数的原则作出结论。评委</w:t>
      </w:r>
      <w:r>
        <w:rPr>
          <w:rFonts w:hint="eastAsia" w:ascii="宋体" w:hAnsi="宋体" w:eastAsia="宋体" w:cs="宋体"/>
          <w:color w:val="auto"/>
          <w:sz w:val="21"/>
          <w:szCs w:val="21"/>
          <w:highlight w:val="none"/>
        </w:rPr>
        <w:t xml:space="preserve">会认</w:t>
      </w:r>
      <w:r>
        <w:rPr>
          <w:rFonts w:hint="eastAsia" w:ascii="宋体" w:hAnsi="宋体" w:eastAsia="宋体" w:cs="宋体"/>
          <w:color w:val="auto"/>
          <w:sz w:val="21"/>
          <w:szCs w:val="21"/>
          <w:highlight w:val="none"/>
          <w:lang w:val="zh-CN"/>
        </w:rPr>
        <w:t xml:space="preserve">定投标文件的响应性只根据投标文件本身的内容，而不寻求外部的证据。</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评委会将对确定为实质性响应的投标进行进一步审核，确定其是否有计算上或累加上的算术错误。修正错误的原则如下：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3" w:name="_Toc20823306"/>
      <w:r/>
      <w:bookmarkStart w:id="114" w:name="_Toc16938550"/>
      <w:r/>
      <w:bookmarkStart w:id="115" w:name="_Toc513029234"/>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投标人在开、评标全过程中应保持通讯畅通，及时登录苏采云系统查阅、答复相关信息，并安排专人与招标代理及评委会联系。</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6" w:name="_Toc513029235"/>
      <w:r/>
      <w:bookmarkStart w:id="117" w:name="_Toc20823307"/>
      <w:r/>
      <w:bookmarkStart w:id="118" w:name="_Toc16938551"/>
      <w:r/>
      <w:bookmarkStart w:id="119" w:name="_Toc120614219"/>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无效投标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投标人在苏采云系统规定的时间内未成功解密电子投标文件。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投标人未按照招标文件要求上传电子投标文件。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同一投标人提交两个（含两个）以上不同的投标报价。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投标人不具备招标文件中规定资格要求。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投标人的报价超过了采购预算或最高限价</w:t>
      </w:r>
      <w:r>
        <w:rPr>
          <w:rFonts w:hint="eastAsia" w:ascii="宋体" w:hAnsi="宋体" w:eastAsia="宋体" w:cs="宋体"/>
          <w:color w:val="auto"/>
          <w:sz w:val="21"/>
          <w:szCs w:val="21"/>
          <w:highlight w:val="none"/>
        </w:rPr>
        <w:t xml:space="preserve">或单价上限</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不符合招标文件中实质性要求和条件（</w:t>
      </w:r>
      <w:r>
        <w:rPr>
          <w:rFonts w:hint="eastAsia" w:ascii="宋体" w:hAnsi="宋体" w:eastAsia="宋体" w:cs="宋体"/>
          <w:b/>
          <w:bCs/>
          <w:color w:val="auto"/>
          <w:sz w:val="21"/>
          <w:szCs w:val="21"/>
          <w:highlight w:val="none"/>
          <w:lang w:val="zh-CN"/>
        </w:rPr>
        <w:t xml:space="preserve">本文件中斜体且有下划线部分，或者打“</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”内容为实质性要求和条件</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投标文件含有采购人不能接受的附加条件。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25.1.11 采购产品被财政部、国家发改委、生态环境部等列入“节能产品品目清单”强制采购范围，而投标人提供的产品不在强制采购范围内。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25.1.12 投标文件未按照招标文件要求加盖电子公章。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法律法规及本招标文件规定的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无效投标情形。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废标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符合资格条件的供应商或者对招标文件作实质响应的供应商不足三家。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出现影响采购公正的违法、违规行为。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因重大变故采购任务取消。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评委会认定招标文件存在歧义、重大缺陷导致评审工作无法进行。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25.2.5 因苏采云系统故障造成开标不成功。</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 如出现投标截止时间后参加投标的供应商或者对招标文件作出实质性响应的供应商不足三家的情况，按政府采购相关规定执行。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25.4 如出现25.2.1或25.3情形，招标活动失败，评审委员会</w:t>
      </w:r>
      <w:r>
        <w:rPr>
          <w:rFonts w:hint="eastAsia" w:ascii="宋体" w:hAnsi="宋体" w:eastAsia="宋体" w:cs="宋体"/>
          <w:color w:val="auto"/>
          <w:sz w:val="21"/>
          <w:szCs w:val="21"/>
          <w:highlight w:val="none"/>
        </w:rPr>
        <w:t xml:space="preserve">应对</w:t>
      </w:r>
      <w:r>
        <w:rPr>
          <w:rFonts w:hint="eastAsia" w:ascii="宋体" w:hAnsi="宋体" w:eastAsia="宋体" w:cs="宋体"/>
          <w:color w:val="auto"/>
          <w:sz w:val="21"/>
          <w:szCs w:val="21"/>
          <w:highlight w:val="none"/>
          <w:lang w:val="zh-CN"/>
        </w:rPr>
        <w:t xml:space="preserve">招标文件是否存在不合理条款</w:t>
      </w:r>
      <w:r>
        <w:rPr>
          <w:rFonts w:hint="eastAsia" w:ascii="宋体" w:hAnsi="宋体" w:eastAsia="宋体" w:cs="宋体"/>
          <w:color w:val="auto"/>
          <w:sz w:val="21"/>
          <w:szCs w:val="21"/>
          <w:highlight w:val="none"/>
        </w:rPr>
        <w:t xml:space="preserve">进行论证，并在评审报告中写明</w:t>
      </w:r>
      <w:r>
        <w:rPr>
          <w:rFonts w:hint="eastAsia" w:ascii="宋体" w:hAnsi="宋体" w:eastAsia="宋体" w:cs="宋体"/>
          <w:color w:val="auto"/>
          <w:sz w:val="21"/>
          <w:szCs w:val="21"/>
          <w:highlight w:val="none"/>
          <w:lang w:val="zh-CN"/>
        </w:rPr>
        <w:t xml:space="preserve">论证意见。</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6"/>
      <w:r/>
      <w:bookmarkEnd w:id="117"/>
      <w:r/>
      <w:bookmarkEnd w:id="118"/>
      <w:r>
        <w:rPr>
          <w:rFonts w:hint="eastAsia" w:ascii="宋体" w:hAnsi="宋体" w:eastAsia="宋体" w:cs="宋体"/>
          <w:b w:val="0"/>
          <w:bCs w:val="0"/>
          <w:color w:val="auto"/>
          <w:sz w:val="21"/>
          <w:szCs w:val="21"/>
          <w:highlight w:val="none"/>
          <w:lang w:eastAsia="zh-CN"/>
        </w:rPr>
        <w:t xml:space="preserve">定标</w:t>
      </w:r>
      <w:bookmarkEnd w:id="119"/>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0" w:name="_Toc513029238"/>
      <w:r/>
      <w:bookmarkStart w:id="121" w:name="_Toc16938554"/>
      <w:r/>
      <w:bookmarkStart w:id="122" w:name="_Toc20823310"/>
      <w:r>
        <w:rPr>
          <w:rFonts w:hint="eastAsia" w:ascii="宋体" w:hAnsi="宋体" w:eastAsia="宋体" w:cs="宋体"/>
          <w:color w:val="auto"/>
          <w:sz w:val="21"/>
          <w:szCs w:val="21"/>
          <w:highlight w:val="none"/>
          <w:lang w:eastAsia="zh-CN"/>
        </w:rPr>
        <w:t xml:space="preserve">2</w:t>
      </w:r>
      <w:bookmarkEnd w:id="120"/>
      <w:r>
        <w:rPr>
          <w:rFonts w:hint="eastAsia" w:ascii="宋体" w:hAnsi="宋体" w:eastAsia="宋体" w:cs="宋体"/>
          <w:color w:val="auto"/>
          <w:sz w:val="21"/>
          <w:szCs w:val="21"/>
          <w:highlight w:val="none"/>
          <w:lang w:eastAsia="zh-CN"/>
        </w:rPr>
        <w:t xml:space="preserve">6.确定</w:t>
      </w:r>
      <w:bookmarkEnd w:id="121"/>
      <w:r/>
      <w:bookmarkEnd w:id="122"/>
      <w:r>
        <w:rPr>
          <w:rFonts w:hint="eastAsia" w:ascii="宋体" w:hAnsi="宋体" w:eastAsia="宋体" w:cs="宋体"/>
          <w:color w:val="auto"/>
          <w:sz w:val="21"/>
          <w:szCs w:val="21"/>
          <w:highlight w:val="none"/>
          <w:lang w:eastAsia="zh-CN"/>
        </w:rPr>
        <w:t xml:space="preserve">中标单位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中标候选人的</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zh-CN"/>
        </w:rPr>
        <w:t xml:space="preserve">原则和数量见招标文件第五章。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按以下第（</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）种方式确定中标人：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.3 招标代理将在“江苏政府采购网”发布中标公告，公告期限为1个工作日。</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提供虚假材料谋取中标。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向评审专家、采购人或招标代理工作人员行贿或者提供其他不正当利益。</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与其他供应商、评审专家、采购人或招标代理工作人员恶意串通。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属于本文件规定的无效</w:t>
      </w:r>
      <w:r>
        <w:rPr>
          <w:rFonts w:hint="eastAsia" w:ascii="宋体" w:hAnsi="宋体" w:eastAsia="宋体" w:cs="宋体"/>
          <w:color w:val="auto"/>
          <w:sz w:val="21"/>
          <w:szCs w:val="21"/>
          <w:highlight w:val="none"/>
        </w:rPr>
        <w:t xml:space="preserve">投标情形</w:t>
      </w:r>
      <w:r>
        <w:rPr>
          <w:rFonts w:hint="eastAsia" w:ascii="宋体" w:hAnsi="宋体" w:eastAsia="宋体" w:cs="宋体"/>
          <w:color w:val="auto"/>
          <w:sz w:val="21"/>
          <w:szCs w:val="21"/>
          <w:highlight w:val="none"/>
          <w:lang w:val="zh-CN"/>
        </w:rPr>
        <w:t xml:space="preserve">，但在评标过程中未被评委会发现。</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采取不正当手段诋毁、排挤其他供应商。</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bookmarkStart w:id="123" w:name="_Toc20045196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不同投标人的投标文件由同一单位或者个人编制。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不同投标人委托同一单位或者个人办理投标事宜。</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不同投标人的投标文件载明的项目管理成员或者联系人员为同一人。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不同投标人的投标文件异常一致或者投标报价呈规律性差异。</w:t>
      </w:r>
      <w:bookmarkEnd w:id="123"/>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.l 中标结果确定后，招标代理将向中标人发出《中标通知书》。中标人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24" w:name="_Toc120614220"/>
      <w:r/>
      <w:bookmarkStart w:id="125" w:name="_Toc20823308"/>
      <w:r/>
      <w:bookmarkStart w:id="126" w:name="_Toc513029236"/>
      <w:r/>
      <w:bookmarkStart w:id="127" w:name="_Toc16938552"/>
      <w:r>
        <w:rPr>
          <w:rFonts w:hint="eastAsia" w:ascii="宋体" w:hAnsi="宋体" w:eastAsia="宋体" w:cs="宋体"/>
          <w:b w:val="0"/>
          <w:bCs w:val="0"/>
          <w:color w:val="auto"/>
          <w:sz w:val="21"/>
          <w:szCs w:val="21"/>
          <w:highlight w:val="none"/>
          <w:lang w:eastAsia="zh-CN"/>
        </w:rPr>
        <w:t xml:space="preserve">七、授予合同</w:t>
      </w:r>
      <w:bookmarkEnd w:id="124"/>
      <w:r/>
      <w:bookmarkEnd w:id="125"/>
      <w:bookmarkEnd w:id="126"/>
      <w:bookmarkEnd w:id="127"/>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8" w:name="_Toc513029237"/>
      <w:r/>
      <w:bookmarkStart w:id="129" w:name="_Toc20823309"/>
      <w:r/>
      <w:bookmarkStart w:id="130" w:name="_Toc16938553"/>
      <w:r>
        <w:rPr>
          <w:rFonts w:hint="eastAsia" w:ascii="宋体" w:hAnsi="宋体" w:eastAsia="宋体" w:cs="宋体"/>
          <w:color w:val="auto"/>
          <w:sz w:val="21"/>
          <w:szCs w:val="21"/>
          <w:highlight w:val="none"/>
          <w:lang w:eastAsia="zh-CN"/>
        </w:rPr>
        <w:t xml:space="preserve">28.签订合同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.4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10%。</w:t>
      </w:r>
      <w:bookmarkEnd w:id="128"/>
      <w:r/>
      <w:bookmarkEnd w:id="129"/>
      <w:r/>
      <w:bookmarkEnd w:id="130"/>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南京市公共资源交易</w:t>
      </w:r>
      <w:r>
        <w:rPr>
          <w:rFonts w:hint="eastAsia" w:ascii="宋体" w:hAnsi="宋体" w:eastAsia="宋体" w:cs="宋体"/>
          <w:color w:val="auto"/>
          <w:sz w:val="21"/>
          <w:szCs w:val="21"/>
          <w:highlight w:val="none"/>
        </w:rPr>
        <w:t xml:space="preserve">平台</w:t>
      </w:r>
      <w:r>
        <w:rPr>
          <w:rFonts w:hint="eastAsia" w:ascii="宋体" w:hAnsi="宋体" w:eastAsia="宋体" w:cs="宋体"/>
          <w:color w:val="auto"/>
          <w:sz w:val="21"/>
          <w:szCs w:val="21"/>
          <w:highlight w:val="none"/>
          <w:lang w:val="zh-CN"/>
        </w:rPr>
        <w:t xml:space="preserve">网站“小企业融资平台”，</w:t>
      </w:r>
      <w:r>
        <w:rPr>
          <w:rFonts w:hint="eastAsia" w:ascii="宋体" w:hAnsi="宋体" w:eastAsia="宋体" w:cs="宋体"/>
          <w:color w:val="auto"/>
          <w:sz w:val="21"/>
          <w:szCs w:val="21"/>
          <w:highlight w:val="none"/>
        </w:rPr>
        <w:t xml:space="preserve">选择相应的金融机构</w:t>
      </w:r>
      <w:r>
        <w:rPr>
          <w:rFonts w:hint="eastAsia" w:ascii="宋体" w:hAnsi="宋体" w:eastAsia="宋体" w:cs="宋体"/>
          <w:color w:val="auto"/>
          <w:sz w:val="21"/>
          <w:szCs w:val="21"/>
          <w:highlight w:val="none"/>
          <w:lang w:val="zh-CN"/>
        </w:rPr>
        <w:t xml:space="preserve">办理融资贷款。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 xml:space="preserve">。</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提出质疑的供应商应当是参与所质疑项目采购活动的供应商，潜在供应商依法获取其可质疑的采购文件的，可以对采购文件提出质疑。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 xml:space="preserve">按照第3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第35</w:t>
      </w:r>
      <w:r>
        <w:rPr>
          <w:rFonts w:hint="eastAsia" w:ascii="宋体" w:hAnsi="宋体" w:eastAsia="宋体" w:cs="宋体"/>
          <w:color w:val="auto"/>
          <w:sz w:val="21"/>
          <w:szCs w:val="21"/>
          <w:highlight w:val="none"/>
          <w:lang w:val="zh-CN"/>
        </w:rPr>
        <w:t xml:space="preserve">条</w:t>
      </w:r>
      <w:r>
        <w:rPr>
          <w:rFonts w:hint="eastAsia" w:ascii="宋体" w:hAnsi="宋体" w:eastAsia="宋体" w:cs="宋体"/>
          <w:color w:val="auto"/>
          <w:sz w:val="21"/>
          <w:szCs w:val="21"/>
          <w:highlight w:val="none"/>
        </w:rPr>
        <w:t xml:space="preserve">之</w:t>
      </w:r>
      <w:r>
        <w:rPr>
          <w:rFonts w:hint="eastAsia" w:ascii="宋体" w:hAnsi="宋体" w:eastAsia="宋体" w:cs="宋体"/>
          <w:color w:val="auto"/>
          <w:sz w:val="21"/>
          <w:szCs w:val="21"/>
          <w:highlight w:val="none"/>
          <w:lang w:val="zh-CN"/>
        </w:rPr>
        <w:t xml:space="preserve">规定以书面形式向采购人或招标代理提出质疑。</w:t>
      </w:r>
      <w:r>
        <w:rPr>
          <w:rFonts w:hint="eastAsia" w:ascii="宋体" w:hAnsi="宋体" w:eastAsia="宋体" w:cs="宋体"/>
          <w:b/>
          <w:bCs/>
          <w:color w:val="auto"/>
          <w:sz w:val="21"/>
          <w:szCs w:val="21"/>
          <w:highlight w:val="none"/>
          <w:lang w:val="zh-CN"/>
        </w:rPr>
        <w:t xml:space="preserve">上述应知其权益受到损害之日是指</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2.1 对采购文件提出质疑的，为收到采购文件之日或者采购文件公告期限届满之日。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2.2 对采购过程提出质疑的，为各采购程序环节结束之日。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2.3 对中标或者成交结果提出质疑的，为中标或者成交结果公告期限届满之日。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31" w:name="_Hlk218852672"/>
      <w:r>
        <w:rPr>
          <w:rFonts w:hint="eastAsia" w:ascii="宋体" w:hAnsi="宋体" w:eastAsia="宋体" w:cs="宋体"/>
          <w:color w:val="auto"/>
          <w:sz w:val="21"/>
          <w:szCs w:val="21"/>
          <w:highlight w:val="none"/>
        </w:rPr>
        <w:t xml:space="preserve">34.</w:t>
      </w:r>
      <w:r>
        <w:rPr>
          <w:rFonts w:hint="eastAsia" w:ascii="宋体" w:hAnsi="宋体" w:eastAsia="宋体" w:cs="宋体"/>
          <w:color w:val="auto"/>
          <w:sz w:val="21"/>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格式和内容填写。</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供应商如组成联合体参加采购活动，《质疑函范本》中要求加盖公章之处，联合体各方均须按要求加盖公章。</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35.</w:t>
      </w:r>
      <w:r>
        <w:rPr>
          <w:rFonts w:hint="eastAsia" w:ascii="宋体" w:hAnsi="宋体" w:eastAsia="宋体" w:cs="宋体"/>
          <w:b/>
          <w:bCs/>
          <w:color w:val="auto"/>
          <w:sz w:val="21"/>
          <w:szCs w:val="21"/>
          <w:highlight w:val="none"/>
        </w:rPr>
        <w:t xml:space="preserve">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 xml:space="preserve">招标代理</w:t>
      </w:r>
      <w:r>
        <w:rPr>
          <w:rFonts w:hint="eastAsia" w:ascii="宋体" w:hAnsi="宋体" w:eastAsia="宋体" w:cs="宋体"/>
          <w:b/>
          <w:bCs/>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以下情形的质疑不予受理：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6.1 超出政府采购法定期限的质疑；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6.2 在法定期限内对同一采购程序环节提出</w:t>
      </w:r>
      <w:r>
        <w:rPr>
          <w:rFonts w:hint="eastAsia" w:ascii="宋体" w:hAnsi="宋体" w:eastAsia="宋体" w:cs="宋体"/>
          <w:color w:val="auto"/>
          <w:sz w:val="21"/>
          <w:szCs w:val="21"/>
          <w:highlight w:val="none"/>
        </w:rPr>
        <w:t xml:space="preserve">第一次质疑之外的多次</w:t>
      </w:r>
      <w:r>
        <w:rPr>
          <w:rFonts w:hint="eastAsia" w:ascii="宋体" w:hAnsi="宋体" w:eastAsia="宋体" w:cs="宋体"/>
          <w:color w:val="auto"/>
          <w:sz w:val="21"/>
          <w:szCs w:val="21"/>
          <w:highlight w:val="none"/>
          <w:lang w:val="zh-CN"/>
        </w:rPr>
        <w:t xml:space="preserve">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6.3 法律法规规定的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不予受理情形。</w:t>
      </w:r>
      <w:bookmarkEnd w:id="131"/>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w:t>
      </w:r>
      <w:r>
        <w:rPr>
          <w:rFonts w:hint="eastAsia" w:ascii="宋体" w:hAnsi="宋体" w:eastAsia="宋体" w:cs="宋体"/>
          <w:color w:val="auto"/>
          <w:sz w:val="21"/>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35"/>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38.1 本项目中的</w:t>
      </w:r>
      <w:r>
        <w:rPr>
          <w:rFonts w:hint="eastAsia" w:ascii="宋体" w:hAnsi="宋体" w:eastAsia="宋体" w:cs="宋体"/>
          <w:color w:val="auto"/>
          <w:sz w:val="21"/>
          <w:szCs w:val="21"/>
          <w:highlight w:val="none"/>
          <w:lang w:val="zh-CN"/>
        </w:rPr>
        <w:t xml:space="preserve">货物</w:t>
      </w:r>
      <w:r>
        <w:rPr>
          <w:rFonts w:hint="eastAsia" w:ascii="宋体" w:hAnsi="宋体" w:eastAsia="宋体" w:cs="宋体"/>
          <w:color w:val="auto"/>
          <w:sz w:val="21"/>
          <w:szCs w:val="21"/>
          <w:highlight w:val="none"/>
        </w:rPr>
        <w:t xml:space="preserve">全部</w:t>
      </w:r>
      <w:r>
        <w:rPr>
          <w:rFonts w:hint="eastAsia" w:ascii="宋体" w:hAnsi="宋体" w:eastAsia="宋体" w:cs="宋体"/>
          <w:color w:val="auto"/>
          <w:sz w:val="21"/>
          <w:szCs w:val="21"/>
          <w:highlight w:val="none"/>
          <w:lang w:val="zh-CN"/>
        </w:rPr>
        <w:t xml:space="preserve">由中小企业制造的，</w:t>
      </w:r>
      <w:r>
        <w:rPr>
          <w:rFonts w:hint="eastAsia" w:ascii="宋体" w:hAnsi="宋体" w:eastAsia="宋体" w:cs="宋体"/>
          <w:color w:val="auto"/>
          <w:sz w:val="21"/>
          <w:szCs w:val="21"/>
          <w:highlight w:val="none"/>
        </w:rPr>
        <w:t xml:space="preserve">投标供应商</w:t>
      </w:r>
      <w:r>
        <w:rPr>
          <w:rFonts w:hint="eastAsia" w:ascii="宋体" w:hAnsi="宋体" w:eastAsia="宋体" w:cs="宋体"/>
          <w:color w:val="auto"/>
          <w:sz w:val="21"/>
          <w:szCs w:val="21"/>
          <w:highlight w:val="none"/>
          <w:lang w:val="zh-CN"/>
        </w:rPr>
        <w:t xml:space="preserve">享受中小企业扶持政策。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zh-CN"/>
        </w:rPr>
        <w:t xml:space="preserve">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监狱和戒毒企业（简称监狱企业）视同小型、微型企业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《关于政府采购支持监狱企业发展有关问题的通知》（财库〔2014〕68号）</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val="zh-CN"/>
        </w:rPr>
        <w:t xml:space="preserve">监狱企业需提供由省级以上监狱管理局、戒毒管理局(含新疆生产建设兵团)出具的属于监狱企业的证明文件。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 xml:space="preserve">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按照《关于促进残疾人就业政府采购政策的通知》（财库〔2017〕141号）规定，残疾人福利单位需</w:t>
      </w:r>
      <w:r>
        <w:rPr>
          <w:rFonts w:hint="eastAsia" w:ascii="宋体" w:hAnsi="宋体" w:eastAsia="宋体" w:cs="宋体"/>
          <w:color w:val="auto"/>
          <w:sz w:val="21"/>
          <w:szCs w:val="21"/>
          <w:highlight w:val="none"/>
          <w:lang w:val="zh-CN"/>
        </w:rPr>
        <w:t xml:space="preserve">提供《残疾人福利性单位声明函》。</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39.3 采购产品</w:t>
      </w:r>
      <w:r>
        <w:rPr>
          <w:rFonts w:hint="eastAsia" w:ascii="宋体" w:hAnsi="宋体" w:eastAsia="宋体" w:cs="宋体"/>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 xml:space="preserve">第五章评标方法与评标标准</w:t>
      </w:r>
      <w:r>
        <w:rPr>
          <w:rFonts w:hint="eastAsia" w:ascii="宋体" w:hAnsi="宋体" w:eastAsia="宋体" w:cs="宋体"/>
          <w:color w:val="auto"/>
          <w:sz w:val="21"/>
          <w:szCs w:val="21"/>
          <w:highlight w:val="none"/>
          <w:lang w:val="zh-CN"/>
        </w:rPr>
        <w:t xml:space="preserve">）。</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 采购产品</w:t>
      </w:r>
      <w:r>
        <w:rPr>
          <w:rFonts w:hint="eastAsia" w:ascii="宋体" w:hAnsi="宋体" w:eastAsia="宋体" w:cs="宋体"/>
          <w:bCs/>
          <w:color w:val="auto"/>
          <w:sz w:val="21"/>
          <w:szCs w:val="21"/>
          <w:highlight w:val="none"/>
        </w:rPr>
        <w:t xml:space="preserve">中涉及商品包装、快递包装要求的，应按照</w:t>
      </w:r>
      <w:r>
        <w:rPr>
          <w:rFonts w:hint="eastAsia" w:ascii="宋体" w:hAnsi="宋体" w:eastAsia="宋体" w:cs="宋体"/>
          <w:color w:val="auto"/>
          <w:sz w:val="21"/>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ind w:left="0" w:firstLine="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36"/>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43.2本国产品应当符合以下条件：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（2）在中国境内生产的组件成本占比达到规定比例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（3）特定产品的关键组件、关键工序符合相关要求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43.3本国产品标准的适用范围</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43.4对本国产品的支持政策</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本项目如</w:t>
      </w:r>
      <w:r>
        <w:rPr>
          <w:rFonts w:hint="eastAsia" w:ascii="宋体" w:hAnsi="宋体" w:eastAsia="宋体" w:cs="宋体"/>
          <w:b/>
          <w:bCs/>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 w:val="21"/>
          <w:szCs w:val="21"/>
          <w:highlight w:val="none"/>
        </w:rPr>
        <w:t xml:space="preserve">具体详见第</w:t>
      </w:r>
      <w:r>
        <w:rPr>
          <w:rFonts w:hint="eastAsia" w:ascii="宋体" w:hAnsi="宋体" w:eastAsia="宋体" w:cs="宋体"/>
          <w:b/>
          <w:bCs/>
          <w:color w:val="auto"/>
          <w:sz w:val="21"/>
          <w:szCs w:val="21"/>
          <w:highlight w:val="none"/>
          <w:lang w:eastAsia="zh-CN"/>
        </w:rPr>
        <w:t xml:space="preserve">三</w:t>
      </w:r>
      <w:r>
        <w:rPr>
          <w:rFonts w:hint="eastAsia" w:ascii="宋体" w:hAnsi="宋体" w:eastAsia="宋体" w:cs="宋体"/>
          <w:b/>
          <w:bCs/>
          <w:color w:val="auto"/>
          <w:sz w:val="21"/>
          <w:szCs w:val="21"/>
          <w:highlight w:val="none"/>
        </w:rPr>
        <w:t xml:space="preserve">章。</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43.5政策执行要求</w:t>
      </w:r>
      <w:r/>
    </w:p>
    <w:p>
      <w:pPr>
        <w:ind w:left="0" w:firstLine="0"/>
        <w:jc w:val="left"/>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shd w:val="clear" w:color="auto" w:fill="ffffff"/>
        </w:rPr>
        <w:t xml:space="preserve">《国务院办公厅关于在政府采购中实施本国产品标准及相关政策的通知》（国办发〔2025〕34号）规定。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（2）有关证明文件。</w:t>
      </w:r>
      <w:r>
        <w:rPr>
          <w:rFonts w:hint="eastAsia" w:ascii="宋体" w:hAnsi="宋体" w:eastAsia="宋体" w:cs="宋体"/>
          <w:b/>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37"/>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2"/>
        </w:numPr>
        <w:ind w:left="0" w:firstLine="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费用</w:t>
      </w:r>
      <w:r/>
    </w:p>
    <w:p>
      <w:pPr>
        <w:pStyle w:val="837"/>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 xml:space="preserve">苏政采协【2024】20号文</w:t>
      </w:r>
      <w:r>
        <w:rPr>
          <w:rFonts w:hint="eastAsia" w:ascii="宋体" w:hAnsi="宋体" w:eastAsia="宋体" w:cs="宋体"/>
          <w:color w:val="auto"/>
          <w:sz w:val="21"/>
          <w:szCs w:val="21"/>
          <w:highlight w:val="none"/>
          <w:lang w:val="zh-CN"/>
        </w:rPr>
        <w:t xml:space="preserve">招标收费基准费率的 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 向招标代理机构支付招标服务费。本项费用无需单列。</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bl>
      <w:tblPr>
        <w:tblStyle w:val="65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 xml:space="preserve">包1：</w:t>
            </w:r>
            <w:r>
              <w:rPr>
                <w:rFonts w:hint="eastAsia" w:eastAsia="宋体"/>
                <w:color w:val="auto"/>
                <w:sz w:val="21"/>
                <w:szCs w:val="21"/>
                <w:highlight w:val="none"/>
                <w:lang w:val="en-US" w:eastAsia="en-US" w:bidi="ar-SA"/>
              </w:rPr>
              <w:t xml:space="preserve">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 xml:space="preserve">1.5</w:t>
            </w:r>
            <w:r>
              <w:rPr>
                <w:rFonts w:hint="eastAsia" w:eastAsia="宋体"/>
                <w:color w:val="auto"/>
                <w:sz w:val="21"/>
                <w:szCs w:val="21"/>
                <w:highlight w:val="none"/>
                <w:lang w:val="en-US" w:eastAsia="en-US" w:bidi="ar-SA"/>
              </w:rPr>
              <w:t xml:space="preserve">分，其余指标有1项负偏离扣</w:t>
            </w:r>
            <w:r>
              <w:rPr>
                <w:rFonts w:hint="eastAsia" w:eastAsia="宋体"/>
                <w:color w:val="auto"/>
                <w:sz w:val="21"/>
                <w:szCs w:val="21"/>
                <w:highlight w:val="none"/>
                <w:lang w:val="en-US" w:eastAsia="zh-CN" w:bidi="ar-SA"/>
              </w:rPr>
              <w:t xml:space="preserve">0.2</w:t>
            </w:r>
            <w:r>
              <w:rPr>
                <w:rFonts w:hint="eastAsia" w:eastAsia="宋体"/>
                <w:color w:val="auto"/>
                <w:sz w:val="21"/>
                <w:szCs w:val="21"/>
                <w:highlight w:val="none"/>
                <w:lang w:val="en-US" w:eastAsia="en-US" w:bidi="ar-SA"/>
              </w:rPr>
              <w:t xml:space="preserve">分，扣完为止。</w:t>
            </w:r>
            <w:r/>
          </w:p>
          <w:p>
            <w:pPr>
              <w:jc w:val="both"/>
              <w:spacing w:line="264" w:lineRule="auto"/>
              <w:widowControl w:val="off"/>
              <w:rPr>
                <w:rFonts w:hint="eastAsia"/>
                <w:color w:val="auto"/>
                <w:highlight w:val="none"/>
                <w:lang w:val="en-US" w:eastAsia="en-US"/>
              </w:rPr>
            </w:pPr>
            <w:r/>
            <w:bookmarkStart w:id="137" w:name="_GoBack"/>
            <w:r>
              <w:rPr>
                <w:rFonts w:hint="eastAsia" w:eastAsia="宋体"/>
                <w:color w:val="auto"/>
                <w:sz w:val="21"/>
                <w:szCs w:val="21"/>
                <w:highlight w:val="none"/>
                <w:lang w:val="en-US" w:eastAsia="zh-CN" w:bidi="ar-SA"/>
              </w:rPr>
              <w:t xml:space="preserve">包2：</w:t>
            </w:r>
            <w:r>
              <w:rPr>
                <w:rFonts w:hint="eastAsia" w:eastAsia="宋体"/>
                <w:color w:val="auto"/>
                <w:sz w:val="21"/>
                <w:szCs w:val="21"/>
                <w:highlight w:val="none"/>
                <w:lang w:val="en-US" w:eastAsia="en-US" w:bidi="ar-SA"/>
              </w:rPr>
              <w:t xml:space="preserve">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 xml:space="preserve">1.5</w:t>
            </w:r>
            <w:r>
              <w:rPr>
                <w:rFonts w:hint="eastAsia" w:eastAsia="宋体"/>
                <w:color w:val="auto"/>
                <w:sz w:val="21"/>
                <w:szCs w:val="21"/>
                <w:highlight w:val="none"/>
                <w:lang w:val="en-US" w:eastAsia="en-US" w:bidi="ar-SA"/>
              </w:rPr>
              <w:t xml:space="preserve">分，其余指标有1项负偏离扣</w:t>
            </w:r>
            <w:r>
              <w:rPr>
                <w:rFonts w:hint="eastAsia" w:eastAsia="宋体"/>
                <w:color w:val="auto"/>
                <w:sz w:val="21"/>
                <w:szCs w:val="21"/>
                <w:highlight w:val="none"/>
                <w:lang w:val="en-US" w:eastAsia="zh-CN" w:bidi="ar-SA"/>
              </w:rPr>
              <w:t xml:space="preserve">0.5</w:t>
            </w:r>
            <w:r>
              <w:rPr>
                <w:rFonts w:hint="eastAsia" w:eastAsia="宋体"/>
                <w:color w:val="auto"/>
                <w:sz w:val="21"/>
                <w:szCs w:val="21"/>
                <w:highlight w:val="none"/>
                <w:lang w:val="en-US" w:eastAsia="en-US" w:bidi="ar-SA"/>
              </w:rPr>
              <w:t xml:space="preserve">分，扣完为止。</w:t>
            </w:r>
            <w:bookmarkEnd w:id="137"/>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34"/>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w:t>
            </w:r>
            <w:r>
              <w:rPr>
                <w:rFonts w:hint="eastAsia"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分； </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w:t>
            </w:r>
            <w:r>
              <w:rPr>
                <w:rFonts w:hint="eastAsia"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（3）上述每项内容不科学合理、无操作性或未提供的不得分。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w:t>
            </w:r>
            <w:r>
              <w:rPr>
                <w:rFonts w:hint="eastAsia"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分； </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w:t>
            </w:r>
            <w:r>
              <w:rPr>
                <w:rFonts w:hint="eastAsia"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 </w:t>
            </w:r>
            <w:r/>
          </w:p>
          <w:p>
            <w:pPr>
              <w:pStyle w:val="834"/>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34"/>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34"/>
              <w:jc w:val="left"/>
              <w:widowControl w:val="off"/>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 xml:space="preserve">评委根据投标人提供的项目培训方案</w:t>
            </w:r>
            <w:r>
              <w:rPr>
                <w:rFonts w:hint="eastAsia" w:ascii="宋体" w:hAnsi="宋体" w:eastAsia="宋体" w:cs="宋体"/>
                <w:color w:val="auto"/>
                <w:sz w:val="22"/>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34"/>
              <w:jc w:val="left"/>
              <w:widowControl w:val="off"/>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 xml:space="preserve">（1）上述每项内容全面合理、针对性及操作性强的，得1分；</w:t>
            </w:r>
            <w:r/>
          </w:p>
          <w:p>
            <w:pPr>
              <w:pStyle w:val="834"/>
              <w:jc w:val="left"/>
              <w:widowControl w:val="off"/>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 xml:space="preserve">（2）上述每项内容较合理、针对性及操作性较强的，得0.5分；</w:t>
            </w:r>
            <w:r/>
          </w:p>
          <w:p>
            <w:pPr>
              <w:pStyle w:val="834"/>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en-US" w:bidi="ar-SA"/>
              </w:rPr>
              <w:t xml:space="preserve">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w:t>
            </w:r>
            <w:r>
              <w:rPr>
                <w:rFonts w:hint="eastAsia" w:ascii="宋体" w:hAnsi="宋体" w:eastAsia="宋体" w:cs="宋体"/>
                <w:color w:val="auto"/>
                <w:sz w:val="21"/>
                <w:szCs w:val="21"/>
                <w:highlight w:val="none"/>
                <w:lang w:val="en-US" w:eastAsia="zh-CN" w:bidi="ar-SA"/>
              </w:rPr>
              <w:t xml:space="preserve">至少包含核心产品的</w:t>
            </w:r>
            <w:r>
              <w:rPr>
                <w:rFonts w:hint="eastAsia" w:ascii="宋体" w:hAnsi="宋体" w:eastAsia="宋体" w:cs="宋体"/>
                <w:color w:val="auto"/>
                <w:sz w:val="21"/>
                <w:szCs w:val="21"/>
                <w:highlight w:val="none"/>
                <w:lang w:val="en-US" w:eastAsia="en-US" w:bidi="ar-SA"/>
              </w:rPr>
              <w:t xml:space="preserve">同品牌同型号）业绩，每提供1个得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所投产品5年</w:t>
            </w:r>
            <w:r>
              <w:rPr>
                <w:rFonts w:hint="eastAsia" w:ascii="宋体" w:hAnsi="宋体" w:eastAsia="宋体" w:cs="宋体"/>
                <w:color w:val="auto"/>
                <w:sz w:val="21"/>
                <w:szCs w:val="21"/>
                <w:highlight w:val="none"/>
                <w:lang w:val="en-US" w:eastAsia="en-US" w:bidi="ar-SA"/>
              </w:rPr>
              <w:t xml:space="preserve">（含）以上原厂质保得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color w:val="auto"/>
                <w:sz w:val="21"/>
                <w:szCs w:val="21"/>
                <w:highlight w:val="none"/>
              </w:rPr>
              <w:t xml:space="preserve">所有质保服务及配件</w:t>
            </w:r>
            <w:r>
              <w:rPr>
                <w:rFonts w:hint="eastAsia"/>
                <w:color w:val="auto"/>
                <w:sz w:val="21"/>
                <w:szCs w:val="21"/>
                <w:highlight w:val="none"/>
                <w:lang w:eastAsia="zh-CN"/>
              </w:rPr>
              <w:t xml:space="preserve">等</w:t>
            </w:r>
            <w:r>
              <w:rPr>
                <w:rFonts w:hint="eastAsia"/>
                <w:color w:val="auto"/>
                <w:sz w:val="21"/>
                <w:szCs w:val="21"/>
                <w:highlight w:val="none"/>
              </w:rPr>
              <w:t xml:space="preserve">费用包含在总报价中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val="en-US" w:eastAsia="en-US" w:bidi="ar-SA"/>
              </w:rPr>
              <w:t xml:space="preserve">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备注:投标时提供产品原厂公章的质保承诺函原件，格式自拟。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1.所有认证、证明和业绩均以有效清晰的证明文件的复印件为依据，原件备查。</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2.小微企业价格扣除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 本项目对监狱和戒毒企业，给予10%的价格扣除，用扣除后的价格参与评审。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3.3 监狱企业标准请参照《关于政府采购支持监狱企业发展有关问题的通知》（财库〔2014〕68号）。</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4.残疾人福利性单位的价格扣除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 本项目对残疾人福利性单位，给予10%的价格扣除，用扣除后的价格参与评审。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4.2 残疾人福利性单位需提供《残疾人福利性单位声明函》。</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6.6.本国产品的价格扣除</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 xml:space="preserve">一、货物需求一览表</w:t>
      </w:r>
      <w:r/>
    </w:p>
    <w:tbl>
      <w:tblPr>
        <w:tblStyle w:val="651"/>
        <w:tblW w:w="105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15"/>
        <w:gridCol w:w="1861"/>
        <w:gridCol w:w="810"/>
        <w:gridCol w:w="4035"/>
        <w:gridCol w:w="1095"/>
        <w:gridCol w:w="1215"/>
        <w:gridCol w:w="1054"/>
      </w:tblGrid>
      <w:tr>
        <w:trPr>
          <w:jc w:val="center"/>
          <w:trHeight w:val="615"/>
        </w:trPr>
        <w:tc>
          <w:tcPr>
            <w:shd w:val="clear" w:color="auto" w:fill="ffffff" w:themeFill="background1"/>
            <w:tcBorders>
              <w:top w:val="single" w:color="000000" w:sz="4" w:space="0"/>
              <w:left w:val="single" w:color="000000" w:sz="4" w:space="0"/>
              <w:bottom w:val="single" w:color="auto"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设备名称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81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18"/>
                <w:szCs w:val="18"/>
                <w:highlight w:val="none"/>
                <w:u w:val="none"/>
              </w:rPr>
              <w:outlineLvl w:val="9"/>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室</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最高限价</w:t>
            </w:r>
            <w:r>
              <w:rPr>
                <w:rFonts w:hint="eastAsia" w:ascii="宋体" w:hAnsi="宋体" w:eastAsia="宋体" w:cs="宋体"/>
                <w:b/>
                <w:bCs/>
                <w:i w:val="0"/>
                <w:iCs w:val="0"/>
                <w:color w:val="auto"/>
                <w:sz w:val="18"/>
                <w:szCs w:val="18"/>
                <w:highlight w:val="none"/>
                <w:u w:val="none"/>
                <w:lang w:val="en-US" w:eastAsia="zh-CN" w:bidi="ar"/>
              </w:rPr>
              <w:t xml:space="preserve"> （万元）</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15"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交货期</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054"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地点</w:t>
            </w:r>
            <w:r/>
          </w:p>
        </w:tc>
      </w:tr>
      <w:tr>
        <w:trPr>
          <w:jc w:val="center"/>
          <w:trHeight w:val="558"/>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5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pacing w:val="8"/>
                <w:sz w:val="21"/>
                <w:szCs w:val="21"/>
                <w:highlight w:val="none"/>
              </w:rPr>
              <w:t xml:space="preserve">包</w:t>
            </w:r>
            <w:r>
              <w:rPr>
                <w:rFonts w:hint="eastAsia" w:ascii="宋体" w:hAnsi="宋体" w:eastAsia="宋体" w:cs="宋体"/>
                <w:b/>
                <w:bCs/>
                <w:color w:val="auto"/>
                <w:spacing w:val="8"/>
                <w:sz w:val="21"/>
                <w:szCs w:val="21"/>
                <w:highlight w:val="none"/>
                <w:lang w:val="en-US" w:eastAsia="zh-CN"/>
              </w:rPr>
              <w:t xml:space="preserve">1</w:t>
            </w:r>
            <w:r>
              <w:rPr>
                <w:rFonts w:hint="eastAsia" w:ascii="宋体" w:hAnsi="宋体" w:eastAsia="宋体" w:cs="宋体"/>
                <w:b/>
                <w:bCs/>
                <w:color w:val="auto"/>
                <w:spacing w:val="8"/>
                <w:sz w:val="21"/>
                <w:szCs w:val="21"/>
                <w:highlight w:val="none"/>
              </w:rPr>
              <w:t xml:space="preserve">：</w:t>
            </w:r>
            <w:r>
              <w:rPr>
                <w:rFonts w:hint="eastAsia" w:ascii="宋体" w:hAnsi="宋体" w:eastAsia="宋体" w:cs="宋体"/>
                <w:b/>
                <w:bCs/>
                <w:color w:val="auto"/>
                <w:spacing w:val="8"/>
                <w:sz w:val="21"/>
                <w:szCs w:val="21"/>
                <w:highlight w:val="none"/>
                <w:lang w:eastAsia="zh-CN"/>
              </w:rPr>
              <w:t xml:space="preserve">除颤监护仪、麻醉机</w:t>
            </w:r>
            <w:r>
              <w:rPr>
                <w:rFonts w:hint="eastAsia" w:ascii="宋体" w:hAnsi="宋体" w:eastAsia="宋体" w:cs="宋体"/>
                <w:b/>
                <w:bCs/>
                <w:color w:val="auto"/>
                <w:spacing w:val="8"/>
                <w:sz w:val="21"/>
                <w:szCs w:val="21"/>
                <w:highlight w:val="none"/>
              </w:rPr>
              <w:t xml:space="preserve">等</w:t>
            </w:r>
            <w:r/>
          </w:p>
        </w:tc>
      </w:tr>
      <w:tr>
        <w:trPr>
          <w:jc w:val="center"/>
          <w:trHeight w:val="12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除颤监护仪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rPr>
              <w:t xml:space="preserve">急诊，1台；手术室，1台；ICU,1台；妇科门诊手术室，1台；LDRP病区，1台；产前病区，1台；产后病区，1台；儿科，2台；妇科，1台；新生儿科，1台；儿科PICU病区，1台；生殖中心，1台</w:t>
            </w:r>
            <w:r>
              <w:rPr>
                <w:rFonts w:hint="eastAsia" w:ascii="宋体" w:hAnsi="宋体" w:eastAsia="宋体" w:cs="宋体"/>
                <w:i w:val="0"/>
                <w:iCs w:val="0"/>
                <w:color w:val="auto"/>
                <w:sz w:val="18"/>
                <w:szCs w:val="18"/>
                <w:highlight w:val="none"/>
                <w:u w:val="none"/>
                <w:lang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349.90</w:t>
            </w:r>
            <w:r/>
          </w:p>
        </w:tc>
        <w:tc>
          <w:tcPr>
            <w:shd w:val="clear" w:color="auto" w:fill="ffffff" w:themeFill="background1"/>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pacing w:val="8"/>
                <w:sz w:val="21"/>
                <w:szCs w:val="21"/>
                <w:highlight w:val="none"/>
              </w:rPr>
              <w:t xml:space="preserve">自合同签订后</w:t>
            </w:r>
            <w:r>
              <w:rPr>
                <w:rFonts w:hint="eastAsia" w:ascii="宋体" w:hAnsi="宋体" w:eastAsia="宋体" w:cs="宋体"/>
                <w:color w:val="auto"/>
                <w:spacing w:val="8"/>
                <w:sz w:val="21"/>
                <w:szCs w:val="21"/>
                <w:highlight w:val="none"/>
                <w:lang w:val="en-US" w:eastAsia="zh-CN"/>
              </w:rPr>
              <w:t xml:space="preserve">15</w:t>
            </w:r>
            <w:r>
              <w:rPr>
                <w:rFonts w:hint="eastAsia" w:ascii="宋体" w:hAnsi="宋体" w:eastAsia="宋体" w:cs="宋体"/>
                <w:color w:val="auto"/>
                <w:spacing w:val="8"/>
                <w:sz w:val="21"/>
                <w:szCs w:val="21"/>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r>
        <w:trPr>
          <w:jc w:val="center"/>
          <w:trHeight w:val="7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AED</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rPr>
              <w:t xml:space="preserve">全院，2台；医学影像科，1台；产房，1台；妇科，1台；综合外科，1台；妇保-预防接种，1台；成人综合门诊，10台</w:t>
            </w:r>
            <w:r>
              <w:rPr>
                <w:rFonts w:hint="eastAsia" w:ascii="宋体" w:hAnsi="宋体" w:eastAsia="宋体" w:cs="宋体"/>
                <w:i w:val="0"/>
                <w:iCs w:val="0"/>
                <w:color w:val="auto"/>
                <w:sz w:val="18"/>
                <w:szCs w:val="18"/>
                <w:highlight w:val="none"/>
                <w:u w:val="none"/>
                <w:lang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left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left w:val="single" w:color="000000" w:sz="4" w:space="0"/>
              <w:right w:val="single" w:color="000000" w:sz="4" w:space="0"/>
            </w:tcBorders>
            <w:tcW w:w="105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6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中高端麻醉机</w:t>
            </w:r>
            <w:r>
              <w:rPr>
                <w:rFonts w:hint="eastAsia" w:asciiTheme="minorEastAsia" w:hAnsiTheme="minorEastAsia" w:cstheme="minorEastAsia"/>
                <w:b/>
                <w:bCs/>
                <w:i w:val="0"/>
                <w:iCs w:val="0"/>
                <w:color w:val="auto"/>
                <w:sz w:val="21"/>
                <w:szCs w:val="21"/>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t xml:space="preserve">手术室，8台；妇科门诊手术室，4台；生殖中心，1台；计生及门诊手术室，2台；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left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left w:val="single" w:color="000000" w:sz="4" w:space="0"/>
              <w:right w:val="single" w:color="000000" w:sz="4" w:space="0"/>
            </w:tcBorders>
            <w:tcW w:w="105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麻醉机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rPr>
              <w:t xml:space="preserve">产房，1台</w:t>
            </w:r>
            <w:r>
              <w:rPr>
                <w:rFonts w:hint="eastAsia" w:ascii="宋体" w:hAnsi="宋体" w:eastAsia="宋体" w:cs="宋体"/>
                <w:i w:val="0"/>
                <w:iCs w:val="0"/>
                <w:color w:val="auto"/>
                <w:sz w:val="18"/>
                <w:szCs w:val="18"/>
                <w:highlight w:val="none"/>
                <w:u w:val="none"/>
                <w:lang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left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left w:val="single" w:color="000000" w:sz="4" w:space="0"/>
              <w:right w:val="single" w:color="000000" w:sz="4" w:space="0"/>
            </w:tcBorders>
            <w:tcW w:w="105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高端麻醉机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rPr>
              <w:t xml:space="preserve">手术室，1台</w:t>
            </w:r>
            <w:r>
              <w:rPr>
                <w:rFonts w:hint="eastAsia" w:ascii="宋体" w:hAnsi="宋体" w:eastAsia="宋体" w:cs="宋体"/>
                <w:i w:val="0"/>
                <w:iCs w:val="0"/>
                <w:color w:val="auto"/>
                <w:sz w:val="18"/>
                <w:szCs w:val="18"/>
                <w:highlight w:val="none"/>
                <w:u w:val="none"/>
                <w:lang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left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left w:val="single" w:color="000000" w:sz="4" w:space="0"/>
              <w:right w:val="single" w:color="000000" w:sz="4" w:space="0"/>
            </w:tcBorders>
            <w:tcW w:w="105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30"/>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5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pacing w:val="8"/>
                <w:sz w:val="21"/>
                <w:szCs w:val="21"/>
                <w:highlight w:val="none"/>
              </w:rPr>
              <w:t xml:space="preserve">包</w:t>
            </w:r>
            <w:r>
              <w:rPr>
                <w:rFonts w:hint="eastAsia" w:ascii="宋体" w:hAnsi="宋体" w:eastAsia="宋体" w:cs="宋体"/>
                <w:b/>
                <w:bCs/>
                <w:color w:val="auto"/>
                <w:spacing w:val="8"/>
                <w:sz w:val="21"/>
                <w:szCs w:val="21"/>
                <w:highlight w:val="none"/>
                <w:lang w:val="en-US" w:eastAsia="zh-CN"/>
              </w:rPr>
              <w:t xml:space="preserve">2</w:t>
            </w:r>
            <w:r>
              <w:rPr>
                <w:rFonts w:hint="eastAsia" w:ascii="宋体" w:hAnsi="宋体" w:eastAsia="宋体" w:cs="宋体"/>
                <w:b/>
                <w:bCs/>
                <w:color w:val="auto"/>
                <w:spacing w:val="8"/>
                <w:sz w:val="21"/>
                <w:szCs w:val="21"/>
                <w:highlight w:val="none"/>
              </w:rPr>
              <w:t xml:space="preserve">：</w:t>
            </w:r>
            <w:r>
              <w:rPr>
                <w:rFonts w:hint="eastAsia" w:ascii="宋体" w:hAnsi="宋体" w:eastAsia="宋体" w:cs="宋体"/>
                <w:b/>
                <w:bCs/>
                <w:color w:val="auto"/>
                <w:spacing w:val="8"/>
                <w:sz w:val="21"/>
                <w:szCs w:val="21"/>
                <w:highlight w:val="none"/>
                <w:lang w:eastAsia="zh-CN"/>
              </w:rPr>
              <w:t xml:space="preserve">心肺复苏机</w:t>
            </w:r>
            <w:r/>
          </w:p>
        </w:tc>
      </w:tr>
      <w:tr>
        <w:trPr>
          <w:jc w:val="center"/>
          <w:trHeight w:val="17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心肺复苏机  </w:t>
            </w:r>
            <w:r>
              <w:rPr>
                <w:rFonts w:hint="eastAsia" w:asciiTheme="minorEastAsia" w:hAnsiTheme="minorEastAsia" w:cstheme="minorEastAsia"/>
                <w:b/>
                <w:bCs/>
                <w:i w:val="0"/>
                <w:iCs w:val="0"/>
                <w:color w:val="auto"/>
                <w:sz w:val="21"/>
                <w:szCs w:val="21"/>
                <w:highlight w:val="none"/>
                <w:u w:val="none"/>
                <w:lang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rPr>
              <w:t xml:space="preserve">ICU</w:t>
            </w:r>
            <w:r>
              <w:rPr>
                <w:rFonts w:hint="eastAsia" w:ascii="宋体" w:hAnsi="宋体" w:eastAsia="宋体" w:cs="宋体"/>
                <w:i w:val="0"/>
                <w:iCs w:val="0"/>
                <w:color w:val="auto"/>
                <w:sz w:val="18"/>
                <w:szCs w:val="18"/>
                <w:highlight w:val="none"/>
                <w:u w:val="none"/>
                <w:lang w:eastAsia="zh-CN"/>
              </w:rPr>
              <w:t xml:space="preserve">，</w:t>
            </w:r>
            <w:r>
              <w:rPr>
                <w:rFonts w:hint="eastAsia" w:ascii="宋体" w:hAnsi="宋体" w:eastAsia="宋体" w:cs="宋体"/>
                <w:i w:val="0"/>
                <w:iCs w:val="0"/>
                <w:color w:val="auto"/>
                <w:sz w:val="18"/>
                <w:szCs w:val="18"/>
                <w:highlight w:val="none"/>
                <w:u w:val="none"/>
              </w:rPr>
              <w:t xml:space="preserve">1台</w:t>
            </w:r>
            <w:r>
              <w:rPr>
                <w:rFonts w:hint="eastAsia" w:ascii="宋体" w:hAnsi="宋体" w:eastAsia="宋体" w:cs="宋体"/>
                <w:i w:val="0"/>
                <w:iCs w:val="0"/>
                <w:color w:val="auto"/>
                <w:sz w:val="18"/>
                <w:szCs w:val="18"/>
                <w:highlight w:val="none"/>
                <w:u w:val="none"/>
                <w:lang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pacing w:val="8"/>
                <w:sz w:val="21"/>
                <w:szCs w:val="21"/>
                <w:highlight w:val="none"/>
              </w:rPr>
              <w:t xml:space="preserve">自合同签订后</w:t>
            </w:r>
            <w:r>
              <w:rPr>
                <w:rFonts w:hint="eastAsia" w:ascii="宋体" w:hAnsi="宋体" w:eastAsia="宋体" w:cs="宋体"/>
                <w:color w:val="auto"/>
                <w:spacing w:val="8"/>
                <w:sz w:val="21"/>
                <w:szCs w:val="21"/>
                <w:highlight w:val="none"/>
                <w:lang w:val="en-US" w:eastAsia="zh-CN"/>
              </w:rPr>
              <w:t xml:space="preserve">15</w:t>
            </w:r>
            <w:r>
              <w:rPr>
                <w:rFonts w:hint="eastAsia" w:ascii="宋体" w:hAnsi="宋体" w:eastAsia="宋体" w:cs="宋体"/>
                <w:color w:val="auto"/>
                <w:spacing w:val="8"/>
                <w:sz w:val="21"/>
                <w:szCs w:val="21"/>
                <w:highlight w:val="none"/>
              </w:rPr>
              <w:t xml:space="preserve">日内设备供货并完成安装调试交付使用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bl>
    <w:p>
      <w:pPr>
        <w:numPr>
          <w:ilvl w:val="0"/>
          <w:numId w:val="3"/>
        </w:num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 xml:space="preserve">技术参数及要求</w:t>
      </w:r>
      <w:r/>
    </w:p>
    <w:p>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rPr>
        <w:t xml:space="preserve">包</w:t>
      </w:r>
      <w:r>
        <w:rPr>
          <w:rFonts w:hint="eastAsia" w:ascii="黑体" w:hAnsi="黑体" w:eastAsia="黑体"/>
          <w:b/>
          <w:color w:val="auto"/>
          <w:sz w:val="28"/>
          <w:szCs w:val="28"/>
          <w:highlight w:val="none"/>
          <w:lang w:val="en-US" w:eastAsia="zh-CN"/>
        </w:rPr>
        <w:t xml:space="preserve">1</w:t>
      </w:r>
      <w:r>
        <w:rPr>
          <w:rFonts w:hint="eastAsia" w:ascii="黑体" w:hAnsi="黑体" w:eastAsia="黑体"/>
          <w:b/>
          <w:color w:val="auto"/>
          <w:sz w:val="28"/>
          <w:szCs w:val="28"/>
          <w:highlight w:val="none"/>
        </w:rPr>
        <w:t xml:space="preserve">：</w:t>
      </w:r>
      <w:r>
        <w:rPr>
          <w:rFonts w:hint="eastAsia" w:ascii="黑体" w:hAnsi="黑体" w:eastAsia="黑体"/>
          <w:b/>
          <w:color w:val="auto"/>
          <w:sz w:val="28"/>
          <w:szCs w:val="28"/>
          <w:highlight w:val="none"/>
          <w:lang w:eastAsia="zh-CN"/>
        </w:rPr>
        <w:t xml:space="preserve">除颤监护仪、麻醉机</w:t>
      </w:r>
      <w:r>
        <w:rPr>
          <w:rFonts w:hint="eastAsia" w:ascii="黑体" w:hAnsi="黑体" w:eastAsia="黑体"/>
          <w:b/>
          <w:color w:val="auto"/>
          <w:sz w:val="28"/>
          <w:szCs w:val="28"/>
          <w:highlight w:val="none"/>
        </w:rPr>
        <w:t xml:space="preserve">等</w:t>
      </w:r>
      <w:r>
        <w:rPr>
          <w:rFonts w:hint="eastAsia" w:ascii="黑体" w:hAnsi="黑体" w:eastAsia="黑体"/>
          <w:b/>
          <w:color w:val="auto"/>
          <w:sz w:val="28"/>
          <w:szCs w:val="28"/>
          <w:highlight w:val="none"/>
          <w:lang w:val="en-US" w:eastAsia="zh-CN"/>
        </w:rPr>
        <w:t xml:space="preserve">技术参数及要求</w:t>
      </w:r>
      <w:r/>
    </w:p>
    <w:tbl>
      <w:tblPr>
        <w:tblStyle w:val="651"/>
        <w:tblW w:w="10331"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677"/>
        <w:gridCol w:w="893"/>
        <w:gridCol w:w="39"/>
        <w:gridCol w:w="8175"/>
      </w:tblGrid>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除颤监护仪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彩色电容触摸屏≥8英寸, 分辨率1024×768像素，可显示≥5通道监护参数波形，支持手势操作、自动亮度调节，重量：≤4.2kg（含电池）。</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提供图形化故障排除指引，帮助医护人员快速解决设备故障。</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支持中文操作界面，屏幕显示心电波形扫描时间最大不小于36s。</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▲具备手动除颤、心电监护、呼吸监护、自动体外除颤（AED）功能，AED功能适用于29天以上人群。</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除颤采用双相波技术，具备自动阻抗补偿功能。</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★手动除颤分为同步和异步两种方式，可通过体外电极板进行能量选择，最大能量可达360J。</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可配置体内除颤手柄，体内手动除颤能量选择：1/2/3/4/5/6/7/8/9/10/15/20/30/50 J。</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▲支持至少三种尺寸体内除颤电极板，适用不同病人类型。</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体外除颤电极板同时支持成人和小儿，一体化设计，支持快速切换。</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电极板支持能量选择，充电和放电三步操作，满足单人除颤操作。</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AED除颤功能提供中文语音和中文提醒功能，对于抢救过程支持自动录音功能，记录时长≥8小时。</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开机到可正常使用时间≤2s；除颤充电迅速，充电至200J≤4s；除颤后心电基线恢复时间≤2.5s。</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体外电极板支持病人接触状态显示。</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可选配CPR辅助功能，CPR传感器设计符合2020 AHA指南，提供即时的按压反馈，设备界面提供按压深度、频率实时参数显示。</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通过心电电极片可监测的心律失常分析种类不少于27种。</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支持ST和QT实时分析；阻抗呼吸率范围：0-200rpm。</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可根据病人类型自动切换除颤默认能量、CPR提示和参数报警限。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标配1块外置智能锂电池，可支持200J除颤≥300次，</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无需开机或拆机即可查看电池电量；电池可徒手拆卸，无需拆机，便于维护。</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配置50mm记录纸记录仪，可同时打印不少于3通道波形；自动打印除颤记录，单次波形记录时间最大不小于30s；支持连续波形记录。</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可存储120小时连续ECG波形，数据可导出至电脑查看。</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关机状态下设备支持每天定时自动运行自检（含监护模块和治疗模块），支持定期自动大能量自检（最大放电能量）。</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具备良好的防尘防水性能，防尘防水级别IP55；具备优异的抗跌落性能，可承受0.75米跌落冲击。</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工作环境温度范围：-20°C-55°C，湿度范围：5%-95%，大气压范围：57.0 kPa ～ 106.2 kPa。</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一、AED主机</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1.1设备具备优异的抗冲击/跌落性能，机器六面均可承受≥1.5 m跌落冲击，具有良好的防尘防水设计，防尘防水级别IP55。</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1.2★整机重量（含1 块电池和1付电极片）≤2.6kg，设备具备便携把手，具备高便携性。</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1.3工作温度范围至少满足 -5ºC～50ºC，且从室温环境下进入-20ºC 环境后，至少能工作60分钟。</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1.4采用双相波除颤技术，除颤方式为半自动，最终实施电击应由操作者操作。</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1.5具备开盖开机，为适应普通民众使用，防止误操作，设备按键数量≤3个(包含软按键和非实体按键)，设备具备中英文一键切换功能。</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1.6提供≥4英寸彩色屏幕，提供清晰的交互式动画指导，包括AED使用训练和使用指导和心肺复苏按压指导。</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1.7当施救者在实施CPR心肺复苏时，设备主机显示屏可动画显示按压频率，直观指示按压是否达标，指导施救者提供高质量心肺复苏。</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1.8设备显示屏亮度可根据环境亮度自动调节，无需手动设置；设备可根据环境嘈杂程度自动调节语音音量，无需手动设置。</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1.9▲成人最大输出能量360J，具备成人及儿童一键切换功能，根据成人和儿童模式提供相应的视频和语言操作指引。</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1.10成人首次电击能量不小于200J，儿童首次电击能量不小于50J，没有消除室颤时，第二次和第三次电击分别会自动提供更高级别能量，第三次后的后续电击成人维持最大能量360J，儿童维持最大能量100J。</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1.11设备主机配置的心率分析算法性能测评数据库数量不少于6个，开始心电分析到200J放电就绪≤5秒，开始心电分析到360J放电就绪≤12秒。</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1.12设备每日、每周、每月对控制模块、充放电、治疗模块等多项自检功能，设备状态指示灯根据自检结果红灯/绿灯显示设备状态，设备在故障时发出报警声。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1.13可存储抢救记录数据，包括ECG 波形、抢救事件记录、放电时间、除颤电击次数、录音文件等，抢救数据可传输或导出至电脑端。</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1.14设备的内部数据可存储≥3650份自检报告。</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二、电池</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2.1一次性电池，最大可支持单块电池容量4500mAH，在不进行电击的情况下电池待机时间≥5年。</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2.2单块电池最大可进行200次360J除颤放电，电池首次低电量警示后，至少可进行6次360J除颤充放电。</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三、电极片</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3.1一次性电极片，支持成人及儿童一键切换，单付电极片有效期≥60个月。</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3.2待机状态下电极片已经提前与机器连接，电极片不裸露于机器外，可通过主机电极片查看窗不开机不开盖可以查看电极片上有效期。</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四、AED机箱</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4.1采用立柜式或挂壁式机箱，机箱带透视窗，AED取用方便。</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五、配置及要求</w:t>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5.1配置清单：除颤器主机、锂电池、电极片、使用说明书、快速参考指南等。</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5.2为避免产生售后争议，投标供应商需提供生产厂家出具的针对本项目的售后服务承诺书。</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中高端麻醉机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★用于对成人、儿童和新生儿的吸入麻醉及呼吸管理</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★电子显示流量计，空气范围： 0L/min～15L/min，氧气范围： 0L/min～15L/min，笑气范围： 0L/min～12L/min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标配氧气、空气两气源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回路部件可以耐受134℃高温高压消毒以避免院内交叉感染</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快速充氧范围25 - 75 L/min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▲二氧化碳吸收器（钠石灰罐）容量≤1500ml，更快速响应新鲜气体流量改变，适用于低微流量麻醉应用</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▲一体化回路中具备机械式气道压力表，便于屏幕失效情况下观察患者气道压力，避免风险</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标配CO2旁路功能，在机械通气过程中，更换钠石灰罐无需关停机械通气，可方便直接更换</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▲可选配同品牌地氟醚挥发罐，挥发罐和主机同品牌</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★其中5台配置高流量给氧功能，流量范围不小于 2-80 L/min，氧浓度设置范围21~100%</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▲呼吸机吸气阀峰值流速：170 L/min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多种通气模式：手动/自主、容量控制通气、压力控制通气、压力调节容量控制通气</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容量控制（VCV）潮气量设置范围：10ml-1500ml</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屏幕尺寸≥15英寸，同屏幕≥4通道波形显示</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具备心肺旁流模式CPB, 且心肺旁流模式可在手动通气模式和机控通气模式下启动</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支持显示P-V，V-F，P-F三种类型环图</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监测参数：呼吸频率、潮气量、分钟通气量、吸呼比、气道压（峰压、平台压、平均压、PEEP）、气道阻力、顺应性；麻醉气体分析（N2O，EtCO2，自动识别五种麻醉气体吸入呼出浓度监测）</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麻醉机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用于对成人、儿童和新生儿的吸入麻醉及呼吸管理</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标配氧气、空气两气源</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快速充氧范围25 - 75 L/min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★双管机械流量计，空气范围： 0L/min～15L/min，氧气范围： 0L/min～15L/min，笑气范围： 0L/min～10L/min</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一体化集成回路，具有可观测的吸气呼气单向阀，机械气道压力表以及手动/机控切换开关</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▲二氧化碳吸收罐，容积≤1500ml，满足临床低微流量麻醉需要</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回路部件可以耐受134℃高温高压消毒以避免院内交叉感染(包括流量传感器)</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具有回路整体加温功能，保证回路不受积水影响，保证流量传感器精准及向病人提供温暖气体，避免对呼吸道的刺激</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提供辅助/控制通气，标配通气模式：VCV</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可根据病人理想体重自动设置潮气量，调节潮气量时可显示潮气量/理想体重</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潮气量设置范围：10ml-1500ml</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不小于12英寸彩色触摸屏，可同屏显示3道波形</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支持显示P-V，V-F，P-F三种类型环图</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高端麻醉机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★用于对成人、儿童和新生儿的吸入麻醉及呼吸管理，需配置麻醉监护仪、输注泵站，实现智能麻醉实施、重症通气、全面监测病人生命体征</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全电子流量计 (可直接设置氧浓度和总流量) （总流量控制模式下总流量范围：0.2-20 L/min。O2 浓度范围： 21% - 100% (空气为平衡气)</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配置高流量给氧功能，流量范围不低于 2-80 L/min，氧浓度设置范围21~100%</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★配置高频喷射通气功能或提供高频喷射单机，支持高频叠加常频喷射通气模式</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回路部件可以耐受134℃高温高压消毒以避免院内交叉感染</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▲二氧化碳吸收器（钠石灰罐）容量≤1500ml，更快速响应新鲜气体流量改变，适用于低微流量麻醉应用</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一体化回路中具备机械式气道压力表，便于屏幕失效情况下观察患者气道压力，避免风险</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提供辅助/控制通气，手动/自主、容量控制通气、压力控制通气、容量控制同步间歇指令通气、压力控制同步间歇指令通气、压力调节容量控制通气、压力调节容量控制同步间歇指令通气等</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容量控制（VCV）潮气量设置范围：10ml-1500ml</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配置肺保护工具：支持两种复张手法——单周期和多周期，支持定时膨肺功能</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屏幕尺寸≥18英寸，同屏幕≥4通道波形显示</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支持呼吸环（P-V，P-F，V-F）监测</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监测参数：呼吸频率、潮气量、分钟通气量、吸呼比、气道压（峰压、平台压、平均压、PEEP）、气道阻力、顺应性；麻醉气体分析（N2O，EtCO2，自动识别五种麻醉气体吸入呼出浓度监测）；</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配备模块化插件式监护仪一台，支持与麻醉机连接，屏幕尺寸≥17英寸，基本功能模块至少支持心电、呼吸、心率、无创血压、血氧饱和度、脉搏、双通道体温、双通道有创血压、呼末二氧化碳的监测。</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监护仪需具备脑电双频指数监测，呼末二氧化碳监测功能</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▲麻醉工作站需配有四通道的输注泵站，配备注射泵3台，输液泵1台。</w:t>
            </w:r>
            <w:r/>
          </w:p>
        </w:tc>
      </w:tr>
      <w:tr>
        <w:trPr>
          <w:jc w:val="right"/>
          <w:trHeight w:val="23"/>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1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具备网络接口、信号接口等，支持HL7协议数据对接，配备麻醉远程控制中央站，中央站可查看监护仪、麻醉机、输注泵界面，需实现远程操控麻醉机、监护仪、调节输注泵参数</w:t>
            </w:r>
            <w:r/>
          </w:p>
        </w:tc>
      </w:tr>
    </w:tbl>
    <w:p>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rPr>
        <w:t xml:space="preserve">包</w:t>
      </w:r>
      <w:r>
        <w:rPr>
          <w:rFonts w:hint="eastAsia" w:ascii="黑体" w:hAnsi="黑体" w:eastAsia="黑体"/>
          <w:b/>
          <w:color w:val="auto"/>
          <w:sz w:val="28"/>
          <w:szCs w:val="28"/>
          <w:highlight w:val="none"/>
          <w:lang w:val="en-US" w:eastAsia="zh-CN"/>
        </w:rPr>
        <w:t xml:space="preserve">2</w:t>
      </w:r>
      <w:r>
        <w:rPr>
          <w:rFonts w:hint="eastAsia" w:ascii="黑体" w:hAnsi="黑体" w:eastAsia="黑体"/>
          <w:b/>
          <w:color w:val="auto"/>
          <w:sz w:val="28"/>
          <w:szCs w:val="28"/>
          <w:highlight w:val="none"/>
        </w:rPr>
        <w:t xml:space="preserve">：</w:t>
      </w:r>
      <w:r>
        <w:rPr>
          <w:rFonts w:hint="eastAsia" w:ascii="黑体" w:hAnsi="黑体" w:eastAsia="黑体"/>
          <w:b/>
          <w:color w:val="auto"/>
          <w:sz w:val="28"/>
          <w:szCs w:val="28"/>
          <w:highlight w:val="none"/>
          <w:lang w:eastAsia="zh-CN"/>
        </w:rPr>
        <w:t xml:space="preserve">心肺复苏机</w:t>
      </w:r>
      <w:r>
        <w:rPr>
          <w:rFonts w:hint="eastAsia" w:ascii="黑体" w:hAnsi="黑体" w:eastAsia="黑体"/>
          <w:b/>
          <w:color w:val="auto"/>
          <w:sz w:val="28"/>
          <w:szCs w:val="28"/>
          <w:highlight w:val="none"/>
          <w:lang w:val="en-US" w:eastAsia="zh-CN"/>
        </w:rPr>
        <w:t xml:space="preserve">技术参数及要求</w:t>
      </w:r>
      <w:r/>
    </w:p>
    <w:tbl>
      <w:tblPr>
        <w:tblStyle w:val="651"/>
        <w:tblW w:w="10230"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0"/>
        <w:gridCol w:w="1170"/>
        <w:gridCol w:w="8590"/>
      </w:tblGrid>
      <w:tr>
        <w:trPr>
          <w:jc w:val="right"/>
          <w:trHeight w:val="23"/>
        </w:trPr>
        <w:tc>
          <w:tcPr>
            <w:shd w:val="clear" w:color="auto" w:fill="auto"/>
            <w:tcW w:w="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11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货物名称</w:t>
            </w:r>
            <w:r/>
          </w:p>
        </w:tc>
        <w:tc>
          <w:tcPr>
            <w:shd w:val="clear" w:color="auto" w:fill="auto"/>
            <w:tcW w:w="85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r>
      <w:tr>
        <w:trPr>
          <w:jc w:val="right"/>
          <w:trHeight w:val="23"/>
        </w:trPr>
        <w:tc>
          <w:tcPr>
            <w:shd w:val="clear" w:color="auto" w:fill="auto"/>
            <w:tcW w:w="4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1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心肺复苏机</w:t>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1.▲按压原理：采用胸腔接触式按压方式，胸部无负荷、垂直按压、自动中心位置定位；背部有硬质支撑。</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 ▲驱动方式：电动电控。</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 ▲机械结构：为双杆两侧固定结构，固定和支撑按压主机必须是使用硬质材料制成，无有弹性软质材料，确保有效的按压压力及按压深度。功能操作界面在设备上方，便于按压位置的快速准确定位、操作清晰方便。</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具有负压吸引杯，能帮助胸廓回弹。</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 ▲适用胸廓范围：最大胸宽≥47±2.5cm，胸腔高度范围≥13.3-30.3 cm，误差±1cm。</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工作状态：最大工作倾斜度≥66°，具有担架固定孔位，可固定担架上，确保下楼梯、转运途中能持续稳定实施胸腔按压，完全达到上述功能。</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具有气道开放垫，便于患者胸腔回弹及气道打开有效通气。</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具有患者手部固定环，位于心肺复苏设备两端。</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 ▲主机具有数据显示屏，≥3.5英寸，至少可显示胸外按压分数（CCF）实时数据及趋势图、呼末二氧化碳（EtCO2）趋势图、血氧饱和度（SPO2）趋势图、按压模式、按压深度、按压频率、按压时间等关键参数指标。</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在按压深度为5.6cm时，实际按压峰值压力&gt;70公斤。</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按压深度释放比:50%±2%，按压回弹深度及实际按压深度比1:1。确保按压完全回弹。</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除颤状态下，按暂停键，除颤完成后，再次按暂停键，恢复按压，期间不间断CCF时间记录。</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按压频率：100-120 次／分钟，连续可调；也可按3挡设置，100次/分钟，110次/分钟、120次/分钟，可由低向高或由高向低，连续调节按压频率；实际按压频率与设置值误差为≤±1 次/分钟。确保不同身高体重的患者快速设置按压。</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按压深度：0-56mm范围，支持步进为1mm的连续可调；也可按3挡设置，3.6cm，4.6cm及5.6cm，可由低向高或由高向低，连续调节按压深度；误差为≦±0.2cm。确保不同身高体重的患者快速设置按压。</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按压通气模式：15:2 按压模式、30:2 按压模式、连续按压通气模式（CCV模式）。</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具有辅助通气提示功能，提示救护人员通气及通气时间，15:2 按压模式及30:2 按压模式下：按压次数倒数5次开始提示5次；连续按压通气模式（CCV模式）：每按压10次通一次气，通气时间到达前提示3次。</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在 15:2 及 30:2 模式下，通气停顿时间不大于 3 秒。</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18. ▲电池负载（最大压力85公斤）情况下运行时间≥70分钟，电池负载为60公斤时运行≥115分钟。</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19. 充电时间≤90分钟。</w:t>
            </w:r>
            <w:r>
              <w:rPr>
                <w:rFonts w:hint="eastAsia" w:ascii="宋体" w:hAnsi="宋体" w:eastAsia="宋体" w:cs="宋体"/>
                <w:i w:val="0"/>
                <w:iCs w:val="0"/>
                <w:color w:val="auto"/>
                <w:sz w:val="21"/>
                <w:szCs w:val="21"/>
                <w:highlight w:val="none"/>
                <w:u w:val="none"/>
                <w:lang w:val="en-US" w:eastAsia="zh-CN" w:bidi="ar"/>
              </w:rPr>
              <w:t xml:space="preserve">电池空载运行时间≥150分钟。</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具有电池电量显示与低电量报警功能，电池低电量报警后，设备至少还能工作35分钟。</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数据储存：≥16GB,可储存至少10000个事件数据，通过 U盘进行数据加密导出。</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设备支持连接WIFI，实时传输监测数据和报警数据。</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能显示胸外按压分数（CCF）实时数据及趋势图。</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24. ▲设备能自动生成输出心肺复苏功能及实时效果监测分析报告，抢救结束后即可统计CCF、呼末二氧化碳（EtCO2）趋势图、血氧饱和度（SPO2）趋势图、按压总时间、心肺复苏总时间、按压总次数、最长按压中断时间、按压中断总时间、中断总次数（&gt;10秒）、按压频率、按压深度等相关抢救数据。</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内置呼末二氧化碳（EtCO2）检测功能，主机能显示呼末二氧化碳（EtCO2）趋势图，对呼末二氧化碳浓度实时监测，监测范围0-150mmHg；0-40mmHg范围内，误差≦±2mmHg；41-70mmHg范围内，误差为读值的≦±5%；71-100mmHg范围内，误差为读值的≦±8%；101-150mmHg范围内，误差为读值的≦±10% 。</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26. ▲内置血氧饱和度（SPO</w:t>
            </w:r>
            <w:r>
              <w:rPr>
                <w:rFonts w:hint="eastAsia" w:ascii="宋体" w:hAnsi="宋体" w:eastAsia="宋体" w:cs="宋体"/>
                <w:b/>
                <w:bCs/>
                <w:i w:val="0"/>
                <w:iCs w:val="0"/>
                <w:color w:val="auto"/>
                <w:sz w:val="21"/>
                <w:szCs w:val="21"/>
                <w:highlight w:val="none"/>
                <w:u w:val="none"/>
                <w:vertAlign w:val="subscript"/>
                <w:lang w:val="en-US" w:eastAsia="zh-CN" w:bidi="ar"/>
              </w:rPr>
              <w:t xml:space="preserve">2</w:t>
            </w:r>
            <w:r>
              <w:rPr>
                <w:rFonts w:hint="eastAsia" w:ascii="宋体" w:hAnsi="宋体" w:eastAsia="宋体" w:cs="宋体"/>
                <w:b/>
                <w:bCs/>
                <w:i w:val="0"/>
                <w:iCs w:val="0"/>
                <w:color w:val="auto"/>
                <w:sz w:val="21"/>
                <w:szCs w:val="21"/>
                <w:highlight w:val="none"/>
                <w:u w:val="none"/>
                <w:lang w:val="en-US" w:eastAsia="zh-CN" w:bidi="ar"/>
              </w:rPr>
              <w:t xml:space="preserve">）检测功能，主机能显示血氧饱和度（SPO</w:t>
            </w:r>
            <w:r>
              <w:rPr>
                <w:rFonts w:hint="eastAsia" w:ascii="宋体" w:hAnsi="宋体" w:eastAsia="宋体" w:cs="宋体"/>
                <w:b/>
                <w:bCs/>
                <w:i w:val="0"/>
                <w:iCs w:val="0"/>
                <w:color w:val="auto"/>
                <w:sz w:val="21"/>
                <w:szCs w:val="21"/>
                <w:highlight w:val="none"/>
                <w:u w:val="none"/>
                <w:vertAlign w:val="subscript"/>
                <w:lang w:val="en-US" w:eastAsia="zh-CN" w:bidi="ar"/>
              </w:rPr>
              <w:t xml:space="preserve">2</w:t>
            </w:r>
            <w:r>
              <w:rPr>
                <w:rFonts w:hint="eastAsia" w:ascii="宋体" w:hAnsi="宋体" w:eastAsia="宋体" w:cs="宋体"/>
                <w:b/>
                <w:bCs/>
                <w:i w:val="0"/>
                <w:iCs w:val="0"/>
                <w:color w:val="auto"/>
                <w:sz w:val="21"/>
                <w:szCs w:val="21"/>
                <w:highlight w:val="none"/>
                <w:u w:val="none"/>
                <w:lang w:val="en-US" w:eastAsia="zh-CN" w:bidi="ar"/>
              </w:rPr>
              <w:t xml:space="preserve">）趋势图，并连接血氧饱和度监测模块，显示血氧饱和度读值，血氧浓度范围：35-100%，在70%-100%范围内，测量误差为≦±2%。</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工作温度：连续运行状态下：最低工作温度≤-15℃，最高工作温度≥40℃；短暂运行状态下（不少于 20min）：最低工作温度≤-20℃，最高工作温度≥50℃。</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存储温度：-30℃～+70℃。电池工作温度：-20℃～60℃。</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最高持续工作相对湿度：≥98%，无冷凝，满足潮湿天气环境下的急救需求。</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主机及电源适配器防尘防水等级≥IP43、电池防尘防水等级≥IP44。</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具有单独电池离线查看电量功能，保证设备正常安全有效工作。</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设备具备查看电池使用寿命功能。</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通过空港运输安全认证，符合IEC62133-2：2017及UN38.3认证标准，可适用于航空、船舶安全海运。</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防电击类型程度：Ⅱ类CF型，应用部分可与患者心脏直接接触的使用；具有双重绝缘或加强绝缘设计，无需专用接地线，满足紧急医疗服务环境中或移动的救护车内无地线环境使用；同时具备内部电源的供电设备。</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应用部分具有除颤放电效应防护，除颤时无需移开设备以减少按压中断时间，提高抢救成功率。</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电气安全要求：符合 GB 9706.1—2020、GB 9706.255-2022、YY 9706.261-2023 标准要求。</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 电磁兼容性：符合 YY9706.102—2021 标准要求。</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38. 紧急医疗服务环境适应性：符合医用电气设备 IEC60601-1-12 所定义的 EMS 环境（紧急医疗服务环境）下使用要求。</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 整机重量（含1个动力电池）≤6.5kg。</w:t>
            </w:r>
            <w:r/>
          </w:p>
        </w:tc>
      </w:tr>
      <w:tr>
        <w:trPr>
          <w:jc w:val="right"/>
          <w:trHeight w:val="23"/>
        </w:trPr>
        <w:tc>
          <w:tcPr>
            <w:shd w:val="clear" w:color="auto" w:fill="auto"/>
            <w:tcW w:w="4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17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8590"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40. ▲主机可快速上下升降，可根据患者体形差异和操作环境的不同，快速将按压头与患者胸部定位，主机重心可调节，按压稳定。</w:t>
            </w:r>
            <w:r/>
          </w:p>
        </w:tc>
      </w:tr>
    </w:tbl>
    <w:p>
      <w:pPr>
        <w:numPr>
          <w:ilvl w:val="0"/>
          <w:numId w:val="0"/>
        </w:numPr>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 xml:space="preserve">★</w:t>
      </w:r>
      <w:r>
        <w:rPr>
          <w:rFonts w:hint="eastAsia" w:ascii="黑体" w:hAnsi="黑体" w:eastAsia="黑体" w:cs="宋体"/>
          <w:b/>
          <w:color w:val="auto"/>
          <w:sz w:val="28"/>
          <w:szCs w:val="28"/>
          <w:highlight w:val="none"/>
          <w:lang w:val="en-US" w:eastAsia="zh-CN"/>
        </w:rPr>
        <w:t xml:space="preserve">三、商务要求</w:t>
      </w:r>
      <w:r/>
    </w:p>
    <w:p>
      <w:pPr>
        <w:numPr>
          <w:ilvl w:val="0"/>
          <w:numId w:val="4"/>
        </w:num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付款方式：以第五章合同文本内容为准。</w:t>
      </w:r>
      <w:r/>
    </w:p>
    <w:p>
      <w:pPr>
        <w:numPr>
          <w:ilvl w:val="0"/>
          <w:numId w:val="4"/>
        </w:num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交货期：自合同签订后15日内设备供货并完成安装调试交付使用。</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3.质保期：设备验收合格后原厂质保不少于5年，质保期外提供终身维修服务，软件终身免费升级。</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4.维修保证：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（2）保修期内，中标人负责对其提供的货物进行维修，不再收取任何费用，所有维修配件均为原厂全新合格产品，但不可抗力（如火灾、雷击等）造成的故障除外。</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（3）所有货物保修服务方式均为中标人上门保修，即由中标人派员到货物使用现场维修，由此产生的一切费用均由中标人承担。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（6）保修期内提供不限次数现场维修，免费更换所含备件/配件。</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（7）免费提供设备的系统软件及硬件的安全性改版升级和技术支持。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5.货物和系统调试验收的标准：按行业通行标准、厂方出厂标准和中标人投标文件的承诺，供应商提供的商品必须符合我国最新颁布的与之相关的技术规范与标准。</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6.货物到达需方地址至验收合格期间，由供应商负责保管，若因保管不当造成的质量问题，供应商应负责修理，同时费用由供应商承担。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firstLine="48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440" w:lineRule="exact"/>
        <w:rPr>
          <w:rFonts w:hint="eastAsia" w:ascii="黑体" w:hAnsi="黑体" w:eastAsia="黑体" w:cs="宋体"/>
          <w:b/>
          <w:color w:val="auto"/>
          <w:sz w:val="28"/>
          <w:szCs w:val="28"/>
          <w:highlight w:val="none"/>
          <w:lang w:val="en-US" w:eastAsia="zh-CN"/>
        </w:rPr>
        <w:outlineLvl w:val="2"/>
      </w:pPr>
      <w:r>
        <w:rPr>
          <w:rFonts w:hint="eastAsia" w:ascii="黑体" w:hAnsi="黑体" w:eastAsia="黑体" w:cs="宋体"/>
          <w:b/>
          <w:color w:val="auto"/>
          <w:sz w:val="28"/>
          <w:szCs w:val="28"/>
          <w:highlight w:val="none"/>
          <w:lang w:val="en-US" w:eastAsia="zh-CN"/>
        </w:rPr>
        <w:t xml:space="preserve">四、其他</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落实商品包装、快递包装政府采购需求标准。具体详见投标人须知第</w:t>
      </w:r>
      <w:r>
        <w:rPr>
          <w:rFonts w:hint="eastAsia" w:ascii="宋体" w:hAnsi="宋体" w:eastAsia="宋体" w:cs="宋体"/>
          <w:bCs/>
          <w:color w:val="auto"/>
          <w:sz w:val="21"/>
          <w:szCs w:val="21"/>
          <w:highlight w:val="none"/>
          <w:lang w:val="en-US" w:eastAsia="zh-CN"/>
        </w:rPr>
        <w:t xml:space="preserve">29</w:t>
      </w:r>
      <w:r>
        <w:rPr>
          <w:rFonts w:hint="eastAsia" w:ascii="宋体" w:hAnsi="宋体" w:eastAsia="宋体" w:cs="宋体"/>
          <w:bCs/>
          <w:color w:val="auto"/>
          <w:sz w:val="21"/>
          <w:szCs w:val="21"/>
          <w:highlight w:val="none"/>
        </w:rPr>
        <w:t xml:space="preserve">条，在履约验收时按照本条款执行，违反本约定的对照合同违约条款追究违约责任。供应商一旦参与本项目投标，即完全响应本条款要求。</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项目实施方案</w:t>
      </w:r>
      <w:r/>
    </w:p>
    <w:p>
      <w:pPr>
        <w:pStyle w:val="832"/>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根据该项目提供符合采购人情况的设备交付方案和安装调试方案，应具有明确的交货时间、设备交付安装安排、时间进度安排。</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售后服务方案</w:t>
      </w:r>
      <w:r/>
    </w:p>
    <w:p>
      <w:pPr>
        <w:pStyle w:val="832"/>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根据该项目提供符合采购人情况的售后服务承诺及应急方案，应体现售后响应时间、应急售后措施、对可能存在的情况有具体应对方案和具体时间节点安排，售后及应急人员安排。</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培训及技术支持方案</w:t>
      </w:r>
      <w:r/>
    </w:p>
    <w:p>
      <w:pPr>
        <w:pStyle w:val="832"/>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根据该项目提供符合采购人情况的培训服务方案及技术支持方案，应具有对采购人工作人员的操作培训和售后培训以及采购人所需的技术和学术支持。</w:t>
      </w:r>
      <w:r/>
    </w:p>
    <w:p>
      <w:pPr>
        <w:pStyle w:val="832"/>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应急方案</w:t>
      </w:r>
      <w:r/>
    </w:p>
    <w:p>
      <w:pPr>
        <w:pStyle w:val="832"/>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w:t>
      </w:r>
      <w:r>
        <w:rPr>
          <w:rFonts w:hint="eastAsia" w:ascii="宋体" w:hAnsi="宋体" w:eastAsia="宋体" w:cs="宋体"/>
          <w:color w:val="auto"/>
          <w:sz w:val="21"/>
          <w:szCs w:val="21"/>
          <w:highlight w:val="none"/>
        </w:rPr>
        <w:t xml:space="preserve">应急方案及措施、应急人员安排、应急预案，应明确应急响应时间和应急人员（单位）的联系方式。</w:t>
      </w:r>
      <w:r/>
    </w:p>
    <w:p>
      <w:pPr>
        <w:pStyle w:val="832"/>
        <w:numPr>
          <w:ilvl w:val="0"/>
          <w:numId w:val="0"/>
        </w:num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投标设备产品综合性能评价</w:t>
      </w:r>
      <w:r/>
    </w:p>
    <w:p>
      <w:pPr>
        <w:pStyle w:val="832"/>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pStyle w:val="832"/>
        <w:ind w:firstLine="480"/>
        <w:spacing w:line="44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7.所投产品需取得该产品的允许销售证明。(投标时提供承诺函，中标后提供允许销售证明原件)。</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合同主要条款及格式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firstLine="420"/>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政府采购合同（货物）</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组织的____________________项目公开招标结果，签署本合同。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履行地点：采购人指定地点。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包装方式：按招标文件及投标文件执行。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二、合同金额</w:t>
      </w:r>
      <w:r/>
    </w:p>
    <w:p>
      <w:pPr>
        <w:pStyle w:val="663"/>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本合同金额为（大写）：____________________</w:t>
      </w:r>
      <w:r>
        <w:rPr>
          <w:rFonts w:hint="eastAsia"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（_________________元）人民币。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乙方应按招标文件规定的时间向甲方提供货物(包含与货物相关的服务)的有关技术资料。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四、知识产权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五、产权担保</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六、履约保证金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签订合同时，乙方</w:t>
      </w:r>
      <w:r>
        <w:rPr>
          <w:rFonts w:hint="eastAsia" w:ascii="宋体" w:hAnsi="宋体" w:eastAsia="宋体" w:cs="宋体"/>
          <w:color w:val="auto"/>
          <w:sz w:val="24"/>
          <w:szCs w:val="24"/>
          <w:highlight w:val="none"/>
          <w:lang w:eastAsia="zh-CN"/>
        </w:rPr>
        <w:t xml:space="preserve">无需</w:t>
      </w:r>
      <w:r>
        <w:rPr>
          <w:rFonts w:hint="eastAsia" w:ascii="宋体" w:hAnsi="宋体" w:eastAsia="宋体" w:cs="宋体"/>
          <w:color w:val="auto"/>
          <w:sz w:val="24"/>
          <w:szCs w:val="24"/>
          <w:highlight w:val="none"/>
        </w:rPr>
        <w:t xml:space="preserve">缴纳履约保证金。</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七、合同转包或分包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乙方不得将合同标的转包给他人履行。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乙方如有转包或未经甲方同意的分包行为，甲方有权终止合同。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八、合同款项支付</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w:t>
      </w:r>
      <w:r>
        <w:rPr>
          <w:rFonts w:hint="eastAsia" w:hAnsi="宋体" w:cs="Courier New"/>
          <w:color w:val="auto"/>
          <w:sz w:val="24"/>
          <w:szCs w:val="24"/>
          <w:highlight w:val="none"/>
          <w:lang w:val="en-US" w:eastAsia="zh-CN"/>
        </w:rPr>
        <w:t xml:space="preserve">3</w:t>
      </w:r>
      <w:r>
        <w:rPr>
          <w:rFonts w:hint="eastAsia" w:ascii="宋体" w:hAnsi="宋体" w:eastAsia="宋体" w:cs="Courier New"/>
          <w:color w:val="auto"/>
          <w:sz w:val="24"/>
          <w:szCs w:val="24"/>
          <w:highlight w:val="none"/>
          <w:lang w:val="en-US" w:eastAsia="zh-CN"/>
        </w:rPr>
        <w:t xml:space="preserve">0%作为预付款。</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0%。</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验收合格设备正常运行满一年，甲方收到供应商开具的合法有效发票后一次性付清余款</w:t>
      </w:r>
      <w:r>
        <w:rPr>
          <w:rFonts w:hint="eastAsia" w:hAnsi="宋体" w:cs="Courier New"/>
          <w:color w:val="auto"/>
          <w:sz w:val="24"/>
          <w:szCs w:val="24"/>
          <w:highlight w:val="none"/>
          <w:lang w:val="en-US" w:eastAsia="zh-CN"/>
        </w:rPr>
        <w:t xml:space="preserve">。</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cs="Courier New"/>
          <w:color w:val="auto"/>
          <w:sz w:val="24"/>
          <w:szCs w:val="24"/>
          <w:highlight w:val="none"/>
          <w:lang w:val="en-US" w:eastAsia="zh-CN"/>
        </w:rPr>
        <w:t xml:space="preserve">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 xml:space="preserve">6</w:t>
      </w:r>
      <w:r>
        <w:rPr>
          <w:rFonts w:hint="eastAsia" w:ascii="宋体" w:hAnsi="宋体" w:eastAsia="宋体" w:cs="Courier New"/>
          <w:color w:val="auto"/>
          <w:sz w:val="24"/>
          <w:szCs w:val="24"/>
          <w:highlight w:val="none"/>
          <w:lang w:val="en-US" w:eastAsia="zh-CN"/>
        </w:rPr>
        <w:t xml:space="preserve">0个工作日内，将资金支付到合同约定的乙方账户。 </w:t>
      </w:r>
      <w:r/>
    </w:p>
    <w:p>
      <w:pPr>
        <w:pStyle w:val="849"/>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849"/>
        <w:keepLines w:val="0"/>
        <w:keepNext w:val="0"/>
        <w:pageBreakBefore w:val="0"/>
        <w:spacing w:before="0" w:after="0"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九、税费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本合同执行中的相关税费均由乙方负担。</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十、质量保修范围和保修期及售后服务</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更换：由乙方承担所发生的全部费用。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贬值处理：由甲乙双方合议定价。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年，因人为因素出现的故障不在质保范围内。超过质保期的乙方负责</w:t>
      </w:r>
      <w:r>
        <w:rPr>
          <w:rFonts w:hint="eastAsia" w:ascii="宋体" w:hAnsi="宋体" w:eastAsia="宋体" w:cs="宋体"/>
          <w:color w:val="auto"/>
          <w:sz w:val="24"/>
          <w:szCs w:val="24"/>
          <w:highlight w:val="none"/>
          <w:lang w:eastAsia="zh-CN"/>
        </w:rPr>
        <w:t xml:space="preserve">终身</w:t>
      </w:r>
      <w:r>
        <w:rPr>
          <w:rFonts w:hint="eastAsia" w:ascii="宋体" w:hAnsi="宋体" w:eastAsia="宋体" w:cs="宋体"/>
          <w:color w:val="auto"/>
          <w:sz w:val="24"/>
          <w:szCs w:val="24"/>
          <w:highlight w:val="none"/>
        </w:rPr>
        <w:t xml:space="preserve">维修，维修时只收取部件成本费。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十一、项目验收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w:t>
      </w:r>
      <w:r>
        <w:rPr>
          <w:rFonts w:hint="eastAsia" w:ascii="宋体" w:hAnsi="宋体" w:eastAsia="宋体" w:cs="宋体"/>
          <w:color w:val="auto"/>
          <w:sz w:val="24"/>
          <w:szCs w:val="24"/>
          <w:highlight w:val="none"/>
          <w:lang w:eastAsia="zh-CN"/>
        </w:rPr>
        <w:t xml:space="preserve">南京鼓楼医院</w:t>
      </w:r>
      <w:r>
        <w:rPr>
          <w:rFonts w:hint="eastAsia" w:ascii="宋体" w:hAnsi="宋体" w:eastAsia="宋体" w:cs="宋体"/>
          <w:color w:val="auto"/>
          <w:sz w:val="24"/>
          <w:szCs w:val="24"/>
          <w:highlight w:val="none"/>
        </w:rPr>
        <w:t xml:space="preserve">和甲方分离的项目，甲方邀请实际使用人</w:t>
      </w:r>
      <w:r>
        <w:rPr>
          <w:rFonts w:hint="eastAsia" w:ascii="宋体" w:hAnsi="宋体" w:eastAsia="宋体" w:cs="宋体"/>
          <w:color w:val="auto"/>
          <w:sz w:val="24"/>
          <w:szCs w:val="24"/>
          <w:highlight w:val="none"/>
          <w:lang w:eastAsia="zh-CN"/>
        </w:rPr>
        <w:t xml:space="preserve">南京鼓楼医院</w:t>
      </w:r>
      <w:r>
        <w:rPr>
          <w:rFonts w:hint="eastAsia" w:ascii="宋体" w:hAnsi="宋体" w:eastAsia="宋体" w:cs="宋体"/>
          <w:color w:val="auto"/>
          <w:sz w:val="24"/>
          <w:szCs w:val="24"/>
          <w:highlight w:val="none"/>
          <w:lang w:val="en-US" w:eastAsia="zh-CN"/>
        </w:rPr>
        <w:t xml:space="preserve">共同</w:t>
      </w:r>
      <w:r>
        <w:rPr>
          <w:rFonts w:hint="eastAsia" w:ascii="宋体" w:hAnsi="宋体" w:eastAsia="宋体" w:cs="宋体"/>
          <w:color w:val="auto"/>
          <w:sz w:val="24"/>
          <w:szCs w:val="24"/>
          <w:highlight w:val="none"/>
        </w:rPr>
        <w:t xml:space="preserve">参与验收。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w:t>
      </w:r>
      <w:r>
        <w:rPr>
          <w:rFonts w:hint="eastAsia" w:ascii="宋体" w:hAnsi="宋体" w:eastAsia="宋体" w:cs="宋体"/>
          <w:color w:val="auto"/>
          <w:sz w:val="24"/>
          <w:szCs w:val="24"/>
          <w:highlight w:val="none"/>
          <w:lang w:val="en-US" w:eastAsia="zh-CN"/>
        </w:rPr>
        <w:t xml:space="preserve">牵头</w:t>
      </w:r>
      <w:r>
        <w:rPr>
          <w:rFonts w:hint="eastAsia" w:ascii="宋体" w:hAnsi="宋体" w:eastAsia="宋体" w:cs="宋体"/>
          <w:color w:val="auto"/>
          <w:sz w:val="24"/>
          <w:szCs w:val="24"/>
          <w:highlight w:val="none"/>
        </w:rPr>
        <w:t xml:space="preserve">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keepLines w:val="0"/>
        <w:keepNext w:val="0"/>
        <w:pageBreakBefore w:val="0"/>
        <w:spacing w:before="139" w:after="160" w:line="264" w:lineRule="auto"/>
        <w:widowControl/>
        <w:rPr>
          <w:rFonts w:hint="eastAsia" w:ascii="宋体" w:hAnsi="宋体" w:cs="华文宋体"/>
          <w:color w:val="auto"/>
          <w:sz w:val="22"/>
          <w:szCs w:val="22"/>
          <w:highlight w:val="none"/>
        </w:rPr>
        <w:outlineLvl w:val="9"/>
      </w:pPr>
      <w:r>
        <w:rPr>
          <w:rFonts w:hint="eastAsia" w:ascii="宋体" w:hAnsi="宋体" w:eastAsia="宋体" w:cs="宋体"/>
          <w:bCs/>
          <w:color w:val="auto"/>
          <w:sz w:val="24"/>
          <w:szCs w:val="24"/>
          <w:highlight w:val="none"/>
        </w:rPr>
        <w:t xml:space="preserve">十二、</w:t>
      </w:r>
      <w:r>
        <w:rPr>
          <w:rFonts w:ascii="宋体" w:hAnsi="宋体" w:cs="华文宋体"/>
          <w:color w:val="auto"/>
          <w:spacing w:val="-2"/>
          <w:sz w:val="22"/>
          <w:szCs w:val="22"/>
          <w:highlight w:val="none"/>
        </w:rPr>
        <w:t xml:space="preserve">维保条款</w:t>
      </w:r>
      <w:r/>
    </w:p>
    <w:p>
      <w:pPr>
        <w:ind w:left="0" w:right="0" w:firstLine="0"/>
        <w:keepLines w:val="0"/>
        <w:keepNext w:val="0"/>
        <w:pageBreakBefore w:val="0"/>
        <w:spacing w:before="236" w:line="264" w:lineRule="auto"/>
        <w:widowControl/>
        <w:rPr>
          <w:rFonts w:ascii="宋体" w:hAnsi="宋体" w:cs="华文宋体"/>
          <w:b w:val="0"/>
          <w:bCs w:val="0"/>
          <w:color w:val="auto"/>
          <w:spacing w:val="9"/>
          <w:sz w:val="22"/>
          <w:szCs w:val="22"/>
          <w:highlight w:val="none"/>
        </w:rPr>
        <w:outlineLvl w:val="9"/>
      </w:pPr>
      <w:r>
        <w:rPr>
          <w:rFonts w:hint="eastAsia" w:ascii="宋体" w:hAnsi="宋体" w:cs="华文宋体"/>
          <w:b w:val="0"/>
          <w:bCs w:val="0"/>
          <w:color w:val="auto"/>
          <w:spacing w:val="9"/>
          <w:sz w:val="22"/>
          <w:szCs w:val="22"/>
          <w:highlight w:val="none"/>
          <w:lang w:val="en-US" w:eastAsia="zh-CN"/>
        </w:rPr>
        <w:t xml:space="preserve">12.</w:t>
      </w:r>
      <w:r>
        <w:rPr>
          <w:rFonts w:ascii="宋体" w:hAnsi="宋体" w:cs="华文宋体"/>
          <w:b w:val="0"/>
          <w:bCs w:val="0"/>
          <w:color w:val="auto"/>
          <w:spacing w:val="9"/>
          <w:sz w:val="22"/>
          <w:szCs w:val="22"/>
          <w:highlight w:val="none"/>
        </w:rPr>
        <w:t xml:space="preserve">1</w:t>
      </w:r>
      <w:r>
        <w:rPr>
          <w:rFonts w:hint="eastAsia" w:ascii="宋体" w:hAnsi="宋体" w:cs="华文宋体"/>
          <w:b w:val="0"/>
          <w:bCs w:val="0"/>
          <w:color w:val="auto"/>
          <w:spacing w:val="9"/>
          <w:sz w:val="22"/>
          <w:szCs w:val="22"/>
          <w:highlight w:val="none"/>
          <w:lang w:val="en-US" w:eastAsia="zh-CN"/>
        </w:rPr>
        <w:t xml:space="preserve"> </w:t>
      </w:r>
      <w:r>
        <w:rPr>
          <w:rFonts w:ascii="宋体" w:hAnsi="宋体" w:cs="华文宋体"/>
          <w:b w:val="0"/>
          <w:bCs w:val="0"/>
          <w:color w:val="auto"/>
          <w:spacing w:val="9"/>
          <w:sz w:val="22"/>
          <w:szCs w:val="22"/>
          <w:highlight w:val="none"/>
        </w:rPr>
        <w:t xml:space="preserve">乙方</w:t>
      </w:r>
      <w:r>
        <w:rPr>
          <w:rFonts w:hint="eastAsia" w:ascii="宋体" w:hAnsi="宋体" w:cs="华文宋体"/>
          <w:b w:val="0"/>
          <w:bCs w:val="0"/>
          <w:color w:val="auto"/>
          <w:spacing w:val="9"/>
          <w:sz w:val="22"/>
          <w:szCs w:val="22"/>
          <w:highlight w:val="none"/>
          <w:lang w:val="en-US" w:eastAsia="zh-CN"/>
        </w:rPr>
        <w:t xml:space="preserve">按投标文件所</w:t>
      </w:r>
      <w:r>
        <w:rPr>
          <w:rFonts w:hint="eastAsia" w:ascii="宋体" w:hAnsi="宋体" w:cs="华文宋体"/>
          <w:b w:val="0"/>
          <w:bCs w:val="0"/>
          <w:color w:val="auto"/>
          <w:spacing w:val="9"/>
          <w:sz w:val="22"/>
          <w:szCs w:val="22"/>
          <w:highlight w:val="none"/>
          <w:u w:val="none"/>
          <w:lang w:val="en-US" w:eastAsia="zh-CN"/>
        </w:rPr>
        <w:t xml:space="preserve">响应</w:t>
      </w:r>
      <w:r>
        <w:rPr>
          <w:rFonts w:ascii="宋体" w:hAnsi="宋体" w:cs="华文宋体"/>
          <w:b w:val="0"/>
          <w:bCs w:val="0"/>
          <w:color w:val="auto"/>
          <w:spacing w:val="9"/>
          <w:sz w:val="22"/>
          <w:szCs w:val="22"/>
          <w:highlight w:val="none"/>
          <w:u w:val="none"/>
        </w:rPr>
        <w:t xml:space="preserve">的保修期限</w:t>
      </w:r>
      <w:r>
        <w:rPr>
          <w:rFonts w:hint="eastAsia" w:ascii="宋体" w:hAnsi="宋体" w:cs="华文宋体"/>
          <w:b w:val="0"/>
          <w:bCs w:val="0"/>
          <w:color w:val="auto"/>
          <w:spacing w:val="9"/>
          <w:sz w:val="22"/>
          <w:szCs w:val="22"/>
          <w:highlight w:val="none"/>
          <w:lang w:val="en-US" w:eastAsia="zh-CN"/>
        </w:rPr>
        <w:t xml:space="preserve">提供质保</w:t>
      </w:r>
      <w:r>
        <w:rPr>
          <w:rFonts w:hint="eastAsia" w:cs="华文宋体"/>
          <w:b w:val="0"/>
          <w:bCs w:val="0"/>
          <w:color w:val="auto"/>
          <w:spacing w:val="9"/>
          <w:sz w:val="22"/>
          <w:szCs w:val="22"/>
          <w:highlight w:val="none"/>
          <w:lang w:val="en-US" w:eastAsia="zh-CN"/>
        </w:rPr>
        <w:t xml:space="preserve">，并需向甲方提供设备厂家确认的质保承诺或授权书。</w:t>
      </w:r>
      <w:r>
        <w:rPr>
          <w:rFonts w:ascii="宋体" w:hAnsi="宋体" w:cs="华文宋体"/>
          <w:b w:val="0"/>
          <w:bCs w:val="0"/>
          <w:color w:val="auto"/>
          <w:spacing w:val="9"/>
          <w:sz w:val="22"/>
          <w:szCs w:val="22"/>
          <w:highlight w:val="none"/>
        </w:rPr>
        <w:t xml:space="preserve">保修期自设备验收合格之日起计算，保修范围包括合同中所有</w:t>
      </w:r>
      <w:r>
        <w:rPr>
          <w:rFonts w:ascii="宋体" w:hAnsi="宋体" w:cs="华文宋体"/>
          <w:b w:val="0"/>
          <w:bCs w:val="0"/>
          <w:color w:val="auto"/>
          <w:spacing w:val="10"/>
          <w:sz w:val="22"/>
          <w:szCs w:val="22"/>
          <w:highlight w:val="none"/>
        </w:rPr>
        <w:t xml:space="preserve">配置（单独列明保修期限的配置或附件除外</w:t>
      </w:r>
      <w:r>
        <w:rPr>
          <w:rFonts w:ascii="宋体" w:hAnsi="宋体" w:cs="华文宋体"/>
          <w:b w:val="0"/>
          <w:bCs w:val="0"/>
          <w:color w:val="auto"/>
          <w:spacing w:val="9"/>
          <w:sz w:val="22"/>
          <w:szCs w:val="22"/>
          <w:highlight w:val="none"/>
        </w:rPr>
        <w:t xml:space="preserve">）</w:t>
      </w:r>
      <w:r>
        <w:rPr>
          <w:rFonts w:ascii="宋体" w:hAnsi="宋体" w:cs="华文宋体"/>
          <w:b w:val="0"/>
          <w:bCs w:val="0"/>
          <w:color w:val="auto"/>
          <w:spacing w:val="7"/>
          <w:sz w:val="22"/>
          <w:szCs w:val="22"/>
          <w:highlight w:val="none"/>
        </w:rPr>
        <w:t xml:space="preserve">。乙方确保设备保修期内开机率≥95%，如设备故障停机率超过5%（一年按365天计</w:t>
      </w:r>
      <w:r>
        <w:rPr>
          <w:rFonts w:ascii="宋体" w:hAnsi="宋体" w:cs="华文宋体"/>
          <w:b w:val="0"/>
          <w:bCs w:val="0"/>
          <w:color w:val="auto"/>
          <w:spacing w:val="9"/>
          <w:sz w:val="22"/>
          <w:szCs w:val="22"/>
          <w:highlight w:val="none"/>
        </w:rPr>
        <w:t xml:space="preserve">算，每年18天），每超过一天，保修期延长两周。保修期外乙方对本设备终身负责维修。</w:t>
      </w:r>
      <w:r/>
    </w:p>
    <w:p>
      <w:pPr>
        <w:ind w:left="0" w:right="0" w:firstLine="0"/>
        <w:keepLines w:val="0"/>
        <w:keepNext w:val="0"/>
        <w:pageBreakBefore w:val="0"/>
        <w:spacing w:before="236" w:line="264" w:lineRule="auto"/>
        <w:widowControl/>
        <w:rPr>
          <w:rFonts w:hint="eastAsia" w:ascii="宋体" w:hAnsi="宋体" w:cs="华文宋体"/>
          <w:color w:val="auto"/>
          <w:sz w:val="22"/>
          <w:szCs w:val="22"/>
          <w:highlight w:val="none"/>
        </w:rPr>
        <w:outlineLvl w:val="9"/>
      </w:pPr>
      <w:r>
        <w:rPr>
          <w:rFonts w:hint="eastAsia" w:ascii="宋体" w:hAnsi="宋体" w:cs="华文宋体"/>
          <w:color w:val="auto"/>
          <w:sz w:val="22"/>
          <w:szCs w:val="22"/>
          <w:highlight w:val="none"/>
          <w:lang w:val="en-US" w:eastAsia="zh-CN"/>
        </w:rPr>
        <w:t xml:space="preserve">12.</w:t>
      </w:r>
      <w:r>
        <w:rPr>
          <w:rFonts w:ascii="宋体" w:hAnsi="宋体" w:cs="华文宋体"/>
          <w:color w:val="auto"/>
          <w:sz w:val="22"/>
          <w:szCs w:val="22"/>
          <w:highlight w:val="none"/>
        </w:rPr>
        <w:t xml:space="preserve">2</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 xml:space="preserve">如设备发生故障，乙方在接到甲方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z w:val="22"/>
          <w:szCs w:val="22"/>
          <w:highlight w:val="none"/>
        </w:rPr>
        <w:t xml:space="preserve">报修电话后1小时之内响应，3小时内到达</w:t>
      </w:r>
      <w:r>
        <w:rPr>
          <w:rFonts w:hint="eastAsia" w:ascii="宋体" w:hAnsi="宋体" w:cs="华文宋体"/>
          <w:color w:val="auto"/>
          <w:sz w:val="22"/>
          <w:szCs w:val="22"/>
          <w:highlight w:val="none"/>
          <w:lang w:eastAsia="zh-CN"/>
        </w:rPr>
        <w:t xml:space="preserve">设备</w:t>
      </w:r>
      <w:r>
        <w:rPr>
          <w:rFonts w:ascii="宋体" w:hAnsi="宋体" w:cs="华文宋体"/>
          <w:color w:val="auto"/>
          <w:sz w:val="22"/>
          <w:szCs w:val="22"/>
          <w:highlight w:val="none"/>
        </w:rPr>
        <w:t xml:space="preserve">现场（若无维修</w:t>
      </w:r>
      <w:r>
        <w:rPr>
          <w:rFonts w:ascii="宋体" w:hAnsi="宋体" w:cs="华文宋体"/>
          <w:color w:val="auto"/>
          <w:spacing w:val="-1"/>
          <w:sz w:val="22"/>
          <w:szCs w:val="22"/>
          <w:highlight w:val="none"/>
        </w:rPr>
        <w:t xml:space="preserve">站点，24小时内到达现场</w:t>
      </w:r>
      <w:r>
        <w:rPr>
          <w:rFonts w:ascii="宋体" w:hAnsi="宋体" w:cs="华文宋体"/>
          <w:color w:val="auto"/>
          <w:spacing w:val="5"/>
          <w:sz w:val="22"/>
          <w:szCs w:val="22"/>
          <w:highlight w:val="none"/>
        </w:rPr>
        <w:t xml:space="preserve">），</w:t>
      </w:r>
      <w:r>
        <w:rPr>
          <w:rFonts w:ascii="宋体" w:hAnsi="宋体" w:cs="华文宋体"/>
          <w:color w:val="auto"/>
          <w:spacing w:val="-1"/>
          <w:sz w:val="22"/>
          <w:szCs w:val="22"/>
          <w:highlight w:val="none"/>
        </w:rPr>
        <w:t xml:space="preserve">48小时内修复或免费提供备用机，否则甲方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1"/>
          <w:sz w:val="22"/>
          <w:szCs w:val="22"/>
          <w:highlight w:val="none"/>
        </w:rPr>
        <w:t xml:space="preserve">可自行采取必要的措施，由此产生的风险和费用由乙方承担。如有特殊情况，乙方应立即电话通知甲方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1"/>
          <w:sz w:val="22"/>
          <w:szCs w:val="22"/>
          <w:highlight w:val="none"/>
        </w:rPr>
        <w:t xml:space="preserve">不能响应的原因，在</w:t>
      </w:r>
      <w:r>
        <w:rPr>
          <w:rFonts w:ascii="宋体" w:hAnsi="宋体" w:cs="华文宋体"/>
          <w:color w:val="auto"/>
          <w:spacing w:val="-3"/>
          <w:sz w:val="22"/>
          <w:szCs w:val="22"/>
          <w:highlight w:val="none"/>
        </w:rPr>
        <w:t xml:space="preserve">获得甲方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3"/>
          <w:sz w:val="22"/>
          <w:szCs w:val="22"/>
          <w:highlight w:val="none"/>
        </w:rPr>
        <w:t xml:space="preserve">同意后，才可推迟响应时间。</w:t>
      </w:r>
      <w:r/>
    </w:p>
    <w:p>
      <w:pPr>
        <w:ind w:left="0" w:right="0" w:firstLine="0"/>
        <w:keepLines w:val="0"/>
        <w:keepNext w:val="0"/>
        <w:pageBreakBefore w:val="0"/>
        <w:spacing w:before="139" w:line="264" w:lineRule="auto"/>
        <w:widowControl/>
        <w:rPr>
          <w:rFonts w:hint="eastAsia" w:ascii="宋体" w:hAnsi="宋体" w:cs="华文宋体"/>
          <w:color w:val="auto"/>
          <w:sz w:val="22"/>
          <w:szCs w:val="22"/>
          <w:highlight w:val="none"/>
        </w:rPr>
        <w:outlineLvl w:val="9"/>
      </w:pPr>
      <w:r>
        <w:rPr>
          <w:rFonts w:hint="eastAsia" w:ascii="宋体" w:hAnsi="宋体" w:cs="华文宋体"/>
          <w:color w:val="auto"/>
          <w:spacing w:val="-2"/>
          <w:sz w:val="22"/>
          <w:szCs w:val="22"/>
          <w:highlight w:val="none"/>
          <w:lang w:val="en-US" w:eastAsia="zh-CN"/>
        </w:rPr>
        <w:t xml:space="preserve">12.</w:t>
      </w:r>
      <w:r>
        <w:rPr>
          <w:rFonts w:ascii="宋体" w:hAnsi="宋体" w:cs="华文宋体"/>
          <w:color w:val="auto"/>
          <w:spacing w:val="-2"/>
          <w:sz w:val="22"/>
          <w:szCs w:val="22"/>
          <w:highlight w:val="none"/>
        </w:rPr>
        <w:t xml:space="preserve">3</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 xml:space="preserve">保修期内</w:t>
      </w:r>
      <w:r>
        <w:rPr>
          <w:rFonts w:hint="eastAsia" w:ascii="宋体" w:hAnsi="宋体" w:cs="华文宋体"/>
          <w:color w:val="auto"/>
          <w:spacing w:val="-2"/>
          <w:sz w:val="22"/>
          <w:szCs w:val="22"/>
          <w:highlight w:val="none"/>
          <w:lang w:eastAsia="zh-CN"/>
        </w:rPr>
        <w:t xml:space="preserve">，</w:t>
      </w:r>
      <w:r>
        <w:rPr>
          <w:rFonts w:hint="eastAsia" w:ascii="宋体" w:hAnsi="宋体" w:cs="华文宋体"/>
          <w:color w:val="auto"/>
          <w:spacing w:val="-2"/>
          <w:sz w:val="22"/>
          <w:szCs w:val="22"/>
          <w:highlight w:val="none"/>
          <w:lang w:val="en-US" w:eastAsia="zh-CN"/>
        </w:rPr>
        <w:t xml:space="preserve">乙方</w:t>
      </w:r>
      <w:r>
        <w:rPr>
          <w:rFonts w:ascii="宋体" w:hAnsi="宋体" w:cs="华文宋体"/>
          <w:color w:val="auto"/>
          <w:spacing w:val="-2"/>
          <w:sz w:val="22"/>
          <w:szCs w:val="22"/>
          <w:highlight w:val="none"/>
        </w:rPr>
        <w:t xml:space="preserve">每年</w:t>
      </w:r>
      <w:r>
        <w:rPr>
          <w:rFonts w:hint="eastAsia" w:ascii="宋体" w:hAnsi="宋体" w:cs="华文宋体"/>
          <w:color w:val="auto"/>
          <w:spacing w:val="-2"/>
          <w:sz w:val="22"/>
          <w:szCs w:val="22"/>
          <w:highlight w:val="none"/>
          <w:lang w:val="en-US" w:eastAsia="zh-CN"/>
        </w:rPr>
        <w:t xml:space="preserve">按投标文件</w:t>
      </w:r>
      <w:r>
        <w:rPr>
          <w:rFonts w:ascii="宋体" w:hAnsi="宋体" w:cs="华文宋体"/>
          <w:color w:val="auto"/>
          <w:spacing w:val="-2"/>
          <w:sz w:val="22"/>
          <w:szCs w:val="22"/>
          <w:highlight w:val="none"/>
          <w:u w:val="none"/>
        </w:rPr>
        <w:t xml:space="preserve">响应的维</w:t>
      </w:r>
      <w:r>
        <w:rPr>
          <w:rFonts w:hint="eastAsia" w:ascii="宋体" w:hAnsi="宋体" w:cs="华文宋体"/>
          <w:color w:val="auto"/>
          <w:spacing w:val="-2"/>
          <w:sz w:val="22"/>
          <w:szCs w:val="22"/>
          <w:highlight w:val="none"/>
          <w:u w:val="none"/>
          <w:lang w:val="en-US" w:eastAsia="zh-CN"/>
        </w:rPr>
        <w:t xml:space="preserve">保</w:t>
      </w:r>
      <w:r>
        <w:rPr>
          <w:rFonts w:ascii="宋体" w:hAnsi="宋体" w:cs="华文宋体"/>
          <w:color w:val="auto"/>
          <w:spacing w:val="-2"/>
          <w:sz w:val="22"/>
          <w:szCs w:val="22"/>
          <w:highlight w:val="none"/>
          <w:u w:val="none"/>
        </w:rPr>
        <w:t xml:space="preserve">次数</w:t>
      </w:r>
      <w:r>
        <w:rPr>
          <w:rFonts w:hint="eastAsia" w:ascii="宋体" w:hAnsi="宋体" w:cs="华文宋体"/>
          <w:color w:val="auto"/>
          <w:spacing w:val="-2"/>
          <w:sz w:val="22"/>
          <w:szCs w:val="22"/>
          <w:highlight w:val="none"/>
          <w:lang w:val="en-US" w:eastAsia="zh-CN"/>
        </w:rPr>
        <w:t xml:space="preserve">对设备进行</w:t>
      </w:r>
      <w:r>
        <w:rPr>
          <w:rFonts w:ascii="宋体" w:hAnsi="宋体" w:cs="华文宋体"/>
          <w:color w:val="auto"/>
          <w:spacing w:val="-2"/>
          <w:sz w:val="22"/>
          <w:szCs w:val="22"/>
          <w:highlight w:val="none"/>
        </w:rPr>
        <w:t xml:space="preserve">定期维</w:t>
      </w:r>
      <w:r>
        <w:rPr>
          <w:rFonts w:hint="eastAsia" w:ascii="宋体" w:hAnsi="宋体" w:cs="华文宋体"/>
          <w:color w:val="auto"/>
          <w:spacing w:val="-2"/>
          <w:sz w:val="22"/>
          <w:szCs w:val="22"/>
          <w:highlight w:val="none"/>
          <w:lang w:val="en-US" w:eastAsia="zh-CN"/>
        </w:rPr>
        <w:t xml:space="preserve">保</w:t>
      </w:r>
      <w:r>
        <w:rPr>
          <w:rFonts w:ascii="宋体" w:hAnsi="宋体" w:cs="华文宋体"/>
          <w:color w:val="auto"/>
          <w:spacing w:val="-2"/>
          <w:sz w:val="22"/>
          <w:szCs w:val="22"/>
          <w:highlight w:val="none"/>
        </w:rPr>
        <w:t xml:space="preserve">，</w:t>
      </w:r>
      <w:r>
        <w:rPr>
          <w:rFonts w:hint="eastAsia" w:ascii="宋体" w:hAnsi="宋体" w:cs="华文宋体"/>
          <w:color w:val="auto"/>
          <w:spacing w:val="-2"/>
          <w:sz w:val="22"/>
          <w:szCs w:val="22"/>
          <w:highlight w:val="none"/>
          <w:lang w:val="en-US" w:eastAsia="zh-CN"/>
        </w:rPr>
        <w:t xml:space="preserve">每次维护需经</w:t>
      </w:r>
      <w:r>
        <w:rPr>
          <w:rFonts w:ascii="宋体" w:hAnsi="宋体" w:cs="华文宋体"/>
          <w:color w:val="auto"/>
          <w:spacing w:val="-2"/>
          <w:sz w:val="22"/>
          <w:szCs w:val="22"/>
          <w:highlight w:val="none"/>
        </w:rPr>
        <w:t xml:space="preserve">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2"/>
          <w:sz w:val="22"/>
          <w:szCs w:val="22"/>
          <w:highlight w:val="none"/>
        </w:rPr>
        <w:t xml:space="preserve">工程师签字确认，留档备查。</w:t>
      </w:r>
      <w:r/>
    </w:p>
    <w:p>
      <w:pPr>
        <w:ind w:left="0" w:right="0" w:firstLine="0"/>
        <w:keepLines w:val="0"/>
        <w:keepNext w:val="0"/>
        <w:pageBreakBefore w:val="0"/>
        <w:spacing w:before="79" w:line="264" w:lineRule="auto"/>
        <w:widowControl/>
        <w:rPr>
          <w:rFonts w:hint="eastAsia" w:ascii="宋体" w:hAnsi="宋体" w:cs="华文宋体"/>
          <w:color w:val="auto"/>
          <w:sz w:val="22"/>
          <w:szCs w:val="22"/>
          <w:highlight w:val="none"/>
        </w:rPr>
        <w:outlineLvl w:val="9"/>
      </w:pPr>
      <w:r>
        <w:rPr>
          <w:rFonts w:hint="eastAsia" w:ascii="宋体" w:hAnsi="宋体" w:cs="华文宋体"/>
          <w:color w:val="auto"/>
          <w:spacing w:val="1"/>
          <w:sz w:val="22"/>
          <w:szCs w:val="22"/>
          <w:highlight w:val="none"/>
          <w:lang w:val="en-US" w:eastAsia="zh-CN"/>
        </w:rPr>
        <w:t xml:space="preserve">12.</w:t>
      </w:r>
      <w:r>
        <w:rPr>
          <w:rFonts w:ascii="宋体" w:hAnsi="宋体" w:cs="华文宋体"/>
          <w:color w:val="auto"/>
          <w:spacing w:val="1"/>
          <w:sz w:val="22"/>
          <w:szCs w:val="22"/>
          <w:highlight w:val="none"/>
        </w:rPr>
        <w:t xml:space="preserve">4</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 xml:space="preserve">无论在保修期内还是保修期外，乙方必须上门维</w:t>
      </w:r>
      <w:r>
        <w:rPr>
          <w:rFonts w:ascii="宋体" w:hAnsi="宋体" w:cs="华文宋体"/>
          <w:color w:val="auto"/>
          <w:sz w:val="22"/>
          <w:szCs w:val="22"/>
          <w:highlight w:val="none"/>
        </w:rPr>
        <w:t xml:space="preserve">修</w:t>
      </w:r>
      <w:r>
        <w:rPr>
          <w:rFonts w:hint="eastAsia" w:ascii="宋体" w:hAnsi="宋体" w:cs="华文宋体"/>
          <w:color w:val="auto"/>
          <w:sz w:val="22"/>
          <w:szCs w:val="22"/>
          <w:highlight w:val="none"/>
          <w:lang w:eastAsia="zh-CN"/>
        </w:rPr>
        <w:t xml:space="preserve">。</w:t>
      </w:r>
      <w:r>
        <w:rPr>
          <w:rFonts w:hint="eastAsia" w:ascii="宋体" w:hAnsi="宋体" w:cs="华文宋体"/>
          <w:color w:val="auto"/>
          <w:spacing w:val="-2"/>
          <w:sz w:val="22"/>
          <w:szCs w:val="22"/>
          <w:highlight w:val="none"/>
          <w:lang w:val="en-US" w:eastAsia="zh-CN"/>
        </w:rPr>
        <w:t xml:space="preserve">出保后的维修，只收取配件成本费，免收上门费、人工费和其他工时杂费。</w:t>
      </w:r>
      <w:r>
        <w:rPr>
          <w:rFonts w:ascii="宋体" w:hAnsi="宋体" w:cs="华文宋体"/>
          <w:color w:val="auto"/>
          <w:sz w:val="22"/>
          <w:szCs w:val="22"/>
          <w:highlight w:val="none"/>
        </w:rPr>
        <w:t xml:space="preserve">乙方工程师</w:t>
      </w:r>
      <w:r>
        <w:rPr>
          <w:rFonts w:hint="eastAsia" w:ascii="宋体" w:hAnsi="宋体" w:cs="华文宋体"/>
          <w:color w:val="auto"/>
          <w:sz w:val="22"/>
          <w:szCs w:val="22"/>
          <w:highlight w:val="none"/>
          <w:lang w:eastAsia="zh-CN"/>
        </w:rPr>
        <w:t xml:space="preserve">到达</w:t>
      </w:r>
      <w:r>
        <w:rPr>
          <w:rFonts w:ascii="宋体" w:hAnsi="宋体" w:cs="华文宋体"/>
          <w:color w:val="auto"/>
          <w:sz w:val="22"/>
          <w:szCs w:val="22"/>
          <w:highlight w:val="none"/>
        </w:rPr>
        <w:t xml:space="preserve">设备</w:t>
      </w:r>
      <w:r>
        <w:rPr>
          <w:rFonts w:hint="eastAsia" w:ascii="宋体" w:hAnsi="宋体" w:cs="华文宋体"/>
          <w:color w:val="auto"/>
          <w:sz w:val="22"/>
          <w:szCs w:val="22"/>
          <w:highlight w:val="none"/>
          <w:lang w:eastAsia="zh-CN"/>
        </w:rPr>
        <w:t xml:space="preserve">维修现场</w:t>
      </w:r>
      <w:r>
        <w:rPr>
          <w:rFonts w:ascii="宋体" w:hAnsi="宋体" w:cs="华文宋体"/>
          <w:color w:val="auto"/>
          <w:sz w:val="22"/>
          <w:szCs w:val="22"/>
          <w:highlight w:val="none"/>
        </w:rPr>
        <w:t xml:space="preserve">，必须事先</w:t>
      </w:r>
      <w:r>
        <w:rPr>
          <w:rFonts w:ascii="宋体" w:hAnsi="宋体" w:cs="华文宋体"/>
          <w:color w:val="auto"/>
          <w:spacing w:val="-1"/>
          <w:sz w:val="22"/>
          <w:szCs w:val="22"/>
          <w:highlight w:val="none"/>
        </w:rPr>
        <w:t xml:space="preserve">与甲方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1"/>
          <w:sz w:val="22"/>
          <w:szCs w:val="22"/>
          <w:highlight w:val="none"/>
        </w:rPr>
        <w:t xml:space="preserve">医用物资保障处取</w:t>
      </w:r>
      <w:r>
        <w:rPr>
          <w:rFonts w:ascii="宋体" w:hAnsi="宋体" w:cs="华文宋体"/>
          <w:color w:val="auto"/>
          <w:sz w:val="22"/>
          <w:szCs w:val="22"/>
          <w:highlight w:val="none"/>
        </w:rPr>
        <w:t xml:space="preserve">得联系，</w:t>
      </w:r>
      <w:r>
        <w:rPr>
          <w:rFonts w:hint="eastAsia" w:ascii="宋体" w:hAnsi="宋体" w:cs="华文宋体"/>
          <w:color w:val="auto"/>
          <w:spacing w:val="-2"/>
          <w:sz w:val="22"/>
          <w:szCs w:val="22"/>
          <w:highlight w:val="none"/>
          <w:lang w:val="en-US" w:eastAsia="zh-CN"/>
        </w:rPr>
        <w:t xml:space="preserve">并需在甲方或实际使用人南京鼓楼医院工程师在场的情况下</w:t>
      </w:r>
      <w:r>
        <w:rPr>
          <w:rFonts w:ascii="宋体" w:hAnsi="宋体" w:cs="华文宋体"/>
          <w:color w:val="auto"/>
          <w:sz w:val="22"/>
          <w:szCs w:val="22"/>
          <w:highlight w:val="none"/>
        </w:rPr>
        <w:t xml:space="preserve">完成维修工作，</w:t>
      </w:r>
      <w:r>
        <w:rPr>
          <w:rFonts w:hint="eastAsia" w:ascii="宋体" w:hAnsi="宋体" w:cs="华文宋体"/>
          <w:color w:val="auto"/>
          <w:spacing w:val="-2"/>
          <w:sz w:val="22"/>
          <w:szCs w:val="22"/>
          <w:highlight w:val="none"/>
          <w:lang w:val="en-US" w:eastAsia="zh-CN"/>
        </w:rPr>
        <w:t xml:space="preserve">并做好相应记录，</w:t>
      </w:r>
      <w:r>
        <w:rPr>
          <w:rFonts w:ascii="宋体" w:hAnsi="宋体" w:cs="华文宋体"/>
          <w:color w:val="auto"/>
          <w:spacing w:val="-1"/>
          <w:sz w:val="22"/>
          <w:szCs w:val="22"/>
          <w:highlight w:val="none"/>
        </w:rPr>
        <w:t xml:space="preserve">否则引起的一切责任由乙</w:t>
      </w:r>
      <w:r>
        <w:rPr>
          <w:rFonts w:ascii="宋体" w:hAnsi="宋体" w:cs="华文宋体"/>
          <w:color w:val="auto"/>
          <w:spacing w:val="-8"/>
          <w:sz w:val="22"/>
          <w:szCs w:val="22"/>
          <w:highlight w:val="none"/>
        </w:rPr>
        <w:t xml:space="preserve">方负责。</w:t>
      </w:r>
      <w:r/>
    </w:p>
    <w:p>
      <w:pPr>
        <w:ind w:left="0" w:right="0" w:firstLine="0"/>
        <w:keepLines w:val="0"/>
        <w:keepNext w:val="0"/>
        <w:pageBreakBefore w:val="0"/>
        <w:spacing w:before="99" w:line="264" w:lineRule="auto"/>
        <w:widowControl/>
        <w:rPr>
          <w:rFonts w:hint="eastAsia" w:ascii="宋体" w:hAnsi="宋体" w:cs="华文宋体"/>
          <w:color w:val="auto"/>
          <w:sz w:val="22"/>
          <w:szCs w:val="22"/>
          <w:highlight w:val="none"/>
        </w:rPr>
        <w:outlineLvl w:val="9"/>
      </w:pPr>
      <w:r>
        <w:rPr>
          <w:rFonts w:hint="eastAsia" w:ascii="宋体" w:hAnsi="宋体" w:cs="华文宋体"/>
          <w:color w:val="auto"/>
          <w:spacing w:val="-1"/>
          <w:sz w:val="22"/>
          <w:szCs w:val="22"/>
          <w:highlight w:val="none"/>
          <w:lang w:val="en-US" w:eastAsia="zh-CN"/>
        </w:rPr>
        <w:t xml:space="preserve">12.</w:t>
      </w:r>
      <w:r>
        <w:rPr>
          <w:rFonts w:ascii="宋体" w:hAnsi="宋体" w:cs="华文宋体"/>
          <w:color w:val="auto"/>
          <w:spacing w:val="-1"/>
          <w:sz w:val="22"/>
          <w:szCs w:val="22"/>
          <w:highlight w:val="none"/>
        </w:rPr>
        <w:t xml:space="preserve">5</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 xml:space="preserve">如设备软件升级，乙方负责免费</w:t>
      </w:r>
      <w:r>
        <w:rPr>
          <w:rFonts w:hint="eastAsia" w:ascii="宋体" w:hAnsi="宋体" w:cs="华文宋体"/>
          <w:color w:val="auto"/>
          <w:spacing w:val="-1"/>
          <w:sz w:val="22"/>
          <w:szCs w:val="22"/>
          <w:highlight w:val="none"/>
          <w:lang w:val="en-US" w:eastAsia="zh-CN"/>
        </w:rPr>
        <w:t xml:space="preserve">提供设备厂家相应的</w:t>
      </w:r>
      <w:r>
        <w:rPr>
          <w:rFonts w:ascii="宋体" w:hAnsi="宋体" w:cs="华文宋体"/>
          <w:color w:val="auto"/>
          <w:spacing w:val="-1"/>
          <w:sz w:val="22"/>
          <w:szCs w:val="22"/>
          <w:highlight w:val="none"/>
        </w:rPr>
        <w:t xml:space="preserve">软件升级，保证软件为最新、最</w:t>
      </w:r>
      <w:r>
        <w:rPr>
          <w:rFonts w:ascii="宋体" w:hAnsi="宋体" w:cs="华文宋体"/>
          <w:color w:val="auto"/>
          <w:spacing w:val="-2"/>
          <w:sz w:val="22"/>
          <w:szCs w:val="22"/>
          <w:highlight w:val="none"/>
        </w:rPr>
        <w:t xml:space="preserve">高版本。</w:t>
      </w:r>
      <w:r/>
    </w:p>
    <w:p>
      <w:pPr>
        <w:ind w:left="0" w:right="0" w:firstLine="0"/>
        <w:keepLines w:val="0"/>
        <w:keepNext w:val="0"/>
        <w:pageBreakBefore w:val="0"/>
        <w:spacing w:before="159" w:line="264" w:lineRule="auto"/>
        <w:widowControl/>
        <w:rPr>
          <w:rFonts w:hint="eastAsia" w:ascii="宋体" w:hAnsi="宋体" w:cs="华文宋体"/>
          <w:color w:val="auto"/>
          <w:sz w:val="22"/>
          <w:szCs w:val="22"/>
          <w:highlight w:val="none"/>
        </w:rPr>
        <w:outlineLvl w:val="9"/>
      </w:pPr>
      <w:r>
        <w:rPr>
          <w:rFonts w:hint="eastAsia" w:ascii="宋体" w:hAnsi="宋体" w:cs="华文宋体"/>
          <w:color w:val="auto"/>
          <w:spacing w:val="-1"/>
          <w:sz w:val="22"/>
          <w:szCs w:val="22"/>
          <w:highlight w:val="none"/>
          <w:lang w:val="en-US" w:eastAsia="zh-CN"/>
        </w:rPr>
        <w:t xml:space="preserve">12.</w:t>
      </w:r>
      <w:r>
        <w:rPr>
          <w:rFonts w:ascii="宋体" w:hAnsi="宋体" w:cs="华文宋体"/>
          <w:color w:val="auto"/>
          <w:spacing w:val="-1"/>
          <w:sz w:val="22"/>
          <w:szCs w:val="22"/>
          <w:highlight w:val="none"/>
        </w:rPr>
        <w:t xml:space="preserve">6</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 xml:space="preserve">如有设备具有远程维修诊断功能，乙方负责免</w:t>
      </w:r>
      <w:r>
        <w:rPr>
          <w:rFonts w:ascii="宋体" w:hAnsi="宋体" w:cs="华文宋体"/>
          <w:color w:val="auto"/>
          <w:spacing w:val="-2"/>
          <w:sz w:val="22"/>
          <w:szCs w:val="22"/>
          <w:highlight w:val="none"/>
        </w:rPr>
        <w:t xml:space="preserve">费为甲方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2"/>
          <w:sz w:val="22"/>
          <w:szCs w:val="22"/>
          <w:highlight w:val="none"/>
        </w:rPr>
        <w:t xml:space="preserve">安装。</w:t>
      </w:r>
      <w:r/>
    </w:p>
    <w:p>
      <w:pPr>
        <w:ind w:left="0" w:right="0" w:firstLine="0"/>
        <w:keepLines w:val="0"/>
        <w:keepNext w:val="0"/>
        <w:pageBreakBefore w:val="0"/>
        <w:spacing w:before="59" w:line="264" w:lineRule="auto"/>
        <w:widowControl/>
        <w:rPr>
          <w:rFonts w:hint="eastAsia" w:ascii="宋体" w:hAnsi="宋体" w:cs="华文宋体"/>
          <w:color w:val="auto"/>
          <w:spacing w:val="-3"/>
          <w:sz w:val="22"/>
          <w:szCs w:val="22"/>
          <w:highlight w:val="none"/>
        </w:rPr>
        <w:outlineLvl w:val="9"/>
      </w:pPr>
      <w:r>
        <w:rPr>
          <w:rFonts w:hint="eastAsia" w:ascii="宋体" w:hAnsi="宋体" w:cs="华文宋体"/>
          <w:color w:val="auto"/>
          <w:spacing w:val="2"/>
          <w:sz w:val="22"/>
          <w:szCs w:val="22"/>
          <w:highlight w:val="none"/>
          <w:lang w:val="en-US" w:eastAsia="zh-CN"/>
        </w:rPr>
        <w:t xml:space="preserve">12.</w:t>
      </w:r>
      <w:r>
        <w:rPr>
          <w:rFonts w:ascii="宋体" w:hAnsi="宋体" w:cs="华文宋体"/>
          <w:color w:val="auto"/>
          <w:spacing w:val="2"/>
          <w:sz w:val="22"/>
          <w:szCs w:val="22"/>
          <w:highlight w:val="none"/>
        </w:rPr>
        <w:t xml:space="preserve">7</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 xml:space="preserve">乙方需在交货后五个工作日内免费提供全套资料并加盖公章，含产品合</w:t>
      </w:r>
      <w:r>
        <w:rPr>
          <w:rFonts w:ascii="宋体" w:hAnsi="宋体" w:cs="华文宋体"/>
          <w:color w:val="auto"/>
          <w:spacing w:val="1"/>
          <w:sz w:val="22"/>
          <w:szCs w:val="22"/>
          <w:highlight w:val="none"/>
        </w:rPr>
        <w:t xml:space="preserve">格证、出厂计量合格证(</w:t>
      </w:r>
      <w:r>
        <w:rPr>
          <w:rFonts w:ascii="宋体" w:hAnsi="宋体" w:cs="华文宋体"/>
          <w:color w:val="auto"/>
          <w:spacing w:val="3"/>
          <w:sz w:val="22"/>
          <w:szCs w:val="22"/>
          <w:highlight w:val="none"/>
        </w:rPr>
        <w:t xml:space="preserve">强检设备）、操作手册、维修手册（含详细电路图）、海关报关单（</w:t>
      </w:r>
      <w:r>
        <w:rPr>
          <w:rFonts w:ascii="宋体" w:hAnsi="宋体" w:cs="华文宋体"/>
          <w:color w:val="auto"/>
          <w:spacing w:val="2"/>
          <w:sz w:val="22"/>
          <w:szCs w:val="22"/>
          <w:highlight w:val="none"/>
        </w:rPr>
        <w:t xml:space="preserve">进口设备）、商检合格证明(</w:t>
      </w:r>
      <w:r>
        <w:rPr>
          <w:rFonts w:ascii="宋体" w:hAnsi="宋体" w:cs="华文宋体"/>
          <w:color w:val="auto"/>
          <w:sz w:val="22"/>
          <w:szCs w:val="22"/>
          <w:highlight w:val="none"/>
        </w:rPr>
        <w:t xml:space="preserve">进口设备）、使用许可证明文件（如有）</w:t>
      </w:r>
      <w:r>
        <w:rPr>
          <w:rFonts w:hint="eastAsia" w:ascii="宋体" w:hAnsi="宋体" w:cs="华文宋体"/>
          <w:color w:val="auto"/>
          <w:sz w:val="22"/>
          <w:szCs w:val="22"/>
          <w:highlight w:val="none"/>
          <w:lang w:val="en-US" w:eastAsia="zh-CN"/>
        </w:rPr>
        <w:t xml:space="preserve">等。</w:t>
      </w:r>
      <w:r>
        <w:rPr>
          <w:rFonts w:ascii="宋体" w:hAnsi="宋体" w:cs="华文宋体"/>
          <w:color w:val="auto"/>
          <w:sz w:val="22"/>
          <w:szCs w:val="22"/>
          <w:highlight w:val="none"/>
        </w:rPr>
        <w:t xml:space="preserve">如技术资料不全，甲方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z w:val="22"/>
          <w:szCs w:val="22"/>
          <w:highlight w:val="none"/>
        </w:rPr>
        <w:t xml:space="preserve">有权不支付货</w:t>
      </w:r>
      <w:r>
        <w:rPr>
          <w:rFonts w:ascii="宋体" w:hAnsi="宋体" w:cs="华文宋体"/>
          <w:color w:val="auto"/>
          <w:spacing w:val="-1"/>
          <w:sz w:val="22"/>
          <w:szCs w:val="22"/>
          <w:highlight w:val="none"/>
        </w:rPr>
        <w:t xml:space="preserve">款或退货，因此产</w:t>
      </w:r>
      <w:r>
        <w:rPr>
          <w:rFonts w:ascii="宋体" w:hAnsi="宋体" w:cs="华文宋体"/>
          <w:color w:val="auto"/>
          <w:spacing w:val="-3"/>
          <w:sz w:val="22"/>
          <w:szCs w:val="22"/>
          <w:highlight w:val="none"/>
        </w:rPr>
        <w:t xml:space="preserve">生的损失由乙方自行承担。</w:t>
      </w:r>
      <w:r/>
    </w:p>
    <w:p>
      <w:pPr>
        <w:ind w:left="0" w:right="0" w:firstLine="0"/>
        <w:keepLines w:val="0"/>
        <w:keepNext w:val="0"/>
        <w:pageBreakBefore w:val="0"/>
        <w:spacing w:before="59" w:line="264" w:lineRule="auto"/>
        <w:widowControl/>
        <w:rPr>
          <w:rFonts w:hint="eastAsia" w:ascii="宋体" w:hAnsi="宋体" w:cs="华文宋体"/>
          <w:color w:val="auto"/>
          <w:sz w:val="22"/>
          <w:szCs w:val="22"/>
          <w:highlight w:val="none"/>
        </w:rPr>
        <w:outlineLvl w:val="9"/>
      </w:pPr>
      <w:r>
        <w:rPr>
          <w:rFonts w:hint="eastAsia" w:ascii="宋体" w:hAnsi="宋体" w:cs="华文宋体"/>
          <w:color w:val="auto"/>
          <w:spacing w:val="-1"/>
          <w:sz w:val="22"/>
          <w:szCs w:val="22"/>
          <w:highlight w:val="none"/>
          <w:lang w:val="en-US" w:eastAsia="zh-CN"/>
        </w:rPr>
        <w:t xml:space="preserve">12.</w:t>
      </w:r>
      <w:r>
        <w:rPr>
          <w:rFonts w:ascii="宋体" w:hAnsi="宋体" w:cs="华文宋体"/>
          <w:color w:val="auto"/>
          <w:spacing w:val="-1"/>
          <w:sz w:val="22"/>
          <w:szCs w:val="22"/>
          <w:highlight w:val="none"/>
        </w:rPr>
        <w:t xml:space="preserve">8</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 xml:space="preserve">技术培训：在安装过程中或安装结束后，乙方工程师或有关人员有义务对甲方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1"/>
          <w:sz w:val="22"/>
          <w:szCs w:val="22"/>
          <w:highlight w:val="none"/>
        </w:rPr>
        <w:t xml:space="preserve">工程师和操作人员</w:t>
      </w:r>
      <w:r>
        <w:rPr>
          <w:rFonts w:ascii="宋体" w:hAnsi="宋体" w:cs="华文宋体"/>
          <w:color w:val="auto"/>
          <w:sz w:val="22"/>
          <w:szCs w:val="22"/>
          <w:highlight w:val="none"/>
        </w:rPr>
        <w:t xml:space="preserve">进行现场维修、保养、操作培训并提供快捷操作指南（过塑后封好，挂在设</w:t>
      </w:r>
      <w:r>
        <w:rPr>
          <w:rFonts w:ascii="宋体" w:hAnsi="宋体" w:cs="华文宋体"/>
          <w:color w:val="auto"/>
          <w:spacing w:val="-1"/>
          <w:sz w:val="22"/>
          <w:szCs w:val="22"/>
          <w:highlight w:val="none"/>
        </w:rPr>
        <w:t xml:space="preserve">备上</w:t>
      </w:r>
      <w:r>
        <w:rPr>
          <w:rFonts w:ascii="宋体" w:hAnsi="宋体" w:cs="华文宋体"/>
          <w:color w:val="auto"/>
          <w:sz w:val="22"/>
          <w:szCs w:val="22"/>
          <w:highlight w:val="none"/>
        </w:rPr>
        <w:t xml:space="preserve">），</w:t>
      </w:r>
      <w:r>
        <w:rPr>
          <w:rFonts w:ascii="宋体" w:hAnsi="宋体" w:cs="华文宋体"/>
          <w:color w:val="auto"/>
          <w:spacing w:val="-1"/>
          <w:sz w:val="22"/>
          <w:szCs w:val="22"/>
          <w:highlight w:val="none"/>
        </w:rPr>
        <w:t xml:space="preserve">解答甲方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1"/>
          <w:sz w:val="22"/>
          <w:szCs w:val="22"/>
          <w:highlight w:val="none"/>
        </w:rPr>
        <w:t xml:space="preserve">人员</w:t>
      </w:r>
      <w:r>
        <w:rPr>
          <w:rFonts w:ascii="宋体" w:hAnsi="宋体" w:cs="华文宋体"/>
          <w:color w:val="auto"/>
          <w:sz w:val="22"/>
          <w:szCs w:val="22"/>
          <w:highlight w:val="none"/>
        </w:rPr>
        <w:t xml:space="preserve">提出的问题。必要时提供正规培训班培训，确保操作人员掌握完成日常工作所需</w:t>
      </w:r>
      <w:r>
        <w:rPr>
          <w:rFonts w:ascii="宋体" w:hAnsi="宋体" w:cs="华文宋体"/>
          <w:color w:val="auto"/>
          <w:spacing w:val="-1"/>
          <w:sz w:val="22"/>
          <w:szCs w:val="22"/>
          <w:highlight w:val="none"/>
        </w:rPr>
        <w:t xml:space="preserve">的基本操作方法</w:t>
      </w:r>
      <w:r>
        <w:rPr>
          <w:rFonts w:hint="eastAsia" w:ascii="宋体" w:hAnsi="宋体" w:cs="华文宋体"/>
          <w:color w:val="auto"/>
          <w:sz w:val="22"/>
          <w:szCs w:val="22"/>
          <w:highlight w:val="none"/>
          <w:lang w:val="en-US" w:eastAsia="zh-CN"/>
        </w:rPr>
        <w:t xml:space="preserve">和</w:t>
      </w:r>
      <w:r>
        <w:rPr>
          <w:rFonts w:ascii="宋体" w:hAnsi="宋体" w:cs="华文宋体"/>
          <w:color w:val="auto"/>
          <w:spacing w:val="4"/>
          <w:sz w:val="22"/>
          <w:szCs w:val="22"/>
          <w:highlight w:val="none"/>
        </w:rPr>
        <w:t xml:space="preserve">工程师掌握基本的维护保养操作技术为止。详见乙方的承诺书。</w:t>
      </w:r>
      <w:r/>
    </w:p>
    <w:p>
      <w:pPr>
        <w:ind w:left="0" w:right="0" w:firstLine="0"/>
        <w:keepLines w:val="0"/>
        <w:keepNext w:val="0"/>
        <w:pageBreakBefore w:val="0"/>
        <w:spacing w:before="58" w:line="264" w:lineRule="auto"/>
        <w:widowControl/>
        <w:rPr>
          <w:rFonts w:hint="eastAsia" w:ascii="宋体" w:hAnsi="宋体" w:cs="华文宋体"/>
          <w:color w:val="auto"/>
          <w:sz w:val="22"/>
          <w:szCs w:val="22"/>
          <w:highlight w:val="none"/>
        </w:rPr>
        <w:outlineLvl w:val="9"/>
      </w:pPr>
      <w:r>
        <w:rPr>
          <w:rFonts w:hint="eastAsia" w:ascii="宋体" w:hAnsi="宋体" w:cs="华文宋体"/>
          <w:color w:val="auto"/>
          <w:sz w:val="22"/>
          <w:szCs w:val="22"/>
          <w:highlight w:val="none"/>
          <w:lang w:val="en-US" w:eastAsia="zh-CN"/>
        </w:rPr>
        <w:t xml:space="preserve">12.</w:t>
      </w:r>
      <w:r>
        <w:rPr>
          <w:rFonts w:ascii="宋体" w:hAnsi="宋体" w:cs="华文宋体"/>
          <w:color w:val="auto"/>
          <w:sz w:val="22"/>
          <w:szCs w:val="22"/>
          <w:highlight w:val="none"/>
        </w:rPr>
        <w:t xml:space="preserve">9</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 xml:space="preserve">如乙方提供的设备设有维修软件密码，乙方保证无条件地为甲方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z w:val="22"/>
          <w:szCs w:val="22"/>
          <w:highlight w:val="none"/>
        </w:rPr>
        <w:t xml:space="preserve">永久免费打开，直至最</w:t>
      </w:r>
      <w:r>
        <w:rPr>
          <w:rFonts w:ascii="宋体" w:hAnsi="宋体" w:cs="华文宋体"/>
          <w:color w:val="auto"/>
          <w:spacing w:val="-1"/>
          <w:sz w:val="22"/>
          <w:szCs w:val="22"/>
          <w:highlight w:val="none"/>
        </w:rPr>
        <w:t xml:space="preserve">底层维修</w:t>
      </w:r>
      <w:r>
        <w:rPr>
          <w:rFonts w:ascii="宋体" w:hAnsi="宋体" w:cs="华文宋体"/>
          <w:color w:val="auto"/>
          <w:spacing w:val="-9"/>
          <w:sz w:val="22"/>
          <w:szCs w:val="22"/>
          <w:highlight w:val="none"/>
        </w:rPr>
        <w:t xml:space="preserve">模式。</w:t>
      </w:r>
      <w:r/>
    </w:p>
    <w:p>
      <w:pPr>
        <w:ind w:left="0" w:right="0" w:firstLine="0"/>
        <w:keepLines w:val="0"/>
        <w:keepNext w:val="0"/>
        <w:pageBreakBefore w:val="0"/>
        <w:spacing w:before="57" w:line="264" w:lineRule="auto"/>
        <w:widowControl/>
        <w:rPr>
          <w:rFonts w:hint="eastAsia" w:ascii="宋体" w:hAnsi="宋体" w:cs="华文宋体"/>
          <w:color w:val="auto"/>
          <w:sz w:val="22"/>
          <w:szCs w:val="22"/>
          <w:highlight w:val="none"/>
        </w:rPr>
        <w:outlineLvl w:val="9"/>
      </w:pPr>
      <w:r>
        <w:rPr>
          <w:rFonts w:hint="eastAsia" w:ascii="宋体" w:hAnsi="宋体" w:cs="华文宋体"/>
          <w:color w:val="auto"/>
          <w:spacing w:val="-1"/>
          <w:sz w:val="22"/>
          <w:szCs w:val="22"/>
          <w:highlight w:val="none"/>
          <w:lang w:val="en-US" w:eastAsia="zh-CN"/>
        </w:rPr>
        <w:t xml:space="preserve">12.</w:t>
      </w:r>
      <w:r>
        <w:rPr>
          <w:rFonts w:ascii="宋体" w:hAnsi="宋体" w:cs="华文宋体"/>
          <w:color w:val="auto"/>
          <w:spacing w:val="-1"/>
          <w:sz w:val="22"/>
          <w:szCs w:val="22"/>
          <w:highlight w:val="none"/>
        </w:rPr>
        <w:t xml:space="preserve">10</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 xml:space="preserve">若该设备涉及网络问题，甲方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1"/>
          <w:sz w:val="22"/>
          <w:szCs w:val="22"/>
          <w:highlight w:val="none"/>
        </w:rPr>
        <w:t xml:space="preserve">只负责提供一个网络接口，设备内部的局域网建设由乙方负责提</w:t>
      </w:r>
      <w:r>
        <w:rPr>
          <w:rFonts w:ascii="宋体" w:hAnsi="宋体" w:cs="华文宋体"/>
          <w:color w:val="auto"/>
          <w:spacing w:val="-11"/>
          <w:sz w:val="22"/>
          <w:szCs w:val="22"/>
          <w:highlight w:val="none"/>
        </w:rPr>
        <w:t xml:space="preserve">供。</w:t>
      </w:r>
      <w:r/>
    </w:p>
    <w:p>
      <w:pPr>
        <w:ind w:left="0" w:right="0" w:firstLine="0"/>
        <w:keepLines w:val="0"/>
        <w:keepNext w:val="0"/>
        <w:pageBreakBefore w:val="0"/>
        <w:spacing w:before="117" w:line="264" w:lineRule="auto"/>
        <w:widowControl/>
        <w:rPr>
          <w:rFonts w:hint="eastAsia"/>
          <w:color w:val="auto"/>
          <w:highlight w:val="none"/>
        </w:rPr>
        <w:outlineLvl w:val="9"/>
      </w:pPr>
      <w:r>
        <w:rPr>
          <w:rFonts w:hint="eastAsia" w:ascii="宋体" w:hAnsi="宋体" w:cs="华文宋体"/>
          <w:color w:val="auto"/>
          <w:spacing w:val="-1"/>
          <w:sz w:val="22"/>
          <w:szCs w:val="22"/>
          <w:highlight w:val="none"/>
          <w:lang w:val="en-US" w:eastAsia="zh-CN"/>
        </w:rPr>
        <w:t xml:space="preserve">12.</w:t>
      </w:r>
      <w:r>
        <w:rPr>
          <w:rFonts w:ascii="宋体" w:hAnsi="宋体" w:cs="华文宋体"/>
          <w:color w:val="auto"/>
          <w:spacing w:val="-1"/>
          <w:sz w:val="22"/>
          <w:szCs w:val="22"/>
          <w:highlight w:val="none"/>
        </w:rPr>
        <w:t xml:space="preserve">11</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 xml:space="preserve">乙方须免费开放所投产品的所有输入输出接口，并能与甲方</w:t>
      </w:r>
      <w:r>
        <w:rPr>
          <w:rFonts w:hint="eastAsia" w:ascii="宋体" w:hAnsi="宋体" w:cs="华文宋体"/>
          <w:color w:val="auto"/>
          <w:sz w:val="22"/>
          <w:szCs w:val="22"/>
          <w:highlight w:val="none"/>
          <w:lang w:val="en-US" w:eastAsia="zh-CN"/>
        </w:rPr>
        <w:t xml:space="preserve">或</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w:t>
      </w:r>
      <w:r>
        <w:rPr>
          <w:rFonts w:ascii="宋体" w:hAnsi="宋体" w:cs="华文宋体"/>
          <w:color w:val="auto"/>
          <w:spacing w:val="-1"/>
          <w:sz w:val="22"/>
          <w:szCs w:val="22"/>
          <w:highlight w:val="none"/>
        </w:rPr>
        <w:t xml:space="preserve">现有网络及信</w:t>
      </w:r>
      <w:r>
        <w:rPr>
          <w:rFonts w:ascii="宋体" w:hAnsi="宋体" w:cs="华文宋体"/>
          <w:color w:val="auto"/>
          <w:spacing w:val="-2"/>
          <w:sz w:val="22"/>
          <w:szCs w:val="22"/>
          <w:highlight w:val="none"/>
        </w:rPr>
        <w:t xml:space="preserve">息系统对接，如接入第三方系统产生费用，该费用由乙方承担。</w:t>
      </w:r>
      <w:r/>
    </w:p>
    <w:p>
      <w:pPr>
        <w:ind w:left="0" w:right="0" w:firstLine="0"/>
        <w:keepLines w:val="0"/>
        <w:keepNext w:val="0"/>
        <w:pageBreakBefore w:val="0"/>
        <w:spacing w:line="264"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三</w:t>
      </w:r>
      <w:r>
        <w:rPr>
          <w:rFonts w:hint="eastAsia" w:ascii="宋体" w:hAnsi="宋体" w:eastAsia="宋体" w:cs="宋体"/>
          <w:bCs/>
          <w:color w:val="auto"/>
          <w:sz w:val="24"/>
          <w:szCs w:val="24"/>
          <w:highlight w:val="none"/>
        </w:rPr>
        <w:t xml:space="preserve">、货物的包装、发运及运输</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 乙方应在货物发运前对其进行满足运输距离、防潮、防震、防锈和防破损装卸等要求包装，以保证货物安全</w:t>
      </w:r>
      <w:r>
        <w:rPr>
          <w:rFonts w:hint="eastAsia" w:ascii="宋体" w:hAnsi="宋体" w:eastAsia="宋体" w:cs="宋体"/>
          <w:color w:val="auto"/>
          <w:sz w:val="24"/>
          <w:szCs w:val="24"/>
          <w:highlight w:val="none"/>
          <w:lang w:val="en-US" w:eastAsia="zh-CN"/>
        </w:rPr>
        <w:t xml:space="preserve">完好</w:t>
      </w:r>
      <w:r>
        <w:rPr>
          <w:rFonts w:hint="eastAsia" w:ascii="宋体" w:hAnsi="宋体" w:eastAsia="宋体" w:cs="宋体"/>
          <w:color w:val="auto"/>
          <w:sz w:val="24"/>
          <w:szCs w:val="24"/>
          <w:highlight w:val="none"/>
        </w:rPr>
        <w:t xml:space="preserve">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 使用说明书、质量检验证明书、随配附件和工具以及清单一并附于货物内。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 乙方在货物发运手续办理完毕后24小时内或货到甲方48小时前通知甲方。</w:t>
      </w:r>
      <w:r/>
    </w:p>
    <w:p>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 乙方在货物发运前须提前向甲方报备，并执行甲方对甲方场地内货物运输、吊装、安装的方案、路径、安全、职责、管理等相关规定，确保货物完好无损地送达甲方指定地点。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货物在交付甲方前发生的风险均由乙方负责。</w:t>
      </w:r>
      <w:r/>
    </w:p>
    <w:p>
      <w:pPr>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货物在规定的交付期限内由乙方送达甲方指定的地点</w:t>
      </w:r>
      <w:r>
        <w:rPr>
          <w:rFonts w:hint="eastAsia" w:ascii="宋体" w:hAnsi="宋体" w:eastAsia="宋体" w:cs="宋体"/>
          <w:color w:val="auto"/>
          <w:sz w:val="24"/>
          <w:szCs w:val="24"/>
          <w:highlight w:val="none"/>
          <w:lang w:val="en-US" w:eastAsia="zh-CN"/>
        </w:rPr>
        <w:t xml:space="preserve">并经甲方签收后</w:t>
      </w:r>
      <w:r>
        <w:rPr>
          <w:rFonts w:hint="eastAsia" w:ascii="宋体" w:hAnsi="宋体" w:eastAsia="宋体" w:cs="宋体"/>
          <w:color w:val="auto"/>
          <w:sz w:val="24"/>
          <w:szCs w:val="24"/>
          <w:highlight w:val="none"/>
        </w:rPr>
        <w:t xml:space="preserve">视为交付</w:t>
      </w:r>
      <w:r>
        <w:rPr>
          <w:rFonts w:hint="eastAsia" w:ascii="宋体" w:hAnsi="宋体" w:eastAsia="宋体" w:cs="宋体"/>
          <w:color w:val="auto"/>
          <w:sz w:val="24"/>
          <w:szCs w:val="24"/>
          <w:highlight w:val="none"/>
          <w:lang w:val="en-US" w:eastAsia="zh-CN"/>
        </w:rPr>
        <w:t xml:space="preserve">（对乙方有货物安装要求的除外）</w:t>
      </w:r>
      <w:r>
        <w:rPr>
          <w:rFonts w:hint="eastAsia" w:ascii="宋体" w:hAnsi="宋体" w:eastAsia="宋体" w:cs="宋体"/>
          <w:color w:val="auto"/>
          <w:sz w:val="24"/>
          <w:szCs w:val="24"/>
          <w:highlight w:val="none"/>
          <w:lang w:eastAsia="zh-CN"/>
        </w:rPr>
        <w:t xml:space="preserve">。</w:t>
      </w:r>
      <w:r/>
    </w:p>
    <w:p>
      <w:pPr>
        <w:spacing w:line="264"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四</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专机专用耗材试剂</w:t>
      </w:r>
      <w:r/>
    </w:p>
    <w:p>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提供的设备有专机专用耗材试剂，设备配套耗材、试剂采购价格不得高于省市挂网平台价及</w:t>
      </w:r>
      <w:r>
        <w:rPr>
          <w:rFonts w:hint="eastAsia" w:ascii="宋体" w:hAnsi="宋体" w:eastAsia="宋体" w:cs="宋体"/>
          <w:color w:val="auto"/>
          <w:sz w:val="24"/>
          <w:szCs w:val="24"/>
          <w:highlight w:val="none"/>
        </w:rPr>
        <w:t xml:space="preserve">实际使用人</w:t>
      </w:r>
      <w:r>
        <w:rPr>
          <w:rFonts w:hint="eastAsia" w:ascii="宋体" w:hAnsi="宋体" w:eastAsia="宋体" w:cs="宋体"/>
          <w:color w:val="auto"/>
          <w:sz w:val="24"/>
          <w:szCs w:val="24"/>
          <w:highlight w:val="none"/>
          <w:lang w:eastAsia="zh-CN"/>
        </w:rPr>
        <w:t xml:space="preserve">南京鼓楼医院历史采购价，平台价格下调后采购价格同步下调。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合同期内耗材、试剂价格不得涨价，遇市场低价可依规单方调价</w:t>
      </w:r>
      <w:r>
        <w:rPr>
          <w:rFonts w:hint="eastAsia" w:ascii="宋体" w:hAnsi="宋体" w:eastAsia="宋体" w:cs="宋体"/>
          <w:color w:val="auto"/>
          <w:sz w:val="24"/>
          <w:szCs w:val="24"/>
          <w:highlight w:val="none"/>
        </w:rPr>
        <w:t xml:space="preserve">。</w:t>
      </w:r>
      <w:r/>
    </w:p>
    <w:p>
      <w:pPr>
        <w:rPr>
          <w:rFonts w:hint="eastAsia"/>
          <w:color w:val="auto"/>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若设备选型与实际使用人南京鼓楼医院一致，采用实际使用人南京鼓楼医院统一耗材试剂管理标准；若选型不一致，参照实际使用人南京鼓楼医院现有耗材试剂管理制度执行</w:t>
      </w:r>
      <w:r>
        <w:rPr>
          <w:rFonts w:hint="eastAsia" w:ascii="宋体" w:hAnsi="宋体" w:eastAsia="宋体" w:cs="宋体"/>
          <w:color w:val="auto"/>
          <w:sz w:val="24"/>
          <w:szCs w:val="24"/>
          <w:highlight w:val="none"/>
        </w:rPr>
        <w:t xml:space="preserve">。</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五</w:t>
      </w:r>
      <w:r>
        <w:rPr>
          <w:rFonts w:hint="eastAsia" w:ascii="宋体" w:hAnsi="宋体" w:eastAsia="宋体" w:cs="宋体"/>
          <w:bCs/>
          <w:color w:val="auto"/>
          <w:sz w:val="24"/>
          <w:szCs w:val="24"/>
          <w:highlight w:val="none"/>
        </w:rPr>
        <w:t xml:space="preserve">、违约责任</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六</w:t>
      </w:r>
      <w:r>
        <w:rPr>
          <w:rFonts w:hint="eastAsia" w:ascii="宋体" w:hAnsi="宋体" w:eastAsia="宋体" w:cs="宋体"/>
          <w:bCs/>
          <w:color w:val="auto"/>
          <w:sz w:val="24"/>
          <w:szCs w:val="24"/>
          <w:highlight w:val="none"/>
        </w:rPr>
        <w:t xml:space="preserve">、不可抗力事件处理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七</w:t>
      </w:r>
      <w:r>
        <w:rPr>
          <w:rFonts w:hint="eastAsia" w:ascii="宋体" w:hAnsi="宋体" w:eastAsia="宋体" w:cs="宋体"/>
          <w:bCs/>
          <w:color w:val="auto"/>
          <w:sz w:val="24"/>
          <w:szCs w:val="24"/>
          <w:highlight w:val="none"/>
        </w:rPr>
        <w:t xml:space="preserve">、解决争议的方法</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甲乙双方因合同签订、履行而发生的一切争议，应通过友好协商解决。协商不成的由甲方住所地人民法院管辖。</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八</w:t>
      </w:r>
      <w:r>
        <w:rPr>
          <w:rFonts w:hint="eastAsia" w:ascii="宋体" w:hAnsi="宋体" w:eastAsia="宋体" w:cs="宋体"/>
          <w:bCs/>
          <w:color w:val="auto"/>
          <w:sz w:val="24"/>
          <w:szCs w:val="24"/>
          <w:highlight w:val="none"/>
        </w:rPr>
        <w:t xml:space="preserve">、合同生效及其它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本合同经双方加盖单位公章后生效。</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本合同未尽事宜，遵照《中华人民共和国民法典》《中华人民共和国政府采购法》有关条文执行。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本合同正本一式两份，具有同等法律效力，甲方、乙方各执一份。</w:t>
      </w:r>
      <w:r/>
    </w:p>
    <w:p>
      <w:pPr>
        <w:pStyle w:val="663"/>
        <w:spacing w:before="120" w:after="120" w:line="264" w:lineRule="auto"/>
        <w:rPr>
          <w:rFonts w:hint="eastAsia" w:ascii="宋体" w:hAnsi="宋体" w:eastAsia="宋体" w:cs="宋体"/>
          <w:color w:val="auto"/>
          <w:sz w:val="24"/>
          <w:szCs w:val="24"/>
          <w:highlight w:val="none"/>
          <w:lang w:eastAsia="zh-CN"/>
        </w:rPr>
      </w:pPr>
      <w:r/>
      <w:bookmarkStart w:id="132" w:name="_Hlt16619369"/>
      <w:r/>
      <w:bookmarkEnd w:id="132"/>
      <w:r>
        <w:rPr>
          <w:rFonts w:hint="eastAsia" w:ascii="宋体" w:hAnsi="宋体" w:eastAsia="宋体" w:cs="宋体"/>
          <w:color w:val="auto"/>
          <w:sz w:val="24"/>
          <w:szCs w:val="24"/>
          <w:highlight w:val="none"/>
          <w:lang w:eastAsia="zh-CN"/>
        </w:rPr>
        <w:t xml:space="preserve">  </w:t>
      </w:r>
      <w:r/>
    </w:p>
    <w:p>
      <w:pPr>
        <w:pStyle w:val="663"/>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                 法定代表人或授权代表：</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r/>
    </w:p>
    <w:p>
      <w:pPr>
        <w:pStyle w:val="663"/>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pStyle w:val="663"/>
        <w:ind w:firstLine="480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r/>
    </w:p>
    <w:p>
      <w:pPr>
        <w:jc w:val="center"/>
        <w:spacing w:before="145" w:after="145" w:line="264" w:lineRule="auto"/>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r/>
    </w:p>
    <w:p>
      <w:pP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before="145" w:after="145" w:line="264" w:lineRule="auto"/>
        <w:rPr>
          <w:rFonts w:hint="eastAsia" w:ascii="宋体" w:hAnsi="宋体" w:eastAsia="宋体" w:cs="宋体"/>
          <w:bCs/>
          <w:color w:val="auto"/>
          <w:sz w:val="32"/>
          <w:szCs w:val="32"/>
          <w:highlight w:val="none"/>
        </w:rPr>
        <w:outlineLvl w:val="1"/>
      </w:pPr>
      <w:r>
        <w:rPr>
          <w:rFonts w:hint="eastAsia" w:ascii="宋体" w:hAnsi="宋体" w:eastAsia="宋体" w:cs="宋体"/>
          <w:bCs/>
          <w:color w:val="auto"/>
          <w:sz w:val="32"/>
          <w:szCs w:val="32"/>
          <w:highlight w:val="none"/>
        </w:rPr>
        <w:t xml:space="preserve">《*******合同》补充协议（合同附件）</w:t>
      </w:r>
      <w:r/>
    </w:p>
    <w:p>
      <w:pPr>
        <w:pStyle w:val="663"/>
        <w:ind w:firstLine="480"/>
        <w:jc w:val="left"/>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招标文件及合同未约定事项，双方可友好协商签订补充协议。</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133"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《南京市政府采购供应商信用记录表暨信用承诺书》</w:t>
      </w:r>
      <w:r/>
    </w:p>
    <w:p>
      <w:pPr>
        <w:pStyle w:val="678"/>
        <w:rPr>
          <w:rFonts w:hint="eastAsia"/>
          <w:color w:val="auto"/>
          <w:highlight w:val="none"/>
        </w:rPr>
      </w:pPr>
      <w:r>
        <w:rPr>
          <w:rFonts w:hint="eastAsia"/>
          <w:color w:val="auto"/>
          <w:highlight w:val="none"/>
        </w:rPr>
      </w:r>
      <w:r/>
    </w:p>
    <w:p>
      <w:pPr>
        <w:pStyle w:val="678"/>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4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4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40"/>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4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4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4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4" w:name="_Hlt26671380"/>
      <w:r/>
      <w:bookmarkEnd w:id="134"/>
      <w:r/>
      <w:bookmarkStart w:id="135" w:name="_格式3__银行出具的资信证明"/>
      <w:r/>
      <w:bookmarkEnd w:id="135"/>
      <w:r/>
      <w:bookmarkStart w:id="136" w:name="_Hlt26955070"/>
      <w:r/>
      <w:bookmarkEnd w:id="136"/>
      <w:r/>
      <w:r/>
    </w:p>
    <w:p>
      <w:pPr>
        <w:pStyle w:val="656"/>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6"/>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4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4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51"/>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4"/>
      </w:tblGrid>
      <w:tr>
        <w:trPr>
          <w:cantSplit/>
          <w:trHeight w:val="725"/>
        </w:trPr>
        <w:tc>
          <w:tcPr>
            <w:tcW w:w="99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984" w:type="dxa"/>
            <w:vAlign w:val="center"/>
            <w:textDirection w:val="lrTb"/>
            <w:noWrap w:val="false"/>
          </w:tcPr>
          <w:p>
            <w:pPr>
              <w:pStyle w:val="842"/>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5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51"/>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681"/>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gridSpan w:val="8"/>
            <w:tcW w:w="9761"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rPr>
        <w:t xml:space="preserve">，视为无效投标。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65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652"/>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51"/>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76"/>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w:t>
      </w:r>
      <w:r>
        <w:rPr>
          <w:rFonts w:hint="eastAsia" w:ascii="宋体" w:hAnsi="宋体" w:eastAsia="宋体" w:cs="宋体"/>
          <w:color w:val="auto"/>
          <w:highlight w:val="none"/>
          <w:lang w:eastAsia="zh-CN"/>
        </w:rPr>
        <w:t xml:space="preserve">参数及</w:t>
      </w:r>
      <w:r>
        <w:rPr>
          <w:rFonts w:hint="eastAsia" w:ascii="宋体" w:hAnsi="宋体" w:eastAsia="宋体" w:cs="宋体"/>
          <w:color w:val="auto"/>
          <w:highlight w:val="none"/>
        </w:rPr>
        <w:t xml:space="preserve">要求</w:t>
      </w:r>
      <w:r>
        <w:rPr>
          <w:rFonts w:hint="eastAsia" w:ascii="宋体" w:hAnsi="宋体" w:eastAsia="宋体" w:cs="宋体"/>
          <w:color w:val="auto"/>
          <w:sz w:val="21"/>
          <w:szCs w:val="21"/>
          <w:highlight w:val="none"/>
          <w:lang w:val="en-US" w:eastAsia="zh-CN"/>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51"/>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76"/>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7"/>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7"/>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65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78"/>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6"/>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81"/>
          <w:rFonts w:hint="eastAsia" w:ascii="宋体" w:hAnsi="宋体" w:eastAsia="宋体" w:cs="宋体"/>
          <w:i w:val="0"/>
          <w:color w:val="auto"/>
          <w:highlight w:val="none"/>
          <w:u w:val="single"/>
          <w:shd w:val="clear" w:color="auto" w:fill="ffffff"/>
        </w:rPr>
        <w:t xml:space="preserve">（产品名称1）</w:t>
      </w:r>
      <w:r>
        <w:rPr>
          <w:rStyle w:val="681"/>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81"/>
          <w:rFonts w:hint="eastAsia" w:ascii="宋体" w:hAnsi="宋体" w:eastAsia="宋体" w:cs="宋体"/>
          <w:i w:val="0"/>
          <w:color w:val="auto"/>
          <w:highlight w:val="none"/>
          <w:u w:val="single"/>
          <w:shd w:val="clear" w:color="auto" w:fill="ffffff"/>
        </w:rPr>
        <w:t xml:space="preserve">（厂名）</w:t>
      </w:r>
      <w:r>
        <w:rPr>
          <w:rStyle w:val="681"/>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81"/>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81"/>
          <w:rFonts w:hint="eastAsia" w:ascii="宋体" w:hAnsi="宋体" w:eastAsia="宋体" w:cs="宋体"/>
          <w:i w:val="0"/>
          <w:strike w:val="0"/>
          <w:color w:val="auto"/>
          <w:highlight w:val="none"/>
          <w:u w:val="single"/>
          <w:shd w:val="clear" w:color="auto" w:fill="ffffff"/>
        </w:rPr>
        <w:t xml:space="preserve">（规定比例）</w:t>
      </w:r>
      <w:r>
        <w:rPr>
          <w:rStyle w:val="681"/>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（关键组件）</w:t>
      </w:r>
      <w:r>
        <w:rPr>
          <w:rStyle w:val="681"/>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81"/>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（关键工序）</w:t>
      </w:r>
      <w:r>
        <w:rPr>
          <w:rStyle w:val="681"/>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76"/>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81"/>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81"/>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81"/>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81"/>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81"/>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81"/>
          <w:rFonts w:hint="eastAsia" w:ascii="宋体" w:hAnsi="宋体" w:eastAsia="宋体" w:cs="宋体"/>
          <w:color w:val="auto"/>
          <w:highlight w:val="none"/>
          <w:vertAlign w:val="superscript"/>
        </w:rPr>
        <w:t xml:space="preserve">6</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76"/>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76"/>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76"/>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76"/>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76"/>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76"/>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7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r/>
      <w:r/>
    </w:p>
    <w:p>
      <w:pPr>
        <w:pStyle w:val="678"/>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67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pStyle w:val="678"/>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652"/>
        <w:rPr>
          <w:rFonts w:hint="eastAsia"/>
          <w:color w:val="auto"/>
          <w:highlight w:val="none"/>
          <w:lang w:val="en-US" w:eastAsia="zh-CN"/>
        </w:rPr>
      </w:pPr>
      <w:r>
        <w:rPr>
          <w:rFonts w:hint="eastAsia"/>
          <w:color w:val="auto"/>
          <w:highlight w:val="none"/>
          <w:lang w:val="en-US" w:eastAsia="zh-CN"/>
        </w:rPr>
      </w:r>
      <w:r/>
    </w:p>
    <w:sectPr>
      <w:footerReference w:type="default" r:id="rId9"/>
      <w:footnotePr/>
      <w:endnotePr/>
      <w:type w:val="nextPage"/>
      <w:pgSz w:w="11906" w:h="16838" w:orient="portrait"/>
      <w:pgMar w:top="1134" w:right="850" w:bottom="1134" w:left="850"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66"/>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1"/>
    <w:uiPriority w:val="9"/>
    <w:rPr>
      <w:rFonts w:ascii="Arial" w:hAnsi="Arial" w:eastAsia="Arial" w:cs="Arial"/>
      <w:sz w:val="40"/>
      <w:szCs w:val="40"/>
    </w:rPr>
  </w:style>
  <w:style w:type="character" w:styleId="15">
    <w:name w:val="Heading 2 Char"/>
    <w:basedOn w:val="650"/>
    <w:link w:val="642"/>
    <w:uiPriority w:val="9"/>
    <w:rPr>
      <w:rFonts w:ascii="Arial" w:hAnsi="Arial" w:eastAsia="Arial" w:cs="Arial"/>
      <w:sz w:val="34"/>
    </w:rPr>
  </w:style>
  <w:style w:type="character" w:styleId="17">
    <w:name w:val="Heading 3 Char"/>
    <w:basedOn w:val="650"/>
    <w:link w:val="835"/>
    <w:uiPriority w:val="9"/>
    <w:rPr>
      <w:rFonts w:ascii="Arial" w:hAnsi="Arial" w:eastAsia="Arial" w:cs="Arial"/>
      <w:sz w:val="30"/>
      <w:szCs w:val="30"/>
    </w:rPr>
  </w:style>
  <w:style w:type="character" w:styleId="19">
    <w:name w:val="Heading 4 Char"/>
    <w:basedOn w:val="650"/>
    <w:link w:val="836"/>
    <w:uiPriority w:val="9"/>
    <w:rPr>
      <w:rFonts w:ascii="Arial" w:hAnsi="Arial" w:eastAsia="Arial" w:cs="Arial"/>
      <w:b/>
      <w:bCs/>
      <w:sz w:val="26"/>
      <w:szCs w:val="26"/>
    </w:rPr>
  </w:style>
  <w:style w:type="character" w:styleId="21">
    <w:name w:val="Heading 5 Char"/>
    <w:basedOn w:val="650"/>
    <w:link w:val="645"/>
    <w:uiPriority w:val="9"/>
    <w:rPr>
      <w:rFonts w:ascii="Arial" w:hAnsi="Arial" w:eastAsia="Arial" w:cs="Arial"/>
      <w:b/>
      <w:bCs/>
      <w:sz w:val="24"/>
      <w:szCs w:val="24"/>
    </w:rPr>
  </w:style>
  <w:style w:type="character" w:styleId="23">
    <w:name w:val="Heading 6 Char"/>
    <w:basedOn w:val="650"/>
    <w:link w:val="646"/>
    <w:uiPriority w:val="9"/>
    <w:rPr>
      <w:rFonts w:ascii="Arial" w:hAnsi="Arial" w:eastAsia="Arial" w:cs="Arial"/>
      <w:b/>
      <w:bCs/>
      <w:sz w:val="22"/>
      <w:szCs w:val="22"/>
    </w:rPr>
  </w:style>
  <w:style w:type="character" w:styleId="25">
    <w:name w:val="Heading 7 Char"/>
    <w:basedOn w:val="650"/>
    <w:link w:val="647"/>
    <w:uiPriority w:val="9"/>
    <w:rPr>
      <w:rFonts w:ascii="Arial" w:hAnsi="Arial" w:eastAsia="Arial" w:cs="Arial"/>
      <w:b/>
      <w:bCs/>
      <w:i/>
      <w:iCs/>
      <w:sz w:val="22"/>
      <w:szCs w:val="22"/>
    </w:rPr>
  </w:style>
  <w:style w:type="character" w:styleId="27">
    <w:name w:val="Heading 8 Char"/>
    <w:basedOn w:val="650"/>
    <w:link w:val="648"/>
    <w:uiPriority w:val="9"/>
    <w:rPr>
      <w:rFonts w:ascii="Arial" w:hAnsi="Arial" w:eastAsia="Arial" w:cs="Arial"/>
      <w:i/>
      <w:iCs/>
      <w:sz w:val="22"/>
      <w:szCs w:val="22"/>
    </w:rPr>
  </w:style>
  <w:style w:type="character" w:styleId="29">
    <w:name w:val="Heading 9 Char"/>
    <w:basedOn w:val="650"/>
    <w:link w:val="649"/>
    <w:uiPriority w:val="9"/>
    <w:rPr>
      <w:rFonts w:ascii="Arial" w:hAnsi="Arial" w:eastAsia="Arial" w:cs="Arial"/>
      <w:i/>
      <w:iCs/>
      <w:sz w:val="21"/>
      <w:szCs w:val="21"/>
    </w:rPr>
  </w:style>
  <w:style w:type="character" w:styleId="34">
    <w:name w:val="Title Char"/>
    <w:basedOn w:val="650"/>
    <w:link w:val="677"/>
    <w:uiPriority w:val="10"/>
    <w:rPr>
      <w:sz w:val="48"/>
      <w:szCs w:val="48"/>
    </w:rPr>
  </w:style>
  <w:style w:type="character" w:styleId="36">
    <w:name w:val="Subtitle Char"/>
    <w:basedOn w:val="650"/>
    <w:link w:val="670"/>
    <w:uiPriority w:val="11"/>
    <w:rPr>
      <w:sz w:val="24"/>
      <w:szCs w:val="24"/>
    </w:rPr>
  </w:style>
  <w:style w:type="character" w:styleId="38">
    <w:name w:val="Quote Char"/>
    <w:link w:val="697"/>
    <w:uiPriority w:val="29"/>
    <w:rPr>
      <w:i/>
    </w:rPr>
  </w:style>
  <w:style w:type="character" w:styleId="40">
    <w:name w:val="Intense Quote Char"/>
    <w:link w:val="699"/>
    <w:uiPriority w:val="30"/>
    <w:rPr>
      <w:i/>
    </w:rPr>
  </w:style>
  <w:style w:type="character" w:styleId="42">
    <w:name w:val="Header Char"/>
    <w:basedOn w:val="650"/>
    <w:link w:val="667"/>
    <w:uiPriority w:val="99"/>
  </w:style>
  <w:style w:type="character" w:styleId="46">
    <w:name w:val="Caption Char"/>
    <w:basedOn w:val="657"/>
    <w:link w:val="666"/>
    <w:uiPriority w:val="99"/>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1"/>
    <w:uiPriority w:val="99"/>
    <w:rPr>
      <w:sz w:val="18"/>
    </w:rPr>
  </w:style>
  <w:style w:type="character" w:styleId="178">
    <w:name w:val="Endnote Text Char"/>
    <w:link w:val="665"/>
    <w:uiPriority w:val="99"/>
    <w:rPr>
      <w:sz w:val="20"/>
    </w:rPr>
  </w:style>
  <w:style w:type="paragraph" w:styleId="189">
    <w:name w:val="TOC Heading"/>
    <w:uiPriority w:val="39"/>
    <w:unhideWhenUsed/>
  </w:style>
  <w:style w:type="paragraph" w:styleId="640" w:default="1">
    <w:name w:val="Normal"/>
    <w:next w:val="652"/>
    <w:uiPriority w:val="0"/>
    <w:qFormat/>
    <w:rPr>
      <w:rFonts w:asciiTheme="minorHAnsi" w:hAnsiTheme="minorHAnsi" w:eastAsiaTheme="minorEastAsia" w:cstheme="minorBidi"/>
      <w:sz w:val="21"/>
      <w:szCs w:val="22"/>
      <w:lang w:val="en-US" w:eastAsia="zh-CN" w:bidi="ar-SA"/>
    </w:rPr>
  </w:style>
  <w:style w:type="paragraph" w:styleId="641">
    <w:name w:val="Heading 1"/>
    <w:next w:val="640"/>
    <w:link w:val="684"/>
    <w:uiPriority w:val="9"/>
    <w:qFormat/>
    <w:pPr>
      <w:keepLines/>
      <w:keepNext/>
      <w:spacing w:before="480" w:after="200"/>
      <w:outlineLvl w:val="0"/>
    </w:pPr>
    <w:rPr>
      <w:rFonts w:ascii="Arial" w:hAnsi="Arial" w:eastAsia="Arial" w:cs="Arial"/>
      <w:sz w:val="40"/>
      <w:szCs w:val="40"/>
      <w:lang w:val="en-US" w:eastAsia="zh-CN" w:bidi="ar-SA"/>
    </w:rPr>
  </w:style>
  <w:style w:type="paragraph" w:styleId="642">
    <w:name w:val="Heading 2"/>
    <w:next w:val="640"/>
    <w:link w:val="685"/>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43">
    <w:name w:val="Heading 3"/>
    <w:next w:val="640"/>
    <w:link w:val="68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4">
    <w:name w:val="Heading 4"/>
    <w:next w:val="640"/>
    <w:link w:val="68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5">
    <w:name w:val="Heading 5"/>
    <w:next w:val="640"/>
    <w:link w:val="68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6">
    <w:name w:val="Heading 6"/>
    <w:next w:val="640"/>
    <w:link w:val="68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7">
    <w:name w:val="Heading 7"/>
    <w:next w:val="640"/>
    <w:link w:val="69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48">
    <w:name w:val="Heading 8"/>
    <w:next w:val="640"/>
    <w:link w:val="69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49">
    <w:name w:val="Heading 9"/>
    <w:next w:val="640"/>
    <w:link w:val="69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50" w:default="1">
    <w:name w:val="Default Paragraph Font"/>
    <w:uiPriority w:val="1"/>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customStyle="1">
    <w:name w:val="正文首行缩进 211"/>
    <w:basedOn w:val="653"/>
    <w:next w:val="640"/>
    <w:uiPriority w:val="0"/>
    <w:qFormat/>
    <w:pPr>
      <w:ind w:left="0" w:firstLine="420"/>
      <w:spacing w:after="0" w:line="360" w:lineRule="auto"/>
    </w:pPr>
    <w:rPr>
      <w:rFonts w:ascii="宋体" w:hAnsi="宋体" w:eastAsia="宋体" w:cs="Times New Roman"/>
      <w:szCs w:val="20"/>
    </w:rPr>
  </w:style>
  <w:style w:type="paragraph" w:styleId="653" w:customStyle="1">
    <w:name w:val="正文文本缩进111"/>
    <w:basedOn w:val="640"/>
    <w:next w:val="654"/>
    <w:uiPriority w:val="0"/>
    <w:unhideWhenUsed/>
    <w:qFormat/>
    <w:pPr>
      <w:ind w:left="420"/>
      <w:spacing w:after="120"/>
    </w:pPr>
  </w:style>
  <w:style w:type="paragraph" w:styleId="654" w:customStyle="1">
    <w:name w:val="寄信人地址11"/>
    <w:basedOn w:val="640"/>
    <w:uiPriority w:val="0"/>
    <w:qFormat/>
    <w:rPr>
      <w:rFonts w:ascii="Arial" w:hAnsi="Arial" w:eastAsia="宋体" w:cs="宋体"/>
    </w:rPr>
  </w:style>
  <w:style w:type="paragraph" w:styleId="655">
    <w:name w:val="toc 7"/>
    <w:next w:val="640"/>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56">
    <w:name w:val="Normal Indent"/>
    <w:basedOn w:val="640"/>
    <w:uiPriority w:val="0"/>
    <w:qFormat/>
    <w:pPr>
      <w:ind w:firstLine="420"/>
    </w:pPr>
    <w:rPr>
      <w:sz w:val="20"/>
      <w:szCs w:val="21"/>
      <w:lang w:eastAsia="en-US"/>
    </w:rPr>
  </w:style>
  <w:style w:type="paragraph" w:styleId="657">
    <w:name w:val="Caption"/>
    <w:next w:val="640"/>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58">
    <w:name w:val="annotation text"/>
    <w:basedOn w:val="640"/>
    <w:uiPriority w:val="99"/>
    <w:semiHidden/>
    <w:unhideWhenUsed/>
    <w:qFormat/>
    <w:pPr>
      <w:jc w:val="left"/>
    </w:pPr>
  </w:style>
  <w:style w:type="paragraph" w:styleId="659">
    <w:name w:val="Body Text Indent"/>
    <w:basedOn w:val="640"/>
    <w:next w:val="660"/>
    <w:uiPriority w:val="99"/>
    <w:unhideWhenUsed/>
    <w:qFormat/>
    <w:pPr>
      <w:ind w:left="420"/>
      <w:spacing w:after="120"/>
    </w:pPr>
  </w:style>
  <w:style w:type="paragraph" w:styleId="660">
    <w:name w:val="envelope return"/>
    <w:basedOn w:val="640"/>
    <w:uiPriority w:val="0"/>
    <w:qFormat/>
    <w:rPr>
      <w:rFonts w:ascii="Arial" w:hAnsi="Arial" w:cs="宋体"/>
    </w:rPr>
  </w:style>
  <w:style w:type="paragraph" w:styleId="661">
    <w:name w:val="toc 5"/>
    <w:next w:val="640"/>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62">
    <w:name w:val="toc 3"/>
    <w:next w:val="640"/>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63">
    <w:name w:val="Plain Text"/>
    <w:basedOn w:val="640"/>
    <w:uiPriority w:val="0"/>
    <w:qFormat/>
    <w:rPr>
      <w:rFonts w:ascii="宋体" w:hAnsi="Courier New"/>
      <w:sz w:val="20"/>
      <w:szCs w:val="21"/>
      <w:lang w:eastAsia="en-US"/>
    </w:rPr>
  </w:style>
  <w:style w:type="paragraph" w:styleId="664">
    <w:name w:val="toc 8"/>
    <w:next w:val="640"/>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65">
    <w:name w:val="endnote text"/>
    <w:link w:val="830"/>
    <w:uiPriority w:val="99"/>
    <w:semiHidden/>
    <w:unhideWhenUsed/>
    <w:qFormat/>
    <w:rPr>
      <w:rFonts w:asciiTheme="minorHAnsi" w:hAnsiTheme="minorHAnsi" w:eastAsiaTheme="minorEastAsia" w:cstheme="minorBidi"/>
      <w:szCs w:val="22"/>
      <w:lang w:val="en-US" w:eastAsia="zh-CN" w:bidi="ar-SA"/>
    </w:rPr>
  </w:style>
  <w:style w:type="paragraph" w:styleId="666">
    <w:name w:val="Footer"/>
    <w:link w:val="70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7">
    <w:name w:val="Header"/>
    <w:link w:val="70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8">
    <w:name w:val="toc 1"/>
    <w:next w:val="640"/>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69">
    <w:name w:val="toc 4"/>
    <w:next w:val="640"/>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70">
    <w:name w:val="Subtitle"/>
    <w:link w:val="696"/>
    <w:uiPriority w:val="11"/>
    <w:qFormat/>
    <w:pPr>
      <w:spacing w:before="200" w:after="200"/>
    </w:pPr>
    <w:rPr>
      <w:rFonts w:asciiTheme="minorHAnsi" w:hAnsiTheme="minorHAnsi" w:eastAsiaTheme="minorEastAsia" w:cstheme="minorBidi"/>
      <w:sz w:val="24"/>
      <w:szCs w:val="24"/>
      <w:lang w:val="en-US" w:eastAsia="zh-CN" w:bidi="ar-SA"/>
    </w:rPr>
  </w:style>
  <w:style w:type="paragraph" w:styleId="671">
    <w:name w:val="footnote text"/>
    <w:link w:val="82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72">
    <w:name w:val="toc 6"/>
    <w:next w:val="640"/>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73">
    <w:name w:val="table of figures"/>
    <w:next w:val="640"/>
    <w:uiPriority w:val="99"/>
    <w:unhideWhenUsed/>
    <w:qFormat/>
    <w:rPr>
      <w:rFonts w:asciiTheme="minorHAnsi" w:hAnsiTheme="minorHAnsi" w:eastAsiaTheme="minorEastAsia" w:cstheme="minorBidi"/>
      <w:sz w:val="21"/>
      <w:szCs w:val="22"/>
      <w:lang w:val="en-US" w:eastAsia="zh-CN" w:bidi="ar-SA"/>
    </w:rPr>
  </w:style>
  <w:style w:type="paragraph" w:styleId="674">
    <w:name w:val="toc 2"/>
    <w:next w:val="640"/>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75">
    <w:name w:val="toc 9"/>
    <w:next w:val="640"/>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76">
    <w:name w:val="Normal (Web)"/>
    <w:basedOn w:val="640"/>
    <w:uiPriority w:val="99"/>
    <w:semiHidden/>
    <w:unhideWhenUsed/>
    <w:qFormat/>
    <w:pPr>
      <w:jc w:val="left"/>
      <w:spacing w:beforeAutospacing="1" w:afterAutospacing="1"/>
    </w:pPr>
  </w:style>
  <w:style w:type="paragraph" w:styleId="677">
    <w:name w:val="Title"/>
    <w:link w:val="695"/>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678">
    <w:name w:val="Body Text First Indent 2"/>
    <w:basedOn w:val="659"/>
    <w:next w:val="640"/>
    <w:uiPriority w:val="0"/>
    <w:qFormat/>
    <w:pPr>
      <w:ind w:left="0" w:firstLine="420"/>
      <w:spacing w:after="0" w:line="360" w:lineRule="auto"/>
    </w:pPr>
    <w:rPr>
      <w:rFonts w:ascii="宋体" w:hAnsi="宋体"/>
      <w:sz w:val="20"/>
      <w:szCs w:val="20"/>
      <w:lang w:eastAsia="en-US"/>
    </w:r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Emphasis"/>
    <w:uiPriority w:val="0"/>
    <w:qFormat/>
    <w:rPr>
      <w:i/>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character" w:styleId="684" w:customStyle="1">
    <w:name w:val="标题 1 字符"/>
    <w:link w:val="641"/>
    <w:uiPriority w:val="9"/>
    <w:qFormat/>
    <w:rPr>
      <w:rFonts w:ascii="Arial" w:hAnsi="Arial" w:eastAsia="Arial" w:cs="Arial"/>
      <w:sz w:val="40"/>
      <w:szCs w:val="40"/>
    </w:rPr>
  </w:style>
  <w:style w:type="character" w:styleId="685" w:customStyle="1">
    <w:name w:val="标题 2 字符"/>
    <w:link w:val="642"/>
    <w:uiPriority w:val="9"/>
    <w:qFormat/>
    <w:rPr>
      <w:rFonts w:ascii="Arial" w:hAnsi="Arial" w:eastAsia="Arial" w:cs="Arial"/>
      <w:sz w:val="34"/>
    </w:rPr>
  </w:style>
  <w:style w:type="character" w:styleId="686" w:customStyle="1">
    <w:name w:val="标题 3 字符"/>
    <w:link w:val="643"/>
    <w:uiPriority w:val="9"/>
    <w:qFormat/>
    <w:rPr>
      <w:rFonts w:ascii="Arial" w:hAnsi="Arial" w:eastAsia="Arial" w:cs="Arial"/>
      <w:sz w:val="30"/>
      <w:szCs w:val="30"/>
    </w:rPr>
  </w:style>
  <w:style w:type="character" w:styleId="687" w:customStyle="1">
    <w:name w:val="标题 4 字符"/>
    <w:link w:val="644"/>
    <w:uiPriority w:val="9"/>
    <w:qFormat/>
    <w:rPr>
      <w:rFonts w:ascii="Arial" w:hAnsi="Arial" w:eastAsia="Arial" w:cs="Arial"/>
      <w:b/>
      <w:bCs/>
      <w:sz w:val="26"/>
      <w:szCs w:val="26"/>
    </w:rPr>
  </w:style>
  <w:style w:type="character" w:styleId="688" w:customStyle="1">
    <w:name w:val="标题 5 字符"/>
    <w:link w:val="645"/>
    <w:uiPriority w:val="9"/>
    <w:qFormat/>
    <w:rPr>
      <w:rFonts w:ascii="Arial" w:hAnsi="Arial" w:eastAsia="Arial" w:cs="Arial"/>
      <w:b/>
      <w:bCs/>
      <w:sz w:val="24"/>
      <w:szCs w:val="24"/>
    </w:rPr>
  </w:style>
  <w:style w:type="character" w:styleId="689" w:customStyle="1">
    <w:name w:val="标题 6 字符"/>
    <w:link w:val="646"/>
    <w:uiPriority w:val="9"/>
    <w:qFormat/>
    <w:rPr>
      <w:rFonts w:ascii="Arial" w:hAnsi="Arial" w:eastAsia="Arial" w:cs="Arial"/>
      <w:b/>
      <w:bCs/>
      <w:sz w:val="22"/>
      <w:szCs w:val="22"/>
    </w:rPr>
  </w:style>
  <w:style w:type="character" w:styleId="690" w:customStyle="1">
    <w:name w:val="标题 7 字符"/>
    <w:link w:val="647"/>
    <w:uiPriority w:val="9"/>
    <w:qFormat/>
    <w:rPr>
      <w:rFonts w:ascii="Arial" w:hAnsi="Arial" w:eastAsia="Arial" w:cs="Arial"/>
      <w:b/>
      <w:bCs/>
      <w:i/>
      <w:iCs/>
      <w:sz w:val="22"/>
      <w:szCs w:val="22"/>
    </w:rPr>
  </w:style>
  <w:style w:type="character" w:styleId="691" w:customStyle="1">
    <w:name w:val="标题 8 字符"/>
    <w:link w:val="648"/>
    <w:uiPriority w:val="9"/>
    <w:qFormat/>
    <w:rPr>
      <w:rFonts w:ascii="Arial" w:hAnsi="Arial" w:eastAsia="Arial" w:cs="Arial"/>
      <w:i/>
      <w:iCs/>
      <w:sz w:val="22"/>
      <w:szCs w:val="22"/>
    </w:rPr>
  </w:style>
  <w:style w:type="character" w:styleId="692" w:customStyle="1">
    <w:name w:val="标题 9 字符"/>
    <w:link w:val="649"/>
    <w:uiPriority w:val="9"/>
    <w:qFormat/>
    <w:rPr>
      <w:rFonts w:ascii="Arial" w:hAnsi="Arial" w:eastAsia="Arial" w:cs="Arial"/>
      <w:i/>
      <w:iCs/>
      <w:sz w:val="21"/>
      <w:szCs w:val="21"/>
    </w:rPr>
  </w:style>
  <w:style w:type="paragraph" w:styleId="693">
    <w:name w:val="List Paragraph"/>
    <w:basedOn w:val="640"/>
    <w:uiPriority w:val="34"/>
    <w:qFormat/>
    <w:pPr>
      <w:contextualSpacing/>
      <w:ind w:left="720"/>
    </w:pPr>
  </w:style>
  <w:style w:type="paragraph" w:styleId="694">
    <w:name w:val="No Spacing"/>
    <w:uiPriority w:val="1"/>
    <w:qFormat/>
    <w:rPr>
      <w:rFonts w:asciiTheme="minorHAnsi" w:hAnsiTheme="minorHAnsi" w:eastAsiaTheme="minorEastAsia" w:cstheme="minorBidi"/>
      <w:sz w:val="21"/>
      <w:szCs w:val="22"/>
      <w:lang w:val="en-US" w:eastAsia="zh-CN" w:bidi="ar-SA"/>
    </w:rPr>
  </w:style>
  <w:style w:type="character" w:styleId="695" w:customStyle="1">
    <w:name w:val="标题 字符"/>
    <w:link w:val="677"/>
    <w:uiPriority w:val="10"/>
    <w:qFormat/>
    <w:rPr>
      <w:sz w:val="48"/>
      <w:szCs w:val="48"/>
    </w:rPr>
  </w:style>
  <w:style w:type="character" w:styleId="696" w:customStyle="1">
    <w:name w:val="副标题 字符"/>
    <w:link w:val="670"/>
    <w:uiPriority w:val="11"/>
    <w:qFormat/>
    <w:rPr>
      <w:sz w:val="24"/>
      <w:szCs w:val="24"/>
    </w:rPr>
  </w:style>
  <w:style w:type="paragraph" w:styleId="697">
    <w:name w:val="Quote"/>
    <w:link w:val="698"/>
    <w:uiPriority w:val="29"/>
    <w:qFormat/>
    <w:pPr>
      <w:ind w:left="720" w:right="720"/>
    </w:pPr>
    <w:rPr>
      <w:rFonts w:asciiTheme="minorHAnsi" w:hAnsiTheme="minorHAnsi" w:eastAsiaTheme="minorEastAsia" w:cstheme="minorBidi"/>
      <w:i/>
      <w:sz w:val="21"/>
      <w:szCs w:val="22"/>
      <w:lang w:val="en-US" w:eastAsia="zh-CN" w:bidi="ar-SA"/>
    </w:rPr>
  </w:style>
  <w:style w:type="character" w:styleId="698" w:customStyle="1">
    <w:name w:val="引用 字符"/>
    <w:link w:val="697"/>
    <w:uiPriority w:val="29"/>
    <w:qFormat/>
    <w:rPr>
      <w:i/>
    </w:rPr>
  </w:style>
  <w:style w:type="paragraph" w:styleId="699">
    <w:name w:val="Intense Quote"/>
    <w:link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00" w:customStyle="1">
    <w:name w:val="明显引用 字符"/>
    <w:link w:val="699"/>
    <w:uiPriority w:val="30"/>
    <w:qFormat/>
    <w:rPr>
      <w:i/>
    </w:rPr>
  </w:style>
  <w:style w:type="character" w:styleId="701" w:customStyle="1">
    <w:name w:val="页眉 字符"/>
    <w:link w:val="667"/>
    <w:uiPriority w:val="99"/>
    <w:qFormat/>
  </w:style>
  <w:style w:type="character" w:styleId="702" w:customStyle="1">
    <w:name w:val="Footer Char"/>
    <w:uiPriority w:val="99"/>
    <w:qFormat/>
  </w:style>
  <w:style w:type="character" w:styleId="703" w:customStyle="1">
    <w:name w:val="页脚 字符"/>
    <w:link w:val="666"/>
    <w:uiPriority w:val="99"/>
    <w:qFormat/>
  </w:style>
  <w:style w:type="table" w:styleId="7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9" w:customStyle="1">
    <w:name w:val="脚注文本 字符"/>
    <w:link w:val="671"/>
    <w:uiPriority w:val="99"/>
    <w:qFormat/>
    <w:rPr>
      <w:sz w:val="18"/>
    </w:rPr>
  </w:style>
  <w:style w:type="character" w:styleId="830" w:customStyle="1">
    <w:name w:val="尾注文本 字符"/>
    <w:link w:val="665"/>
    <w:uiPriority w:val="99"/>
    <w:qFormat/>
    <w:rPr>
      <w:sz w:val="20"/>
    </w:rPr>
  </w:style>
  <w:style w:type="paragraph" w:styleId="83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32" w:customStyle="1">
    <w:name w:val="列出段落1"/>
    <w:basedOn w:val="640"/>
    <w:uiPriority w:val="0"/>
    <w:qFormat/>
    <w:pPr>
      <w:ind w:firstLine="420"/>
    </w:pPr>
    <w:rPr>
      <w:rFonts w:eastAsia="宋体"/>
    </w:rPr>
  </w:style>
  <w:style w:type="paragraph" w:styleId="833" w:customStyle="1">
    <w:name w:val="正文文本11"/>
    <w:basedOn w:val="640"/>
    <w:uiPriority w:val="0"/>
    <w:qFormat/>
    <w:pPr>
      <w:spacing w:line="60" w:lineRule="auto"/>
    </w:pPr>
    <w:rPr>
      <w:rFonts w:ascii="仿宋_GB2312" w:eastAsia="仿宋_GB2312"/>
      <w:sz w:val="32"/>
    </w:rPr>
  </w:style>
  <w:style w:type="paragraph" w:styleId="834" w:customStyle="1">
    <w:name w:val="Table Paragraph"/>
    <w:basedOn w:val="640"/>
    <w:uiPriority w:val="1"/>
    <w:qFormat/>
    <w:pPr>
      <w:jc w:val="left"/>
    </w:pPr>
    <w:rPr>
      <w:rFonts w:ascii="宋体" w:hAnsi="宋体" w:cs="宋体"/>
      <w:sz w:val="22"/>
      <w:lang w:val="zh-CN" w:bidi="zh-CN"/>
    </w:rPr>
  </w:style>
  <w:style w:type="paragraph" w:styleId="835" w:customStyle="1">
    <w:name w:val="Heading 3"/>
    <w:basedOn w:val="640"/>
    <w:next w:val="656"/>
    <w:uiPriority w:val="0"/>
    <w:qFormat/>
    <w:pPr>
      <w:keepLines/>
      <w:keepNext/>
      <w:spacing w:before="260" w:after="260" w:line="416" w:lineRule="auto"/>
      <w:outlineLvl w:val="2"/>
    </w:pPr>
    <w:rPr>
      <w:b/>
      <w:bCs/>
      <w:sz w:val="32"/>
      <w:szCs w:val="32"/>
      <w:lang w:eastAsia="en-US"/>
    </w:rPr>
  </w:style>
  <w:style w:type="paragraph" w:styleId="836" w:customStyle="1">
    <w:name w:val="Heading 4"/>
    <w:basedOn w:val="640"/>
    <w:next w:val="656"/>
    <w:uiPriority w:val="0"/>
    <w:qFormat/>
    <w:pPr>
      <w:keepLines/>
      <w:keepNext/>
      <w:spacing w:before="280" w:after="290" w:line="376" w:lineRule="auto"/>
      <w:outlineLvl w:val="3"/>
    </w:pPr>
    <w:rPr>
      <w:rFonts w:ascii="Arial" w:hAnsi="Arial" w:eastAsia="黑体"/>
      <w:b/>
      <w:bCs/>
      <w:sz w:val="28"/>
      <w:szCs w:val="28"/>
      <w:lang w:eastAsia="en-US"/>
    </w:rPr>
  </w:style>
  <w:style w:type="paragraph" w:styleId="837" w:customStyle="1">
    <w:name w:val="索引 41"/>
    <w:basedOn w:val="640"/>
    <w:next w:val="640"/>
    <w:uiPriority w:val="0"/>
    <w:semiHidden/>
    <w:qFormat/>
    <w:pPr>
      <w:ind w:left="1260"/>
    </w:pPr>
    <w:rPr>
      <w:rFonts w:ascii="Calibri" w:hAnsi="Calibri" w:eastAsia="Calibri" w:cs="宋体"/>
      <w:sz w:val="20"/>
      <w:lang w:val="zh-CN"/>
    </w:rPr>
  </w:style>
  <w:style w:type="paragraph" w:styleId="838" w:customStyle="1">
    <w:name w:val="正文文本12"/>
    <w:basedOn w:val="640"/>
    <w:uiPriority w:val="1"/>
    <w:qFormat/>
    <w:pPr>
      <w:ind w:left="120"/>
    </w:pPr>
    <w:rPr>
      <w:rFonts w:ascii="宋体" w:hAnsi="宋体" w:cs="宋体"/>
      <w:szCs w:val="21"/>
      <w:lang w:val="zh-CN" w:bidi="zh-CN"/>
    </w:rPr>
  </w:style>
  <w:style w:type="paragraph" w:styleId="839" w:customStyle="1">
    <w:name w:val="正文文本 211"/>
    <w:basedOn w:val="640"/>
    <w:uiPriority w:val="99"/>
    <w:qFormat/>
    <w:pPr>
      <w:jc w:val="center"/>
    </w:pPr>
    <w:rPr>
      <w:b/>
      <w:bCs/>
      <w:sz w:val="20"/>
      <w:szCs w:val="20"/>
    </w:rPr>
  </w:style>
  <w:style w:type="paragraph" w:styleId="840" w:customStyle="1">
    <w:name w:val="Char"/>
    <w:basedOn w:val="640"/>
    <w:uiPriority w:val="0"/>
    <w:qFormat/>
    <w:pPr>
      <w:ind w:firstLine="200"/>
      <w:tabs>
        <w:tab w:val="left" w:pos="360" w:leader="none"/>
      </w:tabs>
    </w:pPr>
    <w:rPr>
      <w:sz w:val="28"/>
      <w:szCs w:val="30"/>
    </w:rPr>
  </w:style>
  <w:style w:type="paragraph" w:styleId="841" w:customStyle="1">
    <w:name w:val="正文文本1"/>
    <w:basedOn w:val="640"/>
    <w:next w:val="640"/>
    <w:uiPriority w:val="0"/>
    <w:semiHidden/>
    <w:qFormat/>
    <w:rPr>
      <w:rFonts w:ascii="Arial" w:hAnsi="Arial" w:eastAsia="Arial" w:cs="Arial"/>
      <w:szCs w:val="21"/>
      <w:lang w:eastAsia="en-US"/>
    </w:rPr>
  </w:style>
  <w:style w:type="paragraph" w:styleId="842" w:customStyle="1">
    <w:name w:val="普通正文"/>
    <w:basedOn w:val="640"/>
    <w:uiPriority w:val="0"/>
    <w:qFormat/>
    <w:pPr>
      <w:ind w:firstLine="480"/>
      <w:jc w:val="left"/>
      <w:spacing w:before="120" w:after="120" w:line="360" w:lineRule="auto"/>
    </w:pPr>
    <w:rPr>
      <w:rFonts w:ascii="Arial" w:hAnsi="Arial"/>
      <w:sz w:val="24"/>
      <w:szCs w:val="24"/>
    </w:rPr>
  </w:style>
  <w:style w:type="character" w:styleId="843" w:customStyle="1">
    <w:name w:val="font51"/>
    <w:basedOn w:val="650"/>
    <w:uiPriority w:val="0"/>
    <w:qFormat/>
    <w:rPr>
      <w:rFonts w:ascii="宋体" w:hAnsi="宋体" w:eastAsia="宋体" w:cs="宋体"/>
      <w:color w:val="000000"/>
      <w:sz w:val="18"/>
      <w:szCs w:val="18"/>
      <w:u w:val="none"/>
    </w:rPr>
  </w:style>
  <w:style w:type="character" w:styleId="844" w:customStyle="1">
    <w:name w:val="font11"/>
    <w:basedOn w:val="650"/>
    <w:uiPriority w:val="0"/>
    <w:qFormat/>
    <w:rPr>
      <w:rFonts w:hint="eastAsia" w:ascii="宋体" w:hAnsi="宋体" w:eastAsia="宋体" w:cs="宋体"/>
      <w:color w:val="ff0000"/>
      <w:sz w:val="22"/>
      <w:szCs w:val="22"/>
      <w:u w:val="none"/>
    </w:rPr>
  </w:style>
  <w:style w:type="character" w:styleId="845" w:customStyle="1">
    <w:name w:val="font01"/>
    <w:basedOn w:val="650"/>
    <w:uiPriority w:val="0"/>
    <w:qFormat/>
    <w:rPr>
      <w:rFonts w:hint="eastAsia" w:ascii="宋体" w:hAnsi="宋体" w:eastAsia="宋体" w:cs="宋体"/>
      <w:color w:val="000000"/>
      <w:sz w:val="22"/>
      <w:szCs w:val="22"/>
      <w:u w:val="none"/>
    </w:rPr>
  </w:style>
  <w:style w:type="character" w:styleId="846" w:customStyle="1">
    <w:name w:val="font21"/>
    <w:basedOn w:val="650"/>
    <w:uiPriority w:val="0"/>
    <w:qFormat/>
    <w:rPr>
      <w:rFonts w:hint="eastAsia" w:ascii="宋体" w:hAnsi="宋体" w:eastAsia="宋体" w:cs="宋体"/>
      <w:color w:val="000000"/>
      <w:sz w:val="21"/>
      <w:szCs w:val="21"/>
      <w:u w:val="none"/>
    </w:rPr>
  </w:style>
  <w:style w:type="character" w:styleId="847" w:customStyle="1">
    <w:name w:val="font31"/>
    <w:basedOn w:val="650"/>
    <w:uiPriority w:val="0"/>
    <w:qFormat/>
    <w:rPr>
      <w:rFonts w:hint="eastAsia" w:ascii="宋体" w:hAnsi="宋体" w:eastAsia="宋体" w:cs="宋体"/>
      <w:color w:val="ff0000"/>
      <w:sz w:val="21"/>
      <w:szCs w:val="21"/>
      <w:u w:val="none"/>
    </w:rPr>
  </w:style>
  <w:style w:type="character" w:styleId="848" w:customStyle="1">
    <w:name w:val="font41"/>
    <w:basedOn w:val="650"/>
    <w:uiPriority w:val="0"/>
    <w:qFormat/>
    <w:rPr>
      <w:rFonts w:hint="eastAsia" w:ascii="宋体" w:hAnsi="宋体" w:eastAsia="宋体" w:cs="宋体"/>
      <w:color w:val="000000"/>
      <w:sz w:val="21"/>
      <w:szCs w:val="21"/>
      <w:u w:val="none"/>
    </w:rPr>
  </w:style>
  <w:style w:type="paragraph" w:styleId="849" w:customStyle="1">
    <w:name w:val="纯文本11"/>
    <w:basedOn w:val="640"/>
    <w:uiPriority w:val="0"/>
    <w:qFormat/>
    <w:rPr>
      <w:rFonts w:ascii="宋体" w:hAnsi="Courier New" w:eastAsia="宋体" w:cs="Courier New"/>
      <w:szCs w:val="21"/>
    </w:rPr>
  </w:style>
  <w:style w:type="character" w:styleId="850" w:customStyle="1">
    <w:name w:val="font71"/>
    <w:basedOn w:val="650"/>
    <w:uiPriority w:val="0"/>
    <w:qFormat/>
    <w:rPr>
      <w:rFonts w:hint="default" w:ascii="Times New Roman" w:hAnsi="Times New Roman" w:cs="Times New Roman"/>
      <w:color w:val="000000"/>
      <w:sz w:val="24"/>
      <w:szCs w:val="24"/>
      <w:u w:val="none"/>
    </w:rPr>
  </w:style>
  <w:style w:type="character" w:styleId="851" w:customStyle="1">
    <w:name w:val="font81"/>
    <w:basedOn w:val="650"/>
    <w:uiPriority w:val="0"/>
    <w:qFormat/>
    <w:rPr>
      <w:rFonts w:hint="eastAsia" w:ascii="宋体" w:hAnsi="宋体" w:eastAsia="宋体" w:cs="宋体"/>
      <w:color w:val="000000"/>
      <w:sz w:val="24"/>
      <w:szCs w:val="24"/>
      <w:u w:val="none"/>
    </w:rPr>
  </w:style>
  <w:style w:type="character" w:styleId="852" w:customStyle="1">
    <w:name w:val="font91"/>
    <w:basedOn w:val="650"/>
    <w:uiPriority w:val="0"/>
    <w:qFormat/>
    <w:rPr>
      <w:rFonts w:hint="default" w:ascii="Times New Roman" w:hAnsi="Times New Roman" w:cs="Times New Roman"/>
      <w:color w:val="000000"/>
      <w:sz w:val="24"/>
      <w:szCs w:val="24"/>
      <w:u w:val="none"/>
    </w:rPr>
  </w:style>
  <w:style w:type="character" w:styleId="853" w:customStyle="1">
    <w:name w:val="font131"/>
    <w:basedOn w:val="650"/>
    <w:uiPriority w:val="0"/>
    <w:qFormat/>
    <w:rPr>
      <w:rFonts w:hint="eastAsia" w:ascii="宋体" w:hAnsi="宋体" w:eastAsia="宋体" w:cs="宋体"/>
      <w:b/>
      <w:bCs/>
      <w:color w:val="ff0000"/>
      <w:sz w:val="22"/>
      <w:szCs w:val="22"/>
      <w:u w:val="none"/>
    </w:rPr>
  </w:style>
  <w:style w:type="character" w:styleId="854" w:customStyle="1">
    <w:name w:val="font101"/>
    <w:basedOn w:val="650"/>
    <w:uiPriority w:val="0"/>
    <w:qFormat/>
    <w:rPr>
      <w:rFonts w:hint="eastAsia" w:ascii="宋体" w:hAnsi="宋体" w:eastAsia="宋体" w:cs="宋体"/>
      <w:b/>
      <w:bCs/>
      <w:color w:val="000000"/>
      <w:sz w:val="22"/>
      <w:szCs w:val="22"/>
      <w:u w:val="none"/>
    </w:rPr>
  </w:style>
  <w:style w:type="character" w:styleId="855" w:customStyle="1">
    <w:name w:val="font141"/>
    <w:basedOn w:val="650"/>
    <w:uiPriority w:val="0"/>
    <w:qFormat/>
    <w:rPr>
      <w:rFonts w:hint="eastAsia" w:ascii="宋体" w:hAnsi="宋体" w:eastAsia="宋体" w:cs="宋体"/>
      <w:color w:val="000000"/>
      <w:sz w:val="22"/>
      <w:szCs w:val="22"/>
      <w:u w:val="none"/>
    </w:rPr>
  </w:style>
  <w:style w:type="character" w:styleId="856" w:customStyle="1">
    <w:name w:val="font61"/>
    <w:basedOn w:val="650"/>
    <w:uiPriority w:val="0"/>
    <w:qFormat/>
    <w:rPr>
      <w:rFonts w:hint="eastAsia" w:ascii="宋体" w:hAnsi="宋体" w:eastAsia="宋体" w:cs="宋体"/>
      <w:color w:val="000000"/>
      <w:sz w:val="21"/>
      <w:szCs w:val="21"/>
      <w:u w:val="none"/>
    </w:rPr>
  </w:style>
  <w:style w:type="character" w:styleId="857" w:customStyle="1">
    <w:name w:val="font151"/>
    <w:basedOn w:val="650"/>
    <w:uiPriority w:val="0"/>
    <w:qFormat/>
    <w:rPr>
      <w:rFonts w:hint="eastAsia" w:ascii="宋体" w:hAnsi="宋体" w:eastAsia="宋体" w:cs="宋体"/>
      <w:b/>
      <w:bCs/>
      <w:color w:val="ff0000"/>
      <w:sz w:val="21"/>
      <w:szCs w:val="21"/>
      <w:u w:val="none"/>
    </w:rPr>
  </w:style>
  <w:style w:type="character" w:styleId="858" w:customStyle="1">
    <w:name w:val="font112"/>
    <w:basedOn w:val="650"/>
    <w:uiPriority w:val="0"/>
    <w:qFormat/>
    <w:rPr>
      <w:rFonts w:hint="eastAsia" w:ascii="宋体" w:hAnsi="宋体" w:eastAsia="宋体" w:cs="宋体"/>
      <w:color w:val="000000"/>
      <w:sz w:val="20"/>
      <w:szCs w:val="20"/>
      <w:u w:val="none"/>
    </w:rPr>
  </w:style>
  <w:style w:type="character" w:styleId="859" w:customStyle="1">
    <w:name w:val="font161"/>
    <w:basedOn w:val="650"/>
    <w:uiPriority w:val="0"/>
    <w:qFormat/>
    <w:rPr>
      <w:rFonts w:hint="eastAsia" w:ascii="宋体" w:hAnsi="宋体" w:eastAsia="宋体" w:cs="宋体"/>
      <w:color w:val="000000"/>
      <w:sz w:val="20"/>
      <w:szCs w:val="20"/>
      <w:u w:val="none"/>
    </w:rPr>
  </w:style>
  <w:style w:type="character" w:styleId="860" w:customStyle="1">
    <w:name w:val="font171"/>
    <w:basedOn w:val="650"/>
    <w:uiPriority w:val="0"/>
    <w:qFormat/>
    <w:rPr>
      <w:rFonts w:hint="eastAsia" w:ascii="宋体" w:hAnsi="宋体" w:eastAsia="宋体" w:cs="宋体"/>
      <w:color w:val="ff0000"/>
      <w:sz w:val="21"/>
      <w:szCs w:val="21"/>
      <w:u w:val="none"/>
    </w:rPr>
  </w:style>
  <w:style w:type="character" w:styleId="861" w:customStyle="1">
    <w:name w:val="font181"/>
    <w:basedOn w:val="650"/>
    <w:uiPriority w:val="0"/>
    <w:qFormat/>
    <w:rPr>
      <w:rFonts w:hint="eastAsia" w:ascii="宋体" w:hAnsi="宋体" w:eastAsia="宋体" w:cs="宋体"/>
      <w:color w:val="000000"/>
      <w:sz w:val="21"/>
      <w:szCs w:val="21"/>
      <w:u w:val="none"/>
      <w:vertAlign w:val="subscript"/>
    </w:rPr>
  </w:style>
  <w:style w:type="numbering" w:styleId="13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8</cp:revision>
  <dcterms:created xsi:type="dcterms:W3CDTF">2024-11-08T09:47:00Z</dcterms:created>
  <dcterms:modified xsi:type="dcterms:W3CDTF">2026-10-12T06:32:08Z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3A0C9F5D19344E86B760B50362112A1B_13</vt:lpwstr>
  </property>
  <property fmtid="{D5CDD505-2E9C-101B-9397-08002B2CF9AE}" pid="4" name="KSOTemplateDocerSaveRecord">
    <vt:lpwstr>eyJoZGlkIjoiMWVjMzU3Yjc3NDAxOThhMGJkMTk1MTkyODk4ZDRmN2MiLCJ1c2VySWQiOiIzMTg2NTgxNTYifQ==</vt:lpwstr>
  </property>
</Properties>
</file>