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970"/>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970"/>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JSZC-320200-JZCG-G2026-0087</w:t>
      </w:r>
      <w:r>
        <w:rPr>
          <w:color w:val="000000" w:themeColor="text1"/>
          <w:highlight w:val="none"/>
        </w:rPr>
      </w: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2026年度第一批次市级政府投资项目工程造价审计服务</w:t>
      </w:r>
      <w:r>
        <w:rPr>
          <w:color w:val="000000" w:themeColor="text1"/>
          <w:highlight w:val="none"/>
        </w:rPr>
      </w: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无锡市政府投资评审中心</w:t>
      </w:r>
      <w:r>
        <w:rPr>
          <w:color w:val="000000" w:themeColor="text1"/>
          <w:highlight w:val="none"/>
        </w:rPr>
      </w:r>
      <w:r/>
    </w:p>
    <w:p>
      <w:pPr>
        <w:pStyle w:val="88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0"/>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970"/>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十</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70"/>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513029200"/>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color w:val="000000" w:themeColor="text1"/>
          <w:highlight w:val="none"/>
        </w:rPr>
      </w:r>
      <w:r/>
    </w:p>
    <w:p>
      <w:pPr>
        <w:pStyle w:val="881"/>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r/>
    </w:p>
    <w:p>
      <w:pPr>
        <w:pStyle w:val="881"/>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无锡市政府投资评审中心</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2026年度第一批次市级政府投资项目工程造价审计服务</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JSZC-320200-JZCG-G2026-0087</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r/>
    </w:p>
    <w:p>
      <w:pPr>
        <w:pStyle w:val="88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8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2026年度第一批次市级政府投资项目工程造价审计服务</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28359002"/>
      <w:r>
        <w:rPr>
          <w:color w:val="000000" w:themeColor="text1"/>
          <w:highlight w:val="none"/>
        </w:rPr>
      </w:r>
      <w:bookmarkStart w:id="7" w:name="_Toc35393790"/>
      <w:r>
        <w:rPr>
          <w:color w:val="000000" w:themeColor="text1"/>
          <w:highlight w:val="none"/>
        </w:rPr>
      </w:r>
      <w:bookmarkStart w:id="8" w:name="_Toc38985263"/>
      <w:r>
        <w:rPr>
          <w:color w:val="000000" w:themeColor="text1"/>
          <w:highlight w:val="none"/>
        </w:rPr>
      </w:r>
      <w:bookmarkStart w:id="9" w:name="_Toc28359079"/>
      <w:r>
        <w:rPr>
          <w:color w:val="000000" w:themeColor="text1"/>
          <w:highlight w:val="none"/>
        </w:rPr>
      </w:r>
      <w:bookmarkStart w:id="10" w:name="_Toc35393621"/>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JSZC-320200-JZCG-G2026-0087</w:t>
      </w:r>
      <w:r>
        <w:rPr>
          <w:color w:val="000000" w:themeColor="text1"/>
          <w:highlight w:val="none"/>
        </w:rPr>
      </w:r>
      <w:r/>
    </w:p>
    <w:p>
      <w:pPr>
        <w:pStyle w:val="88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2026年度第一批次市级政府投资项目工程造价审计服务</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318</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（本项目分为</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个采购包：采购包1项目预算为</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万元；采购包2项目预算为</w:t>
      </w:r>
      <w:r>
        <w:rPr>
          <w:rFonts w:hint="eastAsia" w:ascii="宋体" w:hAnsi="宋体"/>
          <w:color w:val="000000" w:themeColor="text1"/>
          <w:sz w:val="24"/>
          <w:szCs w:val="24"/>
          <w:highlight w:val="none"/>
          <w:lang w:val="en-US" w:eastAsia="zh-CN"/>
        </w:rPr>
        <w:t xml:space="preserve">158</w:t>
      </w:r>
      <w:r>
        <w:rPr>
          <w:rFonts w:hint="eastAsia" w:ascii="宋体" w:hAnsi="宋体"/>
          <w:color w:val="000000" w:themeColor="text1"/>
          <w:sz w:val="24"/>
          <w:szCs w:val="24"/>
          <w:highlight w:val="none"/>
        </w:rPr>
        <w:t xml:space="preserve">万元）</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318</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（本项目分为</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个采购包：采购包1项目预算为</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万元；采购包2项目预算为</w:t>
      </w:r>
      <w:r>
        <w:rPr>
          <w:rFonts w:hint="eastAsia" w:ascii="宋体" w:hAnsi="宋体"/>
          <w:color w:val="000000" w:themeColor="text1"/>
          <w:sz w:val="24"/>
          <w:szCs w:val="24"/>
          <w:highlight w:val="none"/>
          <w:lang w:val="en-US" w:eastAsia="zh-CN"/>
        </w:rPr>
        <w:t xml:space="preserve">158</w:t>
      </w:r>
      <w:r>
        <w:rPr>
          <w:rFonts w:hint="eastAsia" w:ascii="宋体" w:hAnsi="宋体"/>
          <w:color w:val="000000" w:themeColor="text1"/>
          <w:sz w:val="24"/>
          <w:szCs w:val="24"/>
          <w:highlight w:val="none"/>
        </w:rPr>
        <w:t xml:space="preserve">万元）</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28359080"/>
      <w:r>
        <w:rPr>
          <w:color w:val="000000" w:themeColor="text1"/>
          <w:highlight w:val="none"/>
        </w:rPr>
      </w:r>
      <w:bookmarkStart w:id="14" w:name="_Toc38985264"/>
      <w:r>
        <w:rPr>
          <w:color w:val="000000" w:themeColor="text1"/>
          <w:highlight w:val="none"/>
        </w:rPr>
      </w:r>
      <w:bookmarkStart w:id="15" w:name="_Toc35393791"/>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5393792"/>
      <w:r>
        <w:rPr>
          <w:color w:val="000000" w:themeColor="text1"/>
          <w:highlight w:val="none"/>
        </w:rPr>
      </w:r>
      <w:bookmarkStart w:id="19" w:name="_Toc38985265"/>
      <w:r>
        <w:rPr>
          <w:color w:val="000000" w:themeColor="text1"/>
          <w:highlight w:val="none"/>
        </w:rPr>
      </w:r>
      <w:bookmarkStart w:id="20" w:name="_Toc28359004"/>
      <w:r>
        <w:rPr>
          <w:color w:val="000000" w:themeColor="text1"/>
          <w:highlight w:val="none"/>
        </w:rPr>
      </w:r>
      <w:bookmarkStart w:id="21" w:name="_Toc28359081"/>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81"/>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r/>
    </w:p>
    <w:p>
      <w:pPr>
        <w:pStyle w:val="881"/>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color w:val="000000" w:themeColor="text1"/>
          <w:highlight w:val="none"/>
        </w:rPr>
      </w:r>
      <w:r/>
    </w:p>
    <w:p>
      <w:pPr>
        <w:pStyle w:val="881"/>
        <w:ind w:firstLine="540"/>
        <w:spacing w:line="500" w:lineRule="exact"/>
        <w:rPr>
          <w:rStyle w:val="959"/>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https://jszfcg.jsczt.cn/</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r/>
    </w:p>
    <w:p>
      <w:pPr>
        <w:pStyle w:val="881"/>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6年11月10日09点30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84"/>
      <w:r>
        <w:rPr>
          <w:color w:val="000000" w:themeColor="text1"/>
          <w:highlight w:val="none"/>
        </w:rPr>
      </w:r>
      <w:bookmarkStart w:id="28" w:name="_Toc38985267"/>
      <w:r>
        <w:rPr>
          <w:color w:val="000000" w:themeColor="text1"/>
          <w:highlight w:val="none"/>
        </w:rPr>
      </w:r>
      <w:bookmarkStart w:id="29" w:name="_Toc28359007"/>
      <w:r>
        <w:rPr>
          <w:color w:val="000000" w:themeColor="text1"/>
          <w:highlight w:val="none"/>
        </w:rPr>
      </w:r>
      <w:bookmarkStart w:id="30" w:name="_Toc35393794"/>
      <w:r>
        <w:rPr>
          <w:color w:val="000000" w:themeColor="text1"/>
          <w:highlight w:val="none"/>
        </w:rPr>
      </w:r>
      <w:bookmarkStart w:id="31" w:name="_Toc35393625"/>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28359008"/>
      <w:r>
        <w:rPr>
          <w:color w:val="000000" w:themeColor="text1"/>
          <w:highlight w:val="none"/>
        </w:rPr>
      </w:r>
      <w:bookmarkStart w:id="37" w:name="_Toc35393627"/>
      <w:r>
        <w:rPr>
          <w:color w:val="000000" w:themeColor="text1"/>
          <w:highlight w:val="none"/>
        </w:rPr>
      </w:r>
      <w:bookmarkStart w:id="38" w:name="_Toc28359085"/>
      <w:r>
        <w:rPr>
          <w:color w:val="000000" w:themeColor="text1"/>
          <w:highlight w:val="none"/>
        </w:rPr>
      </w:r>
      <w:bookmarkStart w:id="39" w:name="_Toc35393796"/>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81"/>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无锡市政府投资评审中心</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无锡市滨湖区蠡湖大道309号</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采购人项目咨询联系人：南丽霞；</w:t>
      </w:r>
      <w:r>
        <w:rPr>
          <w:rFonts w:hint="eastAsia" w:ascii="宋体" w:hAnsi="宋体" w:cs="宋体"/>
          <w:color w:val="000000" w:themeColor="text1"/>
          <w:sz w:val="24"/>
          <w:szCs w:val="24"/>
          <w:highlight w:val="none"/>
        </w:rPr>
        <w:t xml:space="preserve">电话：17306118233</w:t>
      </w:r>
      <w:r>
        <w:rPr>
          <w:color w:val="000000" w:themeColor="text1"/>
          <w:highlight w:val="none"/>
        </w:rPr>
      </w: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采购人质疑受理联系人：南丽霞；</w:t>
      </w:r>
      <w:r>
        <w:rPr>
          <w:rFonts w:hint="eastAsia" w:ascii="宋体" w:hAnsi="宋体" w:cs="宋体"/>
          <w:color w:val="000000" w:themeColor="text1"/>
          <w:sz w:val="24"/>
          <w:szCs w:val="24"/>
          <w:highlight w:val="none"/>
        </w:rPr>
        <w:t xml:space="preserve">电话：17306118233</w:t>
      </w:r>
      <w:r>
        <w:rPr>
          <w:color w:val="000000" w:themeColor="text1"/>
          <w:highlight w:val="none"/>
        </w:rPr>
      </w:r>
      <w:r/>
    </w:p>
    <w:p>
      <w:pPr>
        <w:pStyle w:val="881"/>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color w:val="000000" w:themeColor="text1"/>
          <w:highlight w:val="none"/>
        </w:rPr>
      </w: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r/>
    </w:p>
    <w:p>
      <w:pPr>
        <w:pStyle w:val="88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中填写资质信息并提交。也可以直接通过https://jszfcg.jsczt.cn/进入界面。</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pStyle w:val="88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r/>
    </w:p>
    <w:p>
      <w:pPr>
        <w:pStyle w:val="88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color w:val="000000" w:themeColor="text1"/>
          <w:highlight w:val="none"/>
        </w:rPr>
      </w:r>
      <w:r/>
    </w:p>
    <w:p>
      <w:pPr>
        <w:pStyle w:val="88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r/>
    </w:p>
    <w:p>
      <w:pPr>
        <w:pStyle w:val="88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color w:val="000000" w:themeColor="text1"/>
          <w:highlight w:val="none"/>
        </w:rPr>
      </w: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20614213"/>
      <w:r>
        <w:rPr>
          <w:color w:val="000000" w:themeColor="text1"/>
          <w:highlight w:val="none"/>
        </w:rPr>
      </w:r>
      <w:bookmarkStart w:id="44" w:name="_Toc513029202"/>
      <w:r>
        <w:rPr>
          <w:color w:val="000000" w:themeColor="text1"/>
          <w:highlight w:val="none"/>
        </w:rPr>
      </w:r>
      <w:bookmarkStart w:id="45" w:name="_Toc20823274"/>
      <w:r>
        <w:rPr>
          <w:color w:val="000000" w:themeColor="text1"/>
          <w:highlight w:val="none"/>
        </w:rPr>
      </w:r>
      <w:bookmarkStart w:id="46" w:name="_Toc16938518"/>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20823275"/>
      <w:r>
        <w:rPr>
          <w:color w:val="000000" w:themeColor="text1"/>
          <w:highlight w:val="none"/>
        </w:rPr>
      </w:r>
      <w:bookmarkStart w:id="48" w:name="_Toc513029203"/>
      <w:r>
        <w:rPr>
          <w:color w:val="000000" w:themeColor="text1"/>
          <w:highlight w:val="none"/>
        </w:rPr>
      </w:r>
      <w:bookmarkStart w:id="49" w:name="_Toc16938519"/>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20823276"/>
      <w:r>
        <w:rPr>
          <w:color w:val="000000" w:themeColor="text1"/>
          <w:highlight w:val="none"/>
        </w:rPr>
      </w:r>
      <w:bookmarkStart w:id="54" w:name="_Toc16938520"/>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16938521"/>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20823278"/>
      <w:r>
        <w:rPr>
          <w:color w:val="000000" w:themeColor="text1"/>
          <w:highlight w:val="none"/>
        </w:rPr>
      </w:r>
      <w:bookmarkStart w:id="59" w:name="_Toc16938522"/>
      <w:r>
        <w:rPr>
          <w:color w:val="000000" w:themeColor="text1"/>
          <w:highlight w:val="none"/>
        </w:rPr>
      </w:r>
      <w:bookmarkStart w:id="60" w:name="_Toc513029206"/>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462564067"/>
      <w:r>
        <w:rPr>
          <w:color w:val="000000" w:themeColor="text1"/>
          <w:highlight w:val="none"/>
        </w:rPr>
      </w:r>
      <w:bookmarkStart w:id="63" w:name="_Toc513029207"/>
      <w:r>
        <w:rPr>
          <w:color w:val="000000" w:themeColor="text1"/>
          <w:highlight w:val="none"/>
        </w:rPr>
      </w:r>
      <w:bookmarkStart w:id="64" w:name="_Toc20823279"/>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6938525"/>
      <w:r>
        <w:rPr>
          <w:color w:val="000000" w:themeColor="text1"/>
          <w:highlight w:val="none"/>
        </w:rPr>
      </w:r>
      <w:bookmarkStart w:id="66" w:name="_Toc120614215"/>
      <w:r>
        <w:rPr>
          <w:color w:val="000000" w:themeColor="text1"/>
          <w:highlight w:val="none"/>
        </w:rPr>
      </w:r>
      <w:bookmarkStart w:id="67" w:name="_Toc513029209"/>
      <w:r>
        <w:rPr>
          <w:color w:val="000000" w:themeColor="text1"/>
          <w:highlight w:val="none"/>
        </w:rPr>
      </w:r>
      <w:bookmarkStart w:id="68" w:name="_Toc20823281"/>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81"/>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20823283"/>
      <w:r>
        <w:rPr>
          <w:color w:val="000000" w:themeColor="text1"/>
          <w:highlight w:val="none"/>
        </w:rPr>
      </w:r>
      <w:bookmarkStart w:id="75" w:name="_Toc513029211"/>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pStyle w:val="881"/>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513029212"/>
      <w:r>
        <w:rPr>
          <w:color w:val="000000" w:themeColor="text1"/>
          <w:highlight w:val="none"/>
        </w:rPr>
      </w:r>
      <w:bookmarkStart w:id="77" w:name="_Toc20823284"/>
      <w:r>
        <w:rPr>
          <w:color w:val="000000" w:themeColor="text1"/>
          <w:highlight w:val="none"/>
        </w:rPr>
      </w:r>
      <w:bookmarkStart w:id="78" w:name="_Toc16938528"/>
      <w:r>
        <w:rPr>
          <w:color w:val="000000" w:themeColor="text1"/>
          <w:highlight w:val="none"/>
        </w:rPr>
      </w:r>
      <w:bookmarkStart w:id="79" w:name="_Toc462564071"/>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20823285"/>
      <w:r>
        <w:rPr>
          <w:color w:val="000000" w:themeColor="text1"/>
          <w:highlight w:val="none"/>
        </w:rPr>
      </w:r>
      <w:bookmarkStart w:id="81" w:name="_Toc462564072"/>
      <w:r>
        <w:rPr>
          <w:color w:val="000000" w:themeColor="text1"/>
          <w:highlight w:val="none"/>
        </w:rPr>
      </w:r>
      <w:bookmarkStart w:id="82" w:name="_Toc120614216"/>
      <w:r>
        <w:rPr>
          <w:color w:val="000000" w:themeColor="text1"/>
          <w:highlight w:val="none"/>
        </w:rPr>
      </w:r>
      <w:bookmarkStart w:id="83" w:name="_Toc513029213"/>
      <w:r>
        <w:rPr>
          <w:color w:val="000000" w:themeColor="text1"/>
          <w:highlight w:val="none"/>
        </w:rPr>
      </w:r>
      <w:bookmarkStart w:id="84" w:name="_Toc16938529"/>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513029214"/>
      <w:r>
        <w:rPr>
          <w:color w:val="000000" w:themeColor="text1"/>
          <w:highlight w:val="none"/>
        </w:rPr>
      </w:r>
      <w:bookmarkStart w:id="87" w:name="_Toc16938530"/>
      <w:r>
        <w:rPr>
          <w:color w:val="000000" w:themeColor="text1"/>
          <w:highlight w:val="none"/>
        </w:rPr>
      </w:r>
      <w:bookmarkStart w:id="88" w:name="_Toc462564073"/>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513029215"/>
      <w:r>
        <w:rPr>
          <w:color w:val="000000" w:themeColor="text1"/>
          <w:highlight w:val="none"/>
        </w:rPr>
      </w:r>
      <w:bookmarkStart w:id="91" w:name="_Toc462564074"/>
      <w:r>
        <w:rPr>
          <w:color w:val="000000" w:themeColor="text1"/>
          <w:highlight w:val="none"/>
        </w:rPr>
      </w:r>
      <w:bookmarkStart w:id="92" w:name="_Toc20823287"/>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68975"/>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14577354"/>
      <w:r>
        <w:rPr>
          <w:color w:val="000000" w:themeColor="text1"/>
          <w:highlight w:val="none"/>
        </w:rPr>
      </w:r>
      <w:bookmarkStart w:id="100" w:name="_Toc513029216"/>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68983"/>
      <w:r>
        <w:rPr>
          <w:color w:val="000000" w:themeColor="text1"/>
          <w:highlight w:val="none"/>
        </w:rPr>
      </w:r>
      <w:bookmarkEnd w:id="108"/>
      <w:r>
        <w:rPr>
          <w:color w:val="000000" w:themeColor="text1"/>
          <w:highlight w:val="none"/>
        </w:rPr>
      </w:r>
      <w:bookmarkStart w:id="109" w:name="_Hlt26954842"/>
      <w:r>
        <w:rPr>
          <w:color w:val="000000" w:themeColor="text1"/>
          <w:highlight w:val="none"/>
        </w:rPr>
      </w:r>
      <w:bookmarkEnd w:id="109"/>
      <w:r>
        <w:rPr>
          <w:color w:val="000000" w:themeColor="text1"/>
          <w:highlight w:val="none"/>
        </w:rPr>
      </w:r>
      <w:bookmarkStart w:id="110" w:name="_Hlt26670486"/>
      <w:r>
        <w:rPr>
          <w:color w:val="000000" w:themeColor="text1"/>
          <w:highlight w:val="none"/>
        </w:rPr>
      </w:r>
      <w:bookmarkEnd w:id="110"/>
      <w:r>
        <w:rPr>
          <w:color w:val="000000" w:themeColor="text1"/>
          <w:highlight w:val="none"/>
        </w:rPr>
      </w:r>
      <w:bookmarkStart w:id="111" w:name="_Hlt26954844"/>
      <w:r>
        <w:rPr>
          <w:color w:val="000000" w:themeColor="text1"/>
          <w:highlight w:val="none"/>
        </w:rPr>
      </w:r>
      <w:bookmarkEnd w:id="111"/>
      <w:r>
        <w:rPr>
          <w:color w:val="000000" w:themeColor="text1"/>
          <w:highlight w:val="none"/>
        </w:rPr>
      </w:r>
      <w:bookmarkStart w:id="112" w:name="_Hlt26954846"/>
      <w:r>
        <w:rPr>
          <w:color w:val="000000" w:themeColor="text1"/>
          <w:highlight w:val="none"/>
        </w:rPr>
      </w:r>
      <w:bookmarkEnd w:id="112"/>
      <w:r>
        <w:rPr>
          <w:color w:val="000000" w:themeColor="text1"/>
          <w:highlight w:val="none"/>
        </w:rPr>
      </w:r>
      <w:bookmarkStart w:id="113" w:name="_Hlt26670425"/>
      <w:r>
        <w:rPr>
          <w:color w:val="000000" w:themeColor="text1"/>
          <w:highlight w:val="none"/>
        </w:rPr>
      </w:r>
      <w:bookmarkEnd w:id="113"/>
      <w:r>
        <w:rPr>
          <w:color w:val="000000" w:themeColor="text1"/>
          <w:highlight w:val="none"/>
        </w:rPr>
      </w:r>
      <w:bookmarkStart w:id="114" w:name="_Hlt26670403"/>
      <w:r>
        <w:rPr>
          <w:color w:val="000000" w:themeColor="text1"/>
          <w:highlight w:val="none"/>
        </w:rPr>
      </w:r>
      <w:bookmarkEnd w:id="114"/>
      <w:r>
        <w:rPr>
          <w:color w:val="000000" w:themeColor="text1"/>
          <w:highlight w:val="none"/>
        </w:rPr>
      </w:r>
      <w:bookmarkStart w:id="115" w:name="_Hlt26954731"/>
      <w:r>
        <w:rPr>
          <w:color w:val="000000" w:themeColor="text1"/>
          <w:highlight w:val="none"/>
        </w:rPr>
      </w:r>
      <w:bookmarkEnd w:id="115"/>
      <w:r>
        <w:rPr>
          <w:color w:val="000000" w:themeColor="text1"/>
          <w:highlight w:val="none"/>
        </w:rPr>
      </w:r>
      <w:bookmarkStart w:id="116" w:name="_Hlt26670482"/>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r/>
    </w:p>
    <w:p>
      <w:pPr>
        <w:pStyle w:val="881"/>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670489"/>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513029224"/>
      <w:r>
        <w:rPr>
          <w:color w:val="000000" w:themeColor="text1"/>
          <w:highlight w:val="none"/>
        </w:rPr>
      </w:r>
      <w:bookmarkStart w:id="127" w:name="_Toc20823296"/>
      <w:r>
        <w:rPr>
          <w:color w:val="000000" w:themeColor="text1"/>
          <w:highlight w:val="none"/>
        </w:rPr>
      </w:r>
      <w:bookmarkStart w:id="128" w:name="_Toc16938540"/>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16938541"/>
      <w:r>
        <w:rPr>
          <w:color w:val="000000" w:themeColor="text1"/>
          <w:highlight w:val="none"/>
        </w:rPr>
      </w:r>
      <w:bookmarkStart w:id="130" w:name="_Toc20823297"/>
      <w:r>
        <w:rPr>
          <w:color w:val="000000" w:themeColor="text1"/>
          <w:highlight w:val="none"/>
        </w:rPr>
      </w:r>
      <w:bookmarkStart w:id="131" w:name="_Toc462564084"/>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r/>
    </w:p>
    <w:p>
      <w:pPr>
        <w:pStyle w:val="99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513029226"/>
      <w:r>
        <w:rPr>
          <w:color w:val="000000" w:themeColor="text1"/>
          <w:highlight w:val="none"/>
        </w:rPr>
      </w:r>
      <w:bookmarkStart w:id="135" w:name="_Toc20823298"/>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513029227"/>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16938544"/>
      <w:r>
        <w:rPr>
          <w:color w:val="000000" w:themeColor="text1"/>
          <w:highlight w:val="none"/>
        </w:rPr>
      </w:r>
      <w:bookmarkStart w:id="140" w:name="_Toc20823300"/>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513029229"/>
      <w:r>
        <w:rPr>
          <w:color w:val="000000" w:themeColor="text1"/>
          <w:highlight w:val="none"/>
        </w:rPr>
      </w:r>
      <w:bookmarkStart w:id="143" w:name="_Toc120614218"/>
      <w:r>
        <w:rPr>
          <w:color w:val="000000" w:themeColor="text1"/>
          <w:highlight w:val="none"/>
        </w:rPr>
      </w:r>
      <w:bookmarkStart w:id="144" w:name="_Toc16938545"/>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20823302"/>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pStyle w:val="881"/>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20823303"/>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color w:val="000000" w:themeColor="text1"/>
          <w:highlight w:val="none"/>
        </w:rPr>
      </w:r>
      <w:r/>
    </w:p>
    <w:p>
      <w:pPr>
        <w:pStyle w:val="881"/>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16938548"/>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513029233"/>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r/>
    </w:p>
    <w:p>
      <w:pPr>
        <w:pStyle w:val="881"/>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81"/>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513029234"/>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w:t>
      </w:r>
      <w:r>
        <w:rPr>
          <w:rFonts w:hint="eastAsia" w:ascii="宋体" w:hAnsi="宋体"/>
          <w:color w:val="000000" w:themeColor="text1"/>
          <w:sz w:val="24"/>
          <w:highlight w:val="non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16938551"/>
      <w:r>
        <w:rPr>
          <w:color w:val="000000" w:themeColor="text1"/>
          <w:highlight w:val="none"/>
        </w:rPr>
      </w:r>
      <w:bookmarkStart w:id="163" w:name="_Toc513029235"/>
      <w:r>
        <w:rPr>
          <w:rFonts w:hint="eastAsia" w:ascii="宋体" w:hAnsi="宋体"/>
          <w:bCs/>
          <w:color w:val="000000" w:themeColor="text1"/>
          <w:sz w:val="24"/>
          <w:highlight w:val="none"/>
        </w:rPr>
        <w:t xml:space="preserve">26.1无效投标条款</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26.1.24投标系统中不同投标人的标书制作设备MAC地址一致或标书制作客户端唯一标识码一致的。</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81"/>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81"/>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513029236"/>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513029237"/>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479757207"/>
      <w:r>
        <w:rPr>
          <w:color w:val="000000" w:themeColor="text1"/>
          <w:highlight w:val="none"/>
        </w:rPr>
      </w:r>
      <w:bookmarkStart w:id="177" w:name="_Toc120614221"/>
      <w:r>
        <w:rPr>
          <w:color w:val="000000" w:themeColor="text1"/>
          <w:highlight w:val="none"/>
        </w:rPr>
      </w:r>
      <w:bookmarkStart w:id="178" w:name="_Toc513029242"/>
      <w:r>
        <w:rPr>
          <w:color w:val="000000" w:themeColor="text1"/>
          <w:highlight w:val="none"/>
        </w:rPr>
      </w:r>
      <w:bookmarkStart w:id="179" w:name="_Toc16938558"/>
      <w:r>
        <w:rPr>
          <w:color w:val="000000" w:themeColor="text1"/>
          <w:highlight w:val="none"/>
        </w:rPr>
      </w:r>
      <w:bookmarkStart w:id="180" w:name="_Toc20823314"/>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color w:val="000000" w:themeColor="text1"/>
          <w:highlight w:val="none"/>
        </w:rPr>
      </w:r>
      <w:r/>
    </w:p>
    <w:p>
      <w:pPr>
        <w:pStyle w:val="881"/>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16938559"/>
      <w:r>
        <w:rPr>
          <w:color w:val="000000" w:themeColor="text1"/>
          <w:highlight w:val="none"/>
        </w:rPr>
      </w:r>
      <w:bookmarkStart w:id="183" w:name="_Toc513029243"/>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甲方：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根据招标项目_______________________招标文件及该文件的投标文件和中标通知书，甲方和乙方就中标事宜，签订本合同。</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一、乙方通过招投标获得</w:t>
      </w:r>
      <w:r>
        <w:rPr>
          <w:rFonts w:hint="eastAsia" w:ascii="宋体" w:hAnsi="宋体"/>
          <w:bCs/>
          <w:color w:val="000000" w:themeColor="text1"/>
          <w:sz w:val="24"/>
          <w:szCs w:val="24"/>
          <w:highlight w:val="none"/>
        </w:rPr>
        <w:t xml:space="preserve">_______________________</w:t>
      </w:r>
      <w:r>
        <w:rPr>
          <w:rFonts w:hint="eastAsia" w:ascii="宋体" w:hAnsi="宋体"/>
          <w:b/>
          <w:bCs/>
          <w:color w:val="000000" w:themeColor="text1"/>
          <w:sz w:val="24"/>
          <w:szCs w:val="24"/>
          <w:highlight w:val="none"/>
        </w:rPr>
        <w:t xml:space="preserve">服务资格。</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项目负责人（常驻）：_______，专业：__________________________________。</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常驻协审人员：_______，专业：__________________________________。</w:t>
      </w:r>
      <w:r>
        <w:rPr>
          <w:color w:val="000000" w:themeColor="text1"/>
          <w:highlight w:val="none"/>
        </w:rPr>
      </w:r>
      <w:r/>
    </w:p>
    <w:p>
      <w:pPr>
        <w:pStyle w:val="881"/>
        <w:ind w:firstLine="482"/>
        <w:spacing w:line="360" w:lineRule="auto"/>
        <w:rPr>
          <w:rFonts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二、服务期：</w:t>
      </w:r>
      <w:r>
        <w:rPr>
          <w:rFonts w:hint="eastAsia" w:ascii="宋体" w:hAnsi="宋体"/>
          <w:bCs/>
          <w:color w:val="000000" w:themeColor="text1"/>
          <w:sz w:val="24"/>
          <w:szCs w:val="24"/>
          <w:highlight w:val="none"/>
        </w:rPr>
        <w:t xml:space="preserve">自合同签订之日起至项目竣工决算批复完成。</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三、税费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中国政府根据现行税法规定对乙方征收的、与本合同有关的一切税费，均由乙方负担。</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四、委托协审内容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乙方应按照《江苏省工程造价咨询业务指导规程》等相关要求，实施下列工作内容：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完成对项目基本建设程序的审查。建立项目建设程序资料台账，通过查看项目立项、可行性报告、概算、规划、开工、竣工验收等相关审批、备案资料，审查该项目建设程序执行情况，各项审批是否合规，手续是否完备。</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完成对项目批准概算的执行及调整情况进行审查。根据批准的初步设计中明确的建设规模、内容、标准及建设投资等，主要审查项目建设是否按批准的初步设计进行，对于达到投资概算调整要求的项目，是否按规定办理相关调整审批手续。</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完成对项目招投标执行情况的审查。建立项目已完成的招投标情况台账，对项目的勘察、设计、施工、监理、材料设备采购等招投标情况进行检查，检查招投标程序的规范性、合法性，检查是否存在应招未招以及化整为零等规避招标的现象。</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完成对项目签订的合同（协议）执行情况的审查。建立已签订的项目各类委托合同（协议）台账，确保内容真实、完整、准确。检查各类合同（协议）签订的合法性、程序性，合同（协议）内容的完整性、规范性，以及招投标项目的合同与招标文件和投标承诺的一致性。检查各类合同（协议）的实际履行情况，并对合同（协议）执行过程中的重大偏差情况进行比较分析。</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完成对项目现场发生的各类审批文件的审查。建立项目现场已发生的设计变更等各类审批文件的台账，对设计变更、现场签证、隐蔽工程等进行检查，检查上述事项的审批程序的合规性，以及工程计量和报价的真实性、合理性。</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完成对项目建设进度报表及竣工结算的审核。建立项目进度报表及竣工结算的报送及审核情况台账，严格按照合同约定及相关计价规定，及时完成建设单位上报的进度报表及竣工结算审核工作，确保实际完成投资的真实性、完整性、科学性，防止出现高估冒算、虚报冒领工程款等问题。同时，根据甲方要求对该项目的设计、监理等服务类结算进行审核。</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7.完成对项目现场管理情况的审查。建立项目现场管理情况台账，记录在项目施工及结算过程中发现的建设单位现场管理不规范、不合理现象，以及造成损失浪费的情况，揭示存在的问题并提出合理化建议。</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8.完成本项目指标分析和测算，总结本项目审核成功经验、管理成效等内容形成理论研究文章或案例分析等。</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.上述协审内容完成后，按照甲方的要求提交审核成果文件。</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0</w:t>
      </w:r>
      <w:r>
        <w:rPr>
          <w:rFonts w:hint="eastAsia" w:ascii="宋体" w:hAnsi="宋体"/>
          <w:bCs/>
          <w:color w:val="000000" w:themeColor="text1"/>
          <w:sz w:val="24"/>
          <w:szCs w:val="24"/>
          <w:highlight w:val="none"/>
        </w:rPr>
        <w:t xml:space="preserve">.接受并积极协助甲方完成对该项目的考核工作。</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.其他与项目建设有关的协审内容及甲方交办的其他事项。</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五、协审时限</w:t>
      </w:r>
      <w:r>
        <w:rPr>
          <w:color w:val="000000" w:themeColor="text1"/>
          <w:highlight w:val="none"/>
        </w:rPr>
      </w: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乙方必须在甲方规定的时间内完成协审业务。</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项目建设阶段：乙方必须在取得具备审核条件的资料后5个工作日内完成如进度报表、现场签证等审核工作（有特殊情况经甲方同意可以顺延）；必须在每个月的25日前报送全过程跟踪项目月报（月报填报要求说明详见附件4）。</w:t>
      </w:r>
      <w:r>
        <w:rPr>
          <w:color w:val="000000" w:themeColor="text1"/>
          <w:highlight w:val="none"/>
        </w:rPr>
      </w:r>
      <w:r/>
    </w:p>
    <w:p>
      <w:pPr>
        <w:pStyle w:val="881"/>
        <w:ind w:firstLine="480"/>
        <w:spacing w:line="360" w:lineRule="auto"/>
        <w:rPr>
          <w:rFonts w:ascii="宋体" w:hAnsi="宋体"/>
          <w:b/>
          <w:color w:val="000000" w:themeColor="text1"/>
          <w:sz w:val="24"/>
          <w:highlight w:val="none"/>
        </w:rPr>
      </w:pPr>
      <w:r>
        <w:rPr>
          <w:rFonts w:hint="eastAsia" w:ascii="宋体" w:hAnsi="宋体" w:cs="宋体"/>
          <w:color w:val="000000" w:themeColor="text1"/>
          <w:sz w:val="24"/>
          <w:highlight w:val="none"/>
          <w:lang w:val="zh-CN"/>
        </w:rPr>
        <w:t xml:space="preserve">2.结算审核阶段：乙方应在取得</w:t>
      </w:r>
      <w:r>
        <w:rPr>
          <w:rFonts w:hint="eastAsia" w:ascii="宋体" w:hAnsi="宋体"/>
          <w:color w:val="000000" w:themeColor="text1"/>
          <w:sz w:val="24"/>
          <w:highlight w:val="none"/>
        </w:rPr>
        <w:t xml:space="preserve">该项目工程竣工结算完整的</w:t>
      </w:r>
      <w:r>
        <w:rPr>
          <w:rFonts w:hint="eastAsia" w:ascii="宋体" w:hAnsi="宋体" w:cs="宋体"/>
          <w:color w:val="000000" w:themeColor="text1"/>
          <w:sz w:val="24"/>
          <w:highlight w:val="none"/>
          <w:lang w:val="zh-CN"/>
        </w:rPr>
        <w:t xml:space="preserve">审核资料后</w:t>
      </w:r>
      <w:r>
        <w:rPr>
          <w:rFonts w:hint="eastAsia" w:ascii="宋体" w:hAnsi="宋体" w:cs="宋体"/>
          <w:color w:val="000000" w:themeColor="text1"/>
          <w:sz w:val="24"/>
          <w:highlight w:val="none"/>
          <w:u w:val="single"/>
          <w:lang w:val="zh-CN"/>
        </w:rPr>
        <w:t xml:space="preserve">60个工作日</w:t>
      </w:r>
      <w:r>
        <w:rPr>
          <w:rFonts w:hint="eastAsia" w:ascii="宋体" w:hAnsi="宋体" w:cs="宋体"/>
          <w:color w:val="000000" w:themeColor="text1"/>
          <w:sz w:val="24"/>
          <w:highlight w:val="none"/>
          <w:lang w:val="zh-CN"/>
        </w:rPr>
        <w:t xml:space="preserve">内提交本合同约定的所有协审内容的完整审核结果报告</w:t>
      </w:r>
      <w:r>
        <w:rPr>
          <w:rFonts w:hint="eastAsia" w:ascii="宋体" w:hAnsi="宋体"/>
          <w:color w:val="000000" w:themeColor="text1"/>
          <w:sz w:val="24"/>
          <w:highlight w:val="none"/>
        </w:rPr>
        <w:t xml:space="preserve">。</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六、协审费用</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（一）协审费用计取</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协审费用计取：按附件3“工程造价审计服务费用费率表”</w:t>
      </w:r>
      <w:r>
        <w:rPr>
          <w:rFonts w:hint="eastAsia" w:ascii="宋体" w:hAnsi="宋体" w:cs="宋体"/>
          <w:color w:val="000000" w:themeColor="text1"/>
          <w:sz w:val="24"/>
          <w:szCs w:val="24"/>
          <w:highlight w:val="none"/>
          <w:u w:val="none"/>
          <w:lang w:val="en-US" w:eastAsia="zh-CN"/>
        </w:rPr>
        <w:t xml:space="preserve">明确的</w:t>
      </w:r>
      <w:r>
        <w:rPr>
          <w:rFonts w:hint="eastAsia" w:ascii="宋体" w:hAnsi="宋体"/>
          <w:bCs/>
          <w:color w:val="000000" w:themeColor="text1"/>
          <w:sz w:val="24"/>
          <w:szCs w:val="24"/>
          <w:highlight w:val="none"/>
        </w:rPr>
        <w:t xml:space="preserve">计费标准，以及根据考核结果、本项目难度系数计算审核费用。</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审计费=（基本费+追加费）*考核系数*难度系数</w:t>
      </w:r>
      <w:r>
        <w:rPr>
          <w:rFonts w:hint="eastAsia" w:ascii="宋体" w:hAnsi="宋体" w:cs="宋体"/>
          <w:color w:val="000000" w:themeColor="text1"/>
          <w:sz w:val="24"/>
          <w:szCs w:val="24"/>
          <w:highlight w:val="none"/>
        </w:rPr>
        <w:t xml:space="preserve">（本项目难度系数为</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协审工作结束后，按上述标准结算审核费用。除此之外，包括因项目工期、资料延误、现场安全等在内的各种情况，均不再支付其他任何费用。乙方不得再接受本合同约定之外的与本项目有关的其他任何报酬。</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（二）协审费用支付</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协审费用列入项目建设成本。</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项目实施阶段（施工过程）阶段性审核工作，提交造价咨询月报后，</w:t>
      </w:r>
      <w:r>
        <w:rPr>
          <w:rFonts w:hint="eastAsia" w:ascii="宋体" w:hAnsi="宋体"/>
          <w:bCs/>
          <w:color w:val="000000" w:themeColor="text1"/>
          <w:sz w:val="24"/>
          <w:szCs w:val="24"/>
          <w:highlight w:val="none"/>
        </w:rPr>
        <w:t xml:space="preserve">支付至按造价咨询月报计算的基本费用的50%</w:t>
      </w:r>
      <w:r>
        <w:rPr>
          <w:rFonts w:hint="eastAsia" w:ascii="宋体" w:hAnsi="宋体"/>
          <w:bCs/>
          <w:color w:val="000000" w:themeColor="text1"/>
          <w:sz w:val="24"/>
          <w:szCs w:val="24"/>
          <w:highlight w:val="none"/>
        </w:rPr>
        <w:t xml:space="preserve">。所有协审工作完成并提交审核结果报告（包括甲方要求的相关资料）后，付至基本费用的75%，剩余25%的基本费用及追加费用，在决算批复后进行支付。</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七、双方职责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甲方职责：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1.甲方协调建设单位提供工程跟踪审核及结算审核范围所需的有关资料（施工图、招标文件、合同及签证变更等）；</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2.双方履行协议期间，甲方应授权一名专业人员同乙方保持联系，协调处理有关事宜；</w:t>
      </w:r>
      <w:r>
        <w:rPr>
          <w:color w:val="000000" w:themeColor="text1"/>
          <w:highlight w:val="none"/>
        </w:rPr>
      </w:r>
      <w:r/>
    </w:p>
    <w:p>
      <w:pPr>
        <w:pStyle w:val="881"/>
        <w:ind w:firstLine="480"/>
        <w:spacing w:line="360" w:lineRule="auto"/>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3.</w:t>
      </w:r>
      <w:r>
        <w:rPr>
          <w:rFonts w:hint="eastAsia" w:ascii="宋体" w:hAnsi="宋体"/>
          <w:color w:val="000000" w:themeColor="text1"/>
          <w:sz w:val="24"/>
          <w:highlight w:val="none"/>
        </w:rPr>
        <w:t xml:space="preserve">甲方对乙方协审人员的配备及廉洁自律情况进行监督检查及考核；</w:t>
      </w:r>
      <w:r>
        <w:rPr>
          <w:color w:val="000000" w:themeColor="text1"/>
          <w:highlight w:val="none"/>
        </w:rPr>
      </w: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4.甲方对乙方协审实施的进度、质量情况进行监督检查及考核，并提出整改要求；</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color w:val="000000" w:themeColor="text1"/>
          <w:sz w:val="24"/>
          <w:highlight w:val="none"/>
        </w:rPr>
        <w:t xml:space="preserve">5.</w:t>
      </w:r>
      <w:r>
        <w:rPr>
          <w:rFonts w:hint="eastAsia" w:ascii="宋体" w:hAnsi="宋体"/>
          <w:bCs/>
          <w:color w:val="000000" w:themeColor="text1"/>
          <w:sz w:val="24"/>
          <w:szCs w:val="24"/>
          <w:highlight w:val="none"/>
        </w:rPr>
        <w:t xml:space="preserve">甲方负责对乙方协审费用进行审核。</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乙方职责：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1.乙方应严格质量管理体系，确保项目审核质量。项目协审应当严格遵守国家的有关法律、法规、制度规定、有关执业规范及甲方的工作要求和工作规范。协审机构对协审成果的真实性、完整性、合规性负责。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color w:val="000000" w:themeColor="text1"/>
          <w:sz w:val="24"/>
          <w:szCs w:val="24"/>
          <w:highlight w:val="none"/>
        </w:rPr>
        <w:t xml:space="preserve">2.乙方应按评审工作要求使用无锡市政府投资评审信息系统。</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乙方的工作必须接受甲方的考核，考核工作按照考核管理相关规定执行，主要考核内容包括：工作效率、执业质量、服务水平等方面，并接受甲方根据考核结果做出的奖惩。对不同意参加考核的乙方，甲方有权终止合同。</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4.乙方应在合同规定及甲方要求的时限内，完成协审工作，严格遵守法律法规，准确提供工程造价审核结果。</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5.乙方应在合同签订后5个工作日内提交审核方案，审核方案应包括工程概况、项目审核小组人员名单及相关资格证书复印件、项目审核计划、协审机构三级复核机制、审核依据及原则、跟踪审核方案等。</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6.乙方在接收工程结算资料后，若发现有资料不全的情况，须在3天内向甲方书面提出。逾期不予提出，则视同对资料齐全无异议。核对过程中需提交补充资料除外。</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乙方应按投标文件中《项目人员配置名单》、协审方案、服务承诺履行合同，保证常驻现场人员到场人数和驻场时间，除常驻人员外，还须根据工程进度合理配备专业工程审核人员，以满足协审需求。乙方常驻人员均需接入相关考勤系统统一监管，按人脸识别要求打卡考勤。若不能满足要求，甲方有权终止合同</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并通报相关部门进行处罚。</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乙方对于甲方因质量或廉洁影响而提出的专业人员调换要求，必须在3天内解决落实；乙方如因客观情况对协审项目负责人或常驻协审人员进行调整，应向甲方递交书面申请，经批准后方能调整，否则不得随意调换。</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9.乙方应妥善保管好甲方提供的项目相关文件、图纸（含电子文档）等资料，登记台账、专人管理、定期检查，避免因保管不当引起的资料遗失等情况。</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10.乙方应按照甲方要求及时编报审核台账、数据统计、经验成果、审核报告等工程造价审核成果（含电子文档），跟踪过程中应注重问题的发现及基础数据的收集，配合甲方做好相应的审核情况调查。</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11.乙方未经甲方许可，不得将审核资料及相关审核成果提供给第三方。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12.乙方不得泄露审核知悉的国家秘密和被审核单位的有关技术或商业秘密，不得利用知晓的被审核单位的技术、商业秘密和内部信息，采取任何形式为自己或他人谋利。</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13.履行甲方提出的与工程审核有关的其他工作要求。</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八、违约责任</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1.甲方对本合同规定的义务未履行或履行不力的，乙方可依法向甲方要求经济赔偿；</w:t>
      </w:r>
      <w:r>
        <w:rPr>
          <w:color w:val="000000" w:themeColor="text1"/>
          <w:highlight w:val="none"/>
        </w:rPr>
      </w:r>
      <w:r/>
    </w:p>
    <w:p>
      <w:pPr>
        <w:pStyle w:val="881"/>
        <w:ind w:firstLine="480"/>
        <w:spacing w:line="360" w:lineRule="auto"/>
        <w:rPr>
          <w:rFonts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Ansi="宋体"/>
          <w:color w:val="000000" w:themeColor="text1"/>
          <w:sz w:val="24"/>
          <w:szCs w:val="24"/>
          <w:highlight w:val="none"/>
        </w:rPr>
        <w:t xml:space="preserve">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998"/>
        <w:ind w:firstLine="482"/>
        <w:spacing w:line="360" w:lineRule="auto"/>
        <w:rPr>
          <w:rFonts w:hAnsi="宋体"/>
          <w:b/>
          <w:color w:val="000000" w:themeColor="text1"/>
          <w:sz w:val="24"/>
          <w:szCs w:val="24"/>
          <w:highlight w:val="none"/>
        </w:rPr>
      </w:pPr>
      <w:r>
        <w:rPr>
          <w:rFonts w:hint="eastAsia" w:hAnsi="宋体"/>
          <w:b/>
          <w:color w:val="000000" w:themeColor="text1"/>
          <w:sz w:val="24"/>
          <w:szCs w:val="24"/>
          <w:highlight w:val="none"/>
          <w:lang w:eastAsia="zh-CN"/>
        </w:rPr>
        <w:t xml:space="preserve">九</w:t>
      </w:r>
      <w:r>
        <w:rPr>
          <w:rFonts w:hAnsi="宋体"/>
          <w:b/>
          <w:color w:val="000000" w:themeColor="text1"/>
          <w:sz w:val="24"/>
          <w:szCs w:val="24"/>
          <w:highlight w:val="none"/>
          <w:lang w:eastAsia="zh-CN"/>
        </w:rPr>
        <w:t xml:space="preserve">、不可抗力事件处理</w:t>
      </w:r>
      <w:r>
        <w:rPr>
          <w:color w:val="000000" w:themeColor="text1"/>
          <w:highlight w:val="none"/>
        </w:rPr>
      </w: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1.</w:t>
      </w:r>
      <w:r>
        <w:rPr>
          <w:rFonts w:hAnsi="宋体"/>
          <w:color w:val="000000" w:themeColor="text1"/>
          <w:sz w:val="24"/>
          <w:szCs w:val="24"/>
          <w:highlight w:val="none"/>
          <w:lang w:eastAsia="zh-CN"/>
        </w:rPr>
        <w:t xml:space="preserve">在合同有效期内，任何一方因不可抗力事件导致不能履行合同，则合同履行期可延长，其延长期与不可抗力影响期相同。</w:t>
      </w:r>
      <w:r>
        <w:rPr>
          <w:color w:val="000000" w:themeColor="text1"/>
          <w:highlight w:val="none"/>
        </w:rPr>
      </w: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2.</w:t>
      </w:r>
      <w:r>
        <w:rPr>
          <w:rFonts w:hAnsi="宋体"/>
          <w:color w:val="000000" w:themeColor="text1"/>
          <w:sz w:val="24"/>
          <w:szCs w:val="24"/>
          <w:highlight w:val="none"/>
          <w:lang w:eastAsia="zh-CN"/>
        </w:rPr>
        <w:t xml:space="preserve">不可抗力事件发生后，应立即通知对方，并寄送有关权威机构出具的证明。</w:t>
      </w:r>
      <w:r>
        <w:rPr>
          <w:color w:val="000000" w:themeColor="text1"/>
          <w:highlight w:val="none"/>
        </w:rPr>
      </w: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3.</w:t>
      </w:r>
      <w:r>
        <w:rPr>
          <w:rFonts w:hAnsi="宋体"/>
          <w:color w:val="000000" w:themeColor="text1"/>
          <w:sz w:val="24"/>
          <w:szCs w:val="24"/>
          <w:highlight w:val="none"/>
          <w:lang w:eastAsia="zh-CN"/>
        </w:rPr>
        <w:t xml:space="preserve">不可抗力事件延续120天以上，双方应通过友好协商，确定是否继续履行合同。</w:t>
      </w:r>
      <w:r>
        <w:rPr>
          <w:color w:val="000000" w:themeColor="text1"/>
          <w:highlight w:val="none"/>
        </w:rPr>
      </w:r>
      <w:r/>
    </w:p>
    <w:p>
      <w:pPr>
        <w:pStyle w:val="998"/>
        <w:ind w:firstLine="482"/>
        <w:spacing w:line="360" w:lineRule="auto"/>
        <w:rPr>
          <w:rFonts w:hAnsi="宋体"/>
          <w:b/>
          <w:color w:val="000000" w:themeColor="text1"/>
          <w:sz w:val="24"/>
          <w:szCs w:val="24"/>
          <w:highlight w:val="none"/>
        </w:rPr>
      </w:pPr>
      <w:r>
        <w:rPr>
          <w:rFonts w:hAnsi="宋体"/>
          <w:b/>
          <w:color w:val="000000" w:themeColor="text1"/>
          <w:sz w:val="24"/>
          <w:szCs w:val="24"/>
          <w:highlight w:val="none"/>
          <w:lang w:eastAsia="zh-CN"/>
        </w:rPr>
        <w:t xml:space="preserve">十、</w:t>
      </w:r>
      <w:r>
        <w:rPr>
          <w:rFonts w:hint="eastAsia" w:hAnsi="宋体"/>
          <w:b/>
          <w:color w:val="000000" w:themeColor="text1"/>
          <w:sz w:val="24"/>
          <w:szCs w:val="24"/>
          <w:highlight w:val="none"/>
          <w:lang w:eastAsia="zh-CN"/>
        </w:rPr>
        <w:t xml:space="preserve">解决争议的方法</w:t>
      </w:r>
      <w:r>
        <w:rPr>
          <w:color w:val="000000" w:themeColor="text1"/>
          <w:highlight w:val="none"/>
        </w:rPr>
      </w: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双方在签订、履行合同中所发生的一切争议，应通过友好协商解决。如协商不成，由甲方住所地人民法院管辖。</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十一、合同的解除</w:t>
      </w:r>
      <w:r>
        <w:rPr>
          <w:color w:val="000000" w:themeColor="text1"/>
          <w:highlight w:val="none"/>
        </w:rPr>
      </w: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1.甲方和乙方协商一致，可以解除合同。</w:t>
      </w:r>
      <w:r>
        <w:rPr>
          <w:color w:val="000000" w:themeColor="text1"/>
          <w:highlight w:val="none"/>
        </w:rPr>
      </w: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bCs/>
          <w:color w:val="000000" w:themeColor="text1"/>
          <w:sz w:val="24"/>
          <w:szCs w:val="24"/>
          <w:highlight w:val="none"/>
        </w:rPr>
        <w:t xml:space="preserve">因投资计划调整等政府行为，</w:t>
      </w:r>
      <w:r>
        <w:rPr>
          <w:rFonts w:hint="eastAsia" w:ascii="宋体" w:hAnsi="宋体"/>
          <w:color w:val="000000" w:themeColor="text1"/>
          <w:sz w:val="24"/>
          <w:highlight w:val="none"/>
        </w:rPr>
        <w:t xml:space="preserve">工程项目不予实施，导致合同无法履行的，</w:t>
      </w:r>
      <w:r>
        <w:rPr>
          <w:rFonts w:hint="eastAsia" w:ascii="宋体" w:hAnsi="宋体"/>
          <w:bCs/>
          <w:color w:val="000000" w:themeColor="text1"/>
          <w:sz w:val="24"/>
          <w:szCs w:val="24"/>
          <w:highlight w:val="none"/>
        </w:rPr>
        <w:t xml:space="preserve">甲方可以解除合同，</w:t>
      </w:r>
      <w:r>
        <w:rPr>
          <w:rFonts w:hint="eastAsia" w:ascii="宋体" w:hAnsi="宋体"/>
          <w:color w:val="000000" w:themeColor="text1"/>
          <w:sz w:val="24"/>
          <w:highlight w:val="none"/>
        </w:rPr>
        <w:t xml:space="preserve">乙方不得追责</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3.出现下列情况之一，可以解除合同：</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（1）经查实乙方存在行贿或有收受、索要建设单位、施工单位提供的各种财物和免费服务行为的； </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（2）在合同有效期内，被行业主管部门取消经营资格的；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（3）擅自变更、转让、租借承接的工程造价咨询业务；</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（4）乙方及相关人员有行贿、受贿、经济犯罪等违法行为的；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（5）出具虚假建设工程造价成果文件的；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（6）乙方接受由建设单位或其他单位委托的与本项目建设投资或工程造价有关的工作（包括但不限于招标代理、清单编制、造价审核等）；</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（7）乙方在服务期内未能按投标承诺提供相应人员服务的；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（8）乙方在造价审核服务中，在工作要求、工作质量及工作效率上出现严重差错的。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（9）乙方在服务期内累计受到3次及以上警告的。</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4.如果乙方破产、解散、清算、停业以及其他原因无法提供服务的，甲方可在任何时间以书面形式通知取消其服务资格。</w:t>
      </w:r>
      <w:r>
        <w:rPr>
          <w:color w:val="000000" w:themeColor="text1"/>
          <w:highlight w:val="none"/>
        </w:rPr>
      </w: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十二、合同不可分割部分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招标文件、投标文件、中标通知书，供方在投标、评标过程中所作其他有关承诺、声明、书面澄清等均为合同不可分割的部分，与主合同具有同等法律效力。</w:t>
      </w:r>
      <w:r>
        <w:rPr>
          <w:color w:val="000000" w:themeColor="text1"/>
          <w:highlight w:val="none"/>
        </w:rPr>
      </w:r>
      <w:r/>
    </w:p>
    <w:p>
      <w:pPr>
        <w:pStyle w:val="998"/>
        <w:ind w:firstLine="482"/>
        <w:spacing w:line="360" w:lineRule="auto"/>
        <w:rPr>
          <w:rFonts w:hAnsi="宋体"/>
          <w:b/>
          <w:color w:val="000000" w:themeColor="text1"/>
          <w:sz w:val="24"/>
          <w:szCs w:val="24"/>
          <w:highlight w:val="none"/>
        </w:rPr>
      </w:pPr>
      <w:r>
        <w:rPr>
          <w:rFonts w:hAnsi="宋体"/>
          <w:b/>
          <w:color w:val="000000" w:themeColor="text1"/>
          <w:sz w:val="24"/>
          <w:szCs w:val="24"/>
          <w:highlight w:val="none"/>
          <w:lang w:eastAsia="zh-CN"/>
        </w:rPr>
        <w:t xml:space="preserve">十</w:t>
      </w:r>
      <w:r>
        <w:rPr>
          <w:rFonts w:hint="eastAsia" w:hAnsi="宋体"/>
          <w:b/>
          <w:color w:val="000000" w:themeColor="text1"/>
          <w:sz w:val="24"/>
          <w:szCs w:val="24"/>
          <w:highlight w:val="none"/>
          <w:lang w:eastAsia="zh-CN"/>
        </w:rPr>
        <w:t xml:space="preserve">三</w:t>
      </w:r>
      <w:r>
        <w:rPr>
          <w:rFonts w:hAnsi="宋体"/>
          <w:b/>
          <w:color w:val="000000" w:themeColor="text1"/>
          <w:sz w:val="24"/>
          <w:szCs w:val="24"/>
          <w:highlight w:val="none"/>
          <w:lang w:eastAsia="zh-CN"/>
        </w:rPr>
        <w:t xml:space="preserve">、合同生效</w:t>
      </w:r>
      <w:r>
        <w:rPr>
          <w:rFonts w:hint="eastAsia" w:hAnsi="宋体"/>
          <w:b/>
          <w:color w:val="000000" w:themeColor="text1"/>
          <w:sz w:val="24"/>
          <w:szCs w:val="24"/>
          <w:highlight w:val="none"/>
          <w:lang w:val="en-US" w:eastAsia="zh-CN"/>
        </w:rPr>
        <w:t xml:space="preserve">及其他</w:t>
      </w:r>
      <w:r>
        <w:rPr>
          <w:color w:val="000000" w:themeColor="text1"/>
          <w:highlight w:val="none"/>
        </w:rPr>
      </w: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1.</w:t>
      </w:r>
      <w:r>
        <w:rPr>
          <w:rFonts w:hAnsi="宋体"/>
          <w:bCs/>
          <w:color w:val="000000" w:themeColor="text1"/>
          <w:sz w:val="24"/>
          <w:szCs w:val="24"/>
          <w:highlight w:val="none"/>
          <w:lang w:eastAsia="zh-CN"/>
        </w:rPr>
        <w:t xml:space="preserve">合同经双方法定代表人或授权委托代</w:t>
      </w:r>
      <w:r>
        <w:rPr>
          <w:rFonts w:hint="eastAsia" w:hAnsi="宋体"/>
          <w:bCs/>
          <w:color w:val="000000" w:themeColor="text1"/>
          <w:sz w:val="24"/>
          <w:szCs w:val="24"/>
          <w:highlight w:val="none"/>
          <w:lang w:eastAsia="zh-CN"/>
        </w:rPr>
        <w:t xml:space="preserve">表</w:t>
      </w:r>
      <w:r>
        <w:rPr>
          <w:rFonts w:hAnsi="宋体"/>
          <w:bCs/>
          <w:color w:val="000000" w:themeColor="text1"/>
          <w:sz w:val="24"/>
          <w:szCs w:val="24"/>
          <w:highlight w:val="none"/>
          <w:lang w:eastAsia="zh-CN"/>
        </w:rPr>
        <w:t xml:space="preserve">人签字并加盖单位公章后生效。</w:t>
      </w:r>
      <w:r>
        <w:rPr>
          <w:color w:val="000000" w:themeColor="text1"/>
          <w:highlight w:val="none"/>
        </w:rPr>
      </w: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2.</w:t>
      </w:r>
      <w:r>
        <w:rPr>
          <w:rFonts w:hAnsi="宋体"/>
          <w:bCs/>
          <w:color w:val="000000" w:themeColor="text1"/>
          <w:sz w:val="24"/>
          <w:szCs w:val="24"/>
          <w:highlight w:val="none"/>
          <w:lang w:eastAsia="zh-CN"/>
        </w:rPr>
        <w:t xml:space="preserve">本合同未尽事宜，遵照</w:t>
      </w:r>
      <w:r>
        <w:rPr>
          <w:rFonts w:hint="eastAsia" w:hAnsi="宋体"/>
          <w:bCs/>
          <w:color w:val="000000" w:themeColor="text1"/>
          <w:sz w:val="24"/>
          <w:szCs w:val="24"/>
          <w:highlight w:val="none"/>
          <w:lang w:eastAsia="zh-CN"/>
        </w:rPr>
        <w:t xml:space="preserve">《中华人民共和国民法典》、《中华人民共和国政府采购法》</w:t>
      </w:r>
      <w:r>
        <w:rPr>
          <w:rFonts w:hAnsi="宋体"/>
          <w:bCs/>
          <w:color w:val="000000" w:themeColor="text1"/>
          <w:sz w:val="24"/>
          <w:szCs w:val="24"/>
          <w:highlight w:val="none"/>
          <w:lang w:eastAsia="zh-CN"/>
        </w:rPr>
        <w:t xml:space="preserve">有关条文执行。</w:t>
      </w:r>
      <w:r>
        <w:rPr>
          <w:color w:val="000000" w:themeColor="text1"/>
          <w:highlight w:val="none"/>
        </w:rPr>
      </w: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3.</w:t>
      </w:r>
      <w:r>
        <w:rPr>
          <w:rFonts w:hAnsi="宋体"/>
          <w:bCs/>
          <w:color w:val="000000" w:themeColor="text1"/>
          <w:sz w:val="24"/>
          <w:szCs w:val="24"/>
          <w:highlight w:val="none"/>
          <w:lang w:eastAsia="zh-CN"/>
        </w:rPr>
        <w:t xml:space="preserve">本合同正本一式</w:t>
      </w:r>
      <w:r>
        <w:rPr>
          <w:rFonts w:hint="eastAsia" w:hAnsi="宋体"/>
          <w:bCs/>
          <w:color w:val="000000" w:themeColor="text1"/>
          <w:sz w:val="24"/>
          <w:szCs w:val="24"/>
          <w:highlight w:val="none"/>
          <w:lang w:eastAsia="zh-CN"/>
        </w:rPr>
        <w:t xml:space="preserve">两</w:t>
      </w:r>
      <w:r>
        <w:rPr>
          <w:rFonts w:hAnsi="宋体"/>
          <w:bCs/>
          <w:color w:val="000000" w:themeColor="text1"/>
          <w:sz w:val="24"/>
          <w:szCs w:val="24"/>
          <w:highlight w:val="none"/>
          <w:lang w:eastAsia="zh-CN"/>
        </w:rPr>
        <w:t xml:space="preserve">份，具有同等法律效力，甲</w:t>
      </w:r>
      <w:r>
        <w:rPr>
          <w:rFonts w:hint="eastAsia" w:hAnsi="宋体"/>
          <w:bCs/>
          <w:color w:val="000000" w:themeColor="text1"/>
          <w:sz w:val="24"/>
          <w:szCs w:val="24"/>
          <w:highlight w:val="none"/>
          <w:lang w:eastAsia="zh-CN"/>
        </w:rPr>
        <w:t xml:space="preserve">方、</w:t>
      </w:r>
      <w:r>
        <w:rPr>
          <w:rFonts w:hAnsi="宋体"/>
          <w:bCs/>
          <w:color w:val="000000" w:themeColor="text1"/>
          <w:sz w:val="24"/>
          <w:szCs w:val="24"/>
          <w:highlight w:val="none"/>
          <w:lang w:eastAsia="zh-CN"/>
        </w:rPr>
        <w:t xml:space="preserve">乙方各执一份。</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附件：1.政府投资项目协审质量承诺书</w:t>
      </w:r>
      <w:r>
        <w:rPr>
          <w:color w:val="000000" w:themeColor="text1"/>
          <w:highlight w:val="none"/>
        </w:rPr>
      </w:r>
      <w:r/>
    </w:p>
    <w:p>
      <w:pPr>
        <w:pStyle w:val="881"/>
        <w:ind w:firstLine="12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2.政府投资项目协审廉洁承诺书</w:t>
      </w:r>
      <w:r>
        <w:rPr>
          <w:color w:val="000000" w:themeColor="text1"/>
          <w:highlight w:val="none"/>
        </w:rPr>
      </w:r>
      <w:r/>
    </w:p>
    <w:p>
      <w:pPr>
        <w:pStyle w:val="881"/>
        <w:ind w:firstLine="12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3.审核服务费用费率表</w:t>
      </w:r>
      <w:r>
        <w:rPr>
          <w:color w:val="000000" w:themeColor="text1"/>
          <w:highlight w:val="none"/>
        </w:rPr>
      </w:r>
      <w:r/>
    </w:p>
    <w:p>
      <w:pPr>
        <w:pStyle w:val="881"/>
        <w:ind w:firstLine="12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4.工程建设项目全过程跟踪审核项目月报填报要求说明</w:t>
      </w:r>
      <w:r>
        <w:rPr>
          <w:color w:val="000000" w:themeColor="text1"/>
          <w:highlight w:val="none"/>
        </w:rPr>
      </w:r>
      <w:r/>
    </w:p>
    <w:p>
      <w:pPr>
        <w:pStyle w:val="881"/>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甲方（公章）：                       甲方代表：</w:t>
      </w:r>
      <w:r>
        <w:rPr>
          <w:color w:val="000000" w:themeColor="text1"/>
          <w:highlight w:val="none"/>
        </w:rPr>
      </w: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日期：    年  月  日</w:t>
      </w:r>
      <w:r>
        <w:rPr>
          <w:color w:val="000000" w:themeColor="text1"/>
          <w:highlight w:val="none"/>
        </w:rPr>
      </w:r>
      <w:r/>
    </w:p>
    <w:p>
      <w:pPr>
        <w:pStyle w:val="881"/>
        <w:ind w:firstLine="525"/>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525"/>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乙方（公章）：                       乙方代表：</w:t>
      </w:r>
      <w:r>
        <w:rPr>
          <w:color w:val="000000" w:themeColor="text1"/>
          <w:highlight w:val="none"/>
        </w:rPr>
      </w:r>
      <w:r/>
    </w:p>
    <w:p>
      <w:pPr>
        <w:pStyle w:val="881"/>
        <w:ind w:firstLine="480"/>
        <w:jc w:val="both"/>
        <w:spacing w:line="500" w:lineRule="exact"/>
        <w:tabs>
          <w:tab w:val="left" w:pos="1440" w:leader="none"/>
        </w:tabs>
        <w:rPr>
          <w:rFonts w:hint="eastAsia" w:ascii="宋体"/>
          <w:bCs/>
          <w:color w:val="000000" w:themeColor="text1"/>
          <w:sz w:val="24"/>
          <w:szCs w:val="24"/>
          <w:highlight w:val="none"/>
        </w:rPr>
        <w:outlineLvl w:val="0"/>
      </w:pPr>
      <w:r>
        <w:rPr>
          <w:rFonts w:hint="eastAsia" w:ascii="宋体"/>
          <w:bCs/>
          <w:color w:val="000000" w:themeColor="text1"/>
          <w:sz w:val="24"/>
          <w:szCs w:val="24"/>
          <w:highlight w:val="none"/>
        </w:rPr>
        <w:t xml:space="preserve">日期：    年  月  日</w:t>
      </w:r>
      <w:r>
        <w:rPr>
          <w:color w:val="000000" w:themeColor="text1"/>
          <w:highlight w:val="none"/>
        </w:rPr>
      </w:r>
      <w:r/>
    </w:p>
    <w:p>
      <w:pPr>
        <w:pStyle w:val="881"/>
        <w:jc w:val="left"/>
        <w:spacing w:line="400" w:lineRule="exact"/>
        <w:rPr>
          <w:rFonts w:hint="eastAsia" w:ascii="宋体" w:hAnsi="宋体"/>
          <w:bCs/>
          <w:color w:val="000000" w:themeColor="text1"/>
          <w:sz w:val="24"/>
          <w:szCs w:val="24"/>
          <w:highlight w:val="none"/>
        </w:rPr>
      </w:pPr>
      <w:r>
        <w:rPr>
          <w:rFonts w:hint="eastAsia" w:ascii="宋体"/>
          <w:bCs/>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附件1</w:t>
      </w:r>
      <w:r>
        <w:rPr>
          <w:color w:val="000000" w:themeColor="text1"/>
          <w:highlight w:val="none"/>
        </w:rPr>
      </w:r>
      <w:r/>
    </w:p>
    <w:p>
      <w:pPr>
        <w:pStyle w:val="881"/>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政府投资项目协审质量承诺书</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单位在协审过程中，承诺服从无锡市政府投资评审中心的工作安排及监督指导，严格按照《考核办法》等相关文件的要求开展协审工作，自觉接受对协审质量所进行的考核，并接受相关条款的约束。现郑重作出如下具体的质量承诺：</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严格按照现行的国家、省、市关于基本建设方面的法律法规、规章、定额及合同等文件为依据，根据市评审中心的委托要求及协审实施方案开展协审工作，在规定的时间内完成各项协审工作，并承诺在接到该项目工程结算完整资料后的规定时间内出具工程结算审核报告。</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二、因存在协审质量问题给项目建设单位、无锡市政府投资评审中心或第三者造成严重经济损失的，必要时可取消本单位的协审资格，并承担相应法律责任。</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三、协审期间，本单位还承诺将做到如下要求：</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（一）坚持客观公正、实事求是、依法审核的原则。</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（二）遵守职业道德，做到诚实守信、尽职尽责。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（三）协审中不隐瞒、不曲解查出的事实，不提供内容虚假的审核报告。</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（四）协审工作不敷衍推诿、不粗心大意。</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（五）不徇私舞弊、不偏袒任何一方。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六）与被审核单位或审核事项有直接利害关系的应主动提出，并加以回避。回避事项为参与由建设单位或其他委托方委托的与涉及项目有关的建设投资或工程造价有关的工作，与工程造价有关的工作包括但不限于招标代理、清单编制、造价审核等。</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四、本承诺书作为《合同书》的组成部分，具有同等法律效力。</w:t>
      </w:r>
      <w:r>
        <w:rPr>
          <w:color w:val="000000" w:themeColor="text1"/>
          <w:highlight w:val="none"/>
        </w:rPr>
      </w:r>
      <w:r/>
    </w:p>
    <w:p>
      <w:pPr>
        <w:pStyle w:val="881"/>
        <w:ind w:firstLine="525"/>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340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w:t>
      </w:r>
      <w:r>
        <w:rPr>
          <w:color w:val="000000" w:themeColor="text1"/>
          <w:highlight w:val="none"/>
        </w:rPr>
      </w:r>
      <w:r/>
    </w:p>
    <w:p>
      <w:pPr>
        <w:pStyle w:val="881"/>
        <w:ind w:firstLine="412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（单位签章）</w:t>
      </w:r>
      <w:r>
        <w:rPr>
          <w:color w:val="000000" w:themeColor="text1"/>
          <w:highlight w:val="none"/>
        </w:rPr>
      </w:r>
      <w:r/>
    </w:p>
    <w:p>
      <w:pPr>
        <w:pStyle w:val="881"/>
        <w:jc w:val="left"/>
        <w:spacing w:line="40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附件2</w:t>
      </w:r>
      <w:r>
        <w:rPr>
          <w:color w:val="000000" w:themeColor="text1"/>
          <w:highlight w:val="none"/>
        </w:rPr>
      </w:r>
      <w:r/>
    </w:p>
    <w:p>
      <w:pPr>
        <w:pStyle w:val="881"/>
        <w:ind w:firstLine="482"/>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政府投资项目协审廉洁承诺书</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我单位在协审过程中，郑重作出如下协审廉洁承诺：</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一、本协审项目廉洁建设的第一责任人为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同志（法定代表人），对协审廉洁事项负总责，其主要职责是：选配政治思想好、价值观纯正、专业技术精、廉洁意识强的协审人员参加协审工作；对协审人员加强教育，注重防范，确保廉洁规定的贯彻落实；做好协审人员执行廉洁规定情况的督促和审核；根据有关规定处理协审人员执行廉洁规定上的具体事宜。</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二、本协审项目的廉洁建设的直接责任人为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同志（协审项目负责人），对协审廉洁事项负直接责任，其主要职责是：审核进点前，组织召开协审人员廉洁教育会，增强协审人员的廉洁意识；对协审中如果存在违反廉洁规定和协审纪律的问题，应及时加以制止，并向贵单位报告；项目结束后，总结协审人员执行廉洁规定情况，并如实向贵单位书面报告。</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三、按有关规定，协审人员做到以下“十不”：</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（一）不违反审核程序、超越审核权限，依法开展审核；</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（二）不徇私情，保持应有的独立性，实事求是，客观公正；</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（三）不隐瞒、变更或曲解查出的问题，如实提供审核结果；</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（四）不泄露审核知悉的国家秘密和被审核单位的商业秘密；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（五）不向被审核单位提出与审核工作无关的要求；</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（六）不单独与被审核单位商谈审核事项的处理意见；</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（七）不在被审核单位报销任何因公因私的费用；</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（八）不接受被审核单位安排的宴请、旅游和休闲娱乐等活动；</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（九）不接受被审核单位的烟酒、礼品、礼金、购物卡和有价证券等不正当利益输送；</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（十）不向承聘机关人员送礼及有价证券等不正当行为。</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四、若有违反上述廉洁承诺的行为，根据情节轻重，我单位愿接受以下责任追究：</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（一）通报批评、限期整改，相关责任人作出检查；</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（二）如本单位或协审人员存在严重违反廉洁规定的，可按《考核办法》第四章有关条款进行处理。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（三）涉嫌犯罪的，移交司法机关处理；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（四）其他有关责任追究事项。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五、本承诺书作为《合同书》的组成部分，具有同等法律效力。</w:t>
      </w:r>
      <w:r>
        <w:rPr>
          <w:color w:val="000000" w:themeColor="text1"/>
          <w:highlight w:val="none"/>
        </w:rPr>
      </w:r>
      <w:r/>
    </w:p>
    <w:p>
      <w:pPr>
        <w:pStyle w:val="881"/>
        <w:ind w:firstLine="525"/>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84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w:t>
      </w:r>
      <w:r>
        <w:rPr>
          <w:color w:val="000000" w:themeColor="text1"/>
          <w:highlight w:val="none"/>
        </w:rPr>
      </w:r>
      <w:r/>
    </w:p>
    <w:p>
      <w:pPr>
        <w:pStyle w:val="881"/>
        <w:ind w:firstLine="5441"/>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（单位签章）</w:t>
      </w:r>
      <w:r>
        <w:rPr>
          <w:color w:val="000000" w:themeColor="text1"/>
          <w:highlight w:val="none"/>
        </w:rPr>
      </w:r>
      <w:r/>
    </w:p>
    <w:p>
      <w:pPr>
        <w:pStyle w:val="881"/>
        <w:rPr>
          <w:rFonts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color w:val="000000" w:themeColor="text1"/>
          <w:highlight w:val="none"/>
        </w:rPr>
      </w:r>
      <w:r/>
    </w:p>
    <w:tbl>
      <w:tblPr>
        <w:tblW w:w="1023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09"/>
        <w:gridCol w:w="1168"/>
        <w:gridCol w:w="731"/>
        <w:gridCol w:w="1211"/>
        <w:gridCol w:w="764"/>
        <w:gridCol w:w="820"/>
        <w:gridCol w:w="818"/>
        <w:gridCol w:w="927"/>
        <w:gridCol w:w="892"/>
        <w:gridCol w:w="884"/>
        <w:gridCol w:w="654"/>
        <w:gridCol w:w="753"/>
      </w:tblGrid>
      <w:tr>
        <w:trPr>
          <w:trHeight w:val="660"/>
        </w:trPr>
        <w:tc>
          <w:tcPr>
            <w:gridSpan w:val="12"/>
            <w:tcBorders>
              <w:top w:val="none" w:color="000000" w:sz="4" w:space="0"/>
              <w:left w:val="none" w:color="000000" w:sz="4" w:space="0"/>
              <w:bottom w:val="none" w:color="000000" w:sz="4" w:space="0"/>
              <w:right w:val="none" w:color="000000" w:sz="4" w:space="0"/>
            </w:tcBorders>
            <w:tcW w:w="10231" w:type="dxa"/>
            <w:vAlign w:val="center"/>
            <w:textDirection w:val="lrTb"/>
            <w:noWrap/>
          </w:tcPr>
          <w:p>
            <w:pPr>
              <w:pStyle w:val="881"/>
              <w:ind w:firstLine="0"/>
              <w:jc w:val="both"/>
              <w:spacing w:line="240" w:lineRule="auto"/>
              <w:widowControl/>
              <w:rPr>
                <w:rFonts w:hint="eastAsia" w:ascii="宋体" w:hAnsi="宋体" w:cs="宋体"/>
                <w:b/>
                <w:color w:val="000000" w:themeColor="text1"/>
                <w:szCs w:val="21"/>
                <w:highlight w:val="none"/>
              </w:rPr>
            </w:pPr>
            <w:r>
              <w:rPr>
                <w:rFonts w:hint="eastAsia" w:ascii="宋体" w:hAnsi="宋体"/>
                <w:bCs/>
                <w:color w:val="000000" w:themeColor="text1"/>
                <w:sz w:val="24"/>
                <w:szCs w:val="24"/>
                <w:highlight w:val="none"/>
              </w:rPr>
              <w:t xml:space="preserve">附件3</w:t>
            </w:r>
            <w:r>
              <w:rPr>
                <w:color w:val="000000" w:themeColor="text1"/>
                <w:highlight w:val="none"/>
              </w:rPr>
            </w:r>
            <w:r/>
          </w:p>
          <w:p>
            <w:pPr>
              <w:pStyle w:val="881"/>
              <w:ind w:firstLine="3584"/>
              <w:jc w:val="both"/>
              <w:spacing w:line="0" w:lineRule="atLeas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工程造价审计服务费用费率表</w:t>
            </w:r>
            <w:r>
              <w:rPr>
                <w:color w:val="000000" w:themeColor="text1"/>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序号</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3110"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计费基数</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工程造价（采用差额定率分档累进方式）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备注</w:t>
            </w:r>
            <w:r>
              <w:rPr>
                <w:color w:val="000000" w:themeColor="text1"/>
                <w:highlight w:val="none"/>
              </w:rPr>
            </w:r>
            <w:r/>
          </w:p>
        </w:tc>
      </w:tr>
      <w:tr>
        <w:trPr>
          <w:trHeight w:val="1034"/>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3110"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100万元以内(含）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101万元-500万元（含）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501万元-1000万元（含）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1001万元-5000万元（含）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5001万元-1亿元（含）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1亿元以上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r>
      <w:tr>
        <w:trPr>
          <w:trHeight w:val="350"/>
        </w:trPr>
        <w:tc>
          <w:tcPr>
            <w:tcBorders>
              <w:top w:val="non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pStyle w:val="881"/>
              <w:jc w:val="center"/>
              <w:widowControl/>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全过程跟踪审核项目(含结算审核)</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基本费用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房屋建筑类</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审定工程造价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费率：‰</w:t>
            </w:r>
            <w:r>
              <w:rPr>
                <w:color w:val="000000" w:themeColor="text1"/>
                <w:highlight w:val="none"/>
              </w:rPr>
            </w:r>
            <w:r/>
          </w:p>
        </w:tc>
      </w:tr>
      <w:tr>
        <w:trPr>
          <w:trHeight w:val="500"/>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市政道桥，交通水利，景观绿化环境等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审定工程造价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费率：‰</w:t>
            </w:r>
            <w:r>
              <w:rPr>
                <w:color w:val="000000" w:themeColor="text1"/>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追加费用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房屋建筑类</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净核减额</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项目净核减率在0-5%（含）之间，追加费用费率为0；</w:t>
            </w:r>
            <w:r>
              <w:rPr>
                <w:color w:val="000000" w:themeColor="text1"/>
                <w:highlight w:val="none"/>
              </w:rPr>
            </w:r>
            <w:r/>
          </w:p>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项目净核减率大于5%，追加费用费率为4.2‰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trHeight w:val="500"/>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市政道桥，交通水利，景观绿化环境等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净核减额</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项目净核减率在0-5%（含）之间，追加费用费率为0；</w:t>
            </w:r>
            <w:r>
              <w:rPr>
                <w:color w:val="000000" w:themeColor="text1"/>
                <w:highlight w:val="none"/>
              </w:rPr>
            </w:r>
            <w:r/>
          </w:p>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项目净核减率大于5%，追加费用费率为3.8‰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bl>
    <w:p>
      <w:pPr>
        <w:pStyle w:val="881"/>
        <w:jc w:val="left"/>
        <w:spacing w:line="40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一、全过程跟踪审核（含结算审核）项目</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1.制定造价控制的实施细则，确定控制目标；</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2.参与工程造价控制有关的工作会议；</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3.负责对施工单位上报的每月完成工作量月报进行审核。根据委托方需要，提供当月付款建议书，作为支付当月进度款的依据；</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4.承发包双方提出索赔时，为委托方提供咨询意见；</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5.根据需要，协助</w:t>
      </w:r>
      <w:r>
        <w:rPr>
          <w:rFonts w:hint="eastAsia" w:ascii="宋体" w:hAnsi="宋体" w:cs="宋体"/>
          <w:color w:val="000000" w:themeColor="text1"/>
          <w:sz w:val="24"/>
          <w:szCs w:val="24"/>
          <w:highlight w:val="none"/>
        </w:rPr>
        <w:t xml:space="preserve">建设</w:t>
      </w:r>
      <w:r>
        <w:rPr>
          <w:rFonts w:hint="eastAsia" w:ascii="宋体" w:hAnsi="宋体" w:cs="宋体"/>
          <w:color w:val="000000" w:themeColor="text1"/>
          <w:sz w:val="24"/>
          <w:szCs w:val="24"/>
          <w:highlight w:val="none"/>
          <w:lang w:val="en-US" w:eastAsia="zh-CN"/>
        </w:rPr>
        <w:t xml:space="preserve">单位</w:t>
      </w:r>
      <w:r>
        <w:rPr>
          <w:rFonts w:hint="eastAsia" w:ascii="宋体" w:hAnsi="宋体" w:cs="宋体"/>
          <w:color w:val="000000" w:themeColor="text1"/>
          <w:sz w:val="24"/>
          <w:szCs w:val="24"/>
          <w:highlight w:val="none"/>
        </w:rPr>
        <w:t xml:space="preserve">及时审核设计变更、现场签证等发生的费用，相应调整造价控制目标；并向委托人、</w:t>
      </w:r>
      <w:r>
        <w:rPr>
          <w:rFonts w:hint="eastAsia" w:ascii="宋体" w:hAnsi="宋体" w:cs="宋体"/>
          <w:color w:val="000000" w:themeColor="text1"/>
          <w:sz w:val="24"/>
          <w:szCs w:val="24"/>
          <w:highlight w:val="none"/>
          <w:lang w:val="en-US" w:eastAsia="zh-CN"/>
        </w:rPr>
        <w:t xml:space="preserve">建设单位</w:t>
      </w:r>
      <w:r>
        <w:rPr>
          <w:rFonts w:hint="eastAsia" w:ascii="宋体" w:hAnsi="宋体" w:cs="宋体"/>
          <w:color w:val="000000" w:themeColor="text1"/>
          <w:sz w:val="24"/>
          <w:szCs w:val="24"/>
          <w:highlight w:val="none"/>
        </w:rPr>
        <w:t xml:space="preserve">提供造价控制动态分析报告；</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6.及时核定分阶段完工的分部工程结算；完成所委托项目的结算审核工作，提供整套结算报告交委托人归档；</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7.提供涉及委托咨询工程项目的人工、材料、设备等造价信息和与造价控制相关的其他咨询服务。</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二、审定工程造价中的设备费用由采购人根据设备集成程度、复杂难度系数等合理确定计费方式。</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三、最终审计费=（基本费+追加费）*考核系数*难度系数</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①得分≥95分时，考核系数=1；</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②80分≤得分＜95分时，考核系数=[0.005*（得分-80)+0.9],考核系数在0.9—0.975内；</w:t>
      </w:r>
      <w:r>
        <w:rPr>
          <w:color w:val="000000" w:themeColor="text1"/>
          <w:highlight w:val="none"/>
        </w:rPr>
      </w: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③60分≤得分＜80分时，考核系数=[0.015*（得分-60)+0.6]，考核系数在0.6—0.9内；</w:t>
      </w:r>
      <w:r>
        <w:rPr>
          <w:color w:val="000000" w:themeColor="text1"/>
          <w:highlight w:val="none"/>
        </w:rPr>
      </w:r>
      <w:r/>
    </w:p>
    <w:p>
      <w:pPr>
        <w:pStyle w:val="881"/>
        <w:ind w:firstLine="48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④得分＜60分时，考核系数=0.5，同时给予警告1次，并建议协审单位对项目负责人予以处理。</w:t>
      </w:r>
      <w:r>
        <w:rPr>
          <w:color w:val="000000" w:themeColor="text1"/>
          <w:highlight w:val="none"/>
        </w:rPr>
      </w:r>
      <w:r/>
    </w:p>
    <w:p>
      <w:pPr>
        <w:pStyle w:val="881"/>
        <w:jc w:val="left"/>
        <w:spacing w:line="400" w:lineRule="exact"/>
        <w:rPr>
          <w:rFonts w:ascii="宋体" w:hAnsi="宋体"/>
          <w:bCs/>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附件4</w:t>
      </w:r>
      <w:r>
        <w:rPr>
          <w:color w:val="000000" w:themeColor="text1"/>
          <w:highlight w:val="none"/>
        </w:rPr>
      </w:r>
      <w:r/>
    </w:p>
    <w:p>
      <w:pPr>
        <w:pStyle w:val="881"/>
        <w:ind w:firstLine="482"/>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工程建设项目全过程跟踪审核项目月报填报要求说明</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项目月报除应按评审系统固定格式填报内容外，尚应在02文件列表清单</w:t>
      </w:r>
      <w:r>
        <w:rPr>
          <w:rFonts w:hint="eastAsia" w:ascii="宋体" w:hAnsi="宋体"/>
          <w:b/>
          <w:bCs/>
          <w:color w:val="000000" w:themeColor="text1"/>
          <w:sz w:val="24"/>
          <w:szCs w:val="24"/>
          <w:highlight w:val="none"/>
        </w:rPr>
        <w:t xml:space="preserve">其</w:t>
      </w:r>
      <w:r>
        <w:rPr>
          <w:rFonts w:hint="eastAsia" w:ascii="宋体" w:hAnsi="宋体"/>
          <w:b/>
          <w:bCs/>
          <w:color w:val="000000" w:themeColor="text1"/>
          <w:sz w:val="24"/>
          <w:szCs w:val="24"/>
          <w:highlight w:val="none"/>
          <w:lang w:val="en-US" w:eastAsia="zh-CN"/>
        </w:rPr>
        <w:t xml:space="preserve">他</w:t>
      </w:r>
      <w:r>
        <w:rPr>
          <w:rFonts w:hint="eastAsia" w:ascii="宋体" w:hAnsi="宋体"/>
          <w:b/>
          <w:bCs/>
          <w:color w:val="000000" w:themeColor="text1"/>
          <w:sz w:val="24"/>
          <w:szCs w:val="24"/>
          <w:highlight w:val="none"/>
        </w:rPr>
        <w:t xml:space="preserve">相关资料</w:t>
      </w:r>
      <w:r>
        <w:rPr>
          <w:rFonts w:hint="eastAsia" w:ascii="宋体" w:hAnsi="宋体"/>
          <w:bCs/>
          <w:color w:val="000000" w:themeColor="text1"/>
          <w:sz w:val="24"/>
          <w:szCs w:val="24"/>
          <w:highlight w:val="none"/>
        </w:rPr>
        <w:t xml:space="preserve">内上传以下相关跟踪审核工作内容。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首次月报：应上传招标文件及招标控制价、投标文件及投标报价、开工报告、设计交底、答疑。有不平衡条款约定的，应上传不平衡报价分析表，标注出不平衡报价清单项目；对不平衡报价条款无约定的，应上传无不平衡报价条款约定word文件说明。分不同时段招标的工程项目，完成招标后应及时上传。</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月报申报时，如有合同价款变更，应上传合同价款变更汇总表（也可以采用系统内表5工程变更签证费用月度汇总表），如合同价款变更已完成，应上传相关完整的电子扫描件，包含所涉及的设计变更、施工立项审批、影像等相关资料。合同价款变更汇总表应体现送审金额、审核金额，审核完成时间、变更事项等相关内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上传现场签证的原始记录测量表，如原地面测量、清淤前后标高的测量、围挡长度、额外的垃圾清运、构筑物的拆除、需要确认的钢板桩措施费等，包括所涉及的相应设计文件、现场影像资料。填写累计汇总表，应体现现场测量时间，测量内容。</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4.上传项目工程阶段验收、隐蔽工程验收的书面及影像资料。</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5.上传项目工程例会会议纪要。</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6.项目完成后，须上传跟踪审核总结报告。</w:t>
      </w:r>
      <w:r>
        <w:rPr>
          <w:color w:val="000000" w:themeColor="text1"/>
          <w:highlight w:val="none"/>
        </w:rPr>
      </w:r>
      <w:r/>
    </w:p>
    <w:p>
      <w:pPr>
        <w:pStyle w:val="881"/>
        <w:ind w:firstLine="48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hint="eastAsia" w:ascii="宋体" w:hAnsi="宋体"/>
          <w:b/>
          <w:bCs/>
          <w:color w:val="000000" w:themeColor="text1"/>
          <w:sz w:val="24"/>
          <w:szCs w:val="24"/>
          <w:highlight w:val="none"/>
        </w:rPr>
        <w:t xml:space="preserve">上述汇总表均应为累计汇总，上传填报内容仅需当月内容。</w:t>
      </w: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20823346"/>
      <w:r>
        <w:rPr>
          <w:color w:val="000000" w:themeColor="text1"/>
          <w:highlight w:val="none"/>
        </w:rPr>
      </w:r>
      <w:bookmarkStart w:id="187" w:name="_Toc16938590"/>
      <w:r>
        <w:rPr>
          <w:color w:val="000000" w:themeColor="text1"/>
          <w:highlight w:val="none"/>
        </w:rPr>
      </w:r>
      <w:bookmarkStart w:id="188" w:name="_Toc120614244"/>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pStyle w:val="881"/>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r/>
    </w:p>
    <w:p>
      <w:pPr>
        <w:pStyle w:val="881"/>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租赁和商务服务业</w:t>
      </w:r>
      <w:r>
        <w:rPr>
          <w:color w:val="000000" w:themeColor="text1"/>
          <w:highlight w:val="none"/>
        </w:rPr>
      </w:r>
      <w:r/>
    </w:p>
    <w:p>
      <w:pPr>
        <w:pStyle w:val="881"/>
        <w:ind w:firstLine="602"/>
        <w:spacing w:line="360" w:lineRule="auto"/>
        <w:rPr>
          <w:rFonts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本项目分为</w:t>
      </w:r>
      <w:r>
        <w:rPr>
          <w:rFonts w:hint="eastAsia" w:ascii="宋体" w:hAnsi="宋体"/>
          <w:bCs/>
          <w:color w:val="000000" w:themeColor="text1"/>
          <w:sz w:val="24"/>
          <w:szCs w:val="24"/>
          <w:highlight w:val="none"/>
        </w:rPr>
        <w:t xml:space="preserve">两</w:t>
      </w:r>
      <w:r>
        <w:rPr>
          <w:rFonts w:hint="eastAsia" w:ascii="宋体" w:hAnsi="宋体"/>
          <w:bCs/>
          <w:color w:val="000000" w:themeColor="text1"/>
          <w:sz w:val="24"/>
          <w:szCs w:val="24"/>
          <w:highlight w:val="none"/>
        </w:rPr>
        <w:t xml:space="preserve">个采购包，分别为：采购包1、采购包2。投标人可以根据自身能力及条件选择一个或几个采购包进行投标，但中标只能中其中一个采购包，即可兼投但不可兼中。具体规则详见第五章。</w:t>
      </w:r>
      <w:r>
        <w:rPr>
          <w:color w:val="000000" w:themeColor="text1"/>
          <w:highlight w:val="none"/>
        </w:rPr>
      </w:r>
      <w:r/>
    </w:p>
    <w:p>
      <w:pPr>
        <w:pStyle w:val="881"/>
        <w:ind w:firstLine="602"/>
        <w:spacing w:line="360" w:lineRule="auto"/>
        <w:rPr>
          <w:rFonts w:hint="eastAsia" w:ascii="宋体" w:hAnsi="宋体" w:eastAsia="宋体" w:cs="Times New Roman"/>
          <w:b/>
          <w:color w:val="000000" w:themeColor="text1"/>
          <w:sz w:val="30"/>
          <w:szCs w:val="30"/>
          <w:highlight w:val="none"/>
          <w:u w:val="none"/>
        </w:rPr>
      </w:pPr>
      <w:r>
        <w:rPr>
          <w:rFonts w:hint="eastAsia" w:ascii="宋体" w:hAnsi="宋体" w:eastAsia="宋体" w:cs="Times New Roman"/>
          <w:b/>
          <w:color w:val="000000" w:themeColor="text1"/>
          <w:sz w:val="30"/>
          <w:szCs w:val="30"/>
          <w:highlight w:val="none"/>
          <w:u w:val="none"/>
          <w:lang w:val="en-US" w:eastAsia="zh-CN"/>
        </w:rPr>
        <w:t xml:space="preserve">采购包1：</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一、项目技术要求：</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（一）工程概况：</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南京邮电大学无锡校区（二期）项目位于无锡市惠山区前洲街道城铁站区（地块东至曙光路、西至规划道路、南至中惠大道、北至政和大道）。总建筑面积约6.7万平方米，其中地上建筑面积约6.2万平方米，包括科研综合楼、学生宿舍、食堂、教室宿舍楼等；地下建筑面积约0.5万平方米，主要功能为人防工程及机动车停车场等。二期项目投资4.3亿元，其中工程费用约3.65亿元。</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（二）服务内容：</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采购包1：负责</w:t>
      </w:r>
      <w:r>
        <w:rPr>
          <w:rFonts w:hint="eastAsia" w:ascii="宋体" w:hAnsi="宋体"/>
          <w:color w:val="000000" w:themeColor="text1"/>
          <w:sz w:val="24"/>
          <w:szCs w:val="24"/>
          <w:highlight w:val="none"/>
          <w:lang w:val="en-US" w:eastAsia="zh-CN"/>
        </w:rPr>
        <w:t xml:space="preserve">南京邮电大学无锡校区（二期）项目</w:t>
      </w:r>
      <w:r>
        <w:rPr>
          <w:rFonts w:hint="eastAsia" w:ascii="宋体" w:hAnsi="宋体"/>
          <w:color w:val="000000" w:themeColor="text1"/>
          <w:sz w:val="24"/>
          <w:szCs w:val="24"/>
          <w:highlight w:val="none"/>
        </w:rPr>
        <w:t xml:space="preserve">全过程跟踪审核（含结算审核），预算金额</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万元（本项目难度系数</w:t>
      </w:r>
      <w:r>
        <w:rPr>
          <w:rFonts w:hint="eastAsia" w:ascii="宋体" w:hAnsi="宋体"/>
          <w:color w:val="000000" w:themeColor="text1"/>
          <w:sz w:val="24"/>
          <w:szCs w:val="24"/>
          <w:highlight w:val="none"/>
          <w:lang w:val="en-US" w:eastAsia="zh-CN"/>
        </w:rPr>
        <w:t xml:space="preserve">0.9</w:t>
      </w:r>
      <w:r>
        <w:rPr>
          <w:rFonts w:hint="eastAsia" w:ascii="宋体" w:hAnsi="宋体"/>
          <w:color w:val="000000" w:themeColor="text1"/>
          <w:sz w:val="24"/>
          <w:szCs w:val="24"/>
          <w:highlight w:val="none"/>
        </w:rPr>
        <w:t xml:space="preserve">）。</w:t>
      </w:r>
      <w:r>
        <w:rPr>
          <w:color w:val="000000" w:themeColor="text1"/>
          <w:highlight w:val="none"/>
        </w:rPr>
      </w:r>
      <w:r/>
    </w:p>
    <w:p>
      <w:pPr>
        <w:pStyle w:val="881"/>
        <w:ind w:firstLine="48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u w:val="single"/>
        </w:rPr>
        <w:t xml:space="preserve">采购人保留根据工程实际情况对造价审计范围进行局部调整的权利</w:t>
      </w:r>
      <w:r>
        <w:rPr>
          <w:rFonts w:hint="eastAsia" w:ascii="宋体" w:hAnsi="宋体"/>
          <w:b/>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hint="eastAsia" w:ascii="宋体" w:hAnsi="宋体" w:cs="宋体"/>
          <w:color w:val="000000" w:themeColor="text1"/>
          <w:sz w:val="24"/>
          <w:szCs w:val="24"/>
          <w:highlight w:val="none"/>
        </w:rPr>
        <w:t xml:space="preserve">人员配置要求：</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投标人需根据项目的专业特点组成项目组，并报项目人员配置清单（不得含有返聘、临聘及已退休人员），拟派人员原则上不得变更。只有在项目人员配置清单上的人员才能参与评分。采购人有权根据工程特点要求中标单位配备符合项目需要的专业审核人员，中标单位须无条件服从采购人安排。</w:t>
      </w:r>
      <w:r>
        <w:rPr>
          <w:color w:val="000000" w:themeColor="text1"/>
          <w:highlight w:val="none"/>
        </w:rPr>
      </w:r>
      <w:r/>
    </w:p>
    <w:p>
      <w:pPr>
        <w:pStyle w:val="881"/>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拟派一级造价工程师需满足以下要求：</w:t>
      </w:r>
      <w:r>
        <w:rPr>
          <w:color w:val="000000" w:themeColor="text1"/>
          <w:highlight w:val="none"/>
        </w:rPr>
      </w:r>
      <w:r/>
    </w:p>
    <w:tbl>
      <w:tblPr>
        <w:tblW w:w="8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2304"/>
        <w:gridCol w:w="2405"/>
        <w:gridCol w:w="2364"/>
      </w:tblGrid>
      <w:tr>
        <w:trPr/>
        <w:tc>
          <w:tcPr>
            <w:tcW w:w="1682"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标段</w:t>
            </w:r>
            <w:r>
              <w:rPr>
                <w:color w:val="000000" w:themeColor="text1"/>
                <w:highlight w:val="none"/>
              </w:rPr>
            </w:r>
            <w:r/>
          </w:p>
        </w:tc>
        <w:tc>
          <w:tcPr>
            <w:tcW w:w="230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一级造价工程师常驻人数</w:t>
            </w:r>
            <w:r>
              <w:rPr>
                <w:color w:val="000000" w:themeColor="text1"/>
                <w:highlight w:val="none"/>
              </w:rPr>
            </w:r>
            <w:r/>
          </w:p>
        </w:tc>
        <w:tc>
          <w:tcPr>
            <w:tcW w:w="2405"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其中：项目负责人（必须常驻）专业</w:t>
            </w:r>
            <w:r>
              <w:rPr>
                <w:color w:val="000000" w:themeColor="text1"/>
                <w:highlight w:val="none"/>
              </w:rPr>
            </w:r>
            <w:r/>
          </w:p>
        </w:tc>
        <w:tc>
          <w:tcPr>
            <w:tcW w:w="236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其中：常驻协审人员（必须常驻）专业</w:t>
            </w:r>
            <w:r>
              <w:rPr>
                <w:color w:val="000000" w:themeColor="text1"/>
                <w:highlight w:val="none"/>
              </w:rPr>
            </w:r>
            <w:r/>
          </w:p>
        </w:tc>
      </w:tr>
      <w:tr>
        <w:trPr/>
        <w:tc>
          <w:tcPr>
            <w:tcW w:w="1682"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采购包1</w:t>
            </w:r>
            <w:r>
              <w:rPr>
                <w:color w:val="000000" w:themeColor="text1"/>
                <w:highlight w:val="none"/>
              </w:rPr>
            </w:r>
            <w:r/>
          </w:p>
        </w:tc>
        <w:tc>
          <w:tcPr>
            <w:tcW w:w="230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2</w:t>
            </w:r>
            <w:r>
              <w:rPr>
                <w:color w:val="000000" w:themeColor="text1"/>
                <w:highlight w:val="none"/>
              </w:rPr>
            </w:r>
            <w:r/>
          </w:p>
        </w:tc>
        <w:tc>
          <w:tcPr>
            <w:tcW w:w="2405"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土建</w:t>
            </w:r>
            <w:r>
              <w:rPr>
                <w:color w:val="000000" w:themeColor="text1"/>
                <w:highlight w:val="none"/>
              </w:rPr>
            </w:r>
            <w:r/>
          </w:p>
        </w:tc>
        <w:tc>
          <w:tcPr>
            <w:tcW w:w="236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安装</w:t>
            </w:r>
            <w:r>
              <w:rPr>
                <w:color w:val="000000" w:themeColor="text1"/>
                <w:highlight w:val="none"/>
              </w:rPr>
            </w:r>
            <w:r/>
          </w:p>
        </w:tc>
      </w:tr>
    </w:tbl>
    <w:p>
      <w:pPr>
        <w:pStyle w:val="881"/>
        <w:ind w:firstLine="480"/>
        <w:spacing w:line="360" w:lineRule="auto"/>
        <w:tabs>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（1）常驻现场时间：从项目开工至</w:t>
      </w:r>
      <w:r>
        <w:rPr>
          <w:rFonts w:hint="eastAsia" w:ascii="宋体" w:hAnsi="宋体"/>
          <w:color w:val="000000" w:themeColor="text1"/>
          <w:sz w:val="24"/>
          <w:szCs w:val="24"/>
          <w:highlight w:val="none"/>
        </w:rPr>
        <w:t xml:space="preserve">协审范围内工程主体验收完成</w:t>
      </w:r>
      <w:r>
        <w:rPr>
          <w:rFonts w:hint="eastAsia" w:ascii="宋体" w:hAnsi="宋体" w:cs="宋体"/>
          <w:color w:val="000000" w:themeColor="text1"/>
          <w:sz w:val="24"/>
          <w:szCs w:val="24"/>
          <w:highlight w:val="none"/>
          <w:lang w:bidi="en-US"/>
        </w:rPr>
        <w:t xml:space="preserve">，工作日9:00-17:00，其余时间如有相关协审工作，需到场配合；</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（2）隐蔽工程、晚间施工等关键环节到场人数：2人及以上/环节；</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（3）常驻现场人员在项目现场跟踪审核期间不得承接其他现场跟踪审核项目；</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color w:val="000000" w:themeColor="text1"/>
          <w:sz w:val="24"/>
          <w:szCs w:val="24"/>
          <w:highlight w:val="none"/>
        </w:rPr>
        <w:t xml:space="preserve">常驻人员原则上不得更换，因离职、不可抗力等确需更换的，不得低于投标时人员的标准。</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保留对投标人拟派的常驻一级造价工程师进行外调核查的权利。在履行合同期限内，如发现中标供应商未能按照投标承诺提供相应人员服务的，或者常驻一级造价工程师不符合上述要求的，采购人有权依法解除协审服务合同，并通报行业主管部门或其他相关部门进行处理，同时将相关情况报政府采购监督管理部门作为其虚假投标的证据，进行处理。</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协审单位应确保常驻人员月度考勤合格率，如协审单位常驻人员月度考勤合格率低于80%，发现一次，市评审中心将进行警告；如累计3次及以上，则终止本协审服务合同。</w:t>
      </w:r>
      <w:r>
        <w:rPr>
          <w:color w:val="000000" w:themeColor="text1"/>
          <w:highlight w:val="none"/>
        </w:rPr>
      </w:r>
      <w:r/>
    </w:p>
    <w:p>
      <w:pPr>
        <w:pStyle w:val="999"/>
        <w:ind w:left="0" w:firstLine="482"/>
        <w:jc w:val="both"/>
        <w:spacing w:line="360" w:lineRule="auto"/>
        <w:tabs>
          <w:tab w:val="left" w:pos="1050" w:leader="none"/>
        </w:tabs>
        <w:rPr>
          <w:rFonts w:ascii="宋体" w:hAnsi="宋体" w:cs="宋体"/>
          <w:b/>
          <w:bCs/>
          <w:color w:val="000000" w:themeColor="text1"/>
          <w:highlight w:val="none"/>
          <w:u w:val="single"/>
        </w:rPr>
      </w:pPr>
      <w:r>
        <w:rPr>
          <w:rFonts w:hint="eastAsia" w:ascii="宋体" w:hAnsi="宋体" w:cs="宋体"/>
          <w:b/>
          <w:bCs/>
          <w:color w:val="000000" w:themeColor="text1"/>
          <w:highlight w:val="none"/>
          <w:u w:val="single"/>
          <w:lang w:eastAsia="zh-CN"/>
        </w:rPr>
        <w:t xml:space="preserve">另，拟派</w:t>
      </w:r>
      <w:r>
        <w:rPr>
          <w:rFonts w:hint="eastAsia" w:ascii="宋体" w:hAnsi="宋体" w:cs="宋体"/>
          <w:b/>
          <w:bCs/>
          <w:color w:val="000000" w:themeColor="text1"/>
          <w:highlight w:val="none"/>
          <w:u w:val="single"/>
          <w:lang w:val="en-US" w:eastAsia="zh-CN"/>
        </w:rPr>
        <w:t xml:space="preserve">项目人员</w:t>
      </w:r>
      <w:r>
        <w:rPr>
          <w:rFonts w:hint="eastAsia" w:ascii="宋体" w:hAnsi="宋体" w:cs="宋体"/>
          <w:b/>
          <w:bCs/>
          <w:color w:val="000000" w:themeColor="text1"/>
          <w:highlight w:val="none"/>
          <w:u w:val="single"/>
          <w:lang w:eastAsia="zh-CN"/>
        </w:rPr>
        <w:t xml:space="preserve">中必须确保有一名</w:t>
      </w:r>
      <w:r>
        <w:rPr>
          <w:rFonts w:hint="eastAsia" w:ascii="宋体" w:hAnsi="宋体" w:cs="宋体"/>
          <w:b/>
          <w:bCs/>
          <w:color w:val="000000" w:themeColor="text1"/>
          <w:highlight w:val="none"/>
          <w:u w:val="single"/>
          <w:lang w:eastAsia="zh-CN"/>
        </w:rPr>
        <w:t xml:space="preserve">档案管理员（</w:t>
      </w:r>
      <w:r>
        <w:rPr>
          <w:rFonts w:hint="eastAsia" w:ascii="宋体" w:hAnsi="宋体" w:cs="宋体"/>
          <w:b/>
          <w:bCs/>
          <w:color w:val="000000" w:themeColor="text1"/>
          <w:highlight w:val="none"/>
          <w:u w:val="single"/>
          <w:lang w:eastAsia="zh-CN"/>
        </w:rPr>
        <w:t xml:space="preserve">需在《项目人员配置清单》中注明），否则投标无效。</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（四）中标人确定后的协议签订、协审内容、计费方法、费用支付：</w:t>
      </w:r>
      <w:r>
        <w:rPr>
          <w:color w:val="000000" w:themeColor="text1"/>
          <w:highlight w:val="none"/>
        </w:rPr>
      </w:r>
      <w:r/>
    </w:p>
    <w:p>
      <w:pPr>
        <w:pStyle w:val="881"/>
        <w:ind w:firstLine="480"/>
        <w:spacing w:line="360" w:lineRule="auto"/>
        <w:tabs>
          <w:tab w:val="left" w:pos="336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（1）签订协议</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中标单位与无锡市政府投资评审中心签订《合同书》。</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（2）协审内容</w:t>
      </w:r>
      <w:r>
        <w:rPr>
          <w:color w:val="000000" w:themeColor="text1"/>
          <w:highlight w:val="none"/>
        </w:rPr>
      </w:r>
      <w:r/>
    </w:p>
    <w:p>
      <w:pPr>
        <w:pStyle w:val="881"/>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详见《合同书》要求。</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（3）计费方法</w:t>
      </w:r>
      <w:r>
        <w:rPr>
          <w:color w:val="000000" w:themeColor="text1"/>
          <w:highlight w:val="none"/>
        </w:rPr>
      </w:r>
      <w:r/>
    </w:p>
    <w:p>
      <w:pPr>
        <w:pStyle w:val="881"/>
        <w:ind w:firstLine="482"/>
        <w:spacing w:line="360" w:lineRule="auto"/>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本项目无需报价，各标段费用按照审核服务费用费率表规定的计费办法计算。投标人须在《开标一览表》（格式见附件）中按要求填写相对应分包的预算来确定是否响应招标文件规定的计费方法。</w:t>
      </w:r>
      <w:r>
        <w:rPr>
          <w:rFonts w:hint="eastAsia" w:ascii="宋体" w:hAnsi="宋体"/>
          <w:color w:val="000000" w:themeColor="text1"/>
          <w:sz w:val="24"/>
          <w:szCs w:val="24"/>
          <w:highlight w:val="none"/>
        </w:rPr>
        <w:t xml:space="preserve">计费基数为各中标单位所承接标段范围内的审定工程造价，不分项目、不分标段，不分专业。除此之外，包括因项目工期、资料延误、人身伤害保险等在内的各种情况，中标单位不再收取其他任何费用，不得向与委托内容相关的施工等单位收取任何费用。</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费用支付</w:t>
      </w:r>
      <w:r>
        <w:rPr>
          <w:rFonts w:hint="eastAsia" w:ascii="宋体" w:hAnsi="宋体"/>
          <w:color w:val="000000" w:themeColor="text1"/>
          <w:sz w:val="24"/>
          <w:szCs w:val="24"/>
          <w:highlight w:val="none"/>
        </w:rPr>
        <w:tab/>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审核费用列入项目建设成本。审核费用经采购人审核同意后，</w:t>
      </w:r>
      <w:r>
        <w:rPr>
          <w:rFonts w:hint="eastAsia" w:ascii="宋体" w:hAnsi="宋体"/>
          <w:color w:val="000000" w:themeColor="text1"/>
          <w:sz w:val="24"/>
          <w:szCs w:val="24"/>
          <w:highlight w:val="none"/>
        </w:rPr>
        <w:t xml:space="preserve">由</w:t>
      </w:r>
      <w:r>
        <w:rPr>
          <w:rFonts w:hint="eastAsia" w:ascii="宋体" w:hAnsi="宋体"/>
          <w:color w:val="000000" w:themeColor="text1"/>
          <w:sz w:val="24"/>
          <w:szCs w:val="24"/>
          <w:highlight w:val="none"/>
          <w:lang w:val="en-US" w:eastAsia="zh-CN"/>
        </w:rPr>
        <w:t xml:space="preserve">南京邮电大学无锡校区（二期）项目的</w:t>
      </w:r>
      <w:r>
        <w:rPr>
          <w:rFonts w:hint="eastAsia" w:ascii="宋体" w:hAnsi="宋体"/>
          <w:color w:val="000000" w:themeColor="text1"/>
          <w:sz w:val="24"/>
          <w:szCs w:val="24"/>
          <w:highlight w:val="none"/>
        </w:rPr>
        <w:t xml:space="preserve">建设</w:t>
      </w:r>
      <w:r>
        <w:rPr>
          <w:rFonts w:hint="eastAsia" w:ascii="宋体" w:hAnsi="宋体"/>
          <w:color w:val="000000" w:themeColor="text1"/>
          <w:sz w:val="24"/>
          <w:szCs w:val="24"/>
          <w:highlight w:val="none"/>
          <w:lang w:val="en-US" w:eastAsia="zh-CN"/>
        </w:rPr>
        <w:t xml:space="preserve">单位（以下简称“建设单位”）</w:t>
      </w:r>
      <w:r>
        <w:rPr>
          <w:rFonts w:hint="eastAsia" w:ascii="宋体" w:hAnsi="宋体"/>
          <w:color w:val="000000" w:themeColor="text1"/>
          <w:sz w:val="24"/>
          <w:szCs w:val="24"/>
          <w:highlight w:val="none"/>
        </w:rPr>
        <w:t xml:space="preserve">据委托人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本项目采购单位）</w:t>
      </w:r>
      <w:r>
        <w:rPr>
          <w:rFonts w:hint="eastAsia" w:ascii="宋体" w:hAnsi="宋体"/>
          <w:color w:val="000000" w:themeColor="text1"/>
          <w:sz w:val="24"/>
          <w:szCs w:val="24"/>
          <w:highlight w:val="none"/>
        </w:rPr>
        <w:t xml:space="preserve">审核结果支付给协审机构</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本项目中标单位）</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依据委托人审核结果支付给协审机构。</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（5）付款方式：</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审核费用由建设单位支付。</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color w:val="000000" w:themeColor="text1"/>
          <w:sz w:val="24"/>
          <w:szCs w:val="24"/>
          <w:highlight w:val="none"/>
        </w:rPr>
        <w:t xml:space="preserve">支付至按造价咨询月报计算的基本费用的50%</w:t>
      </w:r>
      <w:r>
        <w:rPr>
          <w:rFonts w:hint="eastAsia" w:ascii="宋体" w:hAnsi="宋体"/>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（五）考核：</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确保项目协审工作质量，采购人将按照相关协审机构考核管理规定对中标单位协审工作进行考核，对于不同意接受考核的协审单位，采购人有权按照相关法律规定进行处理。（考核打分详见全过程跟踪审核（含结算审核）项目考核基础表），考核结果作为协审费用结算的依据。</w:t>
      </w:r>
      <w:r>
        <w:rPr>
          <w:color w:val="000000" w:themeColor="text1"/>
          <w:highlight w:val="none"/>
        </w:rPr>
      </w:r>
      <w:r/>
    </w:p>
    <w:p>
      <w:pPr>
        <w:pStyle w:val="881"/>
        <w:ind w:firstLine="480"/>
        <w:spacing w:line="360" w:lineRule="auto"/>
        <w:tabs>
          <w:tab w:val="left" w:pos="73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（六）违约责任：</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（1）在本项目规定的服务有效期内，如发现中标单位相关人员有行贿、受贿、经济犯罪等行为，一经查实，采购人有权单方解除协议。</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（2）中标单位涂改、倒卖、出租、出借资质证书，或者以其他形式非法转让资质证书,擅自变更、转让、租借承接的工程造价咨询业务，一经查实，采购人有权依法定程序解除协议。</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（3）在协审工作中，因中标单位原因造成违约或疏忽，延误工程实施进度或审核工作出现错误并造成重大影响的，将报相关监管部门处理，或采取法律手段解决索赔事宜。</w:t>
      </w:r>
      <w:r>
        <w:rPr>
          <w:color w:val="000000" w:themeColor="text1"/>
          <w:highlight w:val="none"/>
        </w:rPr>
      </w: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（4）对提供不实或内容虚假的协审结果以及自行对外提供协审咨询报告的，由中标单位自行承担责任，情节严重的，依法提请有关部门追究协审机构和相关责任人的法律责任。</w:t>
      </w:r>
      <w:r>
        <w:rPr>
          <w:color w:val="000000" w:themeColor="text1"/>
          <w:highlight w:val="none"/>
        </w:rPr>
      </w: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（七）其他事项</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中标单位应加强对审核质量的控制，采购人可视情况对中标单位的审核成果进行复核。复核范围可选择全部复核或部分复核，若采用部分复核方式时发现核减率过大，可进行全面复核。复核方式可采用交叉复核、外聘单位复核等多种方式进行。</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（八）回避原则</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val="en-US" w:eastAsia="zh-CN"/>
        </w:rPr>
        <w:t xml:space="preserve">中标单位</w:t>
      </w:r>
      <w:r>
        <w:rPr>
          <w:rFonts w:hint="eastAsia" w:ascii="宋体" w:hAnsi="宋体"/>
          <w:color w:val="000000" w:themeColor="text1"/>
          <w:sz w:val="24"/>
          <w:szCs w:val="24"/>
          <w:highlight w:val="none"/>
        </w:rPr>
        <w:t xml:space="preserve">必须接受采购人为保证政府投资审核独立性和不重复委托而提出的回避原则。已参与由采购方或其他单位委托的与</w:t>
      </w:r>
      <w:r>
        <w:rPr>
          <w:rFonts w:hint="eastAsia" w:ascii="宋体" w:hAnsi="宋体"/>
          <w:color w:val="000000" w:themeColor="text1"/>
          <w:sz w:val="24"/>
          <w:szCs w:val="24"/>
          <w:highlight w:val="none"/>
        </w:rPr>
        <w:t xml:space="preserve">本投标项目建设投资或工程造价有关的工作需回避该项目；接受项目委托后不再接受由建设单位或其他单位委托的与本项目建</w:t>
      </w:r>
      <w:r>
        <w:rPr>
          <w:rFonts w:hint="eastAsia" w:ascii="宋体" w:hAnsi="宋体"/>
          <w:color w:val="000000" w:themeColor="text1"/>
          <w:sz w:val="24"/>
          <w:szCs w:val="24"/>
          <w:highlight w:val="none"/>
        </w:rPr>
        <w:t xml:space="preserve">设投资或工程造价有关的工作（包括但不限于招标代理、清单编制、造价审核等）。</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九）</w:t>
      </w:r>
      <w:r>
        <w:rPr>
          <w:rFonts w:hint="eastAsia" w:ascii="宋体" w:hAnsi="宋体" w:eastAsia="宋体" w:cs="Times New Roman"/>
          <w:color w:val="000000" w:themeColor="text1"/>
          <w:sz w:val="24"/>
          <w:szCs w:val="24"/>
          <w:highlight w:val="none"/>
        </w:rPr>
        <w:t xml:space="preserve">履约验收要求</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履约验收主体：</w:t>
      </w:r>
      <w:r>
        <w:rPr>
          <w:rFonts w:hint="eastAsia" w:ascii="宋体" w:hAnsi="宋体" w:eastAsia="宋体" w:cs="Times New Roman"/>
          <w:color w:val="000000" w:themeColor="text1"/>
          <w:sz w:val="24"/>
          <w:szCs w:val="24"/>
          <w:highlight w:val="none"/>
          <w:lang w:val="en-US" w:eastAsia="zh-CN"/>
        </w:rPr>
        <w:t xml:space="preserve">市评审中心</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lang w:eastAsia="zh-CN"/>
        </w:rPr>
        <w:t xml:space="preserve">履约验收时间：服务全部成果文件提交完毕，收到</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完整交付资料后15个工作日内组织履约验收。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履约验收方式：采用书面资料审查+成果文件复核审查方式。</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lang w:eastAsia="zh-CN"/>
        </w:rPr>
        <w:t xml:space="preserve">履约验收程序：</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1. </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完成全部造价咨询服务工作，向采购人提交全套正式成果资料，申请履约验收；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 采购人收到验收申请及完整成果资料后，对提交资料完整性进行初审；</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 采购人对造价咨询成果开展复核查验；</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 根据复核情况出具验收意见，形成履约验收报告；</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5. 验收合格，签署验收通过；验收存在问题，向</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出具整改意见，</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限期完成整改后重新组织验收。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lang w:eastAsia="zh-CN"/>
        </w:rPr>
        <w:t xml:space="preserve">履约验收内容和标准：</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 交付成果完整性：按采购文件、合同约定交付全套造价咨询成果，包括计算底稿、编制说明、成果报告、电子版文件等，资料齐全、格式规范；</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 工作范围：完成合同约定全部造价咨询工作内容，无缺项漏项；</w:t>
      </w:r>
      <w:r>
        <w:rPr>
          <w:color w:val="000000" w:themeColor="text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themeColor="text1"/>
          <w:sz w:val="24"/>
          <w:szCs w:val="24"/>
          <w:highlight w:val="none"/>
          <w:lang w:eastAsia="zh-CN"/>
        </w:rPr>
        <w:t xml:space="preserve">    3. 质量标准：</w:t>
      </w:r>
      <w:r>
        <w:rPr>
          <w:rFonts w:hint="eastAsia" w:ascii="宋体" w:hAnsi="宋体" w:eastAsia="宋体" w:cs="Times New Roman"/>
          <w:color w:val="000000" w:themeColor="text1"/>
          <w:sz w:val="24"/>
          <w:szCs w:val="24"/>
          <w:highlight w:val="none"/>
        </w:rPr>
      </w:r>
      <w:r>
        <w:rPr>
          <w:rFonts w:ascii="SimSun" w:hAnsi="SimSun" w:eastAsia="SimSun" w:cs="SimSun"/>
          <w:color w:val="000000"/>
          <w:sz w:val="24"/>
        </w:rPr>
        <w:t xml:space="preserve">成果符合国家、省现行计价规范、定额及相关政策文件；工程量计算准确，组价取费合规，计价依据充分；</w:t>
      </w:r>
      <w:r/>
      <w:r/>
      <w:r/>
      <w:r>
        <w:rPr>
          <w:sz w:val="21"/>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 时限要求：全部咨询成果严格按照合同约定时间节点提交，无逾期交付；</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5. 服务质量要求：咨询服务过程响应及时，沟通配合到位；成果审核发现差错的，按合同要求及时修正；</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6. 档案资料：纸质、电子版本完整归档，满足采购人档案管理要求；全部达到上述要求即为验收合格，达不到则视为验收不合格，</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须按要求整改。</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br w:type="page" w:clear="all"/>
      </w:r>
      <w:r>
        <w:rPr>
          <w:rFonts w:hint="eastAsia" w:ascii="宋体" w:hAnsi="宋体" w:eastAsia="宋体" w:cs="Times New Roman"/>
          <w:b/>
          <w:color w:val="000000" w:themeColor="text1"/>
          <w:sz w:val="30"/>
          <w:szCs w:val="30"/>
          <w:highlight w:val="none"/>
          <w:u w:val="none"/>
          <w:lang w:val="en-US" w:eastAsia="zh-CN"/>
        </w:rPr>
        <w:t xml:space="preserve">采购包2：</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一、项目技术要求：</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（一）工程概况：</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贡湖大道北段快捷化改造工程项目位于梁溪区和新吴区，呈南北走向，北起中南路，南至瑞翔路，路线全长约2.54千米，道路红线宽度50米。拟设置双向四车道高架连续上跨隐秀路、会友路、金城路、金石路后落地，暂定在隐秀路北侧及瑞翔路交叉口设置2座人行天桥。工程采用城市主干路标准，高架设计速度60千米/小时;地面设计速度50千米/小时。主要建设内容包括:道路、桥梁、管线、照明、交通设施、景观绿化等。项目总投资匡算约5.1077亿元，</w:t>
      </w:r>
      <w:r>
        <w:rPr>
          <w:rFonts w:hint="eastAsia" w:ascii="宋体" w:hAnsi="宋体"/>
          <w:color w:val="000000" w:themeColor="text1"/>
          <w:sz w:val="24"/>
          <w:szCs w:val="24"/>
          <w:highlight w:val="none"/>
        </w:rPr>
        <w:t xml:space="preserve">建安工程费用</w:t>
      </w:r>
      <w:r>
        <w:rPr>
          <w:rFonts w:hint="eastAsia" w:ascii="宋体" w:hAnsi="宋体"/>
          <w:color w:val="000000" w:themeColor="text1"/>
          <w:sz w:val="24"/>
          <w:szCs w:val="24"/>
          <w:highlight w:val="none"/>
          <w:lang w:val="en-US" w:eastAsia="zh-CN"/>
        </w:rPr>
        <w:t xml:space="preserve">4.1608</w:t>
      </w:r>
      <w:r>
        <w:rPr>
          <w:rFonts w:hint="eastAsia" w:ascii="宋体" w:hAnsi="宋体"/>
          <w:color w:val="000000" w:themeColor="text1"/>
          <w:sz w:val="24"/>
          <w:szCs w:val="24"/>
          <w:highlight w:val="none"/>
        </w:rPr>
        <w:t xml:space="preserve">亿元。</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（二）服务内容：</w:t>
      </w:r>
      <w:r>
        <w:rPr>
          <w:color w:val="000000" w:themeColor="text1"/>
          <w:highlight w:val="none"/>
        </w:rPr>
      </w: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采购包</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：负责</w:t>
      </w:r>
      <w:r>
        <w:rPr>
          <w:rFonts w:hint="eastAsia" w:ascii="宋体" w:hAnsi="宋体"/>
          <w:color w:val="000000" w:themeColor="text1"/>
          <w:sz w:val="24"/>
          <w:szCs w:val="24"/>
          <w:highlight w:val="none"/>
          <w:lang w:val="en-US" w:eastAsia="zh-CN"/>
        </w:rPr>
        <w:t xml:space="preserve">贡湖大道北段快捷化改造工程项目</w:t>
      </w:r>
      <w:r>
        <w:rPr>
          <w:rFonts w:hint="eastAsia" w:ascii="宋体" w:hAnsi="宋体"/>
          <w:color w:val="000000" w:themeColor="text1"/>
          <w:sz w:val="24"/>
          <w:szCs w:val="24"/>
          <w:highlight w:val="none"/>
        </w:rPr>
        <w:t xml:space="preserve">全过程跟踪审核（含结算审核），预算金额1</w:t>
      </w:r>
      <w:r>
        <w:rPr>
          <w:rFonts w:hint="eastAsia" w:ascii="宋体" w:hAnsi="宋体"/>
          <w:color w:val="000000" w:themeColor="text1"/>
          <w:sz w:val="24"/>
          <w:szCs w:val="24"/>
          <w:highlight w:val="none"/>
          <w:lang w:val="en-US" w:eastAsia="zh-CN"/>
        </w:rPr>
        <w:t xml:space="preserve">58</w:t>
      </w:r>
      <w:r>
        <w:rPr>
          <w:rFonts w:hint="eastAsia" w:ascii="宋体" w:hAnsi="宋体"/>
          <w:color w:val="000000" w:themeColor="text1"/>
          <w:sz w:val="24"/>
          <w:szCs w:val="24"/>
          <w:highlight w:val="none"/>
        </w:rPr>
        <w:t xml:space="preserve">万元（本项目难度系数</w:t>
      </w:r>
      <w:r>
        <w:rPr>
          <w:rFonts w:hint="eastAsia" w:ascii="宋体" w:hAnsi="宋体"/>
          <w:color w:val="000000" w:themeColor="text1"/>
          <w:sz w:val="24"/>
          <w:szCs w:val="24"/>
          <w:highlight w:val="none"/>
          <w:lang w:val="en-US" w:eastAsia="zh-CN"/>
        </w:rPr>
        <w:t xml:space="preserve">0.9</w:t>
      </w:r>
      <w:r>
        <w:rPr>
          <w:rFonts w:hint="eastAsia" w:ascii="宋体" w:hAnsi="宋体"/>
          <w:color w:val="000000" w:themeColor="text1"/>
          <w:sz w:val="24"/>
          <w:szCs w:val="24"/>
          <w:highlight w:val="none"/>
        </w:rPr>
        <w:t xml:space="preserve">）；</w:t>
      </w:r>
      <w:r>
        <w:rPr>
          <w:color w:val="000000" w:themeColor="text1"/>
          <w:highlight w:val="none"/>
        </w:rPr>
      </w:r>
      <w:r/>
    </w:p>
    <w:p>
      <w:pPr>
        <w:pStyle w:val="881"/>
        <w:ind w:firstLine="48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u w:val="single"/>
        </w:rPr>
        <w:t xml:space="preserve">采购人保留根据工程实际情况对造价审计范围进行局部调整的权利</w:t>
      </w:r>
      <w:r>
        <w:rPr>
          <w:rFonts w:hint="eastAsia" w:ascii="宋体" w:hAnsi="宋体"/>
          <w:b/>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hint="eastAsia" w:ascii="宋体" w:hAnsi="宋体" w:cs="宋体"/>
          <w:color w:val="000000" w:themeColor="text1"/>
          <w:sz w:val="24"/>
          <w:szCs w:val="24"/>
          <w:highlight w:val="none"/>
        </w:rPr>
        <w:t xml:space="preserve">人员配置要求：</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投标人需根据项目的专业特点组成项目组，并报项目人员配置清单（不得含有返聘、临聘及已退休人员），拟派人员原则上不得变更。只有在项目人员配置清单上的人员才能参与评分。采购人有权根据工程特点要求中标单位配备符合项目需要的专业审核人员，中标单位须无条件服从采购人安排。</w:t>
      </w:r>
      <w:r>
        <w:rPr>
          <w:color w:val="000000" w:themeColor="text1"/>
          <w:highlight w:val="none"/>
        </w:rPr>
      </w:r>
      <w:r/>
    </w:p>
    <w:p>
      <w:pPr>
        <w:pStyle w:val="881"/>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拟派一级造价工程师需满足以下要求：</w:t>
      </w:r>
      <w:r>
        <w:rPr>
          <w:color w:val="000000" w:themeColor="text1"/>
          <w:highlight w:val="none"/>
        </w:rPr>
      </w:r>
      <w:r/>
    </w:p>
    <w:tbl>
      <w:tblPr>
        <w:tblW w:w="8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2304"/>
        <w:gridCol w:w="2405"/>
        <w:gridCol w:w="2364"/>
      </w:tblGrid>
      <w:tr>
        <w:trPr/>
        <w:tc>
          <w:tcPr>
            <w:tcW w:w="1682"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标段</w:t>
            </w:r>
            <w:r>
              <w:rPr>
                <w:color w:val="000000" w:themeColor="text1"/>
                <w:highlight w:val="none"/>
              </w:rPr>
            </w:r>
            <w:r/>
          </w:p>
        </w:tc>
        <w:tc>
          <w:tcPr>
            <w:tcW w:w="230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一级造价工程师常驻人数</w:t>
            </w:r>
            <w:r>
              <w:rPr>
                <w:color w:val="000000" w:themeColor="text1"/>
                <w:highlight w:val="none"/>
              </w:rPr>
            </w:r>
            <w:r/>
          </w:p>
        </w:tc>
        <w:tc>
          <w:tcPr>
            <w:tcW w:w="2405"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其中：项目负责人（必须常驻）专业</w:t>
            </w:r>
            <w:r>
              <w:rPr>
                <w:color w:val="000000" w:themeColor="text1"/>
                <w:highlight w:val="none"/>
              </w:rPr>
            </w:r>
            <w:r/>
          </w:p>
        </w:tc>
        <w:tc>
          <w:tcPr>
            <w:tcW w:w="236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其中：常驻协审人员（必须常驻）专业</w:t>
            </w:r>
            <w:r>
              <w:rPr>
                <w:color w:val="000000" w:themeColor="text1"/>
                <w:highlight w:val="none"/>
              </w:rPr>
            </w:r>
            <w:r/>
          </w:p>
        </w:tc>
      </w:tr>
      <w:tr>
        <w:trPr/>
        <w:tc>
          <w:tcPr>
            <w:tcW w:w="1682"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采购包2</w:t>
            </w:r>
            <w:r>
              <w:rPr>
                <w:color w:val="000000" w:themeColor="text1"/>
                <w:highlight w:val="none"/>
              </w:rPr>
            </w:r>
            <w:r/>
          </w:p>
        </w:tc>
        <w:tc>
          <w:tcPr>
            <w:tcW w:w="230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2</w:t>
            </w:r>
            <w:r>
              <w:rPr>
                <w:color w:val="000000" w:themeColor="text1"/>
                <w:highlight w:val="none"/>
              </w:rPr>
            </w:r>
            <w:r/>
          </w:p>
        </w:tc>
        <w:tc>
          <w:tcPr>
            <w:tcW w:w="2405" w:type="dxa"/>
            <w:vAlign w:val="center"/>
            <w:textDirection w:val="lrTb"/>
            <w:noWrap/>
          </w:tcPr>
          <w:p>
            <w:pPr>
              <w:pStyle w:val="881"/>
              <w:jc w:val="center"/>
              <w:spacing w:line="360" w:lineRule="auto"/>
              <w:tabs>
                <w:tab w:val="left" w:pos="1050" w:leader="none"/>
              </w:tabs>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土建</w:t>
            </w:r>
            <w:r>
              <w:rPr>
                <w:rFonts w:hint="eastAsia" w:ascii="宋体" w:hAnsi="宋体" w:cs="宋体"/>
                <w:color w:val="000000" w:themeColor="text1"/>
                <w:sz w:val="24"/>
                <w:szCs w:val="24"/>
                <w:highlight w:val="none"/>
                <w:lang w:val="en-US" w:eastAsia="zh-CN" w:bidi="en-US"/>
              </w:rPr>
              <w:t xml:space="preserve">或交通</w:t>
            </w:r>
            <w:r>
              <w:rPr>
                <w:color w:val="000000" w:themeColor="text1"/>
                <w:highlight w:val="none"/>
              </w:rPr>
            </w:r>
            <w:r/>
          </w:p>
        </w:tc>
        <w:tc>
          <w:tcPr>
            <w:tcW w:w="236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en-US"/>
              </w:rPr>
              <w:t xml:space="preserve">土建或交通</w:t>
            </w:r>
            <w:r>
              <w:rPr>
                <w:color w:val="000000" w:themeColor="text1"/>
                <w:highlight w:val="none"/>
              </w:rPr>
            </w:r>
            <w:r/>
          </w:p>
        </w:tc>
      </w:tr>
    </w:tbl>
    <w:p>
      <w:pPr>
        <w:pStyle w:val="881"/>
        <w:ind w:firstLine="480"/>
        <w:spacing w:line="360" w:lineRule="auto"/>
        <w:tabs>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（1）常驻现场时间：从项目开工至</w:t>
      </w:r>
      <w:r>
        <w:rPr>
          <w:rFonts w:hint="eastAsia" w:ascii="宋体" w:hAnsi="宋体"/>
          <w:color w:val="000000" w:themeColor="text1"/>
          <w:sz w:val="24"/>
          <w:szCs w:val="24"/>
          <w:highlight w:val="none"/>
        </w:rPr>
        <w:t xml:space="preserve">协审范围内工程主体验收完成</w:t>
      </w:r>
      <w:r>
        <w:rPr>
          <w:rFonts w:hint="eastAsia" w:ascii="宋体" w:hAnsi="宋体" w:cs="宋体"/>
          <w:color w:val="000000" w:themeColor="text1"/>
          <w:sz w:val="24"/>
          <w:szCs w:val="24"/>
          <w:highlight w:val="none"/>
          <w:lang w:bidi="en-US"/>
        </w:rPr>
        <w:t xml:space="preserve">，工作日9:00-17:00，其余时间如有相关协审工作，需到场配合；</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（2）隐蔽工程、晚间施工等关键环节到场人数：2人及以上/环节；</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（3）常驻现场人员在项目现场跟踪审核期间不得承接其他现场跟踪审核项目；</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color w:val="000000" w:themeColor="text1"/>
          <w:sz w:val="24"/>
          <w:szCs w:val="24"/>
          <w:highlight w:val="none"/>
        </w:rPr>
        <w:t xml:space="preserve">常驻人员原则上不得更换，因离职、不可抗力等确需更换的，不得低于投标时人员的标准。</w:t>
      </w:r>
      <w:r>
        <w:rPr>
          <w:color w:val="000000" w:themeColor="text1"/>
          <w:highlight w:val="none"/>
        </w:rPr>
      </w: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保留对投标人拟派的常驻一级造价工程师进行外调核查的权利。在履行合同期限内，如发现中标供应商未能按照投标承诺提供相应人员服务的，或者常驻一级造价工程师不符合上述要求的，采购人有权依法解除协审服务合同，并通报行业主管部门或其他相关部门进行处理，同时将相关情况报政府采购监督管理部门作为其虚假投标的证据，进行处理。</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协审单位应确保常驻人员月度考勤合格率，如协审单位常驻人员月度考勤合格率低于80%，发现一次，市评审中心将进行警告；如累计3次及以上，则终止本协审服务合同。</w:t>
      </w:r>
      <w:r>
        <w:rPr>
          <w:color w:val="000000" w:themeColor="text1"/>
          <w:highlight w:val="none"/>
        </w:rPr>
      </w:r>
      <w:r/>
    </w:p>
    <w:p>
      <w:pPr>
        <w:pStyle w:val="999"/>
        <w:ind w:left="0" w:firstLine="482"/>
        <w:jc w:val="both"/>
        <w:spacing w:line="360" w:lineRule="auto"/>
        <w:tabs>
          <w:tab w:val="left" w:pos="1050" w:leader="none"/>
        </w:tabs>
        <w:rPr>
          <w:rFonts w:ascii="宋体" w:hAnsi="宋体" w:cs="宋体"/>
          <w:b/>
          <w:bCs/>
          <w:color w:val="000000" w:themeColor="text1"/>
          <w:highlight w:val="none"/>
          <w:u w:val="single"/>
        </w:rPr>
      </w:pPr>
      <w:r>
        <w:rPr>
          <w:rFonts w:hint="eastAsia" w:ascii="宋体" w:hAnsi="宋体" w:cs="宋体"/>
          <w:b/>
          <w:bCs/>
          <w:color w:val="000000" w:themeColor="text1"/>
          <w:highlight w:val="none"/>
          <w:u w:val="single"/>
          <w:lang w:eastAsia="zh-CN"/>
        </w:rPr>
        <w:t xml:space="preserve">另，拟派</w:t>
      </w:r>
      <w:r>
        <w:rPr>
          <w:rFonts w:hint="eastAsia" w:ascii="宋体" w:hAnsi="宋体" w:cs="宋体"/>
          <w:b/>
          <w:bCs/>
          <w:color w:val="000000" w:themeColor="text1"/>
          <w:highlight w:val="none"/>
          <w:u w:val="single"/>
          <w:lang w:val="en-US" w:eastAsia="zh-CN"/>
        </w:rPr>
        <w:t xml:space="preserve">项目人员</w:t>
      </w:r>
      <w:r>
        <w:rPr>
          <w:rFonts w:hint="eastAsia" w:ascii="宋体" w:hAnsi="宋体" w:cs="宋体"/>
          <w:b/>
          <w:bCs/>
          <w:color w:val="000000" w:themeColor="text1"/>
          <w:highlight w:val="none"/>
          <w:u w:val="single"/>
          <w:lang w:eastAsia="zh-CN"/>
        </w:rPr>
        <w:t xml:space="preserve">中必须确保有一名档案管理员（需在《项目人员配置清单》中注明），否则投标无效。</w:t>
      </w:r>
      <w:r>
        <w:rPr>
          <w:color w:val="000000" w:themeColor="text1"/>
          <w:highlight w:val="none"/>
        </w:rPr>
      </w: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（四）中标人确定后的协议签订、协审内容、计费方法、费用支付：</w:t>
      </w:r>
      <w:r>
        <w:rPr>
          <w:color w:val="000000" w:themeColor="text1"/>
          <w:highlight w:val="none"/>
        </w:rPr>
      </w:r>
      <w:r/>
    </w:p>
    <w:p>
      <w:pPr>
        <w:pStyle w:val="881"/>
        <w:ind w:firstLine="480"/>
        <w:spacing w:line="360" w:lineRule="auto"/>
        <w:tabs>
          <w:tab w:val="left" w:pos="336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（1）签订协议</w:t>
      </w:r>
      <w:r>
        <w:rPr>
          <w:color w:val="000000" w:themeColor="text1"/>
          <w:highlight w:val="none"/>
        </w:rPr>
      </w: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中标单位与无锡市政府投资评审中心签订《合同书》。</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（2）协审内容</w:t>
      </w:r>
      <w:r>
        <w:rPr>
          <w:color w:val="000000" w:themeColor="text1"/>
          <w:highlight w:val="none"/>
        </w:rPr>
      </w:r>
      <w:r/>
    </w:p>
    <w:p>
      <w:pPr>
        <w:pStyle w:val="881"/>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详见《合同书》要求。</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（3）计费方法</w:t>
      </w:r>
      <w:r>
        <w:rPr>
          <w:color w:val="000000" w:themeColor="text1"/>
          <w:highlight w:val="none"/>
        </w:rPr>
      </w:r>
      <w:r/>
    </w:p>
    <w:p>
      <w:pPr>
        <w:pStyle w:val="881"/>
        <w:ind w:firstLine="482"/>
        <w:spacing w:line="360" w:lineRule="auto"/>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本项目无需报价，各标段费用按照审核服务费用费率表规定的计费办法计算。</w:t>
      </w:r>
      <w:r>
        <w:rPr>
          <w:rFonts w:hint="eastAsia" w:ascii="宋体" w:hAnsi="宋体"/>
          <w:b/>
          <w:bCs/>
          <w:color w:val="000000" w:themeColor="text1"/>
          <w:sz w:val="24"/>
          <w:szCs w:val="24"/>
          <w:highlight w:val="none"/>
        </w:rPr>
        <w:t xml:space="preserve">投标人须在《开标一览表》（格式见附件）中按要求填写相对应分包的预算来确定是否响应招标文件规定的计费方法</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szCs w:val="24"/>
          <w:highlight w:val="none"/>
        </w:rPr>
        <w:t xml:space="preserve">计费基数为各中标单位所承接标段范围内的审定工程造价，不分项目、不分标段，不分专业。除此之外，包括因项目工期、资料延误、人身伤害保险等在内的各种情况，中标单位不再收取其他任何费用，不得向与委托内容相关的施工等单位收取任何费用。</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（4）费用支付</w:t>
      </w:r>
      <w:r>
        <w:rPr>
          <w:rFonts w:hint="eastAsia" w:ascii="宋体" w:hAnsi="宋体"/>
          <w:color w:val="000000" w:themeColor="text1"/>
          <w:sz w:val="24"/>
          <w:szCs w:val="24"/>
          <w:highlight w:val="none"/>
        </w:rPr>
        <w:tab/>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审核费用列入项目建设成本。审核费用经采购人审核同意后，</w:t>
      </w:r>
      <w:r>
        <w:rPr>
          <w:rFonts w:hint="eastAsia" w:ascii="宋体" w:hAnsi="宋体"/>
          <w:color w:val="000000" w:themeColor="text1"/>
          <w:sz w:val="24"/>
          <w:szCs w:val="24"/>
          <w:highlight w:val="none"/>
        </w:rPr>
        <w:t xml:space="preserve">由</w:t>
      </w:r>
      <w:r>
        <w:rPr>
          <w:rFonts w:hint="eastAsia" w:ascii="宋体" w:hAnsi="宋体"/>
          <w:color w:val="000000" w:themeColor="text1"/>
          <w:sz w:val="24"/>
          <w:szCs w:val="24"/>
          <w:highlight w:val="none"/>
          <w:lang w:val="en-US" w:eastAsia="zh-CN"/>
        </w:rPr>
        <w:t xml:space="preserve">贡湖大道北段快捷化改造工程项目的</w:t>
      </w:r>
      <w:r>
        <w:rPr>
          <w:rFonts w:hint="eastAsia" w:ascii="宋体" w:hAnsi="宋体"/>
          <w:color w:val="000000" w:themeColor="text1"/>
          <w:sz w:val="24"/>
          <w:szCs w:val="24"/>
          <w:highlight w:val="none"/>
        </w:rPr>
        <w:t xml:space="preserve">建设</w:t>
      </w:r>
      <w:r>
        <w:rPr>
          <w:rFonts w:hint="eastAsia" w:ascii="宋体" w:hAnsi="宋体"/>
          <w:color w:val="000000" w:themeColor="text1"/>
          <w:sz w:val="24"/>
          <w:szCs w:val="24"/>
          <w:highlight w:val="none"/>
          <w:lang w:val="en-US" w:eastAsia="zh-CN"/>
        </w:rPr>
        <w:t xml:space="preserve">单位（以下简称“建设单位”）</w:t>
      </w:r>
      <w:r>
        <w:rPr>
          <w:rFonts w:hint="eastAsia" w:ascii="宋体" w:hAnsi="宋体"/>
          <w:color w:val="000000" w:themeColor="text1"/>
          <w:sz w:val="24"/>
          <w:szCs w:val="24"/>
          <w:highlight w:val="none"/>
        </w:rPr>
        <w:t xml:space="preserve">据委托人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本项目采购单位）</w:t>
      </w:r>
      <w:r>
        <w:rPr>
          <w:rFonts w:hint="eastAsia" w:ascii="宋体" w:hAnsi="宋体"/>
          <w:color w:val="000000" w:themeColor="text1"/>
          <w:sz w:val="24"/>
          <w:szCs w:val="24"/>
          <w:highlight w:val="none"/>
        </w:rPr>
        <w:t xml:space="preserve">审核结果支付给协审机构</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本项目中标单位）</w:t>
      </w:r>
      <w:r>
        <w:rPr>
          <w:rFonts w:hint="eastAsia" w:ascii="宋体" w:hAnsi="宋体"/>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（5）付款方式：</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审核费用由建设单位支付。</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color w:val="000000" w:themeColor="text1"/>
          <w:sz w:val="24"/>
          <w:szCs w:val="24"/>
          <w:highlight w:val="none"/>
        </w:rPr>
        <w:t xml:space="preserve">支付至按造价咨询月报计算的基本费用的50%</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（五）考核：</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确保项目协审工作质量，采购人将按照相关协审机构考核管理规定对中标单位协审工作进行考核，对于不同意接受考核的协审单位，采购人有权按照相关法律规定进行处理。（考核打分详见全过程跟踪审核（含结算审核）项目考核基础表），考核结果作为协审费用结算的依据。</w:t>
      </w:r>
      <w:r>
        <w:rPr>
          <w:color w:val="000000" w:themeColor="text1"/>
          <w:highlight w:val="none"/>
        </w:rPr>
      </w:r>
      <w:r/>
    </w:p>
    <w:p>
      <w:pPr>
        <w:pStyle w:val="881"/>
        <w:ind w:firstLine="480"/>
        <w:spacing w:line="360" w:lineRule="auto"/>
        <w:tabs>
          <w:tab w:val="left" w:pos="73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（六）违约责任：</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（1）在本项目规定的服务有效期内，如发现中标单位相关人员有行贿、受贿、经济犯罪等行为，一经查实，采购人有权单方解除协议。</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（2）中标单位涂改、倒卖、出租、出借资质证书，或者以其他形式非法转让资质证书,擅自变更、转让、租借承接的工程造价咨询业务，一经查实，采购人有权依法定程序解除协议。</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（3）在协审工作中，因中标单位原因造成违约或疏忽，延误工程实施进度或审核工作出现错误并造成重大影响的，将报相关监管部门处理，或采取法律手段解决索赔事宜。</w:t>
      </w:r>
      <w:r>
        <w:rPr>
          <w:color w:val="000000" w:themeColor="text1"/>
          <w:highlight w:val="none"/>
        </w:rPr>
      </w: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（4）对提供不实或内容虚假的协审结果以及自行对外提供协审咨询报告的，由中标单位自行承担责任，情节严重的，依法提请有关部门追究协审机构和相关责任人的法律责任。</w:t>
      </w:r>
      <w:r>
        <w:rPr>
          <w:color w:val="000000" w:themeColor="text1"/>
          <w:highlight w:val="none"/>
        </w:rPr>
      </w: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（七）其他事项</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中标单位应加强对审核质量的控制，采购人可视情况对中标单位的审核成果进行复核。复核范围可选择全部复核或部分复核，若采用部分复核方式时发现核减率过大，可进行全面复核。复核方式可采用交叉复核、外聘单位复核等多种方式进行。</w:t>
      </w:r>
      <w:r>
        <w:rPr>
          <w:color w:val="000000" w:themeColor="text1"/>
          <w:highlight w:val="none"/>
        </w:rPr>
      </w: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（八）回避原则</w:t>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val="en-US" w:eastAsia="zh-CN"/>
        </w:rPr>
        <w:t xml:space="preserve">中标单位</w:t>
      </w:r>
      <w:r>
        <w:rPr>
          <w:rFonts w:hint="eastAsia" w:ascii="宋体" w:hAnsi="宋体"/>
          <w:color w:val="000000" w:themeColor="text1"/>
          <w:sz w:val="24"/>
          <w:szCs w:val="24"/>
          <w:highlight w:val="none"/>
        </w:rPr>
        <w:t xml:space="preserve">必须接受采购人为保证政府投资审核独立性和不重复委托而提出的回避原则。已参与由采购方或其他单位委托的与</w:t>
      </w:r>
      <w:r>
        <w:rPr>
          <w:rFonts w:hint="eastAsia" w:ascii="宋体" w:hAnsi="宋体"/>
          <w:color w:val="000000" w:themeColor="text1"/>
          <w:sz w:val="24"/>
          <w:szCs w:val="24"/>
          <w:highlight w:val="none"/>
        </w:rPr>
        <w:t xml:space="preserve">本投标项目建设投资或工程造价有关的工作需回避该项目；接受项目委托后不再接受由建设单位或其他单位委托的与本项目建</w:t>
      </w:r>
      <w:r>
        <w:rPr>
          <w:rFonts w:hint="eastAsia" w:ascii="宋体" w:hAnsi="宋体"/>
          <w:color w:val="000000" w:themeColor="text1"/>
          <w:sz w:val="24"/>
          <w:szCs w:val="24"/>
          <w:highlight w:val="none"/>
        </w:rPr>
        <w:t xml:space="preserve">设投资或工程造价有关的工作（包括但不限于招标代理、清单编制、造价审核等）。</w:t>
      </w:r>
      <w:r>
        <w:rPr>
          <w:color w:val="000000" w:themeColor="text1"/>
          <w:highlight w:val="none"/>
        </w:rPr>
      </w:r>
      <w:r/>
    </w:p>
    <w:p>
      <w:pPr>
        <w:pStyle w:val="881"/>
        <w:ind w:left="42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九）</w:t>
      </w:r>
      <w:r>
        <w:rPr>
          <w:rFonts w:ascii="宋体" w:hAnsi="宋体" w:eastAsia="宋体" w:cs="宋体"/>
          <w:b/>
          <w:color w:val="000000" w:themeColor="text1"/>
          <w:sz w:val="21"/>
          <w:highlight w:val="none"/>
        </w:rPr>
        <w:t xml:space="preserve">履约验收要求</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履约验收主体：</w:t>
      </w:r>
      <w:r>
        <w:rPr>
          <w:rFonts w:hint="eastAsia" w:ascii="宋体" w:hAnsi="宋体" w:eastAsia="宋体" w:cs="Times New Roman"/>
          <w:color w:val="000000" w:themeColor="text1"/>
          <w:sz w:val="24"/>
          <w:szCs w:val="24"/>
          <w:highlight w:val="none"/>
          <w:lang w:val="en-US" w:eastAsia="zh-CN"/>
        </w:rPr>
        <w:t xml:space="preserve">市评审中心</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履约验收时间：服务全部成果文件提交完毕，收到</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rPr>
        <w:t xml:space="preserve">完整交付资料后15个工作日内组织履约验收。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履约验收方式：采用书面资料审查+成果文件复核审查方式。</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履约验收程序：</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1. </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完成全部造价咨询服务工作，向采购人提交全套正式成果资料，申请履约验收；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 采购人收到验收申请及完整成果资料后，对提交资料完整性进行初审；</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 采购人对造价咨询成果开展复核查验；</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 根据复核情况出具验收意见，形成履约验收报告；</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5. 验收合格，签署验收通过；验收存在问题，向</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出具整改意见，</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限期完成整改后重新组织验收。</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rPr>
        <w:t xml:space="preserve">履约验收内容和标准：</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 交付成果完整性：按采购文件、合同约定交付全套造价咨询成果，包括计算底稿、编制说明、成果报告、电子版文件等，资料齐全、格式规范；</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 工作范围：完成合同约定全部造价咨询工作内容，无缺项漏项；</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 质量标准：</w:t>
      </w:r>
      <w:r>
        <w:rPr>
          <w:rFonts w:hint="eastAsia" w:ascii="宋体" w:hAnsi="宋体" w:eastAsia="宋体" w:cs="Times New Roman"/>
          <w:color w:val="000000" w:themeColor="text1"/>
          <w:sz w:val="24"/>
          <w:szCs w:val="24"/>
          <w:highlight w:val="none"/>
        </w:rPr>
        <w:t xml:space="preserve">成果符合国家、省现行计价规范、定额及相关政策文件；工程量计算准确，组价取费合规，计价依据充分</w:t>
      </w:r>
      <w:r>
        <w:rPr>
          <w:rFonts w:hint="eastAsia" w:ascii="宋体" w:hAnsi="宋体" w:eastAsia="宋体" w:cs="Times New Roman"/>
          <w:color w:val="000000" w:themeColor="text1"/>
          <w:sz w:val="24"/>
          <w:szCs w:val="24"/>
          <w:highlight w:val="none"/>
        </w:rPr>
        <w:t xml:space="preserve">；</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 时限要求：全部咨询成果严格按照合同约定时间节点提交，无逾期交付；</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5. 服务质量要求：咨询服务过程响应及时，沟通配合到位；成果审核发现差错的，按合同要求及时修正；</w:t>
      </w:r>
      <w:r>
        <w:rPr>
          <w:color w:val="000000" w:themeColor="text1"/>
          <w:highlight w:val="none"/>
        </w:rPr>
      </w: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6. 档案资料：纸质、电子版本完整归档，满足采购人档案管理要求；全部达到上述要求即为验收合格，达不到则视为验收不合格，</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须按要求整改。</w:t>
      </w:r>
      <w:r>
        <w:rPr>
          <w:color w:val="000000" w:themeColor="text1"/>
          <w:highlight w:val="none"/>
        </w:rPr>
      </w:r>
      <w:r/>
    </w:p>
    <w:p>
      <w:pPr>
        <w:pStyle w:val="881"/>
        <w:spacing w:line="360" w:lineRule="auto"/>
        <w:rPr>
          <w:rFonts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lang w:val="en-US" w:eastAsia="zh-CN"/>
        </w:rPr>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1"/>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1"/>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color w:val="000000" w:themeColor="text1"/>
          <w:highlight w:val="none"/>
        </w:rPr>
      </w: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color w:val="000000" w:themeColor="text1"/>
          <w:highlight w:val="none"/>
        </w:rPr>
      </w:r>
      <w:r/>
    </w:p>
    <w:p>
      <w:pPr>
        <w:pStyle w:val="881"/>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000000" w:themeColor="text1"/>
          <w:highlight w:val="none"/>
        </w:rPr>
      </w: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rPr>
        <w:t xml:space="preserve">合同签订生效之日起至</w:t>
      </w:r>
      <w:r>
        <w:rPr>
          <w:rFonts w:hint="eastAsia" w:ascii="宋体" w:hAnsi="宋体"/>
          <w:bCs/>
          <w:color w:val="000000" w:themeColor="text1"/>
          <w:sz w:val="24"/>
          <w:szCs w:val="24"/>
          <w:highlight w:val="none"/>
          <w:lang w:val="en-US" w:eastAsia="zh-CN"/>
        </w:rPr>
        <w:t xml:space="preserve">本</w:t>
      </w:r>
      <w:r>
        <w:rPr>
          <w:rFonts w:hint="eastAsia" w:ascii="宋体" w:hAnsi="宋体"/>
          <w:bCs/>
          <w:color w:val="000000" w:themeColor="text1"/>
          <w:sz w:val="24"/>
          <w:szCs w:val="24"/>
          <w:highlight w:val="none"/>
        </w:rPr>
        <w:t xml:space="preserve">项目竣工决算批复完成。</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bCs/>
          <w:color w:val="000000" w:themeColor="text1"/>
          <w:sz w:val="24"/>
          <w:szCs w:val="24"/>
          <w:highlight w:val="none"/>
        </w:rPr>
        <w:t xml:space="preserve">支付至按造价咨询月报计算的基本费用的50%</w:t>
      </w:r>
      <w:r>
        <w:rPr>
          <w:rFonts w:hint="eastAsia" w:ascii="宋体" w:hAnsi="宋体"/>
          <w:bCs/>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本项目合同履行地点：具体地点以合同书约定为准。中标方必须按采购人要求将本项目中货物送到指定地点（包括可能的分布范围），并分地实施安装调试。</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color w:val="000000" w:themeColor="text1"/>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根据财库〔2026〕10号相关要求，在政府采购活动中不得采购该文中规定的相关企业生成的产品。</w:t>
      </w:r>
      <w:r>
        <w:rPr>
          <w:color w:val="000000" w:themeColor="text1"/>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color w:val="000000" w:themeColor="text1"/>
          <w:highlight w:val="none"/>
        </w:rPr>
      </w:r>
      <w:r/>
    </w:p>
    <w:p>
      <w:pPr>
        <w:pStyle w:val="970"/>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r/>
    </w:p>
    <w:p>
      <w:pPr>
        <w:pStyle w:val="970"/>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r/>
    </w:p>
    <w:p>
      <w:pPr>
        <w:pStyle w:val="970"/>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pStyle w:val="970"/>
        <w:spacing w:before="0" w:after="0" w:line="500" w:lineRule="exact"/>
        <w:rPr>
          <w:rFonts w:hint="eastAsia" w:ascii="宋体" w:hAnsi="宋体"/>
          <w:bCs/>
          <w:color w:val="000000" w:themeColor="text1"/>
          <w:highlight w:val="none"/>
        </w:rPr>
      </w:pPr>
      <w:r>
        <w:rPr>
          <w:rFonts w:hint="eastAsia" w:ascii="宋体" w:hAnsi="宋体" w:cs="Arial"/>
          <w:color w:val="000000" w:themeColor="text1"/>
          <w:highlight w:val="none"/>
        </w:rPr>
        <w:t xml:space="preserve">本项目分为</w:t>
      </w:r>
      <w:r>
        <w:rPr>
          <w:rFonts w:hint="eastAsia" w:ascii="宋体" w:hAnsi="宋体" w:cs="Arial"/>
          <w:color w:val="000000" w:themeColor="text1"/>
          <w:highlight w:val="none"/>
        </w:rPr>
        <w:t xml:space="preserve">两个</w:t>
      </w:r>
      <w:r>
        <w:rPr>
          <w:rFonts w:hint="eastAsia" w:ascii="宋体" w:hAnsi="宋体" w:cs="Arial"/>
          <w:color w:val="000000" w:themeColor="text1"/>
          <w:highlight w:val="none"/>
        </w:rPr>
        <w:t xml:space="preserve">采购包，评标时评标委员会将根据招标文件规定的评标方法与评标标准，并按照采购包1、采购包2的顺序分别进行评审。</w:t>
      </w:r>
      <w:r>
        <w:rPr>
          <w:color w:val="000000" w:themeColor="text1"/>
          <w:highlight w:val="none"/>
        </w:rPr>
      </w: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采购包1：按招标文件规定选取中标候选人，采购人须按招标文件规定确定排名第一的中标候选人为中标单位。</w:t>
      </w:r>
      <w:r>
        <w:rPr>
          <w:color w:val="000000" w:themeColor="text1"/>
          <w:highlight w:val="none"/>
        </w:rPr>
      </w: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rPr>
          <w:color w:val="000000" w:themeColor="text1"/>
          <w:highlight w:val="none"/>
        </w:rPr>
      </w:r>
      <w:r/>
    </w:p>
    <w:p>
      <w:pPr>
        <w:pStyle w:val="970"/>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rPr>
          <w:color w:val="000000" w:themeColor="text1"/>
          <w:highlight w:val="none"/>
        </w:rPr>
      </w:r>
      <w:r/>
    </w:p>
    <w:p>
      <w:pPr>
        <w:pStyle w:val="970"/>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color w:val="000000" w:themeColor="text1"/>
          <w:highlight w:val="none"/>
        </w:rPr>
      </w:r>
      <w:r/>
    </w:p>
    <w:p>
      <w:pPr>
        <w:pStyle w:val="970"/>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r/>
    </w:p>
    <w:p>
      <w:pPr>
        <w:pStyle w:val="88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color w:val="000000" w:themeColor="text1"/>
          <w:highlight w:val="none"/>
        </w:rPr>
      </w: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color w:val="000000" w:themeColor="text1"/>
          <w:highlight w:val="none"/>
        </w:rPr>
      </w: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pStyle w:val="88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color w:val="000000" w:themeColor="text1"/>
          <w:highlight w:val="none"/>
        </w:rPr>
      </w: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970"/>
        <w:ind w:firstLine="360"/>
        <w:spacing w:before="0" w:after="0" w:line="500" w:lineRule="exact"/>
        <w:rPr>
          <w:rFonts w:ascii="宋体" w:hAnsi="宋体" w:eastAsia="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cs="Arial"/>
          <w:b/>
          <w:color w:val="000000" w:themeColor="text1"/>
          <w:sz w:val="30"/>
          <w:szCs w:val="30"/>
          <w:highlight w:val="none"/>
        </w:rPr>
        <w:t xml:space="preserve">（适用于采购包1）</w:t>
      </w:r>
      <w:r>
        <w:rPr>
          <w:color w:val="000000" w:themeColor="text1"/>
          <w:highlight w:val="none"/>
        </w:rPr>
      </w:r>
      <w:r/>
    </w:p>
    <w:p>
      <w:pPr>
        <w:pStyle w:val="970"/>
        <w:ind w:firstLine="562"/>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（一）商务部分（58分）</w:t>
      </w:r>
      <w:r>
        <w:rPr>
          <w:color w:val="000000" w:themeColor="text1"/>
          <w:highlight w:val="none"/>
        </w:rPr>
      </w:r>
      <w:r/>
    </w:p>
    <w:p>
      <w:pPr>
        <w:pStyle w:val="970"/>
        <w:ind w:firstLine="482"/>
        <w:jc w:val="both"/>
        <w:spacing w:before="0" w:after="0"/>
        <w:rPr>
          <w:rFonts w:ascii="宋体" w:hAnsi="宋体"/>
          <w:b/>
          <w:bCs/>
          <w:color w:val="000000" w:themeColor="text1"/>
          <w:highlight w:val="none"/>
        </w:rPr>
      </w:pPr>
      <w:r>
        <w:rPr>
          <w:rFonts w:hint="eastAsia" w:ascii="宋体" w:hAnsi="宋体"/>
          <w:b/>
          <w:bCs/>
          <w:color w:val="000000" w:themeColor="text1"/>
          <w:highlight w:val="none"/>
        </w:rPr>
        <w:t xml:space="preserve">1.投标人评价（26分）：</w:t>
      </w:r>
      <w:r>
        <w:rPr>
          <w:color w:val="000000" w:themeColor="text1"/>
          <w:highlight w:val="none"/>
        </w:rPr>
      </w:r>
      <w:r/>
    </w:p>
    <w:p>
      <w:pPr>
        <w:pStyle w:val="881"/>
        <w:ind w:firstLine="482"/>
        <w:spacing w:line="360" w:lineRule="auto"/>
        <w:tabs>
          <w:tab w:val="left" w:pos="525" w:leader="none"/>
          <w:tab w:val="left" w:pos="945" w:leader="none"/>
          <w:tab w:val="left" w:pos="1155"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供应商业绩情况（6分）</w:t>
      </w:r>
      <w:r>
        <w:rPr>
          <w:rFonts w:hint="eastAsia" w:ascii="宋体" w:hAnsi="宋体"/>
          <w:color w:val="000000" w:themeColor="text1"/>
          <w:sz w:val="24"/>
          <w:szCs w:val="24"/>
          <w:highlight w:val="none"/>
        </w:rPr>
        <w:t xml:space="preserve">：以</w:t>
      </w:r>
      <w:r>
        <w:rPr>
          <w:rFonts w:hint="eastAsia" w:ascii="宋体" w:hAnsi="宋体"/>
          <w:bCs/>
          <w:color w:val="000000" w:themeColor="text1"/>
          <w:sz w:val="24"/>
          <w:szCs w:val="24"/>
          <w:highlight w:val="none"/>
        </w:rPr>
        <w:t xml:space="preserve">供应商填列的《供应商业绩汇总表》及按要求提供的证明材料为准。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全过程跟踪审核（含结算审核）业绩的，每有一个得1.5分，最高得3分；具有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结算审核、工程量清单及招标控制价编制</w:t>
      </w:r>
      <w:r>
        <w:rPr>
          <w:rFonts w:hint="eastAsia" w:ascii="宋体" w:hAnsi="宋体"/>
          <w:bCs/>
          <w:color w:val="000000" w:themeColor="text1"/>
          <w:sz w:val="24"/>
          <w:szCs w:val="24"/>
          <w:highlight w:val="none"/>
        </w:rPr>
        <w:t xml:space="preserve">之一</w:t>
      </w:r>
      <w:r>
        <w:rPr>
          <w:rFonts w:hint="eastAsia" w:ascii="宋体" w:hAnsi="宋体"/>
          <w:bCs/>
          <w:color w:val="000000" w:themeColor="text1"/>
          <w:sz w:val="24"/>
          <w:szCs w:val="24"/>
          <w:highlight w:val="none"/>
        </w:rPr>
        <w:t xml:space="preserve">业绩，每有一个得1.5分，最高得3分。该项得分最高为6分。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相关说明：</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（1）业绩认定的政府投资项目仅指根据《政府投资条例》由政府审批立项的项目，以审批部门审批的项目立项为单位。核准制、备案制项目业绩均不予得分。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业绩必须为审核已完成的项目，全过程跟踪审核（含结算审核）、结算审核以最终的结算审核报告出具时间为准，工程量清单及招标控制价编制以最终的成果文件出具时间为准。仅完成跟踪的全过程跟踪项目（结算未完成）或单纯的跟踪项目不予得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（3）联合体单位</w:t>
      </w:r>
      <w:r>
        <w:rPr>
          <w:rFonts w:hint="eastAsia" w:ascii="宋体" w:hAnsi="宋体"/>
          <w:color w:val="000000" w:themeColor="text1"/>
          <w:sz w:val="24"/>
          <w:szCs w:val="24"/>
          <w:highlight w:val="none"/>
          <w:lang w:val="en-US" w:eastAsia="zh-CN"/>
        </w:rPr>
        <w:t xml:space="preserve">业绩不予得分</w:t>
      </w:r>
      <w:r>
        <w:rPr>
          <w:rFonts w:hint="eastAsia" w:ascii="宋体" w:hAnsi="宋体"/>
          <w:color w:val="000000" w:themeColor="text1"/>
          <w:sz w:val="24"/>
          <w:szCs w:val="24"/>
          <w:highlight w:val="none"/>
        </w:rPr>
        <w:t xml:space="preserve">。</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（4）证明材料：</w:t>
      </w:r>
      <w:r>
        <w:rPr>
          <w:rFonts w:hint="eastAsia" w:ascii="宋体" w:hAnsi="宋体"/>
          <w:bCs/>
          <w:color w:val="000000" w:themeColor="text1"/>
          <w:sz w:val="24"/>
          <w:szCs w:val="24"/>
          <w:highlight w:val="none"/>
        </w:rPr>
        <w:t xml:space="preserve">①业绩对应的政府投资项目批复文件，必须提供项目立项(项目建议书)批复或可行性研究批复或初步设计批复的</w:t>
      </w:r>
      <w:r>
        <w:rPr>
          <w:rFonts w:hint="eastAsia" w:ascii="宋体" w:hAnsi="宋体"/>
          <w:bCs/>
          <w:color w:val="000000" w:themeColor="text1"/>
          <w:sz w:val="24"/>
          <w:szCs w:val="24"/>
          <w:highlight w:val="none"/>
          <w:lang w:val="en-US" w:eastAsia="zh-CN"/>
        </w:rPr>
        <w:t xml:space="preserve">原件</w:t>
      </w:r>
      <w:r>
        <w:rPr>
          <w:rFonts w:hint="eastAsia" w:ascii="宋体" w:hAnsi="宋体"/>
          <w:bCs/>
          <w:color w:val="000000" w:themeColor="text1"/>
          <w:sz w:val="24"/>
          <w:szCs w:val="24"/>
          <w:highlight w:val="none"/>
        </w:rPr>
        <w:t xml:space="preserve">扫描件；②项目委托合同的原</w:t>
      </w:r>
      <w:r>
        <w:rPr>
          <w:rFonts w:hint="eastAsia" w:ascii="宋体" w:hAnsi="宋体"/>
          <w:bCs/>
          <w:color w:val="000000" w:themeColor="text1"/>
          <w:sz w:val="24"/>
          <w:szCs w:val="24"/>
          <w:highlight w:val="none"/>
        </w:rPr>
        <w:t xml:space="preserve">件扫描件；③全过程跟踪审核（含结算审核）、结算审核业绩须提供与委托合同相对应的结算审核报告的原件扫描件，以及和结算审核报告相对应的审定单的原件扫描件，如有多份审定单，则应提供相对应的审定单汇总表；工程量清单及招标控制价编制业绩须提供与委托合同相对应的工程量清单及招标控制价编制文件的所有签章（招标人及其法定代表人或其授权人签章、造价咨询人及其法定代表人或其授权人签章、编制人签字及盖章、复核人签字及盖章）封面。否则不予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1.2 供应商专业技术力量评价（20分）</w:t>
      </w:r>
      <w:r>
        <w:rPr>
          <w:rFonts w:hint="eastAsia" w:ascii="宋体" w:hAnsi="宋体"/>
          <w:color w:val="000000" w:themeColor="text1"/>
          <w:sz w:val="24"/>
          <w:szCs w:val="24"/>
          <w:highlight w:val="none"/>
        </w:rPr>
        <w:t xml:space="preserve">：以供应商填列的《供应商一级造价工程师名单》及按要求提供的证明材料为准。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供应商为本项目配备的</w:t>
      </w:r>
      <w:r>
        <w:rPr>
          <w:rFonts w:hint="eastAsia" w:ascii="宋体" w:hAnsi="宋体" w:cs="宋体"/>
          <w:color w:val="000000" w:themeColor="text1"/>
          <w:sz w:val="24"/>
          <w:szCs w:val="24"/>
          <w:highlight w:val="none"/>
        </w:rPr>
        <w:t xml:space="preserve">项目组</w:t>
      </w:r>
      <w:r>
        <w:rPr>
          <w:rFonts w:hint="eastAsia" w:ascii="宋体" w:hAnsi="宋体" w:cs="宋体"/>
          <w:color w:val="000000" w:themeColor="text1"/>
          <w:sz w:val="24"/>
          <w:szCs w:val="24"/>
          <w:highlight w:val="none"/>
          <w:lang w:val="en-US" w:eastAsia="zh-CN"/>
        </w:rPr>
        <w:t xml:space="preserve">成员中</w:t>
      </w:r>
      <w:r>
        <w:rPr>
          <w:rFonts w:hint="eastAsia" w:ascii="宋体" w:hAnsi="宋体"/>
          <w:color w:val="000000" w:themeColor="text1"/>
          <w:sz w:val="24"/>
          <w:szCs w:val="24"/>
          <w:highlight w:val="none"/>
        </w:rPr>
        <w:t xml:space="preserve">一级造价工程师每有一人得1分，满10人后，每增加1人得2分，该项总分最高为20分。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证明材料：①一级造价工程师资格证书和注册证书原件扫描件，</w:t>
      </w:r>
      <w:r>
        <w:rPr>
          <w:rFonts w:hint="eastAsia" w:ascii="宋体" w:hAnsi="宋体"/>
          <w:color w:val="000000" w:themeColor="text1"/>
          <w:sz w:val="24"/>
          <w:szCs w:val="24"/>
          <w:highlight w:val="none"/>
        </w:rPr>
        <w:t xml:space="preserve">②</w:t>
      </w:r>
      <w:r>
        <w:rPr>
          <w:rFonts w:hint="eastAsia" w:ascii="宋体" w:hAnsi="宋体" w:eastAsia="宋体" w:cs="Times New Roman"/>
          <w:color w:val="000000" w:themeColor="text1"/>
          <w:sz w:val="24"/>
          <w:szCs w:val="24"/>
          <w:highlight w:val="none"/>
        </w:rPr>
        <w:t xml:space="preserve">投标人近一年中任意一个月份(不含投标当月)经社保部门确认的社保缴纳名单复印件（标注各人员所处位置）和相关证书复印件作为填列证明材料。</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相关说明：</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（1）已通过一级造价工程师考试，但尚未拿到证书的，不予计分。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（2）返聘、临聘、已退休人员均不计分。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2.项目人员配置情况（32分）：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2.1 拟派项目负责人（6分）：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
          <w:color w:val="000000" w:themeColor="text1"/>
          <w:sz w:val="24"/>
          <w:szCs w:val="24"/>
          <w:highlight w:val="none"/>
        </w:rPr>
        <w:t xml:space="preserve">作为项目负责人</w:t>
      </w:r>
      <w:r>
        <w:rPr>
          <w:rFonts w:hint="eastAsia" w:ascii="宋体" w:hAnsi="宋体"/>
          <w:b w:val="0"/>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w:t>
      </w:r>
      <w:r>
        <w:rPr>
          <w:rFonts w:hint="eastAsia" w:ascii="宋体" w:hAnsi="宋体"/>
          <w:b/>
          <w:bCs/>
          <w:color w:val="000000" w:themeColor="text1"/>
          <w:sz w:val="24"/>
          <w:szCs w:val="24"/>
          <w:highlight w:val="none"/>
        </w:rPr>
        <w:t xml:space="preserve">建（改扩建）房建类主体工程）</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rFonts w:hint="eastAsia" w:ascii="宋体" w:hAnsi="宋体"/>
          <w:color w:val="000000" w:themeColor="text1"/>
          <w:sz w:val="24"/>
          <w:szCs w:val="24"/>
          <w:highlight w:val="none"/>
        </w:rPr>
        <w:t xml:space="preserve">以委托合同内明确的项目负责人为准，如委托合同未明确项目负责人或人员发生更换的，需提供委托方相关证明材料，否则不予得分。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2.2 拟派常驻协审人员（不含项目负责人）（6分）：</w:t>
      </w:r>
      <w:r>
        <w:rPr>
          <w:rFonts w:hint="eastAsia" w:ascii="宋体" w:hAnsi="宋体"/>
          <w:b/>
          <w:color w:val="000000" w:themeColor="text1"/>
          <w:sz w:val="24"/>
          <w:szCs w:val="24"/>
          <w:highlight w:val="none"/>
        </w:rPr>
        <w:t xml:space="preserve">由附件《项目人员配置清单》中明确的常驻其他协审人员参与评分，限定1人得分。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w:t>
      </w:r>
      <w:r>
        <w:rPr>
          <w:rFonts w:hint="eastAsia" w:ascii="宋体" w:hAnsi="宋体"/>
          <w:b/>
          <w:color w:val="000000" w:themeColor="text1"/>
          <w:sz w:val="24"/>
          <w:szCs w:val="24"/>
          <w:highlight w:val="none"/>
        </w:rPr>
        <w:t xml:space="preserve">房建工程（必须含机电安装）</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w:t>
      </w:r>
      <w:r>
        <w:rPr>
          <w:rFonts w:hint="eastAsia" w:ascii="宋体" w:hAnsi="宋体"/>
          <w:b/>
          <w:color w:val="000000" w:themeColor="text1"/>
          <w:sz w:val="24"/>
          <w:szCs w:val="24"/>
          <w:highlight w:val="none"/>
        </w:rPr>
        <w:t xml:space="preserve">房建工程（必须含机电安装）</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2.3 拟派其他协审人员（不含项目负责人和常驻协审人员）（20分）：</w:t>
      </w:r>
      <w:r>
        <w:rPr>
          <w:rFonts w:hint="eastAsia" w:ascii="宋体" w:hAnsi="宋体"/>
          <w:b/>
          <w:color w:val="000000" w:themeColor="text1"/>
          <w:sz w:val="24"/>
          <w:szCs w:val="24"/>
          <w:highlight w:val="none"/>
        </w:rPr>
        <w:t xml:space="preserve">由附件《项目人员配置清单》中明确的协审人员参与评分，限定4人得分。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（1）具备土建专业一级造价工程师，每人得2分，本项总分最高为6分；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（2）具备安装专业一级造价工程师的，每人得2分，本项总分最高为2分；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（3）具备工程类高级及以上职称的，每人得2分；具备工程类中级专业技术职称的，每人得1分，</w:t>
      </w:r>
      <w:r>
        <w:rPr>
          <w:rFonts w:hint="eastAsia" w:ascii="宋体" w:hAnsi="宋体"/>
          <w:color w:val="000000" w:themeColor="text1"/>
          <w:sz w:val="24"/>
          <w:szCs w:val="24"/>
          <w:highlight w:val="none"/>
        </w:rPr>
        <w:t xml:space="preserve">该项得分</w:t>
      </w:r>
      <w:r>
        <w:rPr>
          <w:rFonts w:hint="eastAsia" w:ascii="宋体" w:hAnsi="宋体"/>
          <w:bCs/>
          <w:color w:val="000000" w:themeColor="text1"/>
          <w:sz w:val="24"/>
          <w:szCs w:val="24"/>
          <w:highlight w:val="none"/>
        </w:rPr>
        <w:t xml:space="preserve">最高为4分。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政府投资的新建（改扩建）房建类主体工程或新建（改扩建）</w:t>
      </w:r>
      <w:r>
        <w:rPr>
          <w:rFonts w:hint="eastAsia" w:ascii="宋体" w:hAnsi="宋体"/>
          <w:b/>
          <w:color w:val="000000" w:themeColor="text1"/>
          <w:sz w:val="24"/>
          <w:szCs w:val="24"/>
          <w:highlight w:val="none"/>
        </w:rPr>
        <w:t xml:space="preserve">房建工程）</w:t>
      </w:r>
      <w:r>
        <w:rPr>
          <w:rFonts w:hint="eastAsia" w:ascii="宋体" w:hAnsi="宋体"/>
          <w:bCs/>
          <w:color w:val="000000" w:themeColor="text1"/>
          <w:sz w:val="24"/>
          <w:szCs w:val="24"/>
          <w:highlight w:val="none"/>
        </w:rPr>
        <w:t xml:space="preserve">全过程跟踪审核（含结算审核）、结算审核、工程量清单及招标控制价编制之一业绩的得2分，最高得6分。具有</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（改扩建）市政道桥类</w:t>
      </w:r>
      <w:r>
        <w:rPr>
          <w:rFonts w:hint="eastAsia" w:ascii="宋体" w:hAnsi="宋体"/>
          <w:bCs/>
          <w:color w:val="000000" w:themeColor="text1"/>
          <w:sz w:val="24"/>
          <w:szCs w:val="24"/>
          <w:highlight w:val="none"/>
        </w:rPr>
        <w:t xml:space="preserve">全过程跟踪审</w:t>
      </w:r>
      <w:r>
        <w:rPr>
          <w:rFonts w:hint="eastAsia" w:ascii="宋体" w:hAnsi="宋体"/>
          <w:bCs/>
          <w:color w:val="000000" w:themeColor="text1"/>
          <w:sz w:val="24"/>
          <w:szCs w:val="24"/>
          <w:highlight w:val="none"/>
        </w:rPr>
        <w:t xml:space="preserve">核（含结算审核）、结算审核、工程量清单及招标控制价编制之一业绩的得2分，最高得2分。</w:t>
      </w:r>
      <w:r>
        <w:rPr>
          <w:rFonts w:hint="eastAsia" w:ascii="宋体" w:hAnsi="宋体"/>
          <w:b/>
          <w:bCs/>
          <w:color w:val="000000" w:themeColor="text1"/>
          <w:sz w:val="24"/>
          <w:szCs w:val="24"/>
          <w:highlight w:val="none"/>
        </w:rPr>
        <w:t xml:space="preserve">其他协审人员每人最高得2分，</w:t>
      </w:r>
      <w:r>
        <w:rPr>
          <w:rFonts w:hint="eastAsia" w:ascii="宋体" w:hAnsi="宋体"/>
          <w:bCs/>
          <w:color w:val="000000" w:themeColor="text1"/>
          <w:sz w:val="24"/>
          <w:szCs w:val="24"/>
          <w:highlight w:val="none"/>
        </w:rPr>
        <w:t xml:space="preserve">该项合计最高8分。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项目人员配置相关说明：</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（1）所有项目人员业绩与供应商业绩不得重复；</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（2）一个审核项目仅能得一次分，且仅能作为一人业绩，</w:t>
      </w:r>
      <w:r>
        <w:rPr>
          <w:rFonts w:hint="eastAsia" w:ascii="宋体" w:hAnsi="宋体"/>
          <w:b/>
          <w:bCs/>
          <w:color w:val="000000" w:themeColor="text1"/>
          <w:sz w:val="24"/>
          <w:szCs w:val="24"/>
          <w:highlight w:val="none"/>
        </w:rPr>
        <w:t xml:space="preserve">业绩需注明对应的项目配置人员姓名及序号，如人员情况不一致，不予得分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（3）项目人员业绩认定要求及证明材料与供应商业绩一致，</w:t>
      </w:r>
      <w:r>
        <w:rPr>
          <w:rFonts w:hint="eastAsia" w:ascii="宋体" w:hAnsi="宋体"/>
          <w:b/>
          <w:bCs/>
          <w:color w:val="000000" w:themeColor="text1"/>
          <w:sz w:val="24"/>
          <w:szCs w:val="24"/>
          <w:highlight w:val="none"/>
        </w:rPr>
        <w:t xml:space="preserve">并以项目人员在工程量清单及招标控制价编制文件签章封面、结算审核报告及工程审定单上的签字或盖章为准，否则不予得分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（4）已通过造价师考试，但尚未拿到证书的，不予计分；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（5）返聘、临聘、已退休人员均不计分；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（6）同一人具备不同专业一级造价工程师证书的，不可兼得分；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（7）项目人员工程类中级、工程类高级专业技术职称不可兼得分；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（8）项目人员具备一级造价工程师与专业技术职称可兼得分。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highlight w:val="none"/>
        </w:rPr>
      </w:r>
      <w:r/>
    </w:p>
    <w:p>
      <w:pPr>
        <w:pStyle w:val="970"/>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（二）技术部分（42分）</w:t>
      </w:r>
      <w:r>
        <w:rPr>
          <w:color w:val="000000" w:themeColor="text1"/>
          <w:highlight w:val="none"/>
        </w:rPr>
      </w:r>
      <w:r/>
    </w:p>
    <w:p>
      <w:pPr>
        <w:pStyle w:val="881"/>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项目方案（42分）：</w:t>
      </w:r>
      <w:r>
        <w:rPr>
          <w:rFonts w:hint="eastAsia" w:ascii="宋体" w:hAnsi="宋体"/>
          <w:bCs/>
          <w:color w:val="000000" w:themeColor="text1"/>
          <w:sz w:val="24"/>
          <w:szCs w:val="24"/>
          <w:highlight w:val="none"/>
        </w:rPr>
        <w:t xml:space="preserve">考察投标人项目技术方案，在响应采购文件需求的基础上针对下列各部分进行评价，要求体现科学合理性、条理性、可行性、完善性、针对性，无方案不得分。</w:t>
      </w:r>
      <w:r>
        <w:rPr>
          <w:color w:val="000000" w:themeColor="text1"/>
          <w:highlight w:val="none"/>
        </w:rPr>
      </w:r>
      <w:r/>
    </w:p>
    <w:p>
      <w:pPr>
        <w:pStyle w:val="970"/>
        <w:ind w:firstLine="482"/>
        <w:jc w:val="both"/>
        <w:spacing w:before="0" w:after="0"/>
        <w:rPr>
          <w:rFonts w:ascii="宋体" w:hAnsi="宋体"/>
          <w:b/>
          <w:bCs/>
          <w:color w:val="000000" w:themeColor="text1"/>
          <w:highlight w:val="none"/>
        </w:rPr>
      </w:pPr>
      <w:r>
        <w:rPr>
          <w:rFonts w:hint="eastAsia" w:ascii="宋体" w:hAnsi="宋体"/>
          <w:b/>
          <w:color w:val="000000" w:themeColor="text1"/>
          <w:highlight w:val="none"/>
        </w:rPr>
        <w:t xml:space="preserve">1.协审方案（22分）：</w:t>
      </w:r>
      <w:r>
        <w:rPr>
          <w:rFonts w:hint="eastAsia" w:ascii="宋体" w:hAnsi="宋体"/>
          <w:b/>
          <w:bCs/>
          <w:color w:val="000000" w:themeColor="text1"/>
          <w:highlight w:val="none"/>
        </w:rPr>
        <w:t xml:space="preserve">协审实施大纲和协审重点及思路建议总页数控制在16页内。</w:t>
      </w:r>
      <w:r>
        <w:rPr>
          <w:color w:val="000000" w:themeColor="text1"/>
          <w:highlight w:val="none"/>
        </w:rPr>
      </w:r>
      <w:r/>
    </w:p>
    <w:p>
      <w:pPr>
        <w:pStyle w:val="970"/>
        <w:ind w:firstLine="482"/>
        <w:jc w:val="both"/>
        <w:spacing w:before="0" w:after="0"/>
        <w:rPr>
          <w:rFonts w:hint="eastAsia" w:eastAsia="宋体"/>
          <w:color w:val="000000" w:themeColor="text1"/>
          <w:highlight w:val="none"/>
        </w:rPr>
      </w:pPr>
      <w:r>
        <w:rPr>
          <w:rFonts w:hint="eastAsia" w:ascii="宋体" w:hAnsi="宋体"/>
          <w:b/>
          <w:bCs/>
          <w:color w:val="000000" w:themeColor="text1"/>
          <w:highlight w:val="none"/>
        </w:rPr>
        <w:t xml:space="preserve">1.1 协审实施大纲（12分）</w:t>
      </w:r>
      <w:r>
        <w:rPr>
          <w:rFonts w:hint="eastAsia" w:ascii="宋体" w:hAnsi="宋体"/>
          <w:color w:val="000000" w:themeColor="text1"/>
          <w:highlight w:val="none"/>
        </w:rPr>
        <w:t xml:space="preserve">：针对本项目工程类型及审核类型，列出投标单位自身的技术优势，并提交科学、合理、操作性强的项目协审实施大纲，大纲应包含</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协审人员管理、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造价控制流程、</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造价审核方法、</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关键环节控制、</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协审质量及效率保证措施、</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档案管理、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廉洁管理等</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eastAsia="宋体" w:cs="宋体"/>
          <w:b w:val="0"/>
          <w:bCs w:val="0"/>
          <w:i w:val="0"/>
          <w:iCs w:val="0"/>
          <w:color w:val="000000" w:themeColor="text1"/>
          <w:spacing w:val="0"/>
          <w:sz w:val="24"/>
          <w:szCs w:val="24"/>
          <w:highlight w:val="none"/>
          <w:vertAlign w:val="baseline"/>
        </w:rPr>
        <w:t xml:space="preserve">方案完整，科学合理，设计清晰详细，完全符合本项目需求，且能够提供上述7项全部方案的，得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12</w:t>
      </w:r>
      <w:r>
        <w:rPr>
          <w:rFonts w:hint="eastAsia" w:ascii="宋体" w:hAnsi="宋体" w:eastAsia="宋体" w:cs="宋体"/>
          <w:b w:val="0"/>
          <w:bCs w:val="0"/>
          <w:i w:val="0"/>
          <w:iCs w:val="0"/>
          <w:color w:val="000000" w:themeColor="text1"/>
          <w:spacing w:val="0"/>
          <w:sz w:val="24"/>
          <w:szCs w:val="24"/>
          <w:highlight w:val="none"/>
          <w:vertAlign w:val="baseline"/>
        </w:rPr>
        <w:t xml:space="preserve">分；方案较完整，科学合理性较强，设计较清晰详细，能够符合本项目需求，能够提供上述5-7项方案的，得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10</w:t>
      </w:r>
      <w:r>
        <w:rPr>
          <w:rFonts w:hint="eastAsia" w:ascii="宋体" w:hAnsi="宋体" w:eastAsia="宋体" w:cs="宋体"/>
          <w:b w:val="0"/>
          <w:bCs w:val="0"/>
          <w:i w:val="0"/>
          <w:iCs w:val="0"/>
          <w:color w:val="000000" w:themeColor="text1"/>
          <w:spacing w:val="0"/>
          <w:sz w:val="24"/>
          <w:szCs w:val="24"/>
          <w:highlight w:val="none"/>
          <w:vertAlign w:val="baseline"/>
        </w:rPr>
        <w:t xml:space="preserve">分；方案完整性、科学合理性、设计的清晰详细程度等只能基本满足要求，能够提供上述4-7项方案的，得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8</w:t>
      </w:r>
      <w:r>
        <w:rPr>
          <w:rFonts w:hint="eastAsia" w:ascii="宋体" w:hAnsi="宋体" w:eastAsia="宋体" w:cs="宋体"/>
          <w:b w:val="0"/>
          <w:bCs w:val="0"/>
          <w:i w:val="0"/>
          <w:iCs w:val="0"/>
          <w:color w:val="000000" w:themeColor="text1"/>
          <w:spacing w:val="0"/>
          <w:sz w:val="24"/>
          <w:szCs w:val="24"/>
          <w:highlight w:val="none"/>
          <w:vertAlign w:val="baseline"/>
        </w:rPr>
        <w:t xml:space="preserve">分；提供方案不足4项，得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6</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970"/>
        <w:ind w:firstLine="482"/>
        <w:jc w:val="both"/>
        <w:spacing w:before="0" w:after="0"/>
        <w:rPr>
          <w:rFonts w:ascii="宋体" w:hAnsi="宋体"/>
          <w:color w:val="000000" w:themeColor="text1"/>
          <w:highlight w:val="none"/>
        </w:rPr>
      </w:pPr>
      <w:r>
        <w:rPr>
          <w:rFonts w:hint="eastAsia" w:ascii="宋体" w:hAnsi="宋体"/>
          <w:b/>
          <w:bCs/>
          <w:color w:val="000000" w:themeColor="text1"/>
          <w:highlight w:val="none"/>
        </w:rPr>
        <w:t xml:space="preserve">1.2 协审重点及思路建议（10分）：</w:t>
      </w:r>
      <w:r>
        <w:rPr>
          <w:rFonts w:hint="eastAsia" w:ascii="宋体" w:hAnsi="宋体"/>
          <w:color w:val="000000" w:themeColor="text1"/>
          <w:highlight w:val="none"/>
        </w:rPr>
        <w:t xml:space="preserve">针对本项目工程类型及审核类型，剖析本次招标项目的</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1）</w:t>
      </w:r>
      <w:r>
        <w:rPr>
          <w:rFonts w:hint="eastAsia" w:ascii="宋体" w:hAnsi="宋体" w:eastAsia="宋体"/>
          <w:color w:val="000000" w:themeColor="text1"/>
          <w:highlight w:val="none"/>
        </w:rPr>
        <w:t xml:space="preserve">审核重点、</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2）审核</w:t>
      </w:r>
      <w:r>
        <w:rPr>
          <w:rFonts w:hint="eastAsia" w:ascii="宋体" w:hAnsi="宋体" w:eastAsia="宋体"/>
          <w:color w:val="000000" w:themeColor="text1"/>
          <w:highlight w:val="none"/>
        </w:rPr>
        <w:t xml:space="preserve">难点，并提出本项目对应措施、</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3</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造价控制精细化管理思路</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合理化建议</w:t>
      </w:r>
      <w:r>
        <w:rPr>
          <w:rFonts w:hint="eastAsia"/>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color w:val="000000" w:themeColor="text1"/>
          <w:highlight w:val="none"/>
        </w:rPr>
        <w:t xml:space="preserve">紧密结合项目特点、针对性强、重点罗列清晰明确、措施有效性强、重点难点突出、进度质量措施科学合理、思路建议可行性强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且能够提供上述4项思路及建议的，</w:t>
      </w:r>
      <w:r>
        <w:rPr>
          <w:rFonts w:hint="eastAsia" w:ascii="宋体" w:hAnsi="宋体"/>
          <w:color w:val="000000" w:themeColor="text1"/>
          <w:highlight w:val="none"/>
          <w:lang w:val="en-US" w:eastAsia="zh-CN"/>
        </w:rPr>
        <w:t xml:space="preserve">得</w:t>
      </w:r>
      <w:r>
        <w:rPr>
          <w:rFonts w:hint="eastAsia" w:ascii="宋体" w:hAnsi="宋体"/>
          <w:color w:val="000000" w:themeColor="text1"/>
          <w:highlight w:val="none"/>
        </w:rPr>
        <w:t xml:space="preserve">10分</w:t>
      </w:r>
      <w:r>
        <w:rPr>
          <w:rFonts w:hint="eastAsia"/>
          <w:color w:val="000000" w:themeColor="text1"/>
          <w:highlight w:val="none"/>
          <w:lang w:eastAsia="zh-CN"/>
        </w:rPr>
        <w:t xml:space="preserve">；</w:t>
      </w:r>
      <w:r>
        <w:rPr>
          <w:rFonts w:hint="eastAsia" w:ascii="宋体" w:hAnsi="宋体"/>
          <w:color w:val="000000" w:themeColor="text1"/>
          <w:highlight w:val="none"/>
        </w:rPr>
        <w:t xml:space="preserve">结合项目特点较紧密、针对性较强、重点罗列较清晰明确、措施有效性较强、重点难点较突出、进度质量措施较科学合理、思路建议可行性较强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能够提供上述3-4项思路及建议的，</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8分；结合项目特点一般、针对性一般、重点罗列基本清晰明确、措施有效性一般、重点难点突出性一般、进度质量措施一般、思路建议一般</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6分；基本能结合项目特点、有基本措施、有基本进度质量措施、内容基本全面的</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highlight w:val="none"/>
        </w:rPr>
        <w:t xml:space="preserve">4分。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rPr>
          <w:rFonts w:ascii="宋体" w:hAnsi="宋体"/>
          <w:bCs/>
          <w:color w:val="000000" w:themeColor="text1"/>
          <w:sz w:val="24"/>
          <w:highlight w:val="none"/>
        </w:rPr>
      </w:pPr>
      <w:r>
        <w:rPr>
          <w:rFonts w:hint="eastAsia" w:ascii="宋体" w:hAnsi="宋体"/>
          <w:b/>
          <w:bCs/>
          <w:color w:val="000000" w:themeColor="text1"/>
          <w:sz w:val="24"/>
          <w:szCs w:val="24"/>
          <w:highlight w:val="none"/>
        </w:rPr>
        <w:t xml:space="preserve">2.</w:t>
      </w:r>
      <w:r>
        <w:rPr>
          <w:rFonts w:hint="eastAsia" w:ascii="宋体" w:hAnsi="宋体"/>
          <w:b/>
          <w:bCs/>
          <w:color w:val="000000" w:themeColor="text1"/>
          <w:sz w:val="24"/>
          <w:highlight w:val="none"/>
        </w:rPr>
        <w:t xml:space="preserve">审核</w:t>
      </w:r>
      <w:r>
        <w:rPr>
          <w:rFonts w:hint="eastAsia" w:ascii="宋体" w:hAnsi="宋体"/>
          <w:b/>
          <w:color w:val="000000" w:themeColor="text1"/>
          <w:sz w:val="24"/>
          <w:highlight w:val="none"/>
        </w:rPr>
        <w:t xml:space="preserve">质效控制制度和信息化管理（11分）：</w:t>
      </w:r>
      <w:r>
        <w:rPr>
          <w:rFonts w:hint="eastAsia" w:ascii="宋体" w:hAnsi="宋体"/>
          <w:bCs/>
          <w:color w:val="000000" w:themeColor="text1"/>
          <w:sz w:val="24"/>
          <w:highlight w:val="none"/>
        </w:rPr>
        <w:t xml:space="preserve">无制度不得分、无信息化管理不得分。</w:t>
      </w:r>
      <w:r>
        <w:rPr>
          <w:color w:val="000000" w:themeColor="text1"/>
          <w:highlight w:val="none"/>
        </w:rPr>
      </w: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color w:val="000000" w:themeColor="text1"/>
          <w:sz w:val="24"/>
          <w:highlight w:val="none"/>
        </w:rPr>
        <w:t xml:space="preserve">2.1</w:t>
      </w:r>
      <w:r>
        <w:rPr>
          <w:rFonts w:hint="eastAsia" w:ascii="宋体" w:hAnsi="宋体"/>
          <w:b/>
          <w:color w:val="000000" w:themeColor="text1"/>
          <w:sz w:val="24"/>
          <w:szCs w:val="24"/>
          <w:highlight w:val="none"/>
        </w:rPr>
        <w:t xml:space="preserve">内部</w:t>
      </w:r>
      <w:r>
        <w:rPr>
          <w:rFonts w:hint="eastAsia" w:ascii="宋体" w:hAnsi="宋体"/>
          <w:b/>
          <w:bCs/>
          <w:color w:val="000000" w:themeColor="text1"/>
          <w:sz w:val="24"/>
          <w:szCs w:val="24"/>
          <w:highlight w:val="none"/>
        </w:rPr>
        <w:t xml:space="preserve">控制制度（5分）：</w:t>
      </w:r>
      <w:r>
        <w:rPr>
          <w:rFonts w:hint="eastAsia" w:ascii="宋体" w:hAnsi="宋体"/>
          <w:bCs/>
          <w:color w:val="000000" w:themeColor="text1"/>
          <w:sz w:val="24"/>
          <w:szCs w:val="24"/>
          <w:highlight w:val="none"/>
        </w:rPr>
        <w:t xml:space="preserve">从供应商目前正在执行的内部控制制度中，摘取体现</w:t>
      </w:r>
      <w:r>
        <w:rPr>
          <w:rFonts w:hint="eastAsia" w:ascii="宋体" w:hAnsi="宋体" w:eastAsia="宋体" w:cs="宋体"/>
          <w:b w:val="0"/>
          <w:bCs w:val="0"/>
          <w:i w:val="0"/>
          <w:iCs w:val="0"/>
          <w:color w:val="000000" w:themeColor="text1"/>
          <w:spacing w:val="0"/>
          <w:sz w:val="24"/>
          <w:szCs w:val="24"/>
          <w:highlight w:val="none"/>
          <w:vertAlign w:val="baseline"/>
        </w:rPr>
        <w:t xml:space="preserve">（1）业务流程规范、</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执业质量控制、</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审核进度及效率</w:t>
      </w:r>
      <w:r>
        <w:rPr>
          <w:rFonts w:hint="eastAsia"/>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val="en-US"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风险防控等</w:t>
      </w:r>
      <w:r>
        <w:rPr>
          <w:color w:val="000000" w:themeColor="text1"/>
          <w:highlight w:val="none"/>
        </w:rPr>
      </w:r>
      <w:r/>
    </w:p>
    <w:p>
      <w:pPr>
        <w:pStyle w:val="970"/>
        <w:ind w:firstLine="482"/>
        <w:jc w:val="both"/>
        <w:spacing w:before="0" w:after="0"/>
        <w:rPr>
          <w:rFonts w:hint="eastAsia" w:eastAsia="宋体"/>
          <w:color w:val="000000" w:themeColor="text1"/>
          <w:highlight w:val="none"/>
        </w:rPr>
      </w:pPr>
      <w:r>
        <w:rPr>
          <w:rFonts w:hint="eastAsia"/>
          <w:bCs/>
          <w:color w:val="000000" w:themeColor="text1"/>
          <w:sz w:val="24"/>
          <w:szCs w:val="24"/>
          <w:highlight w:val="none"/>
          <w:lang w:val="en-US" w:eastAsia="zh-CN"/>
        </w:rPr>
        <w:t xml:space="preserve">四</w:t>
      </w:r>
      <w:r>
        <w:rPr>
          <w:rFonts w:hint="eastAsia" w:ascii="宋体" w:hAnsi="宋体"/>
          <w:bCs/>
          <w:color w:val="000000" w:themeColor="text1"/>
          <w:sz w:val="24"/>
          <w:szCs w:val="24"/>
          <w:highlight w:val="none"/>
        </w:rPr>
        <w:t xml:space="preserve">方面内容的内部控制制度材料。</w:t>
      </w:r>
      <w:r>
        <w:rPr>
          <w:rFonts w:hint="eastAsia" w:ascii="宋体" w:hAnsi="宋体"/>
          <w:b/>
          <w:bCs/>
          <w:color w:val="000000" w:themeColor="text1"/>
          <w:sz w:val="24"/>
          <w:szCs w:val="24"/>
          <w:highlight w:val="none"/>
        </w:rPr>
        <w:t xml:space="preserve">内部控制制度材料总页数</w:t>
      </w:r>
      <w:r>
        <w:rPr>
          <w:rFonts w:hint="eastAsia" w:ascii="宋体" w:hAnsi="宋体" w:eastAsia="宋体" w:cs="Times New Roman"/>
          <w:b/>
          <w:bCs/>
          <w:color w:val="000000" w:themeColor="text1"/>
          <w:sz w:val="24"/>
          <w:szCs w:val="24"/>
          <w:highlight w:val="none"/>
          <w:lang w:val="en-US" w:eastAsia="zh-CN"/>
        </w:rPr>
        <w:t xml:space="preserve">建议</w:t>
      </w:r>
      <w:r>
        <w:rPr>
          <w:rFonts w:hint="eastAsia" w:ascii="宋体" w:hAnsi="宋体" w:eastAsia="宋体" w:cs="Times New Roman"/>
          <w:b/>
          <w:bCs/>
          <w:color w:val="000000" w:themeColor="text1"/>
          <w:sz w:val="24"/>
          <w:szCs w:val="24"/>
          <w:highlight w:val="none"/>
        </w:rPr>
        <w:t xml:space="preserve">控</w:t>
      </w:r>
      <w:r>
        <w:rPr>
          <w:rFonts w:hint="eastAsia" w:ascii="宋体" w:hAnsi="宋体"/>
          <w:b/>
          <w:bCs/>
          <w:color w:val="000000" w:themeColor="text1"/>
          <w:sz w:val="24"/>
          <w:szCs w:val="24"/>
          <w:highlight w:val="none"/>
        </w:rPr>
        <w:t xml:space="preserve">制在</w:t>
      </w:r>
      <w:r>
        <w:rPr>
          <w:rFonts w:hint="eastAsia"/>
          <w:b/>
          <w:bCs/>
          <w:color w:val="000000" w:themeColor="text1"/>
          <w:sz w:val="24"/>
          <w:szCs w:val="24"/>
          <w:highlight w:val="none"/>
          <w:lang w:val="en-US" w:eastAsia="zh-CN"/>
        </w:rPr>
        <w:t xml:space="preserve">6</w:t>
      </w:r>
      <w:r>
        <w:rPr>
          <w:rFonts w:hint="eastAsia" w:ascii="宋体" w:hAnsi="宋体"/>
          <w:b/>
          <w:bCs/>
          <w:color w:val="000000" w:themeColor="text1"/>
          <w:sz w:val="24"/>
          <w:szCs w:val="24"/>
          <w:highlight w:val="none"/>
        </w:rPr>
        <w:t xml:space="preserve">页以内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制度内容条理清晰、合理、详细、全面、针对性强、可行性强的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4</w:t>
      </w:r>
      <w:r>
        <w:rPr>
          <w:rFonts w:hint="eastAsia" w:ascii="宋体" w:hAnsi="宋体" w:eastAsia="宋体" w:cs="宋体"/>
          <w:b w:val="0"/>
          <w:bCs w:val="0"/>
          <w:i w:val="0"/>
          <w:iCs w:val="0"/>
          <w:color w:val="000000" w:themeColor="text1"/>
          <w:spacing w:val="0"/>
          <w:sz w:val="24"/>
          <w:szCs w:val="24"/>
          <w:highlight w:val="none"/>
          <w:vertAlign w:val="baseline"/>
        </w:rPr>
        <w:t xml:space="preserve">项全部做法的，得</w:t>
      </w:r>
      <w:r>
        <w:rPr>
          <w:rFonts w:hint="eastAsia" w:eastAsia="宋体" w:cs="宋体"/>
          <w:b w:val="0"/>
          <w:bCs w:val="0"/>
          <w:i w:val="0"/>
          <w:iCs w:val="0"/>
          <w:color w:val="000000" w:themeColor="text1"/>
          <w:spacing w:val="0"/>
          <w:sz w:val="24"/>
          <w:szCs w:val="24"/>
          <w:highlight w:val="none"/>
          <w:vertAlign w:val="baseline"/>
          <w:lang w:val="en-US" w:eastAsia="zh-CN"/>
        </w:rPr>
        <w:t xml:space="preserve">5</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制度内容条理较清晰、较合理、较详细、较全面、针对性较强、可行性较强的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3-4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4分；制度内容条理清晰性一般、合理性一般、基本详细、基本全面、针对性一般、可行性一般的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3分；制度内容基本合理的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945"/>
        <w:ind w:right="0"/>
        <w:jc w:val="both"/>
        <w:keepLines w:val="0"/>
        <w:keepNext w:val="0"/>
        <w:spacing w:before="0" w:beforeAutospacing="0" w:after="0" w:afterAutospacing="0" w:line="18" w:lineRule="atLeast"/>
        <w:widowControl/>
        <w:rPr>
          <w:rFonts w:ascii="宋体" w:hAnsi="宋体"/>
          <w:color w:val="000000" w:themeColor="text1"/>
          <w:sz w:val="24"/>
          <w:highlight w:val="none"/>
        </w:rPr>
        <w:suppressLineNumbers w:val="0"/>
      </w:pPr>
      <w:r>
        <w:rPr>
          <w:rFonts w:ascii="宋体" w:hAnsi="宋体"/>
          <w:color w:val="000000" w:themeColor="text1"/>
          <w:sz w:val="24"/>
          <w:highlight w:val="none"/>
        </w:rPr>
      </w:r>
      <w:r>
        <w:rPr>
          <w:color w:val="000000" w:themeColor="text1"/>
          <w:highlight w:val="none"/>
        </w:rPr>
      </w:r>
      <w:r/>
    </w:p>
    <w:p>
      <w:pPr>
        <w:pStyle w:val="970"/>
        <w:ind w:firstLine="482"/>
        <w:jc w:val="both"/>
        <w:spacing w:before="0" w:after="0"/>
        <w:rPr>
          <w:rFonts w:ascii="宋体" w:hAnsi="宋体"/>
          <w:color w:val="000000" w:themeColor="text1"/>
          <w:sz w:val="24"/>
          <w:highlight w:val="none"/>
        </w:rPr>
      </w:pPr>
      <w:r>
        <w:rPr>
          <w:rFonts w:hint="eastAsia" w:ascii="宋体" w:hAnsi="宋体"/>
          <w:b/>
          <w:color w:val="000000" w:themeColor="text1"/>
          <w:sz w:val="24"/>
          <w:highlight w:val="none"/>
        </w:rPr>
        <w:t xml:space="preserve">2.2 信息化系统</w:t>
      </w:r>
      <w:r>
        <w:rPr>
          <w:rFonts w:hint="eastAsia" w:ascii="宋体" w:hAnsi="宋体"/>
          <w:b/>
          <w:bCs/>
          <w:color w:val="000000" w:themeColor="text1"/>
          <w:sz w:val="24"/>
          <w:highlight w:val="none"/>
        </w:rPr>
        <w:t xml:space="preserve">及应用（6分）</w:t>
      </w:r>
      <w:r>
        <w:rPr>
          <w:rFonts w:hint="eastAsia" w:ascii="宋体" w:hAnsi="宋体"/>
          <w:bCs/>
          <w:color w:val="000000" w:themeColor="text1"/>
          <w:sz w:val="24"/>
          <w:szCs w:val="24"/>
          <w:highlight w:val="none"/>
        </w:rPr>
        <w:t xml:space="preserve">：提交供应商目前正在使用的，自行或委托开发建设的项目审核管理方面的信息化系统的流程图，应体现系统</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主要模块、</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系统功能、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系统亮点。</w:t>
      </w:r>
      <w:r>
        <w:rPr>
          <w:rFonts w:hint="eastAsia" w:ascii="宋体" w:hAnsi="宋体"/>
          <w:b/>
          <w:bCs/>
          <w:color w:val="000000" w:themeColor="text1"/>
          <w:sz w:val="24"/>
          <w:szCs w:val="24"/>
          <w:highlight w:val="none"/>
        </w:rPr>
        <w:t xml:space="preserve">流程图总页数</w:t>
      </w:r>
      <w:r>
        <w:rPr>
          <w:rFonts w:hint="eastAsia" w:ascii="宋体" w:hAnsi="宋体"/>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控制在3页内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流程图内容条理清晰、合理、详细、功能完善，有亮点的</w:t>
      </w:r>
      <w:r>
        <w:rPr>
          <w:rFonts w:hint="eastAsia" w:ascii="宋体" w:hAnsi="宋体"/>
          <w:color w:val="000000" w:themeColor="text1"/>
          <w:sz w:val="24"/>
          <w:highlight w:val="none"/>
          <w:lang w:eastAsia="zh-CN"/>
        </w:rPr>
        <w:t xml:space="preserve">，且能够提供上述3项全部说明材料的，得</w:t>
      </w:r>
      <w:r>
        <w:rPr>
          <w:rFonts w:hint="eastAsia" w:ascii="宋体" w:hAnsi="宋体"/>
          <w:color w:val="000000" w:themeColor="text1"/>
          <w:sz w:val="24"/>
          <w:highlight w:val="none"/>
        </w:rPr>
        <w:t xml:space="preserve">6分；流程图内容条理较清晰、较合理、功能较全面的</w:t>
      </w:r>
      <w:r>
        <w:rPr>
          <w:rFonts w:hint="eastAsia" w:ascii="宋体" w:hAnsi="宋体"/>
          <w:color w:val="000000" w:themeColor="text1"/>
          <w:sz w:val="24"/>
          <w:highlight w:val="none"/>
          <w:lang w:eastAsia="zh-CN"/>
        </w:rPr>
        <w:t xml:space="preserve">，能够提供上述2-3项说明材料的，得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分；流程图内容清晰性一般、合理性一般、功能性一般的</w:t>
      </w:r>
      <w:r>
        <w:rPr>
          <w:rFonts w:hint="eastAsia" w:ascii="宋体" w:hAnsi="宋体"/>
          <w:color w:val="000000" w:themeColor="text1"/>
          <w:sz w:val="24"/>
          <w:highlight w:val="none"/>
          <w:lang w:eastAsia="zh-CN"/>
        </w:rPr>
        <w:t xml:space="preserve">，能够提供上述</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-3项说明材料的，得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tabs>
          <w:tab w:val="left" w:pos="510" w:leader="none"/>
          <w:tab w:val="left" w:pos="945" w:leader="none"/>
          <w:tab w:val="left" w:pos="1155" w:leader="none"/>
        </w:tabs>
        <w:rPr>
          <w:rFonts w:ascii="等线" w:hAnsi="等线"/>
          <w:bCs/>
          <w:color w:val="000000" w:themeColor="text1"/>
          <w:sz w:val="24"/>
          <w:highlight w:val="none"/>
        </w:rPr>
      </w:pPr>
      <w:r>
        <w:rPr>
          <w:rFonts w:hint="eastAsia" w:ascii="宋体" w:hAnsi="宋体"/>
          <w:b/>
          <w:bCs/>
          <w:color w:val="000000" w:themeColor="text1"/>
          <w:sz w:val="24"/>
          <w:highlight w:val="none"/>
        </w:rPr>
        <w:t xml:space="preserve">3.</w:t>
      </w:r>
      <w:r>
        <w:rPr>
          <w:rFonts w:hint="eastAsia" w:ascii="宋体" w:hAnsi="宋体"/>
          <w:b/>
          <w:bCs/>
          <w:color w:val="000000" w:themeColor="text1"/>
          <w:sz w:val="24"/>
          <w:szCs w:val="24"/>
          <w:highlight w:val="none"/>
        </w:rPr>
        <w:t xml:space="preserve">服务承诺（9</w:t>
      </w:r>
      <w:r>
        <w:rPr>
          <w:rFonts w:ascii="宋体" w:hAnsi="宋体"/>
          <w:b/>
          <w:bCs/>
          <w:color w:val="000000" w:themeColor="text1"/>
          <w:sz w:val="24"/>
          <w:szCs w:val="24"/>
          <w:highlight w:val="none"/>
        </w:rPr>
        <w:t xml:space="preserve">分）：</w:t>
      </w:r>
      <w:r>
        <w:rPr>
          <w:rFonts w:hint="eastAsia" w:ascii="等线" w:hAnsi="等线"/>
          <w:bCs/>
          <w:color w:val="000000" w:themeColor="text1"/>
          <w:sz w:val="24"/>
          <w:highlight w:val="none"/>
        </w:rPr>
        <w:t xml:space="preserve">无承诺不得分。</w:t>
      </w:r>
      <w:r>
        <w:rPr>
          <w:rFonts w:hint="eastAsia" w:ascii="等线" w:hAnsi="等线"/>
          <w:b/>
          <w:bCs/>
          <w:color w:val="000000" w:themeColor="text1"/>
          <w:sz w:val="24"/>
          <w:highlight w:val="none"/>
        </w:rPr>
        <w:t xml:space="preserve">服务承诺总页</w:t>
      </w:r>
      <w:r>
        <w:rPr>
          <w:rFonts w:hint="eastAsia" w:ascii="等线" w:hAnsi="等线" w:eastAsia="宋体" w:cs="Times New Roman"/>
          <w:b/>
          <w:bCs/>
          <w:color w:val="000000" w:themeColor="text1"/>
          <w:sz w:val="24"/>
          <w:highlight w:val="none"/>
        </w:rPr>
        <w:t xml:space="preserve">数</w:t>
      </w:r>
      <w:r>
        <w:rPr>
          <w:rFonts w:hint="eastAsia" w:ascii="等线" w:hAnsi="等线" w:eastAsia="宋体" w:cs="Times New Roman"/>
          <w:b/>
          <w:bCs/>
          <w:color w:val="000000" w:themeColor="text1"/>
          <w:sz w:val="24"/>
          <w:highlight w:val="none"/>
          <w:lang w:val="en-US" w:eastAsia="zh-CN"/>
        </w:rPr>
        <w:t xml:space="preserve">建议</w:t>
      </w:r>
      <w:r>
        <w:rPr>
          <w:rFonts w:hint="eastAsia" w:ascii="等线" w:hAnsi="等线" w:eastAsia="宋体" w:cs="Times New Roman"/>
          <w:b/>
          <w:bCs/>
          <w:color w:val="000000" w:themeColor="text1"/>
          <w:sz w:val="24"/>
          <w:highlight w:val="none"/>
        </w:rPr>
        <w:t xml:space="preserve">控</w:t>
      </w:r>
      <w:r>
        <w:rPr>
          <w:rFonts w:hint="eastAsia" w:ascii="等线" w:hAnsi="等线"/>
          <w:b/>
          <w:bCs/>
          <w:color w:val="000000" w:themeColor="text1"/>
          <w:sz w:val="24"/>
          <w:highlight w:val="none"/>
        </w:rPr>
        <w:t xml:space="preserve">制在3页内。</w:t>
      </w:r>
      <w:r>
        <w:rPr>
          <w:color w:val="000000" w:themeColor="text1"/>
          <w:highlight w:val="none"/>
        </w:rPr>
      </w:r>
      <w:r/>
    </w:p>
    <w:p>
      <w:pPr>
        <w:pStyle w:val="881"/>
        <w:ind w:firstLine="482"/>
        <w:spacing w:line="360" w:lineRule="auto"/>
        <w:tabs>
          <w:tab w:val="left" w:pos="510" w:leader="none"/>
          <w:tab w:val="left" w:pos="945" w:leader="none"/>
          <w:tab w:val="left" w:pos="1155" w:leader="none"/>
        </w:tabs>
        <w:rPr>
          <w:rFonts w:hint="eastAsia" w:ascii="宋体" w:hAnsi="宋体" w:eastAsia="宋体"/>
          <w:color w:val="000000" w:themeColor="text1"/>
          <w:sz w:val="24"/>
          <w:highlight w:val="none"/>
        </w:rPr>
      </w:pPr>
      <w:r>
        <w:rPr>
          <w:rFonts w:hint="eastAsia" w:ascii="宋体" w:hAnsi="宋体"/>
          <w:b/>
          <w:bCs/>
          <w:color w:val="000000" w:themeColor="text1"/>
          <w:sz w:val="24"/>
          <w:szCs w:val="24"/>
          <w:highlight w:val="none"/>
        </w:rPr>
        <w:t xml:space="preserve">3.1 协审廉洁承诺（3分）：</w:t>
      </w:r>
      <w:r>
        <w:rPr>
          <w:rFonts w:hint="eastAsia" w:ascii="宋体" w:hAnsi="宋体"/>
          <w:color w:val="000000" w:themeColor="text1"/>
          <w:sz w:val="24"/>
          <w:szCs w:val="24"/>
          <w:highlight w:val="none"/>
        </w:rPr>
        <w:t xml:space="preserve">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加强协审人员教育、</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贯彻落实廉洁规定、</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做好协审人员执行廉洁规定的督促和审核、</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处理协审人员违反廉洁规定的情况等作出承诺</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且能够提供上述4项全部廉洁承诺的，得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能够提供上述3-4项廉洁承诺的，得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能够提供上述1-4项廉洁承诺的，得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tabs>
          <w:tab w:val="left" w:pos="510" w:leader="none"/>
          <w:tab w:val="left" w:pos="945" w:leader="none"/>
          <w:tab w:val="left" w:pos="1155" w:leader="none"/>
          <w:tab w:val="left" w:pos="3823"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3.2 服务质量承诺（3分）：</w:t>
      </w:r>
      <w:r>
        <w:rPr>
          <w:rFonts w:hint="eastAsia" w:ascii="宋体" w:hAnsi="宋体"/>
          <w:bCs/>
          <w:color w:val="000000" w:themeColor="text1"/>
          <w:sz w:val="24"/>
          <w:szCs w:val="24"/>
          <w:highlight w:val="none"/>
        </w:rPr>
        <w:t xml:space="preserve">对具体审核项目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协审人员的配置、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与参建各方面的沟通协调、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开展协审工作的保障措施等作出承诺</w:t>
      </w:r>
      <w:r>
        <w:rPr>
          <w:rFonts w:hint="eastAsia" w:ascii="宋体" w:hAnsi="宋体"/>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0"/>
        <w:spacing w:line="360" w:lineRule="auto"/>
        <w:tabs>
          <w:tab w:val="left" w:pos="510" w:leader="none"/>
        </w:tabs>
        <w:rPr>
          <w:color w:val="000000" w:themeColor="text1"/>
          <w:highlight w:val="none"/>
        </w:rPr>
      </w:pPr>
      <w:r>
        <w:rPr>
          <w:rFonts w:hint="eastAsia" w:ascii="宋体" w:hAnsi="宋体"/>
          <w:b/>
          <w:bCs/>
          <w:color w:val="000000" w:themeColor="text1"/>
          <w:sz w:val="24"/>
          <w:szCs w:val="24"/>
          <w:highlight w:val="none"/>
        </w:rPr>
        <w:t xml:space="preserve">3.3本地化服务承诺（3分）：</w:t>
      </w:r>
      <w:r>
        <w:rPr>
          <w:rFonts w:hint="eastAsia" w:ascii="宋体" w:hAnsi="宋体"/>
          <w:bCs/>
          <w:color w:val="000000" w:themeColor="text1"/>
          <w:sz w:val="24"/>
          <w:highlight w:val="none"/>
        </w:rPr>
        <w:t xml:space="preserve">对协审人员</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highlight w:val="none"/>
        </w:rPr>
        <w:t xml:space="preserve">驻锡驻场情况、</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highlight w:val="none"/>
        </w:rPr>
        <w:t xml:space="preserve">现场响应时间</w:t>
      </w:r>
      <w:r>
        <w:rPr>
          <w:rFonts w:hint="eastAsia" w:ascii="宋体" w:hAnsi="宋体" w:eastAsia="宋体" w:cs="宋体"/>
          <w:b w:val="0"/>
          <w:bCs w:val="0"/>
          <w:i w:val="0"/>
          <w:iCs w:val="0"/>
          <w:color w:val="000000" w:themeColor="text1"/>
          <w:spacing w:val="0"/>
          <w:sz w:val="24"/>
          <w:szCs w:val="24"/>
          <w:highlight w:val="none"/>
          <w:vertAlign w:val="baseline"/>
        </w:rPr>
        <w:t xml:space="preserve">（3）常驻保障条件的设置情况</w:t>
      </w:r>
      <w:r>
        <w:rPr>
          <w:rFonts w:hint="eastAsia" w:ascii="宋体" w:hAnsi="宋体"/>
          <w:bCs/>
          <w:color w:val="000000" w:themeColor="text1"/>
          <w:sz w:val="24"/>
          <w:highlight w:val="none"/>
        </w:rPr>
        <w:t xml:space="preserve">等作出承诺</w:t>
      </w:r>
      <w:r>
        <w:rPr>
          <w:rFonts w:hint="eastAsia"/>
          <w:bCs/>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rPr>
        <w:t xml:space="preserve">。</w:t>
      </w:r>
      <w:r>
        <w:rPr>
          <w:color w:val="000000" w:themeColor="text1"/>
          <w:highlight w:val="none"/>
        </w:rPr>
      </w:r>
      <w:r/>
    </w:p>
    <w:p>
      <w:pPr>
        <w:pStyle w:val="881"/>
        <w:spacing w:line="5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70"/>
        <w:ind w:firstLine="360"/>
        <w:spacing w:before="0" w:after="0" w:line="500" w:lineRule="exact"/>
        <w:rPr>
          <w:rFonts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cs="Arial"/>
          <w:b/>
          <w:color w:val="000000" w:themeColor="text1"/>
          <w:sz w:val="30"/>
          <w:szCs w:val="30"/>
          <w:highlight w:val="none"/>
        </w:rPr>
        <w:t xml:space="preserve">（适用于采购包</w:t>
      </w:r>
      <w:r>
        <w:rPr>
          <w:rFonts w:hint="eastAsia" w:cs="Arial"/>
          <w:b/>
          <w:color w:val="000000" w:themeColor="text1"/>
          <w:sz w:val="30"/>
          <w:szCs w:val="30"/>
          <w:highlight w:val="none"/>
          <w:lang w:val="en-US" w:eastAsia="zh-CN"/>
        </w:rPr>
        <w:t xml:space="preserve">2</w:t>
      </w:r>
      <w:r>
        <w:rPr>
          <w:rFonts w:hint="eastAsia" w:cs="Arial"/>
          <w:b/>
          <w:color w:val="000000" w:themeColor="text1"/>
          <w:sz w:val="30"/>
          <w:szCs w:val="30"/>
          <w:highlight w:val="none"/>
        </w:rPr>
        <w:t xml:space="preserve">）</w:t>
      </w:r>
      <w:r>
        <w:rPr>
          <w:color w:val="000000" w:themeColor="text1"/>
          <w:highlight w:val="none"/>
        </w:rPr>
      </w:r>
      <w:r/>
    </w:p>
    <w:p>
      <w:pPr>
        <w:pStyle w:val="970"/>
        <w:ind w:firstLine="562"/>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（一）商务部分（58分）</w:t>
      </w:r>
      <w:r>
        <w:rPr>
          <w:color w:val="000000" w:themeColor="text1"/>
          <w:highlight w:val="none"/>
        </w:rPr>
      </w:r>
      <w:r/>
    </w:p>
    <w:p>
      <w:pPr>
        <w:pStyle w:val="970"/>
        <w:ind w:firstLine="482"/>
        <w:jc w:val="both"/>
        <w:spacing w:before="0" w:after="0"/>
        <w:rPr>
          <w:rFonts w:ascii="宋体" w:hAnsi="宋体"/>
          <w:b/>
          <w:bCs/>
          <w:color w:val="000000" w:themeColor="text1"/>
          <w:highlight w:val="none"/>
        </w:rPr>
      </w:pPr>
      <w:r>
        <w:rPr>
          <w:rFonts w:hint="eastAsia" w:ascii="宋体" w:hAnsi="宋体"/>
          <w:b/>
          <w:bCs/>
          <w:color w:val="000000" w:themeColor="text1"/>
          <w:highlight w:val="none"/>
        </w:rPr>
        <w:t xml:space="preserve">1.投标人评价（26分）：</w:t>
      </w:r>
      <w:r>
        <w:rPr>
          <w:color w:val="000000" w:themeColor="text1"/>
          <w:highlight w:val="none"/>
        </w:rPr>
      </w:r>
      <w:r/>
    </w:p>
    <w:p>
      <w:pPr>
        <w:pStyle w:val="881"/>
        <w:ind w:firstLine="482"/>
        <w:spacing w:line="360" w:lineRule="auto"/>
        <w:tabs>
          <w:tab w:val="left" w:pos="525" w:leader="none"/>
          <w:tab w:val="left" w:pos="945" w:leader="none"/>
          <w:tab w:val="left" w:pos="1155"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供应商</w:t>
      </w:r>
      <w:r>
        <w:rPr>
          <w:rFonts w:hint="eastAsia" w:ascii="宋体" w:hAnsi="宋体"/>
          <w:b/>
          <w:bCs/>
          <w:color w:val="000000" w:themeColor="text1"/>
          <w:sz w:val="24"/>
          <w:szCs w:val="24"/>
          <w:highlight w:val="none"/>
        </w:rPr>
        <w:t xml:space="preserve">业绩情况</w:t>
      </w:r>
      <w:r>
        <w:rPr>
          <w:rFonts w:hint="eastAsia" w:ascii="宋体" w:hAnsi="宋体"/>
          <w:b/>
          <w:bCs/>
          <w:color w:val="000000" w:themeColor="text1"/>
          <w:sz w:val="24"/>
          <w:szCs w:val="24"/>
          <w:highlight w:val="none"/>
        </w:rPr>
        <w:t xml:space="preserve">（6分）</w:t>
      </w:r>
      <w:r>
        <w:rPr>
          <w:rFonts w:hint="eastAsia" w:ascii="宋体" w:hAnsi="宋体"/>
          <w:color w:val="000000" w:themeColor="text1"/>
          <w:sz w:val="24"/>
          <w:szCs w:val="24"/>
          <w:highlight w:val="none"/>
        </w:rPr>
        <w:t xml:space="preserve">：以</w:t>
      </w:r>
      <w:r>
        <w:rPr>
          <w:rFonts w:hint="eastAsia" w:ascii="宋体" w:hAnsi="宋体"/>
          <w:bCs/>
          <w:color w:val="000000" w:themeColor="text1"/>
          <w:sz w:val="24"/>
          <w:szCs w:val="24"/>
          <w:highlight w:val="none"/>
        </w:rPr>
        <w:t xml:space="preserve">供应商填列的《供应商业绩汇总表》及按要求提供的证明材料为准。</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rPr>
        <w:t xml:space="preserve">类（或公路交通类</w:t>
      </w:r>
      <w:r>
        <w:rPr>
          <w:rFonts w:hint="eastAsia" w:ascii="等线" w:hAnsi="等线"/>
          <w:b/>
          <w:bCs/>
          <w:color w:val="000000" w:themeColor="text1"/>
          <w:sz w:val="24"/>
          <w:szCs w:val="24"/>
          <w:highlight w:val="none"/>
        </w:rPr>
        <w:t xml:space="preserve">）主</w:t>
      </w:r>
      <w:r>
        <w:rPr>
          <w:rFonts w:hint="eastAsia" w:ascii="等线" w:hAnsi="等线"/>
          <w:b/>
          <w:bCs/>
          <w:color w:val="000000" w:themeColor="text1"/>
          <w:sz w:val="24"/>
          <w:szCs w:val="24"/>
          <w:highlight w:val="none"/>
          <w:lang w:val="en-US" w:eastAsia="zh-CN"/>
        </w:rPr>
        <w:t xml:space="preserve">体</w:t>
      </w:r>
      <w:r>
        <w:rPr>
          <w:rFonts w:hint="eastAsia" w:ascii="等线" w:hAnsi="等线"/>
          <w:b/>
          <w:bCs/>
          <w:color w:val="000000" w:themeColor="text1"/>
          <w:sz w:val="24"/>
          <w:szCs w:val="24"/>
          <w:highlight w:val="none"/>
        </w:rPr>
        <w:t xml:space="preserve">工程</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全过程跟踪审核（含结算审核）业绩的，每有一个得1.5分，最高得3分；具有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rPr>
        <w:t xml:space="preserve">类（或公路交通类）主</w:t>
      </w:r>
      <w:r>
        <w:rPr>
          <w:rFonts w:hint="eastAsia" w:ascii="等线" w:hAnsi="等线"/>
          <w:b/>
          <w:bCs/>
          <w:color w:val="000000" w:themeColor="text1"/>
          <w:sz w:val="24"/>
          <w:szCs w:val="24"/>
          <w:highlight w:val="none"/>
          <w:lang w:val="en-US" w:eastAsia="zh-CN"/>
        </w:rPr>
        <w:t xml:space="preserve">体</w:t>
      </w:r>
      <w:r>
        <w:rPr>
          <w:rFonts w:hint="eastAsia" w:ascii="等线" w:hAnsi="等线"/>
          <w:b/>
          <w:bCs/>
          <w:color w:val="000000" w:themeColor="text1"/>
          <w:sz w:val="24"/>
          <w:szCs w:val="24"/>
          <w:highlight w:val="none"/>
        </w:rPr>
        <w:t xml:space="preserve">工程</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结算审核、工程量清单及招标控制价编制</w:t>
      </w:r>
      <w:r>
        <w:rPr>
          <w:rFonts w:hint="eastAsia" w:ascii="宋体" w:hAnsi="宋体"/>
          <w:bCs/>
          <w:color w:val="000000" w:themeColor="text1"/>
          <w:sz w:val="24"/>
          <w:szCs w:val="24"/>
          <w:highlight w:val="none"/>
        </w:rPr>
        <w:t xml:space="preserve">之</w:t>
      </w:r>
      <w:r>
        <w:rPr>
          <w:rFonts w:hint="eastAsia" w:ascii="宋体" w:hAnsi="宋体"/>
          <w:b/>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业绩，每有一个得1.5分，最高得3分。该项得分最高为6分。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相关说明：</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（1）业绩认定的政府投资项目仅指根据《政府投资条例》由政府审批立项的项目，以审批部门审批的项目立项为单位。核准制、备案制项目业绩均不予得分。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业绩必须为审核已完成的项目，全过程跟踪审核（含结算审核）、结算审核以最终的结算审核报告出具时间为准，工程量清单及招标控制价编制以最终的成果文件出具时间为准。仅完成跟踪的全过程跟踪项目（结算未完成）或单纯的跟踪项目不予得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业绩涉及联合体单位的，如对应的委托合同或联合体合同中对业绩有明确归属的从其约定，如无相关合同约定，须提供由联合体各方和建设单位共同确认的供应商业绩范围的证明材料。人员业绩也适用此规定。</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（4）证明材料：</w:t>
      </w:r>
      <w:r>
        <w:rPr>
          <w:rFonts w:hint="eastAsia" w:ascii="宋体" w:hAnsi="宋体"/>
          <w:bCs/>
          <w:color w:val="000000" w:themeColor="text1"/>
          <w:sz w:val="24"/>
          <w:szCs w:val="24"/>
          <w:highlight w:val="none"/>
        </w:rPr>
        <w:t xml:space="preserve">①业绩对应的政府投资项目批复文件，必须提供项目立项(项目建议书)批复或可行性研究批复或初步设计批复的</w:t>
      </w:r>
      <w:r>
        <w:rPr>
          <w:rFonts w:hint="eastAsia" w:ascii="宋体" w:hAnsi="宋体"/>
          <w:bCs/>
          <w:color w:val="000000" w:themeColor="text1"/>
          <w:sz w:val="24"/>
          <w:szCs w:val="24"/>
          <w:highlight w:val="none"/>
          <w:lang w:val="en-US" w:eastAsia="zh-CN"/>
        </w:rPr>
        <w:t xml:space="preserve">原件</w:t>
      </w:r>
      <w:r>
        <w:rPr>
          <w:rFonts w:hint="eastAsia" w:ascii="宋体" w:hAnsi="宋体"/>
          <w:bCs/>
          <w:color w:val="000000" w:themeColor="text1"/>
          <w:sz w:val="24"/>
          <w:szCs w:val="24"/>
          <w:highlight w:val="none"/>
        </w:rPr>
        <w:t xml:space="preserve">扫描件；②项目委托合同的原件扫描件；③全过程跟踪审核（含结算审核）、结算审核业绩须提供与委托合同相对应的结算审核报告的原件扫描件，以及和结算审核报告相对应的审定单的原件扫描件，</w:t>
      </w:r>
      <w:r>
        <w:rPr>
          <w:rFonts w:hint="eastAsia" w:ascii="宋体" w:hAnsi="宋体"/>
          <w:bCs/>
          <w:color w:val="000000" w:themeColor="text1"/>
          <w:sz w:val="24"/>
          <w:szCs w:val="24"/>
          <w:highlight w:val="none"/>
        </w:rPr>
        <w:t xml:space="preserve">如有多份审定单，则应提供相对应的审定单汇总表；工程量清单及招标控制价编制业绩须提供与委托合同相对应的工程量清单及招标控制价编制文件的所有签章（招标人及其法定代表人或其授权人签章、造价咨询人及其法定代表人或其授权人签章、编制人签字及盖章、复核人签字及盖章）封面。否则不予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1.2 供应商专业技术力量评价（20分）</w:t>
      </w:r>
      <w:r>
        <w:rPr>
          <w:rFonts w:hint="eastAsia" w:ascii="宋体" w:hAnsi="宋体"/>
          <w:color w:val="000000" w:themeColor="text1"/>
          <w:sz w:val="24"/>
          <w:szCs w:val="24"/>
          <w:highlight w:val="none"/>
        </w:rPr>
        <w:t xml:space="preserve">：以供应商填列的《供应商一级造价工程师名单》及按要求提供的证明材料为准。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供应商为本项目配备的</w:t>
      </w:r>
      <w:r>
        <w:rPr>
          <w:rFonts w:hint="eastAsia" w:ascii="宋体" w:hAnsi="宋体" w:cs="宋体"/>
          <w:color w:val="000000" w:themeColor="text1"/>
          <w:sz w:val="24"/>
          <w:szCs w:val="24"/>
          <w:highlight w:val="none"/>
        </w:rPr>
        <w:t xml:space="preserve">项目组</w:t>
      </w:r>
      <w:r>
        <w:rPr>
          <w:rFonts w:hint="eastAsia" w:ascii="宋体" w:hAnsi="宋体" w:cs="宋体"/>
          <w:color w:val="000000" w:themeColor="text1"/>
          <w:sz w:val="24"/>
          <w:szCs w:val="24"/>
          <w:highlight w:val="none"/>
          <w:lang w:val="en-US" w:eastAsia="zh-CN"/>
        </w:rPr>
        <w:t xml:space="preserve">成员中</w:t>
      </w:r>
      <w:r>
        <w:rPr>
          <w:rFonts w:hint="eastAsia" w:ascii="宋体" w:hAnsi="宋体"/>
          <w:color w:val="000000" w:themeColor="text1"/>
          <w:sz w:val="24"/>
          <w:szCs w:val="24"/>
          <w:highlight w:val="none"/>
        </w:rPr>
        <w:t xml:space="preserve">一级造价工程师每有一人得1分，满10人后，每增加1人得2分，该项总分最高为20分。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证明材料：①一级造价工程师资格证书和注册证书原件扫描件，</w:t>
      </w:r>
      <w:r>
        <w:rPr>
          <w:rFonts w:hint="eastAsia" w:ascii="宋体" w:hAnsi="宋体"/>
          <w:color w:val="000000" w:themeColor="text1"/>
          <w:sz w:val="24"/>
          <w:szCs w:val="24"/>
          <w:highlight w:val="none"/>
        </w:rPr>
        <w:t xml:space="preserve">②</w:t>
      </w:r>
      <w:r>
        <w:rPr>
          <w:rFonts w:hint="eastAsia" w:ascii="宋体" w:hAnsi="宋体" w:eastAsia="宋体" w:cs="Times New Roman"/>
          <w:color w:val="000000" w:themeColor="text1"/>
          <w:sz w:val="24"/>
          <w:szCs w:val="24"/>
          <w:highlight w:val="none"/>
        </w:rPr>
        <w:t xml:space="preserve">投标人近一年中任意一个月份(不含投标当月)经社保部门确认的社保缴纳名单复印件（标注各人员所处位置）和相关证书复印件作为填列证明材料。</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相关说明：</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（1）已通过一级造价工程师考试，但尚未拿到证书的，不予计分。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（2）返聘、临聘、已退休人员均不计分。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2.项目人员配置情况（32分）：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2.1 拟派项目负责人（6分）：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
          <w:color w:val="000000" w:themeColor="text1"/>
          <w:sz w:val="24"/>
          <w:szCs w:val="24"/>
          <w:highlight w:val="none"/>
        </w:rPr>
        <w:t xml:space="preserve">作为项目负责人</w:t>
      </w:r>
      <w:r>
        <w:rPr>
          <w:rFonts w:hint="eastAsia" w:ascii="宋体" w:hAnsi="宋体"/>
          <w:b w:val="0"/>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新建（改扩建）城市快速路（</w:t>
      </w:r>
      <w:r>
        <w:rPr>
          <w:rFonts w:hint="eastAsia" w:ascii="宋体" w:hAnsi="宋体"/>
          <w:b/>
          <w:bCs/>
          <w:color w:val="000000" w:themeColor="text1"/>
          <w:sz w:val="24"/>
          <w:szCs w:val="24"/>
          <w:highlight w:val="none"/>
        </w:rPr>
        <w:t xml:space="preserve">或城市主</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次</w:t>
      </w:r>
      <w:r>
        <w:rPr>
          <w:rFonts w:hint="eastAsia" w:ascii="宋体" w:hAnsi="宋体"/>
          <w:b/>
          <w:bCs/>
          <w:color w:val="000000" w:themeColor="text1"/>
          <w:sz w:val="24"/>
          <w:szCs w:val="24"/>
          <w:highlight w:val="none"/>
        </w:rPr>
        <w:t xml:space="preserve">干道或国</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省干道</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高架或桥梁</w:t>
      </w:r>
      <w:r>
        <w:rPr>
          <w:rFonts w:hint="eastAsia" w:ascii="宋体" w:hAnsi="宋体"/>
          <w:b/>
          <w:bCs/>
          <w:color w:val="000000" w:themeColor="text1"/>
          <w:sz w:val="24"/>
          <w:szCs w:val="24"/>
          <w:highlight w:val="none"/>
        </w:rPr>
        <w:t xml:space="preserve">工程项目</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新建（改扩建）城市快速路（</w:t>
      </w:r>
      <w:r>
        <w:rPr>
          <w:rFonts w:hint="eastAsia" w:ascii="宋体" w:hAnsi="宋体"/>
          <w:b/>
          <w:bCs/>
          <w:color w:val="000000" w:themeColor="text1"/>
          <w:sz w:val="24"/>
          <w:szCs w:val="24"/>
          <w:highlight w:val="none"/>
        </w:rPr>
        <w:t xml:space="preserve">或城市主</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次</w:t>
      </w:r>
      <w:r>
        <w:rPr>
          <w:rFonts w:hint="eastAsia" w:ascii="宋体" w:hAnsi="宋体"/>
          <w:b/>
          <w:bCs/>
          <w:color w:val="000000" w:themeColor="text1"/>
          <w:sz w:val="24"/>
          <w:szCs w:val="24"/>
          <w:highlight w:val="none"/>
        </w:rPr>
        <w:t xml:space="preserve">干道或国</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省干道</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高架或桥梁</w:t>
      </w:r>
      <w:r>
        <w:rPr>
          <w:rFonts w:hint="eastAsia" w:ascii="宋体" w:hAnsi="宋体"/>
          <w:b/>
          <w:bCs/>
          <w:color w:val="000000" w:themeColor="text1"/>
          <w:sz w:val="24"/>
          <w:szCs w:val="24"/>
          <w:highlight w:val="none"/>
        </w:rPr>
        <w:t xml:space="preserve">工程项目</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w:t>
      </w:r>
      <w:r>
        <w:rPr>
          <w:rFonts w:hint="eastAsia" w:ascii="宋体" w:hAnsi="宋体"/>
          <w:bCs/>
          <w:color w:val="000000" w:themeColor="text1"/>
          <w:sz w:val="24"/>
          <w:szCs w:val="24"/>
          <w:highlight w:val="none"/>
        </w:rPr>
        <w:t xml:space="preserve">含结算审核）、结算审核、工程量清单及招标控制价编制之一业绩的得2分。该项得分最高为4分。</w:t>
      </w:r>
      <w:r>
        <w:rPr>
          <w:rFonts w:hint="eastAsia" w:ascii="宋体" w:hAnsi="宋体"/>
          <w:color w:val="000000" w:themeColor="text1"/>
          <w:sz w:val="24"/>
          <w:szCs w:val="24"/>
          <w:highlight w:val="none"/>
        </w:rPr>
        <w:t xml:space="preserve">以委托合同内明确的项目负责人为准，如委托合同未明确项目负责人或人员发生更换的，需提供委托方相关证明材料，否则不予得分。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2.2 拟派常驻协审人员（不含项目负责人）（6分）：</w:t>
      </w:r>
      <w:r>
        <w:rPr>
          <w:rFonts w:hint="eastAsia" w:ascii="宋体" w:hAnsi="宋体"/>
          <w:b/>
          <w:color w:val="000000" w:themeColor="text1"/>
          <w:sz w:val="24"/>
          <w:szCs w:val="24"/>
          <w:highlight w:val="none"/>
        </w:rPr>
        <w:t xml:space="preserve">由附件《项目人员配置清单》中明确的常驻其他协审人员参与评分，限定1人得分。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新建（改扩建）</w:t>
      </w:r>
      <w:r>
        <w:rPr>
          <w:rFonts w:hint="eastAsia" w:cs="Arial"/>
          <w:b/>
          <w:color w:val="000000" w:themeColor="text1"/>
          <w:sz w:val="24"/>
          <w:szCs w:val="24"/>
          <w:highlight w:val="none"/>
        </w:rPr>
        <w:t xml:space="preserve">市政</w:t>
      </w:r>
      <w:r>
        <w:rPr>
          <w:rFonts w:hint="eastAsia" w:cs="Arial"/>
          <w:b/>
          <w:color w:val="000000" w:themeColor="text1"/>
          <w:sz w:val="24"/>
          <w:szCs w:val="24"/>
          <w:highlight w:val="none"/>
        </w:rPr>
        <w:t xml:space="preserve">道</w:t>
      </w:r>
      <w:r>
        <w:rPr>
          <w:rFonts w:hint="eastAsia" w:cs="Arial"/>
          <w:b/>
          <w:color w:val="000000" w:themeColor="text1"/>
          <w:sz w:val="24"/>
          <w:szCs w:val="24"/>
          <w:highlight w:val="none"/>
          <w:lang w:val="en-US" w:eastAsia="zh-CN"/>
        </w:rPr>
        <w:t xml:space="preserve">路、</w:t>
      </w:r>
      <w:r>
        <w:rPr>
          <w:rFonts w:hint="eastAsia" w:cs="Arial"/>
          <w:b/>
          <w:color w:val="000000" w:themeColor="text1"/>
          <w:sz w:val="24"/>
          <w:szCs w:val="24"/>
          <w:highlight w:val="none"/>
        </w:rPr>
        <w:t xml:space="preserve">桥</w:t>
      </w:r>
      <w:r>
        <w:rPr>
          <w:rFonts w:hint="eastAsia" w:cs="Arial"/>
          <w:b/>
          <w:color w:val="000000" w:themeColor="text1"/>
          <w:sz w:val="24"/>
          <w:szCs w:val="24"/>
          <w:highlight w:val="none"/>
          <w:lang w:val="en-US" w:eastAsia="zh-CN"/>
        </w:rPr>
        <w:t xml:space="preserve">梁</w:t>
      </w:r>
      <w:r>
        <w:rPr>
          <w:rFonts w:hint="eastAsia" w:cs="Arial"/>
          <w:b/>
          <w:color w:val="000000" w:themeColor="text1"/>
          <w:sz w:val="24"/>
          <w:szCs w:val="24"/>
          <w:highlight w:val="none"/>
        </w:rPr>
        <w:t xml:space="preserve">类</w:t>
      </w:r>
      <w:r>
        <w:rPr>
          <w:rFonts w:hint="eastAsia" w:cs="Arial"/>
          <w:b/>
          <w:color w:val="000000" w:themeColor="text1"/>
          <w:sz w:val="24"/>
          <w:szCs w:val="24"/>
          <w:highlight w:val="none"/>
        </w:rPr>
        <w:t xml:space="preserve">（</w:t>
      </w:r>
      <w:r>
        <w:rPr>
          <w:rFonts w:hint="eastAsia" w:cs="Arial"/>
          <w:b/>
          <w:color w:val="000000" w:themeColor="text1"/>
          <w:sz w:val="24"/>
          <w:szCs w:val="24"/>
          <w:highlight w:val="none"/>
        </w:rPr>
        <w:t xml:space="preserve">或公路交通类）主</w:t>
      </w:r>
      <w:r>
        <w:rPr>
          <w:rFonts w:hint="eastAsia" w:cs="Arial"/>
          <w:b/>
          <w:color w:val="000000" w:themeColor="text1"/>
          <w:sz w:val="24"/>
          <w:szCs w:val="24"/>
          <w:highlight w:val="none"/>
          <w:lang w:val="en-US" w:eastAsia="zh-CN"/>
        </w:rPr>
        <w:t xml:space="preserve">体</w:t>
      </w:r>
      <w:r>
        <w:rPr>
          <w:rFonts w:hint="eastAsia" w:ascii="宋体" w:hAnsi="宋体"/>
          <w:b/>
          <w:bCs/>
          <w:color w:val="000000" w:themeColor="text1"/>
          <w:sz w:val="24"/>
          <w:szCs w:val="24"/>
          <w:highlight w:val="none"/>
        </w:rPr>
        <w:t xml:space="preserve">工程项目</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新建（改扩建）</w:t>
      </w:r>
      <w:r>
        <w:rPr>
          <w:rFonts w:hint="eastAsia" w:cs="Arial"/>
          <w:b/>
          <w:color w:val="000000" w:themeColor="text1"/>
          <w:sz w:val="24"/>
          <w:szCs w:val="24"/>
          <w:highlight w:val="none"/>
        </w:rPr>
        <w:t xml:space="preserve">市政</w:t>
      </w:r>
      <w:r>
        <w:rPr>
          <w:rFonts w:hint="eastAsia" w:cs="Arial"/>
          <w:b/>
          <w:color w:val="000000" w:themeColor="text1"/>
          <w:sz w:val="24"/>
          <w:szCs w:val="24"/>
          <w:highlight w:val="none"/>
        </w:rPr>
        <w:t xml:space="preserve">道</w:t>
      </w:r>
      <w:r>
        <w:rPr>
          <w:rFonts w:hint="eastAsia" w:cs="Arial"/>
          <w:b/>
          <w:color w:val="000000" w:themeColor="text1"/>
          <w:sz w:val="24"/>
          <w:szCs w:val="24"/>
          <w:highlight w:val="none"/>
          <w:lang w:val="en-US" w:eastAsia="zh-CN"/>
        </w:rPr>
        <w:t xml:space="preserve">路、</w:t>
      </w:r>
      <w:r>
        <w:rPr>
          <w:rFonts w:hint="eastAsia" w:cs="Arial"/>
          <w:b/>
          <w:color w:val="000000" w:themeColor="text1"/>
          <w:sz w:val="24"/>
          <w:szCs w:val="24"/>
          <w:highlight w:val="none"/>
        </w:rPr>
        <w:t xml:space="preserve">桥</w:t>
      </w:r>
      <w:r>
        <w:rPr>
          <w:rFonts w:hint="eastAsia" w:cs="Arial"/>
          <w:b/>
          <w:color w:val="000000" w:themeColor="text1"/>
          <w:sz w:val="24"/>
          <w:szCs w:val="24"/>
          <w:highlight w:val="none"/>
          <w:lang w:val="en-US" w:eastAsia="zh-CN"/>
        </w:rPr>
        <w:t xml:space="preserve">梁</w:t>
      </w:r>
      <w:r>
        <w:rPr>
          <w:rFonts w:hint="eastAsia" w:cs="Arial"/>
          <w:b/>
          <w:color w:val="000000" w:themeColor="text1"/>
          <w:sz w:val="24"/>
          <w:szCs w:val="24"/>
          <w:highlight w:val="none"/>
        </w:rPr>
        <w:t xml:space="preserve">类</w:t>
      </w:r>
      <w:r>
        <w:rPr>
          <w:rFonts w:hint="eastAsia" w:cs="Arial"/>
          <w:b/>
          <w:color w:val="000000" w:themeColor="text1"/>
          <w:sz w:val="24"/>
          <w:szCs w:val="24"/>
          <w:highlight w:val="none"/>
        </w:rPr>
        <w:t xml:space="preserve">（或公路交通类）主</w:t>
      </w:r>
      <w:r>
        <w:rPr>
          <w:rFonts w:hint="eastAsia" w:cs="Arial"/>
          <w:b/>
          <w:color w:val="000000" w:themeColor="text1"/>
          <w:sz w:val="24"/>
          <w:szCs w:val="24"/>
          <w:highlight w:val="none"/>
          <w:lang w:val="en-US" w:eastAsia="zh-CN"/>
        </w:rPr>
        <w:t xml:space="preserve">体</w:t>
      </w:r>
      <w:r>
        <w:rPr>
          <w:rFonts w:hint="eastAsia" w:ascii="宋体" w:hAnsi="宋体"/>
          <w:b/>
          <w:bCs/>
          <w:color w:val="000000" w:themeColor="text1"/>
          <w:sz w:val="24"/>
          <w:szCs w:val="24"/>
          <w:highlight w:val="none"/>
        </w:rPr>
        <w:t xml:space="preserve">工程项目</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2.3 拟派其他协审人员（不含项目负责人和常驻协审人员）（20分）：</w:t>
      </w:r>
      <w:r>
        <w:rPr>
          <w:rFonts w:hint="eastAsia" w:ascii="宋体" w:hAnsi="宋体"/>
          <w:b/>
          <w:color w:val="000000" w:themeColor="text1"/>
          <w:sz w:val="24"/>
          <w:szCs w:val="24"/>
          <w:highlight w:val="none"/>
        </w:rPr>
        <w:t xml:space="preserve">由附件《项目人员配置清单》中明确的协审人员参与评分，限定4人得分。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（1）具备土建专业一级造价工程师，每人得2分，本项总分最高为6分；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（2）具备安装专业一级造价工程师的，每人得2分，本项总分最高为2分；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（3）具备工程类高级及以上职称的，每人得2分；具备工程类中级专业技术职称的，每人得1分，</w:t>
      </w:r>
      <w:r>
        <w:rPr>
          <w:rFonts w:hint="eastAsia" w:ascii="宋体" w:hAnsi="宋体"/>
          <w:color w:val="000000" w:themeColor="text1"/>
          <w:sz w:val="24"/>
          <w:szCs w:val="24"/>
          <w:highlight w:val="none"/>
        </w:rPr>
        <w:t xml:space="preserve">该项得分</w:t>
      </w:r>
      <w:r>
        <w:rPr>
          <w:rFonts w:hint="eastAsia" w:ascii="宋体" w:hAnsi="宋体"/>
          <w:bCs/>
          <w:color w:val="000000" w:themeColor="text1"/>
          <w:sz w:val="24"/>
          <w:szCs w:val="24"/>
          <w:highlight w:val="none"/>
        </w:rPr>
        <w:t xml:space="preserve">最高为4分。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等线" w:hAnsi="等线"/>
          <w:b/>
          <w:bCs/>
          <w:color w:val="000000" w:themeColor="text1"/>
          <w:sz w:val="24"/>
          <w:szCs w:val="24"/>
          <w:highlight w:val="none"/>
        </w:rPr>
        <w:t xml:space="preserve">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lang w:eastAsia="zh-CN"/>
        </w:rPr>
        <w:t xml:space="preserve">（</w:t>
      </w:r>
      <w:r>
        <w:rPr>
          <w:rFonts w:hint="eastAsia" w:ascii="等线" w:hAnsi="等线"/>
          <w:b/>
          <w:bCs/>
          <w:color w:val="000000" w:themeColor="text1"/>
          <w:sz w:val="24"/>
          <w:szCs w:val="24"/>
          <w:highlight w:val="none"/>
          <w:lang w:val="en-US" w:eastAsia="zh-CN"/>
        </w:rPr>
        <w:t xml:space="preserve">或公路交通）</w:t>
      </w:r>
      <w:r>
        <w:rPr>
          <w:rFonts w:hint="eastAsia" w:ascii="等线" w:hAnsi="等线"/>
          <w:b/>
          <w:bCs/>
          <w:color w:val="000000" w:themeColor="text1"/>
          <w:sz w:val="24"/>
          <w:szCs w:val="24"/>
          <w:highlight w:val="none"/>
        </w:rPr>
        <w:t xml:space="preserve">类或新建绿化环境类工程项目</w:t>
      </w:r>
      <w:r>
        <w:rPr>
          <w:rFonts w:hint="eastAsia" w:ascii="宋体" w:hAnsi="宋体"/>
          <w:bCs/>
          <w:color w:val="000000" w:themeColor="text1"/>
          <w:sz w:val="24"/>
          <w:szCs w:val="24"/>
          <w:highlight w:val="none"/>
        </w:rPr>
        <w:t xml:space="preserve">全过程跟踪审核（含结算审核）、结算审核</w:t>
      </w:r>
      <w:r>
        <w:rPr>
          <w:rFonts w:hint="eastAsia" w:ascii="宋体" w:hAnsi="宋体"/>
          <w:bCs/>
          <w:color w:val="000000" w:themeColor="text1"/>
          <w:sz w:val="24"/>
          <w:szCs w:val="24"/>
          <w:highlight w:val="none"/>
        </w:rPr>
        <w:t xml:space="preserve">、工程量清单及招标控制价编制之一业绩的得2分，</w:t>
      </w:r>
      <w:r>
        <w:rPr>
          <w:rFonts w:hint="eastAsia" w:ascii="宋体" w:hAnsi="宋体"/>
          <w:b/>
          <w:bCs/>
          <w:color w:val="000000" w:themeColor="text1"/>
          <w:sz w:val="24"/>
          <w:szCs w:val="24"/>
          <w:highlight w:val="none"/>
        </w:rPr>
        <w:t xml:space="preserve">其他协审人员每人最高得2分，</w:t>
      </w:r>
      <w:r>
        <w:rPr>
          <w:rFonts w:hint="eastAsia" w:ascii="宋体" w:hAnsi="宋体"/>
          <w:bCs/>
          <w:color w:val="000000" w:themeColor="text1"/>
          <w:sz w:val="24"/>
          <w:szCs w:val="24"/>
          <w:highlight w:val="none"/>
        </w:rPr>
        <w:t xml:space="preserve">该项合计最高8分。</w:t>
      </w:r>
      <w:r>
        <w:rPr>
          <w:color w:val="000000" w:themeColor="text1"/>
          <w:highlight w:val="none"/>
        </w:rPr>
      </w: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项目人员配置相关说明：</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（1）所有项目人员业绩与供应商业绩不得重复；</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（2）一个审核项目仅能得一次分，且仅能作为一人业绩，</w:t>
      </w:r>
      <w:r>
        <w:rPr>
          <w:rFonts w:hint="eastAsia" w:ascii="宋体" w:hAnsi="宋体"/>
          <w:b/>
          <w:bCs/>
          <w:color w:val="000000" w:themeColor="text1"/>
          <w:sz w:val="24"/>
          <w:szCs w:val="24"/>
          <w:highlight w:val="none"/>
        </w:rPr>
        <w:t xml:space="preserve">业绩需注明对应的项目配置人员姓名及序号，如人员情况不一致，不予得分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（3）项目人员业绩认定要求及证明材料与供应商业绩一致，</w:t>
      </w:r>
      <w:r>
        <w:rPr>
          <w:rFonts w:hint="eastAsia" w:ascii="宋体" w:hAnsi="宋体"/>
          <w:b/>
          <w:bCs/>
          <w:color w:val="000000" w:themeColor="text1"/>
          <w:sz w:val="24"/>
          <w:szCs w:val="24"/>
          <w:highlight w:val="none"/>
        </w:rPr>
        <w:t xml:space="preserve">并以项目人员在工程量清单及招标控制价编制文件签章封面、结算审核报告及工程审定单上的签字或盖章为准，否则不予得分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（4）已通过造价师考试，但尚未拿到证书的，不予计分；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（5）返聘、临聘、已退休人员均不计分；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（6）同一人具备不同专业一级造价工程师证书的，不可兼得分；</w:t>
      </w:r>
      <w:r>
        <w:rPr>
          <w:color w:val="000000" w:themeColor="text1"/>
          <w:highlight w:val="none"/>
        </w:rPr>
      </w: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（7）项目人员工程类中级、工程类高级专业技术职称不可兼得分；</w:t>
      </w:r>
      <w:r>
        <w:rPr>
          <w:color w:val="000000" w:themeColor="text1"/>
          <w:highlight w:val="none"/>
        </w:rPr>
      </w:r>
      <w:r/>
    </w:p>
    <w:p>
      <w:pPr>
        <w:pStyle w:val="881"/>
        <w:ind w:firstLine="480"/>
        <w:spacing w:line="360" w:lineRule="auto"/>
        <w:tabs>
          <w:tab w:val="left" w:pos="945" w:leader="none"/>
          <w:tab w:val="left" w:pos="1155"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（8）项目人员具备一级造价工程师与专业技术职称可兼得分。</w:t>
      </w:r>
      <w:r>
        <w:rPr>
          <w:color w:val="000000" w:themeColor="text1"/>
          <w:highlight w:val="none"/>
        </w:rPr>
      </w:r>
      <w:r/>
    </w:p>
    <w:p>
      <w:pPr>
        <w:pStyle w:val="970"/>
        <w:jc w:val="both"/>
        <w:spacing w:before="0" w:after="0"/>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（二）技术部分（42分）</w:t>
      </w:r>
      <w:r>
        <w:rPr>
          <w:color w:val="000000" w:themeColor="text1"/>
          <w:highlight w:val="none"/>
        </w:rPr>
      </w:r>
      <w:r/>
    </w:p>
    <w:p>
      <w:pPr>
        <w:pStyle w:val="881"/>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项目方案（42分）：</w:t>
      </w:r>
      <w:r>
        <w:rPr>
          <w:rFonts w:hint="eastAsia" w:ascii="宋体" w:hAnsi="宋体"/>
          <w:bCs/>
          <w:color w:val="000000" w:themeColor="text1"/>
          <w:sz w:val="24"/>
          <w:szCs w:val="24"/>
          <w:highlight w:val="none"/>
        </w:rPr>
        <w:t xml:space="preserve">考察投标人项目技术方案，在响应采购文件需求的基础上针对下列各部分进行评价，要求体现科学合理性、条理性、可行性、完善性、针对性，无方案不得分。</w:t>
      </w:r>
      <w:r>
        <w:rPr>
          <w:color w:val="000000" w:themeColor="text1"/>
          <w:highlight w:val="none"/>
        </w:rPr>
      </w:r>
      <w:r/>
    </w:p>
    <w:p>
      <w:pPr>
        <w:pStyle w:val="970"/>
        <w:ind w:firstLine="482"/>
        <w:jc w:val="both"/>
        <w:spacing w:before="0" w:after="0"/>
        <w:rPr>
          <w:rFonts w:ascii="宋体" w:hAnsi="宋体"/>
          <w:b/>
          <w:bCs/>
          <w:color w:val="000000" w:themeColor="text1"/>
          <w:highlight w:val="none"/>
        </w:rPr>
      </w:pPr>
      <w:r>
        <w:rPr>
          <w:rFonts w:hint="eastAsia" w:ascii="宋体" w:hAnsi="宋体"/>
          <w:b/>
          <w:color w:val="000000" w:themeColor="text1"/>
          <w:highlight w:val="none"/>
        </w:rPr>
        <w:t xml:space="preserve">1.协审方案（22分）：</w:t>
      </w:r>
      <w:r>
        <w:rPr>
          <w:rFonts w:hint="eastAsia" w:ascii="宋体" w:hAnsi="宋体"/>
          <w:b/>
          <w:bCs/>
          <w:color w:val="000000" w:themeColor="text1"/>
          <w:highlight w:val="none"/>
        </w:rPr>
        <w:t xml:space="preserve">协审实施大纲和协审重点及思路建议总页数</w:t>
      </w:r>
      <w:r>
        <w:rPr>
          <w:rFonts w:hint="eastAsia" w:ascii="宋体" w:hAnsi="宋体"/>
          <w:b/>
          <w:bCs/>
          <w:color w:val="000000" w:themeColor="text1"/>
          <w:highlight w:val="none"/>
          <w:lang w:val="en-US" w:eastAsia="zh-CN"/>
        </w:rPr>
        <w:t xml:space="preserve">建议</w:t>
      </w:r>
      <w:r>
        <w:rPr>
          <w:rFonts w:hint="eastAsia" w:ascii="宋体" w:hAnsi="宋体"/>
          <w:b/>
          <w:bCs/>
          <w:color w:val="000000" w:themeColor="text1"/>
          <w:highlight w:val="none"/>
        </w:rPr>
        <w:t xml:space="preserve">控制在16页内。</w:t>
      </w:r>
      <w:r>
        <w:rPr>
          <w:color w:val="000000" w:themeColor="text1"/>
          <w:highlight w:val="none"/>
        </w:rPr>
      </w:r>
      <w:r/>
    </w:p>
    <w:p>
      <w:pPr>
        <w:pStyle w:val="970"/>
        <w:ind w:firstLine="482"/>
        <w:jc w:val="both"/>
        <w:spacing w:before="0" w:after="0"/>
        <w:rPr>
          <w:rFonts w:hint="eastAsia" w:eastAsia="宋体"/>
          <w:color w:val="000000" w:themeColor="text1"/>
          <w:highlight w:val="none"/>
        </w:rPr>
      </w:pPr>
      <w:r>
        <w:rPr>
          <w:rFonts w:hint="eastAsia" w:ascii="宋体" w:hAnsi="宋体"/>
          <w:b/>
          <w:bCs/>
          <w:color w:val="000000" w:themeColor="text1"/>
          <w:highlight w:val="none"/>
        </w:rPr>
        <w:t xml:space="preserve">1.1 协审实施大纲（12分）</w:t>
      </w:r>
      <w:r>
        <w:rPr>
          <w:rFonts w:hint="eastAsia" w:ascii="宋体" w:hAnsi="宋体"/>
          <w:color w:val="000000" w:themeColor="text1"/>
          <w:highlight w:val="none"/>
        </w:rPr>
        <w:t xml:space="preserve">：针对本项目工程类型及审核类型，列出投标单位自身的技术优势，并提交科学、合理、操作性强的项目协审实施大纲，大纲应包含</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协审人员管理、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造价控制流程、</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造价审核方法、</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关键环节控制、</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协审质量及效率保证措施、</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档案管理、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廉洁管理等</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eastAsia="宋体" w:cs="宋体"/>
          <w:b w:val="0"/>
          <w:bCs w:val="0"/>
          <w:i w:val="0"/>
          <w:iCs w:val="0"/>
          <w:color w:val="000000" w:themeColor="text1"/>
          <w:spacing w:val="0"/>
          <w:sz w:val="24"/>
          <w:szCs w:val="24"/>
          <w:highlight w:val="none"/>
          <w:vertAlign w:val="baseline"/>
        </w:rPr>
        <w:t xml:space="preserve">方案完整，科学合理，设计清晰详细，完全符合本项目需求，且能够提供上述7项全部方案的，得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12</w:t>
      </w:r>
      <w:r>
        <w:rPr>
          <w:rFonts w:hint="eastAsia" w:ascii="宋体" w:hAnsi="宋体" w:eastAsia="宋体" w:cs="宋体"/>
          <w:b w:val="0"/>
          <w:bCs w:val="0"/>
          <w:i w:val="0"/>
          <w:iCs w:val="0"/>
          <w:color w:val="000000" w:themeColor="text1"/>
          <w:spacing w:val="0"/>
          <w:sz w:val="24"/>
          <w:szCs w:val="24"/>
          <w:highlight w:val="none"/>
          <w:vertAlign w:val="baseline"/>
        </w:rPr>
        <w:t xml:space="preserve">分；方案较完整，科学合理性较强，设计较清晰详细，能够符合本项目需求，能够提供上述5-7项方案的，得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10</w:t>
      </w:r>
      <w:r>
        <w:rPr>
          <w:rFonts w:hint="eastAsia" w:ascii="宋体" w:hAnsi="宋体" w:eastAsia="宋体" w:cs="宋体"/>
          <w:b w:val="0"/>
          <w:bCs w:val="0"/>
          <w:i w:val="0"/>
          <w:iCs w:val="0"/>
          <w:color w:val="000000" w:themeColor="text1"/>
          <w:spacing w:val="0"/>
          <w:sz w:val="24"/>
          <w:szCs w:val="24"/>
          <w:highlight w:val="none"/>
          <w:vertAlign w:val="baseline"/>
        </w:rPr>
        <w:t xml:space="preserve">分；方案完整性、科学合理性、设计的清晰详细程度等只能基本满足要求，能够提供上述4-7项方案的，得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8</w:t>
      </w:r>
      <w:r>
        <w:rPr>
          <w:rFonts w:hint="eastAsia" w:ascii="宋体" w:hAnsi="宋体" w:eastAsia="宋体" w:cs="宋体"/>
          <w:b w:val="0"/>
          <w:bCs w:val="0"/>
          <w:i w:val="0"/>
          <w:iCs w:val="0"/>
          <w:color w:val="000000" w:themeColor="text1"/>
          <w:spacing w:val="0"/>
          <w:sz w:val="24"/>
          <w:szCs w:val="24"/>
          <w:highlight w:val="none"/>
          <w:vertAlign w:val="baseline"/>
        </w:rPr>
        <w:t xml:space="preserve">分；提供方案不足4项，得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6</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945"/>
        <w:ind w:left="0" w:right="0" w:firstLine="420"/>
        <w:jc w:val="both"/>
        <w:keepLines w:val="0"/>
        <w:keepNext w:val="0"/>
        <w:spacing w:before="0" w:beforeAutospacing="0" w:after="0" w:afterAutospacing="0" w:line="18" w:lineRule="atLeast"/>
        <w:widowControl/>
        <w:rPr>
          <w:rFonts w:ascii="宋体" w:hAnsi="宋体"/>
          <w:color w:val="000000" w:themeColor="text1"/>
          <w:highlight w:val="none"/>
        </w:rPr>
        <w:suppressLineNumbers w:val="0"/>
      </w:pPr>
      <w:r>
        <w:rPr>
          <w:rFonts w:hint="eastAsia" w:ascii="宋体" w:hAnsi="宋体"/>
          <w:b/>
          <w:bCs/>
          <w:color w:val="000000" w:themeColor="text1"/>
          <w:highlight w:val="none"/>
        </w:rPr>
        <w:t xml:space="preserve">1.2 协审重点及思路建议（10分）：</w:t>
      </w:r>
      <w:r>
        <w:rPr>
          <w:rFonts w:hint="eastAsia" w:ascii="宋体" w:hAnsi="宋体"/>
          <w:color w:val="000000" w:themeColor="text1"/>
          <w:highlight w:val="none"/>
        </w:rPr>
        <w:t xml:space="preserve">针对本项目工程类型及审核类型，剖析本次招标项目的</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1）</w:t>
      </w:r>
      <w:r>
        <w:rPr>
          <w:rFonts w:hint="eastAsia" w:ascii="宋体" w:hAnsi="宋体" w:eastAsia="宋体"/>
          <w:color w:val="000000" w:themeColor="text1"/>
          <w:highlight w:val="none"/>
        </w:rPr>
        <w:t xml:space="preserve">审核重点、</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2）审核</w:t>
      </w:r>
      <w:r>
        <w:rPr>
          <w:rFonts w:hint="eastAsia" w:ascii="宋体" w:hAnsi="宋体" w:eastAsia="宋体"/>
          <w:color w:val="000000" w:themeColor="text1"/>
          <w:highlight w:val="none"/>
        </w:rPr>
        <w:t xml:space="preserve">难点，并提出本项目对应措施、</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3</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造价控制精细化管理思路</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合理化建议</w:t>
      </w:r>
      <w:r>
        <w:rPr>
          <w:rFonts w:hint="eastAsia"/>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color w:val="000000" w:themeColor="text1"/>
          <w:highlight w:val="none"/>
        </w:rPr>
        <w:t xml:space="preserve">紧密结合项目特点、针对性强、重点罗列清晰明确、措施有效性强、重点难点突出、进度质量措施科学合理、思路建议可行性强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且能够提供上述4项思路及建议的，</w:t>
      </w:r>
      <w:r>
        <w:rPr>
          <w:rFonts w:hint="eastAsia" w:ascii="宋体" w:hAnsi="宋体"/>
          <w:color w:val="000000" w:themeColor="text1"/>
          <w:highlight w:val="none"/>
          <w:lang w:val="en-US" w:eastAsia="zh-CN"/>
        </w:rPr>
        <w:t xml:space="preserve">得</w:t>
      </w:r>
      <w:r>
        <w:rPr>
          <w:rFonts w:hint="eastAsia" w:ascii="宋体" w:hAnsi="宋体"/>
          <w:color w:val="000000" w:themeColor="text1"/>
          <w:highlight w:val="none"/>
        </w:rPr>
        <w:t xml:space="preserve">10分</w:t>
      </w:r>
      <w:r>
        <w:rPr>
          <w:rFonts w:hint="eastAsia"/>
          <w:color w:val="000000" w:themeColor="text1"/>
          <w:highlight w:val="none"/>
          <w:lang w:eastAsia="zh-CN"/>
        </w:rPr>
        <w:t xml:space="preserve">；</w:t>
      </w:r>
      <w:r>
        <w:rPr>
          <w:rFonts w:hint="eastAsia" w:ascii="宋体" w:hAnsi="宋体"/>
          <w:color w:val="000000" w:themeColor="text1"/>
          <w:highlight w:val="none"/>
        </w:rPr>
        <w:t xml:space="preserve">结合项目特点较紧密、针对性较强、重点罗列较清晰明确、措施有效性较强、重点难点较突出、进度质量措施较科学合理、思路建议可行性较强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能够提供上述3-4项思路及建议的，</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8分；结合项目特点一般、针对性一般、重点罗列基本清晰明确、措施有效性一般、重点难点突出性一般、进度质量措施一般、思路建议一般</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6分；基本能结合项目特点、有基本措施、有基本进度质量措施、内容基本全面的</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highlight w:val="none"/>
        </w:rPr>
        <w:t xml:space="preserve">4分。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rPr>
          <w:rFonts w:ascii="宋体" w:hAnsi="宋体"/>
          <w:bCs/>
          <w:color w:val="000000" w:themeColor="text1"/>
          <w:sz w:val="24"/>
          <w:highlight w:val="none"/>
        </w:rPr>
      </w:pPr>
      <w:r>
        <w:rPr>
          <w:rFonts w:hint="eastAsia" w:ascii="宋体" w:hAnsi="宋体"/>
          <w:b/>
          <w:bCs/>
          <w:color w:val="000000" w:themeColor="text1"/>
          <w:sz w:val="24"/>
          <w:szCs w:val="24"/>
          <w:highlight w:val="none"/>
        </w:rPr>
        <w:t xml:space="preserve">2.</w:t>
      </w:r>
      <w:r>
        <w:rPr>
          <w:rFonts w:hint="eastAsia" w:ascii="宋体" w:hAnsi="宋体"/>
          <w:b/>
          <w:bCs/>
          <w:color w:val="000000" w:themeColor="text1"/>
          <w:sz w:val="24"/>
          <w:highlight w:val="none"/>
        </w:rPr>
        <w:t xml:space="preserve">审核</w:t>
      </w:r>
      <w:r>
        <w:rPr>
          <w:rFonts w:hint="eastAsia" w:ascii="宋体" w:hAnsi="宋体"/>
          <w:b/>
          <w:color w:val="000000" w:themeColor="text1"/>
          <w:sz w:val="24"/>
          <w:highlight w:val="none"/>
        </w:rPr>
        <w:t xml:space="preserve">质效控制制度和信息化管理（11分）：</w:t>
      </w:r>
      <w:r>
        <w:rPr>
          <w:rFonts w:hint="eastAsia" w:ascii="宋体" w:hAnsi="宋体"/>
          <w:bCs/>
          <w:color w:val="000000" w:themeColor="text1"/>
          <w:sz w:val="24"/>
          <w:highlight w:val="none"/>
        </w:rPr>
        <w:t xml:space="preserve">无制度不得分、无信息化管理不得分。</w:t>
      </w:r>
      <w:r>
        <w:rPr>
          <w:color w:val="000000" w:themeColor="text1"/>
          <w:highlight w:val="none"/>
        </w:rPr>
      </w: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color w:val="000000" w:themeColor="text1"/>
          <w:sz w:val="24"/>
          <w:highlight w:val="none"/>
        </w:rPr>
        <w:t xml:space="preserve">2.1</w:t>
      </w:r>
      <w:r>
        <w:rPr>
          <w:rFonts w:hint="eastAsia" w:ascii="宋体" w:hAnsi="宋体"/>
          <w:b/>
          <w:color w:val="000000" w:themeColor="text1"/>
          <w:sz w:val="24"/>
          <w:szCs w:val="24"/>
          <w:highlight w:val="none"/>
        </w:rPr>
        <w:t xml:space="preserve">内部</w:t>
      </w:r>
      <w:r>
        <w:rPr>
          <w:rFonts w:hint="eastAsia" w:ascii="宋体" w:hAnsi="宋体"/>
          <w:b/>
          <w:bCs/>
          <w:color w:val="000000" w:themeColor="text1"/>
          <w:sz w:val="24"/>
          <w:szCs w:val="24"/>
          <w:highlight w:val="none"/>
        </w:rPr>
        <w:t xml:space="preserve">控制制度（5分）：</w:t>
      </w:r>
      <w:r>
        <w:rPr>
          <w:rFonts w:hint="eastAsia" w:ascii="宋体" w:hAnsi="宋体"/>
          <w:bCs/>
          <w:color w:val="000000" w:themeColor="text1"/>
          <w:sz w:val="24"/>
          <w:szCs w:val="24"/>
          <w:highlight w:val="none"/>
        </w:rPr>
        <w:t xml:space="preserve">从供应商目前正在执行的内部控制制度中，摘取体现</w:t>
      </w:r>
      <w:r>
        <w:rPr>
          <w:rFonts w:hint="eastAsia" w:ascii="宋体" w:hAnsi="宋体" w:eastAsia="宋体" w:cs="宋体"/>
          <w:b w:val="0"/>
          <w:bCs w:val="0"/>
          <w:i w:val="0"/>
          <w:iCs w:val="0"/>
          <w:color w:val="000000" w:themeColor="text1"/>
          <w:spacing w:val="0"/>
          <w:sz w:val="24"/>
          <w:szCs w:val="24"/>
          <w:highlight w:val="none"/>
          <w:vertAlign w:val="baseline"/>
        </w:rPr>
        <w:t xml:space="preserve">（1）业务流程规范、</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执业质量控制、</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审核进度及效率</w:t>
      </w:r>
      <w:r>
        <w:rPr>
          <w:rFonts w:hint="eastAsia"/>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val="en-US"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风险防控等</w:t>
      </w:r>
      <w:r>
        <w:rPr>
          <w:color w:val="000000" w:themeColor="text1"/>
          <w:highlight w:val="none"/>
        </w:rPr>
      </w:r>
      <w:r/>
    </w:p>
    <w:p>
      <w:pPr>
        <w:pStyle w:val="945"/>
        <w:ind w:right="0"/>
        <w:jc w:val="both"/>
        <w:keepLines w:val="0"/>
        <w:keepNext w:val="0"/>
        <w:spacing w:before="0" w:beforeAutospacing="0" w:after="0" w:afterAutospacing="0" w:line="18" w:lineRule="atLeast"/>
        <w:widowControl/>
        <w:rPr>
          <w:rFonts w:ascii="宋体" w:hAnsi="宋体"/>
          <w:color w:val="000000" w:themeColor="text1"/>
          <w:sz w:val="24"/>
          <w:highlight w:val="none"/>
        </w:rPr>
        <w:suppressLineNumbers w:val="0"/>
      </w:pPr>
      <w:r>
        <w:rPr>
          <w:rFonts w:hint="eastAsia"/>
          <w:bCs/>
          <w:color w:val="000000" w:themeColor="text1"/>
          <w:sz w:val="24"/>
          <w:szCs w:val="24"/>
          <w:highlight w:val="none"/>
          <w:lang w:val="en-US" w:eastAsia="zh-CN"/>
        </w:rPr>
        <w:t xml:space="preserve">四</w:t>
      </w:r>
      <w:r>
        <w:rPr>
          <w:rFonts w:hint="eastAsia" w:ascii="宋体" w:hAnsi="宋体"/>
          <w:bCs/>
          <w:color w:val="000000" w:themeColor="text1"/>
          <w:sz w:val="24"/>
          <w:szCs w:val="24"/>
          <w:highlight w:val="none"/>
        </w:rPr>
        <w:t xml:space="preserve">方面内容的内部控制制度材料。</w:t>
      </w:r>
      <w:r>
        <w:rPr>
          <w:rFonts w:hint="eastAsia" w:ascii="宋体" w:hAnsi="宋体"/>
          <w:b/>
          <w:bCs/>
          <w:color w:val="000000" w:themeColor="text1"/>
          <w:sz w:val="24"/>
          <w:szCs w:val="24"/>
          <w:highlight w:val="none"/>
        </w:rPr>
        <w:t xml:space="preserve">内部控制制度材料总页数</w:t>
      </w:r>
      <w:r>
        <w:rPr>
          <w:rFonts w:hint="eastAsia"/>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w:t>
      </w:r>
      <w:r>
        <w:rPr>
          <w:rFonts w:hint="eastAsia"/>
          <w:b/>
          <w:bCs/>
          <w:color w:val="000000" w:themeColor="text1"/>
          <w:sz w:val="24"/>
          <w:szCs w:val="24"/>
          <w:highlight w:val="none"/>
          <w:lang w:val="en-US" w:eastAsia="zh-CN"/>
        </w:rPr>
        <w:t xml:space="preserve">6</w:t>
      </w:r>
      <w:r>
        <w:rPr>
          <w:rFonts w:hint="eastAsia" w:ascii="宋体" w:hAnsi="宋体"/>
          <w:b/>
          <w:bCs/>
          <w:color w:val="000000" w:themeColor="text1"/>
          <w:sz w:val="24"/>
          <w:szCs w:val="24"/>
          <w:highlight w:val="none"/>
        </w:rPr>
        <w:t xml:space="preserve">页以内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制度内容条理清晰、合理、详细、全面、针对性强、可行性强的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4</w:t>
      </w:r>
      <w:r>
        <w:rPr>
          <w:rFonts w:hint="eastAsia" w:ascii="宋体" w:hAnsi="宋体" w:eastAsia="宋体" w:cs="宋体"/>
          <w:b w:val="0"/>
          <w:bCs w:val="0"/>
          <w:i w:val="0"/>
          <w:iCs w:val="0"/>
          <w:color w:val="000000" w:themeColor="text1"/>
          <w:spacing w:val="0"/>
          <w:sz w:val="24"/>
          <w:szCs w:val="24"/>
          <w:highlight w:val="none"/>
          <w:vertAlign w:val="baseline"/>
        </w:rPr>
        <w:t xml:space="preserve">项全部做法的，得</w:t>
      </w:r>
      <w:r>
        <w:rPr>
          <w:rFonts w:hint="eastAsia" w:eastAsia="宋体" w:cs="宋体"/>
          <w:b w:val="0"/>
          <w:bCs w:val="0"/>
          <w:i w:val="0"/>
          <w:iCs w:val="0"/>
          <w:color w:val="000000" w:themeColor="text1"/>
          <w:spacing w:val="0"/>
          <w:sz w:val="24"/>
          <w:szCs w:val="24"/>
          <w:highlight w:val="none"/>
          <w:vertAlign w:val="baseline"/>
          <w:lang w:val="en-US" w:eastAsia="zh-CN"/>
        </w:rPr>
        <w:t xml:space="preserve">5</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制度内容条理较清晰、较合理、较详细、较全面、针对性较强、可行性较强的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3-4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4分；制度内容条理清晰性一般、合理性一般、基本详细、基本全面、针对性一般、可行性一般的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3分；制度内容基本合理的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0"/>
        <w:spacing w:line="360" w:lineRule="auto"/>
        <w:tabs>
          <w:tab w:val="left" w:pos="510" w:leader="none"/>
        </w:tabs>
        <w:rPr>
          <w:rFonts w:ascii="宋体" w:hAnsi="宋体"/>
          <w:color w:val="000000" w:themeColor="text1"/>
          <w:sz w:val="24"/>
          <w:highlight w:val="none"/>
        </w:rPr>
      </w:pPr>
      <w:r>
        <w:rPr>
          <w:rFonts w:hint="eastAsia" w:ascii="宋体" w:hAnsi="宋体"/>
          <w:b/>
          <w:color w:val="000000" w:themeColor="text1"/>
          <w:sz w:val="24"/>
          <w:highlight w:val="none"/>
        </w:rPr>
        <w:t xml:space="preserve">2.2 信息化系统</w:t>
      </w:r>
      <w:r>
        <w:rPr>
          <w:rFonts w:hint="eastAsia" w:ascii="宋体" w:hAnsi="宋体"/>
          <w:b/>
          <w:bCs/>
          <w:color w:val="000000" w:themeColor="text1"/>
          <w:sz w:val="24"/>
          <w:highlight w:val="none"/>
        </w:rPr>
        <w:t xml:space="preserve">及应用（6分）</w:t>
      </w:r>
      <w:r>
        <w:rPr>
          <w:rFonts w:hint="eastAsia" w:ascii="宋体" w:hAnsi="宋体"/>
          <w:bCs/>
          <w:color w:val="000000" w:themeColor="text1"/>
          <w:sz w:val="24"/>
          <w:szCs w:val="24"/>
          <w:highlight w:val="none"/>
        </w:rPr>
        <w:t xml:space="preserve">：提交供应商目前正在使用的，自行或委托开发建设的项目审核管理方面的信息化系统的流程图，应体现系统</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主要模块、</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系统功能、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系统亮点。</w:t>
      </w:r>
      <w:r>
        <w:rPr>
          <w:rFonts w:hint="eastAsia" w:ascii="宋体" w:hAnsi="宋体"/>
          <w:b/>
          <w:bCs/>
          <w:color w:val="000000" w:themeColor="text1"/>
          <w:sz w:val="24"/>
          <w:szCs w:val="24"/>
          <w:highlight w:val="none"/>
        </w:rPr>
        <w:t xml:space="preserve">流程图总页数</w:t>
      </w:r>
      <w:r>
        <w:rPr>
          <w:rFonts w:hint="eastAsia" w:ascii="宋体" w:hAnsi="宋体"/>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控制在3页内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流程图内容条理清晰、合理、详细、功能完善，有亮点的</w:t>
      </w:r>
      <w:r>
        <w:rPr>
          <w:rFonts w:hint="eastAsia" w:ascii="宋体" w:hAnsi="宋体"/>
          <w:color w:val="000000" w:themeColor="text1"/>
          <w:sz w:val="24"/>
          <w:highlight w:val="none"/>
          <w:lang w:eastAsia="zh-CN"/>
        </w:rPr>
        <w:t xml:space="preserve">，且能够提供上述3项全部说明材料的，得</w:t>
      </w:r>
      <w:r>
        <w:rPr>
          <w:rFonts w:hint="eastAsia" w:ascii="宋体" w:hAnsi="宋体"/>
          <w:color w:val="000000" w:themeColor="text1"/>
          <w:sz w:val="24"/>
          <w:highlight w:val="none"/>
        </w:rPr>
        <w:t xml:space="preserve">6分；流程图内容条理较清晰、较合理、功能较全面的</w:t>
      </w:r>
      <w:r>
        <w:rPr>
          <w:rFonts w:hint="eastAsia" w:ascii="宋体" w:hAnsi="宋体"/>
          <w:color w:val="000000" w:themeColor="text1"/>
          <w:sz w:val="24"/>
          <w:highlight w:val="none"/>
          <w:lang w:eastAsia="zh-CN"/>
        </w:rPr>
        <w:t xml:space="preserve">，能够提供上述2-3项说明材料的，得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分；流程图内容清晰性一般、合理性一般、功能性一般的</w:t>
      </w:r>
      <w:r>
        <w:rPr>
          <w:rFonts w:hint="eastAsia" w:ascii="宋体" w:hAnsi="宋体"/>
          <w:color w:val="000000" w:themeColor="text1"/>
          <w:sz w:val="24"/>
          <w:highlight w:val="none"/>
          <w:lang w:eastAsia="zh-CN"/>
        </w:rPr>
        <w:t xml:space="preserve">，能够提供上述</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-3项说明材料的，得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tabs>
          <w:tab w:val="left" w:pos="510" w:leader="none"/>
          <w:tab w:val="left" w:pos="945" w:leader="none"/>
          <w:tab w:val="left" w:pos="1155" w:leader="none"/>
        </w:tabs>
        <w:rPr>
          <w:rFonts w:ascii="等线" w:hAnsi="等线"/>
          <w:bCs/>
          <w:color w:val="000000" w:themeColor="text1"/>
          <w:sz w:val="24"/>
          <w:highlight w:val="none"/>
        </w:rPr>
      </w:pPr>
      <w:r>
        <w:rPr>
          <w:rFonts w:hint="eastAsia" w:ascii="宋体" w:hAnsi="宋体"/>
          <w:b/>
          <w:bCs/>
          <w:color w:val="000000" w:themeColor="text1"/>
          <w:sz w:val="24"/>
          <w:highlight w:val="none"/>
        </w:rPr>
        <w:t xml:space="preserve">3.</w:t>
      </w:r>
      <w:r>
        <w:rPr>
          <w:rFonts w:hint="eastAsia" w:ascii="宋体" w:hAnsi="宋体"/>
          <w:b/>
          <w:bCs/>
          <w:color w:val="000000" w:themeColor="text1"/>
          <w:sz w:val="24"/>
          <w:szCs w:val="24"/>
          <w:highlight w:val="none"/>
        </w:rPr>
        <w:t xml:space="preserve">服务承诺（9</w:t>
      </w:r>
      <w:r>
        <w:rPr>
          <w:rFonts w:ascii="宋体" w:hAnsi="宋体"/>
          <w:b/>
          <w:bCs/>
          <w:color w:val="000000" w:themeColor="text1"/>
          <w:sz w:val="24"/>
          <w:szCs w:val="24"/>
          <w:highlight w:val="none"/>
        </w:rPr>
        <w:t xml:space="preserve">分）：</w:t>
      </w:r>
      <w:r>
        <w:rPr>
          <w:rFonts w:hint="eastAsia" w:ascii="等线" w:hAnsi="等线"/>
          <w:bCs/>
          <w:color w:val="000000" w:themeColor="text1"/>
          <w:sz w:val="24"/>
          <w:highlight w:val="none"/>
        </w:rPr>
        <w:t xml:space="preserve">无承诺不得分。</w:t>
      </w:r>
      <w:r>
        <w:rPr>
          <w:rFonts w:hint="eastAsia" w:ascii="等线" w:hAnsi="等线"/>
          <w:b/>
          <w:bCs/>
          <w:color w:val="000000" w:themeColor="text1"/>
          <w:sz w:val="24"/>
          <w:highlight w:val="none"/>
        </w:rPr>
        <w:t xml:space="preserve">服务承诺总页数</w:t>
      </w:r>
      <w:r>
        <w:rPr>
          <w:rFonts w:hint="eastAsia" w:ascii="等线" w:hAnsi="等线"/>
          <w:b/>
          <w:bCs/>
          <w:color w:val="000000" w:themeColor="text1"/>
          <w:sz w:val="24"/>
          <w:highlight w:val="none"/>
          <w:lang w:val="en-US" w:eastAsia="zh-CN"/>
        </w:rPr>
        <w:t xml:space="preserve">建议</w:t>
      </w:r>
      <w:r>
        <w:rPr>
          <w:rFonts w:hint="eastAsia" w:ascii="等线" w:hAnsi="等线"/>
          <w:b/>
          <w:bCs/>
          <w:color w:val="000000" w:themeColor="text1"/>
          <w:sz w:val="24"/>
          <w:highlight w:val="none"/>
        </w:rPr>
        <w:t xml:space="preserve">控制在3页内。</w:t>
      </w:r>
      <w:r>
        <w:rPr>
          <w:color w:val="000000" w:themeColor="text1"/>
          <w:highlight w:val="none"/>
        </w:rPr>
      </w:r>
      <w:r/>
    </w:p>
    <w:p>
      <w:pPr>
        <w:pStyle w:val="881"/>
        <w:ind w:firstLine="482"/>
        <w:spacing w:line="360" w:lineRule="auto"/>
        <w:tabs>
          <w:tab w:val="left" w:pos="510" w:leader="none"/>
          <w:tab w:val="left" w:pos="945" w:leader="none"/>
          <w:tab w:val="left" w:pos="1155"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3.1 协审廉洁承诺（3分）：</w:t>
      </w:r>
      <w:r>
        <w:rPr>
          <w:rFonts w:hint="eastAsia" w:ascii="宋体" w:hAnsi="宋体"/>
          <w:color w:val="000000" w:themeColor="text1"/>
          <w:sz w:val="24"/>
          <w:szCs w:val="24"/>
          <w:highlight w:val="none"/>
        </w:rPr>
        <w:t xml:space="preserve">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加强协审人员教育、</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贯彻落实廉洁规定、</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做好协审人员执行廉洁规定的督促和审核、</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处理协审人员违反廉洁规定的情况等作出承诺</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且能够提供上述4项全部廉洁承诺的，得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能够提供上述3-4项廉洁承诺的，得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能够提供上述1-4项廉洁承诺的，得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2"/>
        <w:spacing w:line="360" w:lineRule="auto"/>
        <w:tabs>
          <w:tab w:val="left" w:pos="510" w:leader="none"/>
          <w:tab w:val="left" w:pos="945" w:leader="none"/>
          <w:tab w:val="left" w:pos="1155" w:leader="none"/>
          <w:tab w:val="left" w:pos="3823"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3.2 服务质量承诺（3分）：</w:t>
      </w:r>
      <w:r>
        <w:rPr>
          <w:rFonts w:hint="eastAsia" w:ascii="宋体" w:hAnsi="宋体"/>
          <w:bCs/>
          <w:color w:val="000000" w:themeColor="text1"/>
          <w:sz w:val="24"/>
          <w:szCs w:val="24"/>
          <w:highlight w:val="none"/>
        </w:rPr>
        <w:t xml:space="preserve">对具体审核项目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协审人员的配置、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与参建各方面的沟通协调、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开展协审工作的保障措施等作出承诺</w:t>
      </w:r>
      <w:r>
        <w:rPr>
          <w:rFonts w:hint="eastAsia" w:ascii="宋体" w:hAnsi="宋体"/>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bCs/>
          <w:color w:val="000000" w:themeColor="text1"/>
          <w:sz w:val="24"/>
          <w:szCs w:val="24"/>
          <w:highlight w:val="none"/>
        </w:rPr>
        <w:t xml:space="preserve">3.3本地化服务承诺（3分）：</w:t>
      </w:r>
      <w:r>
        <w:rPr>
          <w:rFonts w:hint="eastAsia" w:ascii="宋体" w:hAnsi="宋体"/>
          <w:bCs/>
          <w:color w:val="000000" w:themeColor="text1"/>
          <w:sz w:val="24"/>
          <w:highlight w:val="none"/>
        </w:rPr>
        <w:t xml:space="preserve">对协审人员</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highlight w:val="none"/>
        </w:rPr>
        <w:t xml:space="preserve">驻锡驻场情况、</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highlight w:val="none"/>
        </w:rPr>
        <w:t xml:space="preserve">现场响应时间</w:t>
      </w:r>
      <w:r>
        <w:rPr>
          <w:rFonts w:hint="eastAsia" w:ascii="宋体" w:hAnsi="宋体" w:eastAsia="宋体" w:cs="宋体"/>
          <w:b w:val="0"/>
          <w:bCs w:val="0"/>
          <w:i w:val="0"/>
          <w:iCs w:val="0"/>
          <w:color w:val="000000" w:themeColor="text1"/>
          <w:spacing w:val="0"/>
          <w:sz w:val="24"/>
          <w:szCs w:val="24"/>
          <w:highlight w:val="none"/>
          <w:vertAlign w:val="baseline"/>
        </w:rPr>
        <w:t xml:space="preserve">（3）常驻保障条件的设置情况</w:t>
      </w:r>
      <w:r>
        <w:rPr>
          <w:rFonts w:hint="eastAsia" w:ascii="宋体" w:hAnsi="宋体"/>
          <w:bCs/>
          <w:color w:val="000000" w:themeColor="text1"/>
          <w:sz w:val="24"/>
          <w:highlight w:val="none"/>
        </w:rPr>
        <w:t xml:space="preserve">等作出承诺</w:t>
      </w:r>
      <w:r>
        <w:rPr>
          <w:rFonts w:hint="eastAsia"/>
          <w:bCs/>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highlight w:val="none"/>
        </w:rPr>
      </w: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color w:val="000000" w:themeColor="text1"/>
          <w:highlight w:val="none"/>
        </w:rPr>
      </w:r>
      <w:r/>
    </w:p>
    <w:p>
      <w:pPr>
        <w:pStyle w:val="970"/>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955039"/>
      <w:r>
        <w:rPr>
          <w:color w:val="000000" w:themeColor="text1"/>
          <w:highlight w:val="none"/>
        </w:rPr>
      </w:r>
      <w:bookmarkEnd w:id="196"/>
      <w:r>
        <w:rPr>
          <w:color w:val="000000" w:themeColor="text1"/>
          <w:highlight w:val="none"/>
        </w:rPr>
      </w:r>
      <w:bookmarkStart w:id="197" w:name="_Toc49090576"/>
      <w:r>
        <w:rPr>
          <w:color w:val="000000" w:themeColor="text1"/>
          <w:highlight w:val="none"/>
        </w:rPr>
      </w:r>
      <w:bookmarkStart w:id="198" w:name="_Toc120614282"/>
      <w:r>
        <w:rPr>
          <w:color w:val="000000" w:themeColor="text1"/>
          <w:highlight w:val="none"/>
        </w:rPr>
      </w:r>
      <w:bookmarkStart w:id="199" w:name="_Toc26554094"/>
      <w:r>
        <w:rPr>
          <w:color w:val="000000" w:themeColor="text1"/>
          <w:highlight w:val="none"/>
        </w:rPr>
      </w:r>
      <w:bookmarkStart w:id="200" w:name="_Hlt26671244"/>
      <w:r>
        <w:rPr>
          <w:color w:val="000000" w:themeColor="text1"/>
          <w:highlight w:val="none"/>
        </w:rPr>
      </w:r>
      <w:bookmarkEnd w:id="200"/>
      <w:r>
        <w:rPr>
          <w:rFonts w:hint="eastAsia" w:cs="Arial"/>
          <w:b/>
          <w:color w:val="000000" w:themeColor="text1"/>
          <w:sz w:val="30"/>
          <w:szCs w:val="30"/>
          <w:highlight w:val="none"/>
        </w:rPr>
        <w:t xml:space="preserve">第一部分  投标文件内容</w:t>
      </w:r>
      <w:r>
        <w:rPr>
          <w:color w:val="000000" w:themeColor="text1"/>
          <w:highlight w:val="none"/>
        </w:rPr>
      </w:r>
      <w:r/>
    </w:p>
    <w:p>
      <w:pPr>
        <w:pStyle w:val="970"/>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97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color w:val="000000" w:themeColor="text1"/>
                <w:highlight w:val="none"/>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color w:val="000000" w:themeColor="text1"/>
                <w:sz w:val="24"/>
                <w:szCs w:val="24"/>
                <w:highlight w:val="none"/>
              </w:rPr>
              <w:t xml:space="preserve">。</w:t>
            </w:r>
            <w:r>
              <w:rPr>
                <w:color w:val="000000" w:themeColor="text1"/>
                <w:highlight w:val="none"/>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r/>
          </w:p>
        </w:tc>
        <w:tc>
          <w:tcPr>
            <w:tcW w:w="2449" w:type="dxa"/>
            <w:vAlign w:val="center"/>
            <w:textDirection w:val="lrTb"/>
            <w:noWrap w:val="false"/>
          </w:tcPr>
          <w:p>
            <w:pPr>
              <w:pStyle w:val="970"/>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color w:val="000000" w:themeColor="text1"/>
                <w:highlight w:val="none"/>
              </w:rPr>
            </w:r>
            <w:r/>
          </w:p>
        </w:tc>
        <w:tc>
          <w:tcPr>
            <w:tcW w:w="2449" w:type="dxa"/>
            <w:vAlign w:val="center"/>
            <w:textDirection w:val="lrTb"/>
            <w:noWrap w:val="false"/>
          </w:tcPr>
          <w:p>
            <w:pPr>
              <w:pStyle w:val="970"/>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color w:val="000000" w:themeColor="text1"/>
                <w:highlight w:val="none"/>
              </w:rPr>
            </w:r>
            <w:r/>
          </w:p>
        </w:tc>
      </w:tr>
    </w:tbl>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r/>
    </w:p>
    <w:p>
      <w:pPr>
        <w:pStyle w:val="881"/>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r/>
    </w:p>
    <w:p>
      <w:pPr>
        <w:pStyle w:val="881"/>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6095" w:type="dxa"/>
            <w:vAlign w:val="center"/>
            <w:textDirection w:val="lrTb"/>
            <w:noWrap w:val="false"/>
          </w:tcPr>
          <w:p>
            <w:pPr>
              <w:pStyle w:val="970"/>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1"/>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r/>
    </w:p>
    <w:p>
      <w:pPr>
        <w:pStyle w:val="881"/>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r/>
    </w:p>
    <w:p>
      <w:pPr>
        <w:pStyle w:val="881"/>
        <w:numPr>
          <w:ilvl w:val="0"/>
          <w:numId w:val="8"/>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r/>
    </w:p>
    <w:p>
      <w:pPr>
        <w:pStyle w:val="881"/>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pStyle w:val="881"/>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pStyle w:val="881"/>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pStyle w:val="881"/>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pStyle w:val="881"/>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r/>
    </w:p>
    <w:p>
      <w:pPr>
        <w:pStyle w:val="970"/>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JSZC-320200-JZCG-G2026-0087</w:t>
      </w:r>
      <w:r>
        <w:rPr>
          <w:color w:val="000000" w:themeColor="text1"/>
          <w:highlight w:val="none"/>
        </w:rPr>
      </w: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2026年度第一批次市级政府投资项目工程造价审计服务</w:t>
      </w:r>
      <w:r>
        <w:rPr>
          <w:color w:val="000000" w:themeColor="text1"/>
          <w:highlight w:val="none"/>
        </w:rPr>
      </w: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r/>
    </w:p>
    <w:p>
      <w:pPr>
        <w:pStyle w:val="881"/>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r/>
    </w:p>
    <w:p>
      <w:pPr>
        <w:pStyle w:val="881"/>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r/>
    </w:p>
    <w:p>
      <w:pPr>
        <w:pStyle w:val="881"/>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项目，兹授权：</w:t>
      </w:r>
      <w:r>
        <w:rPr>
          <w:color w:val="000000" w:themeColor="text1"/>
          <w:highlight w:val="none"/>
        </w:rPr>
      </w: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r/>
    </w:p>
    <w:p>
      <w:pPr>
        <w:pStyle w:val="968"/>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r/>
    </w:p>
    <w:p>
      <w:pPr>
        <w:pStyle w:val="968"/>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r/>
    </w:p>
    <w:p>
      <w:pPr>
        <w:pStyle w:val="968"/>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r/>
    </w:p>
    <w:p>
      <w:pPr>
        <w:pStyle w:val="968"/>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968"/>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r/>
    </w:p>
    <w:p>
      <w:pPr>
        <w:pStyle w:val="968"/>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968"/>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pStyle w:val="881"/>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color w:val="000000" w:themeColor="text1"/>
          <w:highlight w:val="none"/>
        </w:rPr>
      </w:r>
      <w:r/>
    </w:p>
    <w:p>
      <w:pPr>
        <w:pStyle w:val="881"/>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r/>
    </w:p>
    <w:p>
      <w:pPr>
        <w:pStyle w:val="88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color w:val="000000" w:themeColor="text1"/>
          <w:highlight w:val="none"/>
        </w:rPr>
      </w: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1"/>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pStyle w:val="881"/>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1"/>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color w:val="000000" w:themeColor="text1"/>
          <w:highlight w:val="none"/>
        </w:rPr>
      </w:r>
      <w:r/>
    </w:p>
    <w:p>
      <w:pPr>
        <w:pStyle w:val="88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88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88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1"/>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1"/>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8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81"/>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881"/>
        <w:jc w:val="left"/>
        <w:spacing w:line="360" w:lineRule="auto"/>
        <w:shd w:val="clear" w:color="auto" w:fill="ffffff"/>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20"/>
        <w:spacing w:line="360" w:lineRule="auto"/>
        <w:rPr>
          <w:color w:val="000000" w:themeColor="text1"/>
          <w:highlight w:val="none"/>
        </w:rPr>
      </w:pPr>
      <w:r>
        <w:rPr>
          <w:color w:val="000000" w:themeColor="text1"/>
          <w:highlight w:val="none"/>
        </w:rPr>
      </w:r>
      <w:r>
        <w:rPr>
          <w:color w:val="000000" w:themeColor="text1"/>
          <w:highlight w:val="none"/>
        </w:rPr>
      </w:r>
      <w:r/>
    </w:p>
    <w:p>
      <w:pPr>
        <w:pStyle w:val="881"/>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r/>
    </w:p>
    <w:p>
      <w:pPr>
        <w:pStyle w:val="881"/>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r/>
    </w:p>
    <w:p>
      <w:pPr>
        <w:pStyle w:val="88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881"/>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r/>
    </w:p>
    <w:p>
      <w:pPr>
        <w:pStyle w:val="88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1"/>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881"/>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r/>
    </w:p>
    <w:p>
      <w:pPr>
        <w:pStyle w:val="881"/>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881"/>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81"/>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1"/>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1"/>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1"/>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r/>
    </w:p>
    <w:p>
      <w:pPr>
        <w:pStyle w:val="881"/>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881"/>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JSZC-320200-JZCG-G2026-0087</w:t>
      </w:r>
      <w:r>
        <w:rPr>
          <w:rFonts w:hint="eastAsia" w:ascii="宋体" w:hAnsi="宋体"/>
          <w:color w:val="000000" w:themeColor="text1"/>
          <w:sz w:val="24"/>
          <w:szCs w:val="24"/>
          <w:highlight w:val="none"/>
        </w:rPr>
        <w:t xml:space="preserve">在此承诺：</w:t>
      </w:r>
      <w:r>
        <w:rPr>
          <w:color w:val="000000" w:themeColor="text1"/>
          <w:highlight w:val="none"/>
        </w:rPr>
      </w:r>
      <w:r/>
    </w:p>
    <w:p>
      <w:pPr>
        <w:pStyle w:val="881"/>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color w:val="000000" w:themeColor="text1"/>
          <w:highlight w:val="none"/>
        </w:rPr>
      </w: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r/>
    </w:p>
    <w:p>
      <w:pPr>
        <w:pStyle w:val="881"/>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r/>
    </w:p>
    <w:p>
      <w:pPr>
        <w:pStyle w:val="88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color w:val="000000" w:themeColor="text1"/>
          <w:highlight w:val="none"/>
        </w:rPr>
      </w:r>
      <w:r/>
    </w:p>
    <w:p>
      <w:pPr>
        <w:pStyle w:val="881"/>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color w:val="000000" w:themeColor="text1"/>
          <w:highlight w:val="none"/>
        </w:rPr>
      </w: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1"/>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1"/>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881"/>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1"/>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r/>
    </w:p>
    <w:p>
      <w:pPr>
        <w:pStyle w:val="881"/>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r/>
    </w:p>
    <w:p>
      <w:pPr>
        <w:pStyle w:val="881"/>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881"/>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3188"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color w:val="000000" w:themeColor="text1"/>
                <w:highlight w:val="none"/>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2026年度第一批次市级政府投资项目工程造价审计服务</w:t>
            </w:r>
            <w:r>
              <w:rPr>
                <w:color w:val="000000" w:themeColor="text1"/>
                <w:highlight w:val="none"/>
              </w:rPr>
            </w:r>
            <w:r/>
          </w:p>
        </w:tc>
        <w:tc>
          <w:tcPr>
            <w:tcW w:w="3188" w:type="dxa"/>
            <w:vAlign w:val="center"/>
            <w:textDirection w:val="lrTb"/>
            <w:noWrap w:val="false"/>
          </w:tcPr>
          <w:p>
            <w:pPr>
              <w:pStyle w:val="996"/>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trHeight w:val="780"/>
        </w:trPr>
        <w:tc>
          <w:tcPr>
            <w:gridSpan w:val="2"/>
            <w:tcW w:w="8885" w:type="dxa"/>
            <w:vAlign w:val="center"/>
            <w:textDirection w:val="lrTb"/>
            <w:noWrap w:val="false"/>
          </w:tcPr>
          <w:p>
            <w:pPr>
              <w:pStyle w:val="881"/>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color w:val="000000" w:themeColor="text1"/>
                <w:highlight w:val="none"/>
              </w:rPr>
            </w: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w:t>
      </w:r>
      <w:r>
        <w:rPr>
          <w:rFonts w:hint="eastAsia" w:ascii="黑体" w:eastAsia="黑体"/>
          <w:bCs/>
          <w:color w:val="000000" w:themeColor="text1"/>
          <w:sz w:val="24"/>
          <w:szCs w:val="24"/>
          <w:highlight w:val="none"/>
          <w:lang w:val="en-US" w:eastAsia="zh-CN"/>
        </w:rPr>
        <w:t xml:space="preserve">1.</w:t>
      </w:r>
      <w:r>
        <w:rPr>
          <w:rFonts w:hint="eastAsia" w:ascii="黑体" w:eastAsia="黑体"/>
          <w:bCs/>
          <w:color w:val="000000" w:themeColor="text1"/>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pStyle w:val="881"/>
        <w:ind w:firstLine="480"/>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lang w:val="en-US" w:eastAsia="zh-CN"/>
        </w:rPr>
        <w:t xml:space="preserve">2.</w:t>
      </w:r>
      <w:r>
        <w:rPr>
          <w:rFonts w:hint="eastAsia" w:ascii="黑体" w:eastAsia="黑体"/>
          <w:bCs/>
          <w:color w:val="000000" w:themeColor="text1"/>
          <w:sz w:val="24"/>
          <w:szCs w:val="24"/>
          <w:highlight w:val="none"/>
        </w:rPr>
        <w:t xml:space="preserve">投标总报价请按所投采购包的预算直接填写（如投采购包1，则填写</w:t>
      </w:r>
      <w:r>
        <w:rPr>
          <w:rFonts w:hint="eastAsia" w:ascii="黑体" w:eastAsia="黑体"/>
          <w:bCs/>
          <w:color w:val="000000" w:themeColor="text1"/>
          <w:sz w:val="24"/>
          <w:szCs w:val="24"/>
          <w:highlight w:val="none"/>
          <w:lang w:val="en-US" w:eastAsia="zh-CN"/>
        </w:rPr>
        <w:t xml:space="preserve">160</w:t>
      </w:r>
      <w:r>
        <w:rPr>
          <w:rFonts w:hint="eastAsia" w:ascii="黑体" w:eastAsia="黑体"/>
          <w:bCs/>
          <w:color w:val="000000" w:themeColor="text1"/>
          <w:sz w:val="24"/>
          <w:szCs w:val="24"/>
          <w:highlight w:val="none"/>
        </w:rPr>
        <w:t xml:space="preserve">万元即可），否则作为无效投标文件。</w:t>
      </w:r>
      <w:r>
        <w:rPr>
          <w:color w:val="000000" w:themeColor="text1"/>
          <w:highlight w:val="none"/>
        </w:rPr>
      </w:r>
      <w:r/>
    </w:p>
    <w:p>
      <w:pPr>
        <w:pStyle w:val="881"/>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color w:val="000000" w:themeColor="text1"/>
          <w:highlight w:val="none"/>
        </w:rPr>
      </w:r>
      <w:r/>
    </w:p>
    <w:p>
      <w:pPr>
        <w:pStyle w:val="88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1"/>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1"/>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1"/>
              <w:jc w:val="center"/>
              <w:spacing w:before="5"/>
              <w:rPr>
                <w:color w:val="000000" w:themeColor="text1"/>
                <w:sz w:val="18"/>
                <w:highlight w:val="none"/>
              </w:rPr>
            </w:pPr>
            <w:r>
              <w:rPr>
                <w:color w:val="000000" w:themeColor="text1"/>
                <w:sz w:val="18"/>
                <w:highlight w:val="none"/>
              </w:rPr>
              <w:t xml:space="preserve">服务内容</w:t>
            </w:r>
            <w:r>
              <w:rPr>
                <w:color w:val="000000" w:themeColor="text1"/>
                <w:highlight w:val="none"/>
              </w:rPr>
            </w:r>
            <w:r/>
          </w:p>
        </w:tc>
        <w:tc>
          <w:tcPr>
            <w:tcW w:w="851"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1"/>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r/>
          </w:p>
        </w:tc>
        <w:tc>
          <w:tcPr>
            <w:tcW w:w="1134"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r/>
          </w:p>
        </w:tc>
        <w:tc>
          <w:tcPr>
            <w:tcW w:w="1276"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0"/>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1"/>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1"/>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1"/>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color w:val="000000" w:themeColor="text1"/>
                <w:highlight w:val="none"/>
              </w:rPr>
            </w: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1"/>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bl>
    <w:p>
      <w:pPr>
        <w:pStyle w:val="881"/>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color w:val="000000" w:themeColor="text1"/>
          <w:highlight w:val="none"/>
        </w:rPr>
      </w:r>
      <w:r/>
    </w:p>
    <w:p>
      <w:pPr>
        <w:pStyle w:val="881"/>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r/>
    </w:p>
    <w:p>
      <w:pPr>
        <w:pStyle w:val="881"/>
        <w:spacing w:line="400" w:lineRule="exact"/>
        <w:rPr>
          <w:rFonts w:hint="eastAsia" w:ascii="宋体" w:hAnsi="宋体"/>
          <w:bCs/>
          <w:color w:val="000000" w:themeColor="text1"/>
          <w:highlight w:val="none"/>
        </w:rPr>
        <w:outlineLvl w:val="0"/>
      </w:pPr>
      <w:r>
        <w:rPr>
          <w:rFonts w:hint="eastAsia" w:ascii="黑体" w:eastAsia="黑体"/>
          <w:bCs/>
          <w:color w:val="000000" w:themeColor="text1"/>
          <w:sz w:val="24"/>
          <w:szCs w:val="24"/>
          <w:highlight w:val="none"/>
        </w:rPr>
        <w:t xml:space="preserve">注：本项目无分项报价，各投标供应商只需直接填写“无”即可。</w:t>
      </w:r>
      <w:r>
        <w:rPr>
          <w:color w:val="000000" w:themeColor="text1"/>
          <w:highlight w:val="none"/>
        </w:rPr>
      </w: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1"/>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r/>
    </w:p>
    <w:p>
      <w:pPr>
        <w:pStyle w:val="881"/>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Start w:id="202"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r/>
    </w:p>
    <w:p>
      <w:pPr>
        <w:pStyle w:val="881"/>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1"/>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88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881"/>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881"/>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88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color w:val="000000" w:themeColor="text1"/>
          <w:highlight w:val="none"/>
        </w:rPr>
      </w:r>
      <w:r/>
    </w:p>
    <w:p>
      <w:pPr>
        <w:pStyle w:val="881"/>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3" w:name="_Hlt26609389"/>
      <w:r>
        <w:rPr>
          <w:color w:val="000000" w:themeColor="text1"/>
          <w:highlight w:val="none"/>
        </w:rPr>
      </w:r>
      <w:bookmarkEnd w:id="203"/>
      <w:r>
        <w:rPr>
          <w:color w:val="000000" w:themeColor="text1"/>
          <w:highlight w:val="none"/>
        </w:rPr>
      </w:r>
      <w:bookmarkStart w:id="204" w:name="_Hlt26671374"/>
      <w:r>
        <w:rPr>
          <w:color w:val="000000" w:themeColor="text1"/>
          <w:highlight w:val="none"/>
        </w:rPr>
      </w:r>
      <w:bookmarkEnd w:id="204"/>
      <w:r>
        <w:rPr>
          <w:color w:val="000000" w:themeColor="text1"/>
          <w:highlight w:val="none"/>
        </w:rPr>
      </w:r>
      <w:bookmarkStart w:id="205" w:name="_Hlt26955066"/>
      <w:r>
        <w:rPr>
          <w:color w:val="000000" w:themeColor="text1"/>
          <w:highlight w:val="none"/>
        </w:rPr>
      </w:r>
      <w:bookmarkEnd w:id="205"/>
      <w:r>
        <w:rPr>
          <w:color w:val="000000" w:themeColor="text1"/>
          <w:highlight w:val="none"/>
        </w:rPr>
      </w:r>
      <w:bookmarkStart w:id="206" w:name="_格式2__法定代表人授权书"/>
      <w:r>
        <w:rPr>
          <w:color w:val="000000" w:themeColor="text1"/>
          <w:highlight w:val="none"/>
        </w:rPr>
      </w:r>
      <w:bookmarkEnd w:id="206"/>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1"/>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r/>
    </w:p>
    <w:p>
      <w:pPr>
        <w:pStyle w:val="88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r/>
    </w:p>
    <w:p>
      <w:pPr>
        <w:pStyle w:val="88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r/>
    </w:p>
    <w:p>
      <w:pPr>
        <w:pStyle w:val="881"/>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color w:val="000000" w:themeColor="text1"/>
          <w:highlight w:val="none"/>
        </w:rPr>
      </w:r>
      <w:r/>
    </w:p>
    <w:p>
      <w:pPr>
        <w:pStyle w:val="881"/>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1"/>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r/>
    </w:p>
    <w:p>
      <w:pPr>
        <w:pStyle w:val="881"/>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1"/>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25"/>
        <w:gridCol w:w="425"/>
        <w:gridCol w:w="709"/>
        <w:gridCol w:w="709"/>
        <w:gridCol w:w="708"/>
        <w:gridCol w:w="709"/>
        <w:gridCol w:w="709"/>
        <w:gridCol w:w="1417"/>
        <w:gridCol w:w="709"/>
        <w:gridCol w:w="709"/>
        <w:gridCol w:w="1365"/>
      </w:tblGrid>
      <w:tr>
        <w:trPr>
          <w:cantSplit/>
          <w:trHeight w:val="960"/>
        </w:trPr>
        <w:tc>
          <w:tcPr>
            <w:tcW w:w="426"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序号　</w:t>
            </w:r>
            <w:r>
              <w:rPr>
                <w:color w:val="000000" w:themeColor="text1"/>
                <w:highlight w:val="none"/>
              </w:rPr>
            </w:r>
            <w:r/>
          </w:p>
        </w:tc>
        <w:tc>
          <w:tcPr>
            <w:tcW w:w="425"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姓名　</w:t>
            </w:r>
            <w:r>
              <w:rPr>
                <w:color w:val="000000" w:themeColor="text1"/>
                <w:highlight w:val="none"/>
              </w:rPr>
            </w:r>
            <w:r/>
          </w:p>
        </w:tc>
        <w:tc>
          <w:tcPr>
            <w:tcW w:w="425"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职称　</w:t>
            </w:r>
            <w:r>
              <w:rPr>
                <w:color w:val="000000" w:themeColor="text1"/>
                <w:highlight w:val="none"/>
              </w:rPr>
            </w: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一级造价工程师资格证书</w:t>
            </w:r>
            <w:r>
              <w:rPr>
                <w:color w:val="000000" w:themeColor="text1"/>
                <w:highlight w:val="none"/>
              </w:rPr>
            </w:r>
            <w:r/>
          </w:p>
        </w:tc>
        <w:tc>
          <w:tcPr>
            <w:gridSpan w:val="4"/>
            <w:tcW w:w="2835"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一级造价工程师</w:t>
            </w:r>
            <w:r>
              <w:rPr>
                <w:color w:val="000000" w:themeColor="text1"/>
                <w:highlight w:val="none"/>
              </w:rPr>
            </w:r>
            <w:r/>
          </w:p>
          <w:p>
            <w:pPr>
              <w:pStyle w:val="881"/>
              <w:jc w:val="center"/>
              <w:widowControl/>
              <w:rPr>
                <w:rFonts w:ascii="等线" w:hAnsi="等线" w:cs="宋体"/>
                <w:color w:val="000000" w:themeColor="text1"/>
                <w:sz w:val="22"/>
                <w:szCs w:val="20"/>
                <w:highlight w:val="none"/>
              </w:rPr>
            </w:pPr>
            <w:r>
              <w:rPr>
                <w:rFonts w:hint="eastAsia" w:ascii="宋体" w:hAnsi="宋体" w:cs="宋体"/>
                <w:color w:val="000000" w:themeColor="text1"/>
                <w:sz w:val="22"/>
                <w:szCs w:val="20"/>
                <w:highlight w:val="none"/>
              </w:rPr>
              <w:t xml:space="preserve">注册证书</w:t>
            </w:r>
            <w:r>
              <w:rPr>
                <w:color w:val="000000" w:themeColor="text1"/>
                <w:highlight w:val="none"/>
              </w:rPr>
            </w:r>
            <w:r/>
          </w:p>
        </w:tc>
        <w:tc>
          <w:tcPr>
            <w:tcW w:w="1417"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在投标单位社保缴纳开始年月</w:t>
            </w:r>
            <w:r>
              <w:rPr>
                <w:color w:val="000000" w:themeColor="text1"/>
                <w:highlight w:val="none"/>
              </w:rPr>
            </w:r>
            <w:r/>
          </w:p>
        </w:tc>
        <w:tc>
          <w:tcPr>
            <w:tcW w:w="709"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联系电话</w:t>
            </w:r>
            <w:r>
              <w:rPr>
                <w:color w:val="000000" w:themeColor="text1"/>
                <w:highlight w:val="none"/>
              </w:rPr>
            </w:r>
            <w:r/>
          </w:p>
        </w:tc>
        <w:tc>
          <w:tcPr>
            <w:tcW w:w="709"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人员证书对应页码</w:t>
            </w:r>
            <w:r>
              <w:rPr>
                <w:color w:val="000000" w:themeColor="text1"/>
                <w:highlight w:val="none"/>
              </w:rPr>
            </w:r>
            <w:r/>
          </w:p>
        </w:tc>
        <w:tc>
          <w:tcPr>
            <w:tcW w:w="1365" w:type="dxa"/>
            <w:vAlign w:val="center"/>
            <w:vMerge w:val="restart"/>
            <w:textDirection w:val="lrTb"/>
            <w:noWrap/>
          </w:tcPr>
          <w:p>
            <w:pPr>
              <w:pStyle w:val="881"/>
              <w:jc w:val="center"/>
              <w:widowControl/>
              <w:rPr>
                <w:rFonts w:ascii="等线" w:hAnsi="等线" w:cs="宋体"/>
                <w:color w:val="000000" w:themeColor="text1"/>
                <w:sz w:val="24"/>
                <w:highlight w:val="none"/>
              </w:rPr>
            </w:pPr>
            <w:r>
              <w:rPr>
                <w:rFonts w:hint="eastAsia" w:ascii="宋体" w:hAnsi="宋体" w:cs="宋体"/>
                <w:color w:val="000000" w:themeColor="text1"/>
                <w:sz w:val="22"/>
                <w:szCs w:val="20"/>
                <w:highlight w:val="none"/>
              </w:rPr>
              <w:t xml:space="preserve">本项目岗位(项目负责人/常驻协审人员/其他协审人员/档案管理员)</w:t>
            </w:r>
            <w:r>
              <w:rPr>
                <w:color w:val="000000" w:themeColor="text1"/>
                <w:highlight w:val="none"/>
              </w:rPr>
            </w:r>
            <w:r/>
          </w:p>
        </w:tc>
      </w:tr>
      <w:tr>
        <w:trPr>
          <w:cantSplit/>
          <w:trHeight w:val="240"/>
        </w:trPr>
        <w:tc>
          <w:tcPr>
            <w:tcW w:w="426"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425"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425"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专业</w:t>
            </w:r>
            <w:r>
              <w:rPr>
                <w:color w:val="000000" w:themeColor="text1"/>
                <w:highlight w:val="none"/>
              </w:rPr>
            </w:r>
            <w:r/>
          </w:p>
        </w:tc>
        <w:tc>
          <w:tcPr>
            <w:tcW w:w="709" w:type="dxa"/>
            <w:vAlign w:val="center"/>
            <w:textDirection w:val="lrTb"/>
            <w:noWrap/>
          </w:tcPr>
          <w:p>
            <w:pPr>
              <w:pStyle w:val="881"/>
              <w:jc w:val="center"/>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编号</w:t>
            </w:r>
            <w:r>
              <w:rPr>
                <w:color w:val="000000" w:themeColor="text1"/>
                <w:highlight w:val="none"/>
              </w:rPr>
            </w:r>
            <w:r/>
          </w:p>
        </w:tc>
        <w:tc>
          <w:tcPr>
            <w:tcW w:w="708" w:type="dxa"/>
            <w:vAlign w:val="center"/>
            <w:textDirection w:val="lrTb"/>
            <w:noWrap/>
          </w:tcPr>
          <w:p>
            <w:pPr>
              <w:pStyle w:val="881"/>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专业</w:t>
            </w:r>
            <w:r>
              <w:rPr>
                <w:color w:val="000000" w:themeColor="text1"/>
                <w:highlight w:val="none"/>
              </w:rPr>
            </w: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有效期</w:t>
            </w:r>
            <w:r>
              <w:rPr>
                <w:color w:val="000000" w:themeColor="text1"/>
                <w:highlight w:val="none"/>
              </w:rPr>
            </w: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聘用单位</w:t>
            </w:r>
            <w:r>
              <w:rPr>
                <w:color w:val="000000" w:themeColor="text1"/>
                <w:highlight w:val="none"/>
              </w:rPr>
            </w:r>
            <w:r/>
          </w:p>
        </w:tc>
        <w:tc>
          <w:tcPr>
            <w:tcW w:w="1417"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top"/>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1365" w:type="dxa"/>
            <w:vAlign w:val="top"/>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81"/>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color w:val="000000" w:themeColor="text1"/>
          <w:highlight w:val="none"/>
        </w:rPr>
      </w:r>
      <w:r/>
    </w:p>
    <w:p>
      <w:pPr>
        <w:pStyle w:val="881"/>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项目人员业绩汇总表（格式）：</w:t>
      </w:r>
      <w:r>
        <w:rPr>
          <w:color w:val="000000" w:themeColor="text1"/>
          <w:highlight w:val="none"/>
        </w:rPr>
      </w:r>
      <w:r/>
    </w:p>
    <w:p>
      <w:pPr>
        <w:pStyle w:val="881"/>
        <w:ind w:firstLine="490"/>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项目人员业绩汇总表</w:t>
      </w:r>
      <w:r>
        <w:rPr>
          <w:color w:val="000000" w:themeColor="text1"/>
          <w:highlight w:val="none"/>
        </w:rPr>
      </w:r>
      <w:r/>
    </w:p>
    <w:p>
      <w:pPr>
        <w:pStyle w:val="881"/>
        <w:rPr>
          <w:rFonts w:hint="eastAsia" w:ascii="等线" w:hAnsi="等线" w:eastAsia="黑体"/>
          <w:bCs/>
          <w:color w:val="000000" w:themeColor="text1"/>
          <w:sz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88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1135"/>
        <w:gridCol w:w="850"/>
        <w:gridCol w:w="993"/>
        <w:gridCol w:w="1417"/>
        <w:gridCol w:w="975"/>
        <w:gridCol w:w="1578"/>
        <w:gridCol w:w="1257"/>
      </w:tblGrid>
      <w:tr>
        <w:trPr>
          <w:trHeight w:val="975"/>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合同（项目）及服务名称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widowControl/>
              <w:rPr>
                <w:rFonts w:hint="eastAsia" w:ascii="等线" w:hAnsi="等线" w:eastAsia="宋体" w:cs="宋体"/>
                <w:color w:val="000000" w:themeColor="text1"/>
                <w:sz w:val="24"/>
                <w:highlight w:val="none"/>
              </w:rPr>
            </w:pPr>
            <w:r>
              <w:rPr>
                <w:rFonts w:hint="eastAsia" w:ascii="等线" w:hAnsi="等线" w:cs="宋体"/>
                <w:color w:val="000000" w:themeColor="text1"/>
                <w:sz w:val="24"/>
                <w:highlight w:val="none"/>
              </w:rPr>
              <w:t xml:space="preserve">委托方/建设</w:t>
            </w:r>
            <w:r>
              <w:rPr>
                <w:rFonts w:hint="eastAsia" w:ascii="等线" w:hAnsi="等线" w:cs="宋体"/>
                <w:color w:val="000000" w:themeColor="text1"/>
                <w:sz w:val="24"/>
                <w:highlight w:val="none"/>
                <w:lang w:val="en-US" w:eastAsia="zh-CN"/>
              </w:rPr>
              <w:t xml:space="preserve">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审核报告出具时间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建设单位联络人姓名、职务、联系方式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业绩对应页码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881"/>
              <w:jc w:val="center"/>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对应《项目人员配置名单》中的人员姓名及序号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center"/>
            <w:textDirection w:val="lrTb"/>
            <w:noWrap/>
          </w:tcPr>
          <w:p>
            <w:pPr>
              <w:pStyle w:val="881"/>
              <w:jc w:val="center"/>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审核类型</w:t>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color w:val="000000" w:themeColor="text1"/>
          <w:highlight w:val="none"/>
        </w:rPr>
      </w: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highlight w:val="none"/>
        </w:rPr>
        <w:br w:type="page" w:clear="all"/>
      </w:r>
      <w:r>
        <w:rPr>
          <w:rFonts w:hint="eastAsia" w:ascii="黑体" w:hAnsi="宋体" w:eastAsia="黑体"/>
          <w:bCs/>
          <w:color w:val="000000" w:themeColor="text1"/>
          <w:sz w:val="24"/>
          <w:szCs w:val="24"/>
          <w:highlight w:val="none"/>
        </w:rPr>
        <w:t xml:space="preserve">供应商业绩汇总表（格式）：</w:t>
      </w:r>
      <w:r>
        <w:rPr>
          <w:color w:val="000000" w:themeColor="text1"/>
          <w:highlight w:val="none"/>
        </w:rPr>
      </w:r>
      <w:r/>
    </w:p>
    <w:p>
      <w:pPr>
        <w:pStyle w:val="881"/>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供应商业绩汇总表</w:t>
      </w:r>
      <w:r>
        <w:rPr>
          <w:color w:val="000000" w:themeColor="text1"/>
          <w:highlight w:val="none"/>
        </w:rPr>
      </w:r>
      <w:r/>
    </w:p>
    <w:p>
      <w:pPr>
        <w:pStyle w:val="881"/>
        <w:rPr>
          <w:rFonts w:hint="eastAsia" w:ascii="等线" w:hAnsi="等线" w:eastAsia="黑体"/>
          <w:bCs/>
          <w:color w:val="000000" w:themeColor="text1"/>
          <w:sz w:val="24"/>
          <w:highlight w:val="none"/>
        </w:rPr>
        <w:outlineLvl w:val="0"/>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88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4"/>
        <w:gridCol w:w="1597"/>
        <w:gridCol w:w="1134"/>
        <w:gridCol w:w="1276"/>
        <w:gridCol w:w="1701"/>
        <w:gridCol w:w="1134"/>
        <w:gridCol w:w="1238"/>
      </w:tblGrid>
      <w:tr>
        <w:trPr>
          <w:trHeight w:val="97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合同（项目）及服务名称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widowControl/>
              <w:rPr>
                <w:rFonts w:hint="eastAsia" w:ascii="等线" w:hAnsi="等线" w:eastAsia="宋体" w:cs="宋体"/>
                <w:color w:val="000000" w:themeColor="text1"/>
                <w:sz w:val="24"/>
                <w:highlight w:val="none"/>
              </w:rPr>
            </w:pPr>
            <w:r>
              <w:rPr>
                <w:rFonts w:hint="eastAsia" w:ascii="等线" w:hAnsi="等线" w:cs="宋体"/>
                <w:color w:val="000000" w:themeColor="text1"/>
                <w:sz w:val="24"/>
                <w:highlight w:val="none"/>
              </w:rPr>
              <w:t xml:space="preserve">委托方/建设</w:t>
            </w:r>
            <w:r>
              <w:rPr>
                <w:rFonts w:hint="eastAsia" w:ascii="等线" w:hAnsi="等线" w:cs="宋体"/>
                <w:color w:val="000000" w:themeColor="text1"/>
                <w:sz w:val="24"/>
                <w:highlight w:val="none"/>
                <w:lang w:val="en-US" w:eastAsia="zh-CN"/>
              </w:rPr>
              <w:t xml:space="preserve">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审核报告出具时间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建设单位联络人姓名、职务、联系方式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业绩对应页码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审核类型</w:t>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color w:val="000000" w:themeColor="text1"/>
          <w:highlight w:val="none"/>
        </w:rPr>
      </w: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highlight w:val="none"/>
        </w:rPr>
        <w:br w:type="page" w:clear="all"/>
      </w:r>
      <w:bookmarkStart w:id="207" w:name="_Hlk43464841"/>
      <w:r>
        <w:rPr>
          <w:rFonts w:hint="eastAsia" w:ascii="黑体" w:hAnsi="宋体" w:eastAsia="黑体"/>
          <w:bCs/>
          <w:color w:val="000000" w:themeColor="text1"/>
          <w:sz w:val="24"/>
          <w:szCs w:val="24"/>
          <w:highlight w:val="none"/>
        </w:rPr>
        <w:t xml:space="preserve">供应商一级造价工程师名单</w:t>
      </w:r>
      <w:bookmarkEnd w:id="207"/>
      <w:r>
        <w:rPr>
          <w:rFonts w:hint="eastAsia" w:ascii="黑体" w:hAnsi="宋体" w:eastAsia="黑体"/>
          <w:bCs/>
          <w:color w:val="000000" w:themeColor="text1"/>
          <w:sz w:val="24"/>
          <w:szCs w:val="24"/>
          <w:highlight w:val="none"/>
        </w:rPr>
        <w:t xml:space="preserve">（格式）：</w:t>
      </w:r>
      <w:r>
        <w:rPr>
          <w:color w:val="000000" w:themeColor="text1"/>
          <w:highlight w:val="none"/>
        </w:rPr>
      </w:r>
      <w:r/>
    </w:p>
    <w:p>
      <w:pPr>
        <w:pStyle w:val="881"/>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供应商一级造价工程师名单</w:t>
      </w:r>
      <w:r>
        <w:rPr>
          <w:color w:val="000000" w:themeColor="text1"/>
          <w:highlight w:val="none"/>
        </w:rPr>
      </w:r>
      <w:r/>
    </w:p>
    <w:p>
      <w:pPr>
        <w:pStyle w:val="881"/>
        <w:rPr>
          <w:rFonts w:hint="eastAsia" w:ascii="等线" w:hAnsi="等线" w:eastAsia="黑体"/>
          <w:bCs/>
          <w:color w:val="000000" w:themeColor="text1"/>
          <w:sz w:val="24"/>
          <w:highlight w:val="none"/>
        </w:rPr>
        <w:outlineLvl w:val="0"/>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color w:val="000000" w:themeColor="text1"/>
          <w:highlight w:val="none"/>
        </w:rPr>
      </w:r>
      <w:r/>
    </w:p>
    <w:tbl>
      <w:tblPr>
        <w:tblW w:w="90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794"/>
        <w:gridCol w:w="1134"/>
        <w:gridCol w:w="851"/>
        <w:gridCol w:w="708"/>
        <w:gridCol w:w="1002"/>
        <w:gridCol w:w="1275"/>
        <w:gridCol w:w="835"/>
        <w:gridCol w:w="851"/>
        <w:gridCol w:w="821"/>
      </w:tblGrid>
      <w:tr>
        <w:trPr>
          <w:cantSplit/>
          <w:trHeight w:val="960"/>
        </w:trPr>
        <w:tc>
          <w:tcPr>
            <w:tcBorders>
              <w:top w:val="single" w:color="000000" w:sz="4" w:space="0"/>
              <w:left w:val="single" w:color="000000" w:sz="4" w:space="0"/>
              <w:bottom w:val="none" w:color="000000" w:sz="4" w:space="0"/>
              <w:right w:val="single" w:color="000000" w:sz="4" w:space="0"/>
            </w:tcBorders>
            <w:tcW w:w="737" w:type="dxa"/>
            <w:vAlign w:val="center"/>
            <w:vMerge w:val="restart"/>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none" w:color="000000" w:sz="4" w:space="0"/>
              <w:right w:val="single" w:color="000000" w:sz="4" w:space="0"/>
            </w:tcBorders>
            <w:tcW w:w="794" w:type="dxa"/>
            <w:vAlign w:val="center"/>
            <w:vMerge w:val="restart"/>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一级造价工程师资格证书</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4" w:space="0"/>
            </w:tcBorders>
            <w:tcW w:w="3836"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一级造价工程师</w:t>
            </w:r>
            <w:r>
              <w:rPr>
                <w:color w:val="000000" w:themeColor="text1"/>
                <w:highlight w:val="none"/>
              </w:rPr>
            </w:r>
            <w:r/>
          </w:p>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注册证书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对应页码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trHeight w:val="960"/>
        </w:trPr>
        <w:tc>
          <w:tcPr>
            <w:tcBorders>
              <w:top w:val="non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881"/>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94" w:type="dxa"/>
            <w:vAlign w:val="center"/>
            <w:vMerge w:val="continue"/>
            <w:textDirection w:val="lrTb"/>
            <w:noWrap/>
          </w:tcPr>
          <w:p>
            <w:pPr>
              <w:pStyle w:val="881"/>
              <w:jc w:val="center"/>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编号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有效期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聘用单位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color w:val="000000" w:themeColor="text1"/>
          <w:highlight w:val="none"/>
        </w:rPr>
      </w:r>
      <w:r/>
    </w:p>
    <w:p>
      <w:pPr>
        <w:pStyle w:val="881"/>
        <w:rPr>
          <w:color w:val="000000" w:themeColor="text1"/>
          <w:highlight w:val="none"/>
        </w:rPr>
      </w:pPr>
      <w:r>
        <w:rPr>
          <w:color w:val="000000" w:themeColor="text1"/>
          <w:highlight w:val="none"/>
        </w:rPr>
        <w:br w:type="page" w:clear="all"/>
      </w:r>
      <w:r>
        <w:rPr>
          <w:color w:val="000000" w:themeColor="text1"/>
          <w:highlight w:val="none"/>
        </w:rPr>
      </w:r>
      <w:r/>
    </w:p>
    <w:tbl>
      <w:tblPr>
        <w:tblW w:w="5023" w:type="pct"/>
        <w:tblInd w:w="-373" w:type="dxa"/>
        <w:tblLayout w:type="fixed"/>
        <w:tblCellMar>
          <w:left w:w="108" w:type="dxa"/>
          <w:top w:w="0" w:type="dxa"/>
          <w:right w:w="108" w:type="dxa"/>
          <w:bottom w:w="0" w:type="dxa"/>
        </w:tblCellMar>
        <w:tblLook w:val="04A0" w:firstRow="1" w:lastRow="0" w:firstColumn="1" w:lastColumn="0" w:noHBand="0" w:noVBand="1"/>
      </w:tblPr>
      <w:tblGrid>
        <w:gridCol w:w="425"/>
        <w:gridCol w:w="850"/>
        <w:gridCol w:w="709"/>
        <w:gridCol w:w="71"/>
        <w:gridCol w:w="425"/>
        <w:gridCol w:w="711"/>
        <w:gridCol w:w="1839"/>
        <w:gridCol w:w="236"/>
        <w:gridCol w:w="1107"/>
        <w:gridCol w:w="426"/>
        <w:gridCol w:w="318"/>
        <w:gridCol w:w="107"/>
        <w:gridCol w:w="129"/>
        <w:gridCol w:w="296"/>
        <w:gridCol w:w="425"/>
        <w:gridCol w:w="426"/>
        <w:gridCol w:w="713"/>
      </w:tblGrid>
      <w:tr>
        <w:trPr/>
        <w:tc>
          <w:tcPr>
            <w:gridSpan w:val="17"/>
            <w:tcBorders>
              <w:top w:val="none" w:color="000000" w:sz="4" w:space="0"/>
              <w:left w:val="none" w:color="000000" w:sz="4" w:space="0"/>
              <w:bottom w:val="none" w:color="000000" w:sz="4" w:space="0"/>
              <w:right w:val="none" w:color="000000" w:sz="4" w:space="0"/>
            </w:tcBorders>
            <w:tcW w:w="9213" w:type="dxa"/>
            <w:vAlign w:val="center"/>
            <w:textDirection w:val="lrTb"/>
            <w:noWrap/>
          </w:tcPr>
          <w:p>
            <w:pPr>
              <w:pStyle w:val="881"/>
              <w:jc w:val="left"/>
              <w:widowControl/>
              <w:rPr>
                <w:rFonts w:ascii="宋体" w:hAnsi="宋体" w:cs="宋体"/>
                <w:b/>
                <w:bCs/>
                <w:color w:val="000000" w:themeColor="text1"/>
                <w:sz w:val="40"/>
                <w:szCs w:val="40"/>
                <w:highlight w:val="none"/>
              </w:rPr>
            </w:pPr>
            <w:r>
              <w:rPr>
                <w:rFonts w:ascii="黑体" w:hAnsi="宋体" w:eastAsia="黑体"/>
                <w:bCs/>
                <w:color w:val="000000" w:themeColor="text1"/>
                <w:sz w:val="24"/>
                <w:szCs w:val="24"/>
                <w:highlight w:val="none"/>
              </w:rPr>
              <w:t xml:space="preserve">附表</w:t>
            </w:r>
            <w:r>
              <w:rPr>
                <w:rFonts w:hint="eastAsia" w:ascii="黑体" w:hAnsi="宋体" w:eastAsia="黑体"/>
                <w:bCs/>
                <w:color w:val="000000" w:themeColor="text1"/>
                <w:sz w:val="24"/>
                <w:szCs w:val="24"/>
                <w:highlight w:val="none"/>
              </w:rPr>
              <w:t xml:space="preserve">：全过程跟踪审核（含结算审核）项目考核基础表</w:t>
            </w:r>
            <w:r>
              <w:rPr>
                <w:color w:val="000000" w:themeColor="text1"/>
                <w:highlight w:val="none"/>
              </w:rPr>
            </w:r>
            <w:r/>
          </w:p>
        </w:tc>
      </w:tr>
      <w:tr>
        <w:trPr/>
        <w:tc>
          <w:tcPr>
            <w:gridSpan w:val="17"/>
            <w:tcBorders>
              <w:top w:val="none" w:color="000000" w:sz="4" w:space="0"/>
              <w:left w:val="none" w:color="000000" w:sz="4" w:space="0"/>
              <w:bottom w:val="none" w:color="000000" w:sz="4" w:space="0"/>
              <w:right w:val="none" w:color="000000" w:sz="4" w:space="0"/>
            </w:tcBorders>
            <w:tcW w:w="9213" w:type="dxa"/>
            <w:vAlign w:val="center"/>
            <w:textDirection w:val="lrTb"/>
            <w:noWrap/>
          </w:tcPr>
          <w:p>
            <w:pPr>
              <w:pStyle w:val="881"/>
              <w:jc w:val="center"/>
              <w:widowControl/>
              <w:rPr>
                <w:rFonts w:ascii="华文中宋" w:hAnsi="华文中宋" w:eastAsia="华文中宋" w:cs="宋体"/>
                <w:b/>
                <w:bCs/>
                <w:color w:val="000000" w:themeColor="text1"/>
                <w:sz w:val="36"/>
                <w:szCs w:val="36"/>
                <w:highlight w:val="none"/>
              </w:rPr>
            </w:pPr>
            <w:r>
              <w:rPr>
                <w:rFonts w:hint="eastAsia" w:ascii="华文中宋" w:hAnsi="华文中宋" w:eastAsia="华文中宋" w:cs="宋体"/>
                <w:b/>
                <w:bCs/>
                <w:color w:val="000000" w:themeColor="text1"/>
                <w:sz w:val="36"/>
                <w:szCs w:val="36"/>
                <w:highlight w:val="none"/>
              </w:rPr>
              <w:t xml:space="preserve">全过程跟踪审核（含结算审核）项目考核基础表</w:t>
            </w:r>
            <w:r>
              <w:rPr>
                <w:color w:val="000000" w:themeColor="text1"/>
                <w:highlight w:val="none"/>
              </w:rPr>
            </w:r>
            <w:r/>
          </w:p>
        </w:tc>
      </w:tr>
      <w:tr>
        <w:trPr>
          <w:trHeight w:val="297"/>
        </w:trPr>
        <w:tc>
          <w:tcPr>
            <w:tcBorders>
              <w:top w:val="none" w:color="000000" w:sz="4" w:space="0"/>
              <w:left w:val="none" w:color="000000" w:sz="4" w:space="0"/>
              <w:bottom w:val="none" w:color="000000" w:sz="4" w:space="0"/>
              <w:right w:val="none" w:color="000000" w:sz="4" w:space="0"/>
            </w:tcBorders>
            <w:tcW w:w="425" w:type="dxa"/>
            <w:vAlign w:val="center"/>
            <w:textDirection w:val="lrTb"/>
            <w:noWrap/>
          </w:tcPr>
          <w:p>
            <w:pPr>
              <w:pStyle w:val="881"/>
              <w:jc w:val="center"/>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780"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25"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711"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1839"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1533"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318"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23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9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564"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r/>
          </w:p>
        </w:tc>
      </w:tr>
      <w:tr>
        <w:trPr/>
        <w:tc>
          <w:tcPr>
            <w:gridSpan w:val="17"/>
            <w:tcBorders>
              <w:top w:val="none" w:color="000000" w:sz="4" w:space="0"/>
              <w:left w:val="none" w:color="000000" w:sz="4" w:space="0"/>
              <w:bottom w:val="single" w:color="000000" w:sz="4" w:space="0"/>
              <w:right w:val="none" w:color="000000" w:sz="4" w:space="0"/>
            </w:tcBorders>
            <w:tcW w:w="9213" w:type="dxa"/>
            <w:vAlign w:val="center"/>
            <w:textDirection w:val="lrTb"/>
            <w:noWrap/>
          </w:tcPr>
          <w:p>
            <w:pPr>
              <w:pStyle w:val="881"/>
              <w:jc w:val="left"/>
              <w:widowControl/>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协审机构（盖章）：                项目名称：                                                     项目负责人：   </w:t>
            </w:r>
            <w:r>
              <w:rPr>
                <w:color w:val="000000" w:themeColor="text1"/>
                <w:highlight w:val="none"/>
              </w:rPr>
            </w: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rPr>
                <w:color w:val="000000" w:themeColor="text1"/>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考核项目</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满分</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考核期</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考核要点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第一季度扣分</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第二季度扣分</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第三季度扣分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第四季度扣分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平均扣分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考核情况简要说明</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专业配备(8分)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人员组成</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接受委托后5个工作日内提交跟踪审核小组名单的，扣1分；项目负责人无授权委托书的，扣1分；项目负责人不具备一级注册造价师资格的，扣2分；项目负责人专业资格与项目主体专业不匹配的，扣1分；项目审核小组人员专业配备不齐的，扣1分；项目审核小组未根据项目进度及时配备相关专业人员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办公设备及 技术支撑</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审核人员未配备必要的办公设备及工程软件的，扣1分；评（协）审机构针对工程中出现的特殊情况，未及时成立专家小组并提供相关技术支撑的，扣1分。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审核方案</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审核方案应包括工程概况、项目审核小组人员名单及相关资格证书复印件、项目审核计划、评（协）审机构三级复核机制、审核依据及原则、跟踪审核方案等,每缺漏一项扣0.5分。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到岗情况（16分）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现场人员   到岗情况</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按要求对跟踪审核人员出勤情况进行考勤；具体评分要求：</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1.出勤率95%（含）以上的得满分；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2.出勤率90%（含）-95%（不含）的，扣2分；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3.出勤率80%（含）-90%（不含）的，扣5分；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4.出勤率80%（不含）以下的扣10分。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出勤率=驻场人员出勤日合计（实际出勤天数+赴评审中心或建设单位工作天数+履行请假手续天数）/驻场人员应出勤天数合计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参与例会   出勤情况</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对跟踪审核人员参加例会出勤情况等进行检查，凡检查出现不到岗的，每次扣1分。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项目人员   调整情况</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未经允许，擅自调整项目负责人的，扣2分；未经允许，擅自调整其他审核人员的，扣1分。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参与隐蔽   工程情况</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现场审核人员参与重要部位隐蔽工程验收，但未做必要记录的，每出现一次扣1分；现场审核人员未参与重要部位隐蔽工程验收的，每出现一次扣2分。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审核质量（59分）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招标文件、工程量清单、招标控制价等审核</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对招标文件、工程量清单、招标控制价、暂定价格等内容的审核，无重大偏差，任意一项审核结果出现缺漏项、清单描述不清、价格偏离市场</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lang w:val="en-US" w:eastAsia="zh-CN"/>
              </w:rPr>
              <w:t xml:space="preserve">工程量重大偏差且金额较大</w:t>
            </w:r>
            <w:r>
              <w:rPr>
                <w:rFonts w:hint="eastAsia" w:ascii="宋体" w:hAnsi="宋体" w:cs="宋体"/>
                <w:color w:val="000000" w:themeColor="text1"/>
                <w:sz w:val="18"/>
                <w:szCs w:val="18"/>
                <w:highlight w:val="none"/>
              </w:rPr>
              <w:t xml:space="preserve">等情况，每项扣2分。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合同审核</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专用条款中，应按有关规定明确结算方式、付款比例、方式以及对变更、</w:t>
            </w:r>
            <w:r>
              <w:rPr>
                <w:rFonts w:hint="eastAsia" w:ascii="宋体" w:hAnsi="宋体" w:cs="宋体"/>
                <w:color w:val="000000" w:themeColor="text1"/>
                <w:sz w:val="18"/>
                <w:szCs w:val="18"/>
                <w:highlight w:val="none"/>
                <w:lang w:val="en-US" w:eastAsia="zh-CN"/>
              </w:rPr>
              <w:t xml:space="preserve">不平衡报价的约定、</w:t>
            </w:r>
            <w:r>
              <w:rPr>
                <w:rFonts w:hint="eastAsia" w:ascii="宋体" w:hAnsi="宋体" w:cs="宋体"/>
                <w:color w:val="000000" w:themeColor="text1"/>
                <w:sz w:val="18"/>
                <w:szCs w:val="18"/>
                <w:highlight w:val="none"/>
              </w:rPr>
              <w:t xml:space="preserve">材料价格的控制，明确材料价格风险幅度及价格调整办法，对未经过招标新增的部分应按有关规定进行下浮，合同外付款比例按有关规定执行；对未经招标的各类合同的签订，要在合同条款中按规定明确收费下浮比例等</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凡上述涉及的合同条款，审查不到位的，每项扣2分。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招投标及政府采购监督管理</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未及时书面提醒建设单位履行招投标及政府采购手续的，扣1分；对建设单位规避招标及政府采购等行为，评（协）审机构不及时向评审处反馈的，扣1分。不能提供招投标及政府采购台账的，扣1分。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工程变更、    签证审核</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变更、签证无工程量计算依据、工程部位、图纸编号信息的，每次扣1分；未在签证手续签字并加盖公章的，每次扣1分；未及时督促施工单位申报变更签证手续的，每次扣1分；未对工程变更的合理性及变更内容，工程量明确签署意见的，每次扣1分；未在重大变更发生前向评审处进行反馈的，每次扣1分；变更单价或工程量审核不准确的，每次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审核误差率</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单项结算审核误差率达到2%而不足3%的，</w:t>
            </w:r>
            <w:r>
              <w:rPr>
                <w:rFonts w:hint="eastAsia" w:ascii="宋体" w:hAnsi="宋体" w:cs="宋体"/>
                <w:color w:val="000000" w:themeColor="text1"/>
                <w:sz w:val="18"/>
                <w:szCs w:val="18"/>
                <w:highlight w:val="none"/>
              </w:rPr>
              <w:t xml:space="preserve">扣</w:t>
            </w:r>
            <w:r>
              <w:rPr>
                <w:rFonts w:hint="eastAsia" w:ascii="宋体" w:hAnsi="宋体" w:cs="宋体"/>
                <w:color w:val="000000" w:themeColor="text1"/>
                <w:sz w:val="18"/>
                <w:szCs w:val="18"/>
                <w:highlight w:val="none"/>
                <w:lang w:val="en-US" w:eastAsia="zh-CN"/>
              </w:rPr>
              <w:t xml:space="preserve">6</w:t>
            </w:r>
            <w:r>
              <w:rPr>
                <w:rFonts w:hint="eastAsia" w:ascii="宋体" w:hAnsi="宋体" w:cs="宋体"/>
                <w:color w:val="000000" w:themeColor="text1"/>
                <w:sz w:val="18"/>
                <w:szCs w:val="18"/>
                <w:highlight w:val="none"/>
              </w:rPr>
              <w:t xml:space="preserve">分；误差率达到3%而不足4%的，扣</w:t>
            </w:r>
            <w:r>
              <w:rPr>
                <w:rFonts w:hint="eastAsia" w:ascii="宋体" w:hAnsi="宋体" w:cs="宋体"/>
                <w:color w:val="000000" w:themeColor="text1"/>
                <w:sz w:val="18"/>
                <w:szCs w:val="18"/>
                <w:highlight w:val="none"/>
                <w:lang w:val="en-US" w:eastAsia="zh-CN"/>
              </w:rPr>
              <w:t xml:space="preserve">10</w:t>
            </w:r>
            <w:r>
              <w:rPr>
                <w:rFonts w:hint="eastAsia" w:ascii="宋体" w:hAnsi="宋体" w:cs="宋体"/>
                <w:color w:val="000000" w:themeColor="text1"/>
                <w:sz w:val="18"/>
                <w:szCs w:val="18"/>
                <w:highlight w:val="none"/>
              </w:rPr>
              <w:t xml:space="preserve">分；误差率达到4%而不足5%的，扣</w:t>
            </w:r>
            <w:r>
              <w:rPr>
                <w:rFonts w:hint="eastAsia" w:ascii="宋体" w:hAnsi="宋体" w:cs="宋体"/>
                <w:color w:val="000000" w:themeColor="text1"/>
                <w:sz w:val="18"/>
                <w:szCs w:val="18"/>
                <w:highlight w:val="none"/>
                <w:lang w:val="en-US" w:eastAsia="zh-CN"/>
              </w:rPr>
              <w:t xml:space="preserve">15</w:t>
            </w:r>
            <w:r>
              <w:rPr>
                <w:rFonts w:hint="eastAsia" w:ascii="宋体" w:hAnsi="宋体" w:cs="宋体"/>
                <w:color w:val="000000" w:themeColor="text1"/>
                <w:sz w:val="18"/>
                <w:szCs w:val="18"/>
                <w:highlight w:val="none"/>
              </w:rPr>
              <w:t xml:space="preserve">分；误差率在5%以上的，扣</w:t>
            </w:r>
            <w:r>
              <w:rPr>
                <w:rFonts w:hint="eastAsia" w:ascii="宋体" w:hAnsi="宋体" w:cs="宋体"/>
                <w:color w:val="000000" w:themeColor="text1"/>
                <w:sz w:val="18"/>
                <w:szCs w:val="18"/>
                <w:highlight w:val="none"/>
                <w:lang w:val="en-US" w:eastAsia="zh-CN"/>
              </w:rPr>
              <w:t xml:space="preserve">20</w:t>
            </w:r>
            <w:r>
              <w:rPr>
                <w:rFonts w:hint="eastAsia" w:ascii="宋体" w:hAnsi="宋体" w:cs="宋体"/>
                <w:color w:val="000000" w:themeColor="text1"/>
                <w:sz w:val="18"/>
                <w:szCs w:val="18"/>
                <w:highlight w:val="none"/>
              </w:rPr>
              <w:t xml:space="preserve">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设备采购审核</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评（协）审机构应审核设备采购的品种、规格是否与招投标文件、合同中列明的设备相符合；是否存在用于建设项目以外的生产、经营设备；对设备进行现场盘点抽查，以确定账户记录与实际设备数量、型号、规格的一致性，评（协）审机构未审核或者审核结果不正确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工程月报</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未按规定审核月报的，扣2分；月报数据审核不准确的，每发现一项扣2分。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投资偏差   分析</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未按要求对项目实施过程中引起造价偏差问题进行分析的，扣2分。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审核报告</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报告应包含工程概况、审核依据及原则、审核结果、主要核减内容及原因、主要经济指标分析、合理化建议、项目评价等，凡报告中出现缺漏的，每项扣0.5分。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投资控制</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未在工程实施过程中提出控制工程超投资措施建议的，导致工程增加投资5%或超500万元的，扣1分；对于可能出现超投资情况的，未及时反馈的，扣1分。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工作积极性</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对工程中重大事项不及时进行反馈从而影响工程决策的，出现一次扣2分；在审核过程中，工作不积极主动，沟通不顺畅，导致工程产生争议或影响工程实施的，出现一次扣2分。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审核时效（10分）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签订合同</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未在1个月内签订协审协审协议书的，扣2分。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报告时效</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于招标文件、清单、招标控制价等审核，未在规定期限（含核准后适当给予的调整审核时间）内提交符合要求的审核结果的，扣1分；超过期限3个工作日内仍不能提交审核结果的，扣2分；超过期限5个工作日内仍不能提交审核结果的，扣3分；超过期限10个工作日方提交审核结果的，扣4分；              </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对于过程跟踪文件，每出现一次未在规定期限（含核准后适当给予的调整审核时间）内提交符合要求的审核结果的，扣0.5分；超过期限3个工作日内仍不能提交审核结果的，扣1分；超过期限5个工作日内仍不能提交审核结果的，扣1.5分；超过期限10个(含)以上工作日方提交审核结果的，扣2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对于结算审核，评（协）审机构未在规定期限（含核准后适当给予的调整审核时间）内提交符合要求的审核结果的，扣1分；超过期限7个工作日内仍不能提交审核结果的，扣2分；超过期限14个工作日内仍不能提交审核结果的，扣3分；超过期限28个(含)以上工作日方提交审核结果的，扣4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档案管理（5分）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档案管理</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凡出现未对图纸、招投标文件、合同、变更资料、洽商等资料进行存档的，每项扣1分；同时，应保持档案资料整理的规范、整洁，建立相应归档资料台账、目录，出现不符合资料规整要求的，每项扣1分。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额外加分项目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理论研究</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提交符合条件并采纳的宣传信息，每篇得1分；专业类文章，每篇得3分；理论研讨论文，每篇得5分，最高加5分。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加分后最终项目考核超过100分的，按100分计</w:t>
            </w:r>
            <w:r>
              <w:rPr>
                <w:color w:val="000000" w:themeColor="text1"/>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分值</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w:t>
            </w:r>
            <w:r>
              <w:rPr>
                <w:color w:val="000000" w:themeColor="text1"/>
                <w:highlight w:val="none"/>
              </w:rPr>
            </w: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tc>
          <w:tcPr>
            <w:gridSpan w:val="2"/>
            <w:tcBorders>
              <w:top w:val="single" w:color="000000" w:sz="4" w:space="0"/>
              <w:left w:val="single" w:color="000000" w:sz="4" w:space="0"/>
              <w:bottom w:val="single" w:color="000000" w:sz="4" w:space="0"/>
              <w:right w:val="none" w:color="000000" w:sz="4" w:space="0"/>
            </w:tcBorders>
            <w:tcW w:w="127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其他情况说明：</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709"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9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711"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3"/>
            <w:tcBorders>
              <w:top w:val="none" w:color="000000" w:sz="4" w:space="0"/>
              <w:left w:val="none" w:color="000000" w:sz="4" w:space="0"/>
              <w:bottom w:val="single" w:color="000000" w:sz="4" w:space="0"/>
              <w:right w:val="none" w:color="000000" w:sz="4" w:space="0"/>
            </w:tcBorders>
            <w:tcW w:w="3182"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42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42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highlight w:val="none"/>
              </w:rPr>
            </w:r>
            <w:r/>
          </w:p>
        </w:tc>
      </w:tr>
      <w:tr>
        <w:trPr/>
        <w:tc>
          <w:tcPr>
            <w:gridSpan w:val="17"/>
            <w:tcBorders>
              <w:top w:val="single" w:color="000000" w:sz="4" w:space="0"/>
              <w:left w:val="none" w:color="000000" w:sz="4" w:space="0"/>
              <w:bottom w:val="none" w:color="000000" w:sz="4" w:space="0"/>
              <w:right w:val="none" w:color="000000" w:sz="4" w:space="0"/>
            </w:tcBorders>
            <w:tcW w:w="9213" w:type="dxa"/>
            <w:vAlign w:val="center"/>
            <w:textDirection w:val="lrTb"/>
            <w:noWrap/>
          </w:tcPr>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备注：</w:t>
            </w:r>
            <w:r>
              <w:rPr>
                <w:color w:val="000000" w:themeColor="text1"/>
                <w:highlight w:val="none"/>
              </w:rPr>
            </w:r>
            <w:r/>
          </w:p>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1.协审单位为考核主体责任人，负责提供符合审计要求的考核佐证材料。</w:t>
            </w:r>
            <w:r>
              <w:rPr>
                <w:color w:val="000000" w:themeColor="text1"/>
                <w:highlight w:val="none"/>
              </w:rPr>
            </w:r>
            <w:r/>
          </w:p>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2.单项分值扣完为止，不再倒扣。</w:t>
            </w:r>
            <w:r>
              <w:rPr>
                <w:color w:val="000000" w:themeColor="text1"/>
                <w:highlight w:val="none"/>
              </w:rPr>
            </w:r>
            <w:r/>
          </w:p>
          <w:p>
            <w:pPr>
              <w:pStyle w:val="881"/>
              <w:jc w:val="lef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3.计分规则：根据季度得分平均后为年度得分，根据年度得分按服务期平均后加全周期一次性考核得分后为项目最终得分。</w:t>
            </w:r>
            <w:r>
              <w:rPr>
                <w:color w:val="000000" w:themeColor="text1"/>
                <w:highlight w:val="none"/>
              </w:rPr>
            </w:r>
            <w:r/>
          </w:p>
        </w:tc>
      </w:tr>
    </w:tbl>
    <w:p>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５</w:t>
    </w:r>
    <w:r>
      <w:rPr>
        <w:rFonts w:ascii="宋体" w:hAnsi="宋体"/>
      </w:rPr>
      <w:fldChar w:fldCharType="end"/>
    </w:r>
    <w:r>
      <w:rPr>
        <w:rStyle w:val="955"/>
        <w:rFonts w:ascii="宋体" w:hAnsi="宋体"/>
      </w:rPr>
    </w:r>
    <w:r/>
  </w:p>
  <w:p>
    <w:pPr>
      <w:pStyle w:val="9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5">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1"/>
        <w:ind w:left="840" w:hanging="420"/>
        <w:tabs>
          <w:tab w:val="num" w:pos="840" w:leader="none"/>
        </w:tabs>
      </w:pPr>
      <w:rPr>
        <w:rFonts w:cs="Times New Roman"/>
      </w:rPr>
    </w:lvl>
    <w:lvl w:ilvl="2">
      <w:start w:val="10"/>
      <w:numFmt w:val="decimal"/>
      <w:isLgl w:val="false"/>
      <w:suff w:val="tab"/>
      <w:lvlText w:val="%3."/>
      <w:lvlJc w:val="left"/>
      <w:pPr>
        <w:pStyle w:val="881"/>
        <w:ind w:left="1200" w:hanging="360"/>
        <w:tabs>
          <w:tab w:val="num" w:pos="120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9"/>
  </w:num>
  <w:num w:numId="5">
    <w:abstractNumId w:val="4"/>
  </w:num>
  <w:num w:numId="6">
    <w:abstractNumId w:val="1"/>
  </w:num>
  <w:num w:numId="7">
    <w:abstractNumId w:val="2"/>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rFonts w:ascii="Times New Roman" w:hAnsi="Times New Roman"/>
      <w:sz w:val="21"/>
      <w:szCs w:val="21"/>
      <w:lang w:val="en-US" w:eastAsia="zh-CN" w:bidi="ar-SA"/>
    </w:rPr>
  </w:style>
  <w:style w:type="paragraph" w:styleId="882">
    <w:name w:val="标题 1"/>
    <w:basedOn w:val="881"/>
    <w:next w:val="881"/>
    <w:link w:val="893"/>
    <w:qFormat/>
    <w:pPr>
      <w:jc w:val="center"/>
      <w:keepNext/>
      <w:outlineLvl w:val="0"/>
    </w:pPr>
    <w:rPr>
      <w:rFonts w:ascii="楷体_GB2312" w:eastAsia="楷体_GB2312"/>
      <w:sz w:val="28"/>
      <w:szCs w:val="28"/>
    </w:rPr>
  </w:style>
  <w:style w:type="paragraph" w:styleId="883">
    <w:name w:val="标题 2"/>
    <w:basedOn w:val="881"/>
    <w:next w:val="895"/>
    <w:link w:val="894"/>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895"/>
    <w:link w:val="897"/>
    <w:qFormat/>
    <w:pPr>
      <w:keepLines/>
      <w:keepNext/>
      <w:spacing w:before="260" w:after="260" w:line="416" w:lineRule="auto"/>
      <w:outlineLvl w:val="2"/>
    </w:pPr>
    <w:rPr>
      <w:b/>
      <w:bCs/>
      <w:sz w:val="32"/>
      <w:szCs w:val="32"/>
    </w:rPr>
  </w:style>
  <w:style w:type="paragraph" w:styleId="885">
    <w:name w:val="标题 4"/>
    <w:basedOn w:val="881"/>
    <w:next w:val="895"/>
    <w:link w:val="898"/>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895"/>
    <w:link w:val="899"/>
    <w:qFormat/>
    <w:pPr>
      <w:keepNext/>
      <w:outlineLvl w:val="4"/>
    </w:pPr>
    <w:rPr>
      <w:rFonts w:ascii="宋体"/>
      <w:color w:val="000000"/>
      <w:sz w:val="28"/>
      <w:szCs w:val="28"/>
    </w:rPr>
  </w:style>
  <w:style w:type="paragraph" w:styleId="887">
    <w:name w:val="标题 6"/>
    <w:basedOn w:val="881"/>
    <w:next w:val="881"/>
    <w:link w:val="9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1"/>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2"/>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3"/>
    <w:qFormat/>
    <w:pPr>
      <w:numPr>
        <w:ilvl w:val="8"/>
        <w:numId w:val="1"/>
      </w:numPr>
      <w:keepLines/>
      <w:keepNext/>
      <w:spacing w:before="240" w:after="64" w:line="320" w:lineRule="auto"/>
      <w:outlineLvl w:val="8"/>
    </w:pPr>
    <w:rPr>
      <w:rFonts w:ascii="Arial" w:hAnsi="Arial" w:eastAsia="黑体"/>
      <w:sz w:val="20"/>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character" w:styleId="893">
    <w:name w:val="标题 1 Char"/>
    <w:next w:val="893"/>
    <w:link w:val="882"/>
    <w:rPr>
      <w:rFonts w:ascii="楷体_GB2312" w:hAnsi="Times New Roman" w:eastAsia="楷体_GB2312" w:cs="Times New Roman"/>
      <w:sz w:val="28"/>
      <w:szCs w:val="28"/>
    </w:rPr>
  </w:style>
  <w:style w:type="character" w:styleId="894">
    <w:name w:val="标题 2 Char"/>
    <w:next w:val="894"/>
    <w:link w:val="883"/>
    <w:rPr>
      <w:rFonts w:ascii="Arial" w:hAnsi="Arial" w:eastAsia="幼圆" w:cs="Arial"/>
      <w:b/>
      <w:bCs/>
      <w:sz w:val="44"/>
      <w:szCs w:val="44"/>
    </w:rPr>
  </w:style>
  <w:style w:type="paragraph" w:styleId="895">
    <w:name w:val="正文缩进"/>
    <w:basedOn w:val="881"/>
    <w:next w:val="895"/>
    <w:link w:val="896"/>
    <w:pPr>
      <w:ind w:firstLine="420"/>
    </w:pPr>
    <w:rPr>
      <w:sz w:val="20"/>
    </w:rPr>
  </w:style>
  <w:style w:type="character" w:styleId="896">
    <w:name w:val="正文缩进 Char"/>
    <w:next w:val="896"/>
    <w:link w:val="895"/>
    <w:rPr>
      <w:rFonts w:ascii="Times New Roman" w:hAnsi="Times New Roman" w:eastAsia="宋体" w:cs="Times New Roman"/>
      <w:szCs w:val="21"/>
    </w:rPr>
  </w:style>
  <w:style w:type="character" w:styleId="897">
    <w:name w:val="标题 3 Char"/>
    <w:next w:val="897"/>
    <w:link w:val="884"/>
    <w:rPr>
      <w:rFonts w:ascii="Times New Roman" w:hAnsi="Times New Roman" w:eastAsia="宋体" w:cs="Times New Roman"/>
      <w:b/>
      <w:bCs/>
      <w:sz w:val="32"/>
      <w:szCs w:val="32"/>
    </w:rPr>
  </w:style>
  <w:style w:type="character" w:styleId="898">
    <w:name w:val="标题 4 Char"/>
    <w:next w:val="898"/>
    <w:link w:val="885"/>
    <w:rPr>
      <w:rFonts w:ascii="Arial" w:hAnsi="Arial" w:eastAsia="黑体" w:cs="Arial"/>
      <w:b/>
      <w:bCs/>
      <w:sz w:val="28"/>
      <w:szCs w:val="28"/>
    </w:rPr>
  </w:style>
  <w:style w:type="character" w:styleId="899">
    <w:name w:val="标题 5 Char"/>
    <w:next w:val="899"/>
    <w:link w:val="886"/>
    <w:rPr>
      <w:rFonts w:ascii="宋体" w:hAnsi="Times New Roman" w:eastAsia="宋体" w:cs="Times New Roman"/>
      <w:color w:val="000000"/>
      <w:sz w:val="28"/>
      <w:szCs w:val="28"/>
    </w:rPr>
  </w:style>
  <w:style w:type="character" w:styleId="900">
    <w:name w:val="标题 6 Char"/>
    <w:next w:val="900"/>
    <w:link w:val="887"/>
    <w:rPr>
      <w:rFonts w:ascii="Arial" w:hAnsi="Arial" w:eastAsia="黑体" w:cs="Times New Roman"/>
      <w:b/>
      <w:bCs/>
      <w:sz w:val="24"/>
      <w:szCs w:val="24"/>
    </w:rPr>
  </w:style>
  <w:style w:type="character" w:styleId="901">
    <w:name w:val="标题 7 Char"/>
    <w:next w:val="901"/>
    <w:link w:val="888"/>
    <w:rPr>
      <w:rFonts w:ascii="Times New Roman" w:hAnsi="Times New Roman" w:eastAsia="宋体" w:cs="Times New Roman"/>
      <w:b/>
      <w:bCs/>
      <w:sz w:val="24"/>
      <w:szCs w:val="24"/>
    </w:rPr>
  </w:style>
  <w:style w:type="character" w:styleId="902">
    <w:name w:val="标题 8 Char"/>
    <w:next w:val="902"/>
    <w:link w:val="889"/>
    <w:rPr>
      <w:rFonts w:ascii="Arial" w:hAnsi="Arial" w:eastAsia="黑体" w:cs="Times New Roman"/>
      <w:sz w:val="24"/>
      <w:szCs w:val="24"/>
    </w:rPr>
  </w:style>
  <w:style w:type="character" w:styleId="903">
    <w:name w:val="标题 9 Char"/>
    <w:next w:val="903"/>
    <w:link w:val="890"/>
    <w:rPr>
      <w:rFonts w:ascii="Arial" w:hAnsi="Arial" w:eastAsia="黑体" w:cs="Times New Roman"/>
      <w:szCs w:val="21"/>
    </w:rPr>
  </w:style>
  <w:style w:type="paragraph" w:styleId="904">
    <w:name w:val="列表 3"/>
    <w:basedOn w:val="881"/>
    <w:next w:val="904"/>
    <w:link w:val="881"/>
    <w:pPr>
      <w:ind w:left="100" w:hanging="200"/>
    </w:pPr>
  </w:style>
  <w:style w:type="paragraph" w:styleId="905">
    <w:name w:val="目录 7"/>
    <w:basedOn w:val="881"/>
    <w:next w:val="881"/>
    <w:link w:val="881"/>
    <w:semiHidden/>
    <w:pPr>
      <w:ind w:left="1260"/>
      <w:jc w:val="left"/>
    </w:pPr>
  </w:style>
  <w:style w:type="paragraph" w:styleId="906">
    <w:name w:val="文档结构图"/>
    <w:basedOn w:val="881"/>
    <w:next w:val="906"/>
    <w:link w:val="907"/>
    <w:semiHidden/>
    <w:pPr>
      <w:shd w:val="clear" w:color="auto" w:fill="000080"/>
    </w:pPr>
    <w:rPr>
      <w:sz w:val="20"/>
    </w:rPr>
  </w:style>
  <w:style w:type="character" w:styleId="907">
    <w:name w:val="文档结构图 Char"/>
    <w:next w:val="907"/>
    <w:link w:val="906"/>
    <w:semiHidden/>
    <w:rPr>
      <w:rFonts w:ascii="Times New Roman" w:hAnsi="Times New Roman" w:eastAsia="宋体" w:cs="Times New Roman"/>
      <w:szCs w:val="21"/>
      <w:shd w:val="clear" w:color="auto" w:fill="000080"/>
    </w:rPr>
  </w:style>
  <w:style w:type="paragraph" w:styleId="908">
    <w:name w:val="批注文字"/>
    <w:basedOn w:val="881"/>
    <w:next w:val="908"/>
    <w:link w:val="909"/>
    <w:semiHidden/>
    <w:pPr>
      <w:jc w:val="left"/>
    </w:pPr>
    <w:rPr>
      <w:sz w:val="20"/>
    </w:rPr>
  </w:style>
  <w:style w:type="character" w:styleId="909">
    <w:name w:val="批注文字 Char"/>
    <w:next w:val="909"/>
    <w:link w:val="908"/>
    <w:semiHidden/>
    <w:rPr>
      <w:rFonts w:ascii="Times New Roman" w:hAnsi="Times New Roman" w:eastAsia="宋体" w:cs="Times New Roman"/>
      <w:szCs w:val="21"/>
    </w:rPr>
  </w:style>
  <w:style w:type="paragraph" w:styleId="910">
    <w:name w:val="正文文本 3"/>
    <w:basedOn w:val="881"/>
    <w:next w:val="910"/>
    <w:link w:val="911"/>
    <w:rPr>
      <w:rFonts w:ascii="仿宋_GB2312" w:hAnsi="Arial" w:eastAsia="仿宋_GB2312"/>
      <w:sz w:val="32"/>
      <w:szCs w:val="32"/>
    </w:rPr>
  </w:style>
  <w:style w:type="character" w:styleId="911">
    <w:name w:val="正文文本 3 Char"/>
    <w:next w:val="911"/>
    <w:link w:val="910"/>
    <w:rPr>
      <w:rFonts w:ascii="仿宋_GB2312" w:hAnsi="Arial" w:eastAsia="仿宋_GB2312" w:cs="Times New Roman"/>
      <w:sz w:val="32"/>
      <w:szCs w:val="32"/>
    </w:rPr>
  </w:style>
  <w:style w:type="paragraph" w:styleId="912">
    <w:name w:val="正文文本"/>
    <w:basedOn w:val="881"/>
    <w:next w:val="912"/>
    <w:link w:val="913"/>
    <w:rPr>
      <w:rFonts w:ascii="楷体_GB2312" w:hAnsi="Arial" w:eastAsia="楷体_GB2312"/>
      <w:sz w:val="28"/>
      <w:szCs w:val="28"/>
    </w:rPr>
  </w:style>
  <w:style w:type="character" w:styleId="913">
    <w:name w:val="正文文本 Char"/>
    <w:next w:val="913"/>
    <w:link w:val="912"/>
    <w:rPr>
      <w:rFonts w:ascii="楷体_GB2312" w:hAnsi="Arial" w:eastAsia="楷体_GB2312" w:cs="Times New Roman"/>
      <w:sz w:val="28"/>
      <w:szCs w:val="28"/>
    </w:rPr>
  </w:style>
  <w:style w:type="paragraph" w:styleId="914">
    <w:name w:val="正文文本缩进"/>
    <w:basedOn w:val="881"/>
    <w:next w:val="914"/>
    <w:link w:val="915"/>
    <w:pPr>
      <w:ind w:firstLine="645"/>
    </w:pPr>
    <w:rPr>
      <w:rFonts w:ascii="楷体_GB2312" w:eastAsia="楷体_GB2312"/>
      <w:sz w:val="32"/>
      <w:szCs w:val="32"/>
    </w:rPr>
  </w:style>
  <w:style w:type="character" w:styleId="915">
    <w:name w:val="正文文本缩进 Char"/>
    <w:next w:val="915"/>
    <w:link w:val="914"/>
    <w:rPr>
      <w:rFonts w:ascii="楷体_GB2312" w:hAnsi="Times New Roman" w:eastAsia="楷体_GB2312" w:cs="Times New Roman"/>
      <w:sz w:val="32"/>
      <w:szCs w:val="32"/>
    </w:rPr>
  </w:style>
  <w:style w:type="paragraph" w:styleId="916">
    <w:name w:val="列表 2"/>
    <w:basedOn w:val="881"/>
    <w:next w:val="916"/>
    <w:link w:val="881"/>
    <w:pPr>
      <w:ind w:left="100" w:hanging="200"/>
    </w:pPr>
  </w:style>
  <w:style w:type="paragraph" w:styleId="917">
    <w:name w:val="目录 5"/>
    <w:basedOn w:val="881"/>
    <w:next w:val="881"/>
    <w:link w:val="881"/>
    <w:semiHidden/>
    <w:pPr>
      <w:ind w:left="840"/>
      <w:jc w:val="left"/>
    </w:pPr>
  </w:style>
  <w:style w:type="paragraph" w:styleId="918">
    <w:name w:val="目录 3"/>
    <w:basedOn w:val="881"/>
    <w:next w:val="881"/>
    <w:link w:val="881"/>
    <w:semiHidden/>
    <w:pPr>
      <w:ind w:left="420"/>
      <w:jc w:val="left"/>
    </w:pPr>
    <w:rPr>
      <w:i/>
      <w:iCs/>
      <w:szCs w:val="24"/>
    </w:rPr>
  </w:style>
  <w:style w:type="paragraph" w:styleId="919">
    <w:name w:val="纯文本"/>
    <w:basedOn w:val="881"/>
    <w:next w:val="919"/>
    <w:link w:val="920"/>
    <w:rPr>
      <w:rFonts w:ascii="宋体" w:hAnsi="Courier New"/>
      <w:sz w:val="20"/>
    </w:rPr>
  </w:style>
  <w:style w:type="character" w:styleId="920">
    <w:name w:val="纯文本 Char"/>
    <w:next w:val="920"/>
    <w:link w:val="919"/>
    <w:rPr>
      <w:rFonts w:ascii="宋体" w:hAnsi="Courier New" w:eastAsia="宋体" w:cs="Courier New"/>
      <w:szCs w:val="21"/>
    </w:rPr>
  </w:style>
  <w:style w:type="paragraph" w:styleId="921">
    <w:name w:val="目录 8"/>
    <w:basedOn w:val="881"/>
    <w:next w:val="881"/>
    <w:link w:val="881"/>
    <w:semiHidden/>
    <w:pPr>
      <w:ind w:left="1470"/>
      <w:jc w:val="left"/>
    </w:pPr>
  </w:style>
  <w:style w:type="paragraph" w:styleId="922">
    <w:name w:val="日期"/>
    <w:basedOn w:val="881"/>
    <w:next w:val="881"/>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81"/>
    <w:next w:val="924"/>
    <w:link w:val="925"/>
    <w:pPr>
      <w:ind w:left="630" w:firstLine="645"/>
    </w:pPr>
    <w:rPr>
      <w:rFonts w:ascii="Arial" w:hAnsi="Arial" w:eastAsia="仿宋_GB2312"/>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81"/>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81"/>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81"/>
    <w:next w:val="930"/>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uiPriority w:val="99"/>
    <w:qFormat/>
    <w:rPr>
      <w:rFonts w:ascii="Times New Roman" w:hAnsi="Times New Roman" w:eastAsia="宋体" w:cs="Times New Roman"/>
      <w:sz w:val="18"/>
      <w:szCs w:val="18"/>
    </w:rPr>
  </w:style>
  <w:style w:type="paragraph" w:styleId="932">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81"/>
    <w:next w:val="881"/>
    <w:link w:val="881"/>
    <w:semiHidden/>
    <w:pPr>
      <w:ind w:left="630"/>
      <w:jc w:val="left"/>
    </w:pPr>
  </w:style>
  <w:style w:type="paragraph" w:styleId="934">
    <w:name w:val="列表"/>
    <w:basedOn w:val="881"/>
    <w:next w:val="934"/>
    <w:link w:val="881"/>
    <w:pPr>
      <w:ind w:left="200" w:hanging="200"/>
    </w:pPr>
  </w:style>
  <w:style w:type="paragraph" w:styleId="935">
    <w:name w:val="目录 6"/>
    <w:basedOn w:val="881"/>
    <w:next w:val="881"/>
    <w:link w:val="881"/>
    <w:semiHidden/>
    <w:pPr>
      <w:ind w:left="1050"/>
      <w:jc w:val="left"/>
    </w:pPr>
  </w:style>
  <w:style w:type="paragraph" w:styleId="936">
    <w:name w:val="正文文本缩进 3"/>
    <w:basedOn w:val="881"/>
    <w:next w:val="936"/>
    <w:link w:val="937"/>
    <w:pPr>
      <w:ind w:left="645" w:firstLine="645"/>
    </w:pPr>
    <w:rPr>
      <w:rFonts w:ascii="Arial" w:hAnsi="Arial" w:eastAsia="仿宋_GB2312"/>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81"/>
    <w:next w:val="881"/>
    <w:link w:val="881"/>
    <w:semiHidden/>
    <w:pPr>
      <w:ind w:left="840" w:hanging="420"/>
    </w:pPr>
  </w:style>
  <w:style w:type="paragraph" w:styleId="939">
    <w:name w:val="目录 2"/>
    <w:basedOn w:val="881"/>
    <w:next w:val="881"/>
    <w:link w:val="881"/>
    <w:semiHidden/>
    <w:pPr>
      <w:ind w:left="210"/>
      <w:jc w:val="left"/>
    </w:pPr>
    <w:rPr>
      <w:smallCaps/>
      <w:szCs w:val="24"/>
    </w:rPr>
  </w:style>
  <w:style w:type="paragraph" w:styleId="940">
    <w:name w:val="目录 9"/>
    <w:basedOn w:val="881"/>
    <w:next w:val="881"/>
    <w:link w:val="881"/>
    <w:semiHidden/>
    <w:pPr>
      <w:ind w:left="1680"/>
      <w:jc w:val="left"/>
    </w:pPr>
  </w:style>
  <w:style w:type="paragraph" w:styleId="941">
    <w:name w:val="正文文本 2"/>
    <w:basedOn w:val="881"/>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HTML 预设格式"/>
    <w:basedOn w:val="881"/>
    <w:next w:val="943"/>
    <w:link w:val="94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4">
    <w:name w:val="HTML 预设格式 Char"/>
    <w:basedOn w:val="891"/>
    <w:next w:val="944"/>
    <w:link w:val="943"/>
    <w:uiPriority w:val="99"/>
    <w:semiHidden/>
    <w:rPr>
      <w:rFonts w:ascii="宋体" w:hAnsi="宋体" w:cs="宋体"/>
      <w:sz w:val="24"/>
      <w:szCs w:val="24"/>
    </w:rPr>
  </w:style>
  <w:style w:type="paragraph" w:styleId="945">
    <w:name w:val="普通(网站)"/>
    <w:basedOn w:val="881"/>
    <w:next w:val="945"/>
    <w:link w:val="881"/>
    <w:uiPriority w:val="99"/>
    <w:pPr>
      <w:jc w:val="left"/>
      <w:spacing w:before="100" w:beforeAutospacing="1" w:after="100" w:afterAutospacing="1"/>
      <w:widowControl/>
    </w:pPr>
    <w:rPr>
      <w:rFonts w:ascii="宋体" w:hAnsi="宋体" w:cs="宋体"/>
      <w:sz w:val="24"/>
      <w:szCs w:val="24"/>
    </w:rPr>
  </w:style>
  <w:style w:type="paragraph" w:styleId="946">
    <w:name w:val="索引 1"/>
    <w:basedOn w:val="881"/>
    <w:next w:val="881"/>
    <w:link w:val="881"/>
    <w:semiHidden/>
    <w:pPr>
      <w:spacing w:line="240" w:lineRule="atLeast"/>
    </w:pPr>
    <w:rPr>
      <w:b/>
      <w:bCs/>
    </w:rPr>
  </w:style>
  <w:style w:type="paragraph" w:styleId="947">
    <w:name w:val="批注主题"/>
    <w:basedOn w:val="908"/>
    <w:next w:val="908"/>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1"/>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4"/>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2"/>
    <w:next w:val="953"/>
    <w:link w:val="881"/>
    <w:pPr>
      <w:jc w:val="both"/>
      <w:widowControl w:val="off"/>
    </w:pPr>
    <w:rPr>
      <w:rFonts w:ascii="Times New Roman" w:hAnsi="Times New Roman" w:eastAsia="宋体" w:cs="Times New Roman"/>
      <w:sz w:val="20"/>
      <w:szCs w:val="20"/>
    </w:rPr>
    <w:tblPr/>
  </w:style>
  <w:style w:type="character" w:styleId="954">
    <w:name w:val="要点"/>
    <w:next w:val="954"/>
    <w:link w:val="881"/>
    <w:qFormat/>
    <w:rPr>
      <w:b/>
      <w:bCs/>
    </w:rPr>
  </w:style>
  <w:style w:type="character" w:styleId="955">
    <w:name w:val="页码"/>
    <w:next w:val="955"/>
    <w:link w:val="881"/>
  </w:style>
  <w:style w:type="character" w:styleId="956">
    <w:name w:val="已访问的超链接"/>
    <w:next w:val="956"/>
    <w:link w:val="881"/>
    <w:rPr>
      <w:color w:val="800080"/>
      <w:u w:val="single"/>
    </w:rPr>
  </w:style>
  <w:style w:type="character" w:styleId="957">
    <w:name w:val="HTML 打字机"/>
    <w:next w:val="957"/>
    <w:link w:val="881"/>
    <w:uiPriority w:val="99"/>
    <w:rPr>
      <w:rFonts w:ascii="宋体" w:hAnsi="宋体" w:eastAsia="宋体" w:cs="宋体"/>
      <w:sz w:val="24"/>
      <w:szCs w:val="24"/>
    </w:rPr>
  </w:style>
  <w:style w:type="character" w:styleId="958">
    <w:name w:val="超链接"/>
    <w:next w:val="958"/>
    <w:link w:val="881"/>
    <w:rPr>
      <w:color w:val="0000ff"/>
      <w:u w:val="single"/>
    </w:rPr>
  </w:style>
  <w:style w:type="character" w:styleId="959">
    <w:name w:val="批注引用"/>
    <w:next w:val="959"/>
    <w:link w:val="881"/>
    <w:semiHidden/>
    <w:rPr>
      <w:sz w:val="21"/>
      <w:szCs w:val="21"/>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2"/>
    <w:link w:val="881"/>
    <w:pPr>
      <w:spacing w:after="120"/>
    </w:pPr>
    <w:rPr>
      <w:rFonts w:ascii="宋体" w:hAnsi="Arial"/>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1"/>
    <w:next w:val="968"/>
    <w:link w:val="881"/>
    <w:pPr>
      <w:ind w:firstLine="200"/>
      <w:tabs>
        <w:tab w:val="left" w:pos="360" w:leader="none"/>
      </w:tabs>
    </w:pPr>
    <w:rPr>
      <w:sz w:val="28"/>
      <w:szCs w:val="30"/>
    </w:rPr>
  </w:style>
  <w:style w:type="paragraph" w:styleId="969">
    <w:name w:val=" Char"/>
    <w:basedOn w:val="906"/>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sz w:val="24"/>
      <w:szCs w:val="24"/>
    </w:rPr>
  </w:style>
  <w:style w:type="paragraph" w:styleId="971">
    <w:name w:val="table_lines"/>
    <w:basedOn w:val="881"/>
    <w:next w:val="971"/>
    <w:link w:val="881"/>
    <w:pPr>
      <w:jc w:val="left"/>
      <w:widowControl/>
    </w:pPr>
    <w:rPr>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sz w:val="18"/>
      <w:szCs w:val="18"/>
    </w:rPr>
  </w:style>
  <w:style w:type="paragraph" w:styleId="974">
    <w:name w:val=" Char Char Char Char"/>
    <w:basedOn w:val="906"/>
    <w:next w:val="974"/>
    <w:link w:val="881"/>
    <w:pPr>
      <w:spacing w:line="360" w:lineRule="auto"/>
    </w:pPr>
    <w:rPr>
      <w:rFonts w:ascii="Tahoma" w:hAnsi="Tahoma"/>
      <w:sz w:val="24"/>
      <w:szCs w:val="24"/>
    </w:rPr>
  </w:style>
  <w:style w:type="paragraph" w:styleId="975">
    <w:name w:val="列出段落"/>
    <w:basedOn w:val="881"/>
    <w:next w:val="975"/>
    <w:link w:val="881"/>
    <w:uiPriority w:val="99"/>
    <w:qFormat/>
    <w:pPr>
      <w:contextualSpacing/>
      <w:ind w:left="720"/>
      <w:jc w:val="left"/>
      <w:widowControl/>
    </w:pPr>
    <w:rPr>
      <w:rFonts w:ascii="Calibri" w:hAnsi="Calibri"/>
      <w:sz w:val="24"/>
      <w:szCs w:val="24"/>
      <w:lang w:eastAsia="en-US" w:bidi="en-US"/>
    </w:rPr>
  </w:style>
  <w:style w:type="paragraph" w:styleId="976">
    <w:name w:val="4"/>
    <w:basedOn w:val="881"/>
    <w:next w:val="936"/>
    <w:link w:val="881"/>
    <w:pPr>
      <w:ind w:firstLine="420"/>
      <w:spacing w:line="360" w:lineRule="auto"/>
    </w:pPr>
    <w:rPr>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1"/>
    <w:next w:val="978"/>
    <w:link w:val="881"/>
    <w:pPr>
      <w:spacing w:line="360" w:lineRule="auto"/>
    </w:pPr>
    <w:rPr>
      <w:sz w:val="24"/>
      <w:szCs w:val="20"/>
    </w:rPr>
  </w:style>
  <w:style w:type="paragraph" w:styleId="979">
    <w:name w:val="样式1"/>
    <w:basedOn w:val="881"/>
    <w:next w:val="979"/>
    <w:link w:val="881"/>
    <w:pPr>
      <w:numPr>
        <w:ilvl w:val="0"/>
        <w:numId w:val="3"/>
      </w:numPr>
      <w:tabs>
        <w:tab w:val="left" w:pos="709" w:leader="none"/>
      </w:tabs>
    </w:pPr>
    <w:rPr>
      <w:rFonts w:ascii="宋体" w:hAnsi="宋体"/>
    </w:rPr>
  </w:style>
  <w:style w:type="paragraph" w:styleId="980">
    <w:name w:val="font6"/>
    <w:basedOn w:val="881"/>
    <w:next w:val="980"/>
    <w:link w:val="881"/>
    <w:pPr>
      <w:jc w:val="left"/>
      <w:spacing w:before="100" w:beforeAutospacing="1" w:after="100" w:afterAutospacing="1"/>
      <w:widowControl/>
    </w:pPr>
    <w:rPr>
      <w:rFonts w:hint="eastAsia" w:ascii="宋体" w:hAnsi="宋体"/>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1"/>
    <w:next w:val="881"/>
    <w:link w:val="881"/>
    <w:pPr>
      <w:ind w:firstLine="624"/>
      <w:spacing w:line="590" w:lineRule="atLeast"/>
    </w:pPr>
    <w:rPr>
      <w:rFonts w:ascii="方正黑体_GBK" w:eastAsia="方正黑体_GBK"/>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b/>
      <w:bCs/>
      <w:sz w:val="36"/>
      <w:szCs w:val="36"/>
    </w:rPr>
  </w:style>
  <w:style w:type="paragraph" w:styleId="990">
    <w:name w:val="Char Char Char Char"/>
    <w:basedOn w:val="906"/>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1"/>
    <w:uiPriority w:val="99"/>
    <w:semiHidden/>
    <w:rPr>
      <w:rFonts w:ascii="Times New Roman" w:hAnsi="Times New Roman"/>
      <w:sz w:val="21"/>
      <w:szCs w:val="21"/>
      <w:lang w:val="en-US" w:eastAsia="zh-CN" w:bidi="ar-SA"/>
    </w:rPr>
  </w:style>
  <w:style w:type="paragraph" w:styleId="995">
    <w:name w:val="无间隔"/>
    <w:next w:val="995"/>
    <w:link w:val="881"/>
    <w:uiPriority w:val="99"/>
    <w:qFormat/>
    <w:pPr>
      <w:jc w:val="both"/>
      <w:widowControl w:val="off"/>
    </w:pPr>
    <w:rPr>
      <w:rFonts w:ascii="Times New Roman" w:hAnsi="Times New Roman"/>
      <w:sz w:val="21"/>
      <w:szCs w:val="21"/>
      <w:lang w:val="en-US" w:eastAsia="zh-CN" w:bidi="ar-SA"/>
    </w:rPr>
  </w:style>
  <w:style w:type="paragraph" w:styleId="996">
    <w:name w:val="普通文字"/>
    <w:basedOn w:val="881"/>
    <w:next w:val="881"/>
    <w:link w:val="881"/>
    <w:uiPriority w:val="99"/>
    <w:rPr>
      <w:rFonts w:ascii="宋体" w:hAnsi="Times New Roman" w:eastAsia="宋体" w:cs="Times New Roman"/>
      <w:sz w:val="24"/>
      <w:szCs w:val="20"/>
      <w:u w:val="none"/>
    </w:rPr>
  </w:style>
  <w:style w:type="paragraph" w:styleId="997">
    <w:name w:val="目录 111"/>
    <w:basedOn w:val="881"/>
    <w:next w:val="881"/>
    <w:link w:val="881"/>
    <w:uiPriority w:val="39"/>
    <w:unhideWhenUsed/>
    <w:qFormat/>
    <w:pPr>
      <w:jc w:val="left"/>
      <w:spacing w:after="100" w:line="259" w:lineRule="auto"/>
      <w:widowControl/>
    </w:pPr>
    <w:rPr>
      <w:rFonts w:ascii="Calibri" w:hAnsi="Calibri" w:eastAsia="宋体"/>
      <w:sz w:val="22"/>
      <w:szCs w:val="22"/>
    </w:rPr>
  </w:style>
  <w:style w:type="paragraph" w:styleId="998">
    <w:name w:val="纯文本1"/>
    <w:basedOn w:val="881"/>
    <w:next w:val="998"/>
    <w:link w:val="881"/>
    <w:qFormat/>
    <w:rPr>
      <w:rFonts w:ascii="宋体" w:hAnsi="Courier New"/>
      <w:sz w:val="20"/>
      <w:lang w:val="en-US" w:eastAsia="en-US"/>
    </w:rPr>
  </w:style>
  <w:style w:type="paragraph" w:styleId="999">
    <w:name w:val="列出段落2"/>
    <w:basedOn w:val="881"/>
    <w:next w:val="999"/>
    <w:link w:val="881"/>
    <w:uiPriority w:val="99"/>
    <w:qFormat/>
    <w:pPr>
      <w:contextualSpacing/>
      <w:ind w:left="720"/>
      <w:jc w:val="left"/>
      <w:widowControl/>
    </w:pPr>
    <w:rPr>
      <w:rFonts w:ascii="Calibri" w:hAnsi="Calibri"/>
      <w:sz w:val="24"/>
      <w:szCs w:val="24"/>
      <w:lang w:eastAsia="en-US" w:bidi="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74</cp:revision>
  <dcterms:created xsi:type="dcterms:W3CDTF">2023-03-16T02:16:00Z</dcterms:created>
  <dcterms:modified xsi:type="dcterms:W3CDTF">2026-10-22T02:14:42Z</dcterms:modified>
</cp:coreProperties>
</file>