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cs="宋体"/>
          <w:b/>
          <w:bCs/>
          <w:strike w:val="0"/>
          <w:color w:val="auto"/>
          <w:sz w:val="36"/>
          <w:highlight w:val="none"/>
          <w:lang w:eastAsia="zh-CN"/>
        </w:rPr>
        <w:t xml:space="preserve">JSZC-321000-SSZX-G2026-0007号</w:t>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cs="宋体"/>
          <w:b/>
          <w:bCs/>
          <w:color w:val="auto"/>
          <w:sz w:val="36"/>
          <w:highlight w:val="none"/>
          <w:lang w:eastAsia="zh-CN"/>
        </w:rPr>
      </w:pPr>
      <w:r>
        <w:rPr>
          <w:rFonts w:hint="eastAsia" w:ascii="Times New Roman" w:hAnsi="Times New Roman" w:cs="宋体"/>
          <w:b/>
          <w:bCs/>
          <w:color w:val="auto"/>
          <w:sz w:val="36"/>
          <w:highlight w:val="none"/>
          <w:lang w:eastAsia="zh-CN"/>
        </w:rPr>
        <w:t xml:space="preserve">扬州市城区河道水利运维安防监控完善项目</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公开招标文件</w:t>
      </w:r>
      <w:r/>
    </w:p>
    <w:p>
      <w:pPr>
        <w:pStyle w:val="936"/>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hint="eastAsia" w:ascii="宋体" w:hAnsi="宋体" w:eastAsia="宋体" w:cs="宋体"/>
          <w:sz w:val="36"/>
          <w:highlight w:val="none"/>
          <w:lang w:val="zh-CN"/>
        </w:rPr>
        <mc:AlternateContent>
          <mc:Choice Requires="wpg">
            <w:drawing>
              <wp:inline xmlns:wp="http://schemas.openxmlformats.org/drawingml/2006/wordprocessingDrawing" distT="0" distB="0" distL="0" distR="0">
                <wp:extent cx="5177155" cy="3690620"/>
                <wp:effectExtent l="0" t="0" r="4445" b="12700"/>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4"/>
                        <a:stretch/>
                      </pic:blipFill>
                      <pic:spPr bwMode="auto">
                        <a:xfrm>
                          <a:off x="0" y="0"/>
                          <a:ext cx="51771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6pt;height:290.6pt;mso-wrap-distance-left:0.0pt;mso-wrap-distance-top:0.0pt;mso-wrap-distance-right:0.0pt;mso-wrap-distance-bottom:0.0pt;" stroked="f">
                <v:path textboxrect="0,0,0,0"/>
                <v:imagedata r:id="rId14" o:title=""/>
              </v:shape>
            </w:pict>
          </mc:Fallback>
        </mc:AlternateConten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lang w:eastAsia="zh-CN"/>
        </w:rPr>
      </w:pPr>
      <w:r>
        <w:rPr>
          <w:rFonts w:hint="eastAsia" w:ascii="Times New Roman" w:hAnsi="Times New Roman" w:cs="宋体"/>
          <w:b/>
          <w:bCs/>
          <w:color w:val="auto"/>
          <w:sz w:val="36"/>
          <w:highlight w:val="none"/>
          <w:lang w:eastAsia="zh-CN"/>
        </w:rPr>
        <w:t xml:space="preserve">江苏苏中兴工程造价咨询有限公司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eastAsia" w:ascii="Times New Roman" w:hAnsi="Times New Roman" w:eastAsia="宋体" w:cs="宋体"/>
          <w:b/>
          <w:bCs/>
          <w:color w:val="auto"/>
          <w:sz w:val="36"/>
          <w:highlight w:val="none"/>
          <w:lang w:val="en-US" w:eastAsia="zh-CN"/>
        </w:rPr>
        <w:t xml:space="preserve">0</w:t>
      </w:r>
      <w:r>
        <w:rPr>
          <w:rFonts w:hint="eastAsia" w:ascii="Times New Roman" w:hAnsi="Times New Roman" w:cs="宋体"/>
          <w:b/>
          <w:bCs/>
          <w:color w:val="auto"/>
          <w:sz w:val="36"/>
          <w:highlight w:val="none"/>
          <w:lang w:val="en-US" w:eastAsia="zh-CN"/>
        </w:rPr>
        <w:t xml:space="preserve">9</w:t>
      </w:r>
      <w:r>
        <w:rPr>
          <w:rFonts w:hint="eastAsia" w:ascii="Times New Roman" w:hAnsi="Times New Roman" w:eastAsia="宋体"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16</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yellow"/>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yellow"/>
        </w:rPr>
      </w:r>
      <w:r/>
    </w:p>
    <w:p>
      <w:pPr>
        <w:pStyle w:val="946"/>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ageBreakBefore w:val="0"/>
        <w:spacing w:line="360" w:lineRule="auto"/>
        <w:rPr>
          <w:rFonts w:hint="eastAsia" w:ascii="Times New Roman" w:hAnsi="Times New Roman" w:eastAsia="宋体" w:cs="宋体"/>
          <w:color w:val="auto"/>
          <w:sz w:val="32"/>
          <w:szCs w:val="32"/>
          <w:highlight w:val="none"/>
          <w:lang w:val="en-US" w:eastAsia="zh-CN" w:bidi="ar-SA"/>
        </w:rPr>
      </w:pPr>
      <w:r>
        <w:rPr>
          <w:rFonts w:hint="eastAsia" w:ascii="Times New Roman" w:hAnsi="Times New Roman" w:eastAsia="宋体" w:cs="宋体"/>
          <w:color w:val="auto"/>
          <w:sz w:val="32"/>
          <w:szCs w:val="32"/>
          <w:highlight w:val="none"/>
          <w:lang w:val="en-US" w:eastAsia="zh-CN" w:bidi="ar-SA"/>
        </w:rPr>
      </w:r>
      <w:r/>
    </w:p>
    <w:sdt>
      <w:sdtPr>
        <w15:appearance w15:val="boundingBox"/>
        <w15:color w:val="dbdbdb"/>
        <w:id w:val="14745595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keepLines w:val="0"/>
            <w:keepNext w:val="0"/>
            <w:pageBreakBefore w:val="0"/>
            <w:spacing w:before="0" w:after="0" w:line="480" w:lineRule="auto"/>
            <w:widowControl w:val="off"/>
            <w:rPr>
              <w:color w:val="auto"/>
              <w:sz w:val="28"/>
              <w:szCs w:val="28"/>
              <w:highlight w:val="none"/>
            </w:rPr>
          </w:pPr>
          <w:r>
            <w:rPr>
              <w:rFonts w:ascii="宋体" w:hAnsi="宋体" w:eastAsia="宋体"/>
              <w:color w:val="auto"/>
              <w:sz w:val="28"/>
              <w:szCs w:val="28"/>
              <w:highlight w:val="none"/>
            </w:rPr>
            <w:t xml:space="preserve">目录</w:t>
          </w:r>
          <w:r/>
        </w:p>
        <w:p>
          <w:pPr>
            <w:pStyle w:val="709"/>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TOC \o "1-1" \h \u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_Toc9352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第一章 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_Toc9352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09"/>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_Toc15067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_Toc15067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09"/>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_Toc12895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_Toc12895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09"/>
            <w:keepLines w:val="0"/>
            <w:keepNext w:val="0"/>
            <w:pageBreakBefore w:val="0"/>
            <w:spacing w:line="480" w:lineRule="auto"/>
            <w:widowControl w:val="off"/>
            <w:tabs>
              <w:tab w:val="right" w:pos="8306" w:leader="dot"/>
            </w:tabs>
            <w:rPr>
              <w:rFonts w:hint="default" w:eastAsia="宋体"/>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_Toc4495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Arial"/>
              <w:color w:val="auto"/>
              <w:sz w:val="28"/>
              <w:szCs w:val="28"/>
              <w:highlight w:val="none"/>
              <w:lang w:val="en-US" w:eastAsia="zh-CN" w:bidi="ar-SA"/>
            </w:rPr>
            <w:t xml:space="preserve">第四章 </w:t>
          </w:r>
          <w:r>
            <w:rPr>
              <w:rFonts w:hint="eastAsia" w:ascii="Times New Roman" w:hAnsi="Times New Roman" w:eastAsia="宋体"/>
              <w:color w:val="auto"/>
              <w:sz w:val="28"/>
              <w:szCs w:val="28"/>
              <w:highlight w:val="none"/>
            </w:rPr>
            <w:t xml:space="preserve">项目需求</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26</w:t>
          </w:r>
          <w:r/>
        </w:p>
        <w:p>
          <w:pPr>
            <w:pStyle w:val="709"/>
            <w:keepLines w:val="0"/>
            <w:keepNext w:val="0"/>
            <w:pageBreakBefore w:val="0"/>
            <w:spacing w:line="480" w:lineRule="auto"/>
            <w:widowControl w:val="off"/>
            <w:tabs>
              <w:tab w:val="right" w:pos="8306" w:leader="dot"/>
            </w:tabs>
            <w:rPr>
              <w:rFonts w:hint="default"/>
              <w:color w:val="auto"/>
              <w:sz w:val="28"/>
              <w:szCs w:val="28"/>
              <w:highlight w:val="none"/>
              <w:lang w:val="en-US"/>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_Toc821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第五章 评标方法及评标标准</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4</w:t>
          </w:r>
          <w:r>
            <w:rPr>
              <w:rFonts w:hint="eastAsia" w:ascii="Times New Roman" w:hAnsi="Times New Roman" w:cs="Times New Roman"/>
              <w:color w:val="auto"/>
              <w:sz w:val="28"/>
              <w:szCs w:val="28"/>
              <w:highlight w:val="none"/>
              <w:lang w:val="en-US" w:eastAsia="zh-CN" w:bidi="ar-SA"/>
            </w:rPr>
            <w:t xml:space="preserve">5</w:t>
          </w:r>
          <w:r/>
        </w:p>
        <w:p>
          <w:pPr>
            <w:pStyle w:val="709"/>
            <w:keepLines w:val="0"/>
            <w:keepNext w:val="0"/>
            <w:pageBreakBefore w:val="0"/>
            <w:spacing w:line="480" w:lineRule="auto"/>
            <w:widowControl w:val="off"/>
            <w:tabs>
              <w:tab w:val="right" w:pos="8306" w:leader="dot"/>
            </w:tabs>
            <w:rPr>
              <w:rFonts w:hint="default"/>
              <w:color w:val="auto"/>
              <w:sz w:val="28"/>
              <w:szCs w:val="28"/>
              <w:highlight w:val="none"/>
              <w:lang w:val="en-US"/>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_Toc8012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第六章 投标文件格式</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5</w:t>
          </w:r>
          <w:r>
            <w:rPr>
              <w:rFonts w:hint="eastAsia" w:ascii="Times New Roman" w:hAnsi="Times New Roman" w:cs="Times New Roman"/>
              <w:color w:val="auto"/>
              <w:sz w:val="28"/>
              <w:szCs w:val="28"/>
              <w:highlight w:val="none"/>
              <w:lang w:val="en-US" w:eastAsia="zh-CN" w:bidi="ar-SA"/>
            </w:rPr>
            <w:t xml:space="preserve">0</w:t>
          </w:r>
          <w:r/>
        </w:p>
        <w:p>
          <w:pPr>
            <w:keepLines w:val="0"/>
            <w:keepNext w:val="0"/>
            <w:pageBreakBefore w:val="0"/>
            <w:spacing w:line="48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fldChar w:fldCharType="end"/>
          </w:r>
          <w:r/>
        </w:p>
      </w:sdtContent>
    </w:sdt>
    <w:p>
      <w:pPr>
        <w:pageBreakBefore w:val="0"/>
        <w:spacing w:line="360" w:lineRule="auto"/>
        <w:rPr>
          <w:rFonts w:hint="eastAsia" w:ascii="Times New Roman" w:hAnsi="Times New Roman" w:eastAsia="宋体" w:cs="Times New Roman"/>
          <w:color w:val="auto"/>
          <w:sz w:val="21"/>
          <w:szCs w:val="22"/>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color w:val="auto"/>
          <w:sz w:val="21"/>
          <w:szCs w:val="22"/>
          <w:highlight w:val="none"/>
          <w:lang w:val="en-US" w:eastAsia="zh-CN" w:bidi="ar-SA"/>
        </w:rPr>
      </w:r>
      <w:r/>
    </w:p>
    <w:p>
      <w:pPr>
        <w:pStyle w:val="681"/>
        <w:pageBreakBefore w:val="0"/>
        <w:spacing w:line="360" w:lineRule="auto"/>
        <w:rPr>
          <w:rFonts w:ascii="Times New Roman" w:hAnsi="Times New Roman" w:eastAsia="宋体"/>
          <w:color w:val="auto"/>
          <w:highlight w:val="none"/>
        </w:rPr>
      </w:pPr>
      <w:r/>
      <w:bookmarkStart w:id="0" w:name="_Toc9352"/>
      <w:r/>
      <w:bookmarkStart w:id="1" w:name="_Toc27131"/>
      <w:r/>
      <w:bookmarkStart w:id="2" w:name="_Toc13036"/>
      <w:r/>
      <w:bookmarkStart w:id="3" w:name="_Toc24386"/>
      <w:r/>
      <w:bookmarkStart w:id="4" w:name="_Toc27214"/>
      <w:r/>
      <w:bookmarkStart w:id="137" w:name="_GoBack"/>
      <w:r/>
      <w:bookmarkEnd w:id="137"/>
      <w:r>
        <w:rPr>
          <w:rFonts w:hint="eastAsia" w:ascii="Times New Roman" w:hAnsi="Times New Roman" w:eastAsia="宋体"/>
          <w:color w:val="auto"/>
          <w:highlight w:val="none"/>
        </w:rPr>
        <w:t xml:space="preserve">第一章 </w:t>
      </w:r>
      <w:bookmarkStart w:id="5" w:name="_Toc27417"/>
      <w:r/>
      <w:bookmarkStart w:id="6" w:name="_Toc28446"/>
      <w:r>
        <w:rPr>
          <w:rFonts w:hint="eastAsia" w:ascii="Times New Roman" w:hAnsi="Times New Roman" w:eastAsia="宋体"/>
          <w:color w:val="auto"/>
          <w:highlight w:val="none"/>
        </w:rPr>
        <w:t xml:space="preserve">采购公告</w:t>
      </w:r>
      <w:bookmarkEnd w:id="0"/>
      <w:r/>
      <w:bookmarkEnd w:id="1"/>
      <w:r/>
      <w:bookmarkEnd w:id="2"/>
      <w:r/>
      <w:bookmarkEnd w:id="3"/>
      <w:r/>
      <w:bookmarkEnd w:id="4"/>
      <w:r/>
      <w:bookmarkEnd w:id="5"/>
      <w:r/>
      <w:bookmarkEnd w:id="6"/>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扬州市城市河道管理处</w:t>
      </w:r>
      <w:r>
        <w:rPr>
          <w:rFonts w:hint="eastAsia" w:ascii="Times New Roman" w:hAnsi="Times New Roman" w:eastAsia="宋体" w:cs="宋体"/>
          <w:color w:val="auto"/>
          <w:highlight w:val="none"/>
        </w:rPr>
        <w:t xml:space="preserve">的委托，</w:t>
      </w:r>
      <w:r>
        <w:rPr>
          <w:rFonts w:hint="eastAsia" w:ascii="Times New Roman" w:hAnsi="Times New Roman" w:cs="宋体"/>
          <w:color w:val="auto"/>
          <w:highlight w:val="none"/>
          <w:lang w:eastAsia="zh-CN"/>
        </w:rPr>
        <w:t xml:space="preserve">江苏苏中兴工程造价咨询有限公司</w:t>
      </w:r>
      <w:r>
        <w:rPr>
          <w:rFonts w:hint="eastAsia" w:ascii="Times New Roman" w:hAnsi="Times New Roman" w:eastAsia="宋体" w:cs="宋体"/>
          <w:color w:val="auto"/>
          <w:highlight w:val="none"/>
        </w:rPr>
        <w:t xml:space="preserve">就</w:t>
      </w:r>
      <w:r>
        <w:rPr>
          <w:rFonts w:hint="eastAsia" w:ascii="Times New Roman" w:hAnsi="Times New Roman" w:cs="宋体"/>
          <w:color w:val="auto"/>
          <w:highlight w:val="none"/>
          <w:lang w:eastAsia="zh-CN"/>
        </w:rPr>
        <w:t xml:space="preserve">扬州市城区河道水利运维安防监控完善项目</w:t>
      </w:r>
      <w:r>
        <w:rPr>
          <w:rFonts w:hint="eastAsia" w:ascii="Times New Roman" w:hAnsi="Times New Roman" w:eastAsia="宋体" w:cs="宋体"/>
          <w:color w:val="auto"/>
          <w:highlight w:val="none"/>
        </w:rPr>
        <w:t xml:space="preserve">（</w:t>
      </w:r>
      <w:r>
        <w:rPr>
          <w:rFonts w:hint="eastAsia" w:ascii="Times New Roman" w:hAnsi="Times New Roman" w:cs="宋体"/>
          <w:color w:val="auto"/>
          <w:szCs w:val="21"/>
          <w:highlight w:val="none"/>
          <w:lang w:eastAsia="zh-CN"/>
        </w:rPr>
        <w:t xml:space="preserve">JSZC-321000-SSZX-G2026-0007号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highlight w:val="none"/>
          <w:u w:val="single"/>
          <w:lang w:eastAsia="zh-CN"/>
        </w:rPr>
        <w:t xml:space="preserve">扬州市城区河道水利运维安防监控完善项目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“扬州市政府采购网”、“江苏省政府采购网”和“中国政府采购网”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eastAsia="宋体"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9</w:t>
      </w:r>
      <w:r>
        <w:rPr>
          <w:rFonts w:hint="eastAsia" w:ascii="Times New Roman" w:hAnsi="Times New Roman" w:eastAsia="宋体" w:cs="宋体"/>
          <w:bCs/>
          <w:color w:val="auto"/>
          <w:highlight w:val="none"/>
          <w:u w:val="single"/>
        </w:rPr>
        <w:t xml:space="preserve">:30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7" w:name="_Toc35393790"/>
      <w:r/>
      <w:bookmarkStart w:id="8" w:name="_Toc28359002"/>
      <w:r/>
      <w:bookmarkStart w:id="9" w:name="_Toc38985263"/>
      <w:r/>
      <w:bookmarkStart w:id="10" w:name="_Toc35393621"/>
      <w:r/>
      <w:bookmarkStart w:id="11" w:name="_Toc28359079"/>
      <w:r/>
      <w:bookmarkStart w:id="12" w:name="_Hlk24379207"/>
      <w:r>
        <w:rPr>
          <w:rFonts w:hint="eastAsia" w:ascii="Times New Roman" w:hAnsi="Times New Roman" w:eastAsia="宋体" w:cs="宋体"/>
          <w:b/>
          <w:bCs/>
          <w:color w:val="auto"/>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s="宋体"/>
          <w:color w:val="auto"/>
          <w:szCs w:val="21"/>
          <w:highlight w:val="none"/>
          <w:lang w:eastAsia="zh-CN"/>
        </w:rPr>
        <w:t xml:space="preserve">JSZC-321000-SSZX-G2026-0007号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2"/>
      <w:r>
        <w:rPr>
          <w:rFonts w:hint="eastAsia" w:ascii="Times New Roman" w:hAnsi="Times New Roman" w:cs="宋体"/>
          <w:color w:val="auto"/>
          <w:highlight w:val="none"/>
          <w:lang w:eastAsia="zh-CN"/>
        </w:rPr>
        <w:t xml:space="preserve">扬州市城区河道水利运维安防监控完善项目</w:t>
      </w:r>
      <w:r/>
    </w:p>
    <w:p>
      <w:pPr>
        <w:ind w:firstLine="420"/>
        <w:pageBreakBefore w:val="0"/>
        <w:spacing w:line="360" w:lineRule="auto"/>
        <w:rPr>
          <w:rFonts w:hint="default" w:ascii="Times New Roman" w:hAnsi="Times New Roman" w:eastAsia="宋体"/>
          <w:color w:val="auto"/>
          <w:sz w:val="21"/>
          <w:szCs w:val="21"/>
          <w:highlight w:val="none"/>
          <w:lang w:val="en-US"/>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eastAsia="宋体" w:cs="宋体"/>
          <w:color w:val="auto"/>
          <w:sz w:val="21"/>
          <w:szCs w:val="21"/>
          <w:highlight w:val="none"/>
          <w:lang w:val="en-US" w:eastAsia="zh-CN"/>
        </w:rPr>
        <w:t xml:space="preserve">180.88万元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w:t>
      </w:r>
      <w:r>
        <w:rPr>
          <w:rFonts w:hint="eastAsia" w:ascii="Times New Roman" w:hAnsi="Times New Roman" w:eastAsia="宋体" w:cs="宋体"/>
          <w:color w:val="auto"/>
          <w:sz w:val="21"/>
          <w:szCs w:val="21"/>
          <w:highlight w:val="none"/>
          <w:lang w:val="en-US" w:eastAsia="zh-CN"/>
        </w:rPr>
        <w:t xml:space="preserve">本项目设定最高限价，最高限价为180.88万元</w:t>
      </w:r>
      <w:r>
        <w:rPr>
          <w:rFonts w:hint="eastAsia" w:ascii="Times New Roman" w:hAnsi="Times New Roman" w:eastAsia="宋体" w:cs="宋体"/>
          <w:color w:val="auto"/>
          <w:sz w:val="21"/>
          <w:szCs w:val="22"/>
          <w:highlight w:val="none"/>
          <w:lang w:val="en-US" w:eastAsia="zh-CN" w:bidi="ar-SA"/>
        </w:rPr>
        <w:t xml:space="preserve">，报价超过最高限价的为无效投标文件。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3" w:name="_Toc28359080"/>
      <w:r/>
      <w:bookmarkStart w:id="14" w:name="_Toc38985264"/>
      <w:r/>
      <w:bookmarkStart w:id="15" w:name="_Toc35393622"/>
      <w:r/>
      <w:bookmarkStart w:id="16" w:name="_Toc35393791"/>
      <w:r/>
      <w:bookmarkStart w:id="17" w:name="_Toc28359003"/>
      <w:r>
        <w:rPr>
          <w:rFonts w:hint="eastAsia" w:ascii="Times New Roman" w:hAnsi="Times New Roman" w:eastAsia="宋体" w:cs="宋体"/>
          <w:b/>
          <w:bCs/>
          <w:color w:val="auto"/>
          <w:highlight w:val="none"/>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eastAsia="宋体"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8" w:name="_Toc28359081"/>
      <w:r/>
      <w:bookmarkStart w:id="19" w:name="_Toc28359004"/>
      <w:r/>
      <w:bookmarkStart w:id="20" w:name="_Toc35393792"/>
      <w:r/>
      <w:bookmarkStart w:id="21" w:name="_Toc38985265"/>
      <w:r/>
      <w:bookmarkStart w:id="22" w:name="_Toc35393623"/>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rPr>
        <w:t xml:space="preserve">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w:t>
      </w:r>
      <w:r>
        <w:rPr>
          <w:rFonts w:hint="eastAsia" w:ascii="Times New Roman" w:hAnsi="Times New Roman" w:eastAsia="宋体" w:cs="宋体"/>
          <w:i/>
          <w:iCs/>
          <w:color w:val="auto"/>
          <w:szCs w:val="21"/>
          <w:highlight w:val="none"/>
          <w:u w:val="single"/>
          <w:lang w:val="en-US" w:eastAsia="zh-CN"/>
        </w:rPr>
        <w:t xml:space="preserve">7</w:t>
      </w:r>
      <w:r>
        <w:rPr>
          <w:rFonts w:hint="eastAsia" w:ascii="Times New Roman" w:hAnsi="Times New Roman" w:eastAsia="宋体" w:cs="宋体"/>
          <w:i/>
          <w:iCs/>
          <w:color w:val="auto"/>
          <w:szCs w:val="21"/>
          <w:highlight w:val="none"/>
          <w:u w:val="single"/>
          <w:lang w:eastAsia="zh-CN"/>
        </w:rPr>
        <w:t xml:space="preserve">投标函</w:t>
      </w:r>
      <w:r>
        <w:rPr>
          <w:rFonts w:hint="eastAsia" w:ascii="Times New Roman" w:hAnsi="Times New Roman" w:eastAsia="宋体" w:cs="宋体"/>
          <w:i/>
          <w:iCs/>
          <w:color w:val="auto"/>
          <w:szCs w:val="21"/>
          <w:highlight w:val="none"/>
          <w:u w:val="single"/>
        </w:rPr>
        <w:t xml:space="preserve">；</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i/>
          <w:iCs/>
          <w:color w:val="auto"/>
          <w:szCs w:val="21"/>
          <w:highlight w:val="none"/>
          <w:u w:val="single"/>
        </w:rPr>
        <w:t xml:space="preserve">1.</w:t>
      </w:r>
      <w:r>
        <w:rPr>
          <w:rFonts w:hint="eastAsia" w:ascii="Times New Roman" w:hAnsi="Times New Roman" w:eastAsia="宋体" w:cs="宋体"/>
          <w:i/>
          <w:iCs/>
          <w:color w:val="auto"/>
          <w:szCs w:val="21"/>
          <w:highlight w:val="none"/>
          <w:u w:val="single"/>
          <w:lang w:val="en-US" w:eastAsia="zh-CN"/>
        </w:rPr>
        <w:t xml:space="preserve">8</w:t>
      </w:r>
      <w:r>
        <w:rPr>
          <w:rFonts w:hint="eastAsia" w:ascii="Times New Roman" w:hAnsi="Times New Roman" w:eastAsia="宋体" w:cs="宋体"/>
          <w:i/>
          <w:iCs/>
          <w:color w:val="auto"/>
          <w:szCs w:val="21"/>
          <w:highlight w:val="none"/>
          <w:u w:val="single"/>
        </w:rPr>
        <w:t xml:space="preserve">若法定代表人参加</w:t>
      </w:r>
      <w:r>
        <w:rPr>
          <w:rFonts w:hint="eastAsia" w:ascii="Times New Roman" w:hAnsi="Times New Roman" w:eastAsia="宋体" w:cs="宋体"/>
          <w:i/>
          <w:iCs/>
          <w:color w:val="auto"/>
          <w:szCs w:val="21"/>
          <w:highlight w:val="none"/>
          <w:u w:val="single"/>
          <w:lang w:val="en-US" w:eastAsia="zh-CN"/>
        </w:rPr>
        <w:t xml:space="preserve">投标</w:t>
      </w:r>
      <w:r>
        <w:rPr>
          <w:rFonts w:hint="eastAsia" w:ascii="Times New Roman" w:hAnsi="Times New Roman" w:eastAsia="宋体" w:cs="宋体"/>
          <w:i/>
          <w:iCs/>
          <w:color w:val="auto"/>
          <w:szCs w:val="21"/>
          <w:highlight w:val="none"/>
          <w:u w:val="single"/>
        </w:rPr>
        <w:t xml:space="preserve">的，须提供本人身份证复印件(原件扫描上传)；若授权代表参加的，须提供《法人授权书》原件和授权代表身份证（原件扫描上传）</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lang w:val="en-US" w:eastAsia="zh-CN"/>
        </w:rPr>
        <w:t xml:space="preserve">并且提供提交投标文件截止时间前一年内至少一个月投标单位为</w:t>
      </w:r>
      <w:r>
        <w:rPr>
          <w:rFonts w:hint="eastAsia" w:ascii="Times New Roman" w:hAnsi="Times New Roman" w:eastAsia="宋体" w:cs="宋体"/>
          <w:i/>
          <w:iCs/>
          <w:color w:val="auto"/>
          <w:szCs w:val="21"/>
          <w:highlight w:val="none"/>
          <w:u w:val="single"/>
        </w:rPr>
        <w:t xml:space="preserve">法定代表人</w:t>
      </w:r>
      <w:r>
        <w:rPr>
          <w:rFonts w:hint="eastAsia" w:ascii="Times New Roman" w:hAnsi="Times New Roman" w:eastAsia="宋体" w:cs="宋体"/>
          <w:i/>
          <w:iCs/>
          <w:color w:val="auto"/>
          <w:szCs w:val="21"/>
          <w:highlight w:val="none"/>
          <w:u w:val="single"/>
          <w:lang w:val="en-US" w:eastAsia="zh-CN"/>
        </w:rPr>
        <w:t xml:space="preserve">或者</w:t>
      </w:r>
      <w:r>
        <w:rPr>
          <w:rFonts w:hint="eastAsia" w:ascii="Times New Roman" w:hAnsi="Times New Roman" w:eastAsia="宋体" w:cs="宋体"/>
          <w:i/>
          <w:iCs/>
          <w:color w:val="auto"/>
          <w:szCs w:val="21"/>
          <w:highlight w:val="none"/>
          <w:u w:val="single"/>
        </w:rPr>
        <w:t xml:space="preserve">授权代表缴纳社会保障资金的证明材料</w:t>
      </w:r>
      <w:r>
        <w:rPr>
          <w:rFonts w:hint="eastAsia" w:ascii="Times New Roman" w:hAnsi="Times New Roman" w:eastAsia="宋体" w:cs="宋体"/>
          <w:i/>
          <w:iCs/>
          <w:color w:val="auto"/>
          <w:szCs w:val="21"/>
          <w:highlight w:val="none"/>
          <w:u w:val="single"/>
          <w:lang w:eastAsia="zh-CN"/>
        </w:rPr>
        <w:t xml:space="preserve">。</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rPr>
          <w:rFonts w:hint="eastAsia" w:ascii="Times New Roman" w:hAnsi="Times New Roman" w:eastAsia="宋体" w:cs="宋体"/>
          <w:i/>
          <w:iCs/>
          <w:color w:val="auto"/>
          <w:szCs w:val="21"/>
          <w:highlight w:val="none"/>
          <w:u w:val="single"/>
        </w:rPr>
        <w:t xml:space="preserve">。</w:t>
      </w:r>
      <w:r/>
    </w:p>
    <w:p>
      <w:pPr>
        <w:ind w:firstLine="420"/>
        <w:pageBreakBefore w:val="0"/>
        <w:spacing w:line="360" w:lineRule="auto"/>
        <w:rPr>
          <w:rFonts w:hint="eastAsia" w:ascii="Times New Roman" w:hAnsi="Times New Roman" w:cs="宋体"/>
          <w:bCs/>
          <w:i/>
          <w:color w:val="auto"/>
          <w:szCs w:val="21"/>
          <w:highlight w:val="none"/>
          <w:u w:val="single"/>
        </w:rPr>
      </w:pPr>
      <w:r>
        <w:rPr>
          <w:rFonts w:hint="eastAsia" w:ascii="Times New Roman" w:hAnsi="Times New Roman" w:cs="宋体"/>
          <w:color w:val="auto"/>
          <w:szCs w:val="21"/>
          <w:highlight w:val="none"/>
          <w:lang w:val="en-US" w:eastAsia="zh-CN"/>
        </w:rPr>
        <w:t xml:space="preserve">3.</w:t>
      </w:r>
      <w:r>
        <w:rPr>
          <w:rFonts w:hint="eastAsia" w:ascii="Times New Roman" w:hAnsi="Times New Roman" w:eastAsia="宋体" w:cs="宋体"/>
          <w:color w:val="auto"/>
          <w:szCs w:val="21"/>
          <w:highlight w:val="none"/>
        </w:rPr>
        <w:t xml:space="preserve">落实政府采购政策需满足的资格要求：</w:t>
      </w:r>
      <w:r>
        <w:rPr>
          <w:rFonts w:hint="eastAsia" w:ascii="Times New Roman" w:hAnsi="Times New Roman" w:cs="宋体"/>
          <w:i w:val="0"/>
          <w:iCs w:val="0"/>
          <w:color w:val="auto"/>
          <w:szCs w:val="21"/>
          <w:highlight w:val="none"/>
          <w:u w:val="single"/>
          <w:lang w:val="en-US" w:eastAsia="zh-CN"/>
        </w:rPr>
        <w:t xml:space="preserve">根据《政府采购促进中小企业发展管理办法》的规定，本项目对小型和微型企业提供的货物、服务给予20%的价格扣除优惠。  </w:t>
      </w:r>
      <w:r>
        <w:rPr>
          <w:i/>
          <w:iCs/>
          <w:u w:val="single"/>
        </w:rPr>
      </w:r>
    </w:p>
    <w:p>
      <w:pPr>
        <w:ind w:firstLine="420"/>
        <w:pageBreakBefore w:val="0"/>
        <w:spacing w:line="360" w:lineRule="auto"/>
        <w:rPr>
          <w:rFonts w:hint="eastAsia" w:ascii="宋体" w:hAnsi="宋体" w:eastAsia="宋体" w:cs="宋体"/>
          <w:bCs w:val="0"/>
          <w:i w:val="0"/>
          <w:iCs/>
          <w:sz w:val="21"/>
          <w:szCs w:val="21"/>
          <w:highlight w:val="none"/>
          <w:u w:val="single"/>
        </w:rPr>
      </w:pPr>
      <w:r>
        <w:rPr>
          <w:rFonts w:hint="eastAsia" w:ascii="宋体" w:hAnsi="宋体" w:eastAsia="宋体" w:cs="宋体"/>
          <w:i/>
          <w:iCs/>
          <w:sz w:val="21"/>
          <w:szCs w:val="21"/>
          <w:highlight w:val="none"/>
          <w:u w:val="single"/>
        </w:rPr>
        <w:t xml:space="preserve">注：本项目中小企业划分标准</w:t>
      </w:r>
      <w:r>
        <w:rPr>
          <w:rFonts w:hint="eastAsia" w:ascii="宋体" w:hAnsi="宋体" w:cs="宋体"/>
          <w:i/>
          <w:iCs/>
          <w:sz w:val="21"/>
          <w:szCs w:val="21"/>
          <w:highlight w:val="none"/>
          <w:u w:val="single"/>
          <w:lang w:val="en-US" w:eastAsia="zh-CN"/>
        </w:rPr>
        <w:t xml:space="preserve">按照</w:t>
      </w:r>
      <w:r>
        <w:rPr>
          <w:rFonts w:hint="eastAsia" w:ascii="宋体" w:hAnsi="宋体" w:eastAsia="宋体" w:cs="宋体"/>
          <w:i/>
          <w:iCs/>
          <w:sz w:val="21"/>
          <w:szCs w:val="21"/>
          <w:highlight w:val="none"/>
          <w:u w:val="single"/>
        </w:rPr>
        <w:t xml:space="preserve">《关于印发中小企业划型标准规定的通知》（工信部联</w:t>
      </w:r>
      <w:r>
        <w:rPr>
          <w:rFonts w:hint="eastAsia" w:ascii="宋体" w:hAnsi="宋体" w:eastAsia="宋体" w:cs="宋体"/>
          <w:i/>
          <w:iCs/>
          <w:sz w:val="21"/>
          <w:szCs w:val="21"/>
          <w:highlight w:val="none"/>
          <w:u w:val="single"/>
          <w:lang w:val="en-US" w:eastAsia="zh-CN"/>
        </w:rPr>
        <w:t xml:space="preserve">企业</w:t>
      </w:r>
      <w:r>
        <w:rPr>
          <w:rFonts w:hint="eastAsia" w:ascii="宋体" w:hAnsi="宋体" w:eastAsia="宋体" w:cs="宋体"/>
          <w:i/>
          <w:iCs/>
          <w:sz w:val="21"/>
          <w:szCs w:val="21"/>
          <w:highlight w:val="none"/>
          <w:u w:val="single"/>
        </w:rPr>
        <w:t xml:space="preserve">[2011]300号）中第（</w:t>
      </w:r>
      <w:r>
        <w:rPr>
          <w:rFonts w:hint="eastAsia" w:ascii="宋体" w:hAnsi="宋体" w:eastAsia="宋体" w:cs="宋体"/>
          <w:i/>
          <w:iCs/>
          <w:sz w:val="21"/>
          <w:szCs w:val="21"/>
          <w:highlight w:val="none"/>
          <w:u w:val="single"/>
          <w:lang w:val="en-US" w:eastAsia="zh-CN"/>
        </w:rPr>
        <w:t xml:space="preserve">二</w:t>
      </w:r>
      <w:r>
        <w:rPr>
          <w:rFonts w:hint="eastAsia" w:ascii="宋体" w:hAnsi="宋体" w:eastAsia="宋体" w:cs="宋体"/>
          <w:i/>
          <w:iCs/>
          <w:sz w:val="21"/>
          <w:szCs w:val="21"/>
          <w:highlight w:val="none"/>
          <w:u w:val="single"/>
        </w:rPr>
        <w:t xml:space="preserve">）条：工业。</w:t>
      </w:r>
      <w:r>
        <w:rPr>
          <w:rFonts w:hint="eastAsia" w:ascii="宋体" w:hAnsi="宋体" w:eastAsia="宋体" w:cs="宋体"/>
          <w:i w:val="0"/>
          <w:iCs w:val="0"/>
          <w:sz w:val="21"/>
          <w:szCs w:val="21"/>
          <w:highlight w:val="none"/>
          <w:u w:val="single"/>
          <w:rPrChange w:id="0" w:author="刘洋" w:date="2026-09-24T02:31:50Z" oouserid="5474f34d1ff74755be7ce931149c21ca">
            <w:rPr>
              <w:rFonts w:hint="eastAsia" w:ascii="宋体" w:hAnsi="宋体" w:eastAsia="宋体" w:cs="宋体"/>
              <w:i/>
              <w:iCs/>
              <w:sz w:val="21"/>
              <w:szCs w:val="21"/>
              <w:highlight w:val="none"/>
              <w:u w:val="single"/>
            </w:rPr>
          </w:rPrChange>
        </w:rPr>
      </w:r>
      <w:r>
        <w:rPr>
          <w:rFonts w:hint="eastAsia" w:ascii="宋体" w:hAnsi="宋体" w:eastAsia="宋体" w:cs="宋体"/>
          <w:bCs w:val="0"/>
          <w:i w:val="0"/>
          <w:iCs/>
          <w:sz w:val="21"/>
          <w:szCs w:val="21"/>
          <w:highlight w:val="none"/>
          <w:u w:val="single"/>
        </w:rP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cs="宋体"/>
          <w:color w:val="auto"/>
          <w:highlight w:val="none"/>
          <w:lang w:val="en-US" w:eastAsia="zh-CN"/>
        </w:rPr>
        <w:t xml:space="preserve">4</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sz w:val="21"/>
          <w:szCs w:val="21"/>
          <w:highlight w:val="none"/>
        </w:rPr>
        <w:t xml:space="preserve">联合体投标。</w:t>
      </w:r>
      <w:r/>
    </w:p>
    <w:tbl>
      <w:tblPr>
        <w:tblStyle w:val="691"/>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2968"/>
        <w:gridCol w:w="3252"/>
      </w:tblGrid>
      <w:tr>
        <w:trPr>
          <w:trHeight w:val="593"/>
        </w:trPr>
        <w:tc>
          <w:tcPr>
            <w:tcW w:w="111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52"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11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5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69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250"/>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625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6250" w:type="dxa"/>
            <w:vAlign w:val="center"/>
            <w:textDirection w:val="lrTb"/>
            <w:noWrap w:val="false"/>
          </w:tcPr>
          <w:p>
            <w:pPr>
              <w:jc w:val="left"/>
              <w:pageBreakBefore w:val="0"/>
              <w:spacing w:line="360" w:lineRule="auto"/>
              <w:rPr>
                <w:rFonts w:hint="eastAsia" w:ascii="Times New Roman" w:hAnsi="Times New Roman" w:eastAsia="宋体" w:cs="宋体"/>
                <w:i w:val="0"/>
                <w:iCs w:val="0"/>
                <w:color w:val="auto"/>
                <w:sz w:val="21"/>
                <w:szCs w:val="21"/>
                <w:highlight w:val="none"/>
                <w:u w:val="none"/>
                <w:lang w:eastAsia="zh-CN"/>
              </w:rPr>
            </w:pPr>
            <w:r>
              <w:rPr>
                <w:rFonts w:hint="eastAsia" w:ascii="Times New Roman" w:hAnsi="Times New Roman" w:cs="Times New Roman"/>
                <w:i w:val="0"/>
                <w:iCs w:val="0"/>
                <w:color w:val="auto"/>
                <w:sz w:val="21"/>
                <w:szCs w:val="21"/>
                <w:highlight w:val="none"/>
                <w:u w:val="none"/>
                <w:lang w:val="en-US" w:eastAsia="zh-CN"/>
              </w:rPr>
              <w:t xml:space="preserve">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8"/>
      <w:r/>
      <w:bookmarkEnd w:id="19"/>
      <w:r/>
      <w:bookmarkEnd w:id="20"/>
      <w:r/>
      <w:bookmarkEnd w:id="21"/>
      <w:r/>
      <w:bookmarkEnd w:id="22"/>
      <w:r/>
      <w:r/>
    </w:p>
    <w:p>
      <w:pPr>
        <w:ind w:firstLine="420"/>
        <w:pageBreakBefore w:val="0"/>
        <w:spacing w:line="360" w:lineRule="auto"/>
        <w:rPr>
          <w:rFonts w:hint="eastAsia" w:ascii="Times New Roman" w:hAnsi="Times New Roman" w:eastAsia="宋体" w:cs="宋体"/>
          <w:color w:val="auto"/>
          <w:highlight w:val="none"/>
        </w:rPr>
      </w:pPr>
      <w:r/>
      <w:bookmarkStart w:id="23" w:name="_Toc28359082"/>
      <w:r/>
      <w:bookmarkStart w:id="24" w:name="_Toc28359005"/>
      <w:r/>
      <w:bookmarkStart w:id="25" w:name="_Toc38985266"/>
      <w:r/>
      <w:bookmarkStart w:id="26" w:name="_Toc35393793"/>
      <w:r/>
      <w:bookmarkStart w:id="27"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17"/>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3"/>
      <w:r/>
      <w:bookmarkEnd w:id="24"/>
      <w:r>
        <w:rPr>
          <w:rFonts w:hint="eastAsia" w:ascii="Times New Roman" w:hAnsi="Times New Roman" w:eastAsia="宋体" w:cs="宋体"/>
          <w:b/>
          <w:bCs/>
          <w:color w:val="auto"/>
          <w:highlight w:val="none"/>
        </w:rPr>
        <w:t xml:space="preserve">截止时间、开标时间和地点</w:t>
      </w:r>
      <w:bookmarkEnd w:id="25"/>
      <w:r/>
      <w:bookmarkEnd w:id="26"/>
      <w:r/>
      <w:bookmarkEnd w:id="27"/>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w:t>
      </w:r>
      <w:r>
        <w:rPr>
          <w:rFonts w:hint="eastAsia" w:ascii="Times New Roman" w:hAnsi="Times New Roman" w:eastAsia="宋体"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9</w:t>
      </w:r>
      <w:r>
        <w:rPr>
          <w:rFonts w:hint="eastAsia" w:ascii="Times New Roman" w:hAnsi="Times New Roman" w:eastAsia="宋体" w:cs="宋体"/>
          <w:bCs/>
          <w:color w:val="auto"/>
          <w:highlight w:val="none"/>
          <w:u w:val="single"/>
        </w:rPr>
        <w:t xml:space="preserve">:30  </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“苏采云”政府采购交易系统网上开标大厅。</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8" w:name="_Toc28359084"/>
      <w:r/>
      <w:bookmarkStart w:id="29" w:name="_Toc38985267"/>
      <w:r/>
      <w:bookmarkStart w:id="30" w:name="_Toc35393794"/>
      <w:r/>
      <w:bookmarkStart w:id="31" w:name="_Toc35393625"/>
      <w:r/>
      <w:bookmarkStart w:id="32" w:name="_Toc28359007"/>
      <w:r>
        <w:rPr>
          <w:rFonts w:hint="eastAsia" w:ascii="Times New Roman" w:hAnsi="Times New Roman" w:eastAsia="宋体" w:cs="宋体"/>
          <w:b/>
          <w:bCs/>
          <w:color w:val="auto"/>
          <w:highlight w:val="none"/>
        </w:rPr>
        <w:t xml:space="preserve">五、公告期限</w:t>
      </w:r>
      <w:bookmarkEnd w:id="28"/>
      <w:r/>
      <w:bookmarkEnd w:id="29"/>
      <w:r/>
      <w:bookmarkEnd w:id="30"/>
      <w:r/>
      <w:bookmarkEnd w:id="31"/>
      <w:r/>
      <w:bookmarkEnd w:id="32"/>
      <w:r/>
      <w:r/>
    </w:p>
    <w:p>
      <w:pPr>
        <w:ind w:firstLine="420"/>
        <w:pageBreakBefore w:val="0"/>
        <w:spacing w:line="360" w:lineRule="auto"/>
        <w:rPr>
          <w:rFonts w:hint="eastAsia" w:ascii="Times New Roman" w:hAnsi="Times New Roman" w:eastAsia="宋体" w:cs="宋体"/>
          <w:color w:val="auto"/>
          <w:highlight w:val="none"/>
        </w:rPr>
      </w:pPr>
      <w:r/>
      <w:bookmarkStart w:id="33" w:name="_Toc35393795"/>
      <w:r/>
      <w:bookmarkStart w:id="34" w:name="_Toc35393626"/>
      <w:r/>
      <w:bookmarkStart w:id="35"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3"/>
      <w:r/>
      <w:bookmarkEnd w:id="34"/>
      <w:r/>
      <w:bookmarkEnd w:id="35"/>
      <w:r/>
      <w:r/>
    </w:p>
    <w:p>
      <w:pPr>
        <w:ind w:firstLine="422"/>
        <w:pageBreakBefore w:val="0"/>
        <w:spacing w:line="360" w:lineRule="auto"/>
        <w:rPr>
          <w:rFonts w:hint="eastAsia" w:ascii="Times New Roman" w:hAnsi="Times New Roman" w:eastAsia="宋体" w:cs="宋体"/>
          <w:b/>
          <w:bCs/>
          <w:color w:val="auto"/>
          <w:highlight w:val="none"/>
        </w:rPr>
      </w:pPr>
      <w:r/>
      <w:bookmarkStart w:id="36" w:name="_Toc38985269"/>
      <w:r/>
      <w:bookmarkStart w:id="37" w:name="_Toc35393796"/>
      <w:r/>
      <w:bookmarkStart w:id="38" w:name="_Toc28359085"/>
      <w:r/>
      <w:bookmarkStart w:id="39" w:name="_Toc35393627"/>
      <w:r/>
      <w:bookmarkStart w:id="40" w:name="_Toc28359008"/>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各投标人自行进行现场勘察，各投标人请务必对项目现场和周围环境进行仔细认真查勘，须充分了解本项目具体工作内容，在随后的采购活动中，对现场资料和数据所做出的推论、解释和结论及因勘察不到位造成的后果由投标人负责，并自行承担因了解不充分而影响报价准确性的风险。</w:t>
      </w:r>
      <w:r/>
    </w:p>
    <w:p>
      <w:pPr>
        <w:ind w:firstLine="420"/>
        <w:keepLines w:val="0"/>
        <w:keepNext w:val="0"/>
        <w:pageBreakBefore w:val="0"/>
        <w:spacing w:line="360" w:lineRule="auto"/>
        <w:tabs>
          <w:tab w:val="left" w:pos="266" w:leader="none"/>
        </w:tabs>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未考察现场或考察工作不详细的投标人中标后，不得以不完全了解现场情况为理由而向采购人提出任何索赔或其他要求，对此采购人不承担任何责任并将不作任何答复。</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lang w:val="en-US" w:eastAsia="zh-CN"/>
        </w:rPr>
        <w:t xml:space="preserve">11.</w:t>
      </w:r>
      <w:r>
        <w:rPr>
          <w:rFonts w:hint="eastAsia" w:ascii="Times New Roman" w:hAnsi="Times New Roman" w:eastAsia="宋体" w:cs="宋体"/>
          <w:bCs/>
          <w:color w:val="auto"/>
          <w:highlight w:val="none"/>
        </w:rPr>
        <w:t xml:space="preserve">拒绝下述供应商参加本次采购活动：</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（1）供应商单位负责人为同一人或者存在直接控股、管理关系的不同供应商，不得参加同一合同项下的政府采购活动。</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（2）凡为采购项目提供整体设计、规范编制或者项目管理、监理、检测等服务的供应商，不得再参加该项目的其他采购活动。</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6"/>
      <w:r/>
      <w:bookmarkEnd w:id="37"/>
      <w:r/>
      <w:bookmarkEnd w:id="38"/>
      <w:r/>
      <w:bookmarkEnd w:id="39"/>
      <w:r/>
      <w:bookmarkEnd w:id="40"/>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41" w:name="_Toc28359010"/>
      <w:r/>
      <w:bookmarkStart w:id="42"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cs="宋体"/>
          <w:color w:val="auto"/>
          <w:szCs w:val="21"/>
          <w:highlight w:val="none"/>
          <w:lang w:eastAsia="zh-CN"/>
        </w:rPr>
        <w:t xml:space="preserve">扬州市城市河道管理处</w:t>
      </w:r>
      <w:r/>
    </w:p>
    <w:p>
      <w:pPr>
        <w:ind w:firstLine="420"/>
        <w:jc w:val="left"/>
        <w:pageBreakBefore w:val="0"/>
        <w:spacing w:line="360" w:lineRule="auto"/>
        <w:rPr>
          <w:rFonts w:hint="eastAsia" w:ascii="Times New Roman" w:hAnsi="Times New Roman" w:eastAsia="宋体" w:cs="宋体"/>
          <w:color w:val="auto"/>
          <w:highlight w:val="none"/>
          <w:lang w:eastAsia="zh-CN"/>
        </w:rPr>
      </w:pPr>
      <w:r/>
      <w:bookmarkStart w:id="43" w:name="_Toc28359086"/>
      <w:r/>
      <w:bookmarkStart w:id="44" w:name="_Toc28359009"/>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lang w:eastAsia="zh-CN"/>
        </w:rPr>
        <w:t xml:space="preserve">扬州市太平北路16号</w:t>
      </w:r>
      <w:r/>
    </w:p>
    <w:p>
      <w:pPr>
        <w:ind w:firstLine="420"/>
        <w:jc w:val="left"/>
        <w:spacing w:line="360" w:lineRule="auto"/>
        <w:rPr>
          <w:rFonts w:ascii="宋体" w:hAnsi="宋体" w:cs="宋体"/>
          <w:highlight w:val="none"/>
        </w:rPr>
      </w:pPr>
      <w:r>
        <w:rPr>
          <w:rFonts w:hint="eastAsia" w:ascii="宋体" w:hAnsi="宋体" w:cs="宋体"/>
          <w:highlight w:val="none"/>
        </w:rPr>
        <w:t xml:space="preserve">联系人：</w:t>
      </w:r>
      <w:r>
        <w:rPr>
          <w:rFonts w:hint="eastAsia" w:ascii="宋体" w:hAnsi="宋体" w:cs="宋体"/>
          <w:highlight w:val="none"/>
          <w:u w:val="none"/>
        </w:rPr>
        <w:t xml:space="preserve">彭工</w:t>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联系方</w:t>
      </w:r>
      <w:r>
        <w:rPr>
          <w:rFonts w:hint="eastAsia" w:ascii="宋体" w:hAnsi="宋体" w:cs="宋体"/>
          <w:highlight w:val="none"/>
          <w:u w:val="none"/>
        </w:rPr>
        <w:t xml:space="preserve">式：0514-87015051</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3"/>
      <w:r/>
      <w:bookmarkEnd w:id="44"/>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s="宋体"/>
          <w:color w:val="auto"/>
          <w:szCs w:val="21"/>
          <w:highlight w:val="none"/>
          <w:lang w:eastAsia="zh-CN"/>
        </w:rPr>
        <w:t xml:space="preserve">江苏苏中兴工程造价咨询有限公司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扬州市文昌中路20号文昌国际大厦5楼</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刘洋</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bookmarkEnd w:id="41"/>
      <w:r/>
      <w:bookmarkEnd w:id="42"/>
      <w:r>
        <w:rPr>
          <w:rFonts w:hint="eastAsia" w:ascii="Times New Roman" w:hAnsi="Times New Roman" w:eastAsia="宋体" w:cs="宋体"/>
          <w:color w:val="auto"/>
          <w:highlight w:val="none"/>
          <w:lang w:val="en-US" w:eastAsia="zh-CN"/>
        </w:rPr>
        <w:t xml:space="preserve">0514-85165770、15152732066</w:t>
      </w:r>
      <w:r/>
    </w:p>
    <w:p>
      <w:pPr>
        <w:pageBreakBefore w:val="0"/>
        <w:spacing w:line="360" w:lineRule="auto"/>
        <w:rPr>
          <w:rFonts w:hint="eastAsia" w:ascii="Times New Roman" w:hAnsi="Times New Roman" w:eastAsia="宋体"/>
          <w:color w:val="auto"/>
          <w:highlight w:val="none"/>
        </w:rPr>
      </w:pPr>
      <w:r/>
      <w:bookmarkStart w:id="45" w:name="_Toc13371"/>
      <w:r/>
      <w:bookmarkStart w:id="46" w:name="_Toc55204178"/>
      <w:r/>
      <w:r/>
    </w:p>
    <w:p>
      <w:pPr>
        <w:jc w:val="right"/>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江苏苏中兴工程造价咨询有限公司</w:t>
      </w:r>
      <w:r/>
    </w:p>
    <w:p>
      <w:pPr>
        <w:jc w:val="right"/>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2026年</w:t>
      </w:r>
      <w:r>
        <w:rPr>
          <w:rFonts w:hint="eastAsia" w:ascii="Times New Roman" w:hAnsi="Times New Roman"/>
          <w:color w:val="auto"/>
          <w:highlight w:val="none"/>
          <w:lang w:val="en-US" w:eastAsia="zh-CN"/>
        </w:rPr>
        <w:t xml:space="preserve">9</w:t>
      </w:r>
      <w:r>
        <w:rPr>
          <w:rFonts w:hint="eastAsia" w:ascii="Times New Roman" w:hAnsi="Times New Roman" w:eastAsia="宋体"/>
          <w:color w:val="auto"/>
          <w:highlight w:val="none"/>
        </w:rPr>
        <w:t xml:space="preserve">月</w:t>
      </w:r>
      <w:r>
        <w:rPr>
          <w:rFonts w:hint="eastAsia" w:ascii="Times New Roman" w:hAnsi="Times New Roman"/>
          <w:color w:val="auto"/>
          <w:highlight w:val="none"/>
          <w:lang w:val="en-US" w:eastAsia="zh-CN"/>
        </w:rPr>
        <w:t xml:space="preserve">16 </w:t>
      </w:r>
      <w:r>
        <w:rPr>
          <w:rFonts w:hint="eastAsia" w:ascii="Times New Roman" w:hAnsi="Times New Roman" w:eastAsia="宋体"/>
          <w:color w:val="auto"/>
          <w:highlight w:val="none"/>
        </w:rPr>
        <w:t xml:space="preserve">日</w:t>
      </w:r>
      <w:r/>
    </w:p>
    <w:p>
      <w:pPr>
        <w:pStyle w:val="681"/>
        <w:pageBreakBefore w:val="0"/>
        <w:spacing w:line="360" w:lineRule="auto"/>
        <w:rPr>
          <w:rFonts w:hint="eastAsia" w:ascii="Times New Roman" w:hAnsi="Times New Roman" w:eastAsia="宋体"/>
          <w:color w:val="auto"/>
          <w:highlight w:val="none"/>
        </w:rPr>
      </w:pPr>
      <w:r/>
      <w:bookmarkStart w:id="47" w:name="_Toc19440"/>
      <w:r/>
      <w:bookmarkStart w:id="48" w:name="_Toc27937"/>
      <w:r/>
      <w:bookmarkStart w:id="49" w:name="_Toc23235"/>
      <w:r/>
      <w:bookmarkStart w:id="50" w:name="_Toc15067"/>
      <w:r/>
      <w:bookmarkStart w:id="51" w:name="_Toc8455"/>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68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第二章 投标人须知</w:t>
      </w:r>
      <w:bookmarkEnd w:id="45"/>
      <w:r/>
      <w:bookmarkEnd w:id="46"/>
      <w:r/>
      <w:bookmarkEnd w:id="47"/>
      <w:r/>
      <w:bookmarkEnd w:id="48"/>
      <w:r/>
      <w:bookmarkEnd w:id="49"/>
      <w:r/>
      <w:bookmarkEnd w:id="50"/>
      <w:r/>
      <w:bookmarkEnd w:id="51"/>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w:t>
      </w:r>
      <w:r>
        <w:rPr>
          <w:rFonts w:hint="eastAsia" w:ascii="Times New Roman" w:hAnsi="Times New Roman" w:eastAsia="宋体" w:cs="宋体"/>
          <w:bCs/>
          <w:color w:val="auto"/>
          <w:szCs w:val="21"/>
          <w:highlight w:val="none"/>
        </w:rPr>
        <w:t xml:space="preserve">本次招标采取公开招标方式，本招标文件仅适用于</w:t>
      </w:r>
      <w:r>
        <w:rPr>
          <w:rFonts w:hint="eastAsia" w:ascii="Times New Roman" w:hAnsi="Times New Roman" w:cs="宋体"/>
          <w:bCs/>
          <w:color w:val="auto"/>
          <w:szCs w:val="21"/>
          <w:highlight w:val="none"/>
          <w:lang w:eastAsia="zh-CN"/>
        </w:rPr>
        <w:t xml:space="preserve">JSZC-321000-SSZX-G2026-0007号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4.2</w:t>
      </w:r>
      <w:r>
        <w:rPr>
          <w:rFonts w:hint="eastAsia" w:ascii="Times New Roman" w:hAnsi="Times New Roman" w:eastAsia="宋体"/>
          <w:b/>
          <w:bCs/>
          <w:color w:val="auto"/>
          <w:szCs w:val="21"/>
          <w:highlight w:val="none"/>
        </w:rPr>
        <w:t xml:space="preserve">本次采购</w:t>
      </w:r>
      <w:r>
        <w:rPr>
          <w:rFonts w:hint="eastAsia" w:ascii="Times New Roman" w:hAnsi="Times New Roman" w:eastAsia="宋体"/>
          <w:b/>
          <w:bCs/>
          <w:color w:val="auto"/>
          <w:szCs w:val="21"/>
          <w:highlight w:val="none"/>
          <w:lang w:val="en-US" w:eastAsia="zh-CN"/>
        </w:rPr>
        <w:t xml:space="preserve">预算中已包含代理服务费，</w:t>
      </w:r>
      <w:r>
        <w:rPr>
          <w:rFonts w:hint="eastAsia" w:ascii="Times New Roman" w:hAnsi="Times New Roman" w:eastAsia="宋体"/>
          <w:b/>
          <w:bCs/>
          <w:color w:val="auto"/>
          <w:szCs w:val="21"/>
          <w:highlight w:val="none"/>
        </w:rPr>
        <w:t xml:space="preserve">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通知书前按照《国家发展改革委关于降低部分建设项目收费标准规范收费行为等有关问题的通知》(发改价格(2011)534号)</w:t>
      </w:r>
      <w:r>
        <w:rPr>
          <w:rFonts w:hint="eastAsia" w:ascii="Times New Roman" w:hAnsi="Times New Roman" w:eastAsia="宋体"/>
          <w:b/>
          <w:bCs/>
          <w:color w:val="auto"/>
          <w:szCs w:val="21"/>
          <w:highlight w:val="none"/>
          <w:lang w:val="en-US" w:eastAsia="zh-CN"/>
        </w:rPr>
        <w:t xml:space="preserve">货物</w:t>
      </w:r>
      <w:r>
        <w:rPr>
          <w:rFonts w:hint="eastAsia" w:ascii="Times New Roman" w:hAnsi="Times New Roman" w:eastAsia="宋体"/>
          <w:b/>
          <w:bCs/>
          <w:color w:val="auto"/>
          <w:szCs w:val="21"/>
          <w:highlight w:val="none"/>
        </w:rPr>
        <w:t xml:space="preserve">类标准</w:t>
      </w:r>
      <w:r>
        <w:rPr>
          <w:rFonts w:hint="eastAsia" w:ascii="Times New Roman" w:hAnsi="Times New Roman" w:eastAsia="宋体"/>
          <w:b/>
          <w:bCs/>
          <w:color w:val="auto"/>
          <w:szCs w:val="21"/>
          <w:highlight w:val="none"/>
          <w:u w:val="none"/>
        </w:rPr>
        <w:t xml:space="preserve">一</w:t>
      </w:r>
      <w:r>
        <w:rPr>
          <w:rFonts w:hint="eastAsia" w:ascii="Times New Roman" w:hAnsi="Times New Roman" w:eastAsia="宋体"/>
          <w:b/>
          <w:bCs/>
          <w:color w:val="auto"/>
          <w:szCs w:val="21"/>
          <w:highlight w:val="none"/>
        </w:rPr>
        <w:t xml:space="preserve">次性支付给招标代理机构。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代理服务费户名：江苏苏中兴工程造价咨</w:t>
      </w:r>
      <w:r>
        <w:rPr>
          <w:rFonts w:hint="eastAsia" w:ascii="宋体" w:hAnsi="宋体"/>
          <w:b/>
          <w:bCs/>
          <w:color w:val="000000"/>
          <w:szCs w:val="21"/>
          <w:highlight w:val="none"/>
        </w:rPr>
        <w:t xml:space="preserve">询有限公司</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开户行：</w:t>
      </w:r>
      <w:r>
        <w:rPr>
          <w:rFonts w:hint="eastAsia" w:ascii="宋体" w:hAnsi="宋体"/>
          <w:b/>
          <w:bCs/>
          <w:color w:val="000000"/>
          <w:szCs w:val="21"/>
          <w:highlight w:val="none"/>
        </w:rPr>
        <w:t xml:space="preserve">江苏银行扬州甘泉支行</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行  号：</w:t>
      </w:r>
      <w:r>
        <w:rPr>
          <w:rFonts w:hint="eastAsia" w:ascii="宋体" w:hAnsi="宋体"/>
          <w:b/>
          <w:bCs/>
          <w:color w:val="000000"/>
          <w:szCs w:val="21"/>
          <w:highlight w:val="none"/>
        </w:rPr>
        <w:t xml:space="preserve">313312000111</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账  号：7560020109030383</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eastAsia="宋体"/>
          <w:b/>
          <w:bCs/>
          <w:color w:val="auto"/>
          <w:szCs w:val="21"/>
          <w:highlight w:val="none"/>
          <w:lang w:val="en-US" w:eastAsia="zh-CN"/>
        </w:rPr>
        <w:t xml:space="preserve">3</w:t>
      </w:r>
      <w:r>
        <w:rPr>
          <w:rFonts w:hint="eastAsia" w:ascii="Times New Roman" w:hAnsi="Times New Roman" w:eastAsia="宋体" w:cs="宋体"/>
          <w:b/>
          <w:bCs/>
          <w:color w:val="auto"/>
          <w:sz w:val="21"/>
          <w:szCs w:val="21"/>
          <w:highlight w:val="none"/>
        </w:rPr>
        <w:t xml:space="preserve">专家评审费按照《扬州市财政局关于进一步规范扬州市政府采购专家评审费标准的通知》（扬财购〔2020〕40号）执行。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（5）投标产品配置及分项报价表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52" w:name="_Toc16938541"/>
      <w:r/>
      <w:bookmarkStart w:id="53" w:name="_Toc20823297"/>
      <w:r/>
      <w:bookmarkStart w:id="54" w:name="_Toc513029225"/>
      <w:r/>
      <w:bookmarkStart w:id="55" w:name="_Toc462564084"/>
      <w:r>
        <w:rPr>
          <w:rFonts w:hint="eastAsia" w:ascii="Times New Roman" w:hAnsi="Times New Roman" w:eastAsia="宋体" w:cs="宋体"/>
          <w:b/>
          <w:color w:val="auto"/>
          <w:szCs w:val="21"/>
          <w:highlight w:val="none"/>
        </w:rPr>
        <w:t xml:space="preserve">17.投标文件</w:t>
      </w:r>
      <w:bookmarkEnd w:id="52"/>
      <w:r/>
      <w:bookmarkEnd w:id="53"/>
      <w:r/>
      <w:bookmarkEnd w:id="54"/>
      <w:r/>
      <w:bookmarkEnd w:id="55"/>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6" w:name="_Toc20823298"/>
      <w:r/>
      <w:bookmarkStart w:id="57" w:name="_Toc16938542"/>
      <w:r/>
      <w:bookmarkStart w:id="58" w:name="_Toc513029226"/>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6"/>
      <w:r/>
      <w:bookmarkEnd w:id="57"/>
      <w:r/>
      <w:bookmarkEnd w:id="58"/>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9" w:name="_Toc513029227"/>
      <w:r/>
      <w:bookmarkStart w:id="60" w:name="_Toc20823299"/>
      <w:r/>
      <w:bookmarkStart w:id="61" w:name="_Toc16938543"/>
      <w:r>
        <w:rPr>
          <w:rFonts w:hint="eastAsia" w:ascii="Times New Roman" w:hAnsi="Times New Roman" w:eastAsia="宋体" w:cs="宋体"/>
          <w:b/>
          <w:color w:val="auto"/>
          <w:szCs w:val="21"/>
          <w:highlight w:val="none"/>
        </w:rPr>
        <w:t xml:space="preserve">19.投标文件</w:t>
      </w:r>
      <w:bookmarkEnd w:id="59"/>
      <w:r/>
      <w:bookmarkEnd w:id="60"/>
      <w:r/>
      <w:bookmarkEnd w:id="61"/>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62" w:name="_Toc16938544"/>
      <w:r/>
      <w:bookmarkStart w:id="63" w:name="_Toc513029228"/>
      <w:r/>
      <w:bookmarkStart w:id="64" w:name="_Toc20823300"/>
      <w:r>
        <w:rPr>
          <w:rFonts w:hint="eastAsia" w:ascii="Times New Roman" w:hAnsi="Times New Roman" w:eastAsia="宋体" w:cs="宋体"/>
          <w:b/>
          <w:color w:val="auto"/>
          <w:szCs w:val="21"/>
          <w:highlight w:val="none"/>
        </w:rPr>
        <w:t xml:space="preserve">20.投标文件的撤回和修改</w:t>
      </w:r>
      <w:bookmarkEnd w:id="62"/>
      <w:r/>
      <w:bookmarkEnd w:id="63"/>
      <w:r/>
      <w:bookmarkEnd w:id="64"/>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21.2开标仪式由代理机构组织。“政府采购管理交易系统（苏采云）”将自动对项目进行开标，并宣布各投标人名称和投标价格。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cs="宋体"/>
          <w:b/>
          <w:bCs/>
          <w:color w:val="auto"/>
          <w:szCs w:val="21"/>
          <w:highlight w:val="none"/>
          <w:u w:val="single"/>
          <w:lang w:eastAsia="zh-CN"/>
        </w:rPr>
        <w:t xml:space="preserve">网络智能球型摄像机</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hint="eastAsia" w:ascii="Times New Roman" w:hAnsi="Times New Roman" w:eastAsia="宋体" w:cs="宋体"/>
          <w:bCs/>
          <w:i w:val="0"/>
          <w:iCs w:val="0"/>
          <w:color w:val="auto"/>
          <w:szCs w:val="21"/>
          <w:highlight w:val="none"/>
          <w:u w:val="single"/>
        </w:rPr>
        <w:t xml:space="preserve">（投标产品如属于政府强制采购节能产品品目清单范围内，投标文件中必须提供国家确定的认证机构出具的、处于有效期之内的该节能产品认证证书图片）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681"/>
        <w:pageBreakBefore w:val="0"/>
        <w:spacing w:line="360" w:lineRule="auto"/>
        <w:rPr>
          <w:rFonts w:ascii="Times New Roman" w:hAnsi="Times New Roman" w:eastAsia="宋体"/>
          <w:color w:val="auto"/>
          <w:highlight w:val="none"/>
        </w:rPr>
      </w:pPr>
      <w:r/>
      <w:bookmarkStart w:id="65" w:name="_Toc18307"/>
      <w:r/>
      <w:bookmarkStart w:id="66" w:name="_Toc7691"/>
      <w:r/>
      <w:bookmarkStart w:id="67" w:name="_Toc55204179"/>
      <w:r/>
      <w:bookmarkStart w:id="68" w:name="_Toc23141"/>
      <w:r/>
      <w:bookmarkStart w:id="69" w:name="_Toc12895"/>
      <w:r/>
      <w:bookmarkStart w:id="70" w:name="_Toc1445"/>
      <w:r/>
      <w:bookmarkStart w:id="71" w:name="_Toc30440"/>
      <w:r/>
      <w:bookmarkStart w:id="72" w:name="_Hlk69392822"/>
      <w:r>
        <w:rPr>
          <w:rFonts w:hint="eastAsia" w:ascii="Times New Roman" w:hAnsi="Times New Roman" w:eastAsia="宋体"/>
          <w:color w:val="auto"/>
          <w:highlight w:val="none"/>
        </w:rPr>
        <w:t xml:space="preserve">第三章 合同条款及格式</w:t>
      </w:r>
      <w:bookmarkEnd w:id="65"/>
      <w:r/>
      <w:bookmarkEnd w:id="66"/>
      <w:r/>
      <w:bookmarkEnd w:id="67"/>
      <w:r/>
      <w:bookmarkEnd w:id="68"/>
      <w:r/>
      <w:bookmarkEnd w:id="69"/>
      <w:r/>
      <w:bookmarkEnd w:id="70"/>
      <w:r/>
      <w:bookmarkEnd w:id="71"/>
      <w:r/>
      <w:r/>
    </w:p>
    <w:p>
      <w:pPr>
        <w:pStyle w:val="942"/>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bookmarkEnd w:id="72"/>
      <w:r/>
    </w:p>
    <w:p>
      <w:pPr>
        <w:pStyle w:val="942"/>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r/>
    </w:p>
    <w:p>
      <w:pPr>
        <w:pStyle w:val="702"/>
        <w:ind w:firstLine="422"/>
        <w:jc w:val="center"/>
        <w:pageBreakBefore w:val="0"/>
        <w:spacing w:line="360" w:lineRule="auto"/>
        <w:rPr>
          <w:rFonts w:hint="eastAsia" w:ascii="Times New Roman" w:hAnsi="Times New Roman" w:eastAsia="宋体"/>
          <w:b/>
          <w:bCs/>
          <w:color w:val="auto"/>
          <w:sz w:val="21"/>
          <w:highlight w:val="none"/>
        </w:rPr>
      </w:pPr>
      <w:r/>
      <w:bookmarkStart w:id="73" w:name="_Toc3819"/>
      <w:r/>
      <w:bookmarkStart w:id="74" w:name="_Toc14006"/>
      <w:r/>
      <w:bookmarkStart w:id="75" w:name="_Toc17457"/>
      <w:r/>
      <w:bookmarkStart w:id="76" w:name="_Toc15957"/>
      <w:r>
        <w:rPr>
          <w:rFonts w:hint="eastAsia" w:ascii="Times New Roman" w:hAnsi="Times New Roman" w:eastAsia="宋体"/>
          <w:b/>
          <w:bCs/>
          <w:color w:val="auto"/>
          <w:sz w:val="21"/>
          <w:highlight w:val="none"/>
        </w:rPr>
        <w:t xml:space="preserve">扬州市政府采购合同（货物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02"/>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扬州市城区河道水利运维安防监控完善项目</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JSZC-321000-SSZX-G2026-0007号</w:t>
      </w:r>
      <w:r/>
    </w:p>
    <w:p>
      <w:pPr>
        <w:pStyle w:val="702"/>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扬州市城市河道管理处</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w:t>
      </w:r>
      <w:r>
        <w:rPr>
          <w:rFonts w:hint="eastAsia" w:ascii="Times New Roman" w:hAnsi="Times New Roman"/>
          <w:color w:val="auto"/>
          <w:sz w:val="21"/>
          <w:highlight w:val="none"/>
          <w:lang w:eastAsia="zh-CN"/>
        </w:rPr>
        <w:t xml:space="preserve">江苏苏中兴工程造价咨询有限公司</w:t>
      </w:r>
      <w:r>
        <w:rPr>
          <w:rFonts w:hint="eastAsia" w:ascii="Times New Roman" w:hAnsi="Times New Roman" w:eastAsia="宋体"/>
          <w:color w:val="auto"/>
          <w:sz w:val="21"/>
          <w:highlight w:val="none"/>
        </w:rPr>
        <w:t xml:space="preserve">项目公开招标的结果，签署本合同。</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02"/>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02"/>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1.3 数量（单位）</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02"/>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6.1 收取履约保证金的，</w:t>
      </w:r>
      <w:r>
        <w:rPr>
          <w:rFonts w:hint="eastAsia" w:ascii="Times New Roman" w:hAnsi="Times New Roman" w:eastAsia="宋体"/>
          <w:color w:val="auto"/>
          <w:sz w:val="21"/>
          <w:highlight w:val="none"/>
        </w:rPr>
        <w:t xml:space="preserve">允许中标人自主选择支票、汇票、本票、保函等非现金形式缴纳或提交，</w:t>
      </w:r>
      <w:r>
        <w:rPr>
          <w:rFonts w:ascii="Times New Roman" w:hAnsi="Times New Roman" w:eastAsia="宋体"/>
          <w:color w:val="auto"/>
          <w:sz w:val="21"/>
          <w:highlight w:val="none"/>
        </w:rPr>
        <w:t xml:space="preserve">应当在采购合同中约定履约保证金退还的方式、时间、条件和不予退还的情形，明确逾期退还履约保证金的违约责任。</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02"/>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6.4 履约保证金收取：</w:t>
      </w:r>
      <w:r>
        <w:rPr>
          <w:rFonts w:hint="eastAsia" w:ascii="Times New Roman" w:hAnsi="Times New Roman" w:eastAsia="宋体"/>
          <w:color w:val="auto"/>
          <w:sz w:val="21"/>
          <w:highlight w:val="none"/>
          <w:u w:val="single"/>
        </w:rPr>
        <w:t xml:space="preserve">无</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rPr>
        <w:t xml:space="preserve"> </w:t>
      </w:r>
      <w:r>
        <w:rPr>
          <w:rFonts w:hint="eastAsia" w:ascii="Times New Roman" w:hAnsi="Times New Roman"/>
          <w:color w:val="auto"/>
          <w:sz w:val="21"/>
          <w:highlight w:val="none"/>
          <w:u w:val="single"/>
          <w:lang w:val="en-US" w:eastAsia="zh-CN"/>
        </w:rPr>
        <w:t xml:space="preserve">2</w:t>
      </w:r>
      <w:r>
        <w:rPr>
          <w:rFonts w:hint="eastAsia" w:ascii="Times New Roman" w:hAnsi="Times New Roman" w:eastAsia="宋体"/>
          <w:color w:val="auto"/>
          <w:sz w:val="21"/>
          <w:highlight w:val="none"/>
        </w:rPr>
        <w:t xml:space="preserve">年。（自交货验收合格之日起计）</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02"/>
        <w:ind w:firstLine="420"/>
        <w:pageBreakBefore w:val="0"/>
        <w:spacing w:line="360" w:lineRule="auto"/>
        <w:rPr>
          <w:rFonts w:hint="eastAsia" w:ascii="Times New Roman" w:hAnsi="Times New Roman"/>
          <w:color w:val="auto"/>
          <w:sz w:val="21"/>
          <w:highlight w:val="none"/>
          <w:u w:val="single"/>
          <w:lang w:val="en-US" w:eastAsia="zh-CN"/>
        </w:rPr>
      </w:pPr>
      <w:r>
        <w:rPr>
          <w:rFonts w:hint="eastAsia" w:ascii="Times New Roman" w:hAnsi="Times New Roman" w:eastAsia="宋体"/>
          <w:color w:val="auto"/>
          <w:sz w:val="21"/>
          <w:highlight w:val="none"/>
        </w:rPr>
        <w:t xml:space="preserve">9.1 交付期：</w:t>
      </w:r>
      <w:r>
        <w:rPr>
          <w:rFonts w:hint="eastAsia" w:ascii="Times New Roman" w:hAnsi="Times New Roman"/>
          <w:color w:val="auto"/>
          <w:sz w:val="21"/>
          <w:highlight w:val="none"/>
          <w:u w:val="single"/>
          <w:lang w:val="en-US" w:eastAsia="zh-CN"/>
        </w:rPr>
        <w:t xml:space="preserve"> 40日历天 </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合同签订后，乙方向甲方开具发票，甲方自收到发票之日起10</w:t>
      </w:r>
      <w:r>
        <w:rPr>
          <w:rFonts w:hint="eastAsia" w:ascii="Times New Roman" w:hAnsi="Times New Roman" w:eastAsia="宋体" w:cs="宋体"/>
          <w:color w:val="auto"/>
          <w:szCs w:val="21"/>
          <w:highlight w:val="none"/>
        </w:rPr>
        <w:t xml:space="preserve">个工作日内支付合同总价</w:t>
      </w:r>
      <w:r>
        <w:rPr>
          <w:rFonts w:hint="eastAsia" w:ascii="Times New Roman" w:hAnsi="Times New Roman" w:eastAsia="宋体" w:cs="宋体"/>
          <w:color w:val="auto"/>
          <w:szCs w:val="21"/>
          <w:highlight w:val="none"/>
          <w:lang w:val="en-US" w:eastAsia="zh-CN"/>
        </w:rPr>
        <w:t xml:space="preserve">30</w:t>
      </w:r>
      <w:r>
        <w:rPr>
          <w:rFonts w:hint="eastAsia" w:ascii="Times New Roman" w:hAnsi="Times New Roman" w:eastAsia="宋体" w:cs="宋体"/>
          <w:color w:val="auto"/>
          <w:szCs w:val="21"/>
          <w:highlight w:val="none"/>
        </w:rPr>
        <w:t xml:space="preserve">%的预付款；</w:t>
      </w:r>
      <w:r/>
    </w:p>
    <w:p>
      <w:pPr>
        <w:pStyle w:val="702"/>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cs="宋体"/>
          <w:color w:val="auto"/>
          <w:sz w:val="21"/>
          <w:highlight w:val="none"/>
          <w:lang w:eastAsia="zh-CN"/>
        </w:rPr>
        <w:t xml:space="preserve">（</w:t>
      </w:r>
      <w:r>
        <w:rPr>
          <w:rFonts w:hint="eastAsia" w:ascii="Times New Roman" w:hAnsi="Times New Roman" w:cs="宋体"/>
          <w:color w:val="auto"/>
          <w:sz w:val="21"/>
          <w:highlight w:val="none"/>
          <w:lang w:val="en-US" w:eastAsia="zh-CN"/>
        </w:rPr>
        <w:t xml:space="preserve">2</w:t>
      </w:r>
      <w:r>
        <w:rPr>
          <w:rFonts w:hint="eastAsia" w:ascii="Times New Roman" w:hAnsi="Times New Roman" w:cs="宋体"/>
          <w:color w:val="auto"/>
          <w:sz w:val="21"/>
          <w:highlight w:val="none"/>
          <w:lang w:eastAsia="zh-CN"/>
        </w:rPr>
        <w:t xml:space="preserve">）</w:t>
      </w:r>
      <w:r>
        <w:rPr>
          <w:rFonts w:hint="eastAsia" w:ascii="Times New Roman" w:hAnsi="Times New Roman" w:eastAsia="宋体" w:cs="宋体"/>
          <w:color w:val="auto"/>
          <w:sz w:val="21"/>
          <w:highlight w:val="none"/>
        </w:rPr>
        <w:t xml:space="preserve">项目经验收合格</w:t>
      </w:r>
      <w:r>
        <w:rPr>
          <w:rFonts w:hint="eastAsia" w:ascii="Times New Roman" w:hAnsi="Times New Roman" w:cs="宋体"/>
          <w:color w:val="auto"/>
          <w:sz w:val="21"/>
          <w:highlight w:val="none"/>
          <w:lang w:eastAsia="zh-CN"/>
        </w:rPr>
        <w:t xml:space="preserve">，</w:t>
      </w:r>
      <w:r>
        <w:rPr>
          <w:rFonts w:hint="eastAsia" w:ascii="Times New Roman" w:hAnsi="Times New Roman" w:eastAsia="宋体" w:cs="宋体"/>
          <w:color w:val="auto"/>
          <w:sz w:val="21"/>
          <w:highlight w:val="none"/>
        </w:rPr>
        <w:t xml:space="preserve">乙方向甲方开具发票，甲方自收到发票之日起10个工作日内支付</w:t>
      </w:r>
      <w:r>
        <w:rPr>
          <w:rFonts w:hint="eastAsia" w:ascii="Times New Roman" w:hAnsi="Times New Roman" w:cs="宋体"/>
          <w:color w:val="auto"/>
          <w:sz w:val="21"/>
          <w:highlight w:val="none"/>
          <w:lang w:val="en-US" w:eastAsia="zh-CN"/>
        </w:rPr>
        <w:t xml:space="preserve">至合同价的</w:t>
      </w:r>
      <w:r>
        <w:rPr>
          <w:rFonts w:hint="eastAsia" w:ascii="Times New Roman" w:hAnsi="Times New Roman" w:cs="宋体"/>
          <w:color w:val="auto"/>
          <w:szCs w:val="21"/>
          <w:highlight w:val="none"/>
          <w:lang w:val="en-US" w:eastAsia="zh-CN"/>
        </w:rPr>
        <w:t xml:space="preserve">85</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sz w:val="21"/>
          <w:highlight w:val="none"/>
        </w:rPr>
        <w:t xml:space="preserve">。</w:t>
      </w:r>
      <w:r/>
    </w:p>
    <w:p>
      <w:pPr>
        <w:pStyle w:val="702"/>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cs="宋体"/>
          <w:color w:val="auto"/>
          <w:sz w:val="21"/>
          <w:highlight w:val="none"/>
          <w:lang w:val="en-US" w:eastAsia="zh-CN"/>
        </w:rPr>
        <w:t xml:space="preserve">（3）审计结束后</w:t>
      </w:r>
      <w:r>
        <w:rPr>
          <w:rFonts w:hint="eastAsia" w:ascii="Times New Roman" w:hAnsi="Times New Roman" w:eastAsia="宋体" w:cs="宋体"/>
          <w:color w:val="auto"/>
          <w:sz w:val="21"/>
          <w:highlight w:val="none"/>
        </w:rPr>
        <w:t xml:space="preserve">，乙方向甲方开具发票，甲方自收到发票之日起10个工作日内支付</w:t>
      </w:r>
      <w:r>
        <w:rPr>
          <w:rFonts w:hint="eastAsia" w:ascii="Times New Roman" w:hAnsi="Times New Roman" w:cs="宋体"/>
          <w:color w:val="auto"/>
          <w:sz w:val="21"/>
          <w:highlight w:val="none"/>
          <w:lang w:val="en-US" w:eastAsia="zh-CN"/>
        </w:rPr>
        <w:t xml:space="preserve">至</w:t>
      </w:r>
      <w:r>
        <w:rPr>
          <w:rFonts w:hint="eastAsia" w:ascii="Times New Roman" w:hAnsi="Times New Roman" w:eastAsia="宋体" w:cs="宋体"/>
          <w:color w:val="auto"/>
          <w:sz w:val="21"/>
          <w:highlight w:val="none"/>
        </w:rPr>
        <w:t xml:space="preserve">审计</w:t>
      </w:r>
      <w:r>
        <w:rPr>
          <w:rFonts w:hint="eastAsia" w:ascii="Times New Roman" w:hAnsi="Times New Roman" w:cs="宋体"/>
          <w:color w:val="auto"/>
          <w:sz w:val="21"/>
          <w:highlight w:val="none"/>
          <w:lang w:val="en-US" w:eastAsia="zh-CN"/>
        </w:rPr>
        <w:t xml:space="preserve">价格的</w:t>
      </w:r>
      <w:r>
        <w:rPr>
          <w:rFonts w:hint="eastAsia" w:ascii="Times New Roman" w:hAnsi="Times New Roman" w:cs="宋体"/>
          <w:color w:val="auto"/>
          <w:szCs w:val="21"/>
          <w:highlight w:val="none"/>
          <w:lang w:val="en-US" w:eastAsia="zh-CN"/>
        </w:rPr>
        <w:t xml:space="preserve">100</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sz w:val="21"/>
          <w:highlight w:val="none"/>
        </w:rPr>
        <w:t xml:space="preserve">。</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⑶退还处理：乙方应退还甲方支付的合同款，同时应承担该货物及服务的直接费用（运输、保险、检验、款项利息及银行手续费等）。</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w:t>
      </w:r>
      <w:r>
        <w:rPr>
          <w:rFonts w:hint="eastAsia" w:ascii="Times New Roman" w:hAnsi="Times New Roman"/>
          <w:color w:val="auto"/>
          <w:sz w:val="21"/>
          <w:highlight w:val="none"/>
          <w:lang w:eastAsia="zh-CN"/>
        </w:rPr>
        <w:t xml:space="preserve">，</w:t>
      </w:r>
      <w:r>
        <w:rPr>
          <w:rFonts w:hint="eastAsia" w:ascii="Times New Roman" w:hAnsi="Times New Roman" w:eastAsia="宋体"/>
          <w:color w:val="auto"/>
          <w:sz w:val="21"/>
          <w:highlight w:val="none"/>
        </w:rPr>
        <w:t xml:space="preserve">提供7</w:t>
      </w:r>
      <w:r>
        <w:rPr>
          <w:rFonts w:hint="eastAsia" w:ascii="Times New Roman" w:hAnsi="Times New Roman"/>
          <w:color w:val="auto"/>
          <w:sz w:val="21"/>
          <w:highlight w:val="none"/>
          <w:lang w:val="en-US" w:eastAsia="zh-CN"/>
        </w:rPr>
        <w:t xml:space="preserve">✖</w:t>
      </w:r>
      <w:r>
        <w:rPr>
          <w:rFonts w:hint="eastAsia" w:ascii="Times New Roman" w:hAnsi="Times New Roman" w:eastAsia="宋体"/>
          <w:color w:val="auto"/>
          <w:sz w:val="21"/>
          <w:highlight w:val="none"/>
        </w:rPr>
        <w:t xml:space="preserve">24小时技术服务，故障报修后2小时内响应，城区范围内4小时内到场处置，偏远点位8小时内到场处置。</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color w:val="auto"/>
          <w:sz w:val="21"/>
          <w:highlight w:val="none"/>
          <w:u w:val="single"/>
          <w:lang w:val="en-US" w:eastAsia="zh-CN"/>
        </w:rPr>
        <w:t xml:space="preserve">2</w:t>
      </w:r>
      <w:r>
        <w:rPr>
          <w:rFonts w:hint="eastAsia" w:ascii="Times New Roman" w:hAnsi="Times New Roman" w:eastAsia="宋体"/>
          <w:color w:val="auto"/>
          <w:sz w:val="21"/>
          <w:highlight w:val="none"/>
        </w:rPr>
        <w:t xml:space="preserve">年，因人为因素出现的故障不在免费保修范围内。超过保修期的机器设备，终生维修，维修时只收部件成本费。</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甲方应按逾期付款总额每日万分之五向乙方支付违约金。</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02"/>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合同经双方法定代表人签章并加盖单位公章，并经</w:t>
      </w:r>
      <w:r>
        <w:rPr>
          <w:rFonts w:hint="eastAsia" w:ascii="Times New Roman" w:hAnsi="Times New Roman"/>
          <w:color w:val="auto"/>
          <w:sz w:val="21"/>
          <w:highlight w:val="none"/>
          <w:lang w:eastAsia="zh-CN"/>
        </w:rPr>
        <w:t xml:space="preserve">江苏苏中兴工程造价咨询有限公司</w:t>
      </w:r>
      <w:r>
        <w:rPr>
          <w:rFonts w:hint="eastAsia" w:ascii="Times New Roman" w:hAnsi="Times New Roman" w:eastAsia="宋体"/>
          <w:color w:val="auto"/>
          <w:sz w:val="21"/>
          <w:highlight w:val="none"/>
        </w:rPr>
        <w:t xml:space="preserve">见证盖章后生效。</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olor w:val="auto"/>
          <w:sz w:val="21"/>
          <w:highlight w:val="none"/>
          <w:lang w:val="en-US" w:eastAsia="zh-CN"/>
        </w:rPr>
        <w:t xml:space="preserve">中华人民共和国</w:t>
      </w:r>
      <w:r>
        <w:rPr>
          <w:rFonts w:hint="eastAsia" w:ascii="Times New Roman" w:hAnsi="Times New Roman" w:eastAsia="宋体"/>
          <w:color w:val="auto"/>
          <w:sz w:val="21"/>
          <w:highlight w:val="none"/>
        </w:rPr>
        <w:t xml:space="preserve">民法典》有关条文执行。</w:t>
      </w:r>
      <w:r/>
    </w:p>
    <w:p>
      <w:pPr>
        <w:pStyle w:val="702"/>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19.3 本合同正本一式</w:t>
      </w:r>
      <w:r>
        <w:rPr>
          <w:rFonts w:hint="eastAsia" w:ascii="Times New Roman" w:hAnsi="Times New Roman"/>
          <w:color w:val="auto"/>
          <w:sz w:val="21"/>
          <w:highlight w:val="none"/>
          <w:lang w:val="en-US" w:eastAsia="zh-CN"/>
        </w:rPr>
        <w:t xml:space="preserve">七</w:t>
      </w:r>
      <w:r>
        <w:rPr>
          <w:rFonts w:hint="eastAsia" w:ascii="Times New Roman" w:hAnsi="Times New Roman" w:eastAsia="宋体"/>
          <w:color w:val="auto"/>
          <w:sz w:val="21"/>
          <w:highlight w:val="none"/>
        </w:rPr>
        <w:t xml:space="preserve">份，具有同等法律效力，甲方</w:t>
      </w:r>
      <w:r>
        <w:rPr>
          <w:rFonts w:hint="eastAsia" w:ascii="Times New Roman" w:hAnsi="Times New Roman"/>
          <w:color w:val="auto"/>
          <w:sz w:val="21"/>
          <w:highlight w:val="none"/>
          <w:lang w:val="en-US" w:eastAsia="zh-CN"/>
        </w:rPr>
        <w:t xml:space="preserve">四份</w:t>
      </w:r>
      <w:r>
        <w:rPr>
          <w:rFonts w:hint="eastAsia" w:ascii="Times New Roman" w:hAnsi="Times New Roman" w:eastAsia="宋体"/>
          <w:color w:val="auto"/>
          <w:sz w:val="21"/>
          <w:highlight w:val="none"/>
        </w:rPr>
        <w:t xml:space="preserve">、乙方二份、见证方执一份。  </w:t>
      </w:r>
      <w:r/>
    </w:p>
    <w:tbl>
      <w:tblPr>
        <w:tblStyle w:val="691"/>
        <w:tblW w:w="0" w:type="auto"/>
        <w:tblInd w:w="-142" w:type="dxa"/>
        <w:tblLayout w:type="autofit"/>
        <w:tblCellMar>
          <w:left w:w="108" w:type="dxa"/>
          <w:top w:w="0" w:type="dxa"/>
          <w:right w:w="108" w:type="dxa"/>
          <w:bottom w:w="0" w:type="dxa"/>
        </w:tblCellMar>
        <w:tblLook w:val="04A0" w:firstRow="1" w:lastRow="0" w:firstColumn="1" w:lastColumn="0" w:noHBand="0" w:noVBand="1"/>
      </w:tblPr>
      <w:tblGrid>
        <w:gridCol w:w="4537"/>
        <w:gridCol w:w="3911"/>
      </w:tblGrid>
      <w:tr>
        <w:trPr>
          <w:trHeight w:val="510"/>
        </w:trPr>
        <w:tc>
          <w:tcPr>
            <w:shd w:val="clear" w:color="auto" w:fill="auto"/>
            <w:tcW w:w="4537" w:type="dxa"/>
            <w:textDirection w:val="lrTb"/>
            <w:noWrap w:val="false"/>
          </w:tcPr>
          <w:p>
            <w:pPr>
              <w:pStyle w:val="702"/>
              <w:ind w:firstLine="400"/>
              <w:rPr>
                <w:rFonts w:hint="eastAsia"/>
                <w:highlight w:val="none"/>
              </w:rPr>
            </w:pPr>
            <w:r>
              <w:rPr>
                <w:highlight w:val="none"/>
              </w:rPr>
              <w:t xml:space="preserve">甲方：</w:t>
            </w:r>
            <w:r/>
          </w:p>
        </w:tc>
        <w:tc>
          <w:tcPr>
            <w:shd w:val="clear" w:color="auto" w:fill="auto"/>
            <w:tcW w:w="3911" w:type="dxa"/>
            <w:textDirection w:val="lrTb"/>
            <w:noWrap w:val="false"/>
          </w:tcPr>
          <w:p>
            <w:pPr>
              <w:pStyle w:val="702"/>
              <w:ind w:firstLine="400"/>
              <w:rPr>
                <w:rFonts w:hint="eastAsia"/>
                <w:highlight w:val="none"/>
              </w:rPr>
            </w:pPr>
            <w:r>
              <w:rPr>
                <w:highlight w:val="none"/>
              </w:rPr>
              <w:t xml:space="preserve">乙方：</w:t>
            </w:r>
            <w:r/>
          </w:p>
        </w:tc>
      </w:tr>
      <w:tr>
        <w:trPr>
          <w:trHeight w:val="510"/>
        </w:trPr>
        <w:tc>
          <w:tcPr>
            <w:shd w:val="clear" w:color="auto" w:fill="auto"/>
            <w:tcW w:w="4537" w:type="dxa"/>
            <w:textDirection w:val="lrTb"/>
            <w:noWrap w:val="false"/>
          </w:tcPr>
          <w:p>
            <w:pPr>
              <w:pStyle w:val="702"/>
              <w:ind w:firstLine="400"/>
              <w:rPr>
                <w:rFonts w:hint="eastAsia"/>
                <w:highlight w:val="none"/>
              </w:rPr>
            </w:pPr>
            <w:r>
              <w:rPr>
                <w:highlight w:val="none"/>
              </w:rPr>
              <w:t xml:space="preserve">地址：</w:t>
            </w:r>
            <w:r/>
          </w:p>
        </w:tc>
        <w:tc>
          <w:tcPr>
            <w:shd w:val="clear" w:color="auto" w:fill="auto"/>
            <w:tcW w:w="3911" w:type="dxa"/>
            <w:textDirection w:val="lrTb"/>
            <w:noWrap w:val="false"/>
          </w:tcPr>
          <w:p>
            <w:pPr>
              <w:pStyle w:val="702"/>
              <w:ind w:firstLine="400"/>
              <w:rPr>
                <w:rFonts w:hint="eastAsia"/>
                <w:highlight w:val="none"/>
              </w:rPr>
            </w:pPr>
            <w:r>
              <w:rPr>
                <w:highlight w:val="none"/>
              </w:rPr>
              <w:t xml:space="preserve">地址：</w:t>
            </w:r>
            <w:r/>
          </w:p>
        </w:tc>
      </w:tr>
      <w:tr>
        <w:trPr>
          <w:trHeight w:val="510"/>
        </w:trPr>
        <w:tc>
          <w:tcPr>
            <w:shd w:val="clear" w:color="auto" w:fill="auto"/>
            <w:tcW w:w="4537" w:type="dxa"/>
            <w:textDirection w:val="lrTb"/>
            <w:noWrap w:val="false"/>
          </w:tcPr>
          <w:p>
            <w:pPr>
              <w:pStyle w:val="702"/>
              <w:ind w:firstLine="400"/>
              <w:rPr>
                <w:rFonts w:hint="eastAsia"/>
                <w:highlight w:val="none"/>
              </w:rPr>
            </w:pPr>
            <w:r>
              <w:rPr>
                <w:highlight w:val="none"/>
              </w:rPr>
              <w:t xml:space="preserve">法定代表人</w:t>
            </w:r>
            <w:r>
              <w:rPr>
                <w:rFonts w:hint="eastAsia"/>
                <w:highlight w:val="none"/>
              </w:rPr>
              <w:t xml:space="preserve">或授权代表</w:t>
            </w:r>
            <w:r>
              <w:rPr>
                <w:highlight w:val="none"/>
              </w:rPr>
              <w:t xml:space="preserve">：</w:t>
            </w:r>
            <w:r/>
          </w:p>
        </w:tc>
        <w:tc>
          <w:tcPr>
            <w:shd w:val="clear" w:color="auto" w:fill="auto"/>
            <w:tcW w:w="3911" w:type="dxa"/>
            <w:textDirection w:val="lrTb"/>
            <w:noWrap w:val="false"/>
          </w:tcPr>
          <w:p>
            <w:pPr>
              <w:pStyle w:val="702"/>
              <w:ind w:firstLine="400"/>
              <w:rPr>
                <w:rFonts w:hint="eastAsia"/>
                <w:highlight w:val="none"/>
              </w:rPr>
            </w:pPr>
            <w:r>
              <w:rPr>
                <w:highlight w:val="none"/>
              </w:rPr>
              <w:t xml:space="preserve">法定代表人</w:t>
            </w:r>
            <w:r>
              <w:rPr>
                <w:rFonts w:hint="eastAsia"/>
                <w:highlight w:val="none"/>
              </w:rPr>
              <w:t xml:space="preserve">或授权代表</w:t>
            </w:r>
            <w:r>
              <w:rPr>
                <w:highlight w:val="none"/>
              </w:rPr>
              <w:t xml:space="preserve">：</w:t>
            </w:r>
            <w:r/>
          </w:p>
        </w:tc>
      </w:tr>
      <w:tr>
        <w:trPr>
          <w:trHeight w:val="510"/>
        </w:trPr>
        <w:tc>
          <w:tcPr>
            <w:shd w:val="clear" w:color="auto" w:fill="auto"/>
            <w:tcW w:w="4537" w:type="dxa"/>
            <w:textDirection w:val="lrTb"/>
            <w:noWrap w:val="false"/>
          </w:tcPr>
          <w:p>
            <w:pPr>
              <w:pStyle w:val="702"/>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t xml:space="preserve">开户银行：</w:t>
            </w:r>
            <w:r/>
          </w:p>
        </w:tc>
      </w:tr>
      <w:tr>
        <w:trPr>
          <w:trHeight w:val="510"/>
        </w:trPr>
        <w:tc>
          <w:tcPr>
            <w:shd w:val="clear" w:color="auto" w:fill="auto"/>
            <w:tcW w:w="4537" w:type="dxa"/>
            <w:textDirection w:val="lrTb"/>
            <w:noWrap w:val="false"/>
          </w:tcPr>
          <w:p>
            <w:pPr>
              <w:pStyle w:val="702"/>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t xml:space="preserve">账号：</w:t>
            </w:r>
            <w:r/>
          </w:p>
        </w:tc>
      </w:tr>
      <w:tr>
        <w:trPr>
          <w:trHeight w:val="510"/>
        </w:trPr>
        <w:tc>
          <w:tcPr>
            <w:shd w:val="clear" w:color="auto" w:fill="auto"/>
            <w:tcW w:w="4537" w:type="dxa"/>
            <w:textDirection w:val="lrTb"/>
            <w:noWrap w:val="false"/>
          </w:tcPr>
          <w:p>
            <w:pPr>
              <w:pStyle w:val="702"/>
              <w:ind w:firstLine="400"/>
              <w:rPr>
                <w:rFonts w:hint="eastAsia"/>
                <w:highlight w:val="none"/>
              </w:rPr>
            </w:pPr>
            <w:r>
              <w:rPr>
                <w:rFonts w:hint="eastAsia"/>
                <w:highlight w:val="none"/>
              </w:rPr>
              <w:t xml:space="preserve">联系电话：</w:t>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t xml:space="preserve">联系电话：</w:t>
            </w:r>
            <w:r/>
          </w:p>
        </w:tc>
      </w:tr>
      <w:tr>
        <w:trPr>
          <w:trHeight w:val="510"/>
        </w:trPr>
        <w:tc>
          <w:tcPr>
            <w:shd w:val="clear" w:color="auto" w:fill="auto"/>
            <w:tcW w:w="4537" w:type="dxa"/>
            <w:textDirection w:val="lrTb"/>
            <w:noWrap w:val="false"/>
          </w:tcPr>
          <w:p>
            <w:pPr>
              <w:pStyle w:val="702"/>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c>
          <w:tcPr>
            <w:shd w:val="clear" w:color="auto" w:fill="auto"/>
            <w:tcW w:w="3911" w:type="dxa"/>
            <w:textDirection w:val="lrTb"/>
            <w:noWrap w:val="false"/>
          </w:tcPr>
          <w:p>
            <w:pPr>
              <w:pStyle w:val="702"/>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r>
      <w:tr>
        <w:trPr>
          <w:trHeight w:val="510"/>
        </w:trPr>
        <w:tc>
          <w:tcPr>
            <w:shd w:val="clear" w:color="auto" w:fill="auto"/>
            <w:tcW w:w="4537" w:type="dxa"/>
            <w:textDirection w:val="lrTb"/>
            <w:noWrap w:val="false"/>
          </w:tcPr>
          <w:p>
            <w:pPr>
              <w:pStyle w:val="702"/>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02"/>
              <w:ind w:firstLine="400"/>
              <w:rPr>
                <w:rFonts w:hint="eastAsia" w:eastAsia="宋体"/>
                <w:highlight w:val="none"/>
                <w:lang w:eastAsia="zh-CN"/>
              </w:rPr>
            </w:pPr>
            <w:r>
              <w:rPr>
                <w:rFonts w:hint="eastAsia"/>
                <w:highlight w:val="none"/>
              </w:rPr>
              <w:t xml:space="preserve">见证方：</w:t>
            </w:r>
            <w:r>
              <w:rPr>
                <w:rFonts w:hint="eastAsia"/>
                <w:highlight w:val="none"/>
                <w:lang w:eastAsia="zh-CN"/>
              </w:rPr>
              <w:t xml:space="preserve">江苏苏中兴工程造价咨询有限公司</w:t>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02"/>
              <w:ind w:firstLine="400"/>
              <w:rPr>
                <w:rFonts w:hint="eastAsia"/>
                <w:highlight w:val="none"/>
              </w:rPr>
            </w:pPr>
            <w:r>
              <w:rPr>
                <w:rFonts w:hint="eastAsia"/>
                <w:highlight w:val="none"/>
              </w:rPr>
              <w:t xml:space="preserve">项目经办人：</w:t>
            </w:r>
            <w:r>
              <w:rPr>
                <w:highlight w:val="none"/>
              </w:rPr>
              <w:t xml:space="preserve"> </w:t>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02"/>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c>
          <w:tcPr>
            <w:shd w:val="clear" w:color="auto" w:fill="auto"/>
            <w:tcW w:w="3911" w:type="dxa"/>
            <w:textDirection w:val="lrTb"/>
            <w:noWrap w:val="false"/>
          </w:tcPr>
          <w:p>
            <w:pPr>
              <w:pStyle w:val="702"/>
              <w:ind w:firstLine="400"/>
              <w:rPr>
                <w:rFonts w:hint="eastAsia"/>
                <w:highlight w:val="none"/>
              </w:rPr>
            </w:pPr>
            <w:r>
              <w:rPr>
                <w:rFonts w:hint="eastAsia"/>
                <w:highlight w:val="none"/>
              </w:rPr>
            </w:r>
            <w:r/>
          </w:p>
        </w:tc>
      </w:tr>
    </w:tbl>
    <w:p>
      <w:pPr>
        <w:pStyle w:val="681"/>
        <w:numPr>
          <w:ilvl w:val="0"/>
          <w:numId w:val="0"/>
        </w:numPr>
        <w:pageBreakBefore w:val="0"/>
        <w:spacing w:line="360" w:lineRule="auto"/>
        <w:rPr>
          <w:rFonts w:hint="eastAsia" w:ascii="Times New Roman" w:hAnsi="Times New Roman" w:eastAsia="宋体" w:cs="Arial"/>
          <w:b/>
          <w:color w:val="auto"/>
          <w:sz w:val="30"/>
          <w:szCs w:val="40"/>
          <w:highlight w:val="none"/>
          <w:lang w:val="en-US" w:eastAsia="zh-CN" w:bidi="ar-SA"/>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Arial"/>
          <w:b/>
          <w:color w:val="auto"/>
          <w:sz w:val="30"/>
          <w:szCs w:val="40"/>
          <w:highlight w:val="none"/>
          <w:lang w:val="en-US" w:eastAsia="zh-CN" w:bidi="ar-SA"/>
        </w:rPr>
      </w:r>
      <w:r/>
    </w:p>
    <w:p>
      <w:pPr>
        <w:ind w:firstLine="640"/>
        <w:jc w:val="center"/>
        <w:spacing w:line="360" w:lineRule="auto"/>
        <w:rPr>
          <w:rFonts w:ascii="宋体" w:hAnsi="宋体"/>
          <w:sz w:val="32"/>
          <w:szCs w:val="32"/>
          <w:highlight w:val="none"/>
        </w:rPr>
      </w:pPr>
      <w:r/>
      <w:bookmarkStart w:id="77" w:name="_Toc4495"/>
      <w:r/>
      <w:bookmarkStart w:id="78" w:name="_Toc31443"/>
      <w:r>
        <w:rPr>
          <w:rFonts w:hint="eastAsia" w:ascii="宋体" w:hAnsi="宋体"/>
          <w:sz w:val="32"/>
          <w:szCs w:val="32"/>
          <w:highlight w:val="none"/>
        </w:rPr>
        <w:t xml:space="preserve">安全生产合同</w:t>
      </w:r>
      <w:r/>
    </w:p>
    <w:p>
      <w:pPr>
        <w:ind w:firstLine="422"/>
        <w:spacing w:line="360" w:lineRule="auto"/>
        <w:rPr>
          <w:rFonts w:ascii="宋体" w:hAnsi="宋体"/>
          <w:szCs w:val="21"/>
        </w:rPr>
      </w:pPr>
      <w:r>
        <w:rPr>
          <w:rFonts w:ascii="宋体" w:hAnsi="宋体"/>
          <w:b/>
          <w:szCs w:val="21"/>
        </w:rPr>
        <w:t xml:space="preserve">发包人：</w:t>
      </w:r>
      <w:r>
        <w:rPr>
          <w:rFonts w:hint="eastAsia" w:ascii="宋体" w:hAnsi="宋体"/>
          <w:b/>
          <w:szCs w:val="21"/>
          <w:u w:val="single"/>
          <w:lang w:val="en-US" w:eastAsia="zh-CN"/>
        </w:rPr>
        <w:t xml:space="preserve"> </w:t>
      </w:r>
      <w:r>
        <w:rPr>
          <w:rFonts w:ascii="宋体" w:hAnsi="宋体"/>
          <w:szCs w:val="21"/>
          <w:u w:val="single"/>
        </w:rPr>
        <w:t xml:space="preserve">扬州市城市</w:t>
      </w:r>
      <w:r>
        <w:rPr>
          <w:rFonts w:hint="eastAsia" w:ascii="宋体" w:hAnsi="宋体"/>
          <w:szCs w:val="21"/>
          <w:u w:val="single"/>
          <w:lang w:eastAsia="zh-CN"/>
        </w:rPr>
        <w:t xml:space="preserve">河道</w:t>
      </w:r>
      <w:r>
        <w:rPr>
          <w:rFonts w:ascii="宋体" w:hAnsi="宋体"/>
          <w:szCs w:val="21"/>
          <w:u w:val="single"/>
        </w:rPr>
        <w:t xml:space="preserve">管理处</w:t>
      </w:r>
      <w:r>
        <w:rPr>
          <w:rFonts w:hint="eastAsia" w:ascii="宋体" w:hAnsi="宋体"/>
          <w:szCs w:val="21"/>
          <w:u w:val="single"/>
          <w:lang w:val="en-US" w:eastAsia="zh-CN"/>
        </w:rPr>
        <w:t xml:space="preserve">  </w:t>
      </w:r>
      <w:r>
        <w:rPr>
          <w:rFonts w:ascii="宋体" w:hAnsi="宋体"/>
          <w:szCs w:val="21"/>
        </w:rPr>
        <w:t xml:space="preserve">（以下简称“甲方”）</w:t>
      </w:r>
      <w:r/>
    </w:p>
    <w:p>
      <w:pPr>
        <w:ind w:firstLine="422"/>
        <w:spacing w:line="360" w:lineRule="auto"/>
        <w:rPr>
          <w:rFonts w:ascii="宋体" w:hAnsi="宋体"/>
          <w:szCs w:val="21"/>
        </w:rPr>
      </w:pPr>
      <w:r>
        <w:rPr>
          <w:rFonts w:ascii="宋体" w:hAnsi="宋体"/>
          <w:b/>
          <w:szCs w:val="21"/>
        </w:rPr>
        <w:t xml:space="preserve">承包人：</w:t>
      </w:r>
      <w:r>
        <w:rPr>
          <w:rFonts w:ascii="宋体" w:hAnsi="宋体"/>
          <w:szCs w:val="21"/>
          <w:u w:val="single"/>
        </w:rPr>
        <w:t xml:space="preserve">   </w:t>
      </w:r>
      <w:r>
        <w:rPr>
          <w:rFonts w:ascii="宋体" w:hAnsi="宋体"/>
          <w:szCs w:val="21"/>
        </w:rPr>
        <w:t xml:space="preserve">（以下简称“乙方”）</w:t>
      </w:r>
      <w:r/>
    </w:p>
    <w:p>
      <w:pPr>
        <w:ind w:firstLine="420"/>
        <w:spacing w:line="360" w:lineRule="auto"/>
        <w:rPr>
          <w:rFonts w:ascii="宋体" w:hAnsi="宋体"/>
          <w:szCs w:val="21"/>
        </w:rPr>
      </w:pPr>
      <w:r>
        <w:rPr>
          <w:rFonts w:ascii="宋体" w:hAnsi="宋体"/>
          <w:szCs w:val="21"/>
        </w:rPr>
        <w:t xml:space="preserve">为在</w:t>
      </w:r>
      <w:r>
        <w:rPr>
          <w:rFonts w:ascii="宋体" w:hAnsi="宋体"/>
          <w:szCs w:val="21"/>
          <w:u w:val="single"/>
        </w:rPr>
        <w:t xml:space="preserve"> </w:t>
      </w:r>
      <w:bookmarkStart w:id="79" w:name="_Hlt16619369"/>
      <w:r/>
      <w:bookmarkEnd w:id="79"/>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合同的实施过程中创造安全、高效的施工环境，切实搞好本项目的安全管理工作，特此签订安全生产合同。具体如下：</w:t>
      </w:r>
      <w:r/>
    </w:p>
    <w:p>
      <w:pPr>
        <w:ind w:firstLine="420"/>
        <w:spacing w:line="360" w:lineRule="auto"/>
        <w:rPr>
          <w:rFonts w:ascii="宋体" w:hAnsi="宋体"/>
          <w:szCs w:val="21"/>
        </w:rPr>
      </w:pPr>
      <w:r>
        <w:rPr>
          <w:rFonts w:ascii="宋体" w:hAnsi="宋体"/>
          <w:szCs w:val="21"/>
        </w:rPr>
        <w:t xml:space="preserve">一、甲方职责</w:t>
      </w:r>
      <w:r/>
    </w:p>
    <w:p>
      <w:pPr>
        <w:ind w:firstLine="420"/>
        <w:spacing w:line="360" w:lineRule="auto"/>
        <w:rPr>
          <w:rFonts w:ascii="宋体" w:hAnsi="宋体"/>
          <w:szCs w:val="21"/>
        </w:rPr>
      </w:pPr>
      <w:r>
        <w:rPr>
          <w:rFonts w:ascii="宋体" w:hAnsi="宋体"/>
          <w:szCs w:val="21"/>
        </w:rPr>
        <w:t xml:space="preserve">1、严格遵守国家有关安全生产的法律法规，认真执行工程承包合同中的有关安全要求。</w:t>
      </w:r>
      <w:r/>
    </w:p>
    <w:p>
      <w:pPr>
        <w:ind w:firstLine="420"/>
        <w:spacing w:line="360" w:lineRule="auto"/>
        <w:rPr>
          <w:rFonts w:ascii="宋体" w:hAnsi="宋体"/>
          <w:szCs w:val="21"/>
        </w:rPr>
      </w:pPr>
      <w:r>
        <w:rPr>
          <w:rFonts w:ascii="宋体" w:hAnsi="宋体"/>
          <w:szCs w:val="21"/>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szCs w:val="21"/>
        </w:rPr>
      </w:pPr>
      <w:r>
        <w:rPr>
          <w:rFonts w:ascii="宋体" w:hAnsi="宋体"/>
          <w:szCs w:val="21"/>
        </w:rPr>
        <w:t xml:space="preserve">3、定期召开安全生产协调会，及时传达中央及地方有关安全生产的精神。</w:t>
      </w:r>
      <w:r/>
    </w:p>
    <w:p>
      <w:pPr>
        <w:ind w:firstLine="420"/>
        <w:spacing w:line="360" w:lineRule="auto"/>
        <w:rPr>
          <w:rFonts w:ascii="宋体" w:hAnsi="宋体"/>
          <w:szCs w:val="21"/>
        </w:rPr>
      </w:pPr>
      <w:r>
        <w:rPr>
          <w:rFonts w:ascii="宋体" w:hAnsi="宋体"/>
          <w:szCs w:val="21"/>
        </w:rPr>
        <w:t xml:space="preserve">4、组织对乙方施工现场安全生产检查，建立安全生产责任制网络、汇总重要危险源、监督乙方及时处理发现的各种安全隐患。</w:t>
      </w:r>
      <w:r/>
    </w:p>
    <w:p>
      <w:pPr>
        <w:ind w:firstLine="420"/>
        <w:spacing w:line="360" w:lineRule="auto"/>
        <w:rPr>
          <w:rFonts w:ascii="宋体" w:hAnsi="宋体"/>
          <w:szCs w:val="21"/>
        </w:rPr>
      </w:pPr>
      <w:r>
        <w:rPr>
          <w:rFonts w:ascii="宋体" w:hAnsi="宋体"/>
          <w:szCs w:val="21"/>
        </w:rPr>
        <w:t xml:space="preserve">二、乙方职责</w:t>
      </w:r>
      <w:r/>
    </w:p>
    <w:p>
      <w:pPr>
        <w:ind w:firstLine="420"/>
        <w:spacing w:line="360" w:lineRule="auto"/>
        <w:rPr>
          <w:rFonts w:ascii="宋体" w:hAnsi="宋体"/>
          <w:szCs w:val="21"/>
        </w:rPr>
      </w:pPr>
      <w:r>
        <w:rPr>
          <w:rFonts w:ascii="宋体" w:hAnsi="宋体"/>
          <w:szCs w:val="21"/>
        </w:rPr>
        <w:t xml:space="preserve">1、严格遵守国家有关安全生产的法律法规、有关安全生产的规定，认真执行工程承包合同中的有关安全要求，接受甲方和监督理工程师对安全生产工作的指导。</w:t>
      </w:r>
      <w:r/>
    </w:p>
    <w:p>
      <w:pPr>
        <w:ind w:firstLine="420"/>
        <w:spacing w:line="360" w:lineRule="auto"/>
        <w:rPr>
          <w:rFonts w:ascii="宋体" w:hAnsi="宋体"/>
          <w:szCs w:val="21"/>
        </w:rPr>
      </w:pPr>
      <w:r>
        <w:rPr>
          <w:rFonts w:ascii="宋体" w:hAnsi="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szCs w:val="21"/>
        </w:rPr>
      </w:pPr>
      <w:r>
        <w:rPr>
          <w:rFonts w:ascii="宋体" w:hAnsi="宋体"/>
          <w:szCs w:val="21"/>
        </w:rPr>
        <w:t xml:space="preserve">3、建立健全安全产生责任制网络。从派驻项</w:t>
      </w:r>
      <w:r>
        <w:rPr>
          <w:rFonts w:ascii="宋体" w:hAnsi="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szCs w:val="21"/>
          <w:lang w:eastAsia="zh-CN"/>
        </w:rPr>
      </w:pPr>
      <w:r>
        <w:rPr>
          <w:rFonts w:ascii="宋体" w:hAnsi="宋体"/>
          <w:szCs w:val="21"/>
        </w:rPr>
        <w:t xml:space="preserve">4、乙方在任何时候都应采取各种合理的预防措施，防止其人员发生任何违法、违禁</w:t>
      </w:r>
      <w:r>
        <w:rPr>
          <w:rFonts w:hint="eastAsia" w:ascii="宋体" w:hAnsi="宋体"/>
          <w:szCs w:val="21"/>
        </w:rPr>
        <w:t xml:space="preserve">、</w:t>
      </w:r>
      <w:r>
        <w:rPr>
          <w:rFonts w:ascii="宋体" w:hAnsi="宋体"/>
          <w:szCs w:val="21"/>
        </w:rPr>
        <w:t xml:space="preserve">暴力、违规或妨碍治安的行为</w:t>
      </w:r>
      <w:r>
        <w:rPr>
          <w:rFonts w:hint="eastAsia" w:ascii="宋体" w:hAnsi="宋体"/>
          <w:szCs w:val="21"/>
          <w:lang w:eastAsia="zh-CN"/>
        </w:rPr>
        <w:t xml:space="preserve">。</w:t>
      </w:r>
      <w:r/>
    </w:p>
    <w:p>
      <w:pPr>
        <w:ind w:firstLine="420"/>
        <w:spacing w:line="360" w:lineRule="auto"/>
        <w:rPr>
          <w:rFonts w:ascii="宋体" w:hAnsi="宋体"/>
          <w:szCs w:val="21"/>
        </w:rPr>
      </w:pPr>
      <w:r>
        <w:rPr>
          <w:rFonts w:ascii="宋体" w:hAnsi="宋体"/>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szCs w:val="21"/>
        </w:rPr>
      </w:pPr>
      <w:r>
        <w:rPr>
          <w:rFonts w:ascii="宋体" w:hAnsi="宋体"/>
          <w:szCs w:val="21"/>
        </w:rPr>
        <w:t xml:space="preserve">6、加强施工中交通运输安全管理，各种运输机械等需划定运输线路行驶。</w:t>
      </w:r>
      <w:r/>
    </w:p>
    <w:p>
      <w:pPr>
        <w:ind w:firstLine="420"/>
        <w:spacing w:line="360" w:lineRule="auto"/>
        <w:rPr>
          <w:rFonts w:ascii="宋体" w:hAnsi="宋体"/>
          <w:szCs w:val="21"/>
        </w:rPr>
      </w:pPr>
      <w:r>
        <w:rPr>
          <w:rFonts w:ascii="宋体" w:hAnsi="宋体"/>
          <w:szCs w:val="21"/>
        </w:rPr>
        <w:t xml:space="preserve">7、对于易燃易爆的材料除应专门有效封闭、妥善保管之处，还应配备有足够的消防设施所有施工人员都应熟悉消防设备的性能和使用方法。</w:t>
      </w:r>
      <w:r/>
    </w:p>
    <w:p>
      <w:pPr>
        <w:ind w:firstLine="420"/>
        <w:spacing w:line="360" w:lineRule="auto"/>
        <w:rPr>
          <w:rFonts w:ascii="宋体" w:hAnsi="宋体"/>
          <w:szCs w:val="21"/>
        </w:rPr>
      </w:pPr>
      <w:r>
        <w:rPr>
          <w:rFonts w:ascii="宋体" w:hAnsi="宋体"/>
          <w:szCs w:val="21"/>
        </w:rPr>
        <w:t xml:space="preserve">8、操作人员上岗，必须按规定穿戴防护用品。施工负责人和安全检查员随时检查劳动防护用品的穿戴情况，不按规定穿戴防护用品的人员不得上岗。</w:t>
      </w:r>
      <w:r/>
    </w:p>
    <w:p>
      <w:pPr>
        <w:ind w:firstLine="420"/>
        <w:spacing w:line="360" w:lineRule="auto"/>
        <w:rPr>
          <w:rFonts w:ascii="宋体" w:hAnsi="宋体"/>
          <w:szCs w:val="21"/>
        </w:rPr>
      </w:pPr>
      <w:r>
        <w:rPr>
          <w:rFonts w:ascii="宋体" w:hAnsi="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szCs w:val="21"/>
        </w:rPr>
      </w:pPr>
      <w:r>
        <w:rPr>
          <w:rFonts w:ascii="宋体" w:hAnsi="宋体"/>
          <w:szCs w:val="21"/>
        </w:rPr>
        <w:t xml:space="preserve">10、施工现场必须具有相关的安全标志牌。</w:t>
      </w:r>
      <w:r/>
    </w:p>
    <w:p>
      <w:pPr>
        <w:ind w:firstLine="420"/>
        <w:spacing w:line="360" w:lineRule="auto"/>
        <w:rPr>
          <w:rFonts w:ascii="宋体" w:hAnsi="宋体"/>
          <w:szCs w:val="21"/>
        </w:rPr>
      </w:pPr>
      <w:r>
        <w:rPr>
          <w:rFonts w:ascii="宋体" w:hAnsi="宋体"/>
          <w:szCs w:val="21"/>
        </w:rPr>
        <w:t xml:space="preserve">11、建立主要危险源备案制度，要明确潜在隐患、防范措施和落实责任人。</w:t>
      </w:r>
      <w:r/>
    </w:p>
    <w:p>
      <w:pPr>
        <w:ind w:firstLine="420"/>
        <w:spacing w:line="360" w:lineRule="auto"/>
        <w:rPr>
          <w:rFonts w:ascii="宋体" w:hAnsi="宋体"/>
          <w:szCs w:val="21"/>
        </w:rPr>
      </w:pPr>
      <w:r>
        <w:rPr>
          <w:rFonts w:hint="eastAsia" w:ascii="宋体" w:hAnsi="宋体"/>
          <w:szCs w:val="21"/>
        </w:rPr>
        <w:t xml:space="preserve">12、乙方负责</w:t>
      </w:r>
      <w:r>
        <w:rPr>
          <w:rFonts w:hint="eastAsia" w:ascii="宋体" w:hAnsi="宋体"/>
          <w:szCs w:val="21"/>
          <w:lang w:eastAsia="zh-CN"/>
        </w:rPr>
        <w:t xml:space="preserve">项目实施</w:t>
      </w:r>
      <w:r>
        <w:rPr>
          <w:rFonts w:hint="eastAsia" w:ascii="宋体" w:hAnsi="宋体"/>
          <w:szCs w:val="21"/>
        </w:rPr>
        <w:t xml:space="preserve">过程中的安全责任，必须高度注意自己的安全义务，乙方承担一切安全责任及由此产生的所有经济及法律责任。</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szCs w:val="21"/>
        </w:rPr>
      </w:pPr>
      <w:r>
        <w:rPr>
          <w:rFonts w:ascii="宋体" w:hAnsi="宋体"/>
          <w:szCs w:val="21"/>
        </w:rPr>
        <w:t xml:space="preserve">三、违约责任</w:t>
      </w:r>
      <w:r/>
    </w:p>
    <w:p>
      <w:pPr>
        <w:ind w:firstLine="420"/>
        <w:spacing w:line="360" w:lineRule="auto"/>
        <w:rPr>
          <w:rFonts w:ascii="宋体" w:hAnsi="宋体"/>
          <w:szCs w:val="21"/>
        </w:rPr>
      </w:pPr>
      <w:r>
        <w:rPr>
          <w:rFonts w:ascii="宋体" w:hAnsi="宋体"/>
          <w:szCs w:val="21"/>
        </w:rPr>
        <w:t xml:space="preserve">如因甲方或乙方违约造成安全事故，将报请有关部门依法追究责任。</w:t>
      </w:r>
      <w:r/>
    </w:p>
    <w:p>
      <w:pPr>
        <w:ind w:firstLine="420"/>
        <w:spacing w:line="360" w:lineRule="auto"/>
        <w:rPr>
          <w:rFonts w:ascii="宋体" w:hAnsi="宋体"/>
          <w:szCs w:val="21"/>
        </w:rPr>
      </w:pPr>
      <w:r>
        <w:rPr>
          <w:rFonts w:ascii="宋体" w:hAnsi="宋体"/>
          <w:szCs w:val="21"/>
        </w:rPr>
        <w:t xml:space="preserve">本合同一式二份，由双方法定代表人或其授权的代理人签署和加盖公章后生效，全部工程竣工验收后失效。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pacing w:val="-20"/>
          <w:szCs w:val="21"/>
        </w:rPr>
      </w:pPr>
      <w:r>
        <w:rPr>
          <w:rFonts w:ascii="宋体" w:hAnsi="宋体"/>
          <w:szCs w:val="21"/>
        </w:rPr>
        <w:t xml:space="preserve">甲方（盖  章）：    </w:t>
      </w:r>
      <w:r>
        <w:rPr>
          <w:rFonts w:hint="eastAsia" w:ascii="宋体" w:hAnsi="宋体"/>
          <w:szCs w:val="21"/>
        </w:rPr>
        <w:t xml:space="preserve">                      </w:t>
      </w:r>
      <w:r>
        <w:rPr>
          <w:rFonts w:ascii="宋体" w:hAnsi="宋体"/>
          <w:szCs w:val="21"/>
        </w:rPr>
        <w:t xml:space="preserve">乙方（盖  章）</w:t>
      </w:r>
      <w:r>
        <w:rPr>
          <w:rFonts w:ascii="宋体" w:hAnsi="宋体"/>
          <w:spacing w:val="-30"/>
          <w:szCs w:val="21"/>
        </w:rPr>
        <w:t xml:space="preserve">：</w:t>
      </w:r>
      <w:r/>
    </w:p>
    <w:p>
      <w:pPr>
        <w:ind w:firstLine="420"/>
        <w:spacing w:line="360" w:lineRule="auto"/>
        <w:rPr>
          <w:rFonts w:ascii="宋体" w:hAnsi="宋体"/>
          <w:szCs w:val="21"/>
        </w:rPr>
      </w:pPr>
      <w:r>
        <w:rPr>
          <w:rFonts w:ascii="宋体" w:hAnsi="宋体"/>
          <w:szCs w:val="21"/>
        </w:rPr>
        <w:t xml:space="preserve">法定代表人（或授权代理人）：              法定代表人（或授权代理人）：</w:t>
      </w:r>
      <w:r/>
    </w:p>
    <w:p>
      <w:pPr>
        <w:ind w:firstLine="420"/>
        <w:spacing w:line="360" w:lineRule="auto"/>
        <w:rPr>
          <w:rFonts w:ascii="宋体" w:hAnsi="宋体"/>
          <w:szCs w:val="21"/>
        </w:rPr>
      </w:pPr>
      <w:r>
        <w:rPr>
          <w:rFonts w:ascii="宋体" w:hAnsi="宋体"/>
          <w:szCs w:val="21"/>
        </w:rPr>
        <w:t xml:space="preserve">联系方式：                               联系方式：</w:t>
      </w:r>
      <w:r/>
    </w:p>
    <w:p>
      <w:pPr>
        <w:ind w:firstLine="420"/>
        <w:spacing w:line="360" w:lineRule="auto"/>
      </w:pPr>
      <w:r>
        <w:rPr>
          <w:rFonts w:ascii="宋体" w:hAnsi="宋体"/>
          <w:szCs w:val="21"/>
        </w:rPr>
        <w:t xml:space="preserve">日　 期：                                日  期：</w:t>
      </w:r>
      <w:r/>
    </w:p>
    <w:p>
      <w:pPr>
        <w:pStyle w:val="681"/>
        <w:numPr>
          <w:ilvl w:val="0"/>
          <w:numId w:val="0"/>
        </w:numPr>
        <w:jc w:val="both"/>
        <w:pageBreakBefore w:val="0"/>
        <w:spacing w:line="360" w:lineRule="auto"/>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992"/>
        <w:rPr>
          <w:rFonts w:ascii="宋体" w:hAnsi="宋体" w:eastAsia="宋体"/>
          <w:highlight w:val="none"/>
        </w:rPr>
      </w:pPr>
      <w:r/>
      <w:bookmarkStart w:id="80" w:name="_Toc497133122"/>
      <w:r>
        <w:rPr>
          <w:rFonts w:ascii="宋体" w:hAnsi="宋体" w:eastAsia="宋体"/>
          <w:highlight w:val="none"/>
        </w:rPr>
        <w:t xml:space="preserve">廉政合同</w:t>
      </w:r>
      <w:r/>
    </w:p>
    <w:p>
      <w:pPr>
        <w:ind w:firstLine="420"/>
        <w:rPr>
          <w:rFonts w:hint="eastAsia" w:ascii="宋体" w:hAnsi="宋体" w:eastAsia="宋体"/>
          <w:highlight w:val="none"/>
          <w:lang w:eastAsia="zh-CN"/>
        </w:rPr>
      </w:pPr>
      <w:r>
        <w:rPr>
          <w:rFonts w:hint="eastAsia" w:ascii="宋体" w:hAnsi="宋体"/>
          <w:highlight w:val="none"/>
        </w:rPr>
        <w:t xml:space="preserve">发包人：</w:t>
      </w:r>
      <w:r>
        <w:rPr>
          <w:rFonts w:hint="eastAsia" w:ascii="宋体" w:hAnsi="宋体"/>
          <w:highlight w:val="none"/>
          <w:lang w:eastAsia="zh-CN"/>
        </w:rPr>
        <w:t xml:space="preserve">扬州市城市河道管理处</w:t>
      </w:r>
      <w:r/>
    </w:p>
    <w:p>
      <w:pPr>
        <w:ind w:firstLine="420"/>
        <w:rPr>
          <w:rFonts w:ascii="宋体" w:hAnsi="宋体"/>
          <w:highlight w:val="none"/>
        </w:rPr>
      </w:pPr>
      <w:r>
        <w:rPr>
          <w:rFonts w:hint="eastAsia" w:ascii="宋体" w:hAnsi="宋体"/>
          <w:highlight w:val="none"/>
        </w:rPr>
        <w:t xml:space="preserve">承包人：</w:t>
      </w:r>
      <w:r/>
    </w:p>
    <w:p>
      <w:pPr>
        <w:ind w:firstLine="420"/>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highlight w:val="none"/>
          <w:u w:val="single"/>
          <w:lang w:eastAsia="zh-CN"/>
        </w:rPr>
        <w:t xml:space="preserve">扬州市城市河道管理处</w:t>
      </w:r>
      <w:r>
        <w:rPr>
          <w:rFonts w:hint="eastAsia" w:ascii="宋体" w:hAnsi="宋体"/>
          <w:highlight w:val="none"/>
        </w:rPr>
        <w:t xml:space="preserve">（以下简称“发包人”），与承担</w:t>
      </w:r>
      <w:r>
        <w:rPr>
          <w:rFonts w:hint="eastAsia" w:ascii="宋体" w:hAnsi="宋体"/>
          <w:b/>
          <w:highlight w:val="none"/>
          <w:u w:val="single"/>
        </w:rPr>
        <w:t xml:space="preserve"> </w:t>
      </w:r>
      <w:r>
        <w:rPr>
          <w:rFonts w:hint="eastAsia" w:ascii="宋体" w:hAnsi="宋体"/>
          <w:b/>
          <w:highlight w:val="none"/>
          <w:u w:val="single"/>
          <w:lang w:val="en-US" w:eastAsia="zh-CN"/>
        </w:rPr>
        <w:t xml:space="preserve">               </w:t>
      </w:r>
      <w:r>
        <w:rPr>
          <w:rFonts w:hint="eastAsia" w:ascii="宋体" w:hAnsi="宋体"/>
          <w:highlight w:val="none"/>
        </w:rPr>
        <w:t xml:space="preserve">的承包人</w:t>
      </w:r>
      <w:r>
        <w:rPr>
          <w:rFonts w:hint="eastAsia" w:ascii="宋体" w:hAnsi="宋体"/>
          <w:highlight w:val="none"/>
          <w:u w:val="single"/>
          <w:lang w:val="en-US" w:eastAsia="zh-CN"/>
        </w:rPr>
        <w:t xml:space="preserve">      </w:t>
      </w:r>
      <w:r>
        <w:rPr>
          <w:rFonts w:hint="eastAsia" w:ascii="宋体" w:hAnsi="宋体"/>
          <w:highlight w:val="none"/>
        </w:rPr>
        <w:t xml:space="preserve">（以下简称“承包人”），经双方协商一致，自愿签订以下廉政合同。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w:t>
      </w:r>
      <w:r>
        <w:rPr>
          <w:rFonts w:hint="eastAsia" w:ascii="宋体" w:hAnsi="宋体"/>
          <w:highlight w:val="none"/>
        </w:rPr>
        <w:t xml:space="preserve">  承、发包人双方的权利和义务</w:t>
      </w:r>
      <w:r/>
    </w:p>
    <w:p>
      <w:pPr>
        <w:ind w:firstLine="420"/>
        <w:rPr>
          <w:rFonts w:ascii="宋体" w:hAnsi="宋体"/>
          <w:highlight w:val="none"/>
        </w:rPr>
      </w:pPr>
      <w:r>
        <w:rPr>
          <w:rFonts w:hint="eastAsia" w:ascii="宋体" w:hAnsi="宋体"/>
          <w:highlight w:val="none"/>
        </w:rPr>
        <w:t xml:space="preserve">（一）严格遵守党和国家有关法规及党风廉政建设各项规定。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w:t>
      </w:r>
      <w:r>
        <w:rPr>
          <w:rFonts w:hint="eastAsia" w:ascii="宋体" w:hAnsi="宋体"/>
          <w:b/>
          <w:highlight w:val="none"/>
          <w:u w:val="single"/>
          <w:lang w:val="en-US" w:eastAsia="zh-CN"/>
        </w:rPr>
        <w:t xml:space="preserve">                      项目</w:t>
      </w:r>
      <w:r>
        <w:rPr>
          <w:rFonts w:hint="eastAsia" w:ascii="宋体" w:hAnsi="宋体"/>
          <w:b/>
          <w:highlight w:val="none"/>
          <w:u w:val="single"/>
        </w:rPr>
        <w:t xml:space="preserve">合同</w:t>
      </w:r>
      <w:r>
        <w:rPr>
          <w:rFonts w:hint="eastAsia" w:ascii="宋体" w:hAnsi="宋体"/>
          <w:highlight w:val="none"/>
        </w:rPr>
        <w:t xml:space="preserve">各项规定，自觉按合同办事。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（三）双方的业务活动坚持公开、公正、公平、诚信的原则（法律认定的商业秘密和合同文件另有规定除外），严禁损害国家和集体利益、违反工程建设管理规章制度。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（四）建立健全并严格执行党风廉政建设各项制度，开展反腐倡廉宣传教育，加强对本方工作人员的监督检查。</w:t>
      </w:r>
      <w:r/>
    </w:p>
    <w:p>
      <w:pPr>
        <w:ind w:firstLine="420"/>
        <w:rPr>
          <w:rFonts w:ascii="宋体" w:hAnsi="宋体"/>
          <w:highlight w:val="none"/>
        </w:rPr>
      </w:pPr>
      <w:r>
        <w:rPr>
          <w:rFonts w:hint="eastAsia" w:ascii="宋体" w:hAnsi="宋体"/>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rPr>
          <w:rFonts w:ascii="宋体" w:hAnsi="宋体"/>
          <w:b/>
          <w:highlight w:val="none"/>
        </w:rPr>
      </w:pPr>
      <w:r>
        <w:rPr>
          <w:rFonts w:hint="eastAsia" w:ascii="宋体" w:hAnsi="宋体"/>
          <w:b/>
          <w:highlight w:val="none"/>
        </w:rPr>
        <w:t xml:space="preserve">第二条  </w:t>
      </w:r>
      <w:r>
        <w:rPr>
          <w:rFonts w:hint="eastAsia" w:ascii="宋体" w:hAnsi="宋体"/>
          <w:highlight w:val="none"/>
        </w:rPr>
        <w:t xml:space="preserve">发包人在廉政建设方面的义务</w:t>
      </w:r>
      <w:r/>
    </w:p>
    <w:p>
      <w:pPr>
        <w:ind w:firstLine="420"/>
        <w:rPr>
          <w:rFonts w:ascii="宋体" w:hAnsi="宋体"/>
          <w:highlight w:val="none"/>
        </w:rPr>
      </w:pPr>
      <w:r>
        <w:rPr>
          <w:rFonts w:hint="eastAsia" w:ascii="宋体" w:hAnsi="宋体"/>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rPr>
          <w:rFonts w:ascii="宋体" w:hAnsi="宋体"/>
          <w:highlight w:val="none"/>
        </w:rPr>
      </w:pPr>
      <w:r>
        <w:rPr>
          <w:rFonts w:hint="eastAsia" w:ascii="宋体" w:hAnsi="宋体"/>
          <w:highlight w:val="none"/>
        </w:rPr>
        <w:t xml:space="preserve">（二）发包人及其工作人员不准利用职务之便索要或接受承包人的现金、有价证券、支付凭证及收受干股，或以赌博等交易形式非法收受承包人财物。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（三）发包人及其工作人员不准让承包人报销应由发包人或个人支付的费用；不准利用职务便利为承包人谋取不当利益。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（四）发包人工作人员不准要求或者接受承包人可能影响公正执行公务的宴请；不准要求承包人提供交通工具、通讯工具、高档办公用品等。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（五）发包人及其工作人员不准要求或者接受承包人为其住房装修、婚丧嫁娶、特定关系人（近亲属及其它共同利益关系的人）出国（境）旅游提供方便。</w:t>
      </w:r>
      <w:r/>
    </w:p>
    <w:p>
      <w:pPr>
        <w:ind w:firstLine="420"/>
        <w:rPr>
          <w:rFonts w:ascii="宋体" w:hAnsi="宋体"/>
          <w:highlight w:val="none"/>
        </w:rPr>
      </w:pPr>
      <w:r>
        <w:rPr>
          <w:rFonts w:hint="eastAsia" w:ascii="宋体" w:hAnsi="宋体"/>
          <w:highlight w:val="none"/>
        </w:rPr>
        <w:t xml:space="preserve">（六）发包人及其工作人员不准利用职务之便为承包人谋取利益之前或之后，约定在其离职后收受承包人财物，并在离职后收受。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rPr>
          <w:rFonts w:ascii="宋体" w:hAnsi="宋体"/>
          <w:highlight w:val="none"/>
        </w:rPr>
      </w:pPr>
      <w:r>
        <w:rPr>
          <w:rFonts w:hint="eastAsia" w:ascii="宋体" w:hAnsi="宋体"/>
          <w:highlight w:val="none"/>
        </w:rPr>
        <w:t xml:space="preserve">（九）发包人及其工作人员不准在与承包人有直接利害关系的企事业单位兼职、兼职取酬、投资入股、经商办企业以及从事有偿中介活动。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rPr>
          <w:rFonts w:ascii="宋体" w:hAnsi="宋体"/>
          <w:b/>
          <w:highlight w:val="none"/>
        </w:rPr>
      </w:pPr>
      <w:r>
        <w:rPr>
          <w:rFonts w:hint="eastAsia" w:ascii="宋体" w:hAnsi="宋体"/>
          <w:b/>
          <w:highlight w:val="none"/>
        </w:rPr>
        <w:t xml:space="preserve">第三条  </w:t>
      </w:r>
      <w:r>
        <w:rPr>
          <w:rFonts w:hint="eastAsia" w:ascii="宋体" w:hAnsi="宋体"/>
          <w:highlight w:val="none"/>
        </w:rPr>
        <w:t xml:space="preserve">承包人在廉政建设方面义务</w:t>
      </w:r>
      <w:r/>
    </w:p>
    <w:p>
      <w:pPr>
        <w:ind w:firstLine="420"/>
        <w:rPr>
          <w:rFonts w:ascii="宋体" w:hAnsi="宋体"/>
          <w:highlight w:val="none"/>
        </w:rPr>
      </w:pPr>
      <w:r>
        <w:rPr>
          <w:rFonts w:hint="eastAsia" w:ascii="宋体" w:hAnsi="宋体"/>
          <w:highlight w:val="none"/>
        </w:rPr>
        <w:t xml:space="preserve">（一）承包人不准以任何形式向发包人及其工作人员馈赠现金、有价证券、支付凭证及赠送干股，或以赌博等交易形式非法赠送发包人财物。</w:t>
      </w:r>
      <w:r/>
    </w:p>
    <w:p>
      <w:pPr>
        <w:ind w:firstLine="420"/>
        <w:rPr>
          <w:rFonts w:ascii="宋体" w:hAnsi="宋体"/>
          <w:highlight w:val="none"/>
        </w:rPr>
      </w:pPr>
      <w:r>
        <w:rPr>
          <w:rFonts w:hint="eastAsia" w:ascii="宋体" w:hAnsi="宋体"/>
          <w:highlight w:val="none"/>
        </w:rPr>
        <w:t xml:space="preserve">（二）承包人不准以任何名义为发包人及其工作人员报销应由发包人或个人支付的费用。</w:t>
      </w:r>
      <w:r/>
    </w:p>
    <w:p>
      <w:pPr>
        <w:ind w:firstLine="420"/>
        <w:rPr>
          <w:rFonts w:ascii="宋体" w:hAnsi="宋体"/>
          <w:highlight w:val="none"/>
        </w:rPr>
      </w:pPr>
      <w:r>
        <w:rPr>
          <w:rFonts w:hint="eastAsia" w:ascii="宋体" w:hAnsi="宋体"/>
          <w:highlight w:val="none"/>
        </w:rPr>
        <w:t xml:space="preserve">（三）承包人不准以任何理由邀请发包人工作人员参加对承建的工程项目有影响的宴请及娱乐活动；不准为其提供通讯工具、交通工具、高档办公用品等。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（四）承包人不准为发包人工作人员住房装修、婚丧嫁娶、特定关系人出国（境）旅游提供方便；不准为发包人工作人员的特定关系人以安排工作为名，使其不实际工作却获取薪酬。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（五）承包人不准赠送发包人工作人员住房、汽车等物品，不准为其以明显低于市场价购置住房或以劣换优、以借为名赠送住房。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（六）承包人不准违反规定将承建的施工项目分包或非法转包。</w:t>
      </w:r>
      <w:r/>
    </w:p>
    <w:p>
      <w:pPr>
        <w:ind w:firstLine="420"/>
        <w:rPr>
          <w:rFonts w:ascii="宋体" w:hAnsi="宋体"/>
          <w:highlight w:val="none"/>
        </w:rPr>
      </w:pPr>
      <w:r>
        <w:rPr>
          <w:rFonts w:hint="eastAsia" w:ascii="宋体" w:hAnsi="宋体"/>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（八）按照发包人和监督部门的要求，对农民工工资实行银行卡支付，不得克扣、截留、拖欠农民工工资。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rPr>
          <w:rFonts w:ascii="宋体" w:hAnsi="宋体"/>
          <w:highlight w:val="none"/>
        </w:rPr>
      </w:pPr>
      <w:r>
        <w:rPr>
          <w:rFonts w:hint="eastAsia" w:ascii="宋体" w:hAnsi="宋体"/>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双方约定：自愿接受</w:t>
      </w:r>
      <w:r>
        <w:rPr>
          <w:rFonts w:hint="eastAsia" w:ascii="宋体" w:hAnsi="宋体"/>
          <w:b/>
          <w:highlight w:val="none"/>
          <w:u w:val="single"/>
        </w:rPr>
        <w:t xml:space="preserve">相关纪检监察单位</w:t>
      </w:r>
      <w:r>
        <w:rPr>
          <w:rFonts w:hint="eastAsia" w:ascii="宋体" w:hAnsi="宋体"/>
          <w:highlight w:val="none"/>
        </w:rPr>
        <w:t xml:space="preserve">对合同执行情况的监督检查，承、发包双方应积极配合督查单位的检查，包括提供有关资料和财务账册凭证，接受本合同规定范围内的裁定意见。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b/>
          <w:highlight w:val="none"/>
        </w:rPr>
      </w:pPr>
      <w:r>
        <w:rPr>
          <w:rFonts w:hint="eastAsia" w:ascii="宋体" w:hAnsi="宋体"/>
          <w:b/>
          <w:highlight w:val="none"/>
        </w:rPr>
        <w:t xml:space="preserve">第七条  </w:t>
      </w:r>
      <w:r>
        <w:rPr>
          <w:rFonts w:hint="eastAsia" w:ascii="宋体" w:hAnsi="宋体"/>
          <w:highlight w:val="none"/>
        </w:rPr>
        <w:t xml:space="preserve">本合同有效期为工程开工之日起至该合同工程项目竣工验收后止</w:t>
      </w:r>
      <w:r>
        <w:rPr>
          <w:rFonts w:hint="eastAsia" w:ascii="宋体" w:hAnsi="宋体"/>
          <w:b/>
          <w:highlight w:val="none"/>
        </w:rPr>
        <w:t xml:space="preserve">。</w:t>
      </w:r>
      <w:r/>
    </w:p>
    <w:p>
      <w:pPr>
        <w:ind w:firstLine="422"/>
        <w:rPr>
          <w:rFonts w:hint="eastAsia"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lang w:eastAsia="zh-CN"/>
        </w:rPr>
        <w:t xml:space="preserve">叁</w:t>
      </w:r>
      <w:r>
        <w:rPr>
          <w:rFonts w:hint="eastAsia" w:ascii="宋体" w:hAnsi="宋体"/>
          <w:highlight w:val="none"/>
        </w:rPr>
        <w:t xml:space="preserve">份，承、发包双方各执</w:t>
      </w:r>
      <w:r>
        <w:rPr>
          <w:rFonts w:hint="eastAsia" w:ascii="宋体" w:hAnsi="宋体"/>
          <w:b/>
          <w:highlight w:val="none"/>
          <w:u w:val="single"/>
          <w:lang w:eastAsia="zh-CN"/>
        </w:rPr>
        <w:t xml:space="preserve">壹</w:t>
      </w:r>
      <w:r>
        <w:rPr>
          <w:rFonts w:hint="eastAsia" w:ascii="宋体" w:hAnsi="宋体"/>
          <w:highlight w:val="none"/>
        </w:rPr>
        <w:t xml:space="preserve">份，送交督查单位</w:t>
      </w:r>
      <w:r>
        <w:rPr>
          <w:rFonts w:hint="eastAsia" w:ascii="宋体" w:hAnsi="宋体"/>
          <w:b/>
          <w:highlight w:val="none"/>
          <w:u w:val="single"/>
        </w:rPr>
        <w:t xml:space="preserve">壹</w:t>
      </w:r>
      <w:r>
        <w:rPr>
          <w:rFonts w:hint="eastAsia" w:ascii="宋体" w:hAnsi="宋体"/>
          <w:highlight w:val="none"/>
        </w:rPr>
        <w:t xml:space="preserve">份。</w:t>
      </w:r>
      <w:r/>
    </w:p>
    <w:p>
      <w:pPr>
        <w:ind w:firstLine="424"/>
        <w:rPr>
          <w:rFonts w:ascii="宋体" w:hAnsi="宋体"/>
          <w:highlight w:val="none"/>
        </w:rPr>
      </w:pPr>
      <w:r>
        <w:rPr>
          <w:rFonts w:hint="eastAsia" w:ascii="宋体" w:hAnsi="宋体"/>
          <w:highlight w:val="none"/>
        </w:rPr>
        <w:t xml:space="preserve">（以下无正文）</w:t>
      </w:r>
      <w:r/>
    </w:p>
    <w:p>
      <w:pPr>
        <w:ind w:firstLine="424"/>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jc w:val="right"/>
        <w:rPr>
          <w:rFonts w:ascii="宋体" w:hAnsi="宋体"/>
          <w:highlight w:val="none"/>
        </w:rPr>
      </w:pPr>
      <w:r>
        <w:rPr>
          <w:rFonts w:hint="eastAsia" w:ascii="宋体" w:hAnsi="宋体"/>
          <w:highlight w:val="none"/>
        </w:rPr>
        <w:t xml:space="preserve">签订日期：      年    月    日</w:t>
      </w:r>
      <w:r/>
    </w:p>
    <w:p>
      <w:pPr>
        <w:pStyle w:val="992"/>
        <w:rPr>
          <w:rFonts w:ascii="宋体" w:hAnsi="宋体" w:eastAsia="宋体"/>
          <w:highlight w:val="none"/>
        </w:rPr>
      </w:pPr>
      <w:r>
        <w:rPr>
          <w:rFonts w:ascii="宋体" w:hAnsi="宋体" w:eastAsia="宋体"/>
          <w:highlight w:val="none"/>
        </w:rPr>
      </w:r>
      <w:bookmarkEnd w:id="80"/>
      <w:r/>
    </w:p>
    <w:p>
      <w:pPr>
        <w:pStyle w:val="698"/>
        <w:ind w:left="0"/>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98"/>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681"/>
        <w:numPr>
          <w:ilvl w:val="0"/>
          <w:numId w:val="0"/>
        </w:numPr>
        <w:pageBreakBefore w:val="0"/>
        <w:spacing w:line="360" w:lineRule="auto"/>
        <w:rPr>
          <w:rFonts w:ascii="Times New Roman" w:hAnsi="Times New Roman" w:eastAsia="宋体"/>
          <w:color w:val="auto"/>
          <w:highlight w:val="none"/>
        </w:rPr>
      </w:pPr>
      <w:r>
        <w:rPr>
          <w:rFonts w:hint="eastAsia" w:ascii="Times New Roman" w:hAnsi="Times New Roman" w:eastAsia="宋体" w:cs="Arial"/>
          <w:b/>
          <w:color w:val="auto"/>
          <w:sz w:val="30"/>
          <w:szCs w:val="40"/>
          <w:highlight w:val="none"/>
          <w:lang w:val="en-US" w:eastAsia="zh-CN" w:bidi="ar-SA"/>
        </w:rPr>
        <w:t xml:space="preserve">第四章 </w:t>
      </w:r>
      <w:r>
        <w:rPr>
          <w:rFonts w:hint="eastAsia" w:ascii="Times New Roman" w:hAnsi="Times New Roman" w:eastAsia="宋体"/>
          <w:color w:val="auto"/>
          <w:highlight w:val="none"/>
        </w:rPr>
        <w:t xml:space="preserve">项目需求</w:t>
      </w:r>
      <w:bookmarkEnd w:id="73"/>
      <w:r/>
      <w:bookmarkEnd w:id="74"/>
      <w:r/>
      <w:bookmarkEnd w:id="75"/>
      <w:r/>
      <w:bookmarkEnd w:id="76"/>
      <w:r/>
      <w:bookmarkEnd w:id="77"/>
      <w:r/>
      <w:bookmarkEnd w:id="78"/>
      <w:r/>
      <w:r/>
    </w:p>
    <w:p>
      <w:pPr>
        <w:ind w:firstLine="422"/>
        <w:pageBreakBefore w:val="0"/>
        <w:spacing w:line="360" w:lineRule="auto"/>
        <w:rPr>
          <w:rFonts w:hint="eastAsia" w:ascii="Times New Roman" w:hAnsi="Times New Roman" w:eastAsia="宋体" w:cs="宋体"/>
          <w:b/>
          <w:bCs/>
          <w:color w:val="auto"/>
          <w:highlight w:val="none"/>
        </w:rPr>
      </w:pPr>
      <w:r/>
      <w:bookmarkStart w:id="81" w:name="_Toc319408306"/>
      <w:r/>
      <w:bookmarkStart w:id="82" w:name="_Toc55204181"/>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697"/>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69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4"/>
        <w:gridCol w:w="5676"/>
      </w:tblGrid>
      <w:tr>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采购包号</w:t>
            </w:r>
            <w:r/>
          </w:p>
        </w:tc>
        <w:tc>
          <w:tcPr>
            <w:tcW w:w="567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284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1</w:t>
            </w:r>
            <w:r/>
          </w:p>
        </w:tc>
        <w:tc>
          <w:tcPr>
            <w:tcW w:w="567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lang w:eastAsia="zh-CN"/>
              </w:rPr>
              <w:suppressLineNumbers w:val="0"/>
            </w:pPr>
            <w:r>
              <w:rPr>
                <w:rFonts w:hint="eastAsia" w:ascii="Times New Roman" w:hAnsi="Times New Roman" w:cs="宋体"/>
                <w:color w:val="auto"/>
                <w:sz w:val="21"/>
                <w:szCs w:val="21"/>
                <w:highlight w:val="none"/>
                <w:lang w:eastAsia="zh-CN"/>
              </w:rPr>
              <w:t xml:space="preserve">网络智能球型摄像机</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6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6691"/>
      </w:tblGrid>
      <w:tr>
        <w:trPr/>
        <w:tc>
          <w:tcPr>
            <w:tcW w:w="1073"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3926"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073"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3926"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olor w:val="auto"/>
          <w:sz w:val="24"/>
          <w:szCs w:val="24"/>
          <w:highlight w:val="none"/>
          <w:lang w:eastAsia="zh-CN"/>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.1项目背景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扬河、乌塔沟、新城河已划转实行市级统一管理，目前仪扬河、乌塔沟、新城河、古运河沿线现有视频监控点位布设不足，部分河段存在监控盲区，河道水域、岸线的日常巡查、风险预警及应急处置缺乏有效的视频技术支撑，亟需实施视频点位补</w:t>
      </w:r>
      <w:r>
        <w:rPr>
          <w:rFonts w:hint="eastAsia" w:ascii="宋体" w:hAnsi="宋体" w:eastAsia="宋体" w:cs="宋体"/>
          <w:sz w:val="21"/>
          <w:szCs w:val="21"/>
          <w:highlight w:val="none"/>
        </w:rPr>
        <w:t xml:space="preserve">充建设，完善河道沿线视频监控覆盖体系。为全面提升扬州市城区河道水利运维智能化、精细化管理水平，强化河道防汛值守、水域安防、河道巡查、险情预警能力，补齐现有河道监控覆盖短板，消除监管盲区，本次启动扬州市城区河道水利运维安防监控完善项目建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项目聚焦市级管辖核心河道片区，通过新建高清智能安防监控点位、AI 智能生态监测点位、搭建一体化传输与汇聚系统、配套完善供电及土建施工设施，构建“防汛安防+生态监测”双核心的全天候、全覆盖、智能化河道水利监控体系，为城区河道防汛抗旱、水资源管护、河道生态保护、水利运维调度、水环境风险预警提供核心技术支撑，助力扬州城区河道水利管理数字化、智能化转型。</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.2建设内容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本项目建设范围为仪扬河段、乌塔沟段、新城河段、古运河段四个主要河道片区。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项目整体建设内容包含常规安防监控系统、AI 智能生态监测系统两大核心板块，配套供电、传输、土建、平台升级等建设，具体如下：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视频采集系统：</w:t>
      </w:r>
      <w:r>
        <w:rPr>
          <w:rFonts w:hint="eastAsia" w:ascii="宋体" w:hAnsi="宋体" w:eastAsia="宋体" w:cs="宋体"/>
          <w:sz w:val="21"/>
          <w:szCs w:val="21"/>
          <w:highlight w:val="none"/>
        </w:rPr>
        <w:t xml:space="preserve">全线部署400万像素高清智能球型摄像机，配套AI多光谱蓝藻监测摄像机、AI 智能识别排污监测摄像机，覆盖所有规划监控及生态监测点位，实现河道全域可视化 + 生态指标化监测；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供电保障系统：</w:t>
      </w:r>
      <w:r>
        <w:rPr>
          <w:rFonts w:hint="eastAsia" w:ascii="宋体" w:hAnsi="宋体" w:eastAsia="宋体" w:cs="宋体"/>
          <w:sz w:val="21"/>
          <w:szCs w:val="21"/>
          <w:highlight w:val="none"/>
        </w:rPr>
        <w:t xml:space="preserve">分为市电供电、太阳能供电两种模式，适配不同河道点位场景，配套供电箱体、线缆、辅材及接地防雷设施，保障设备全天候稳定供电；</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网络传输系统：</w:t>
      </w:r>
      <w:r>
        <w:rPr>
          <w:rFonts w:hint="eastAsia" w:ascii="宋体" w:hAnsi="宋体" w:eastAsia="宋体" w:cs="宋体"/>
          <w:sz w:val="21"/>
          <w:szCs w:val="21"/>
          <w:highlight w:val="none"/>
        </w:rPr>
        <w:t xml:space="preserve">部署工业级交换机、光纤收发器，铺设单模铠装光缆，搭配专线租赁服务，搭建“有线光纤+专线租赁”的稳定传输链路；</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数据汇聚平台：</w:t>
      </w:r>
      <w:r>
        <w:rPr>
          <w:rFonts w:hint="eastAsia" w:ascii="宋体" w:hAnsi="宋体" w:eastAsia="宋体" w:cs="宋体"/>
          <w:sz w:val="21"/>
          <w:szCs w:val="21"/>
          <w:highlight w:val="none"/>
        </w:rPr>
        <w:t xml:space="preserve">设置片区汇聚交换机，整合各点位视频及监测数据，统一接入扬州市河道处视频管理平台，实现新建、已建设备一体化管控；</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土建施工工程：</w:t>
      </w:r>
      <w:r>
        <w:rPr>
          <w:rFonts w:hint="eastAsia" w:ascii="宋体" w:hAnsi="宋体" w:eastAsia="宋体" w:cs="宋体"/>
          <w:sz w:val="21"/>
          <w:szCs w:val="21"/>
          <w:highlight w:val="none"/>
        </w:rPr>
        <w:t xml:space="preserve">包含光缆、电源线缆敷设，沟槽开挖回填、保护管铺设、手孔井建设、过路钢管预埋及道路恢复工程；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AI智能生态监测专项建设：</w:t>
      </w:r>
      <w:r>
        <w:rPr>
          <w:rFonts w:hint="eastAsia" w:ascii="宋体" w:hAnsi="宋体" w:eastAsia="宋体" w:cs="宋体"/>
          <w:sz w:val="21"/>
          <w:szCs w:val="21"/>
          <w:highlight w:val="none"/>
        </w:rPr>
        <w:t xml:space="preserve">配套多光谱生态监测、排污智能识别算法模型，完成监测数据解析、异常告警、生态报表生成全流程功能落地；</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平台接入与升级：</w:t>
      </w:r>
      <w:r>
        <w:rPr>
          <w:rFonts w:hint="eastAsia" w:ascii="宋体" w:hAnsi="宋体" w:eastAsia="宋体" w:cs="宋体"/>
          <w:sz w:val="21"/>
          <w:szCs w:val="21"/>
          <w:highlight w:val="none"/>
        </w:rPr>
        <w:t xml:space="preserve">完成本项目建设范围内全部视频监控点位接入现有视频管理平台工作，开展现有视频管理平台功能升级、系统迁移及多源视频资源融合整合，配套实施系统部署、软件安装、参数配置、联调测试等全套技术服务，保障新增视频点位稳定接入、平台新旧业务无缝衔接，实现视频资源统一汇聚、统一调度、统一展示。</w:t>
      </w:r>
      <w:r>
        <w:rPr>
          <w:rFonts w:hint="eastAsia" w:ascii="宋体" w:hAnsi="宋体" w:eastAsia="宋体" w:cs="宋体"/>
          <w:b/>
          <w:bCs/>
          <w:sz w:val="21"/>
          <w:szCs w:val="21"/>
          <w:highlight w:val="none"/>
        </w:rPr>
        <w:t xml:space="preserve">同时保证数据传输的网络链路安全及系统数据安全。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包含仪扬河段新建视频点10处、乌塔沟段新建视频点8处、新城河段新建视频点5处、古运河段新建视频点6处、润扬北路与翠岗路交界处新建视频点1处、古运河华美达酒店附近已建视频点接入点1处、AI智能监测生态环境系统4处，同步配套35处视频点土建、供电及网络等配套工程，具体点位布置表如下：</w:t>
      </w:r>
      <w:r/>
    </w:p>
    <w:tbl>
      <w:tblPr>
        <w:tblStyle w:val="69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17"/>
        <w:gridCol w:w="1514"/>
        <w:gridCol w:w="1464"/>
        <w:gridCol w:w="1115"/>
        <w:gridCol w:w="4012"/>
      </w:tblGrid>
      <w:tr>
        <w:trPr>
          <w:trHeight w:val="288"/>
          <w:tblHeader/>
        </w:trPr>
        <w:tc>
          <w:tcPr>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经、纬度</w:t>
            </w:r>
            <w:r/>
          </w:p>
        </w:tc>
        <w:tc>
          <w:tcPr>
            <w:tcBorders>
              <w:top w:val="single" w:color="auto"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取电方式及位置</w:t>
            </w:r>
            <w:r/>
          </w:p>
        </w:tc>
        <w:tc>
          <w:tcPr>
            <w:tcBorders>
              <w:top w:val="single" w:color="auto"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信号传输方式</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仪扬河段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g119.35834601,32.30646069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仪扬河闸取市电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g119.36727128,32.31130309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界牌站取市电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有线（光纤、网线）→界牌站→仪扬河闸→扬州市河道管理处中心视频平台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g119.37442697,32.31565597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g119.37969053,32.31931606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g119.38089349,32.32029653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g119.38688582,32.32445004</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g119.38887484,32.32561890</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有线（光纤、网线）→黄庄站→仪扬河闸→扬州市河道管理处中心视频平台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g119.39042888,32.32642466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有线（光纤、网线）→黄庄站→仪扬河闸→扬州市河道管理处中心视频平台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网络智能球型摄像机9</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g119.40877769,32.32780908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冯巷站取市电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有线（光纤、网线）→冯巷站→仪扬河闸→扬州市河道管理处中心视频平台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网络智能球型摄像机10</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g119.39927289,32.32828797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乌塔沟段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336"/>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g119.32834608,32.36913302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沿山河西闸站取市电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g119.33163756,32.35853179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唐湖站取市电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有线（光纤、网线）→唐湖站→沿山河西闸站→扬州市河道管理处中心视频平台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g119.33300774,32.35255277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晏庄排涝站取市电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有线（光纤、网线）→晏庄排涝站→沿山河西闸站→扬州市河道管理处中心视频平台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g119.33452295,32.34541348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戴庄站取市电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有线（光纤、网线）→戴庄站→沿山河西闸站→扬州市河道管理处中心视频平台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g119.33568892,32.34009952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夏港站取市电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有线（光纤、网线）→夏港站→沿山河西闸站→扬州市河道管理处中心视频平台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g119.33797244,32.32918966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八桥北排涝站取市电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有线（光纤、网线）→八桥北排涝站→沿山河西闸站→扬州市河道管理处中心视频平台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g119.33988248,32.31969677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卞庄站取市电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有线（光纤、网线）→卞庄站→沿山河西闸站→扬州市河道管理处中心视频平台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g119.34259310,32.30703999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周庄闸站取市电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有线（光纤、网线）→周庄闸站→沿山河西闸站→扬州市河道管理处中心视频平台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新城河段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g119.39918376,32.40514376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念四闸站取市电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有线（光纤、网线）→念四闸站→专线租赁→扬州市河道管理处中心视频平台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g119.39847015,32.40498043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念四闸站取市电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有线（光纤、网线）→念四闸站→专线租赁→扬州市河道管理处中心视频平台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g119.40732898,32.37537643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龙庄泵站取市电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有线（光纤、网线）→龙庄泵站→专线租赁→扬州市河道管理处中心视频平台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g119.40057803,32.39851306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g119.41834049,32.36713011</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古运河段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g119.46283855,32.41710409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太平闸站取市电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有线（光纤、网线）→太平闸站→扬州市河道管理处中心视频平台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g119.45624370,32.41713208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竹西闸取市电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有线（光纤、网线）→竹西闸→专线租赁→扬州市河道管理处中心视频平台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g119.41518928,32.31818887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杨庄排涝站取市电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有线（光纤、网线）→杨庄排涝站→专线租赁→扬州市河道管理处中心视频平台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g119.40472026,32.29797868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g119.39985904,32.28684105</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g119.39482408,32.26723817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单独站点</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g119.38476146,32.39675458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已建视频点</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g119.45386649,32.39677783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现状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AI智能监测生态环境系统</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多光谱蓝藻监测摄像机1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g119.47196087,32.42063695</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扬州水利枢纽取市电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有线（光纤、网线）→扬州闸站→扬州市河道管理处中心视频平台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多光谱蓝藻监测摄像机2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g119.32834608,32.36913302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沿山河西闸站取市电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AI智能识别排污监测摄像机1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g119.42548293,32.35930021</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二桥排涝站取市电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有线（光纤、网线）→二桥排涝站→扬州市河道管理处中心视频平台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AI智能识别排污监测摄像机2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g119.40877769,32.32780908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冯巷站取市电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有线（光纤、网线）→冯巷站→仪扬河闸→扬州市河道管理处中心视频平台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注：具体安装点位可根据现场实际情况适当调整。</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.3设计依据与规范标准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本项目整体方案设计、设备选型、施工建设、系统调试、验收全过程，严格遵循国家、行业、地方现行标准及水利安防专项规范，核心设计依据如下，所有建设内容满足规范强制性条款要求：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《安全防范工程通用规范》GB 55029</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2022</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《视频安防监控系统工程设计规范》GB 50395</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2007</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《安全防范工程技术标准》GB 50348</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2018</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《安全防范系统验收规则》GA 308</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2001</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《水利视频监视系统技术规范》SL 515</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2013</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《建筑物电子信息系统防雷技术规范》GB 50343</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2012</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《低压配电设计规范》GB 50054</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2011</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《电力工程电缆设计标准》GB 50217</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2018</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《综合布线系统工程设计规范》GB 50311</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2016</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《安全防范视频监控摄像机通用技术要求》GA/T 1127</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2025</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《水利部信息化建设与管理办法》（水信息〔2016〕196 号）</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所有设备参数、施工工艺、系统架构、功能实现均严格对标以上规范，确保项目合规性、安全性、稳定性、通用性，满足水利安防长期运行及监管验收要求。</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.4系统结构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本项目采用“前端智能感知+中端稳定传输+后端数据汇聚+平台统一管控”的四层分布式架构，整体架构稳定、扩展性强、适配水利户外复杂工况，同时兼容常规安防监控与AI 生态监测双业务场景，具体层级如下：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1、前端智能感知层：为系统核心感知终端，分为常规安防采集单元、AI 生态监测单元两大模块。常规安防采集单元由400万像素高清智能球机、摄像立杆、供电设备组成，负责河道安防场景实时视频采集；AI生态监测单元由多光谱蓝藻监测摄像机、AI 智能识别排污监测摄像机组成，负责河道水环境、生态指标的多光谱数据采集与智能识别。所有终端均适配户外全天候监测场景，分为市电供电、太阳能供电两类部署模式。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网络传输层：由工业级网络交换机、光纤收发器、光缆、通信专线组成。前端点位视频及监测数据通过本地交换机汇聚后，经光缆传输至片区核心汇聚点，通过专线实现数据稳定上传，保障视频画面、监测数据实时、无卡顿、无延迟传输，控制信号双向稳定交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数据汇聚层：各河道片区设置专属汇聚交换机，整合片区内所有安防监控、生态监测点位数据，统一数据协议、统一传输标准，实现片区数据集中汇总。仪扬河段汇聚点设置于仪扬河闸，乌塔沟段汇聚点设置于沿山河西闸站，充分利用现有网络资源，降低建设成本；AI 生态监测点位数据就近接入对应片区汇聚点，统一上传至中心平台。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4、实体环境层：原扬州市河道处已建设扬州市城市水利安全运行调度中心，部署LED大屏可实现全河道监控画面，支持单画面 </w:t>
      </w:r>
      <w:r>
        <w:rPr>
          <w:rFonts w:hint="eastAsia" w:ascii="宋体" w:hAnsi="宋体" w:eastAsia="宋体" w:cs="宋体"/>
          <w:sz w:val="21"/>
          <w:szCs w:val="21"/>
          <w:highlight w:val="none"/>
        </w:rPr>
        <w:t xml:space="preserve">/ 多画面分割、轮巡切换、点位快速调取，满足防汛、生态应急可视化调度；部署大容量磁盘阵列，集中存储所有河道摄像机视频录像、多光谱监测原始数据、AI 抓拍图片、告警日志、运维记录，满足长期录像留存、生态数据归档、取证溯源存储需求，配套冗余备份机制，保障数据不丢失；部署视频服务器承载原有河道视频管理平台核心业务，完成视频流转发、云台控制、权限分配、通道授权、设备在线状态监测、历史录像检索回放；部署蓝藻多光谱解析、排污 / 漂浮物智能识别算法，对前端回传监测数据进行实时运算，生成分级告警信息推送至大屏与运维终端。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5、平台管理层：所有汇聚后的视频及监测数据</w:t>
      </w:r>
      <w:r>
        <w:rPr>
          <w:rFonts w:hint="eastAsia" w:ascii="宋体" w:hAnsi="宋体" w:cs="宋体"/>
          <w:sz w:val="21"/>
          <w:szCs w:val="21"/>
          <w:highlight w:val="none"/>
          <w:lang w:val="en-US" w:eastAsia="zh-CN"/>
        </w:rPr>
        <w:t xml:space="preserve">需与</w:t>
      </w:r>
      <w:r>
        <w:rPr>
          <w:rFonts w:hint="eastAsia" w:ascii="宋体" w:hAnsi="宋体" w:eastAsia="宋体" w:cs="宋体"/>
          <w:sz w:val="21"/>
          <w:szCs w:val="21"/>
          <w:highlight w:val="none"/>
        </w:rPr>
        <w:t xml:space="preserve">扬州市河道处</w:t>
      </w:r>
      <w:r>
        <w:rPr>
          <w:rFonts w:hint="eastAsia" w:ascii="宋体" w:hAnsi="宋体" w:cs="宋体"/>
          <w:sz w:val="21"/>
          <w:szCs w:val="21"/>
          <w:highlight w:val="none"/>
          <w:lang w:val="en-US" w:eastAsia="zh-CN"/>
        </w:rPr>
        <w:t xml:space="preserve">现有</w:t>
      </w:r>
      <w:r>
        <w:rPr>
          <w:rFonts w:hint="eastAsia" w:ascii="宋体" w:hAnsi="宋体" w:eastAsia="宋体" w:cs="宋体"/>
          <w:sz w:val="21"/>
          <w:szCs w:val="21"/>
          <w:highlight w:val="none"/>
        </w:rPr>
        <w:t xml:space="preserve">视频管理平台（iSecure Center视频综合管理平合，海康服务器DS-VM21S-B）</w:t>
      </w:r>
      <w:r>
        <w:rPr>
          <w:rFonts w:hint="eastAsia" w:ascii="宋体" w:hAnsi="宋体" w:cs="宋体"/>
          <w:sz w:val="21"/>
          <w:szCs w:val="21"/>
          <w:highlight w:val="none"/>
          <w:lang w:val="en-US" w:eastAsia="zh-CN"/>
        </w:rPr>
        <w:t xml:space="preserve">无缝对接</w:t>
      </w:r>
      <w:r>
        <w:rPr>
          <w:rFonts w:hint="eastAsia" w:ascii="宋体" w:hAnsi="宋体" w:eastAsia="宋体" w:cs="宋体"/>
          <w:sz w:val="21"/>
          <w:szCs w:val="21"/>
          <w:highlight w:val="none"/>
        </w:rPr>
        <w:t xml:space="preserve">，基于实体环境层硬件资源搭建统一管控平台，包含两大业务模块：常规安防监控模块：负责河道视频预览、云台控制、录像回放、设备运维、三级权限管理、系统日志；AI 智能生态监测模块：多光谱指数解析、蓝藻水华预警、排污识别告警、监测报表、事件溯源处置；所有前端点位数据统一接入本层，完成业务逻辑处理、告警分发、可视化推送至 LED 大屏。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系统架构图如下：</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mc:AlternateContent>
          <mc:Choice Requires="wpg">
            <w:drawing>
              <wp:inline xmlns:wp="http://schemas.openxmlformats.org/drawingml/2006/wordprocessingDrawing" distT="0" distB="0" distL="0" distR="0">
                <wp:extent cx="5976620" cy="3218180"/>
                <wp:effectExtent l="0" t="0" r="1270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5976620" cy="3218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6pt;height:253.4pt;mso-wrap-distance-left:0.0pt;mso-wrap-distance-top:0.0pt;mso-wrap-distance-right:0.0pt;mso-wrap-distance-bottom:0.0pt;" stroked="false">
                <v:path textboxrect="0,0,0,0"/>
                <v:imagedata r:id="rId15" o:title=""/>
              </v:shape>
            </w:pict>
          </mc:Fallback>
        </mc:AlternateConten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.5系统功能</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1、视频监视系统功能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（一）监视功能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1）应能对河道两岸相关区域或关键部位进行实时视频监视。视频监视范围应满足现场监视覆盖范围的要求，根据监视要求配置摄像机。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2）摄像机应能清晰、有效地获取视频图像。摄像机应能够适应现场的照明条件。环境照度不满足视频监视要求的，应配置辅助照明。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3）活动摄像机可设定为自动扫描方式，即通过云台控制摄像机上下左右来回扫描，获取监控区域范围内的视频图像。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4）显示设备应清晰、稳定显示摄像机所采集的图像。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5）显示方式应满足安全管理要求。图像可设定为自动切换方式，即根据预定时间在预定显示设备上显示预定监控点的图像。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6）监视图像上应有图像编号/地址、时间、日期等信息。文字显示采用简体中文。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7）应能同时显示多个监视点的视频图像，并能够以单画面、四画面、九画面、十六画面等方式分割显示。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（二）控制功能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1）系统应能手动或自动操作，对摄像机、云台等进行遥控。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2）应能对活动摄像机进行上、下、左、右控制，对摄像机镜头进行变焦和光圈调节，调节监视效果。控制效果平稳、可靠。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3）应能手动切换或编程自动切换监视图像，对视频输入信号在指定的监视器上进行固定或时序显示，切换图像显示重建时间应在可接受的范围内。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4）辅助照明应与联动摄像机的图像显示协调同步。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5）同时具有音频监控能力的系统应具有视频音频同步切换的能力。</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6）前端设备对控制命令的响应和图像传输实时性应满足安全管理要求。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7）对于编程信息，系统应具有存储功能，在断电或关机时，所有编程设置、摄像机号、时间、地址等信息均可保持。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8）应具有与报警控制器联动的接口，报警发生时能切换出相应部位摄像机的图像显示和记录。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9）控制界面应采用多媒体图形界面，要求界面美观、操作方便。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（三）录像功能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1）应能对任意监视图像进行手动或自动录像，并具有在超存储总容量时录像自动覆盖功能。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2）存储的图像信息应包含图像编号/地址、存储时的时间和日期。</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3）应具有录像回放功能，回放效果应满足资料的原始完整性。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4）存储容量、存储／回放带宽和检索能力应满足管理要求。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5）根据安全管理需要，录像时应能存储现场声音信息。</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6）应可对根据用户指定时段进行图像、数据信息的进行记录。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（四）视频移动报警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在图像中任意设定多个报警区域和报警声音。当设定区域内图像发生变化时自动报警并录像。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（五）自诊断与恢复</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应具有硬件、软件自诊断功能，并能在一定程度上实现自恢复，包括：</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1）硬件及接口自检，包括视频主机、通信接口。当诊断出故障时应及时予以告警、记录；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2）软件系统自检，包括进程异常、通信异常；</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3）硬件系统在失电故障恢复后，应能自恢复运行；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4）软件系统在硬件及接口故障排除后，应能自恢复运行。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（六）远程浏览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系统采用标准规约的以太网接口，以C/S和B/S模式提供远程视频监视服务。授权用户可远程浏览泵站视频监视系统的全部或者部分视频图像，也可对摄像机等设备进行控制。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（七）权限管理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应提供以下三级权限控制：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1）一般权限。只能监视、查询视频图像；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2）操作权限。既可监视、查询视频图像，也可以对前端设备进行控制；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3）管理权限。除了具有操作权限外，还能对系统进行修改和扩充。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（八）日志管理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1）系统应记录设备启动、控制操作、故障报警、参数修改、系统维护等日志信息，并应提供日志查询功能。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2）日志内容应包括但不限于以下内容：事件名称、事件性质、访问/操作人员、时间、对象、类型和结果。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（九）软件系统</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1）软件功能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能实时监视各监视点的情况，具有图像切换、分割显示功能；应具有云台控制、预置位，镜头变焦变倍、光圈调节、图像参数调整等功能；应具有音视频录像、检索和回放功能；应提供快放、慢放、单帧播放功能，可实现图像抓拍，放大等功能；应具有开放的数据接口，实现信息发布、报警联动功能；应具有多个操作员密码，多个操作等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2）软件接口</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应具有标准协议的以太网软件接口，支持Web 浏览功能；应采用C/S方式发布信息，允许多客户同时登录；应能实现通过网络的实时浏览，支持多画面显示；被授权的用户可通过网络对监控设备进行控制，如镜头变焦、云台转动等。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3）系统性能指标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监视图像质量不低于规定的四级，回放图像质量不低于规定的三级；系统的信号传输应保证图像和声音的原始完整性、及时性、安全性以及控制信号的准确性。</w:t>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五级损伤制评分分级</w:t>
      </w:r>
      <w:r/>
    </w:p>
    <w:tbl>
      <w:tblPr>
        <w:tblStyle w:val="691"/>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6"/>
        <w:gridCol w:w="2736"/>
      </w:tblGrid>
      <w:tr>
        <w:trPr>
          <w:tblHeade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图像质量损伤的主观评价</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评分分级</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图像上不觉察有损伤或干扰存在</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图像上稍有可觉察的损伤或干扰，但并不令人讨厌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图像上有明显的损伤或干扰，令人感到讨厌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图像上损伤或干扰较严重，令人相当讨厌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图像上损伤或干扰极严重，不能观看</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bl>
    <w:p>
      <w:pPr>
        <w:ind w:firstLine="422"/>
        <w:spacing w:before="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2、AI智能监测生态环境系统功能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（一）多光谱蓝藻监测能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蓝藻水华智能预警：基于多光谱数据反演水体叶绿素 a 浓度，实现蓝藻水华的早期识别、浓度分级、范围定位，可生成蓝藻分布热力图与扩散趋势分析，提前预警蓝藻爆发风险；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水体生态指标监测：支持 NDVI、GNDVI、NDRE 等多种植被指数输出，可监测河道岸线植被长势、病虫害情况、外来物种入侵、生态修复效果，为河道生态管护提供量化数据支撑；</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多区域精细化布防：支持30个独立光谱布防区域，可对河道不同区段、闸站上下游、排水口分别设置监测规则，实现分区域、分时段的精细化监测与差异化管理；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监测数据精准校准：内置环境光实时矫正模块，可自动消除不同时段、不同天气光照变化对多光谱监测数据的影响，保障全天不同时段监测数据的准确性、一致性与可比性；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定时监测与趋势分析：支持按预设时间间隔自动采集多光谱数据、抓拍监测画面，所有监测数据自动存储，支持历史数据查询、长周期趋势分析、同比环比统计，生成日、周、月生态监测报表。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AI智能识别排污监测功能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排水状态全时段监管：可实时检测排水口、排涝站的排水状态，识别排水流量、水流方向，当出现异常断流、异常溢流、倒流等情况时自动告警，实现排水设施运行状态的常态化无人值守监管；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规排污智能识别与溯源：可智能识别排水水体颜色异常、浑浊度异常、污染物特征，当检测到违规排污、工业废水排放、黑臭水体等异常情况时，自动抓拍高清画面、录制视频、上传告警信息，联动声光报警，同时定位异常位置，留存完整证据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水面异常事件监测：可识别河道水面漂浮物、垃圾、死鱼、油污等异常情况，当异常面积超过设定阈值时，自动告警并定位异常区域，为河道保洁、应急处置提供精准、及时的信息支撑；</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全景特写联动跟踪：支持全景 + 特写双镜头联动监测，全景镜头检测到异常目标后，自动联动特写镜头进行变焦跟踪、放大抓拍，清晰捕捉异常细节，实现 “全场景覆盖 + 细节精准捕捉” 的双重监测效果；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自定义告警与联动处置：可根据河道管理需求，自定义告警阈值、告警场景、告警方式，支持平台弹窗、短信、语音播报等多渠道告警推送，同时可与河道运维处置系统联动，实现告警事件的闭环管理。</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.6视频电源、信号接入及存储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虑视频设备的安装及施工方便，暂定所有摄像机布置于河道两岸。在征得甲方同意、不影响视频监视范围的前提下，摄像机立杆位置及摄像机布置位置可根据现场供电电源及网络接入的实际情况调整，承包商应完成以下工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1、电源接入：所有摄像机优先考虑就近从现有闸站接入电源；如就近没有接入电源条件，则采用太阳能供电系统（包含2块200W太阳能板、2块150Ah 胶体电池），保证至少3天连续阴雨天保持摄像机正常工作。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信号接入：所有视频信号、生态监测数据均通过有线方式（光纤、网线）接入扬州市河道管理处中心视频管理平台，仪扬河段、乌塔沟段点位数据就近接入片区汇聚点，新城河段、古运河段等数据通过专线租赁上传至中心平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存储要求：中心平台完成所有点位视频录像、监测数据的统一存储，存储时长满足水利安防管理要求，支持历史数据回看、查询、下载、归档，所有存储数据具备防篡改、防丢失措施，保障数据完整性与安全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配套设施：视频信号及摄像机电源接入所需的配电箱、缆线、电缆沟开挖回填或杆线架设等的所有初装费均由承包商承担，其所有权归发包方所有，承包商应负责质保期内的维护。在质保期内，承包商应保证视频信号正常传输、摄像机供电正常以及视频信号的有效存储。如有设备损坏，承包商应进行更换、调试、恢复正常工作。</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7施工</w:t>
      </w:r>
      <w:r>
        <w:rPr>
          <w:rFonts w:hint="eastAsia" w:ascii="宋体" w:hAnsi="宋体" w:cs="宋体"/>
          <w:b/>
          <w:bCs/>
          <w:sz w:val="21"/>
          <w:szCs w:val="21"/>
          <w:highlight w:val="none"/>
          <w:lang w:val="en-US" w:eastAsia="zh-CN"/>
        </w:rPr>
        <w:t xml:space="preserve">方案</w:t>
      </w:r>
      <w:r>
        <w:rPr>
          <w:rFonts w:hint="eastAsia" w:ascii="宋体" w:hAnsi="宋体" w:eastAsia="宋体" w:cs="宋体"/>
          <w:b/>
          <w:bCs/>
          <w:sz w:val="21"/>
          <w:szCs w:val="21"/>
          <w:highlight w:val="none"/>
        </w:rPr>
        <w:t xml:space="preserve">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河道沟槽开挖严格遵循河道保护规范，避免破坏河道堤岸结构，</w:t>
      </w:r>
      <w:r>
        <w:rPr>
          <w:rFonts w:hint="default" w:ascii="宋体" w:hAnsi="宋体" w:eastAsia="宋体" w:cs="宋体"/>
          <w:sz w:val="21"/>
          <w:szCs w:val="21"/>
          <w:highlight w:val="none"/>
          <w:lang w:val="en-US" w:eastAsia="zh-CN"/>
        </w:rPr>
        <w:t xml:space="preserve">地埋线缆采用PE防腐保护管敷设，管顶覆土深度不小于60cm；穿越堤顶道路、生产便道必须加设加厚钢制套管防护。线缆全程无中间接头；光缆熔接完成做防水密封处理，每个接头井设置标识牌，标注路由、点位编号。临水低洼地段管路设置防水弯，做好封堵，防止倒灌水进入管内。</w:t>
      </w:r>
      <w:r/>
    </w:p>
    <w:p>
      <w:pPr>
        <w:ind w:firstLine="42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监控立杆基础采用C30商品混凝土现浇，独立钢筋笼配筋；中标人应结合立杆高度、河道沿岸在江苏扬州50年一遇风压、防洪水位确定基础埋深与长宽尺寸，不得套用统一标准基础。基础顶面标高高于项目对应河段五年一遇洪水位。基础施工完毕按规范养护，养护期满方可立杆吊装。堤防施工完成后对堤坡、绿化、地面进行原貌恢复。</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基础地龙浇筑、预埋管线、接地网敷设</w:t>
      </w:r>
      <w:r>
        <w:rPr>
          <w:rFonts w:hint="eastAsia" w:ascii="宋体" w:hAnsi="宋体" w:eastAsia="宋体" w:cs="宋体"/>
          <w:sz w:val="21"/>
          <w:szCs w:val="21"/>
          <w:highlight w:val="none"/>
          <w:lang w:val="en-US" w:eastAsia="zh-CN"/>
        </w:rPr>
        <w:t xml:space="preserve">等</w:t>
      </w:r>
      <w:r>
        <w:rPr>
          <w:rFonts w:hint="default" w:ascii="宋体" w:hAnsi="宋体" w:eastAsia="宋体" w:cs="宋体"/>
          <w:sz w:val="21"/>
          <w:szCs w:val="21"/>
          <w:highlight w:val="none"/>
          <w:lang w:val="en-US" w:eastAsia="zh-CN"/>
        </w:rPr>
        <w:t xml:space="preserve">隐蔽工程，每一处点位施工完成后须拍摄影像资料留存，报验合格后方可浇筑混凝土；隐蔽工程影像资料逐点归档。</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每个监控点位设置独立接地网，接地电阻≤</w:t>
      </w:r>
      <w:r>
        <w:rPr>
          <w:rFonts w:hint="eastAsia" w:ascii="宋体" w:hAnsi="宋体" w:eastAsia="宋体" w:cs="宋体"/>
          <w:sz w:val="21"/>
          <w:szCs w:val="21"/>
          <w:highlight w:val="none"/>
          <w:lang w:val="en-US" w:eastAsia="zh-CN"/>
        </w:rPr>
        <w:t xml:space="preserve">10</w:t>
      </w:r>
      <w:r>
        <w:rPr>
          <w:rFonts w:hint="default" w:ascii="宋体" w:hAnsi="宋体" w:eastAsia="宋体" w:cs="宋体"/>
          <w:sz w:val="21"/>
          <w:szCs w:val="21"/>
          <w:highlight w:val="none"/>
          <w:lang w:val="en-US" w:eastAsia="zh-CN"/>
        </w:rPr>
        <w:t xml:space="preserve">Ω；立杆、设备箱、球机外壳、防雷器做等电位连接。全部点位完工后逐点使用接地电阻测试仪实测并记录数值，形成接地测试记录表；阻值不合格点位必须重新布设接地网直至达标。</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施工全程遵守河道施工、道路施工安全规范，设置安全警示标识，做好临水作业、高空作业防护，杜绝安全事故；所有设备、材料进场验收，严格按照技术参数及施工规范施工，每道工序自检、复检，确保工程质量达标；</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全部设备安装完成后进行72h点位试运行；全系统联调完成后开展连续168小时不间断试运行。试运行记录包含设备在线率、视频状态、网络丢包率。试运行期间出现掉线、视频异常须全部整改完成，试运行合格才可申请初验、终验。</w:t>
      </w:r>
      <w:r/>
    </w:p>
    <w:p>
      <w:pPr>
        <w:ind w:firstLine="422"/>
        <w:spacing w:line="360" w:lineRule="auto"/>
        <w:rPr>
          <w:rFonts w:hint="default" w:eastAsia="宋体"/>
          <w:highlight w:val="none"/>
          <w:lang w:val="en-US" w:eastAsia="zh-CN"/>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.8主要设备技术要求</w:t>
      </w:r>
      <w:r/>
    </w:p>
    <w:p>
      <w:pPr>
        <w:pStyle w:val="696"/>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（1）多光谱蓝藻监测摄像机</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1.支持环境光实时校准，实现蓝藻水华智能监测。</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2.传感器类型：1/1.8＂ progressive scan CMOS</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3.最低照度不低于：0.0045Lux @ (F3.2，AGC ON)；黑白：0.0007Lux @(F3.2，AGC ON)；0 Lux with IR</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4.焦距：支持6.8-217.6mm，32倍光学变倍</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w:t>
      </w:r>
      <w:r>
        <w:rPr>
          <w:rFonts w:hint="default" w:ascii="Times New Roman" w:hAnsi="Times New Roman" w:eastAsia="微软雅黑" w:cs="Times New Roman"/>
          <w:color w:val="000000"/>
          <w:szCs w:val="21"/>
          <w:highlight w:val="none"/>
          <w:shd w:val="clear" w:color="auto" w:fill="ffffff"/>
        </w:rPr>
        <w:t xml:space="preserve">★</w:t>
      </w:r>
      <w:r>
        <w:rPr>
          <w:rFonts w:hint="default" w:ascii="Times New Roman" w:hAnsi="Times New Roman" w:eastAsia="宋体" w:cs="Times New Roman"/>
          <w:i w:val="0"/>
          <w:iCs w:val="0"/>
          <w:sz w:val="21"/>
          <w:szCs w:val="21"/>
          <w:highlight w:val="none"/>
          <w:u w:val="none"/>
          <w:lang w:val="en-US" w:eastAsia="zh-CN"/>
        </w:rPr>
        <w:t xml:space="preserve">设备在1km距离处，空间分辨率</w:t>
      </w:r>
      <w:r>
        <w:rPr>
          <w:rFonts w:hint="eastAsia" w:ascii="Times New Roman" w:hAnsi="Times New Roman" w:eastAsia="宋体" w:cs="Times New Roman"/>
          <w:i w:val="0"/>
          <w:iCs w:val="0"/>
          <w:sz w:val="21"/>
          <w:szCs w:val="21"/>
          <w:highlight w:val="none"/>
          <w:u w:val="none"/>
          <w:lang w:val="en-US" w:eastAsia="zh-CN"/>
        </w:rPr>
        <w:t xml:space="preserve">不大于</w:t>
      </w:r>
      <w:r>
        <w:rPr>
          <w:rFonts w:hint="default" w:ascii="Times New Roman" w:hAnsi="Times New Roman" w:eastAsia="宋体" w:cs="Times New Roman"/>
          <w:i w:val="0"/>
          <w:iCs w:val="0"/>
          <w:sz w:val="21"/>
          <w:szCs w:val="21"/>
          <w:highlight w:val="none"/>
          <w:u w:val="none"/>
          <w:lang w:val="en-US" w:eastAsia="zh-CN"/>
        </w:rPr>
        <w:t xml:space="preserve">2cm/pixel</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6.设备支持环境光传感器，进行环境光实时校准</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7.支持450nm、560nm、660nm、720nm、750nm、850nm多个光谱波段</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8.支持RS485接口, 支持半双工模式，与多光谱主机相连。 </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9.设备支持内置加热模块，当内部温度降至设定的阈值时可自动开启加热功能对镜头前盖玻璃加热；当设备内部温度升值设定的阈值时，可自动关闭加热功能。</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10.★设备支持环境光实时矫正模块，模块的光谱范围覆盖400~900nm，分辨率不大于10nm。</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11.★设备支持自动输出植被指数：NDVI、GDNVI、NDRE、OSAVI、LCI。可以自动输出对应光谱通道450nm/560nm/660nm/720nm/750nm/850nm。</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12.★设备支持不少于30个光谱布防区域，每个区域均可计算植被并展示。</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（2）AI智能识别排污监测摄像机</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1.★可通过IE浏览器查看传感器获得数据并上传平台，包括浊度、溶解氧、PH值、电导率、水中油、蓝绿藻、余氯、氯离子、盐度、氟离子、COD、悬浮物、硝氮、氨氮、ORP氧化还原电位、含沙量/浊泥、水温。</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2.支持水体颜色、漂浮物检测</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3.球机具有不少于2个实时图像采集通道，细节通道及全景通道，双通道均支持智能功能；支持全景路2560 × 1440@30 fps高清画面输出，细节路最大2560 × 1440@30 fps高清画面输出</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4.支持声光报警功能，当进入区域、离开区域、越界侦测或者区域入侵报警产生时，可在报警布防时间内联动声音报警或白光灯闪烁</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5.★支持排水口排水状态识别功能，可实时检测排水口是否有水流出，并可触发报警</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6.设备支持AIOP功能，预置排水口识别模型、水体颜色识别模型、漂浮物检测模型3个AI任务模型。</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7.★支持排水水体颜色识别，可同时识别设定的检测区域内的不同排水口的水体颜色。</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8.★当检测区域中的水面出现漂浮物，且漂浮物面积大于阈值时，可给出报警提示。</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9.★支持外部传感器管理功能，可以对传感器进行信息编辑和配置：1、传感器设备描述设置；2、OSD叠加功能开启和类型选择，支持选择关联通道显示和关联预置点显示；3、配置传感器关联的预置点。</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（3）生态环境智能应用平台软件</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支持一站一档：应用于地表水水质监测场景，形成各监测站包含点位基础信息、水质监测统计、历史报警数据统计分析等的站点档案。可依据站点监测数据，按指标分别生成趋势变化分析图表；按统计水质报警数据，可对高频污染物进行计算并分析；展示站点位置、所属区域、负责人等基础信息，支持对站点监测原始数据的记录留存，可通过时间进行筛选查询、导出</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支持水环境配置管理：可提供水环境质量标准、监测指标、监测站点、排污口、污染源、水域等信息的管理维护；支持对监测指标限值、水质评价规则等水环境质量评价体系的定义与管理；支持自定义巡查上报报警类型（巡查上报报警功能需配合APP使用）</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3.提供水质、流量、水位等指标超标报警事件的规则配置及报警接入能力</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4.对各类指标超限报警提供推送、转派、反馈等能力，对已办结的报警事件进行归档记录，可查看报警详细信息及处置流转记录，并支持分别对报警的不同类别进行统计</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5.★趋势分析：系统可按照时间顺序对水质监测站点各监测指标进行趋势分析： 1、可在水质分析下各模块间进行功能切换；在当前模块中可切换站点与水域的趋势分析数据；可在当前模块中切换自动与手工站点监测数据分别查看； 2、支持按照时段类型、起止时间、分析维度（单点多指标分析、多点单指标分析）、监测站点及监测指标进行数据筛选； 3、展示在所选时段内站点/水域各个指标的趋势变化情况，支持数据列表及趋势分析图两种展示形式，可将查询结果/趋势分析图导出至本地。</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6.支持水质统计分析</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7.平台提供接入多光谱植被监测仪，自动分析植被指数并生成蓝藻水华预警，支持图像展示和预警事件管理，实现蓝藻水华智能监测。</w:t>
      </w:r>
      <w:r/>
    </w:p>
    <w:p>
      <w:pPr>
        <w:pStyle w:val="696"/>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8.★面向湖泊、水库等有营养状态分析需求的水域，据其水质监测数据进行分析，判断其营养状态： 1、可在当前模块中切换站点与水域的营养状态分析数据 2、支持按照时段类型、起止时间、监测站进行数据筛选 3、展示在所选时段内站点/水域的营养状态情况，包括营养状态等级、营养状态综合指数、各指标监测数值等，点击“详情”按钮可查看详细数据。支持将查询结果导出至本地。</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ind w:firstLine="420"/>
        <w:spacing w:line="360" w:lineRule="auto"/>
        <w:rPr>
          <w:rFonts w:hint="eastAsia" w:ascii="宋体" w:hAnsi="宋体" w:eastAsia="宋体" w:cs="宋体"/>
          <w:b/>
          <w:bCs/>
          <w:strike/>
          <w:sz w:val="21"/>
          <w:szCs w:val="21"/>
          <w:highlight w:val="none"/>
        </w:rPr>
      </w:pPr>
      <w:r>
        <w:rPr>
          <w:rFonts w:hint="eastAsia" w:ascii="Times New Roman" w:hAnsi="Times New Roman" w:cs="Times New Roman"/>
          <w:i w:val="0"/>
          <w:iCs w:val="0"/>
          <w:sz w:val="21"/>
          <w:szCs w:val="21"/>
          <w:highlight w:val="none"/>
          <w:u w:val="none"/>
          <w:lang w:val="en-US" w:eastAsia="zh-CN"/>
        </w:rPr>
        <w:t xml:space="preserve">9</w:t>
      </w:r>
      <w:r>
        <w:rPr>
          <w:rFonts w:hint="default" w:ascii="Times New Roman" w:hAnsi="Times New Roman" w:eastAsia="宋体" w:cs="Times New Roman"/>
          <w:i w:val="0"/>
          <w:iCs w:val="0"/>
          <w:sz w:val="21"/>
          <w:szCs w:val="21"/>
          <w:highlight w:val="none"/>
          <w:u w:val="none"/>
          <w:lang w:val="en-US" w:eastAsia="zh-CN"/>
        </w:rPr>
        <w:t xml:space="preserve">.★系统可对接（钓鱼识别、排口有无排水识别、游泳识别、水面漂浮物识别等）智能算法，并将识别出的事件生成智能识别报警，在本模块可定义智能报警事件的类型，同时支持单一或批量配置算法事件是否接收。</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981"/>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4</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监控立杆技术要求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杆形：八角杆，外型美观、简洁、协调，颜色暂定为白色，最终由甲方确定；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选用Q235或优质钢材制造，杆体采用数控折弯机一次成型，采用自动缩口，壁厚&gt;4mm；监控杆防腐处理为热镀，镀锌层表面光滑美观，光泽一致。无皱皮、流坠及锌瘤、起皮、斑点、阴阳面缺陷存在，锌层厚度&gt;85um以上；</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焊机自动焊接，整个杆均按相关设计标准执行；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主杆与底法兰采用双面焊接，外焊加强筋；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杆体表面全部热浸镀锌，高温烤漆，静电喷塑，表面喷塑厚度≧100um，表面光滑：硬度≧2H，采用室外耐候性材料，喷塑材料为全聚酯塑粉；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监控杆强抗风、坚固耐用，设计抗风能力&gt;36m/s，抗震能力为10级；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箱体与主杆之间特殊设计，看不到任何引线，并有防渗水措施，有效保证缆的安全；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接线门采用内置式M6内六角螺栓固定、防盗；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根据现场情况按需配置横杆，用于安装摄像机，具体横杆长度根据现场最终确定，确保视频监测图像覆盖河道，横杆稳定可靠；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立杆上安装不锈钢挂箱，用于安装网络终端设备、电源适配器等，要求挂箱有足够的强度，箱内有用于固定设备的装置，其壁厚不小于1.5mm。</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砼基础应充分考虑立杆抗风要求设计，埋入地下深度应不小于1.2m。</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工业交换机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视频交换机至少具备4个100M/1000M/2500M自适应SFP端及4个100M/1000M电口；</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汇聚交换机至少具备4个100M/1000M/2500M自适应SFP端及24个100M/1000M电口；</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采用铝型材及铝合金组合外壳，耐腐蚀耐氧化永不生锈，防护等级不低于IP40；</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运行温度 ：-40度到85度。</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缆线及配电装置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1）超五类屏蔽双绞线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性能描述：</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100Ω，155MHz，24AWG；</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带整体屏蔽PVC或低烟无卤(LSZH)电缆外皮；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性能：符合TIA/EIA 568B、EN50173-1和ISO 11801：2002要求；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阻燃级别：符合UL94V-0等级；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低烟、无卤、阻燃。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如直埋安装，应采用铠装防水双绞线。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2）供电电缆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线径：应满足电压降≤10%Ue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护套：双护套，绝缘厚度0.6，护套厚度0.7，低烟、无卤、阻燃。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如直埋安装，应采用铠装防水电缆。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3）视频系统配电装置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提供220V交流电源，视频系统内所需电源应自配开关电源模块和浪涌保护器，电源容量应满足视频监视系统要求。开关电源模块应符合以下要求：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输入电压：220VAC±15%</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输出：根据摄像头情况确定；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具有过载、短路、防雷击报警和保护功能。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4）光缆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12芯铠装单模防水光缆。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光学衰减：1310nm≤0.36dB/km，1550nm≤0.22dB/km；</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防水结构：层绞式，松套管充纤膏，钢带铠装；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机械性能：长期拉力≥600N，短期≥1500N；压扁短期≥1000N/100mm；静态弯曲≥10 倍光缆外径；</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环境条件：工作温度‑40℃～+70℃，HDPE 外护套，耐户外环境。</w:t>
      </w:r>
      <w:r/>
    </w:p>
    <w:p>
      <w:pPr>
        <w:ind w:firstLine="422"/>
        <w:spacing w:line="360" w:lineRule="auto"/>
        <w:rPr>
          <w:rFonts w:hint="default"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2.9 </w:t>
      </w:r>
      <w:r>
        <w:rPr>
          <w:rFonts w:hint="default" w:ascii="宋体" w:hAnsi="宋体" w:cs="宋体"/>
          <w:b/>
          <w:bCs/>
          <w:sz w:val="21"/>
          <w:szCs w:val="21"/>
          <w:highlight w:val="none"/>
          <w:lang w:val="en-US" w:eastAsia="en-US"/>
        </w:rPr>
        <w:t xml:space="preserve">平台对接</w:t>
      </w:r>
      <w:r>
        <w:rPr>
          <w:rFonts w:hint="default" w:ascii="宋体" w:hAnsi="宋体" w:cs="宋体"/>
          <w:b/>
          <w:bCs/>
          <w:sz w:val="21"/>
          <w:szCs w:val="21"/>
          <w:highlight w:val="none"/>
          <w:lang w:val="en-US" w:eastAsia="zh-CN"/>
        </w:rPr>
        <w:t xml:space="preserve">要求</w:t>
      </w:r>
      <w:r/>
    </w:p>
    <w:p>
      <w:pPr>
        <w:ind w:firstLine="420"/>
        <w:spacing w:line="360" w:lineRule="auto"/>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rPr>
        <w:t xml:space="preserve">所有前端</w:t>
      </w:r>
      <w:r>
        <w:rPr>
          <w:rFonts w:hint="default" w:ascii="宋体" w:hAnsi="宋体" w:eastAsia="宋体" w:cs="宋体"/>
          <w:color w:val="000000"/>
          <w:sz w:val="21"/>
          <w:szCs w:val="21"/>
          <w:highlight w:val="none"/>
          <w:lang w:val="en-US" w:eastAsia="zh-CN"/>
        </w:rPr>
        <w:t xml:space="preserve">摄像机</w:t>
      </w:r>
      <w:r>
        <w:rPr>
          <w:rFonts w:hint="default" w:ascii="宋体" w:hAnsi="宋体" w:eastAsia="宋体" w:cs="宋体"/>
          <w:color w:val="000000"/>
          <w:sz w:val="21"/>
          <w:szCs w:val="21"/>
          <w:highlight w:val="none"/>
        </w:rPr>
        <w:t xml:space="preserve">点位信息100%同步至上级平台，包含点位名称、河段名称、桩号、经纬度、安装高度、设备类型等完整台账信息。上级平台可直接预览实时视频、调取历史录像、控制云台、调用预置位、巡航操控。视频流稳定流畅，无卡顿、无花屏、无断流，延时符合水利监管标准。实现新建点位与辖区存量已建水利监控点位完全互联互通</w:t>
      </w:r>
      <w:r>
        <w:rPr>
          <w:rFonts w:hint="default" w:ascii="宋体" w:hAnsi="宋体" w:eastAsia="宋体" w:cs="宋体"/>
          <w:color w:val="000000"/>
          <w:sz w:val="21"/>
          <w:szCs w:val="21"/>
          <w:highlight w:val="none"/>
          <w:lang w:eastAsia="zh-CN"/>
        </w:rPr>
        <w:t xml:space="preserve">。</w:t>
      </w:r>
      <w:r/>
    </w:p>
    <w:p>
      <w:pPr>
        <w:ind w:firstLine="420"/>
        <w:spacing w:line="360" w:lineRule="auto"/>
        <w:rPr>
          <w:rFonts w:hint="default" w:ascii="宋体" w:hAnsi="宋体" w:eastAsia="宋体" w:cs="宋体"/>
          <w:i/>
          <w:iCs/>
          <w:color w:val="000000"/>
          <w:sz w:val="21"/>
          <w:szCs w:val="21"/>
          <w:highlight w:val="none"/>
          <w:u w:val="single"/>
          <w:lang w:val="en-US" w:eastAsia="zh-CN"/>
        </w:rPr>
      </w:pPr>
      <w:r>
        <w:rPr>
          <w:rFonts w:hint="default" w:ascii="宋体" w:hAnsi="宋体" w:eastAsia="宋体" w:cs="宋体"/>
          <w:i/>
          <w:iCs/>
          <w:color w:val="000000"/>
          <w:sz w:val="21"/>
          <w:szCs w:val="21"/>
          <w:highlight w:val="none"/>
          <w:u w:val="single"/>
          <w:lang w:val="en-US" w:eastAsia="zh-CN"/>
        </w:rPr>
        <w:t xml:space="preserve">要求系统</w:t>
      </w:r>
      <w:r>
        <w:rPr>
          <w:rFonts w:hint="eastAsia" w:ascii="宋体" w:hAnsi="宋体" w:cs="宋体"/>
          <w:i/>
          <w:iCs/>
          <w:color w:val="000000"/>
          <w:sz w:val="21"/>
          <w:szCs w:val="21"/>
          <w:highlight w:val="none"/>
          <w:u w:val="single"/>
          <w:lang w:val="en-US" w:eastAsia="zh-CN"/>
        </w:rPr>
        <w:t xml:space="preserve">流畅</w:t>
      </w:r>
      <w:r>
        <w:rPr>
          <w:rFonts w:hint="default" w:ascii="宋体" w:hAnsi="宋体" w:eastAsia="宋体" w:cs="宋体"/>
          <w:i/>
          <w:iCs/>
          <w:color w:val="000000"/>
          <w:sz w:val="21"/>
          <w:szCs w:val="21"/>
          <w:highlight w:val="none"/>
          <w:u w:val="single"/>
          <w:lang w:val="en-US" w:eastAsia="zh-CN"/>
        </w:rPr>
        <w:t xml:space="preserve">对接，设备须与河道处现有平台</w:t>
      </w:r>
      <w:r>
        <w:rPr>
          <w:rFonts w:hint="eastAsia" w:ascii="宋体" w:hAnsi="宋体" w:cs="宋体"/>
          <w:i/>
          <w:iCs/>
          <w:color w:val="000000"/>
          <w:sz w:val="21"/>
          <w:szCs w:val="21"/>
          <w:highlight w:val="none"/>
          <w:u w:val="single"/>
          <w:lang w:val="en-US" w:eastAsia="zh-CN"/>
        </w:rPr>
        <w:t xml:space="preserve">适配</w:t>
      </w:r>
      <w:r>
        <w:rPr>
          <w:rFonts w:hint="default" w:ascii="宋体" w:hAnsi="宋体" w:eastAsia="宋体" w:cs="宋体"/>
          <w:i/>
          <w:iCs/>
          <w:color w:val="000000"/>
          <w:sz w:val="21"/>
          <w:szCs w:val="21"/>
          <w:highlight w:val="none"/>
          <w:u w:val="single"/>
          <w:lang w:val="en-US" w:eastAsia="zh-CN"/>
        </w:rPr>
        <w:t xml:space="preserve">，确保实现预期功能、保证技防运用效果。中标人在项目2年免费质保期内提供软件免费升级服务。同时中标人需免费提供系统接口标准，供河道处其它业务系统接入或调用。（</w:t>
      </w:r>
      <w:r>
        <w:rPr>
          <w:rFonts w:hint="default" w:ascii="宋体" w:hAnsi="宋体" w:eastAsia="宋体" w:cs="宋体"/>
          <w:b/>
          <w:bCs/>
          <w:i/>
          <w:iCs/>
          <w:color w:val="000000"/>
          <w:sz w:val="21"/>
          <w:szCs w:val="21"/>
          <w:highlight w:val="none"/>
          <w:u w:val="single"/>
          <w:lang w:val="en-US" w:eastAsia="zh-CN"/>
        </w:rPr>
        <w:t xml:space="preserve">投标文件中需提供承诺函加盖投标</w:t>
      </w:r>
      <w:r>
        <w:rPr>
          <w:rFonts w:hint="eastAsia" w:ascii="宋体" w:hAnsi="宋体" w:cs="宋体"/>
          <w:b/>
          <w:bCs/>
          <w:i/>
          <w:iCs/>
          <w:color w:val="000000"/>
          <w:sz w:val="21"/>
          <w:szCs w:val="21"/>
          <w:highlight w:val="none"/>
          <w:u w:val="single"/>
          <w:lang w:val="en-US" w:eastAsia="zh-CN"/>
        </w:rPr>
        <w:t xml:space="preserve">单位电子</w:t>
      </w:r>
      <w:r>
        <w:rPr>
          <w:rFonts w:hint="default" w:ascii="宋体" w:hAnsi="宋体" w:eastAsia="宋体" w:cs="宋体"/>
          <w:b/>
          <w:bCs/>
          <w:i/>
          <w:iCs/>
          <w:color w:val="000000"/>
          <w:sz w:val="21"/>
          <w:szCs w:val="21"/>
          <w:highlight w:val="none"/>
          <w:u w:val="single"/>
          <w:lang w:val="en-US" w:eastAsia="zh-CN"/>
        </w:rPr>
        <w:t xml:space="preserve">公章，格式自拟</w:t>
      </w:r>
      <w:r>
        <w:rPr>
          <w:rFonts w:hint="default" w:ascii="宋体" w:hAnsi="宋体" w:eastAsia="宋体" w:cs="宋体"/>
          <w:i/>
          <w:iCs/>
          <w:color w:val="000000"/>
          <w:sz w:val="21"/>
          <w:szCs w:val="21"/>
          <w:highlight w:val="none"/>
          <w:u w:val="single"/>
          <w:lang w:val="en-US" w:eastAsia="zh-CN"/>
        </w:rPr>
        <w:t xml:space="preserve">）</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2.10 技术方案要求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需列明前端设备组成，说明设备防护等级、供电方案、立杆规格、安装角度；</w:t>
      </w:r>
      <w:r/>
    </w:p>
    <w:p>
      <w:pPr>
        <w:ind w:firstLine="420"/>
        <w:spacing w:line="360" w:lineRule="auto"/>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val="en-US" w:eastAsia="en-US"/>
        </w:rPr>
        <w:t xml:space="preserve">主干河道采用低延迟、高稳定</w:t>
      </w:r>
      <w:r>
        <w:rPr>
          <w:rFonts w:hint="default" w:ascii="宋体" w:hAnsi="宋体" w:eastAsia="宋体" w:cs="宋体"/>
          <w:color w:val="000000"/>
          <w:sz w:val="21"/>
          <w:szCs w:val="21"/>
          <w:highlight w:val="none"/>
          <w:lang w:val="en-US" w:eastAsia="zh-CN"/>
        </w:rPr>
        <w:t xml:space="preserve">网络传输，确保业务网与视频网安全隔离</w:t>
      </w:r>
      <w:r>
        <w:rPr>
          <w:rFonts w:hint="default" w:ascii="宋体" w:hAnsi="宋体" w:eastAsia="宋体" w:cs="宋体"/>
          <w:color w:val="000000"/>
          <w:sz w:val="21"/>
          <w:szCs w:val="21"/>
          <w:highlight w:val="none"/>
          <w:lang w:val="en-US" w:eastAsia="en-US"/>
        </w:rPr>
        <w:t xml:space="preserve">全部设备兼容GB/T28181-2016水利国标协议，无私有协议锁定。网络延时＜200ms，丢包率＜1%</w:t>
      </w:r>
      <w:r>
        <w:rPr>
          <w:rFonts w:hint="default" w:ascii="宋体" w:hAnsi="宋体" w:eastAsia="宋体" w:cs="宋体"/>
          <w:color w:val="000000"/>
          <w:sz w:val="21"/>
          <w:szCs w:val="21"/>
          <w:highlight w:val="none"/>
          <w:lang w:val="en-US" w:eastAsia="zh-CN"/>
        </w:rPr>
        <w:t xml:space="preserve">。</w:t>
      </w:r>
      <w:r/>
    </w:p>
    <w:p>
      <w:pPr>
        <w:ind w:firstLine="420"/>
        <w:spacing w:line="360" w:lineRule="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支持视频分级存储：普通视频循环覆盖、告警证据视频永久锁定、不被覆盖。支持磁盘故障自愈，单盘损坏不丢失整段录像。支持单路码流双平台复用，前端一路视频同时满足本地存储、市级平台调取，不重复占用带宽。录像删除、下载、备份全程权限管控、日志留存≥6个月。</w:t>
      </w:r>
      <w:r/>
    </w:p>
    <w:p>
      <w:pPr>
        <w:ind w:firstLine="420"/>
        <w:spacing w:line="360" w:lineRule="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lang w:val="en-US" w:eastAsia="zh-CN"/>
        </w:rPr>
        <w:t xml:space="preserve">平台</w:t>
      </w:r>
      <w:r>
        <w:rPr>
          <w:rFonts w:hint="default" w:ascii="宋体" w:hAnsi="宋体" w:eastAsia="宋体" w:cs="宋体"/>
          <w:color w:val="000000"/>
          <w:sz w:val="21"/>
          <w:szCs w:val="21"/>
          <w:highlight w:val="none"/>
        </w:rPr>
        <w:t xml:space="preserve">系统支持分级权限管理，权责清晰、分区管控。同时预留标准化API开放接口，可按需对接第三方系统，具备良好的业务拓展能力。</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2.11 安全体系需求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需构建完整网络安全体系。视频专网与互联网物理隔离；前端设备设置强口令，关闭闲置端口；视频画面添加不可去除水印；存储操作、平台登录、参数修改全程审计；日志留存≥6个月；对外级联设备进行身份鉴权；远程调试使用安全通道，禁止公网直接暴露设备；落实网络安全等级保护相关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系统补丁升级：因应用系统软件改版或功能扩充等原因进行系统升级。</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巡检服务：提供系统运行性能诊断及设备检修保养服务，减少故障发生率及延长使用周期。</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系统安全管理：进行系统安全管理、数据管理，根据问题性质决定解决问题的方法并跟踪其执行。</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定期诊断测试：对系统进行诊断测试，查看错误信息、性能调优、功能完善等，并提供巡检报告。</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2.12 质量保障要求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投标人应编制质量保障方案，提出质量管理目标、质量保证措施、质量控制点、安全保证措施等。</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设备立杆安装应保证垂直，垂直度偏差需符合对应场景的规范要求。所有线路不得外挂，全部穿入立杆内。所有线路、管道、接电、绿化等的修复由中标人自行解决，采购人不承担任何费用。</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除电源地线正常连接外，整个前端设备通过立杆完成接地：采用规格为4cm的角钢打入地下2米以上，再与立杆做可靠连接，接地电阻不得大于10欧姆。</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若部分线路需要架空敷设，架空高度不得低于6米；特殊地段需按照现场特殊要求执行。架空线路必须搭配架空钢丝绳布设，通过挂钩将线缆悬挂于空中。</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完工后，中标人需结合实际实施情况整理准备最终施工图纸，包括点位图、布线图等；同时梳理汇总全套项目资料，涵盖施工记录、施工图纸、网络IP清单、设备清单、项目自检报告、项目相关技术资料、系统技术说明书、使用说明书、维护手册以及项目实施总结等。</w:t>
      </w:r>
      <w:r/>
    </w:p>
    <w:p>
      <w:pPr>
        <w:ind w:firstLine="422"/>
        <w:spacing w:line="360" w:lineRule="auto"/>
        <w:rPr>
          <w:rFonts w:hint="default" w:ascii="宋体" w:hAnsi="宋体" w:cs="宋体"/>
          <w:b/>
          <w:bCs/>
          <w:sz w:val="21"/>
          <w:szCs w:val="21"/>
          <w:highlight w:val="none"/>
          <w:lang w:val="en-US" w:eastAsia="en-US"/>
        </w:rPr>
        <w:outlineLvl w:val="3"/>
      </w:pPr>
      <w:r>
        <w:rPr>
          <w:rFonts w:hint="eastAsia" w:ascii="宋体" w:hAnsi="宋体" w:cs="宋体"/>
          <w:b/>
          <w:bCs/>
          <w:sz w:val="21"/>
          <w:szCs w:val="21"/>
          <w:highlight w:val="none"/>
          <w:lang w:val="en-US" w:eastAsia="zh-CN"/>
        </w:rPr>
        <w:t xml:space="preserve">2.13 </w:t>
      </w:r>
      <w:r>
        <w:rPr>
          <w:rFonts w:hint="default" w:ascii="宋体" w:hAnsi="宋体" w:cs="宋体"/>
          <w:b/>
          <w:bCs/>
          <w:sz w:val="21"/>
          <w:szCs w:val="21"/>
          <w:highlight w:val="none"/>
          <w:lang w:val="en-US" w:eastAsia="en-US"/>
        </w:rPr>
        <w:t xml:space="preserve">售后服务</w:t>
      </w:r>
      <w:r>
        <w:rPr>
          <w:rFonts w:hint="default" w:ascii="宋体" w:hAnsi="宋体" w:cs="宋体"/>
          <w:b/>
          <w:bCs/>
          <w:sz w:val="21"/>
          <w:szCs w:val="21"/>
          <w:highlight w:val="none"/>
          <w:lang w:val="en-US" w:eastAsia="zh-CN"/>
        </w:rPr>
        <w:t xml:space="preserve">要</w:t>
      </w:r>
      <w:r>
        <w:rPr>
          <w:rFonts w:hint="default" w:ascii="宋体" w:hAnsi="宋体" w:cs="宋体"/>
          <w:b/>
          <w:bCs/>
          <w:sz w:val="21"/>
          <w:szCs w:val="21"/>
          <w:highlight w:val="none"/>
          <w:lang w:val="en-US" w:eastAsia="en-US"/>
        </w:rPr>
        <w:t xml:space="preserve">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项目整体免费质保期应不少于2年。质保期内提供7×24小时热线支持；非汛期发生故障要求2小时内响应，24小时内修复；汛期等特殊时期发生故障要求30分钟内响应，2小时内抵达现场处置。</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要求每季度开展一次全覆盖巡检并提交巡检报告；汛期、重大检查期间提供专人值守保障；</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投标人应对其提供的货物提供现场专业技术咨询、安装、调试、初验、终验和试运行保障服务（提供安装、测试所用的测试设备、工具等）。</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投标人须具有专业维护能力，具备售后服务人员，具备相关专业维修工具、设备等。提供全方位、有效而及时的售后服务和技术支持。</w:t>
      </w:r>
      <w:r/>
    </w:p>
    <w:p>
      <w:pPr>
        <w:ind w:firstLine="422"/>
        <w:spacing w:line="360" w:lineRule="auto"/>
        <w:rPr>
          <w:rFonts w:hint="default"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2.14、</w:t>
      </w:r>
      <w:r>
        <w:rPr>
          <w:rFonts w:hint="default" w:ascii="宋体" w:hAnsi="宋体" w:cs="宋体"/>
          <w:b/>
          <w:bCs/>
          <w:sz w:val="21"/>
          <w:szCs w:val="21"/>
          <w:highlight w:val="none"/>
          <w:lang w:val="en-US" w:eastAsia="zh-CN"/>
        </w:rPr>
        <w:t xml:space="preserve">进度计划要求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项目整体工期</w:t>
      </w:r>
      <w:r>
        <w:rPr>
          <w:rFonts w:hint="eastAsia" w:ascii="宋体" w:hAnsi="宋体" w:cs="宋体"/>
          <w:color w:val="000000"/>
          <w:sz w:val="21"/>
          <w:szCs w:val="21"/>
          <w:highlight w:val="none"/>
          <w:lang w:val="en-US" w:eastAsia="zh-CN"/>
        </w:rPr>
        <w:t xml:space="preserve">40天</w:t>
      </w:r>
      <w:r>
        <w:rPr>
          <w:rFonts w:hint="default" w:ascii="宋体" w:hAnsi="宋体" w:eastAsia="宋体" w:cs="宋体"/>
          <w:color w:val="000000"/>
          <w:sz w:val="21"/>
          <w:szCs w:val="21"/>
          <w:highlight w:val="none"/>
          <w:lang w:val="en-US" w:eastAsia="zh-CN"/>
        </w:rPr>
        <w:t xml:space="preserve">，中标人需明确整体施工阶段划分，设置关键里程碑节点，制定总进度控制计划，配套工期偏差预警与纠偏措施，提交科学合理的项目施工进度计划；结合施工工序制定材料、设备的采购、运输、进场验收全流程计划，明确各批次物料到场时间，匹配施工节奏，制定供货保障与应急补货方案，避免停工待料；按分部分项工程细化施工顺序、作业内容与时间节点，明确工序搭接、平行作业及交叉施工逻辑，采用合理施工组织方式，嵌入质量、安全检查节点，保障施工有序推进。</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cs="宋体"/>
          <w:b/>
          <w:bCs/>
          <w:color w:val="auto"/>
          <w:sz w:val="21"/>
          <w:szCs w:val="21"/>
          <w:highlight w:val="none"/>
          <w:lang w:val="en-US" w:eastAsia="zh-CN" w:bidi="ar-SA"/>
        </w:rPr>
        <w:t xml:space="preserve">三</w:t>
      </w:r>
      <w:r>
        <w:rPr>
          <w:rFonts w:hint="eastAsia" w:ascii="Times New Roman" w:hAnsi="Times New Roman" w:eastAsia="宋体" w:cs="宋体"/>
          <w:b/>
          <w:bCs/>
          <w:color w:val="auto"/>
          <w:sz w:val="21"/>
          <w:szCs w:val="21"/>
          <w:highlight w:val="none"/>
          <w:lang w:val="en-US" w:eastAsia="zh-CN" w:bidi="ar-SA"/>
        </w:rPr>
        <w:t xml:space="preserve">、</w:t>
      </w:r>
      <w:r>
        <w:rPr>
          <w:rFonts w:hint="eastAsia" w:ascii="Times New Roman" w:hAnsi="Times New Roman" w:eastAsia="宋体" w:cs="宋体"/>
          <w:b/>
          <w:bCs/>
          <w:color w:val="auto"/>
          <w:sz w:val="21"/>
          <w:szCs w:val="21"/>
          <w:highlight w:val="none"/>
        </w:rPr>
        <w:t xml:space="preserve">商务要求</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1、质保期：</w:t>
      </w:r>
      <w:r>
        <w:rPr>
          <w:rFonts w:hint="eastAsia" w:ascii="Times New Roman" w:hAnsi="Times New Roman" w:eastAsia="宋体" w:cstheme="minorEastAsia"/>
          <w:b w:val="0"/>
          <w:bCs/>
          <w:i/>
          <w:iCs/>
          <w:color w:val="auto"/>
          <w:sz w:val="21"/>
          <w:szCs w:val="21"/>
          <w:highlight w:val="none"/>
          <w:u w:val="single"/>
          <w:lang w:eastAsia="zh-CN"/>
        </w:rPr>
        <w:t xml:space="preserve">无责质保，质量保证期不低于</w:t>
      </w:r>
      <w:r>
        <w:rPr>
          <w:rFonts w:hint="eastAsia" w:ascii="Times New Roman" w:hAnsi="Times New Roman" w:cstheme="minorEastAsia"/>
          <w:b w:val="0"/>
          <w:bCs/>
          <w:i/>
          <w:iCs/>
          <w:color w:val="auto"/>
          <w:sz w:val="21"/>
          <w:szCs w:val="21"/>
          <w:highlight w:val="none"/>
          <w:u w:val="single"/>
          <w:lang w:val="en-US" w:eastAsia="zh-CN"/>
        </w:rPr>
        <w:t xml:space="preserve">2</w:t>
      </w:r>
      <w:r>
        <w:rPr>
          <w:rFonts w:hint="eastAsia" w:ascii="Times New Roman" w:hAnsi="Times New Roman" w:eastAsia="宋体" w:cstheme="minorEastAsia"/>
          <w:b w:val="0"/>
          <w:bCs/>
          <w:i/>
          <w:iCs/>
          <w:color w:val="auto"/>
          <w:sz w:val="21"/>
          <w:szCs w:val="21"/>
          <w:highlight w:val="none"/>
          <w:u w:val="single"/>
          <w:lang w:eastAsia="zh-CN"/>
        </w:rPr>
        <w:t xml:space="preserve">年，自验收合格之日</w:t>
      </w:r>
      <w:r>
        <w:rPr>
          <w:rFonts w:hint="eastAsia" w:ascii="Times New Roman" w:hAnsi="Times New Roman" w:eastAsia="宋体" w:cstheme="minorEastAsia"/>
          <w:b w:val="0"/>
          <w:bCs/>
          <w:i/>
          <w:iCs/>
          <w:color w:val="auto"/>
          <w:sz w:val="21"/>
          <w:szCs w:val="21"/>
          <w:highlight w:val="none"/>
          <w:u w:val="single"/>
          <w:lang w:eastAsia="zh-CN"/>
        </w:rPr>
        <w:t xml:space="preserve">起计算，质保期内</w:t>
      </w:r>
      <w:r>
        <w:rPr>
          <w:rFonts w:hint="eastAsia" w:ascii="Times New Roman" w:hAnsi="Times New Roman" w:cstheme="minorEastAsia"/>
          <w:b w:val="0"/>
          <w:bCs/>
          <w:i/>
          <w:iCs/>
          <w:color w:val="auto"/>
          <w:sz w:val="21"/>
          <w:szCs w:val="21"/>
          <w:highlight w:val="none"/>
          <w:u w:val="single"/>
          <w:lang w:val="en-US" w:eastAsia="zh-CN"/>
        </w:rPr>
        <w:t xml:space="preserve">货物</w:t>
      </w:r>
      <w:r>
        <w:rPr>
          <w:rFonts w:hint="eastAsia" w:ascii="Times New Roman" w:hAnsi="Times New Roman" w:eastAsia="宋体" w:cstheme="minorEastAsia"/>
          <w:b w:val="0"/>
          <w:bCs/>
          <w:i/>
          <w:iCs/>
          <w:color w:val="auto"/>
          <w:sz w:val="21"/>
          <w:szCs w:val="21"/>
          <w:highlight w:val="none"/>
          <w:u w:val="single"/>
          <w:lang w:eastAsia="zh-CN"/>
        </w:rPr>
        <w:t xml:space="preserve">损坏无条件更换。</w:t>
      </w:r>
      <w:r>
        <w:rPr>
          <w:rFonts w:hint="eastAsia" w:ascii="Times New Roman" w:hAnsi="Times New Roman" w:eastAsia="宋体" w:cstheme="minorEastAsia"/>
          <w:b/>
          <w:bCs w:val="0"/>
          <w:i/>
          <w:iCs/>
          <w:color w:val="auto"/>
          <w:sz w:val="21"/>
          <w:szCs w:val="21"/>
          <w:highlight w:val="none"/>
          <w:u w:val="single"/>
          <w:lang w:eastAsia="zh-CN"/>
        </w:rPr>
        <w:t xml:space="preserve">（提供承诺函</w:t>
      </w:r>
      <w:r>
        <w:rPr>
          <w:rFonts w:hint="eastAsia" w:ascii="Times New Roman" w:hAnsi="Times New Roman" w:cstheme="minorEastAsia"/>
          <w:b/>
          <w:bCs w:val="0"/>
          <w:i/>
          <w:iCs/>
          <w:color w:val="auto"/>
          <w:sz w:val="21"/>
          <w:szCs w:val="21"/>
          <w:highlight w:val="none"/>
          <w:u w:val="single"/>
          <w:lang w:val="en-US" w:eastAsia="zh-CN"/>
        </w:rPr>
        <w:t xml:space="preserve">加盖投标单位电子公章</w:t>
      </w:r>
      <w:r>
        <w:rPr>
          <w:rFonts w:hint="eastAsia" w:ascii="Times New Roman" w:hAnsi="Times New Roman" w:eastAsia="宋体" w:cstheme="minorEastAsia"/>
          <w:b/>
          <w:bCs w:val="0"/>
          <w:i/>
          <w:iCs/>
          <w:color w:val="auto"/>
          <w:sz w:val="21"/>
          <w:szCs w:val="21"/>
          <w:highlight w:val="none"/>
          <w:u w:val="single"/>
          <w:lang w:eastAsia="zh-CN"/>
        </w:rPr>
        <w:t xml:space="preserve">，原件扫描上传）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5、售后服务承诺包括但不限于以下内容：</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（1）在保修期内，如有损坏或质量不合格者，中标人应及时给予修复和更换，其修理和更换应免费。正常修理周期和修理期间需提供免费测试。</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（2）在保修期期满前一个月，中标人必须指派专业人员上门检测仪器，确保仪器的指标符合验收标准，如有问题应作为保修内容给予免费处理。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（3）在保修期外，中标人为仪器提供终身维修服务，维修问题出现时，按技术参数服务要求相应条款处理。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（4）在保修期内，如果原厂方鉴定设备因为人为损坏，厂方须出具具有法定权威性第三方检测证明，否则一律视为保修范围内容处理。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（6）终身提供免费的应用咨询及技术帮助。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7、中标人须按照采购人需求，免费配送安装至采购人指定地点，并免费提供安装调试服务，中标人需提供全套技术资料、操作手册、简易操作规程（塑封）、维修手册，同时提供对采购人的设备应用培训服务。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8 、中标人在接到采购人通知后，需根据采购人要求及现场具体情况，拟定产品进场方案报采购人，征得采购人同意后方可安排产品进场。</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9、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10、中标人免费对采购人技术人员进行操作、保养、维修等方面的培训，并且提供免费的技术咨询服务。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11、</w:t>
      </w:r>
      <w:r>
        <w:rPr>
          <w:rFonts w:hint="eastAsia" w:ascii="Times New Roman" w:hAnsi="Times New Roman" w:eastAsia="宋体" w:cstheme="minorEastAsia"/>
          <w:b w:val="0"/>
          <w:bCs/>
          <w:i w:val="0"/>
          <w:iCs w:val="0"/>
          <w:color w:val="auto"/>
          <w:sz w:val="21"/>
          <w:szCs w:val="21"/>
          <w:highlight w:val="none"/>
          <w:u w:val="single"/>
          <w:lang w:eastAsia="zh-CN"/>
        </w:rPr>
        <w:t xml:space="preserve">在接到采购人故障报修后，提供 7×24 小时技术服务，故障报修后2小时内响应，城区范围内4小时内到场处置，偏远点位8小时内到场处置</w:t>
      </w:r>
      <w:r>
        <w:rPr>
          <w:rFonts w:hint="eastAsia" w:ascii="Times New Roman" w:hAnsi="Times New Roman" w:eastAsia="宋体" w:cstheme="minorEastAsia"/>
          <w:b w:val="0"/>
          <w:bCs/>
          <w:i w:val="0"/>
          <w:iCs w:val="0"/>
          <w:color w:val="auto"/>
          <w:sz w:val="21"/>
          <w:szCs w:val="21"/>
          <w:highlight w:val="none"/>
          <w:u w:val="none"/>
          <w:lang w:eastAsia="zh-CN"/>
        </w:rPr>
        <w:t xml:space="preserve">，若因为中标人维修不及时，给采购人造成影响的，采购人有权追究其法律责任。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13、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（1）投标人负责保管、看护进场的设备及附配件；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（2）投标人负责设备、安装设备（工具）等提供适当的保护、包装或覆盖等处理，以免受损；</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（3）投标人安装调试人员对邻近设备等造成损坏，应由投标人负责修复及承担一切费用；</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（4）无论安装调试期间或保修过程中，中标人负责及时清理垃圾；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（5）投标人承担安装调试期间安装场所的安全以及设备和安装调试人员的安全责任；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（6）供货、安装时间要求：</w:t>
      </w:r>
      <w:r>
        <w:rPr>
          <w:rFonts w:hint="eastAsia" w:ascii="Times New Roman" w:hAnsi="Times New Roman" w:eastAsia="宋体" w:cstheme="minorEastAsia"/>
          <w:b w:val="0"/>
          <w:bCs/>
          <w:i/>
          <w:iCs/>
          <w:color w:val="auto"/>
          <w:sz w:val="21"/>
          <w:szCs w:val="21"/>
          <w:highlight w:val="none"/>
          <w:u w:val="single"/>
          <w:lang w:eastAsia="zh-CN"/>
        </w:rPr>
        <w:t xml:space="preserve">合同签订之日起40</w:t>
      </w:r>
      <w:r>
        <w:rPr>
          <w:rFonts w:hint="eastAsia" w:ascii="Times New Roman" w:hAnsi="Times New Roman" w:cstheme="minorEastAsia"/>
          <w:b w:val="0"/>
          <w:bCs/>
          <w:i/>
          <w:iCs/>
          <w:color w:val="auto"/>
          <w:sz w:val="21"/>
          <w:szCs w:val="21"/>
          <w:highlight w:val="none"/>
          <w:u w:val="single"/>
          <w:lang w:val="en-US" w:eastAsia="zh-CN"/>
        </w:rPr>
        <w:t xml:space="preserve">日历天</w:t>
      </w:r>
      <w:r>
        <w:rPr>
          <w:rFonts w:hint="eastAsia" w:ascii="Times New Roman" w:hAnsi="Times New Roman" w:eastAsia="宋体" w:cstheme="minorEastAsia"/>
          <w:b w:val="0"/>
          <w:bCs/>
          <w:i/>
          <w:iCs/>
          <w:color w:val="auto"/>
          <w:sz w:val="21"/>
          <w:szCs w:val="21"/>
          <w:highlight w:val="none"/>
          <w:u w:val="single"/>
          <w:lang w:eastAsia="zh-CN"/>
        </w:rPr>
        <w:t xml:space="preserve">内（除不可抗力、非乙方原因）全部供货及安装完毕，并完成全部验收、文档整理工作</w:t>
      </w:r>
      <w:r>
        <w:rPr>
          <w:rFonts w:hint="eastAsia" w:ascii="Times New Roman" w:hAnsi="Times New Roman" w:eastAsia="宋体" w:cstheme="minorEastAsia"/>
          <w:b/>
          <w:bCs w:val="0"/>
          <w:i/>
          <w:iCs/>
          <w:color w:val="auto"/>
          <w:sz w:val="21"/>
          <w:szCs w:val="21"/>
          <w:highlight w:val="none"/>
          <w:u w:val="single"/>
          <w:lang w:eastAsia="zh-CN"/>
        </w:rPr>
        <w:t xml:space="preserve">（提供承诺函加盖投标单位电子公章，原件扫描上传）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14、设备安装调试完成后，中标人需提供设备质保书、保修证明等书面资料，并报请有关部门进行检测验收</w:t>
      </w:r>
      <w:r>
        <w:rPr>
          <w:rFonts w:hint="eastAsia" w:ascii="Times New Roman" w:hAnsi="Times New Roman" w:eastAsia="宋体"/>
          <w:b w:val="0"/>
          <w:bCs/>
          <w:color w:val="auto"/>
          <w:highlight w:val="none"/>
        </w:rPr>
        <w:t xml:space="preserve">。</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cstheme="minorEastAsia"/>
          <w:b/>
          <w:color w:val="auto"/>
          <w:sz w:val="21"/>
          <w:szCs w:val="21"/>
          <w:highlight w:val="none"/>
          <w:lang w:val="en-US" w:eastAsia="zh-CN"/>
        </w:rPr>
        <w:t xml:space="preserve">四</w:t>
      </w:r>
      <w:r>
        <w:rPr>
          <w:rFonts w:hint="eastAsia" w:ascii="Times New Roman" w:hAnsi="Times New Roman" w:eastAsia="宋体" w:cstheme="minorEastAsia"/>
          <w:b/>
          <w:color w:val="auto"/>
          <w:sz w:val="21"/>
          <w:szCs w:val="21"/>
          <w:highlight w:val="none"/>
          <w:lang w:eastAsia="zh-CN"/>
        </w:rPr>
        <w:t xml:space="preserve">、</w:t>
      </w:r>
      <w:r>
        <w:rPr>
          <w:rFonts w:hint="eastAsia" w:ascii="Times New Roman" w:hAnsi="Times New Roman"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bookmarkEnd w:id="81"/>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r>
      <w:r/>
    </w:p>
    <w:p>
      <w:pPr>
        <w:pStyle w:val="930"/>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681"/>
        <w:pageBreakBefore w:val="0"/>
        <w:spacing w:line="360" w:lineRule="auto"/>
        <w:rPr>
          <w:rFonts w:ascii="Times New Roman" w:hAnsi="Times New Roman" w:eastAsia="宋体"/>
          <w:color w:val="auto"/>
          <w:highlight w:val="none"/>
        </w:rPr>
      </w:pPr>
      <w:r/>
      <w:bookmarkStart w:id="83" w:name="_Toc10862"/>
      <w:r/>
      <w:bookmarkStart w:id="84" w:name="_Toc821"/>
      <w:r/>
      <w:bookmarkStart w:id="85" w:name="_Toc14859"/>
      <w:r/>
      <w:bookmarkStart w:id="86" w:name="_Toc6620"/>
      <w:r/>
      <w:bookmarkStart w:id="87" w:name="_Toc9033"/>
      <w:r/>
      <w:bookmarkStart w:id="88" w:name="_Toc19571"/>
      <w:r>
        <w:rPr>
          <w:rFonts w:hint="eastAsia" w:ascii="Times New Roman" w:hAnsi="Times New Roman" w:eastAsia="宋体"/>
          <w:color w:val="auto"/>
          <w:highlight w:val="none"/>
        </w:rPr>
        <w:t xml:space="preserve">第五章 评标方法及评标标准</w:t>
      </w:r>
      <w:bookmarkEnd w:id="82"/>
      <w:r/>
      <w:bookmarkEnd w:id="83"/>
      <w:r/>
      <w:bookmarkEnd w:id="84"/>
      <w:r/>
      <w:bookmarkEnd w:id="85"/>
      <w:r/>
      <w:bookmarkEnd w:id="86"/>
      <w:r/>
      <w:bookmarkEnd w:id="87"/>
      <w:r/>
      <w:bookmarkEnd w:id="88"/>
      <w:r/>
      <w:r/>
    </w:p>
    <w:p>
      <w:pPr>
        <w:pStyle w:val="741"/>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41"/>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89" w:name="_Toc449016388"/>
      <w:r/>
      <w:bookmarkStart w:id="90" w:name="_Toc449017024"/>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89"/>
      <w:r/>
      <w:bookmarkEnd w:id="90"/>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41"/>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74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74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74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4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74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74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74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74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color w:val="auto"/>
          <w:sz w:val="21"/>
          <w:szCs w:val="21"/>
          <w:highlight w:val="none"/>
        </w:rPr>
        <w:t xml:space="preserve">三、评标标准</w:t>
      </w:r>
      <w:r/>
    </w:p>
    <w:tbl>
      <w:tblPr>
        <w:tblStyle w:val="691"/>
        <w:tblpPr w:horzAnchor="page" w:tblpX="2050" w:vertAnchor="text" w:tblpY="513" w:leftFromText="180" w:topFromText="0" w:rightFromText="180" w:bottomFromText="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413"/>
        <w:gridCol w:w="922"/>
        <w:gridCol w:w="6185"/>
      </w:tblGrid>
      <w:tr>
        <w:trPr>
          <w:jc w:val="center"/>
          <w:trHeight w:val="423"/>
          <w:tblHeader/>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gridSpan w:val="2"/>
            <w:shd w:val="clear" w:color="auto" w:fill="ffffff"/>
            <w:tcMar>
              <w:left w:w="108" w:type="dxa"/>
              <w:right w:w="108" w:type="dxa"/>
            </w:tcMar>
            <w:tcW w:w="4170"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 分 标 准</w:t>
            </w:r>
            <w:r/>
          </w:p>
        </w:tc>
      </w:tr>
      <w:tr>
        <w:trPr>
          <w:jc w:val="center"/>
          <w:trHeight w:val="1320"/>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报价</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（30分）</w:t>
            </w:r>
            <w:r/>
          </w:p>
        </w:tc>
        <w:tc>
          <w:tcPr>
            <w:gridSpan w:val="2"/>
            <w:shd w:val="clear" w:color="auto" w:fill="ffffff"/>
            <w:tcMar>
              <w:left w:w="108" w:type="dxa"/>
              <w:right w:w="108" w:type="dxa"/>
            </w:tcMar>
            <w:tcW w:w="4170"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采用低价优先法计算，即以满足扬州市城区河道水利运维安防监控完善项目招标文件要求的最低投标报价为基准价，其价格分为满分30分。</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其他投标人的价格分统一按照下列公式计算：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投标报价得分=（评标基准价/投标报价）×30（小数点保留两位）。</w:t>
            </w:r>
            <w:r/>
          </w:p>
        </w:tc>
      </w:tr>
      <w:tr>
        <w:trPr>
          <w:jc w:val="center"/>
          <w:trHeight w:val="1320"/>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技术参数</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18</w:t>
            </w:r>
            <w:r>
              <w:rPr>
                <w:rFonts w:hint="eastAsia" w:ascii="宋体" w:hAnsi="宋体" w:eastAsia="宋体" w:cs="宋体"/>
                <w:b/>
                <w:color w:val="auto"/>
                <w:szCs w:val="21"/>
                <w:highlight w:val="none"/>
              </w:rPr>
              <w:t xml:space="preserve">分）</w:t>
            </w:r>
            <w:r/>
          </w:p>
        </w:tc>
        <w:tc>
          <w:tcPr>
            <w:gridSpan w:val="2"/>
            <w:shd w:val="clear" w:color="auto" w:fill="ffffff"/>
            <w:tcMar>
              <w:left w:w="108" w:type="dxa"/>
              <w:right w:w="108" w:type="dxa"/>
            </w:tcMar>
            <w:tcW w:w="4170" w:type="pct"/>
            <w:vAlign w:val="center"/>
            <w:textDirection w:val="lrTb"/>
            <w:noWrap w:val="false"/>
          </w:tcPr>
          <w:p>
            <w:pPr>
              <w:spacing w:line="440" w:lineRule="exact"/>
              <w:rPr>
                <w:rFonts w:hint="default" w:ascii="等线" w:hAnsi="等线" w:eastAsia="等线" w:cs="Times New Roman"/>
                <w:color w:val="auto"/>
                <w:szCs w:val="22"/>
                <w:highlight w:val="none"/>
              </w:rPr>
            </w:pPr>
            <w:r>
              <w:rPr>
                <w:rFonts w:hint="eastAsia" w:ascii="宋体" w:hAnsi="宋体" w:eastAsia="宋体" w:cs="宋体"/>
                <w:bCs/>
                <w:color w:val="auto"/>
                <w:szCs w:val="21"/>
                <w:highlight w:val="none"/>
              </w:rPr>
              <w:t xml:space="preserve">除招标文件规定不得偏离的技术参数外，带★项为重要技术参数、性能指标，每符合或优于一项得</w:t>
            </w:r>
            <w:r>
              <w:rPr>
                <w:rFonts w:hint="eastAsia" w:ascii="宋体" w:hAnsi="宋体" w:cs="宋体"/>
                <w:bCs/>
                <w:color w:val="auto"/>
                <w:szCs w:val="21"/>
                <w:highlight w:val="none"/>
                <w:lang w:val="en-US" w:eastAsia="zh-CN"/>
              </w:rPr>
              <w:t xml:space="preserve">1.5</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18</w:t>
            </w:r>
            <w:r>
              <w:rPr>
                <w:rFonts w:hint="eastAsia" w:ascii="宋体" w:hAnsi="宋体" w:eastAsia="宋体" w:cs="宋体"/>
                <w:bCs/>
                <w:color w:val="auto"/>
                <w:szCs w:val="21"/>
                <w:highlight w:val="none"/>
              </w:rPr>
              <w:t xml:space="preserve">分。</w:t>
            </w:r>
            <w:r>
              <w:rPr>
                <w:rFonts w:hint="eastAsia" w:ascii="宋体" w:hAnsi="宋体" w:eastAsia="宋体" w:cs="宋体"/>
                <w:b/>
                <w:bCs/>
                <w:color w:val="auto"/>
                <w:szCs w:val="21"/>
                <w:highlight w:val="none"/>
              </w:rPr>
              <w:t xml:space="preserve">（注：带★的技术参数需提供对应证明材料。未提供</w:t>
            </w:r>
            <w:r>
              <w:rPr>
                <w:rFonts w:hint="eastAsia" w:ascii="宋体" w:hAnsi="宋体" w:cs="宋体"/>
                <w:b/>
                <w:bCs/>
                <w:color w:val="auto"/>
                <w:szCs w:val="21"/>
                <w:highlight w:val="none"/>
                <w:lang w:val="en-US" w:eastAsia="zh-CN"/>
              </w:rPr>
              <w:t xml:space="preserve">或者内容不全</w:t>
            </w:r>
            <w:r>
              <w:rPr>
                <w:rFonts w:hint="eastAsia" w:ascii="宋体" w:hAnsi="宋体" w:eastAsia="宋体" w:cs="宋体"/>
                <w:b/>
                <w:bCs/>
                <w:color w:val="auto"/>
                <w:szCs w:val="21"/>
                <w:highlight w:val="none"/>
              </w:rPr>
              <w:t xml:space="preserve">视为负偏离。）</w:t>
            </w:r>
            <w:r/>
          </w:p>
        </w:tc>
      </w:tr>
      <w:tr>
        <w:trPr>
          <w:jc w:val="center"/>
          <w:trHeight w:val="349"/>
        </w:trPr>
        <w:tc>
          <w:tcPr>
            <w:shd w:val="clear" w:color="auto" w:fill="ffffff"/>
            <w:tcBorders>
              <w:top w:val="single" w:color="auto" w:sz="4" w:space="0"/>
              <w:left w:val="single" w:color="auto" w:sz="4" w:space="0"/>
              <w:right w:val="single" w:color="auto" w:sz="4" w:space="0"/>
            </w:tcBorders>
            <w:tcMar>
              <w:left w:w="108" w:type="dxa"/>
              <w:right w:w="108" w:type="dxa"/>
            </w:tcMar>
            <w:tcW w:w="829" w:type="pct"/>
            <w:vAlign w:val="center"/>
            <w:vMerge w:val="restart"/>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服务方案</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w:t>
            </w:r>
            <w:r>
              <w:rPr>
                <w:rFonts w:hint="eastAsia" w:ascii="宋体" w:hAnsi="宋体" w:cs="宋体"/>
                <w:b/>
                <w:color w:val="auto"/>
                <w:szCs w:val="21"/>
                <w:highlight w:val="none"/>
                <w:lang w:val="en-US" w:eastAsia="zh-CN"/>
              </w:rPr>
              <w:t xml:space="preserve">42</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施工方案</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具体详实的布点设计方案。包括但不限于提供新建点位布点位置水印相机拍摄的现场实际照片（水印必须包含点位名称和经纬度）、关键工序流程图、项目实施路线和计划、核心硬件与配套系统选型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内容详细全面，点位水印图全的、可行性、技术先进性强，完全符合项目需求，得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内容较为详细全面，点位水印图不全、可行性、技术先进性较强，较符合项目需求，得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内容简单，有点位水印图、具有一定可行性，基本符合项目需求，得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内容不够全面，无点位水印图、不具有可行性，不能够符合项目需求，得0分；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平台对接方案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numPr>
                <w:ilvl w:val="0"/>
                <w:numId w:val="0"/>
              </w:num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投标人根据本项目实际情况，提供新建监控与平台系统对接、新建点位与已建视频点位系统联调、测试试验等的完整方案。</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技术方案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投标人应根据采购文件要求提供具体详实的技术方案。包括但不限于监控系统技术架构、网络架构、功能介绍等内容。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未提供相关内容不得分。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安全方案</w:t>
            </w: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eastAsia="zh-CN"/>
              </w:rPr>
              <w:t xml:space="preserve">投标人提供完整合理的监控系统安全性方案，安全性方案中需包含业务数据安全、业务及应用安全、网络安全、设备及软件系统安全等内容。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内容较为详细全面，可行性、技术先进性较强，较符合项目需求，得4分；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内容简单，具有一定可行性，基本符合项目需求，得2分；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质量保障方案</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投标人提供完整合理的项目质量保障方案，需包含质量管理制度、安全保证措施、技术保证措施、文明施工措施等内容。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1635"/>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right w:val="single" w:color="auto" w:sz="4" w:space="0"/>
            </w:tcBorders>
            <w:tcMar>
              <w:left w:w="108" w:type="dxa"/>
              <w:right w:w="108" w:type="dxa"/>
            </w:tcMar>
            <w:tcW w:w="541"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售后服务方案</w:t>
            </w: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投标人提供完整合理的项目售后服务方案，需包含售后服务能力保障、主动巡检制度、应急响应、重大活动保障等内容。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内容较为详细全面，可行性、技术先进性较强，较符合项目需求，得4分；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内容简单，具有一定可行性，基本符合项目需求，得2分；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90"/>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施工进度方案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numPr>
                <w:ilvl w:val="0"/>
                <w:numId w:val="0"/>
              </w:numPr>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投标人提供完整合理的项目施工进度计划方案，需包含项目进度安排、供货计划安排、施工进度安排、人员配置计划等。</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方案科学、严密、合理，描述详细且具有针对性的得6分；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方案基本合理、描述一般、存在可操作性的得3分；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具有明显不合理项、描述欠缺、存在实施难度的得1分；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未提供不得分。</w:t>
            </w:r>
            <w:r/>
          </w:p>
        </w:tc>
      </w:tr>
      <w:tr>
        <w:trPr>
          <w:jc w:val="center"/>
          <w:trHeight w:val="846"/>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829" w:type="pct"/>
            <w:vAlign w:val="center"/>
            <w:textDirection w:val="lrTb"/>
            <w:noWrap w:val="false"/>
          </w:tcPr>
          <w:p>
            <w:pPr>
              <w:jc w:val="center"/>
              <w:spacing w:line="360" w:lineRule="auto"/>
              <w:tabs>
                <w:tab w:val="left" w:pos="900" w:leader="none"/>
              </w:tabs>
              <w:rPr>
                <w:rStyle w:val="991"/>
                <w:rFonts w:hint="eastAsia" w:ascii="宋体" w:hAnsi="宋体" w:eastAsia="宋体" w:cs="宋体"/>
                <w:b/>
                <w:bCs/>
                <w:color w:val="auto"/>
                <w:szCs w:val="21"/>
                <w:highlight w:val="none"/>
              </w:rPr>
            </w:pPr>
            <w:r>
              <w:rPr>
                <w:rStyle w:val="991"/>
                <w:rFonts w:hint="eastAsia" w:ascii="宋体" w:hAnsi="宋体" w:eastAsia="宋体" w:cs="宋体"/>
                <w:b/>
                <w:bCs/>
                <w:color w:val="auto"/>
                <w:szCs w:val="21"/>
                <w:highlight w:val="none"/>
              </w:rPr>
              <w:t xml:space="preserve">企业实力</w:t>
            </w:r>
            <w:r/>
          </w:p>
          <w:p>
            <w:pPr>
              <w:jc w:val="center"/>
              <w:spacing w:line="360" w:lineRule="auto"/>
              <w:tabs>
                <w:tab w:val="left" w:pos="900" w:leader="none"/>
              </w:tabs>
              <w:rPr>
                <w:rStyle w:val="991"/>
                <w:rFonts w:hint="eastAsia" w:ascii="宋体" w:hAnsi="宋体" w:eastAsia="宋体" w:cs="宋体"/>
                <w:color w:val="auto"/>
                <w:szCs w:val="21"/>
                <w:highlight w:val="none"/>
              </w:rPr>
            </w:pPr>
            <w:r>
              <w:rPr>
                <w:rStyle w:val="991"/>
                <w:rFonts w:hint="eastAsia" w:ascii="宋体" w:hAnsi="宋体" w:eastAsia="宋体" w:cs="宋体"/>
                <w:b/>
                <w:bCs/>
                <w:color w:val="auto"/>
                <w:szCs w:val="21"/>
                <w:highlight w:val="none"/>
              </w:rPr>
              <w:t xml:space="preserve">（6分）</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4170" w:type="pct"/>
            <w:vAlign w:val="center"/>
            <w:textDirection w:val="lrTb"/>
            <w:noWrap w:val="false"/>
          </w:tcPr>
          <w:p>
            <w:pPr>
              <w:pStyle w:val="697"/>
              <w:ind w:left="0"/>
              <w:spacing w:line="360" w:lineRule="auto"/>
              <w:rPr>
                <w:rFonts w:hint="eastAsia" w:ascii="宋体" w:hAnsi="宋体" w:eastAsia="宋体" w:cs="宋体"/>
                <w:b/>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投标人自2023年1月1日以来（以合同书签订时间为准）承担过</w:t>
            </w:r>
            <w:r>
              <w:rPr>
                <w:rFonts w:hint="eastAsia" w:ascii="宋体" w:hAnsi="宋体" w:eastAsia="宋体" w:cs="宋体"/>
                <w:i w:val="0"/>
                <w:iCs w:val="0"/>
                <w:color w:val="auto"/>
                <w:sz w:val="21"/>
                <w:szCs w:val="21"/>
                <w:highlight w:val="none"/>
                <w:u w:val="none"/>
                <w:lang w:val="en-US" w:eastAsia="zh-CN" w:bidi="ar"/>
              </w:rPr>
              <w:t xml:space="preserve">类似项目业绩，</w:t>
            </w:r>
            <w:r>
              <w:rPr>
                <w:rFonts w:hint="eastAsia" w:ascii="宋体" w:hAnsi="宋体" w:eastAsia="宋体" w:cs="宋体"/>
                <w:color w:val="auto"/>
                <w:sz w:val="21"/>
                <w:szCs w:val="21"/>
                <w:highlight w:val="none"/>
              </w:rPr>
              <w:t xml:space="preserve">每提供一份合同得2分，最高6分。</w:t>
            </w:r>
            <w:r>
              <w:rPr>
                <w:rFonts w:hint="eastAsia" w:ascii="宋体" w:hAnsi="宋体" w:eastAsia="宋体" w:cs="宋体"/>
                <w:b/>
                <w:color w:val="auto"/>
                <w:sz w:val="21"/>
                <w:szCs w:val="21"/>
                <w:highlight w:val="none"/>
              </w:rPr>
              <w:t xml:space="preserve">（须提供合同原件扫描上传加盖投标人电子公章，不提供不得分。）</w:t>
            </w:r>
            <w:r/>
          </w:p>
        </w:tc>
      </w:tr>
      <w:tr>
        <w:trPr>
          <w:jc w:val="center"/>
          <w:trHeight w:val="860"/>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829" w:type="pct"/>
            <w:vAlign w:val="center"/>
            <w:textDirection w:val="lrTb"/>
            <w:noWrap w:val="false"/>
          </w:tcPr>
          <w:p>
            <w:pPr>
              <w:pStyle w:val="932"/>
              <w:jc w:val="center"/>
              <w:spacing w:before="0" w:after="0" w:line="360" w:lineRule="auto"/>
              <w:rPr>
                <w:rFonts w:hint="eastAsia" w:ascii="宋体" w:hAnsi="宋体" w:eastAsia="宋体" w:cs="宋体"/>
                <w:bCs w:val="0"/>
                <w:color w:val="auto"/>
                <w:sz w:val="21"/>
                <w:szCs w:val="21"/>
                <w:highlight w:val="none"/>
                <w:lang w:val="zh-CN"/>
              </w:rPr>
            </w:pPr>
            <w:r>
              <w:rPr>
                <w:rFonts w:hint="eastAsia" w:ascii="宋体" w:hAnsi="宋体" w:eastAsia="宋体" w:cs="宋体"/>
                <w:bCs w:val="0"/>
                <w:color w:val="auto"/>
                <w:sz w:val="21"/>
                <w:szCs w:val="21"/>
                <w:highlight w:val="none"/>
                <w:lang w:val="zh-CN"/>
              </w:rPr>
              <w:t xml:space="preserve">人员配备</w:t>
            </w:r>
            <w:r/>
          </w:p>
          <w:p>
            <w:pPr>
              <w:pStyle w:val="932"/>
              <w:jc w:val="center"/>
              <w:spacing w:before="0" w:after="0" w:line="360" w:lineRule="auto"/>
              <w:rPr>
                <w:rFonts w:hint="eastAsia" w:ascii="宋体" w:hAnsi="宋体" w:eastAsia="宋体" w:cs="宋体"/>
                <w:color w:val="auto"/>
                <w:sz w:val="21"/>
                <w:szCs w:val="21"/>
                <w:highlight w:val="none"/>
                <w:lang w:val="zh-CN"/>
              </w:rPr>
            </w:pPr>
            <w:r>
              <w:rPr>
                <w:rFonts w:hint="eastAsia" w:ascii="宋体" w:hAnsi="宋体" w:eastAsia="宋体" w:cs="宋体"/>
                <w:bCs w:val="0"/>
                <w:color w:val="auto"/>
                <w:sz w:val="21"/>
                <w:szCs w:val="21"/>
                <w:highlight w:val="none"/>
                <w:lang w:val="zh-CN"/>
              </w:rPr>
              <w:t xml:space="preserve">（</w:t>
            </w:r>
            <w:r>
              <w:rPr>
                <w:rFonts w:hint="eastAsia" w:ascii="宋体" w:hAnsi="宋体" w:cs="宋体"/>
                <w:bCs w:val="0"/>
                <w:color w:val="auto"/>
                <w:sz w:val="21"/>
                <w:szCs w:val="21"/>
                <w:highlight w:val="none"/>
                <w:lang w:val="en-US" w:eastAsia="zh-CN"/>
              </w:rPr>
              <w:t xml:space="preserve">4</w:t>
            </w:r>
            <w:r>
              <w:rPr>
                <w:rFonts w:hint="eastAsia" w:ascii="宋体" w:hAnsi="宋体" w:eastAsia="宋体" w:cs="宋体"/>
                <w:bCs w:val="0"/>
                <w:color w:val="auto"/>
                <w:sz w:val="21"/>
                <w:szCs w:val="21"/>
                <w:highlight w:val="none"/>
              </w:rPr>
              <w:t xml:space="preserve">分</w:t>
            </w:r>
            <w:r>
              <w:rPr>
                <w:rFonts w:hint="eastAsia" w:ascii="宋体" w:hAnsi="宋体" w:eastAsia="宋体" w:cs="宋体"/>
                <w:bCs w:val="0"/>
                <w:color w:val="auto"/>
                <w:sz w:val="21"/>
                <w:szCs w:val="21"/>
                <w:highlight w:val="none"/>
                <w:lang w:val="zh-CN"/>
              </w:rPr>
              <w:t xml:space="preserve">）</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4170" w:type="pct"/>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1、项目负责人具有信息化、自动化、通信、电子、机电或计算机类专业5年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以职称发证日期为准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及以上中级职称或高级职称的得2分。满足以上其中一个专业并附职称证书扫描件，否则不得分。</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2、除项目负责人外，项目组其他成员具有信息化、自动化、通信、电子、机电或计算机类专业中级及以上职称的工程师证书，有一个得1分，最高得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注：同一人具有多个证书的只按一个证书计分。以上需提供人员证书扫描件或复印件及提交响应文件截止时间前近一年内任意一个月</w:t>
            </w:r>
            <w:r>
              <w:rPr>
                <w:rFonts w:hint="eastAsia" w:ascii="宋体" w:hAnsi="宋体" w:eastAsia="宋体" w:cs="宋体"/>
                <w:b/>
                <w:bCs/>
                <w:color w:val="auto"/>
                <w:szCs w:val="21"/>
                <w:highlight w:val="none"/>
                <w:lang w:val="en-US" w:eastAsia="zh-CN"/>
              </w:rPr>
              <w:t xml:space="preserve">投标单位为其缴纳的</w:t>
            </w:r>
            <w:r>
              <w:rPr>
                <w:rFonts w:hint="eastAsia" w:ascii="宋体" w:hAnsi="宋体" w:eastAsia="宋体" w:cs="宋体"/>
                <w:b/>
                <w:bCs/>
                <w:color w:val="auto"/>
                <w:szCs w:val="21"/>
                <w:highlight w:val="none"/>
              </w:rPr>
              <w:t xml:space="preserve">社保</w:t>
            </w:r>
            <w:r>
              <w:rPr>
                <w:rFonts w:hint="eastAsia" w:ascii="宋体" w:hAnsi="宋体" w:eastAsia="宋体" w:cs="宋体"/>
                <w:b/>
                <w:bCs/>
                <w:color w:val="auto"/>
                <w:szCs w:val="21"/>
                <w:highlight w:val="none"/>
                <w:lang w:val="en-US" w:eastAsia="zh-CN"/>
              </w:rPr>
              <w:t xml:space="preserve">原件扫描</w:t>
            </w:r>
            <w:r>
              <w:rPr>
                <w:rFonts w:hint="eastAsia" w:ascii="宋体" w:hAnsi="宋体" w:eastAsia="宋体" w:cs="宋体"/>
                <w:b/>
                <w:bCs/>
                <w:color w:val="auto"/>
                <w:szCs w:val="21"/>
                <w:highlight w:val="none"/>
              </w:rPr>
              <w:t xml:space="preserve">并加盖</w:t>
            </w:r>
            <w:r>
              <w:rPr>
                <w:rFonts w:hint="eastAsia" w:ascii="宋体" w:hAnsi="宋体" w:eastAsia="宋体" w:cs="宋体"/>
                <w:b/>
                <w:bCs/>
                <w:color w:val="auto"/>
                <w:szCs w:val="21"/>
                <w:highlight w:val="none"/>
                <w:lang w:val="en-US" w:eastAsia="zh-CN"/>
              </w:rPr>
              <w:t xml:space="preserve">投标单位</w:t>
            </w:r>
            <w:r>
              <w:rPr>
                <w:rFonts w:hint="eastAsia" w:ascii="宋体" w:hAnsi="宋体" w:eastAsia="宋体" w:cs="宋体"/>
                <w:b/>
                <w:bCs/>
                <w:color w:val="auto"/>
                <w:szCs w:val="21"/>
                <w:highlight w:val="none"/>
              </w:rPr>
              <w:t xml:space="preserve">公章，否则不得分。</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w:t>
      </w:r>
      <w:r>
        <w:rPr>
          <w:rFonts w:hint="eastAsia" w:ascii="Times New Roman" w:hAnsi="Times New Roman" w:eastAsia="宋体" w:cs="宋体"/>
          <w:b w:val="0"/>
          <w:bCs w:val="0"/>
          <w:color w:val="auto"/>
          <w:szCs w:val="21"/>
          <w:highlight w:val="none"/>
        </w:rPr>
        <w:t xml:space="preserve">，即投标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681"/>
        <w:pageBreakBefore w:val="0"/>
        <w:spacing w:line="360" w:lineRule="auto"/>
        <w:rPr>
          <w:rFonts w:ascii="Times New Roman" w:hAnsi="Times New Roman" w:eastAsia="宋体"/>
          <w:color w:val="auto"/>
          <w:highlight w:val="none"/>
        </w:rPr>
      </w:pPr>
      <w:r/>
      <w:bookmarkStart w:id="91" w:name="_Toc3287"/>
      <w:r/>
      <w:bookmarkStart w:id="92" w:name="_Toc24650"/>
      <w:r/>
      <w:bookmarkStart w:id="93" w:name="_Toc20299"/>
      <w:r/>
      <w:bookmarkStart w:id="94" w:name="_Toc27845"/>
      <w:r/>
      <w:bookmarkStart w:id="95" w:name="_Toc1523"/>
      <w:r/>
      <w:bookmarkStart w:id="96" w:name="_Toc8012"/>
      <w:r>
        <w:rPr>
          <w:rFonts w:hint="eastAsia" w:ascii="Times New Roman" w:hAnsi="Times New Roman" w:eastAsia="宋体"/>
          <w:color w:val="auto"/>
          <w:highlight w:val="none"/>
        </w:rPr>
        <w:t xml:space="preserve">第六章 投标文件格式</w:t>
      </w:r>
      <w:bookmarkEnd w:id="91"/>
      <w:r/>
      <w:bookmarkEnd w:id="92"/>
      <w:r/>
      <w:bookmarkEnd w:id="93"/>
      <w:r/>
      <w:bookmarkEnd w:id="94"/>
      <w:r/>
      <w:bookmarkEnd w:id="95"/>
      <w:r/>
      <w:bookmarkEnd w:id="96"/>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697"/>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682"/>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97" w:name="_Toc5792"/>
      <w:r/>
      <w:bookmarkStart w:id="98" w:name="_Toc1107"/>
      <w:r/>
      <w:bookmarkStart w:id="99" w:name="_Toc7268"/>
      <w:r/>
      <w:bookmarkStart w:id="100" w:name="_Toc20369"/>
      <w:r/>
      <w:bookmarkStart w:id="101" w:name="_Toc26156"/>
      <w:r>
        <w:rPr>
          <w:rFonts w:hint="eastAsia" w:ascii="Times New Roman" w:hAnsi="Times New Roman" w:eastAsia="宋体" w:cs="宋体"/>
          <w:b/>
          <w:bCs/>
          <w:color w:val="auto"/>
          <w:sz w:val="32"/>
          <w:highlight w:val="none"/>
        </w:rPr>
        <w:t xml:space="preserve">一、</w:t>
      </w:r>
      <w:bookmarkEnd w:id="97"/>
      <w:r/>
      <w:bookmarkEnd w:id="98"/>
      <w:r/>
      <w:bookmarkEnd w:id="99"/>
      <w:r/>
      <w:bookmarkEnd w:id="100"/>
      <w:r/>
      <w:bookmarkEnd w:id="101"/>
      <w:r>
        <w:rPr>
          <w:rFonts w:hint="eastAsia" w:ascii="Times New Roman" w:hAnsi="Times New Roman" w:eastAsia="宋体"/>
          <w:b/>
          <w:bCs/>
          <w:color w:val="auto"/>
          <w:sz w:val="32"/>
          <w:highlight w:val="none"/>
        </w:rPr>
        <w:t xml:space="preserve">资格审查响应对照表</w:t>
      </w:r>
      <w:r/>
    </w:p>
    <w:tbl>
      <w:tblPr>
        <w:tblStyle w:val="69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8</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若法定代表人参加投标的，须提供本人身份证复印件(原件扫描上传)；若授权代表参加的，须提供《法人授权书》原件和授权代表身份证（原件扫描上传），并且提供提交投标文件截止时间前一年内至少一个月投标单位为法定代表人或者授权代表缴纳社会保障资金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9</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根据《政府采购促进中小企业发展管理办法》的规定，本项目对小型和微型企业提供的货物、服务给予20%的价格扣除优惠。  </w:t>
            </w:r>
            <w:r/>
          </w:p>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注：本项目中小企业划分标准按照《关于印发中小企业划型标准规定的通知》（工信部联企业[2011]300号）中第（二）条：工业。</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cs="Times New Roman"/>
                <w:i w:val="0"/>
                <w:iCs w:val="0"/>
                <w:color w:val="auto"/>
                <w:sz w:val="21"/>
                <w:szCs w:val="21"/>
                <w:highlight w:val="none"/>
                <w:u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41"/>
        <w:ind w:firstLine="0"/>
        <w:pageBreakBefore w:val="0"/>
        <w:spacing w:before="0" w:after="0"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致：</w:t>
      </w:r>
      <w:r>
        <w:rPr>
          <w:rFonts w:hint="eastAsia" w:ascii="Times New Roman" w:hAnsi="Times New Roman" w:cs="宋体"/>
          <w:color w:val="auto"/>
          <w:sz w:val="21"/>
          <w:highlight w:val="none"/>
          <w:lang w:eastAsia="zh-CN"/>
        </w:rPr>
        <w:t xml:space="preserve">江苏苏中兴工程造价咨询有限公司</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4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4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4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4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41"/>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4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60"/>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60"/>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60"/>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60"/>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法定代表人身份证复印件</w:t>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被授权人身份证复印件</w:t>
      </w:r>
      <w:r/>
    </w:p>
    <w:p>
      <w:pPr>
        <w:jc w:val="center"/>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被授权人提供提交</w:t>
      </w:r>
      <w:r>
        <w:rPr>
          <w:rFonts w:hint="eastAsia" w:ascii="Times New Roman" w:hAnsi="Times New Roman" w:cs="宋体"/>
          <w:bCs/>
          <w:i/>
          <w:iCs/>
          <w:color w:val="auto"/>
          <w:highlight w:val="none"/>
          <w:u w:val="single"/>
          <w:lang w:val="en-US" w:eastAsia="zh-CN"/>
        </w:rPr>
        <w:t xml:space="preserve">投标</w:t>
      </w:r>
      <w:r>
        <w:rPr>
          <w:rFonts w:hint="eastAsia" w:ascii="Times New Roman" w:hAnsi="Times New Roman" w:eastAsia="宋体" w:cs="宋体"/>
          <w:bCs/>
          <w:i/>
          <w:iCs/>
          <w:color w:val="auto"/>
          <w:highlight w:val="none"/>
          <w:u w:val="single"/>
        </w:rPr>
        <w:t xml:space="preserve">文件截止时间前一年内至少一个月依法缴纳社会保障资金的证明材料</w:t>
      </w:r>
      <w:r/>
    </w:p>
    <w:p>
      <w:pPr>
        <w:jc w:val="center"/>
        <w:pageBreakBefore w:val="0"/>
        <w:spacing w:line="360" w:lineRule="auto"/>
        <w:rPr>
          <w:rFonts w:hint="eastAsia" w:ascii="Times New Roman" w:hAnsi="Times New Roman" w:eastAsia="宋体" w:cs="宋体"/>
          <w:b/>
          <w:bCs/>
          <w:i/>
          <w:iCs/>
          <w:color w:val="auto"/>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auto"/>
          <w:highlight w:val="none"/>
          <w:u w:val="singl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51"/>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56"/>
          <w:rFonts w:hint="eastAsia" w:ascii="Times New Roman" w:hAnsi="Times New Roman" w:eastAsia="宋体" w:cs="宋体"/>
          <w:color w:val="auto"/>
          <w:sz w:val="21"/>
          <w:szCs w:val="21"/>
          <w:highlight w:val="none"/>
        </w:rPr>
        <w:t xml:space="preserve">中小微企业划型标准如下：</w:t>
      </w:r>
      <w:r/>
    </w:p>
    <w:tbl>
      <w:tblPr>
        <w:tblStyle w:val="69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1"/>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51"/>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51"/>
              <w:jc w:val="center"/>
              <w:pageBreakBefore w:val="0"/>
              <w:spacing w:line="360" w:lineRule="auto"/>
              <w:widowControl/>
              <w:rPr>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X&lt;10</w:t>
            </w:r>
            <w:r/>
          </w:p>
        </w:tc>
      </w:tr>
    </w:tbl>
    <w:p>
      <w:pPr>
        <w:pStyle w:val="951"/>
        <w:ind w:firstLine="810"/>
        <w:pageBreakBefore w:val="0"/>
        <w:spacing w:line="360" w:lineRule="auto"/>
        <w:widowControl/>
        <w:rPr>
          <w:rStyle w:val="956"/>
          <w:rFonts w:hint="eastAsia" w:ascii="Times New Roman" w:hAnsi="Times New Roman" w:eastAsia="宋体" w:cs="宋体"/>
          <w:color w:val="auto"/>
          <w:sz w:val="21"/>
          <w:szCs w:val="21"/>
          <w:highlight w:val="none"/>
        </w:rPr>
      </w:pPr>
      <w:r>
        <w:rPr>
          <w:rStyle w:val="956"/>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31"/>
        <w:pageBreakBefore w:val="0"/>
        <w:spacing w:before="0" w:after="0" w:line="360" w:lineRule="auto"/>
        <w:rPr>
          <w:rFonts w:hint="eastAsia" w:ascii="Times New Roman" w:hAnsi="Times New Roman" w:eastAsia="宋体" w:cs="宋体"/>
          <w:color w:val="auto"/>
          <w:sz w:val="32"/>
          <w:highlight w:val="none"/>
        </w:rPr>
      </w:pPr>
      <w:r/>
      <w:bookmarkStart w:id="102" w:name="_Toc20616"/>
      <w:r/>
      <w:bookmarkStart w:id="103" w:name="_Toc3074"/>
      <w:r/>
      <w:bookmarkStart w:id="104" w:name="_Toc14959"/>
      <w:r/>
      <w:bookmarkStart w:id="105" w:name="_Toc9345"/>
      <w:r/>
      <w:bookmarkStart w:id="106" w:name="_Toc16911"/>
      <w:r>
        <w:rPr>
          <w:rFonts w:hint="eastAsia" w:ascii="Times New Roman" w:hAnsi="Times New Roman" w:eastAsia="宋体" w:cs="宋体"/>
          <w:color w:val="auto"/>
          <w:sz w:val="32"/>
          <w:highlight w:val="none"/>
        </w:rPr>
        <w:t xml:space="preserve">二、符合性审查响应对照表</w:t>
      </w:r>
      <w:bookmarkEnd w:id="102"/>
      <w:r/>
      <w:bookmarkEnd w:id="103"/>
      <w:r/>
      <w:bookmarkEnd w:id="104"/>
      <w:r/>
      <w:bookmarkEnd w:id="105"/>
      <w:r/>
      <w:bookmarkEnd w:id="106"/>
      <w:r/>
      <w:r/>
    </w:p>
    <w:tbl>
      <w:tblPr>
        <w:tblStyle w:val="6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ins w:id="1" w:author="刘洋" w:date="2026-09-24T02:34:11Z" oouserid="5474f34d1ff74755be7ce931149c21ca">
        <w:r>
          <w:rPr>
            <w:rFonts w:hint="eastAsia" w:ascii="Times New Roman" w:hAnsi="Times New Roman" w:eastAsia="宋体" w:cs="宋体"/>
            <w:b/>
            <w:bCs/>
            <w:color w:val="auto"/>
            <w:sz w:val="32"/>
            <w:szCs w:val="32"/>
            <w:highlight w:val="none"/>
          </w:rPr>
        </w:r>
      </w:ins>
      <w:r>
        <w:rPr>
          <w:rFonts w:hint="eastAsia" w:ascii="Times New Roman" w:hAnsi="Times New Roman" w:eastAsia="宋体" w:cs="宋体"/>
          <w:b/>
          <w:bCs/>
          <w:color w:val="auto"/>
          <w:sz w:val="32"/>
          <w:szCs w:val="32"/>
          <w:highlight w:val="none"/>
        </w:rP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ins w:id="2" w:author="刘洋" w:date="2026-09-24T02:34:11Z" oouserid="5474f34d1ff74755be7ce931149c21ca">
        <w:r>
          <w:rPr>
            <w:rFonts w:hint="eastAsia" w:ascii="Times New Roman" w:hAnsi="Times New Roman" w:eastAsia="宋体" w:cs="宋体"/>
            <w:b/>
            <w:bCs/>
            <w:color w:val="auto"/>
            <w:sz w:val="32"/>
            <w:szCs w:val="32"/>
            <w:highlight w:val="none"/>
          </w:rPr>
        </w:r>
      </w:ins>
      <w:r>
        <w:rPr>
          <w:rFonts w:hint="eastAsia" w:ascii="Times New Roman" w:hAnsi="Times New Roman" w:eastAsia="宋体" w:cs="宋体"/>
          <w:b/>
          <w:bCs/>
          <w:color w:val="auto"/>
          <w:sz w:val="32"/>
          <w:szCs w:val="32"/>
          <w:highlight w:val="none"/>
        </w:rP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31"/>
        <w:pageBreakBefore w:val="0"/>
        <w:spacing w:before="0" w:after="0" w:line="360" w:lineRule="auto"/>
        <w:rPr>
          <w:rFonts w:hint="eastAsia" w:ascii="Times New Roman" w:hAnsi="Times New Roman" w:eastAsia="宋体" w:cs="宋体"/>
          <w:color w:val="auto"/>
          <w:sz w:val="32"/>
          <w:highlight w:val="none"/>
        </w:rPr>
      </w:pPr>
      <w:r/>
      <w:bookmarkStart w:id="107" w:name="_Toc14100"/>
      <w:r/>
      <w:bookmarkStart w:id="108" w:name="_Toc23068"/>
      <w:r/>
      <w:bookmarkStart w:id="109" w:name="_Toc23420"/>
      <w:r/>
      <w:bookmarkStart w:id="110" w:name="_Toc6752"/>
      <w:r/>
      <w:bookmarkStart w:id="111" w:name="_Toc29406"/>
      <w:r>
        <w:rPr>
          <w:rFonts w:hint="eastAsia" w:ascii="Times New Roman" w:hAnsi="Times New Roman" w:eastAsia="宋体" w:cs="宋体"/>
          <w:color w:val="auto"/>
          <w:sz w:val="32"/>
          <w:highlight w:val="none"/>
        </w:rPr>
        <w:t xml:space="preserve">三、非实质性响应对照表</w:t>
      </w:r>
      <w:bookmarkEnd w:id="107"/>
      <w:r/>
      <w:bookmarkEnd w:id="108"/>
      <w:r/>
      <w:bookmarkEnd w:id="109"/>
      <w:r/>
      <w:bookmarkEnd w:id="110"/>
      <w:r/>
      <w:bookmarkEnd w:id="111"/>
      <w:r/>
      <w:r/>
    </w:p>
    <w:tbl>
      <w:tblPr>
        <w:tblStyle w:val="6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17"/>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1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24"/>
          <w:rFonts w:hint="eastAsia" w:ascii="Times New Roman" w:hAnsi="Times New Roman" w:eastAsia="宋体" w:cs="方正魏碑_GBK"/>
          <w:i w:val="0"/>
          <w:color w:val="auto"/>
          <w:highlight w:val="none"/>
          <w:u w:val="single"/>
          <w:shd w:val="clear" w:color="auto" w:fill="ffffff"/>
        </w:rPr>
        <w:t xml:space="preserve">（产品名称1）</w:t>
      </w:r>
      <w:r>
        <w:rPr>
          <w:rStyle w:val="724"/>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24"/>
          <w:rFonts w:hint="eastAsia" w:ascii="Times New Roman" w:hAnsi="Times New Roman" w:eastAsia="宋体" w:cs="方正魏碑_GBK"/>
          <w:i w:val="0"/>
          <w:color w:val="auto"/>
          <w:highlight w:val="none"/>
          <w:u w:val="single"/>
          <w:shd w:val="clear" w:color="auto" w:fill="ffffff"/>
        </w:rPr>
        <w:t xml:space="preserve">（厂名）</w:t>
      </w:r>
      <w:r>
        <w:rPr>
          <w:rStyle w:val="724"/>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24"/>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24"/>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24"/>
          <w:rFonts w:hint="eastAsia" w:ascii="Times New Roman" w:hAnsi="Times New Roman" w:eastAsia="宋体" w:cs="方正魏碑_GBK"/>
          <w:i w:val="0"/>
          <w:color w:val="auto"/>
          <w:highlight w:val="none"/>
          <w:u w:val="single"/>
          <w:shd w:val="clear" w:color="auto" w:fill="ffffff"/>
        </w:rPr>
        <w:t xml:space="preserve">（规定</w:t>
      </w:r>
      <w:r>
        <w:rPr>
          <w:rStyle w:val="724"/>
          <w:rFonts w:ascii="Times New Roman" w:hAnsi="Times New Roman" w:eastAsia="宋体" w:cs="方正魏碑_GBK"/>
          <w:i w:val="0"/>
          <w:color w:val="auto"/>
          <w:highlight w:val="none"/>
          <w:u w:val="single"/>
          <w:shd w:val="clear" w:color="auto" w:fill="ffffff"/>
        </w:rPr>
        <w:t xml:space="preserve">比例</w:t>
      </w:r>
      <w:r>
        <w:rPr>
          <w:rStyle w:val="724"/>
          <w:rFonts w:hint="eastAsia" w:ascii="Times New Roman" w:hAnsi="Times New Roman" w:eastAsia="宋体" w:cs="方正魏碑_GBK"/>
          <w:i w:val="0"/>
          <w:color w:val="auto"/>
          <w:highlight w:val="none"/>
          <w:u w:val="single"/>
          <w:shd w:val="clear" w:color="auto" w:fill="ffffff"/>
        </w:rPr>
        <w:t xml:space="preserve">）</w:t>
      </w:r>
      <w:r>
        <w:rPr>
          <w:rStyle w:val="724"/>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2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24"/>
          <w:rFonts w:hint="eastAsia" w:ascii="Times New Roman" w:hAnsi="Times New Roman" w:eastAsia="宋体" w:cs="方正魏碑_GBK"/>
          <w:i w:val="0"/>
          <w:color w:val="auto"/>
          <w:highlight w:val="none"/>
          <w:u w:val="single"/>
          <w:shd w:val="clear" w:color="auto" w:fill="ffffff"/>
        </w:rPr>
        <w:t xml:space="preserve">（关键</w:t>
      </w:r>
      <w:r>
        <w:rPr>
          <w:rStyle w:val="724"/>
          <w:rFonts w:ascii="Times New Roman" w:hAnsi="Times New Roman" w:eastAsia="宋体" w:cs="方正魏碑_GBK"/>
          <w:i w:val="0"/>
          <w:color w:val="auto"/>
          <w:highlight w:val="none"/>
          <w:u w:val="single"/>
          <w:shd w:val="clear" w:color="auto" w:fill="ffffff"/>
        </w:rPr>
        <w:t xml:space="preserve">组件</w:t>
      </w:r>
      <w:r>
        <w:rPr>
          <w:rStyle w:val="724"/>
          <w:rFonts w:hint="eastAsia" w:ascii="Times New Roman" w:hAnsi="Times New Roman" w:eastAsia="宋体" w:cs="方正魏碑_GBK"/>
          <w:i w:val="0"/>
          <w:color w:val="auto"/>
          <w:highlight w:val="none"/>
          <w:u w:val="single"/>
          <w:shd w:val="clear" w:color="auto" w:fill="ffffff"/>
        </w:rPr>
        <w:t xml:space="preserve">）</w:t>
      </w:r>
      <w:r>
        <w:rPr>
          <w:rStyle w:val="724"/>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2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24"/>
          <w:rFonts w:hint="eastAsia" w:ascii="Times New Roman" w:hAnsi="Times New Roman" w:eastAsia="宋体" w:cs="方正魏碑_GBK"/>
          <w:i w:val="0"/>
          <w:color w:val="auto"/>
          <w:highlight w:val="none"/>
          <w:u w:val="single"/>
          <w:shd w:val="clear" w:color="auto" w:fill="ffffff"/>
        </w:rPr>
        <w:t xml:space="preserve">（关键工序）</w:t>
      </w:r>
      <w:r>
        <w:rPr>
          <w:rStyle w:val="724"/>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1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2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24"/>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24"/>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2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24"/>
          <w:rFonts w:hint="eastAsia" w:ascii="Times New Roman" w:hAnsi="Times New Roman" w:eastAsia="宋体" w:cs="方正魏碑_GBK"/>
          <w:i w:val="0"/>
          <w:color w:val="auto"/>
          <w:highlight w:val="none"/>
          <w:u w:val="single"/>
          <w:shd w:val="clear" w:color="auto" w:fill="ffffff"/>
        </w:rPr>
        <w:t xml:space="preserve">（规定</w:t>
      </w:r>
      <w:r>
        <w:rPr>
          <w:rStyle w:val="724"/>
          <w:rFonts w:ascii="Times New Roman" w:hAnsi="Times New Roman" w:eastAsia="宋体" w:cs="方正魏碑_GBK"/>
          <w:i w:val="0"/>
          <w:color w:val="auto"/>
          <w:highlight w:val="none"/>
          <w:u w:val="single"/>
          <w:shd w:val="clear" w:color="auto" w:fill="ffffff"/>
        </w:rPr>
        <w:t xml:space="preserve">比例</w:t>
      </w:r>
      <w:r>
        <w:rPr>
          <w:rStyle w:val="724"/>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2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24"/>
          <w:rFonts w:hint="eastAsia" w:ascii="Times New Roman" w:hAnsi="Times New Roman" w:eastAsia="宋体" w:cs="方正魏碑_GBK"/>
          <w:i w:val="0"/>
          <w:color w:val="auto"/>
          <w:highlight w:val="none"/>
          <w:u w:val="single"/>
          <w:shd w:val="clear" w:color="auto" w:fill="ffffff"/>
        </w:rPr>
        <w:t xml:space="preserve">（关键</w:t>
      </w:r>
      <w:r>
        <w:rPr>
          <w:rStyle w:val="724"/>
          <w:rFonts w:ascii="Times New Roman" w:hAnsi="Times New Roman" w:eastAsia="宋体" w:cs="方正魏碑_GBK"/>
          <w:i w:val="0"/>
          <w:color w:val="auto"/>
          <w:highlight w:val="none"/>
          <w:u w:val="single"/>
          <w:shd w:val="clear" w:color="auto" w:fill="ffffff"/>
        </w:rPr>
        <w:t xml:space="preserve">组件</w:t>
      </w:r>
      <w:r>
        <w:rPr>
          <w:rStyle w:val="724"/>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2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24"/>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1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1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17"/>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17"/>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17"/>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17"/>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1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1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1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1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17"/>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17"/>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112" w:name="_Toc19910"/>
      <w:r/>
      <w:bookmarkStart w:id="113" w:name="_Toc25382"/>
      <w:r>
        <w:rPr>
          <w:rFonts w:hint="eastAsia" w:ascii="Times New Roman" w:hAnsi="Times New Roman" w:eastAsia="宋体" w:cs="宋体"/>
          <w:b/>
          <w:bCs/>
          <w:color w:val="auto"/>
          <w:sz w:val="32"/>
          <w:szCs w:val="44"/>
          <w:highlight w:val="none"/>
        </w:rPr>
        <w:t xml:space="preserve">四、开标一览表</w:t>
      </w:r>
      <w:bookmarkEnd w:id="112"/>
      <w:r/>
      <w:bookmarkEnd w:id="113"/>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69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41"/>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41"/>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4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4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4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41"/>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4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38"/>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38"/>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114" w:name="_Toc17891"/>
      <w:r/>
      <w:bookmarkStart w:id="115" w:name="_Toc20323"/>
      <w:r>
        <w:rPr>
          <w:rFonts w:hint="eastAsia" w:ascii="Times New Roman" w:hAnsi="Times New Roman" w:eastAsia="宋体" w:cs="宋体"/>
          <w:b/>
          <w:bCs/>
          <w:color w:val="auto"/>
          <w:sz w:val="32"/>
          <w:szCs w:val="44"/>
          <w:highlight w:val="none"/>
        </w:rPr>
        <w:t xml:space="preserve">五、</w:t>
      </w:r>
      <w:bookmarkEnd w:id="114"/>
      <w:r/>
      <w:bookmarkEnd w:id="115"/>
      <w:r>
        <w:rPr>
          <w:rFonts w:hint="eastAsia" w:ascii="Times New Roman" w:hAnsi="Times New Roman" w:eastAsia="宋体" w:cs="宋体"/>
          <w:b/>
          <w:bCs/>
          <w:color w:val="auto"/>
          <w:sz w:val="32"/>
          <w:szCs w:val="44"/>
          <w:highlight w:val="none"/>
        </w:rPr>
        <w:t xml:space="preserve">投标产品配置及分项报价表</w:t>
      </w:r>
      <w:r/>
    </w:p>
    <w:tbl>
      <w:tblPr>
        <w:tblStyle w:val="69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974"/>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分部分项</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分项名称</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分项内容</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功能参数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单位</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数量</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投标全费用综合单价</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元</w:t>
            </w:r>
            <w:r>
              <w:rPr>
                <w:rFonts w:hint="eastAsia" w:ascii="Times New Roman" w:hAnsi="Times New Roman"/>
                <w:color w:val="auto"/>
                <w:szCs w:val="21"/>
                <w:highlight w:val="none"/>
                <w:lang w:eastAsia="zh-CN"/>
              </w:rPr>
              <w:t xml:space="preserve">）</w:t>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小计</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元</w:t>
            </w:r>
            <w:r>
              <w:rPr>
                <w:rFonts w:hint="eastAsia" w:ascii="Times New Roman" w:hAnsi="Times New Roman"/>
                <w:color w:val="auto"/>
                <w:szCs w:val="21"/>
                <w:highlight w:val="none"/>
                <w:lang w:eastAsia="zh-CN"/>
              </w:rPr>
              <w:t xml:space="preserve">）</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见附件</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见附件</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见附件</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见附件</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见附件</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 w:val="21"/>
                <w:szCs w:val="21"/>
                <w:highlight w:val="none"/>
                <w:lang w:val="en-US" w:eastAsia="zh-CN"/>
              </w:rPr>
              <w:t xml:space="preserve">见附件</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u w:val="singl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5</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6</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97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9"/>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9"/>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备注：</w:t>
      </w:r>
      <w:r/>
    </w:p>
    <w:p>
      <w:pPr>
        <w:pageBreakBefore w:val="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1.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pageBreakBefore w:val="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3.投标人需认真填写本报价表，报价表中功能参数如有与招标文件第四章、项目需求内容不一致的地方以招标文件第四章、项目需求内容为准。</w:t>
      </w:r>
      <w:r/>
    </w:p>
    <w:p>
      <w:pPr>
        <w:pageBreakBefore w:val="0"/>
        <w:spacing w:line="360" w:lineRule="auto"/>
        <w:rPr>
          <w:rFonts w:hint="eastAsia" w:ascii="Times New Roman" w:hAnsi="Times New Roman"/>
          <w:i/>
          <w:iCs/>
          <w:color w:val="auto"/>
          <w:szCs w:val="21"/>
          <w:highlight w:val="none"/>
          <w:u w:val="single"/>
        </w:rPr>
      </w:pPr>
      <w:r>
        <w:rPr>
          <w:rFonts w:hint="eastAsia" w:ascii="Times New Roman" w:hAnsi="Times New Roman"/>
          <w:color w:val="auto"/>
          <w:szCs w:val="21"/>
          <w:highlight w:val="none"/>
        </w:rPr>
        <w:t xml:space="preserve">4.</w:t>
      </w:r>
      <w:r>
        <w:rPr>
          <w:rFonts w:hint="eastAsia" w:ascii="Times New Roman" w:hAnsi="Times New Roman"/>
          <w:i/>
          <w:iCs/>
          <w:color w:val="auto"/>
          <w:szCs w:val="21"/>
          <w:highlight w:val="none"/>
          <w:u w:val="single"/>
        </w:rPr>
        <w:t xml:space="preserve">项目经办人可以根据项目实际需要对表格结构进行调整，但不得修改表中分项名称、分项内容、功能参数、单位、数量等核心内容。</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rPr>
        <w:br w:type="page" w:clear="all"/>
      </w:r>
      <w:r/>
    </w:p>
    <w:p>
      <w:pPr>
        <w:pStyle w:val="931"/>
        <w:pageBreakBefore w:val="0"/>
        <w:spacing w:before="0" w:after="0" w:line="360" w:lineRule="auto"/>
        <w:rPr>
          <w:rFonts w:hint="eastAsia" w:ascii="Times New Roman" w:hAnsi="Times New Roman" w:eastAsia="宋体" w:cs="宋体"/>
          <w:color w:val="auto"/>
          <w:sz w:val="32"/>
          <w:highlight w:val="none"/>
        </w:rPr>
      </w:pPr>
      <w:r/>
      <w:bookmarkStart w:id="116" w:name="_Toc32755"/>
      <w:r/>
      <w:bookmarkStart w:id="117" w:name="_Toc16517"/>
      <w:r/>
      <w:bookmarkStart w:id="118" w:name="_Toc5967"/>
      <w:r/>
      <w:bookmarkStart w:id="119" w:name="_Toc17996"/>
      <w:r/>
      <w:bookmarkStart w:id="120" w:name="_Toc9678"/>
      <w:r>
        <w:rPr>
          <w:rFonts w:hint="eastAsia" w:ascii="Times New Roman" w:hAnsi="Times New Roman" w:eastAsia="宋体" w:cs="宋体"/>
          <w:color w:val="auto"/>
          <w:sz w:val="32"/>
          <w:highlight w:val="none"/>
        </w:rPr>
        <w:t xml:space="preserve">六、技术参数响应及偏离表</w:t>
      </w:r>
      <w:bookmarkEnd w:id="116"/>
      <w:r/>
      <w:bookmarkEnd w:id="117"/>
      <w:r/>
      <w:bookmarkEnd w:id="118"/>
      <w:r/>
      <w:bookmarkEnd w:id="119"/>
      <w:r/>
      <w:bookmarkEnd w:id="120"/>
      <w:r/>
      <w:r/>
    </w:p>
    <w:tbl>
      <w:tblPr>
        <w:tblStyle w:val="691"/>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780"/>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121" w:name="_Hlt26955054"/>
      <w:r/>
      <w:bookmarkEnd w:id="121"/>
      <w:r/>
      <w:bookmarkStart w:id="122" w:name="_Toc32154"/>
      <w:r/>
      <w:bookmarkStart w:id="123" w:name="_Toc16820"/>
      <w:r>
        <w:rPr>
          <w:rFonts w:hint="eastAsia" w:ascii="Times New Roman" w:hAnsi="Times New Roman" w:eastAsia="宋体" w:cs="宋体"/>
          <w:b/>
          <w:bCs/>
          <w:color w:val="auto"/>
          <w:sz w:val="32"/>
          <w:szCs w:val="44"/>
          <w:highlight w:val="none"/>
        </w:rPr>
        <w:t xml:space="preserve">七、商务条款响应及偏离表</w:t>
      </w:r>
      <w:bookmarkEnd w:id="122"/>
      <w:r/>
      <w:bookmarkEnd w:id="123"/>
      <w:r/>
      <w:r/>
    </w:p>
    <w:tbl>
      <w:tblPr>
        <w:tblStyle w:val="69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24" w:name="_Hlt26955064"/>
            <w:r/>
            <w:bookmarkEnd w:id="124"/>
            <w:r/>
            <w:bookmarkStart w:id="125" w:name="_Hlt26671343"/>
            <w:r/>
            <w:bookmarkEnd w:id="125"/>
            <w:r/>
            <w:bookmarkStart w:id="126" w:name="_Hlt26671372"/>
            <w:r/>
            <w:bookmarkEnd w:id="126"/>
            <w:r/>
            <w:bookmarkStart w:id="127" w:name="_Hlt26609391"/>
            <w:r/>
            <w:bookmarkEnd w:id="127"/>
            <w:r/>
            <w:bookmarkStart w:id="128" w:name="_Hlt26782999"/>
            <w:r/>
            <w:bookmarkEnd w:id="128"/>
            <w:r/>
            <w:bookmarkStart w:id="129" w:name="_Hlt26955056"/>
            <w:r/>
            <w:bookmarkEnd w:id="129"/>
            <w:r/>
            <w:bookmarkStart w:id="130" w:name="_Hlt26580838"/>
            <w:r/>
            <w:bookmarkEnd w:id="130"/>
            <w:r/>
            <w:bookmarkStart w:id="131" w:name="_Hlt24879081"/>
            <w:r/>
            <w:bookmarkEnd w:id="131"/>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38"/>
        <w:ind w:firstLine="480"/>
        <w:pageBreakBefore w:val="0"/>
        <w:spacing w:line="360" w:lineRule="auto"/>
        <w:rPr>
          <w:rFonts w:hint="eastAsia" w:ascii="Times New Roman" w:hAnsi="Times New Roman" w:eastAsia="宋体" w:cs="宋体"/>
          <w:color w:val="auto"/>
          <w:sz w:val="24"/>
          <w:highlight w:val="none"/>
        </w:rPr>
      </w:pPr>
      <w:r/>
      <w:bookmarkStart w:id="132" w:name="_Hlt26609389"/>
      <w:r/>
      <w:bookmarkEnd w:id="132"/>
      <w:r/>
      <w:bookmarkStart w:id="133" w:name="_Hlt26955066"/>
      <w:r/>
      <w:bookmarkEnd w:id="133"/>
      <w:r/>
      <w:bookmarkStart w:id="134" w:name="_Hlt26671374"/>
      <w:r/>
      <w:bookmarkEnd w:id="134"/>
      <w:r/>
      <w:bookmarkStart w:id="135" w:name="_Toc462564146"/>
      <w:r/>
      <w:r/>
    </w:p>
    <w:p>
      <w:pPr>
        <w:pStyle w:val="938"/>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38"/>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38"/>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35"/>
      <w:r/>
      <w:bookmarkStart w:id="136" w:name="_格式2__法定代表人授权书"/>
      <w:r/>
      <w:bookmarkEnd w:id="136"/>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691"/>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ai" w:date="2026-09-03T14:59:21Z">
    <w:p w14:paraId="00000001" w14:textId="00000001">
      <w:pPr>
        <w:spacing w:line="240" w:after="0" w:lineRule="auto" w:before="0"/>
        <w:ind w:firstLine="0" w:left="0" w:right="0"/>
        <w:jc w:val="left"/>
      </w:pPr>
      <w:r>
        <w:rPr>
          <w:rFonts w:eastAsia="Arial" w:ascii="Arial" w:hAnsi="Arial" w:cs="Arial"/>
          <w:sz w:val="22"/>
        </w:rPr>
        <w:t xml:space="preserve">根据《关于推动解决政府采购异常低价问题的通知》采购人可以结合具体项目实际情况，提高上述第1项至第3项中启动异常低价投标（响应）审查的数值标准，但是最高不得超过65%。本项目是否需要提高数值？请采购人确认。</w:t>
      </w:r>
    </w:p>
  </w:comment>
  <w:comment w:id="1" w:author="sai" w:date="2026-09-07T10:20:59Z">
    <w:p w14:paraId="00000002" w14:textId="00000002">
      <w:pPr>
        <w:spacing w:line="240" w:after="0" w:lineRule="auto" w:before="0"/>
        <w:ind w:firstLine="0" w:left="0" w:right="0"/>
        <w:jc w:val="left"/>
      </w:pPr>
      <w:r>
        <w:rPr>
          <w:rFonts w:eastAsia="Arial" w:ascii="Arial" w:hAnsi="Arial" w:cs="Arial"/>
          <w:sz w:val="22"/>
        </w:rPr>
        <w:t xml:space="preserve"/>
      </w:r>
    </w:p>
  </w:comment>
  <w:comment w:id="2" w:author="sai" w:date="2026-09-03T14:30:38Z">
    <w:p w14:paraId="00000003" w14:textId="00000003">
      <w:pPr>
        <w:spacing w:line="240" w:after="0" w:lineRule="auto" w:before="0"/>
        <w:ind w:firstLine="0" w:left="0" w:right="0"/>
        <w:jc w:val="left"/>
      </w:pPr>
      <w:r>
        <w:rPr>
          <w:rFonts w:eastAsia="Arial" w:ascii="Arial" w:hAnsi="Arial" w:cs="Arial"/>
          <w:sz w:val="22"/>
        </w:rPr>
        <w:t xml:space="preserve">请采购人确认质保时间</w:t>
      </w:r>
    </w:p>
  </w:comment>
  <w:comment w:id="3" w:author="sai" w:date="2026-09-03T15:27:25Z">
    <w:p w14:paraId="00000004" w14:textId="00000004">
      <w:pPr>
        <w:spacing w:line="240" w:after="0" w:lineRule="auto" w:before="0"/>
        <w:ind w:firstLine="0" w:left="0" w:right="0"/>
        <w:jc w:val="left"/>
      </w:pPr>
      <w:r>
        <w:rPr>
          <w:rFonts w:eastAsia="Arial" w:ascii="Arial" w:hAnsi="Arial" w:cs="Arial"/>
          <w:sz w:val="22"/>
        </w:rPr>
        <w:t xml:space="preserve">请采购人核对项目参数，虽然单一参数并不违规，但是整体参数结合（比如400 万智能球机、多光谱蓝藻摄像机、AI 排污识别双镜头摄像机的全套参数传感器尺寸、焦距、光谱波段、光谱分辨率、北斗定位、雨刷、全景 + 特写双路输出等整套参数）可能会涉嫌指向某单一品牌，建议核对各个厂家是否有至少三家以上厂家能够全部满足。</w:t>
      </w:r>
    </w:p>
  </w:comment>
  <w:comment w:id="4" w:author="sai" w:date="2026-09-03T15:44:30Z">
    <w:p w14:paraId="00000005" w14:textId="00000005">
      <w:pPr>
        <w:spacing w:line="240" w:after="0" w:lineRule="auto" w:before="0"/>
        <w:ind w:firstLine="0" w:left="0" w:right="0"/>
        <w:jc w:val="left"/>
      </w:pPr>
      <w:r>
        <w:rPr>
          <w:rFonts w:eastAsia="Arial" w:ascii="Arial" w:hAnsi="Arial" w:cs="Arial"/>
          <w:sz w:val="22"/>
        </w:rPr>
        <w:t xml:space="preserve">请采购人确认合同付款方式</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Ex w15:paraId="00000003" w15:done="0"/>
  <w15:commentEx w15:paraId="00000004" w15:done="0"/>
  <w15:commentEx w15:paraId="0000000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08088A85"/>
  <w16cid:commentId w16cid:paraId="00000002" w16cid:durableId="389F947A"/>
  <w16cid:commentId w16cid:paraId="00000003" w16cid:durableId="5C8D0AC5"/>
  <w16cid:commentId w16cid:paraId="00000004" w16cid:durableId="468699E7"/>
  <w16cid:commentId w16cid:paraId="00000005" w16cid:durableId="2DB716E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eastAsia="宋体"/>
        <w:lang w:eastAsia="zh-CN"/>
      </w:rPr>
    </w:pPr>
    <w:r>
      <w:rPr>
        <w:rFonts w:hint="eastAsia"/>
        <w:lang w:eastAsia="zh-CN"/>
      </w:rPr>
      <w:t xml:space="preserve">JSZC-321000-SSZX-G2026-0007号</w:t>
    </w:r>
    <w:r>
      <w:rPr>
        <w:rFonts w:hint="eastAsia"/>
      </w:rPr>
      <w:t xml:space="preserve">                                 </w:t>
    </w:r>
    <w:r>
      <w:rPr>
        <w:rFonts w:hint="eastAsia"/>
        <w:lang w:eastAsia="zh-CN"/>
      </w:rPr>
      <w:t xml:space="preserve">江苏苏中兴工程造价咨询有限公司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eastAsia="宋体"/>
        <w:lang w:eastAsia="zh-CN"/>
      </w:rPr>
    </w:pPr>
    <w:r>
      <w:rPr>
        <w:rFonts w:hint="eastAsia"/>
        <w:lang w:eastAsia="zh-CN"/>
      </w:rPr>
      <w:t xml:space="preserve">JSZC-321000-SSZX-G2026-0007号</w:t>
    </w:r>
    <w:r>
      <w:tab/>
    </w:r>
    <w:r>
      <w:rPr>
        <w:rFonts w:hint="eastAsia"/>
      </w:rPr>
      <w:t xml:space="preserve">                                </w:t>
    </w:r>
    <w:r>
      <w:rPr>
        <w:rFonts w:hint="eastAsia"/>
        <w:lang w:eastAsia="zh-CN"/>
      </w:rPr>
      <w:t xml:space="preserve">江苏苏中兴工程造价咨询有限公司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bullet"/>
      <w:pStyle w:val="6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i">
    <w15:presenceInfo w15:providerId="WPS Office" w15:userId="13524045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widowControl w:val="off"/>
    </w:pPr>
    <w:rPr>
      <w:rFonts w:hint="default" w:ascii="Calibri" w:hAnsi="Calibri" w:eastAsia="宋体" w:cs="Times New Roman"/>
      <w:sz w:val="21"/>
      <w:szCs w:val="22"/>
      <w:lang w:val="en-US" w:eastAsia="zh-CN" w:bidi="ar-SA"/>
    </w:rPr>
  </w:style>
  <w:style w:type="paragraph" w:styleId="681">
    <w:name w:val="Heading 1"/>
    <w:basedOn w:val="680"/>
    <w:next w:val="680"/>
    <w:link w:val="782"/>
    <w:uiPriority w:val="9"/>
    <w:qFormat/>
    <w:pPr>
      <w:jc w:val="center"/>
      <w:keepLines/>
      <w:keepNext/>
      <w:spacing w:line="360" w:lineRule="auto"/>
      <w:outlineLvl w:val="0"/>
    </w:pPr>
    <w:rPr>
      <w:rFonts w:ascii="Arial" w:hAnsi="Arial" w:cs="Arial"/>
      <w:b/>
      <w:sz w:val="30"/>
      <w:szCs w:val="40"/>
    </w:rPr>
  </w:style>
  <w:style w:type="paragraph" w:styleId="682">
    <w:name w:val="Heading 2"/>
    <w:basedOn w:val="680"/>
    <w:next w:val="680"/>
    <w:link w:val="783"/>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84"/>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85"/>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86"/>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87"/>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88"/>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89"/>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90"/>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able of authorities"/>
    <w:basedOn w:val="680"/>
    <w:next w:val="680"/>
    <w:uiPriority w:val="0"/>
    <w:qFormat/>
    <w:pPr>
      <w:ind w:left="420"/>
    </w:pPr>
    <w:rPr>
      <w:rFonts w:ascii="Times New Roman" w:hAnsi="Times New Roman"/>
    </w:rPr>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qFormat/>
    <w:pPr>
      <w:spacing w:after="120"/>
    </w:pPr>
    <w:rPr>
      <w:szCs w:val="24"/>
    </w:rPr>
  </w:style>
  <w:style w:type="paragraph" w:styleId="697">
    <w:name w:val="Body Text Indent"/>
    <w:basedOn w:val="680"/>
    <w:next w:val="680"/>
    <w:uiPriority w:val="0"/>
    <w:qFormat/>
    <w:pPr>
      <w:ind w:left="420"/>
      <w:spacing w:after="120"/>
    </w:pPr>
    <w:rPr>
      <w:rFonts w:ascii="等线" w:hAnsi="等线" w:eastAsia="等线"/>
    </w:rPr>
  </w:style>
  <w:style w:type="paragraph" w:styleId="698">
    <w:name w:val="Block Text"/>
    <w:basedOn w:val="680"/>
    <w:uiPriority w:val="99"/>
    <w:unhideWhenUsed/>
    <w:qFormat/>
    <w:pPr>
      <w:ind w:left="1440" w:right="1440"/>
      <w:spacing w:after="120"/>
    </w:pPr>
  </w:style>
  <w:style w:type="paragraph" w:styleId="699">
    <w:name w:val="List Bullet 2"/>
    <w:basedOn w:val="680"/>
    <w:uiPriority w:val="99"/>
    <w:semiHidden/>
    <w:unhideWhenUsed/>
    <w:qFormat/>
    <w:pPr>
      <w:numPr>
        <w:ilvl w:val="0"/>
        <w:numId w:val="1"/>
      </w:numPr>
    </w:pPr>
  </w:style>
  <w:style w:type="paragraph" w:styleId="700">
    <w:name w:val="toc 5"/>
    <w:basedOn w:val="680"/>
    <w:next w:val="680"/>
    <w:uiPriority w:val="39"/>
    <w:unhideWhenUsed/>
    <w:qFormat/>
    <w:pPr>
      <w:ind w:left="1134"/>
      <w:spacing w:after="57"/>
    </w:pPr>
  </w:style>
  <w:style w:type="paragraph" w:styleId="701">
    <w:name w:val="toc 3"/>
    <w:basedOn w:val="680"/>
    <w:next w:val="680"/>
    <w:uiPriority w:val="39"/>
    <w:unhideWhenUsed/>
    <w:qFormat/>
    <w:pPr>
      <w:ind w:left="567"/>
      <w:spacing w:after="57"/>
    </w:pPr>
  </w:style>
  <w:style w:type="paragraph" w:styleId="702">
    <w:name w:val="Plain Text"/>
    <w:basedOn w:val="680"/>
    <w:uiPriority w:val="0"/>
    <w:qFormat/>
    <w:rPr>
      <w:rFonts w:ascii="宋体" w:hAnsi="Courier New"/>
      <w:sz w:val="20"/>
      <w:szCs w:val="21"/>
    </w:rPr>
  </w:style>
  <w:style w:type="paragraph" w:styleId="703">
    <w:name w:val="toc 8"/>
    <w:basedOn w:val="680"/>
    <w:next w:val="680"/>
    <w:uiPriority w:val="39"/>
    <w:unhideWhenUsed/>
    <w:qFormat/>
    <w:pPr>
      <w:ind w:left="1984"/>
      <w:spacing w:after="57"/>
    </w:pPr>
  </w:style>
  <w:style w:type="paragraph" w:styleId="704">
    <w:name w:val="Body Text Indent 2"/>
    <w:basedOn w:val="680"/>
    <w:uiPriority w:val="0"/>
    <w:qFormat/>
    <w:pPr>
      <w:ind w:left="640"/>
      <w:spacing w:after="120" w:line="480" w:lineRule="auto"/>
    </w:pPr>
    <w:rPr>
      <w:rFonts w:eastAsia="仿宋_GB2312"/>
      <w:sz w:val="32"/>
      <w:szCs w:val="28"/>
    </w:rPr>
  </w:style>
  <w:style w:type="paragraph" w:styleId="705">
    <w:name w:val="endnote text"/>
    <w:basedOn w:val="680"/>
    <w:link w:val="928"/>
    <w:uiPriority w:val="99"/>
    <w:semiHidden/>
    <w:unhideWhenUsed/>
    <w:qFormat/>
    <w:rPr>
      <w:sz w:val="20"/>
    </w:rPr>
  </w:style>
  <w:style w:type="paragraph" w:styleId="706">
    <w:name w:val="Footer"/>
    <w:basedOn w:val="680"/>
    <w:link w:val="801"/>
    <w:uiPriority w:val="99"/>
    <w:unhideWhenUsed/>
    <w:qFormat/>
    <w:pPr>
      <w:tabs>
        <w:tab w:val="center" w:pos="7143" w:leader="none"/>
        <w:tab w:val="right" w:pos="14287" w:leader="none"/>
      </w:tabs>
    </w:pPr>
  </w:style>
  <w:style w:type="paragraph" w:styleId="707">
    <w:name w:val="envelope return"/>
    <w:basedOn w:val="680"/>
    <w:uiPriority w:val="0"/>
    <w:qFormat/>
    <w:rPr>
      <w:rFonts w:ascii="Arial" w:hAnsi="Arial"/>
    </w:rPr>
  </w:style>
  <w:style w:type="paragraph" w:styleId="708">
    <w:name w:val="Header"/>
    <w:basedOn w:val="680"/>
    <w:link w:val="799"/>
    <w:uiPriority w:val="99"/>
    <w:unhideWhenUsed/>
    <w:qFormat/>
    <w:pPr>
      <w:tabs>
        <w:tab w:val="center" w:pos="7143" w:leader="none"/>
        <w:tab w:val="right" w:pos="14287" w:leader="none"/>
      </w:tabs>
    </w:pPr>
  </w:style>
  <w:style w:type="paragraph" w:styleId="709">
    <w:name w:val="toc 1"/>
    <w:basedOn w:val="680"/>
    <w:next w:val="680"/>
    <w:uiPriority w:val="39"/>
    <w:unhideWhenUsed/>
    <w:qFormat/>
    <w:pPr>
      <w:spacing w:after="57"/>
    </w:pPr>
  </w:style>
  <w:style w:type="paragraph" w:styleId="710">
    <w:name w:val="toc 4"/>
    <w:basedOn w:val="680"/>
    <w:next w:val="680"/>
    <w:uiPriority w:val="39"/>
    <w:unhideWhenUsed/>
    <w:qFormat/>
    <w:pPr>
      <w:ind w:left="850"/>
      <w:spacing w:after="57"/>
    </w:pPr>
  </w:style>
  <w:style w:type="paragraph" w:styleId="711">
    <w:name w:val="Subtitle"/>
    <w:basedOn w:val="680"/>
    <w:next w:val="680"/>
    <w:link w:val="794"/>
    <w:uiPriority w:val="11"/>
    <w:qFormat/>
    <w:pPr>
      <w:spacing w:before="200" w:after="200"/>
    </w:pPr>
    <w:rPr>
      <w:sz w:val="24"/>
      <w:szCs w:val="24"/>
    </w:rPr>
  </w:style>
  <w:style w:type="paragraph" w:styleId="712">
    <w:name w:val="footnote text"/>
    <w:basedOn w:val="680"/>
    <w:link w:val="927"/>
    <w:uiPriority w:val="99"/>
    <w:semiHidden/>
    <w:unhideWhenUsed/>
    <w:qFormat/>
    <w:pPr>
      <w:spacing w:after="40"/>
    </w:pPr>
    <w:rPr>
      <w:sz w:val="18"/>
    </w:rPr>
  </w:style>
  <w:style w:type="paragraph" w:styleId="713">
    <w:name w:val="toc 6"/>
    <w:basedOn w:val="680"/>
    <w:next w:val="680"/>
    <w:uiPriority w:val="39"/>
    <w:unhideWhenUsed/>
    <w:qFormat/>
    <w:pPr>
      <w:ind w:left="1417"/>
      <w:spacing w:after="57"/>
    </w:pPr>
  </w:style>
  <w:style w:type="paragraph" w:styleId="714">
    <w:name w:val="table of figures"/>
    <w:basedOn w:val="680"/>
    <w:next w:val="680"/>
    <w:uiPriority w:val="99"/>
    <w:unhideWhenUsed/>
    <w:qFormat/>
  </w:style>
  <w:style w:type="paragraph" w:styleId="715">
    <w:name w:val="toc 2"/>
    <w:basedOn w:val="680"/>
    <w:next w:val="680"/>
    <w:uiPriority w:val="39"/>
    <w:unhideWhenUsed/>
    <w:qFormat/>
    <w:pPr>
      <w:ind w:left="283"/>
      <w:spacing w:after="57"/>
    </w:pPr>
  </w:style>
  <w:style w:type="paragraph" w:styleId="716">
    <w:name w:val="toc 9"/>
    <w:basedOn w:val="680"/>
    <w:next w:val="680"/>
    <w:uiPriority w:val="39"/>
    <w:unhideWhenUsed/>
    <w:qFormat/>
    <w:pPr>
      <w:ind w:left="2268"/>
      <w:spacing w:after="57"/>
    </w:pPr>
  </w:style>
  <w:style w:type="paragraph" w:styleId="717">
    <w:name w:val="Normal (Web)"/>
    <w:basedOn w:val="680"/>
    <w:uiPriority w:val="99"/>
    <w:semiHidden/>
    <w:unhideWhenUsed/>
    <w:qFormat/>
    <w:pPr>
      <w:jc w:val="left"/>
      <w:spacing w:beforeAutospacing="1" w:afterAutospacing="1"/>
    </w:pPr>
    <w:rPr>
      <w:sz w:val="24"/>
    </w:rPr>
  </w:style>
  <w:style w:type="paragraph" w:styleId="718">
    <w:name w:val="index 1"/>
    <w:basedOn w:val="680"/>
    <w:next w:val="680"/>
    <w:uiPriority w:val="0"/>
    <w:qFormat/>
    <w:rPr>
      <w:rFonts w:ascii="仿宋_GB2312" w:hAnsi="宋体" w:eastAsia="仿宋_GB2312" w:cs="宋体"/>
      <w:sz w:val="30"/>
      <w:szCs w:val="24"/>
      <w:lang w:val="zh-CN"/>
    </w:rPr>
  </w:style>
  <w:style w:type="paragraph" w:styleId="719">
    <w:name w:val="Title"/>
    <w:basedOn w:val="680"/>
    <w:next w:val="680"/>
    <w:link w:val="793"/>
    <w:uiPriority w:val="10"/>
    <w:qFormat/>
    <w:pPr>
      <w:contextualSpacing/>
      <w:spacing w:before="300" w:after="200"/>
    </w:pPr>
    <w:rPr>
      <w:sz w:val="48"/>
      <w:szCs w:val="48"/>
    </w:rPr>
  </w:style>
  <w:style w:type="paragraph" w:styleId="720">
    <w:name w:val="Body Text First Indent"/>
    <w:basedOn w:val="696"/>
    <w:uiPriority w:val="99"/>
    <w:unhideWhenUsed/>
    <w:qFormat/>
    <w:pPr>
      <w:ind w:firstLine="426"/>
      <w:spacing w:line="400" w:lineRule="atLeast"/>
    </w:pPr>
    <w:rPr>
      <w:sz w:val="24"/>
      <w:szCs w:val="20"/>
    </w:r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0"/>
    <w:uiPriority w:val="0"/>
    <w:qFormat/>
    <w:rPr>
      <w:b/>
    </w:rPr>
  </w:style>
  <w:style w:type="character" w:styleId="723">
    <w:name w:val="endnote reference"/>
    <w:uiPriority w:val="99"/>
    <w:semiHidden/>
    <w:unhideWhenUsed/>
    <w:qFormat/>
    <w:rPr>
      <w:vertAlign w:val="superscript"/>
    </w:rPr>
  </w:style>
  <w:style w:type="character" w:styleId="724">
    <w:name w:val="Emphasis"/>
    <w:basedOn w:val="690"/>
    <w:uiPriority w:val="2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728" w:customStyle="1">
    <w:name w:val="正文（缩进）"/>
    <w:basedOn w:val="680"/>
    <w:next w:val="729"/>
    <w:uiPriority w:val="0"/>
    <w:qFormat/>
    <w:pPr>
      <w:ind w:firstLine="480"/>
      <w:spacing w:before="156" w:after="156"/>
    </w:pPr>
  </w:style>
  <w:style w:type="paragraph" w:styleId="729" w:customStyle="1">
    <w:name w:val="Char Char Char Char Char Char Char Char Char"/>
    <w:basedOn w:val="680"/>
    <w:next w:val="730"/>
    <w:uiPriority w:val="99"/>
    <w:qFormat/>
    <w:pPr>
      <w:ind w:left="360" w:firstLine="5784"/>
    </w:pPr>
  </w:style>
  <w:style w:type="paragraph" w:styleId="730" w:customStyle="1">
    <w:name w:val="正文文本 21"/>
    <w:basedOn w:val="680"/>
    <w:next w:val="731"/>
    <w:uiPriority w:val="0"/>
    <w:qFormat/>
    <w:pPr>
      <w:spacing w:after="120" w:line="480" w:lineRule="auto"/>
    </w:pPr>
  </w:style>
  <w:style w:type="paragraph" w:styleId="731" w:customStyle="1">
    <w:name w:val="默认段落字体 Para Char Char Char Char Char Char Char"/>
    <w:basedOn w:val="680"/>
    <w:next w:val="732"/>
    <w:uiPriority w:val="99"/>
    <w:qFormat/>
    <w:pPr>
      <w:ind w:firstLine="200"/>
    </w:pPr>
    <w:rPr>
      <w:rFonts w:cs="Arial"/>
    </w:rPr>
  </w:style>
  <w:style w:type="paragraph" w:styleId="732" w:customStyle="1">
    <w:name w:val="样式 首行缩进:  2 字符"/>
    <w:basedOn w:val="680"/>
    <w:next w:val="733"/>
    <w:uiPriority w:val="99"/>
    <w:qFormat/>
    <w:pPr>
      <w:ind w:left="480" w:firstLine="5856"/>
      <w:spacing w:line="360" w:lineRule="auto"/>
    </w:pPr>
  </w:style>
  <w:style w:type="paragraph" w:styleId="733" w:customStyle="1">
    <w:name w:val="样式 段后: 0.25 行"/>
    <w:basedOn w:val="680"/>
    <w:next w:val="734"/>
    <w:uiPriority w:val="99"/>
    <w:qFormat/>
    <w:pPr>
      <w:ind w:left="420" w:firstLine="5796"/>
      <w:spacing w:line="300" w:lineRule="auto"/>
      <w:widowControl/>
    </w:pPr>
  </w:style>
  <w:style w:type="paragraph" w:styleId="734" w:customStyle="1">
    <w:name w:val="正文 New New New New New New New New New New New New New New"/>
    <w:next w:val="716"/>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35" w:customStyle="1">
    <w:name w:val="正文1"/>
    <w:basedOn w:val="680"/>
    <w:next w:val="736"/>
    <w:uiPriority w:val="0"/>
    <w:qFormat/>
    <w:pPr>
      <w:jc w:val="left"/>
      <w:spacing w:line="360" w:lineRule="atLeast"/>
    </w:pPr>
    <w:rPr>
      <w:rFonts w:ascii="宋体" w:cs="Arial"/>
      <w:sz w:val="24"/>
      <w:szCs w:val="20"/>
    </w:rPr>
  </w:style>
  <w:style w:type="paragraph" w:styleId="736" w:customStyle="1">
    <w:name w:val="正文文本1"/>
    <w:basedOn w:val="735"/>
    <w:next w:val="737"/>
    <w:uiPriority w:val="0"/>
    <w:qFormat/>
    <w:pPr>
      <w:spacing w:after="120"/>
    </w:pPr>
    <w:rPr>
      <w:lang w:eastAsia="en-US"/>
    </w:rPr>
  </w:style>
  <w:style w:type="paragraph" w:styleId="737" w:customStyle="1">
    <w:name w:val="一级条标题"/>
    <w:basedOn w:val="738"/>
    <w:next w:val="7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8" w:customStyle="1">
    <w:name w:val="章标题"/>
    <w:next w:val="6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9" w:customStyle="1">
    <w:name w:val="段"/>
    <w:basedOn w:val="735"/>
    <w:next w:val="680"/>
    <w:uiPriority w:val="0"/>
    <w:qFormat/>
    <w:pPr>
      <w:ind w:firstLine="200"/>
      <w:widowControl/>
    </w:pPr>
    <w:rPr>
      <w:sz w:val="20"/>
    </w:rPr>
  </w:style>
  <w:style w:type="paragraph" w:styleId="740" w:customStyle="1">
    <w:name w:val="远大正文"/>
    <w:basedOn w:val="680"/>
    <w:uiPriority w:val="0"/>
    <w:qFormat/>
    <w:pPr>
      <w:ind w:firstLine="0"/>
      <w:jc w:val="center"/>
      <w:spacing w:line="360" w:lineRule="auto"/>
    </w:pPr>
    <w:rPr>
      <w:rFonts w:ascii="宋体" w:hAnsi="宋体" w:cs="Times New Roman"/>
    </w:rPr>
  </w:style>
  <w:style w:type="paragraph" w:styleId="741"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742" w:customStyle="1">
    <w:name w:val="标题1"/>
    <w:basedOn w:val="680"/>
    <w:next w:val="680"/>
    <w:uiPriority w:val="0"/>
    <w:qFormat/>
    <w:pPr>
      <w:jc w:val="center"/>
      <w:spacing w:before="240" w:after="60" w:line="360" w:lineRule="auto"/>
      <w:outlineLvl w:val="0"/>
    </w:pPr>
    <w:rPr>
      <w:rFonts w:ascii="宋体" w:hAnsi="宋体"/>
      <w:b/>
      <w:bCs/>
      <w:sz w:val="32"/>
      <w:szCs w:val="32"/>
    </w:rPr>
  </w:style>
  <w:style w:type="character" w:styleId="743" w:customStyle="1">
    <w:name w:val="Heading 1 Char"/>
    <w:basedOn w:val="690"/>
    <w:uiPriority w:val="9"/>
    <w:qFormat/>
    <w:rPr>
      <w:rFonts w:ascii="Arial" w:hAnsi="Arial" w:eastAsia="Arial" w:cs="Arial"/>
      <w:sz w:val="40"/>
      <w:szCs w:val="40"/>
    </w:rPr>
  </w:style>
  <w:style w:type="character" w:styleId="744" w:customStyle="1">
    <w:name w:val="Heading 2 Char"/>
    <w:basedOn w:val="690"/>
    <w:uiPriority w:val="9"/>
    <w:qFormat/>
    <w:rPr>
      <w:rFonts w:ascii="Arial" w:hAnsi="Arial" w:eastAsia="Arial" w:cs="Arial"/>
      <w:sz w:val="34"/>
    </w:rPr>
  </w:style>
  <w:style w:type="character" w:styleId="745" w:customStyle="1">
    <w:name w:val="Heading 3 Char"/>
    <w:basedOn w:val="690"/>
    <w:uiPriority w:val="9"/>
    <w:qFormat/>
    <w:rPr>
      <w:rFonts w:ascii="Arial" w:hAnsi="Arial" w:eastAsia="Arial" w:cs="Arial"/>
      <w:sz w:val="30"/>
      <w:szCs w:val="30"/>
    </w:rPr>
  </w:style>
  <w:style w:type="character" w:styleId="746" w:customStyle="1">
    <w:name w:val="Heading 4 Char"/>
    <w:basedOn w:val="690"/>
    <w:uiPriority w:val="9"/>
    <w:qFormat/>
    <w:rPr>
      <w:rFonts w:ascii="Arial" w:hAnsi="Arial" w:eastAsia="Arial" w:cs="Arial"/>
      <w:b/>
      <w:bCs/>
      <w:sz w:val="26"/>
      <w:szCs w:val="26"/>
    </w:rPr>
  </w:style>
  <w:style w:type="character" w:styleId="747" w:customStyle="1">
    <w:name w:val="Heading 5 Char"/>
    <w:basedOn w:val="690"/>
    <w:uiPriority w:val="9"/>
    <w:qFormat/>
    <w:rPr>
      <w:rFonts w:ascii="Arial" w:hAnsi="Arial" w:eastAsia="Arial" w:cs="Arial"/>
      <w:b/>
      <w:bCs/>
      <w:sz w:val="24"/>
      <w:szCs w:val="24"/>
    </w:rPr>
  </w:style>
  <w:style w:type="character" w:styleId="748" w:customStyle="1">
    <w:name w:val="Heading 6 Char"/>
    <w:basedOn w:val="690"/>
    <w:uiPriority w:val="9"/>
    <w:qFormat/>
    <w:rPr>
      <w:rFonts w:ascii="Arial" w:hAnsi="Arial" w:eastAsia="Arial" w:cs="Arial"/>
      <w:b/>
      <w:bCs/>
      <w:sz w:val="22"/>
      <w:szCs w:val="22"/>
    </w:rPr>
  </w:style>
  <w:style w:type="character" w:styleId="749" w:customStyle="1">
    <w:name w:val="Heading 7 Char"/>
    <w:basedOn w:val="690"/>
    <w:uiPriority w:val="9"/>
    <w:qFormat/>
    <w:rPr>
      <w:rFonts w:ascii="Arial" w:hAnsi="Arial" w:eastAsia="Arial" w:cs="Arial"/>
      <w:b/>
      <w:bCs/>
      <w:i/>
      <w:iCs/>
      <w:sz w:val="22"/>
      <w:szCs w:val="22"/>
    </w:rPr>
  </w:style>
  <w:style w:type="character" w:styleId="750" w:customStyle="1">
    <w:name w:val="Heading 8 Char"/>
    <w:basedOn w:val="690"/>
    <w:uiPriority w:val="9"/>
    <w:qFormat/>
    <w:rPr>
      <w:rFonts w:ascii="Arial" w:hAnsi="Arial" w:eastAsia="Arial" w:cs="Arial"/>
      <w:i/>
      <w:iCs/>
      <w:sz w:val="22"/>
      <w:szCs w:val="22"/>
    </w:rPr>
  </w:style>
  <w:style w:type="character" w:styleId="751" w:customStyle="1">
    <w:name w:val="Heading 9 Char"/>
    <w:basedOn w:val="690"/>
    <w:uiPriority w:val="9"/>
    <w:qFormat/>
    <w:rPr>
      <w:rFonts w:ascii="Arial" w:hAnsi="Arial" w:eastAsia="Arial" w:cs="Arial"/>
      <w:i/>
      <w:iCs/>
      <w:sz w:val="21"/>
      <w:szCs w:val="21"/>
    </w:rPr>
  </w:style>
  <w:style w:type="character" w:styleId="752" w:customStyle="1">
    <w:name w:val="Title Char"/>
    <w:basedOn w:val="690"/>
    <w:uiPriority w:val="10"/>
    <w:qFormat/>
    <w:rPr>
      <w:sz w:val="48"/>
      <w:szCs w:val="48"/>
    </w:rPr>
  </w:style>
  <w:style w:type="character" w:styleId="753" w:customStyle="1">
    <w:name w:val="Subtitle Char"/>
    <w:basedOn w:val="690"/>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690"/>
    <w:uiPriority w:val="99"/>
    <w:qFormat/>
  </w:style>
  <w:style w:type="character" w:styleId="757" w:customStyle="1">
    <w:name w:val="Caption Char"/>
    <w:uiPriority w:val="99"/>
    <w:qFormat/>
  </w:style>
  <w:style w:type="table" w:styleId="758"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7" w:customStyle="1">
    <w:name w:val="Footnote Text Char"/>
    <w:uiPriority w:val="99"/>
    <w:qFormat/>
    <w:rPr>
      <w:sz w:val="18"/>
    </w:rPr>
  </w:style>
  <w:style w:type="character" w:styleId="778" w:customStyle="1">
    <w:name w:val="Endnote Text Char"/>
    <w:uiPriority w:val="99"/>
    <w:qFormat/>
    <w:rPr>
      <w:sz w:val="20"/>
    </w:rPr>
  </w:style>
  <w:style w:type="paragraph" w:styleId="779" w:customStyle="1">
    <w:name w:val="TOC Heading"/>
    <w:uiPriority w:val="39"/>
    <w:unhideWhenUsed/>
    <w:qFormat/>
    <w:rPr>
      <w:rFonts w:hint="default" w:ascii="Times New Roman" w:hAnsi="Times New Roman" w:eastAsia="宋体" w:cs="Times New Roman"/>
    </w:rPr>
  </w:style>
  <w:style w:type="paragraph" w:styleId="780" w:customStyle="1">
    <w:name w:val="Default"/>
    <w:next w:val="680"/>
    <w:uiPriority w:val="0"/>
    <w:qFormat/>
    <w:pPr>
      <w:widowControl w:val="off"/>
    </w:pPr>
    <w:rPr>
      <w:rFonts w:hint="default" w:ascii="黑体" w:hAnsi="Times New Roman" w:eastAsia="黑体" w:cs="Times New Roman"/>
      <w:lang w:val="en-US" w:eastAsia="zh-CN" w:bidi="ar-SA"/>
    </w:rPr>
  </w:style>
  <w:style w:type="paragraph" w:styleId="781" w:customStyle="1">
    <w:name w:val="首行缩进"/>
    <w:basedOn w:val="680"/>
    <w:uiPriority w:val="0"/>
    <w:qFormat/>
    <w:pPr>
      <w:ind w:firstLine="420"/>
      <w:spacing w:line="360" w:lineRule="auto"/>
    </w:pPr>
  </w:style>
  <w:style w:type="character" w:styleId="782" w:customStyle="1">
    <w:name w:val="标题 1 字符"/>
    <w:link w:val="681"/>
    <w:uiPriority w:val="9"/>
    <w:qFormat/>
    <w:rPr>
      <w:rFonts w:ascii="Arial" w:hAnsi="Arial" w:eastAsia="宋体" w:cs="Arial"/>
      <w:b/>
      <w:sz w:val="30"/>
      <w:szCs w:val="40"/>
    </w:rPr>
  </w:style>
  <w:style w:type="character" w:styleId="783" w:customStyle="1">
    <w:name w:val="标题 2 字符"/>
    <w:link w:val="682"/>
    <w:uiPriority w:val="9"/>
    <w:qFormat/>
    <w:rPr>
      <w:rFonts w:ascii="Arial" w:hAnsi="Arial" w:eastAsia="Arial" w:cs="Arial"/>
      <w:sz w:val="34"/>
    </w:rPr>
  </w:style>
  <w:style w:type="character" w:styleId="784" w:customStyle="1">
    <w:name w:val="标题 3 字符"/>
    <w:link w:val="683"/>
    <w:uiPriority w:val="9"/>
    <w:qFormat/>
    <w:rPr>
      <w:rFonts w:ascii="Arial" w:hAnsi="Arial" w:eastAsia="Arial" w:cs="Arial"/>
      <w:sz w:val="30"/>
      <w:szCs w:val="30"/>
    </w:rPr>
  </w:style>
  <w:style w:type="character" w:styleId="785" w:customStyle="1">
    <w:name w:val="标题 4 字符"/>
    <w:link w:val="684"/>
    <w:uiPriority w:val="9"/>
    <w:qFormat/>
    <w:rPr>
      <w:rFonts w:ascii="Arial" w:hAnsi="Arial" w:eastAsia="Arial" w:cs="Arial"/>
      <w:b/>
      <w:bCs/>
      <w:sz w:val="26"/>
      <w:szCs w:val="26"/>
    </w:rPr>
  </w:style>
  <w:style w:type="character" w:styleId="786" w:customStyle="1">
    <w:name w:val="标题 5 字符"/>
    <w:link w:val="685"/>
    <w:uiPriority w:val="9"/>
    <w:qFormat/>
    <w:rPr>
      <w:rFonts w:ascii="Arial" w:hAnsi="Arial" w:eastAsia="Arial" w:cs="Arial"/>
      <w:b/>
      <w:bCs/>
      <w:sz w:val="24"/>
      <w:szCs w:val="24"/>
    </w:rPr>
  </w:style>
  <w:style w:type="character" w:styleId="787" w:customStyle="1">
    <w:name w:val="标题 6 字符"/>
    <w:link w:val="686"/>
    <w:uiPriority w:val="9"/>
    <w:qFormat/>
    <w:rPr>
      <w:rFonts w:ascii="Arial" w:hAnsi="Arial" w:eastAsia="Arial" w:cs="Arial"/>
      <w:b/>
      <w:bCs/>
      <w:sz w:val="22"/>
      <w:szCs w:val="22"/>
    </w:rPr>
  </w:style>
  <w:style w:type="character" w:styleId="788" w:customStyle="1">
    <w:name w:val="标题 7 字符"/>
    <w:link w:val="687"/>
    <w:uiPriority w:val="9"/>
    <w:qFormat/>
    <w:rPr>
      <w:rFonts w:ascii="Arial" w:hAnsi="Arial" w:eastAsia="Arial" w:cs="Arial"/>
      <w:b/>
      <w:bCs/>
      <w:i/>
      <w:iCs/>
      <w:sz w:val="22"/>
      <w:szCs w:val="22"/>
    </w:rPr>
  </w:style>
  <w:style w:type="character" w:styleId="789" w:customStyle="1">
    <w:name w:val="标题 8 字符"/>
    <w:link w:val="688"/>
    <w:uiPriority w:val="9"/>
    <w:qFormat/>
    <w:rPr>
      <w:rFonts w:ascii="Arial" w:hAnsi="Arial" w:eastAsia="Arial" w:cs="Arial"/>
      <w:i/>
      <w:iCs/>
      <w:sz w:val="22"/>
      <w:szCs w:val="22"/>
    </w:rPr>
  </w:style>
  <w:style w:type="character" w:styleId="790" w:customStyle="1">
    <w:name w:val="标题 9 字符"/>
    <w:link w:val="689"/>
    <w:uiPriority w:val="9"/>
    <w:qFormat/>
    <w:rPr>
      <w:rFonts w:ascii="Arial" w:hAnsi="Arial" w:eastAsia="Arial" w:cs="Arial"/>
      <w:i/>
      <w:iCs/>
      <w:sz w:val="21"/>
      <w:szCs w:val="21"/>
    </w:rPr>
  </w:style>
  <w:style w:type="paragraph" w:styleId="791">
    <w:name w:val="List Paragraph"/>
    <w:basedOn w:val="680"/>
    <w:uiPriority w:val="34"/>
    <w:qFormat/>
    <w:pPr>
      <w:contextualSpacing/>
      <w:ind w:left="720"/>
    </w:pPr>
  </w:style>
  <w:style w:type="paragraph" w:styleId="792">
    <w:name w:val="No Spacing"/>
    <w:uiPriority w:val="1"/>
    <w:qFormat/>
    <w:rPr>
      <w:rFonts w:hint="default" w:ascii="Times New Roman" w:hAnsi="Times New Roman" w:eastAsia="宋体" w:cs="Times New Roman"/>
      <w:lang w:val="en-US" w:eastAsia="zh-CN" w:bidi="ar-SA"/>
    </w:rPr>
  </w:style>
  <w:style w:type="character" w:styleId="793" w:customStyle="1">
    <w:name w:val="标题 字符"/>
    <w:link w:val="719"/>
    <w:uiPriority w:val="10"/>
    <w:qFormat/>
    <w:rPr>
      <w:sz w:val="48"/>
      <w:szCs w:val="48"/>
    </w:rPr>
  </w:style>
  <w:style w:type="character" w:styleId="794" w:customStyle="1">
    <w:name w:val="副标题 字符"/>
    <w:link w:val="711"/>
    <w:uiPriority w:val="11"/>
    <w:qFormat/>
    <w:rPr>
      <w:sz w:val="24"/>
      <w:szCs w:val="24"/>
    </w:rPr>
  </w:style>
  <w:style w:type="paragraph" w:styleId="795">
    <w:name w:val="Quote"/>
    <w:basedOn w:val="680"/>
    <w:next w:val="680"/>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680"/>
    <w:next w:val="68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
    <w:link w:val="708"/>
    <w:uiPriority w:val="99"/>
    <w:qFormat/>
  </w:style>
  <w:style w:type="character" w:styleId="800" w:customStyle="1">
    <w:name w:val="Footer Char"/>
    <w:uiPriority w:val="99"/>
    <w:qFormat/>
  </w:style>
  <w:style w:type="character" w:styleId="801" w:customStyle="1">
    <w:name w:val="页脚 字符"/>
    <w:link w:val="706"/>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12"/>
    <w:uiPriority w:val="99"/>
    <w:qFormat/>
    <w:rPr>
      <w:sz w:val="18"/>
    </w:rPr>
  </w:style>
  <w:style w:type="character" w:styleId="928" w:customStyle="1">
    <w:name w:val="尾注文本 字符"/>
    <w:link w:val="705"/>
    <w:uiPriority w:val="99"/>
    <w:qFormat/>
    <w:rPr>
      <w:sz w:val="20"/>
    </w:r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标题 11"/>
    <w:basedOn w:val="680"/>
    <w:next w:val="680"/>
    <w:uiPriority w:val="9"/>
    <w:qFormat/>
    <w:pPr>
      <w:keepLines/>
      <w:keepNext/>
      <w:spacing w:before="340" w:after="330" w:line="578" w:lineRule="auto"/>
      <w:outlineLvl w:val="0"/>
    </w:pPr>
    <w:rPr>
      <w:b/>
      <w:bCs/>
      <w:sz w:val="44"/>
      <w:szCs w:val="44"/>
    </w:rPr>
  </w:style>
  <w:style w:type="paragraph" w:styleId="931" w:customStyle="1">
    <w:name w:val="标题 21"/>
    <w:basedOn w:val="680"/>
    <w:next w:val="6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标题 31"/>
    <w:basedOn w:val="933"/>
    <w:next w:val="680"/>
    <w:uiPriority w:val="0"/>
    <w:qFormat/>
    <w:pPr>
      <w:keepLines/>
      <w:keepNext/>
      <w:spacing w:before="260" w:after="260" w:line="416" w:lineRule="auto"/>
      <w:outlineLvl w:val="2"/>
    </w:pPr>
    <w:rPr>
      <w:b/>
      <w:bCs/>
      <w:sz w:val="32"/>
      <w:szCs w:val="32"/>
    </w:rPr>
  </w:style>
  <w:style w:type="paragraph" w:styleId="933" w:customStyle="1">
    <w:name w:val="正文11"/>
    <w:next w:val="735"/>
    <w:uiPriority w:val="0"/>
    <w:qFormat/>
    <w:pPr>
      <w:jc w:val="both"/>
      <w:widowControl w:val="off"/>
    </w:pPr>
    <w:rPr>
      <w:rFonts w:ascii="Times New Roman" w:hAnsi="Times New Roman" w:eastAsia="宋体" w:cs="Times New Roman"/>
      <w:sz w:val="21"/>
      <w:szCs w:val="22"/>
      <w:lang w:val="en-US" w:eastAsia="zh-CN" w:bidi="ar-SA"/>
    </w:rPr>
  </w:style>
  <w:style w:type="character" w:styleId="934" w:customStyle="1">
    <w:name w:val="默认段落字体1"/>
    <w:uiPriority w:val="1"/>
    <w:unhideWhenUsed/>
    <w:qFormat/>
  </w:style>
  <w:style w:type="table" w:styleId="935" w:customStyle="1">
    <w:name w:val="普通表格1"/>
    <w:uiPriority w:val="99"/>
    <w:unhideWhenUsed/>
    <w:qFormat/>
    <w:tblPr>
      <w:tblCellMar>
        <w:left w:w="0" w:type="dxa"/>
        <w:top w:w="0" w:type="dxa"/>
        <w:right w:w="0" w:type="dxa"/>
        <w:bottom w:w="0" w:type="dxa"/>
      </w:tblCellMar>
    </w:tblPr>
  </w:style>
  <w:style w:type="paragraph" w:styleId="936" w:customStyle="1">
    <w:name w:val="正文文本缩进1"/>
    <w:basedOn w:val="680"/>
    <w:next w:val="937"/>
    <w:uiPriority w:val="0"/>
    <w:qFormat/>
    <w:pPr>
      <w:ind w:left="420"/>
      <w:spacing w:after="120"/>
    </w:pPr>
    <w:rPr>
      <w:rFonts w:ascii="等线" w:hAnsi="等线" w:eastAsia="等线"/>
    </w:rPr>
  </w:style>
  <w:style w:type="paragraph" w:styleId="937" w:customStyle="1">
    <w:name w:val="寄信人地址1"/>
    <w:basedOn w:val="680"/>
    <w:uiPriority w:val="99"/>
    <w:unhideWhenUsed/>
    <w:qFormat/>
    <w:rPr>
      <w:rFonts w:ascii="Arial" w:hAnsi="Arial"/>
    </w:rPr>
  </w:style>
  <w:style w:type="paragraph" w:styleId="938" w:customStyle="1">
    <w:name w:val="正文缩进1"/>
    <w:basedOn w:val="680"/>
    <w:uiPriority w:val="0"/>
    <w:unhideWhenUsed/>
    <w:qFormat/>
    <w:pPr>
      <w:ind w:firstLine="420"/>
    </w:pPr>
  </w:style>
  <w:style w:type="paragraph" w:styleId="939" w:customStyle="1">
    <w:name w:val="批注文字1"/>
    <w:basedOn w:val="680"/>
    <w:link w:val="940"/>
    <w:uiPriority w:val="0"/>
    <w:qFormat/>
    <w:pPr>
      <w:jc w:val="left"/>
    </w:pPr>
  </w:style>
  <w:style w:type="character" w:styleId="940" w:customStyle="1">
    <w:name w:val="批注文字 Char"/>
    <w:link w:val="939"/>
    <w:uiPriority w:val="0"/>
    <w:qFormat/>
    <w:rPr>
      <w:rFonts w:ascii="Calibri" w:hAnsi="Calibri"/>
      <w:sz w:val="21"/>
      <w:szCs w:val="22"/>
    </w:rPr>
  </w:style>
  <w:style w:type="paragraph" w:styleId="941" w:customStyle="1">
    <w:name w:val="正文文本11"/>
    <w:basedOn w:val="680"/>
    <w:next w:val="742"/>
    <w:uiPriority w:val="0"/>
    <w:qFormat/>
    <w:rPr>
      <w:rFonts w:ascii="楷体_GB2312" w:hAnsi="Arial" w:eastAsia="楷体_GB2312"/>
      <w:sz w:val="28"/>
      <w:szCs w:val="28"/>
    </w:rPr>
  </w:style>
  <w:style w:type="paragraph" w:styleId="942" w:customStyle="1">
    <w:name w:val="纯文本1"/>
    <w:basedOn w:val="680"/>
    <w:uiPriority w:val="99"/>
    <w:qFormat/>
    <w:rPr>
      <w:rFonts w:ascii="宋体" w:hAnsi="Courier New"/>
      <w:sz w:val="20"/>
      <w:szCs w:val="21"/>
    </w:rPr>
  </w:style>
  <w:style w:type="paragraph" w:styleId="943" w:customStyle="1">
    <w:name w:val="正文文本缩进 21"/>
    <w:basedOn w:val="680"/>
    <w:uiPriority w:val="0"/>
    <w:qFormat/>
    <w:pPr>
      <w:ind w:left="640"/>
      <w:spacing w:after="120" w:line="480" w:lineRule="auto"/>
    </w:pPr>
    <w:rPr>
      <w:rFonts w:eastAsia="仿宋_GB2312"/>
      <w:sz w:val="32"/>
      <w:szCs w:val="28"/>
    </w:rPr>
  </w:style>
  <w:style w:type="paragraph" w:styleId="944" w:customStyle="1">
    <w:name w:val="批注框文本1"/>
    <w:basedOn w:val="680"/>
    <w:link w:val="945"/>
    <w:uiPriority w:val="0"/>
    <w:qFormat/>
    <w:rPr>
      <w:sz w:val="18"/>
      <w:szCs w:val="18"/>
    </w:rPr>
  </w:style>
  <w:style w:type="character" w:styleId="945" w:customStyle="1">
    <w:name w:val="批注框文本 Char"/>
    <w:link w:val="944"/>
    <w:uiPriority w:val="0"/>
    <w:qFormat/>
    <w:rPr>
      <w:sz w:val="18"/>
      <w:szCs w:val="18"/>
    </w:rPr>
  </w:style>
  <w:style w:type="paragraph" w:styleId="946" w:customStyle="1">
    <w:name w:val="页脚1"/>
    <w:basedOn w:val="680"/>
    <w:uiPriority w:val="99"/>
    <w:unhideWhenUsed/>
    <w:qFormat/>
    <w:pPr>
      <w:jc w:val="left"/>
      <w:tabs>
        <w:tab w:val="center" w:pos="4153" w:leader="none"/>
        <w:tab w:val="right" w:pos="8306" w:leader="none"/>
      </w:tabs>
    </w:pPr>
    <w:rPr>
      <w:sz w:val="18"/>
      <w:szCs w:val="18"/>
    </w:rPr>
  </w:style>
  <w:style w:type="paragraph" w:styleId="947" w:customStyle="1">
    <w:name w:val="页眉1"/>
    <w:basedOn w:val="6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8" w:customStyle="1">
    <w:name w:val="目录 11"/>
    <w:basedOn w:val="680"/>
    <w:next w:val="680"/>
    <w:uiPriority w:val="39"/>
    <w:unhideWhenUsed/>
    <w:qFormat/>
  </w:style>
  <w:style w:type="paragraph" w:styleId="949" w:customStyle="1">
    <w:name w:val="目录 21"/>
    <w:basedOn w:val="680"/>
    <w:next w:val="680"/>
    <w:uiPriority w:val="0"/>
    <w:qFormat/>
    <w:pPr>
      <w:ind w:left="420"/>
    </w:pPr>
  </w:style>
  <w:style w:type="paragraph" w:styleId="950" w:customStyle="1">
    <w:name w:val="信息标题1"/>
    <w:basedOn w:val="68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1" w:customStyle="1">
    <w:name w:val="普通(网站)1"/>
    <w:basedOn w:val="680"/>
    <w:uiPriority w:val="0"/>
    <w:qFormat/>
    <w:rPr>
      <w:rFonts w:ascii="Times New Roman" w:hAnsi="Times New Roman"/>
      <w:sz w:val="24"/>
    </w:rPr>
  </w:style>
  <w:style w:type="paragraph" w:styleId="952" w:customStyle="1">
    <w:name w:val="批注主题1"/>
    <w:basedOn w:val="939"/>
    <w:next w:val="939"/>
    <w:link w:val="953"/>
    <w:uiPriority w:val="0"/>
    <w:qFormat/>
    <w:rPr>
      <w:b/>
      <w:bCs/>
    </w:rPr>
  </w:style>
  <w:style w:type="character" w:styleId="953" w:customStyle="1">
    <w:name w:val="批注主题 Char"/>
    <w:link w:val="952"/>
    <w:uiPriority w:val="0"/>
    <w:qFormat/>
    <w:rPr>
      <w:rFonts w:ascii="Calibri" w:hAnsi="Calibri"/>
      <w:b/>
      <w:bCs/>
      <w:sz w:val="21"/>
      <w:szCs w:val="22"/>
    </w:rPr>
  </w:style>
  <w:style w:type="paragraph" w:styleId="954" w:customStyle="1">
    <w:name w:val="正文首行缩进 21"/>
    <w:basedOn w:val="936"/>
    <w:next w:val="680"/>
    <w:uiPriority w:val="0"/>
    <w:qFormat/>
    <w:pPr>
      <w:ind w:firstLine="420"/>
      <w:spacing w:before="100" w:beforeAutospacing="1"/>
    </w:pPr>
    <w:rPr>
      <w:rFonts w:ascii="Times New Roman" w:hAnsi="Times New Roman" w:eastAsia="宋体"/>
      <w:sz w:val="20"/>
      <w:szCs w:val="21"/>
    </w:rPr>
  </w:style>
  <w:style w:type="table" w:styleId="955" w:customStyle="1">
    <w:name w:val="网格型1"/>
    <w:basedOn w:val="935"/>
    <w:uiPriority w:val="0"/>
    <w:qFormat/>
    <w:pPr>
      <w:jc w:val="both"/>
      <w:widowControl w:val="off"/>
    </w:pPr>
    <w:tblPr>
      <w:tblCellMar>
        <w:left w:w="0" w:type="dxa"/>
        <w:top w:w="0" w:type="dxa"/>
        <w:right w:w="0" w:type="dxa"/>
        <w:bottom w:w="0" w:type="dxa"/>
      </w:tblCellMar>
    </w:tblPr>
  </w:style>
  <w:style w:type="character" w:styleId="956" w:customStyle="1">
    <w:name w:val="要点1"/>
    <w:uiPriority w:val="0"/>
    <w:qFormat/>
    <w:rPr>
      <w:b/>
    </w:rPr>
  </w:style>
  <w:style w:type="character" w:styleId="957" w:customStyle="1">
    <w:name w:val="强调1"/>
    <w:uiPriority w:val="0"/>
    <w:qFormat/>
    <w:rPr>
      <w:i/>
    </w:rPr>
  </w:style>
  <w:style w:type="character" w:styleId="958" w:customStyle="1">
    <w:name w:val="超链接1"/>
    <w:uiPriority w:val="0"/>
    <w:qFormat/>
    <w:rPr>
      <w:color w:val="0000ff"/>
      <w:u w:val="single"/>
    </w:rPr>
  </w:style>
  <w:style w:type="character" w:styleId="959" w:customStyle="1">
    <w:name w:val="批注引用1"/>
    <w:uiPriority w:val="0"/>
    <w:qFormat/>
    <w:rPr>
      <w:sz w:val="21"/>
      <w:szCs w:val="21"/>
    </w:rPr>
  </w:style>
  <w:style w:type="paragraph" w:styleId="960" w:customStyle="1">
    <w:name w:val="Char"/>
    <w:basedOn w:val="680"/>
    <w:uiPriority w:val="0"/>
    <w:qFormat/>
    <w:pPr>
      <w:ind w:firstLine="200"/>
      <w:tabs>
        <w:tab w:val="left" w:pos="360" w:leader="none"/>
      </w:tabs>
    </w:pPr>
    <w:rPr>
      <w:rFonts w:ascii="Times New Roman" w:hAnsi="Times New Roman"/>
      <w:sz w:val="28"/>
      <w:szCs w:val="30"/>
    </w:rPr>
  </w:style>
  <w:style w:type="paragraph" w:styleId="961" w:customStyle="1">
    <w:name w:val="Table Paragraph"/>
    <w:basedOn w:val="680"/>
    <w:uiPriority w:val="1"/>
    <w:qFormat/>
    <w:rPr>
      <w:rFonts w:ascii="Noto Sans CJK JP Regular" w:hAnsi="Noto Sans CJK JP Regular" w:eastAsia="Noto Sans CJK JP Regular" w:cs="Noto Sans CJK JP Regular"/>
    </w:rPr>
  </w:style>
  <w:style w:type="paragraph" w:styleId="962" w:customStyle="1">
    <w:name w:val="正文（1）"/>
    <w:basedOn w:val="680"/>
    <w:uiPriority w:val="0"/>
    <w:qFormat/>
    <w:pPr>
      <w:numPr>
        <w:ilvl w:val="0"/>
        <w:numId w:val="2"/>
      </w:numPr>
      <w:ind w:firstLine="200"/>
    </w:pPr>
    <w:rPr>
      <w:szCs w:val="24"/>
    </w:rPr>
  </w:style>
  <w:style w:type="paragraph" w:styleId="963" w:customStyle="1">
    <w:name w:val="朱-正文"/>
    <w:basedOn w:val="680"/>
    <w:uiPriority w:val="0"/>
    <w:qFormat/>
    <w:pPr>
      <w:ind w:firstLine="200"/>
    </w:pPr>
    <w:rPr>
      <w:rFonts w:ascii="Times New Roman"/>
      <w:color w:val="000000"/>
      <w:szCs w:val="24"/>
      <w:lang w:val="en-GB"/>
    </w:rPr>
  </w:style>
  <w:style w:type="paragraph" w:styleId="964" w:customStyle="1">
    <w:name w:val="GP正文(首行缩进)"/>
    <w:basedOn w:val="680"/>
    <w:uiPriority w:val="0"/>
    <w:qFormat/>
    <w:pPr>
      <w:ind w:firstLine="480"/>
      <w:jc w:val="left"/>
    </w:pPr>
    <w:rPr>
      <w:rFonts w:ascii="Times New Roman" w:hAnsi="宋体"/>
      <w:sz w:val="24"/>
      <w:szCs w:val="24"/>
    </w:rPr>
  </w:style>
  <w:style w:type="character" w:styleId="965" w:customStyle="1">
    <w:name w:val="font71"/>
    <w:basedOn w:val="690"/>
    <w:uiPriority w:val="0"/>
    <w:qFormat/>
    <w:rPr>
      <w:rFonts w:hint="eastAsia" w:ascii="宋体" w:hAnsi="宋体" w:eastAsia="宋体" w:cs="宋体"/>
      <w:color w:val="ff0000"/>
      <w:sz w:val="21"/>
      <w:szCs w:val="21"/>
      <w:u w:val="none"/>
    </w:rPr>
  </w:style>
  <w:style w:type="character" w:styleId="966" w:customStyle="1">
    <w:name w:val="font41"/>
    <w:uiPriority w:val="0"/>
    <w:qFormat/>
    <w:rPr>
      <w:rFonts w:hint="eastAsia" w:ascii="宋体" w:hAnsi="宋体" w:eastAsia="宋体" w:cs="宋体"/>
      <w:color w:val="000000"/>
      <w:sz w:val="21"/>
      <w:szCs w:val="21"/>
      <w:u w:val="none"/>
    </w:rPr>
  </w:style>
  <w:style w:type="paragraph" w:styleId="967" w:customStyle="1">
    <w:name w:val="列出段落"/>
    <w:basedOn w:val="680"/>
    <w:uiPriority w:val="0"/>
    <w:qFormat/>
    <w:pPr>
      <w:ind w:firstLine="420"/>
    </w:pPr>
  </w:style>
  <w:style w:type="paragraph" w:styleId="968" w:customStyle="1">
    <w:name w:val="列出段落2"/>
    <w:basedOn w:val="680"/>
    <w:uiPriority w:val="34"/>
    <w:qFormat/>
    <w:pPr>
      <w:ind w:firstLine="420"/>
    </w:pPr>
    <w:rPr>
      <w:rFonts w:ascii="宋体"/>
      <w:color w:val="404040"/>
    </w:rPr>
  </w:style>
  <w:style w:type="paragraph" w:styleId="969" w:customStyle="1">
    <w:name w:val="列表段落1"/>
    <w:basedOn w:val="680"/>
    <w:uiPriority w:val="0"/>
    <w:qFormat/>
    <w:pPr>
      <w:ind w:firstLine="200"/>
    </w:pPr>
    <w:rPr>
      <w:rFonts w:cs="宋体"/>
    </w:rPr>
  </w:style>
  <w:style w:type="character" w:styleId="970" w:customStyle="1">
    <w:name w:val="font51"/>
    <w:uiPriority w:val="0"/>
    <w:qFormat/>
    <w:rPr>
      <w:rFonts w:hint="eastAsia" w:ascii="宋体" w:hAnsi="宋体" w:eastAsia="宋体" w:cs="宋体"/>
      <w:color w:val="000000"/>
      <w:sz w:val="24"/>
      <w:szCs w:val="24"/>
      <w:u w:val="none"/>
      <w:vertAlign w:val="subscript"/>
    </w:rPr>
  </w:style>
  <w:style w:type="character" w:styleId="971" w:customStyle="1">
    <w:name w:val="font61"/>
    <w:basedOn w:val="690"/>
    <w:uiPriority w:val="0"/>
    <w:qFormat/>
    <w:rPr>
      <w:rFonts w:hint="eastAsia" w:ascii="宋体" w:hAnsi="宋体" w:eastAsia="宋体" w:cs="宋体"/>
      <w:color w:val="000000"/>
      <w:sz w:val="24"/>
      <w:szCs w:val="24"/>
      <w:u w:val="none"/>
    </w:rPr>
  </w:style>
  <w:style w:type="character" w:styleId="972" w:customStyle="1">
    <w:name w:val="font01"/>
    <w:uiPriority w:val="0"/>
    <w:qFormat/>
    <w:rPr>
      <w:rFonts w:hint="eastAsia" w:ascii="宋体" w:hAnsi="宋体" w:eastAsia="宋体" w:cs="宋体"/>
      <w:color w:val="000000"/>
      <w:sz w:val="24"/>
      <w:szCs w:val="24"/>
      <w:u w:val="none"/>
    </w:rPr>
  </w:style>
  <w:style w:type="character" w:styleId="973" w:customStyle="1">
    <w:name w:val="font81"/>
    <w:uiPriority w:val="0"/>
    <w:qFormat/>
    <w:rPr>
      <w:rFonts w:ascii="微软雅黑" w:hAnsi="微软雅黑" w:eastAsia="微软雅黑" w:cs="微软雅黑"/>
      <w:color w:val="000000"/>
      <w:sz w:val="24"/>
      <w:szCs w:val="24"/>
      <w:u w:val="none"/>
    </w:rPr>
  </w:style>
  <w:style w:type="character" w:styleId="974" w:customStyle="1">
    <w:name w:val="font91"/>
    <w:basedOn w:val="690"/>
    <w:uiPriority w:val="0"/>
    <w:qFormat/>
    <w:rPr>
      <w:rFonts w:ascii="Segoe UI Symbol" w:hAnsi="Segoe UI Symbol" w:eastAsia="Segoe UI Symbol" w:cs="Segoe UI Symbol"/>
      <w:color w:val="000000"/>
      <w:sz w:val="24"/>
      <w:szCs w:val="24"/>
      <w:u w:val="none"/>
    </w:rPr>
  </w:style>
  <w:style w:type="character" w:styleId="975" w:customStyle="1">
    <w:name w:val="font101"/>
    <w:uiPriority w:val="0"/>
    <w:qFormat/>
    <w:rPr>
      <w:rFonts w:ascii="Calibri" w:hAnsi="Calibri" w:cs="Calibri"/>
      <w:color w:val="000000"/>
      <w:sz w:val="24"/>
      <w:szCs w:val="24"/>
      <w:u w:val="none"/>
    </w:rPr>
  </w:style>
  <w:style w:type="paragraph" w:styleId="976"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77" w:customStyle="1">
    <w:name w:val="TableEmphasis"/>
    <w:basedOn w:val="680"/>
    <w:uiPriority w:val="0"/>
    <w:qFormat/>
    <w:rPr>
      <w:rFonts w:ascii="Times New Roman" w:hAnsi="Times New Roman" w:eastAsia="Times New Roman"/>
      <w:b/>
      <w:bCs/>
      <w:color w:val="3333ff"/>
      <w:sz w:val="16"/>
      <w:szCs w:val="18"/>
    </w:rPr>
  </w:style>
  <w:style w:type="paragraph" w:styleId="978" w:customStyle="1">
    <w:name w:val="修订1"/>
    <w:uiPriority w:val="99"/>
    <w:unhideWhenUsed/>
    <w:qFormat/>
    <w:rPr>
      <w:rFonts w:hint="default" w:ascii="Calibri" w:hAnsi="Calibri" w:eastAsia="宋体" w:cs="Times New Roman"/>
      <w:sz w:val="21"/>
      <w:szCs w:val="22"/>
      <w:lang w:val="en-US" w:eastAsia="zh-CN" w:bidi="ar-SA"/>
    </w:rPr>
  </w:style>
  <w:style w:type="paragraph" w:styleId="979" w:customStyle="1">
    <w:name w:val="修订2"/>
    <w:uiPriority w:val="99"/>
    <w:semiHidden/>
    <w:qFormat/>
    <w:rPr>
      <w:rFonts w:hint="default" w:ascii="Calibri" w:hAnsi="Calibri" w:eastAsia="宋体" w:cs="Times New Roman"/>
      <w:sz w:val="21"/>
      <w:szCs w:val="22"/>
      <w:lang w:val="en-US" w:eastAsia="zh-CN" w:bidi="ar-SA"/>
    </w:rPr>
  </w:style>
  <w:style w:type="character" w:styleId="980" w:customStyle="1">
    <w:name w:val="font11"/>
    <w:uiPriority w:val="0"/>
    <w:qFormat/>
    <w:rPr>
      <w:rFonts w:hint="eastAsia" w:ascii="宋体" w:hAnsi="宋体" w:eastAsia="宋体" w:cs="宋体"/>
      <w:color w:val="000000"/>
      <w:sz w:val="24"/>
      <w:szCs w:val="24"/>
      <w:u w:val="none"/>
    </w:rPr>
  </w:style>
  <w:style w:type="character" w:styleId="981" w:customStyle="1">
    <w:name w:val="font21"/>
    <w:basedOn w:val="690"/>
    <w:uiPriority w:val="0"/>
    <w:qFormat/>
    <w:rPr>
      <w:rFonts w:ascii="Segoe UI Symbol" w:hAnsi="Segoe UI Symbol" w:eastAsia="Segoe UI Symbol" w:cs="Segoe UI Symbol"/>
      <w:color w:val="000000"/>
      <w:sz w:val="24"/>
      <w:szCs w:val="24"/>
      <w:u w:val="none"/>
    </w:rPr>
  </w:style>
  <w:style w:type="character" w:styleId="982" w:customStyle="1">
    <w:name w:val="NormalCharacter1"/>
    <w:uiPriority w:val="0"/>
    <w:semiHidden/>
    <w:qFormat/>
  </w:style>
  <w:style w:type="character" w:styleId="983" w:customStyle="1">
    <w:name w:val="font31"/>
    <w:uiPriority w:val="0"/>
    <w:qFormat/>
    <w:rPr>
      <w:rFonts w:hint="eastAsia" w:ascii="宋体" w:hAnsi="宋体" w:eastAsia="宋体" w:cs="宋体"/>
      <w:color w:val="000000"/>
      <w:sz w:val="21"/>
      <w:szCs w:val="21"/>
      <w:u w:val="none"/>
    </w:rPr>
  </w:style>
  <w:style w:type="paragraph" w:styleId="984" w:customStyle="1">
    <w:name w:val="无间隔1"/>
    <w:uiPriority w:val="1"/>
    <w:qFormat/>
    <w:rPr>
      <w:rFonts w:hint="default" w:ascii="Times New Roman" w:hAnsi="Times New Roman" w:eastAsia="宋体" w:cs="Times New Roman"/>
      <w:lang w:val="en-US" w:eastAsia="zh-CN" w:bidi="ar-SA"/>
    </w:rPr>
  </w:style>
  <w:style w:type="paragraph" w:styleId="985" w:customStyle="1">
    <w:name w:val="索引 41"/>
    <w:basedOn w:val="680"/>
    <w:next w:val="680"/>
    <w:uiPriority w:val="99"/>
    <w:unhideWhenUsed/>
    <w:qFormat/>
    <w:pPr>
      <w:ind w:left="600"/>
    </w:pPr>
    <w:rPr>
      <w:rFonts w:ascii="Verdana" w:hAnsi="Verdana" w:eastAsia="微软雅黑"/>
      <w:szCs w:val="20"/>
    </w:rPr>
  </w:style>
  <w:style w:type="paragraph" w:styleId="986" w:customStyle="1">
    <w:name w:val="样式 宋体 加粗 居中"/>
    <w:basedOn w:val="680"/>
    <w:uiPriority w:val="0"/>
    <w:qFormat/>
    <w:pPr>
      <w:jc w:val="center"/>
    </w:pPr>
    <w:rPr>
      <w:rFonts w:ascii="宋体" w:hAnsi="宋体" w:cs="宋体"/>
      <w:b/>
      <w:bCs/>
      <w:sz w:val="32"/>
      <w:szCs w:val="20"/>
    </w:rPr>
  </w:style>
  <w:style w:type="character" w:styleId="987" w:customStyle="1">
    <w:name w:val="font151"/>
    <w:basedOn w:val="690"/>
    <w:uiPriority w:val="0"/>
    <w:qFormat/>
    <w:rPr>
      <w:rFonts w:hint="eastAsia" w:ascii="宋体" w:hAnsi="宋体" w:eastAsia="宋体" w:cs="宋体"/>
      <w:color w:val="000000"/>
      <w:sz w:val="24"/>
      <w:szCs w:val="24"/>
      <w:u w:val="none"/>
    </w:rPr>
  </w:style>
  <w:style w:type="character" w:styleId="988" w:customStyle="1">
    <w:name w:val="font161"/>
    <w:basedOn w:val="690"/>
    <w:uiPriority w:val="0"/>
    <w:qFormat/>
    <w:rPr>
      <w:rFonts w:hint="eastAsia" w:ascii="宋体" w:hAnsi="宋体" w:eastAsia="宋体" w:cs="宋体"/>
      <w:color w:val="000000"/>
      <w:sz w:val="24"/>
      <w:szCs w:val="24"/>
      <w:u w:val="none"/>
    </w:rPr>
  </w:style>
  <w:style w:type="character" w:styleId="989" w:customStyle="1">
    <w:name w:val="font171"/>
    <w:basedOn w:val="690"/>
    <w:uiPriority w:val="0"/>
    <w:qFormat/>
    <w:rPr>
      <w:rFonts w:hint="eastAsia" w:ascii="宋体" w:hAnsi="宋体" w:eastAsia="宋体" w:cs="宋体"/>
      <w:color w:val="000000"/>
      <w:sz w:val="24"/>
      <w:szCs w:val="24"/>
      <w:u w:val="none"/>
    </w:rPr>
  </w:style>
  <w:style w:type="table" w:styleId="990" w:customStyle="1">
    <w:name w:val="Table Normal"/>
    <w:uiPriority w:val="2"/>
    <w:semiHidden/>
    <w:unhideWhenUsed/>
    <w:qFormat/>
    <w:tblPr>
      <w:tblCellMar>
        <w:left w:w="0" w:type="dxa"/>
        <w:top w:w="0" w:type="dxa"/>
        <w:right w:w="0" w:type="dxa"/>
        <w:bottom w:w="0" w:type="dxa"/>
      </w:tblCellMar>
    </w:tblPr>
  </w:style>
  <w:style w:type="character" w:styleId="991" w:customStyle="1">
    <w:name w:val="NormalCharacter"/>
    <w:uiPriority w:val="0"/>
    <w:semiHidden/>
    <w:qFormat/>
    <w:rPr>
      <w:rFonts w:ascii="Calibri" w:hAnsi="Calibri" w:eastAsia="宋体" w:cs="Times New Roman"/>
      <w:sz w:val="21"/>
      <w:szCs w:val="22"/>
      <w:lang w:val="en-US" w:eastAsia="zh-CN" w:bidi="ar-SA"/>
    </w:rPr>
  </w:style>
  <w:style w:type="paragraph" w:styleId="992" w:customStyle="1">
    <w:name w:val="正文(其它)"/>
    <w:basedOn w:val="680"/>
    <w:uiPriority w:val="99"/>
    <w:qFormat/>
    <w:pPr>
      <w:ind w:firstLine="0"/>
      <w:jc w:val="center"/>
    </w:pPr>
    <w:rPr>
      <w:rFonts w:ascii="黑体" w:eastAsia="黑体"/>
      <w:sz w:val="32"/>
      <w:szCs w:val="32"/>
    </w:rPr>
  </w:style>
  <w:style w:type="numbering" w:styleId="14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nlyoffice.com/commentsDocument" Target="commentsDocument.xml" /><Relationship Id="rId17" Type="http://schemas.onlyoffice.com/commentsExtendedDocument" Target="commentsExtendedDocument.xml" /><Relationship Id="rId18" Type="http://schemas.onlyoffice.com/commentsIdsDocument" Target="commentsIdsDocument.xml" /><Relationship Id="rId19"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刘洋</cp:lastModifiedBy>
  <cp:revision>20</cp:revision>
  <dcterms:created xsi:type="dcterms:W3CDTF">2024-08-07T07:47:00Z</dcterms:created>
  <dcterms:modified xsi:type="dcterms:W3CDTF">2026-09-24T02:35:26Z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50861CB8059F475DAE14289DC9862274_13</vt:lpwstr>
  </property>
  <property fmtid="{D5CDD505-2E9C-101B-9397-08002B2CF9AE}" pid="4" name="KSOTemplateDocerSaveRecord">
    <vt:lpwstr>eyJoZGlkIjoiOGNhMmY2MTcwYzE2ZDNkYjhjMjlkYmYwM2MzNmE0MWYiLCJ1c2VySWQiOiIyMzUzNzM0NTYifQ==</vt:lpwstr>
  </property>
</Properties>
</file>