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江阴市人民医院手术机器人项目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JSZC-320281-JZCG-G2026-0071</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53"/>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754"/>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Fonts w:eastAsia="宋体"/>
            <w:sz w:val="30"/>
            <w:szCs w:val="30"/>
          </w:rPr>
          <w:t xml:space="preserve">- 2 -</w:t>
        </w:r>
        <w:r>
          <w:rPr>
            <w:rFonts w:eastAsia="宋体"/>
            <w:sz w:val="30"/>
            <w:szCs w:val="30"/>
          </w:rPr>
          <w:fldChar w:fldCharType="end"/>
        </w:r>
      </w:hyperlink>
      <w:r/>
      <w:r/>
    </w:p>
    <w:p>
      <w:pPr>
        <w:pStyle w:val="753"/>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754"/>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Fonts w:eastAsia="宋体"/>
            <w:sz w:val="30"/>
            <w:szCs w:val="30"/>
          </w:rPr>
          <w:t xml:space="preserve">- 5 -</w:t>
        </w:r>
        <w:r>
          <w:rPr>
            <w:rFonts w:eastAsia="宋体"/>
            <w:sz w:val="30"/>
            <w:szCs w:val="30"/>
          </w:rPr>
          <w:fldChar w:fldCharType="end"/>
        </w:r>
      </w:hyperlink>
      <w:r/>
      <w:r/>
    </w:p>
    <w:p>
      <w:pPr>
        <w:pStyle w:val="753"/>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754"/>
            <w:rFonts w:hint="eastAsia" w:ascii="宋体" w:hAnsi="宋体" w:eastAsia="宋体"/>
            <w:color w:val="auto"/>
            <w:sz w:val="30"/>
            <w:szCs w:val="30"/>
          </w:rPr>
          <w:t xml:space="preserve">第三章　</w:t>
        </w:r>
        <w:r>
          <w:rPr>
            <w:rStyle w:val="754"/>
            <w:rFonts w:hint="eastAsia" w:ascii="宋体" w:hAnsi="宋体" w:eastAsia="宋体"/>
            <w:color w:val="auto"/>
            <w:sz w:val="30"/>
            <w:szCs w:val="30"/>
          </w:rPr>
          <w:t xml:space="preserve">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Fonts w:eastAsia="宋体"/>
            <w:sz w:val="30"/>
            <w:szCs w:val="30"/>
          </w:rPr>
          <w:t xml:space="preserve">- 18 -</w:t>
        </w:r>
        <w:r>
          <w:rPr>
            <w:rFonts w:eastAsia="宋体"/>
            <w:sz w:val="30"/>
            <w:szCs w:val="30"/>
          </w:rPr>
          <w:fldChar w:fldCharType="end"/>
        </w:r>
      </w:hyperlink>
      <w:r/>
      <w:r/>
    </w:p>
    <w:p>
      <w:pPr>
        <w:pStyle w:val="753"/>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754"/>
            <w:rFonts w:hint="eastAsia" w:ascii="宋体" w:hAnsi="宋体" w:eastAsia="宋体"/>
            <w:color w:val="auto"/>
            <w:sz w:val="30"/>
            <w:szCs w:val="30"/>
          </w:rPr>
          <w:t xml:space="preserve">第四章</w:t>
        </w:r>
        <w:r>
          <w:rPr>
            <w:rStyle w:val="754"/>
            <w:rFonts w:ascii="宋体" w:hAnsi="宋体" w:eastAsia="宋体"/>
            <w:color w:val="auto"/>
            <w:sz w:val="30"/>
            <w:szCs w:val="30"/>
          </w:rPr>
          <w:t xml:space="preserve">  </w:t>
        </w:r>
        <w:r>
          <w:rPr>
            <w:rStyle w:val="754"/>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Fonts w:eastAsia="宋体"/>
            <w:sz w:val="30"/>
            <w:szCs w:val="30"/>
          </w:rPr>
          <w:t xml:space="preserve">- 25 -</w:t>
        </w:r>
        <w:r>
          <w:rPr>
            <w:rFonts w:eastAsia="宋体"/>
            <w:sz w:val="30"/>
            <w:szCs w:val="30"/>
          </w:rPr>
          <w:fldChar w:fldCharType="end"/>
        </w:r>
      </w:hyperlink>
      <w:r/>
      <w:r/>
    </w:p>
    <w:p>
      <w:pPr>
        <w:pStyle w:val="753"/>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754"/>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Fonts w:eastAsia="宋体"/>
            <w:sz w:val="30"/>
            <w:szCs w:val="30"/>
          </w:rPr>
          <w:t xml:space="preserve">- 28 -</w:t>
        </w:r>
        <w:r>
          <w:rPr>
            <w:rFonts w:eastAsia="宋体"/>
            <w:sz w:val="30"/>
            <w:szCs w:val="30"/>
          </w:rPr>
          <w:fldChar w:fldCharType="end"/>
        </w:r>
      </w:hyperlink>
      <w:r/>
      <w:r/>
    </w:p>
    <w:p>
      <w:pPr>
        <w:pStyle w:val="753"/>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754"/>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Fonts w:eastAsia="宋体"/>
            <w:sz w:val="30"/>
            <w:szCs w:val="30"/>
          </w:rPr>
          <w:t xml:space="preserve">- 32 -</w:t>
        </w:r>
        <w:r>
          <w:rPr>
            <w:rFonts w:eastAsia="宋体"/>
            <w:sz w:val="30"/>
            <w:szCs w:val="30"/>
          </w:rPr>
          <w:fldChar w:fldCharType="end"/>
        </w:r>
      </w:hyperlink>
      <w:r/>
      <w:r/>
    </w:p>
    <w:p>
      <w:pPr>
        <w:pStyle w:val="751"/>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751"/>
      </w:pPr>
      <w:r/>
      <w:r/>
    </w:p>
    <w:p>
      <w:pPr>
        <w:pStyle w:val="751"/>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江阴市人民医院手术机器人项目</w:t>
      </w:r>
      <w:r>
        <w:rPr>
          <w:rFonts w:ascii="宋体" w:hAnsi="宋体" w:eastAsia="宋体" w:cs="Times New Roman"/>
          <w:bCs/>
          <w:sz w:val="24"/>
          <w:szCs w:val="24"/>
        </w:rPr>
        <w:t xml:space="preserve">JSZC-320281-JZCG-G2026-0071</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-20</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JSZC-320281-JZCG-G2026-0071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江阴市人民医院手术机器人项目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1900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1363</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江阴市人民医院手术机器人项目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w:t>
      </w:r>
      <w:r>
        <w:rPr>
          <w:rFonts w:hint="eastAsia" w:ascii="宋体" w:hAnsi="宋体" w:eastAsia="宋体" w:cs="Times New Roman"/>
          <w:sz w:val="24"/>
          <w:szCs w:val="24"/>
        </w:rPr>
        <w:t xml:space="preserve">“信用中国”网站、中国政府采购网</w:t>
      </w:r>
      <w:r>
        <w:rPr>
          <w:rFonts w:hint="eastAsia" w:ascii="宋体" w:hAnsi="宋体" w:eastAsia="宋体" w:cs="Times New Roman"/>
          <w:sz w:val="24"/>
          <w:szCs w:val="24"/>
        </w:rPr>
        <w:t xml:space="preserve">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投标产品属于医疗器械注册范畴的，投标人须具有《医疗器械经营许可证》（或《医疗器械经营备案凭证》）且在经营范围内。</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-20</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宋体"/>
          <w:sz w:val="24"/>
          <w:szCs w:val="28"/>
        </w:rPr>
      </w:pPr>
      <w:r>
        <w:rPr>
          <w:rFonts w:hint="eastAsia" w:ascii="宋体" w:hAnsi="宋体" w:eastAsia="宋体" w:cs="宋体"/>
          <w:sz w:val="24"/>
          <w:szCs w:val="24"/>
        </w:rPr>
        <w:t xml:space="preserve">单位地址：</w:t>
      </w:r>
      <w:r>
        <w:rPr>
          <w:rFonts w:hint="eastAsia" w:ascii="宋体" w:hAnsi="宋体" w:eastAsia="宋体" w:cs="宋体"/>
          <w:sz w:val="24"/>
          <w:szCs w:val="28"/>
        </w:rPr>
        <w:t xml:space="preserve">江阴市寿山路</w:t>
      </w:r>
      <w:r>
        <w:rPr>
          <w:rFonts w:hint="eastAsia" w:ascii="宋体" w:hAnsi="宋体" w:eastAsia="宋体" w:cs="宋体"/>
          <w:sz w:val="24"/>
          <w:szCs w:val="28"/>
        </w:rPr>
        <w:t xml:space="preserve">163号</w:t>
      </w:r>
      <w:r/>
    </w:p>
    <w:p>
      <w:pPr>
        <w:ind w:firstLine="480"/>
        <w:jc w:val="left"/>
        <w:spacing w:line="400" w:lineRule="exact"/>
        <w:rPr>
          <w:rFonts w:ascii="宋体" w:hAnsi="宋体" w:eastAsia="宋体" w:cs="宋体"/>
          <w:sz w:val="24"/>
          <w:szCs w:val="28"/>
        </w:rPr>
      </w:pPr>
      <w:r>
        <w:rPr>
          <w:rFonts w:hint="eastAsia" w:ascii="宋体" w:hAnsi="宋体" w:eastAsia="宋体" w:cs="宋体"/>
          <w:sz w:val="24"/>
          <w:szCs w:val="28"/>
        </w:rPr>
        <w:t xml:space="preserve">项目联系人：仲先生</w:t>
      </w:r>
      <w:r/>
    </w:p>
    <w:p>
      <w:pPr>
        <w:ind w:firstLine="480"/>
        <w:jc w:val="left"/>
        <w:spacing w:line="400" w:lineRule="exact"/>
        <w:rPr>
          <w:rFonts w:ascii="宋体" w:hAnsi="宋体" w:eastAsia="宋体" w:cs="宋体"/>
          <w:sz w:val="24"/>
          <w:szCs w:val="28"/>
        </w:rPr>
      </w:pPr>
      <w:r>
        <w:rPr>
          <w:rFonts w:hint="eastAsia" w:ascii="宋体" w:hAnsi="宋体" w:eastAsia="宋体" w:cs="宋体"/>
          <w:sz w:val="24"/>
          <w:szCs w:val="28"/>
        </w:rPr>
        <w:t xml:space="preserve">联系电话：0510-88017546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51"/>
      </w:pPr>
      <w:r/>
      <w:r/>
    </w:p>
    <w:p>
      <w:pPr>
        <w:pStyle w:val="751"/>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投标产品属于医疗器械注册范畴的，须提供《医疗器械注册证》；（扫描件）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宋体"/>
          <w:sz w:val="24"/>
          <w:szCs w:val="24"/>
        </w:rPr>
        <w:t xml:space="preserve">产品配置清单</w:t>
      </w:r>
      <w:r>
        <w:rPr>
          <w:rFonts w:hint="eastAsia" w:ascii="宋体" w:hAnsi="宋体" w:eastAsia="宋体" w:cs="宋体"/>
          <w:sz w:val="24"/>
          <w:szCs w:val="24"/>
        </w:rPr>
        <w:t xml:space="preserve">；</w:t>
      </w:r>
      <w:r>
        <w:rPr>
          <w:rFonts w:hint="eastAsia" w:ascii="宋体" w:hAnsi="宋体" w:eastAsia="宋体" w:cs="宋体"/>
          <w:sz w:val="24"/>
          <w:szCs w:val="24"/>
        </w:rPr>
        <w:t xml:space="preserve">（格式自拟）</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投标产品属于医疗器械注册范畴的，投标人须具有《医疗器械经营许可证》（或《医疗器械经营备案凭证》）且在经营范围内。</w:t>
      </w:r>
      <w:r>
        <w:rPr>
          <w:rFonts w:hint="eastAsia" w:ascii="宋体" w:hAnsi="宋体" w:eastAsia="宋体" w:cs="Times New Roman"/>
          <w:bCs/>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bookmarkStart w:id="10" w:name="_GoBack"/>
      <w:r/>
      <w:bookmarkEnd w:id="10"/>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w:t>
      </w:r>
      <w:r>
        <w:rPr>
          <w:rFonts w:hint="eastAsia" w:ascii="宋体" w:hAnsi="宋体" w:eastAsia="宋体" w:cs="Times New Roman"/>
          <w:sz w:val="24"/>
          <w:szCs w:val="24"/>
        </w:rPr>
        <w:t xml:space="preserve">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w:t>
      </w:r>
      <w:r>
        <w:rPr>
          <w:rFonts w:hint="eastAsia" w:ascii="宋体" w:hAnsi="宋体" w:eastAsia="宋体" w:cs="Times New Roman"/>
          <w:sz w:val="24"/>
          <w:szCs w:val="24"/>
        </w:rPr>
        <w:t xml:space="preserve">“</w:t>
      </w:r>
      <w:r>
        <w:rPr>
          <w:rFonts w:ascii="宋体" w:hAnsi="宋体" w:eastAsia="宋体" w:cs="Times New Roman"/>
          <w:sz w:val="24"/>
          <w:szCs w:val="24"/>
        </w:rPr>
        <w:t xml:space="preserve">信用中国”网站、中国政府采购网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”系统向投标人发布“澄清要求函”，接到“澄清要求函”的投标人应当按要求在规定时间内通过“苏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w:t>
      </w:r>
      <w:r>
        <w:rPr>
          <w:rFonts w:hint="eastAsia" w:ascii="宋体" w:hAnsi="宋体" w:eastAsia="宋体" w:cs="Times New Roman"/>
          <w:b/>
          <w:sz w:val="24"/>
          <w:szCs w:val="24"/>
        </w:rPr>
        <w:t xml:space="preserve">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w:t>
      </w:r>
      <w:r>
        <w:rPr>
          <w:rFonts w:hint="eastAsia" w:ascii="宋体" w:hAnsi="宋体" w:eastAsia="宋体" w:cs="Times New Roman"/>
          <w:b/>
          <w:sz w:val="24"/>
          <w:szCs w:val="24"/>
        </w:rPr>
        <w:t xml:space="preserve">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u w:val="single"/>
        </w:rPr>
        <w:t xml:space="preserve">采购人收件人：仲先生  收件地址：</w:t>
      </w:r>
      <w:r>
        <w:rPr>
          <w:rFonts w:hint="eastAsia" w:ascii="宋体" w:hAnsi="宋体" w:eastAsia="宋体" w:cs="宋体"/>
          <w:sz w:val="24"/>
          <w:szCs w:val="24"/>
          <w:u w:val="single"/>
        </w:rPr>
        <w:t xml:space="preserve">江阴市寿山路</w:t>
      </w:r>
      <w:r>
        <w:rPr>
          <w:rFonts w:hint="eastAsia" w:ascii="宋体" w:hAnsi="宋体" w:eastAsia="宋体" w:cs="宋体"/>
          <w:sz w:val="24"/>
          <w:szCs w:val="24"/>
          <w:u w:val="single"/>
        </w:rPr>
        <w:t xml:space="preserve">163号  收件电话：0510-88017546</w:t>
      </w:r>
      <w:r>
        <w:rPr>
          <w:rFonts w:hint="eastAsia" w:ascii="宋体" w:hAnsi="宋体" w:eastAsia="宋体" w:cs="宋体"/>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w:t>
      </w:r>
      <w:r>
        <w:rPr>
          <w:rFonts w:hint="eastAsia" w:ascii="宋体" w:hAnsi="宋体" w:eastAsia="宋体" w:cs="Times New Roman"/>
          <w:sz w:val="24"/>
          <w:szCs w:val="24"/>
        </w:rPr>
        <w:t xml:space="preserve">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w:t>
      </w:r>
      <w:r>
        <w:rPr>
          <w:rFonts w:hint="eastAsia" w:ascii="宋体" w:hAnsi="宋体" w:eastAsia="宋体" w:cs="Times New Roman"/>
          <w:b/>
          <w:sz w:val="24"/>
          <w:szCs w:val="24"/>
        </w:rPr>
        <w:t xml:space="preserve">给予</w:t>
      </w:r>
      <w:r>
        <w:rPr>
          <w:rFonts w:hint="eastAsia" w:ascii="宋体" w:hAnsi="宋体" w:eastAsia="宋体" w:cs="Times New Roman"/>
          <w:b/>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政府采购活动中既有本</w:t>
      </w:r>
      <w:r>
        <w:rPr>
          <w:rFonts w:hint="eastAsia" w:ascii="宋体" w:hAnsi="宋体" w:eastAsia="宋体" w:cs="Times New Roman"/>
          <w:sz w:val="24"/>
          <w:szCs w:val="24"/>
        </w:rPr>
        <w:t xml:space="preserve">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w:t>
      </w:r>
      <w:r>
        <w:rPr>
          <w:rFonts w:hint="eastAsia" w:ascii="宋体" w:hAnsi="宋体" w:eastAsia="宋体" w:cs="Times New Roman"/>
          <w:sz w:val="24"/>
          <w:szCs w:val="24"/>
        </w:rPr>
        <w:t xml:space="preserve">分项报价</w:t>
      </w:r>
      <w:r>
        <w:rPr>
          <w:rFonts w:hint="eastAsia" w:ascii="宋体" w:hAnsi="宋体" w:eastAsia="宋体" w:cs="Times New Roman"/>
          <w:sz w:val="24"/>
          <w:szCs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提供本国产品进行投标（报价）的供应商需在其投标（响应）文件中提供《关于符合本国产品标准的声明函》（格式见</w:t>
      </w:r>
      <w:r>
        <w:rPr>
          <w:rFonts w:hint="eastAsia" w:ascii="宋体" w:hAnsi="宋体" w:eastAsia="宋体" w:cs="Times New Roman"/>
          <w:sz w:val="24"/>
          <w:szCs w:val="24"/>
        </w:rPr>
        <w:t xml:space="preserve">附件</w:t>
      </w:r>
      <w:r>
        <w:rPr>
          <w:rFonts w:hint="eastAsia" w:ascii="宋体" w:hAnsi="宋体" w:eastAsia="宋体" w:cs="Times New Roman"/>
          <w:sz w:val="24"/>
          <w:szCs w:val="24"/>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w:t>
      </w:r>
      <w:r>
        <w:rPr>
          <w:rFonts w:hint="eastAsia" w:ascii="宋体" w:hAnsi="宋体" w:eastAsia="宋体" w:cs="Times New Roman"/>
          <w:sz w:val="24"/>
          <w:szCs w:val="24"/>
        </w:rPr>
        <w:t xml:space="preserve">国产品标准的声明函》或财政部门会同有关部门规定的有关证明文件的</w:t>
      </w:r>
      <w:r>
        <w:rPr>
          <w:rFonts w:hint="eastAsia" w:ascii="宋体" w:hAnsi="宋体" w:eastAsia="宋体" w:cs="Times New Roman"/>
          <w:sz w:val="24"/>
          <w:szCs w:val="24"/>
        </w:rPr>
        <w:t xml:space="preserve">，将不得享受本国产品价格扣除政策。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的，对该供应商的产品同时给予支持本国产品和小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w:t>
      </w:r>
      <w:r>
        <w:rPr>
          <w:rFonts w:hint="eastAsia" w:ascii="宋体" w:hAnsi="宋体" w:eastAsia="宋体" w:cs="Times New Roman"/>
          <w:sz w:val="24"/>
          <w:szCs w:val="24"/>
        </w:rPr>
        <w:t xml:space="preserve">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w:t>
      </w:r>
      <w:r>
        <w:rPr>
          <w:rFonts w:ascii="宋体" w:hAnsi="宋体" w:eastAsia="宋体" w:cs="Times New Roman"/>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751"/>
        <w:sectPr>
          <w:footnotePr/>
          <w:endnotePr/>
          <w:type w:val="nextPage"/>
          <w:pgSz w:w="11906" w:h="16838" w:orient="portrait"/>
          <w:pgMar w:top="1247" w:right="1247" w:bottom="1247" w:left="1247" w:header="680" w:footer="992" w:gutter="0"/>
          <w:cols w:num="1" w:sep="0" w:space="720" w:equalWidth="1"/>
          <w:docGrid w:linePitch="360"/>
        </w:sectPr>
      </w:pPr>
      <w:r/>
      <w:r/>
    </w:p>
    <w:p>
      <w:pPr>
        <w:pStyle w:val="751"/>
      </w:pPr>
      <w:r/>
      <w:r/>
    </w:p>
    <w:p>
      <w:pPr>
        <w:pStyle w:val="751"/>
      </w:pPr>
      <w:r/>
      <w:bookmarkStart w:id="11" w:name="_Toc213847315"/>
      <w:r>
        <w:rPr>
          <w:rFonts w:hint="eastAsia"/>
        </w:rPr>
        <w:t xml:space="preserve">第三章　</w:t>
      </w:r>
      <w:bookmarkStart w:id="12" w:name="_Toc251268361"/>
      <w:r/>
      <w:bookmarkEnd w:id="11"/>
      <w:r>
        <w:rPr>
          <w:rFonts w:hint="eastAsia"/>
        </w:rPr>
        <w:t xml:space="preserve">采购需求</w:t>
      </w:r>
      <w:r/>
    </w:p>
    <w:p>
      <w:pPr>
        <w:jc w:val="center"/>
        <w:spacing w:line="400" w:lineRule="exact"/>
        <w:rPr>
          <w:rFonts w:ascii="宋体" w:hAnsi="宋体" w:eastAsia="宋体" w:cs="宋体"/>
          <w:sz w:val="24"/>
          <w:szCs w:val="24"/>
        </w:rPr>
      </w:pPr>
      <w:r>
        <w:rPr>
          <w:rFonts w:hint="eastAsia" w:ascii="宋体" w:hAnsi="宋体" w:eastAsia="宋体" w:cs="宋体"/>
          <w:b/>
          <w:bCs/>
          <w:sz w:val="24"/>
          <w:szCs w:val="24"/>
        </w:rPr>
        <w:t xml:space="preserve">（以下除“三、详细的技术参数要求”中的非打“★”项外，其余均为实质性要求）</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一、项目概述：</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本采购项目为江阴市人民医院手术机器人项目，拟购置腹腔镜内窥镜手术系统1套。本项目</w:t>
      </w:r>
      <w:r>
        <w:rPr>
          <w:rFonts w:hint="eastAsia" w:ascii="宋体" w:hAnsi="宋体" w:eastAsia="宋体" w:cs="宋体"/>
          <w:sz w:val="24"/>
          <w:szCs w:val="24"/>
        </w:rPr>
        <w:t xml:space="preserve">最高限价：1363万元。</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本项目标的所属行业：工业。</w:t>
      </w:r>
      <w:r/>
    </w:p>
    <w:p>
      <w:pPr>
        <w:ind w:firstLine="482"/>
        <w:spacing w:line="400" w:lineRule="exact"/>
        <w:rPr>
          <w:rFonts w:ascii="宋体" w:hAnsi="宋体" w:eastAsia="宋体" w:cs="宋体"/>
          <w:bCs/>
          <w:sz w:val="24"/>
          <w:szCs w:val="24"/>
        </w:rPr>
      </w:pPr>
      <w:r>
        <w:rPr>
          <w:rFonts w:hint="eastAsia" w:ascii="宋体" w:hAnsi="宋体" w:eastAsia="宋体" w:cs="宋体"/>
          <w:bCs/>
          <w:sz w:val="24"/>
          <w:szCs w:val="24"/>
        </w:rPr>
        <w:t xml:space="preserve">本项目不允许采购进口产品。</w:t>
      </w:r>
      <w:r/>
    </w:p>
    <w:p>
      <w:pPr>
        <w:ind w:firstLine="482"/>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二、项目采购清单：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20"/>
        <w:gridCol w:w="1024"/>
        <w:gridCol w:w="832"/>
        <w:gridCol w:w="7252"/>
      </w:tblGrid>
      <w:tr>
        <w:trPr>
          <w:jc w:val="center"/>
          <w:trHeight w:val="20"/>
        </w:trPr>
        <w:tc>
          <w:tcPr>
            <w:tcW w:w="0" w:type="auto"/>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名称</w:t>
            </w:r>
            <w:r/>
          </w:p>
        </w:tc>
        <w:tc>
          <w:tcPr>
            <w:tcW w:w="432" w:type="pct"/>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数量</w:t>
            </w:r>
            <w:r/>
          </w:p>
        </w:tc>
        <w:tc>
          <w:tcPr>
            <w:tcW w:w="3766" w:type="pct"/>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20"/>
        </w:trPr>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w:t>
            </w:r>
            <w:r/>
          </w:p>
        </w:tc>
        <w:tc>
          <w:tcPr>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腹腔镜内窥镜手术系统</w:t>
            </w:r>
            <w:r/>
          </w:p>
        </w:tc>
        <w:tc>
          <w:tcPr>
            <w:tcW w:w="432"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1套</w:t>
            </w:r>
            <w:r/>
          </w:p>
        </w:tc>
        <w:tc>
          <w:tcPr>
            <w:tcW w:w="3766" w:type="pct"/>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1、具体配置要求见下表，投标人须提供</w:t>
            </w:r>
            <w:r>
              <w:rPr>
                <w:rFonts w:hint="eastAsia" w:ascii="宋体" w:hAnsi="宋体" w:eastAsia="宋体" w:cs="宋体"/>
                <w:b/>
                <w:sz w:val="24"/>
                <w:szCs w:val="24"/>
              </w:rPr>
              <w:t xml:space="preserve">《产品配置清单》（格式自拟，未提供将作为无效投标）</w:t>
            </w:r>
            <w:r>
              <w:rPr>
                <w:rFonts w:hint="eastAsia" w:ascii="宋体" w:hAnsi="宋体" w:eastAsia="宋体" w:cs="宋体"/>
                <w:sz w:val="24"/>
                <w:szCs w:val="24"/>
              </w:rPr>
              <w:t xml:space="preserve">，所有配置不得低于下表要求。</w:t>
            </w:r>
            <w:r/>
          </w:p>
          <w:p>
            <w:pPr>
              <w:jc w:val="left"/>
              <w:spacing w:line="400" w:lineRule="exact"/>
              <w:rPr>
                <w:rFonts w:ascii="宋体" w:hAnsi="宋体" w:eastAsia="宋体" w:cs="宋体"/>
                <w:sz w:val="24"/>
                <w:szCs w:val="24"/>
                <w:shd w:val="clear" w:color="auto" w:fill="ffffff"/>
              </w:rPr>
            </w:pPr>
            <w:r>
              <w:rPr>
                <w:rFonts w:hint="eastAsia" w:ascii="宋体" w:hAnsi="宋体" w:eastAsia="宋体" w:cs="宋体"/>
                <w:sz w:val="24"/>
                <w:szCs w:val="24"/>
              </w:rPr>
              <w:t xml:space="preserve">2、针对</w:t>
            </w:r>
            <w:r>
              <w:rPr>
                <w:rFonts w:hint="eastAsia" w:ascii="宋体" w:hAnsi="宋体" w:eastAsia="宋体" w:cs="宋体"/>
                <w:sz w:val="24"/>
                <w:szCs w:val="24"/>
                <w:shd w:val="clear" w:color="auto" w:fill="ffffff"/>
              </w:rPr>
              <w:t xml:space="preserve">配置要求中的序号15—25项产品，投标人须按“一次性使用耗材”与“可复用手术器械”两类，</w:t>
            </w:r>
            <w:r>
              <w:rPr>
                <w:rFonts w:hint="eastAsia" w:ascii="宋体" w:hAnsi="宋体" w:eastAsia="宋体" w:cs="宋体"/>
                <w:b/>
                <w:sz w:val="24"/>
                <w:szCs w:val="24"/>
                <w:shd w:val="clear" w:color="auto" w:fill="ffffff"/>
              </w:rPr>
              <w:t xml:space="preserve">标注类别并列出各项单价</w:t>
            </w:r>
            <w:r>
              <w:rPr>
                <w:rFonts w:hint="eastAsia" w:ascii="宋体" w:hAnsi="宋体" w:eastAsia="宋体" w:cs="宋体"/>
                <w:sz w:val="24"/>
                <w:szCs w:val="24"/>
                <w:shd w:val="clear" w:color="auto" w:fill="ffffff"/>
              </w:rPr>
              <w:t xml:space="preserve">，作为后续同类采购的最高限价参考依据。其中，一次性使用耗材不得重复使用；可复用手术器械还须</w:t>
            </w:r>
            <w:r>
              <w:rPr>
                <w:rFonts w:hint="eastAsia" w:ascii="宋体" w:hAnsi="宋体" w:eastAsia="宋体" w:cs="宋体"/>
                <w:b/>
                <w:sz w:val="24"/>
                <w:szCs w:val="24"/>
                <w:shd w:val="clear" w:color="auto" w:fill="ffffff"/>
              </w:rPr>
              <w:t xml:space="preserve">注明可重复消毒/灭菌次数</w:t>
            </w:r>
            <w:r>
              <w:rPr>
                <w:rFonts w:hint="eastAsia" w:ascii="宋体" w:hAnsi="宋体" w:eastAsia="宋体" w:cs="宋体"/>
                <w:sz w:val="24"/>
                <w:szCs w:val="24"/>
                <w:shd w:val="clear" w:color="auto" w:fill="ffffff"/>
              </w:rPr>
              <w:t xml:space="preserve">。</w:t>
            </w:r>
            <w:r/>
          </w:p>
        </w:tc>
      </w:tr>
    </w:tbl>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具体配置要求：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9"/>
        <w:gridCol w:w="6380"/>
        <w:gridCol w:w="1689"/>
      </w:tblGrid>
      <w:tr>
        <w:trPr>
          <w:jc w:val="center"/>
          <w:trHeight w:val="20"/>
        </w:trPr>
        <w:tc>
          <w:tcPr>
            <w:shd w:val="clear" w:color="auto" w:fill="auto"/>
            <w:tcW w:w="0" w:type="auto"/>
            <w:vAlign w:val="center"/>
            <w:textDirection w:val="lrTb"/>
            <w:noWrap w:val="false"/>
          </w:tcPr>
          <w:p>
            <w:pPr>
              <w:jc w:val="center"/>
              <w:spacing w:line="400" w:lineRule="exact"/>
              <w:widowControl/>
              <w:rPr>
                <w:rFonts w:ascii="宋体" w:hAnsi="宋体" w:eastAsia="宋体" w:cs="宋体"/>
                <w:b/>
                <w:sz w:val="24"/>
                <w:szCs w:val="24"/>
                <w:lang w:bidi="ar"/>
              </w:rPr>
            </w:pPr>
            <w:r>
              <w:rPr>
                <w:rFonts w:hint="eastAsia" w:ascii="宋体" w:hAnsi="宋体" w:eastAsia="宋体" w:cs="宋体"/>
                <w:b/>
                <w:sz w:val="24"/>
                <w:szCs w:val="24"/>
                <w:lang w:bidi="ar"/>
              </w:rPr>
              <w:t xml:space="preserve">序号</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b/>
                <w:sz w:val="24"/>
                <w:szCs w:val="24"/>
                <w:lang w:bidi="ar"/>
              </w:rPr>
            </w:pPr>
            <w:r>
              <w:rPr>
                <w:rFonts w:hint="eastAsia" w:ascii="宋体" w:hAnsi="宋体" w:eastAsia="宋体" w:cs="宋体"/>
                <w:b/>
                <w:sz w:val="24"/>
                <w:szCs w:val="24"/>
                <w:lang w:bidi="ar"/>
              </w:rPr>
              <w:t xml:space="preserve">配置名称</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b/>
                <w:sz w:val="24"/>
                <w:szCs w:val="24"/>
                <w:lang w:bidi="ar"/>
              </w:rPr>
            </w:pPr>
            <w:r>
              <w:rPr>
                <w:rFonts w:hint="eastAsia" w:ascii="宋体" w:hAnsi="宋体" w:eastAsia="宋体" w:cs="宋体"/>
                <w:b/>
                <w:sz w:val="24"/>
                <w:szCs w:val="24"/>
                <w:lang w:bidi="ar"/>
              </w:rPr>
              <w:t xml:space="preserve">数量</w:t>
            </w:r>
            <w:r/>
          </w:p>
        </w:tc>
      </w:tr>
      <w:tr>
        <w:trPr>
          <w:jc w:val="center"/>
          <w:trHeight w:val="20"/>
        </w:trPr>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医生控制台</w:t>
            </w:r>
            <w:r/>
          </w:p>
        </w:tc>
        <w:tc>
          <w:tcPr>
            <w:shd w:val="clear" w:color="auto" w:fill="auto"/>
            <w:tcW w:w="0" w:type="auto"/>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患者手术平台</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影像处理平台</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主刀医生座椅</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1把</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高频电外科系统</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30度三维电子内窥镜</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2把</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超声高频外科能量平台</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气腹机</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1台</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内窥镜消毒托盘（钢制）</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器械套管</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钝型闭孔</w:t>
            </w:r>
            <w:r>
              <w:rPr>
                <w:rFonts w:hint="eastAsia" w:ascii="宋体" w:hAnsi="宋体" w:eastAsia="宋体" w:cs="宋体"/>
                <w:sz w:val="24"/>
                <w:szCs w:val="24"/>
              </w:rPr>
              <w:t xml:space="preserve">器</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单极高频电缆</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双</w:t>
            </w:r>
            <w:r>
              <w:rPr>
                <w:rFonts w:hint="eastAsia" w:ascii="宋体" w:hAnsi="宋体" w:eastAsia="宋体" w:cs="宋体"/>
                <w:sz w:val="24"/>
                <w:szCs w:val="24"/>
              </w:rPr>
              <w:t xml:space="preserve">极</w:t>
            </w:r>
            <w:r>
              <w:rPr>
                <w:rFonts w:hint="eastAsia" w:ascii="宋体" w:hAnsi="宋体" w:eastAsia="宋体" w:cs="宋体"/>
                <w:sz w:val="24"/>
                <w:szCs w:val="24"/>
              </w:rPr>
              <w:t xml:space="preserve">高频电缆</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套管针</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1包</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器械臂无菌套</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20包</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立柱无菌套</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5包</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套管密封件</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40包</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尖端盖附件</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6包</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可视化闭孔器</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1包</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超声</w:t>
            </w:r>
            <w:r>
              <w:rPr>
                <w:rFonts w:hint="eastAsia" w:ascii="宋体" w:hAnsi="宋体" w:eastAsia="宋体" w:cs="宋体"/>
                <w:sz w:val="24"/>
                <w:szCs w:val="24"/>
              </w:rPr>
              <w:t xml:space="preserve">手术弯剪</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3包</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21</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单</w:t>
            </w:r>
            <w:r>
              <w:rPr>
                <w:rFonts w:hint="eastAsia" w:ascii="宋体" w:hAnsi="宋体" w:eastAsia="宋体" w:cs="宋体"/>
                <w:sz w:val="24"/>
                <w:szCs w:val="24"/>
              </w:rPr>
              <w:t xml:space="preserve">极手术弯剪</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MARYLAND 双极</w:t>
            </w:r>
            <w:r>
              <w:rPr>
                <w:rFonts w:hint="eastAsia" w:ascii="宋体" w:hAnsi="宋体" w:eastAsia="宋体" w:cs="宋体"/>
                <w:sz w:val="24"/>
                <w:szCs w:val="24"/>
              </w:rPr>
              <w:t xml:space="preserve">镊</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大号持针钳</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24</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抓持</w:t>
            </w:r>
            <w:r>
              <w:rPr>
                <w:rFonts w:hint="eastAsia" w:ascii="宋体" w:hAnsi="宋体" w:eastAsia="宋体" w:cs="宋体"/>
                <w:sz w:val="24"/>
                <w:szCs w:val="24"/>
              </w:rPr>
              <w:t xml:space="preserve">镊</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2个</w:t>
            </w:r>
            <w:r/>
          </w:p>
        </w:tc>
      </w:tr>
      <w:tr>
        <w:trPr>
          <w:jc w:val="center"/>
          <w:trHeight w:val="20"/>
        </w:trPr>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25</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有</w:t>
            </w:r>
            <w:r>
              <w:rPr>
                <w:rFonts w:hint="eastAsia" w:ascii="宋体" w:hAnsi="宋体" w:eastAsia="宋体" w:cs="宋体"/>
                <w:sz w:val="24"/>
                <w:szCs w:val="24"/>
              </w:rPr>
              <w:t xml:space="preserve">孔双极镊</w:t>
            </w:r>
            <w:r/>
          </w:p>
        </w:tc>
        <w:tc>
          <w:tcPr>
            <w:shd w:val="clear" w:color="auto" w:fill="auto"/>
            <w:tcW w:w="0" w:type="auto"/>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4个</w:t>
            </w:r>
            <w:r/>
          </w:p>
        </w:tc>
      </w:tr>
    </w:tbl>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sz w:val="28"/>
          <w:szCs w:val="28"/>
        </w:rPr>
      </w:pPr>
      <w:r>
        <w:rPr>
          <w:rFonts w:hint="eastAsia" w:ascii="黑体" w:hAnsi="黑体" w:eastAsia="黑体" w:cs="宋体"/>
          <w:sz w:val="28"/>
          <w:szCs w:val="28"/>
        </w:rPr>
        <w:t xml:space="preserve">三、详细的技术参数要求：</w:t>
      </w:r>
      <w:r/>
    </w:p>
    <w:p>
      <w:pPr>
        <w:numPr>
          <w:ilvl w:val="0"/>
          <w:numId w:val="24"/>
        </w:numPr>
        <w:ind w:left="284"/>
        <w:spacing w:line="400" w:lineRule="exact"/>
        <w:tabs>
          <w:tab w:val="left" w:pos="470" w:leader="none"/>
        </w:tabs>
        <w:rPr>
          <w:rFonts w:ascii="宋体" w:hAnsi="宋体" w:eastAsia="宋体" w:cs="宋体"/>
          <w:sz w:val="24"/>
          <w:szCs w:val="24"/>
          <w:lang w:bidi="ar"/>
        </w:rPr>
      </w:pPr>
      <w:r>
        <w:rPr>
          <w:rFonts w:hint="eastAsia" w:ascii="宋体" w:hAnsi="宋体" w:eastAsia="宋体" w:cs="宋体"/>
          <w:sz w:val="24"/>
          <w:szCs w:val="24"/>
          <w:lang w:bidi="ar"/>
        </w:rPr>
        <w:t xml:space="preserve">系统设计使用期限：≥10 年。</w:t>
      </w:r>
      <w:r/>
    </w:p>
    <w:p>
      <w:pPr>
        <w:numPr>
          <w:ilvl w:val="0"/>
          <w:numId w:val="24"/>
        </w:numPr>
        <w:ind w:left="0" w:firstLine="0"/>
        <w:spacing w:line="400" w:lineRule="exact"/>
        <w:tabs>
          <w:tab w:val="left" w:pos="284" w:leader="none"/>
        </w:tabs>
        <w:rPr>
          <w:rFonts w:ascii="宋体" w:hAnsi="宋体" w:eastAsia="宋体" w:cs="宋体"/>
          <w:sz w:val="24"/>
          <w:szCs w:val="24"/>
          <w:lang w:bidi="ar"/>
        </w:rPr>
      </w:pPr>
      <w:r>
        <w:rPr>
          <w:rFonts w:hint="eastAsia" w:ascii="宋体" w:hAnsi="宋体" w:eastAsia="宋体" w:cs="宋体"/>
          <w:sz w:val="24"/>
          <w:szCs w:val="24"/>
          <w:lang w:bidi="ar"/>
        </w:rPr>
        <w:t xml:space="preserve">★根据所投产品《医疗器械注册证》及附件</w:t>
      </w:r>
      <w:r>
        <w:rPr>
          <w:rFonts w:hint="eastAsia" w:ascii="宋体" w:hAnsi="宋体" w:eastAsia="宋体" w:cs="宋体"/>
          <w:b/>
          <w:sz w:val="24"/>
          <w:szCs w:val="24"/>
          <w:lang w:bidi="ar"/>
        </w:rPr>
        <w:t xml:space="preserve">（需提供扫描件）</w:t>
      </w:r>
      <w:r>
        <w:rPr>
          <w:rFonts w:hint="eastAsia" w:ascii="宋体" w:hAnsi="宋体" w:eastAsia="宋体" w:cs="宋体"/>
          <w:sz w:val="24"/>
          <w:szCs w:val="24"/>
          <w:lang w:bidi="ar"/>
        </w:rPr>
        <w:t xml:space="preserve">：产品获批的适用范围需包含泌尿外科、普通外科、妇科；产品获批的专用器械种类≥12种。</w:t>
      </w:r>
      <w:r/>
    </w:p>
    <w:p>
      <w:pPr>
        <w:numPr>
          <w:ilvl w:val="0"/>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医生控制台</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主控制器</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主控制</w:t>
      </w:r>
      <w:r>
        <w:rPr>
          <w:rFonts w:hint="eastAsia" w:ascii="宋体" w:hAnsi="宋体" w:eastAsia="宋体" w:cs="宋体"/>
          <w:sz w:val="24"/>
          <w:szCs w:val="24"/>
        </w:rPr>
        <w:t xml:space="preserve">臂至少</w:t>
      </w:r>
      <w:r>
        <w:rPr>
          <w:rFonts w:hint="eastAsia" w:ascii="宋体" w:hAnsi="宋体" w:eastAsia="宋体" w:cs="宋体"/>
          <w:sz w:val="24"/>
          <w:szCs w:val="24"/>
        </w:rPr>
        <w:t xml:space="preserve">配备指压开关、调整</w:t>
      </w:r>
      <w:r>
        <w:rPr>
          <w:rFonts w:hint="eastAsia" w:ascii="宋体" w:hAnsi="宋体" w:eastAsia="宋体" w:cs="宋体"/>
          <w:sz w:val="24"/>
          <w:szCs w:val="24"/>
        </w:rPr>
        <w:t xml:space="preserve">单个主</w:t>
      </w:r>
      <w:r>
        <w:rPr>
          <w:rFonts w:hint="eastAsia" w:ascii="宋体" w:hAnsi="宋体" w:eastAsia="宋体" w:cs="宋体"/>
          <w:sz w:val="24"/>
          <w:szCs w:val="24"/>
        </w:rPr>
        <w:t xml:space="preserve">控制臂的舒适位置等功能；支持关闭/打开指压离合功能；指压离合器配备快速切换荧光模式的功能。</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等比例缩放运动幅度功能≥3，至少包括3：2、2：1、3：1</w:t>
      </w:r>
      <w:r>
        <w:rPr>
          <w:rFonts w:hint="eastAsia" w:ascii="宋体" w:hAnsi="宋体" w:eastAsia="宋体" w:cs="宋体"/>
          <w:sz w:val="24"/>
          <w:szCs w:val="24"/>
        </w:rPr>
        <w:t xml:space="preserve">三</w:t>
      </w:r>
      <w:r>
        <w:rPr>
          <w:rFonts w:hint="eastAsia" w:ascii="宋体" w:hAnsi="宋体" w:eastAsia="宋体" w:cs="宋体"/>
          <w:sz w:val="24"/>
          <w:szCs w:val="24"/>
        </w:rPr>
        <w:t xml:space="preserve">种。</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立体监视器</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分辨率≥1920×1080。</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▲具备3D高清立体目镜（观察窗）：左右</w:t>
      </w:r>
      <w:r>
        <w:rPr>
          <w:rFonts w:hint="eastAsia" w:ascii="宋体" w:hAnsi="宋体" w:eastAsia="宋体" w:cs="宋体"/>
          <w:sz w:val="24"/>
          <w:szCs w:val="24"/>
        </w:rPr>
        <w:t xml:space="preserve">眼独立</w:t>
      </w:r>
      <w:r>
        <w:rPr>
          <w:rFonts w:hint="eastAsia" w:ascii="宋体" w:hAnsi="宋体" w:eastAsia="宋体" w:cs="宋体"/>
          <w:sz w:val="24"/>
          <w:szCs w:val="24"/>
        </w:rPr>
        <w:t xml:space="preserve">显示，免佩戴 3D 眼镜，无需调节瞳距与屈光度实现三维视野。</w:t>
      </w:r>
      <w:r>
        <w:rPr>
          <w:rFonts w:hint="eastAsia" w:ascii="宋体" w:hAnsi="宋体" w:eastAsia="宋体" w:cs="宋体"/>
          <w:b/>
          <w:bCs/>
          <w:sz w:val="24"/>
          <w:szCs w:val="24"/>
        </w:rPr>
        <w:t xml:space="preserve">（需提供相关佐证材料）</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▲具备画中画模式：支持同时≥2路外接信号接入；≥3种辅助影像信息输入（至少包括超声，心电图，CT影像等）；与手术画面同屏显示。</w:t>
      </w:r>
      <w:r>
        <w:rPr>
          <w:rFonts w:hint="eastAsia" w:ascii="宋体" w:hAnsi="宋体" w:eastAsia="宋体" w:cs="宋体"/>
          <w:b/>
          <w:bCs/>
          <w:sz w:val="24"/>
          <w:szCs w:val="24"/>
        </w:rPr>
        <w:t xml:space="preserve">（需提供相关佐证材料）</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▲具备红外探测传感器：操作人员头部离开时自动锁定。</w:t>
      </w:r>
      <w:r>
        <w:rPr>
          <w:rFonts w:hint="eastAsia" w:ascii="宋体" w:hAnsi="宋体" w:eastAsia="宋体" w:cs="宋体"/>
          <w:b/>
          <w:bCs/>
          <w:sz w:val="24"/>
          <w:szCs w:val="24"/>
        </w:rPr>
        <w:t xml:space="preserve">（需提供相关佐证材料）</w:t>
      </w:r>
      <w:r>
        <w:rPr>
          <w:rFonts w:hint="eastAsia" w:ascii="宋体" w:hAnsi="宋体" w:eastAsia="宋体" w:cs="宋体"/>
          <w:sz w:val="24"/>
          <w:szCs w:val="24"/>
        </w:rPr>
        <w:t xml:space="preserve"> </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具备手术器械出术野画面指示功能。</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触摸控制面板</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可在触控面板对图像进行二维、三维图像转换及对立体监视器进行亮度、对比度等参数调整。</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具备器械臂手动/自动分配设置功能：可手动将任意一个手动控制器分配到任意一个</w:t>
      </w:r>
      <w:r>
        <w:rPr>
          <w:rFonts w:hint="eastAsia" w:ascii="宋体" w:hAnsi="宋体" w:eastAsia="宋体" w:cs="宋体"/>
          <w:sz w:val="24"/>
          <w:szCs w:val="24"/>
        </w:rPr>
        <w:t xml:space="preserve">器械臂并与其</w:t>
      </w:r>
      <w:r>
        <w:rPr>
          <w:rFonts w:hint="eastAsia" w:ascii="宋体" w:hAnsi="宋体" w:eastAsia="宋体" w:cs="宋体"/>
          <w:sz w:val="24"/>
          <w:szCs w:val="24"/>
        </w:rPr>
        <w:t xml:space="preserve">关联，同时可实现手动控制器的自动分配。</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▲具备电子变焦功能：可进行≥3</w:t>
      </w:r>
      <w:r>
        <w:rPr>
          <w:rFonts w:hint="eastAsia" w:ascii="宋体" w:hAnsi="宋体" w:eastAsia="宋体" w:cs="宋体"/>
          <w:sz w:val="24"/>
          <w:szCs w:val="24"/>
        </w:rPr>
        <w:t xml:space="preserve">档电子</w:t>
      </w:r>
      <w:r>
        <w:rPr>
          <w:rFonts w:hint="eastAsia" w:ascii="宋体" w:hAnsi="宋体" w:eastAsia="宋体" w:cs="宋体"/>
          <w:sz w:val="24"/>
          <w:szCs w:val="24"/>
        </w:rPr>
        <w:t xml:space="preserve">变焦，最大可4倍放大,可在</w:t>
      </w:r>
      <w:r>
        <w:rPr>
          <w:rFonts w:hint="eastAsia" w:ascii="宋体" w:hAnsi="宋体" w:eastAsia="宋体" w:cs="宋体"/>
          <w:sz w:val="24"/>
          <w:szCs w:val="24"/>
        </w:rPr>
        <w:t xml:space="preserve">操控台触控</w:t>
      </w:r>
      <w:r>
        <w:rPr>
          <w:rFonts w:hint="eastAsia" w:ascii="宋体" w:hAnsi="宋体" w:eastAsia="宋体" w:cs="宋体"/>
          <w:sz w:val="24"/>
          <w:szCs w:val="24"/>
        </w:rPr>
        <w:t xml:space="preserve">面板设置调节比例。</w:t>
      </w:r>
      <w:r>
        <w:rPr>
          <w:rFonts w:hint="eastAsia" w:ascii="宋体" w:hAnsi="宋体" w:eastAsia="宋体" w:cs="宋体"/>
          <w:b/>
          <w:bCs/>
          <w:sz w:val="24"/>
          <w:szCs w:val="24"/>
        </w:rPr>
        <w:t xml:space="preserve">（需提供相关佐证材料）</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具备账号设置及管理功能：可个性化设置和存储医生账户及参数。</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控制单元</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控制台扶手具备电源开关键：未接入系统情况下，支持</w:t>
      </w:r>
      <w:r>
        <w:rPr>
          <w:rFonts w:hint="eastAsia" w:ascii="宋体" w:hAnsi="宋体" w:eastAsia="宋体" w:cs="宋体"/>
          <w:sz w:val="24"/>
          <w:szCs w:val="24"/>
        </w:rPr>
        <w:t xml:space="preserve">医</w:t>
      </w:r>
      <w:r>
        <w:rPr>
          <w:rFonts w:hint="eastAsia" w:ascii="宋体" w:hAnsi="宋体" w:eastAsia="宋体" w:cs="宋体"/>
          <w:sz w:val="24"/>
          <w:szCs w:val="24"/>
        </w:rPr>
        <w:t xml:space="preserve">控台单独开关机；接入系统情况下，可一键启动/关闭连入系统主控台、患者手术平台、影像处理平台等。</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★医生控制台（不包含医生座椅）具备人体工学控制器≥4组8方向，至少包括立体监视器倾斜度调节，立体监视器高度调节，扶手高度调节，脚踏深浅调节等功能。</w:t>
      </w:r>
      <w:r>
        <w:rPr>
          <w:rFonts w:hint="eastAsia" w:ascii="宋体" w:hAnsi="宋体" w:eastAsia="宋体" w:cs="宋体"/>
          <w:b/>
          <w:bCs/>
          <w:sz w:val="24"/>
          <w:szCs w:val="24"/>
        </w:rPr>
        <w:t xml:space="preserve">（需提供相关佐证材料）</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脚踏控制板</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操作手柄离合踏板≥1个、内窥镜控制踏板≥1个、器械臂切换踏板≥1个、单双极器械能量激发踏板≥4 </w:t>
      </w:r>
      <w:r>
        <w:rPr>
          <w:rFonts w:hint="eastAsia" w:ascii="宋体" w:hAnsi="宋体" w:eastAsia="宋体" w:cs="宋体"/>
          <w:sz w:val="24"/>
          <w:szCs w:val="24"/>
        </w:rPr>
        <w:t xml:space="preserve">个</w:t>
      </w:r>
      <w:r>
        <w:rPr>
          <w:rFonts w:hint="eastAsia" w:ascii="宋体" w:hAnsi="宋体" w:eastAsia="宋体" w:cs="宋体"/>
          <w:sz w:val="24"/>
          <w:szCs w:val="24"/>
        </w:rPr>
        <w:t xml:space="preserve">。</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具备脚部悬停功能，但未驱动激活能量踏板检测和状态提示功能。</w:t>
      </w:r>
      <w:r/>
    </w:p>
    <w:p>
      <w:pPr>
        <w:numPr>
          <w:ilvl w:val="0"/>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患者手术平台</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机械臂</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机械臂自由度≥12 </w:t>
      </w:r>
      <w:r>
        <w:rPr>
          <w:rFonts w:hint="eastAsia" w:ascii="宋体" w:hAnsi="宋体" w:eastAsia="宋体" w:cs="宋体"/>
          <w:sz w:val="24"/>
          <w:szCs w:val="24"/>
        </w:rPr>
        <w:t xml:space="preserve">个</w:t>
      </w:r>
      <w:r>
        <w:rPr>
          <w:rFonts w:hint="eastAsia" w:ascii="宋体" w:hAnsi="宋体" w:eastAsia="宋体" w:cs="宋体"/>
          <w:sz w:val="24"/>
          <w:szCs w:val="24"/>
        </w:rPr>
        <w:t xml:space="preserve">，调整臂关节数量≥5 </w:t>
      </w:r>
      <w:r>
        <w:rPr>
          <w:rFonts w:hint="eastAsia" w:ascii="宋体" w:hAnsi="宋体" w:eastAsia="宋体" w:cs="宋体"/>
          <w:sz w:val="24"/>
          <w:szCs w:val="24"/>
        </w:rPr>
        <w:t xml:space="preserve">个</w:t>
      </w:r>
      <w:r>
        <w:rPr>
          <w:rFonts w:hint="eastAsia" w:ascii="宋体" w:hAnsi="宋体" w:eastAsia="宋体" w:cs="宋体"/>
          <w:sz w:val="24"/>
          <w:szCs w:val="24"/>
        </w:rPr>
        <w:t xml:space="preserve">。</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具备术中无需移除器械进行调节患者距离的按钮，用于调大/调小机械臂</w:t>
      </w:r>
      <w:r>
        <w:rPr>
          <w:rFonts w:hint="eastAsia" w:ascii="宋体" w:hAnsi="宋体" w:eastAsia="宋体" w:cs="宋体"/>
          <w:sz w:val="24"/>
          <w:szCs w:val="24"/>
        </w:rPr>
        <w:t xml:space="preserve">臂</w:t>
      </w:r>
      <w:r>
        <w:rPr>
          <w:rFonts w:hint="eastAsia" w:ascii="宋体" w:hAnsi="宋体" w:eastAsia="宋体" w:cs="宋体"/>
          <w:sz w:val="24"/>
          <w:szCs w:val="24"/>
        </w:rPr>
        <w:t xml:space="preserve">件角度。</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▲内窥镜可独立安装在机械臂上，无需使用转接件/连接件，可安装并识别内窥镜或手术器械。</w:t>
      </w:r>
      <w:r>
        <w:rPr>
          <w:rFonts w:hint="eastAsia" w:ascii="宋体" w:hAnsi="宋体" w:eastAsia="宋体" w:cs="宋体"/>
          <w:b/>
          <w:bCs/>
          <w:sz w:val="24"/>
          <w:szCs w:val="24"/>
        </w:rPr>
        <w:t xml:space="preserve">（需提供相关佐证材料）</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▲可通过单关节实现独立机械臂</w:t>
      </w:r>
      <w:r>
        <w:rPr>
          <w:rFonts w:hint="eastAsia" w:ascii="宋体" w:hAnsi="宋体" w:eastAsia="宋体" w:cs="宋体"/>
          <w:sz w:val="24"/>
          <w:szCs w:val="24"/>
        </w:rPr>
        <w:t xml:space="preserve">臂</w:t>
      </w:r>
      <w:r>
        <w:rPr>
          <w:rFonts w:hint="eastAsia" w:ascii="宋体" w:hAnsi="宋体" w:eastAsia="宋体" w:cs="宋体"/>
          <w:sz w:val="24"/>
          <w:szCs w:val="24"/>
        </w:rPr>
        <w:t xml:space="preserve">高度调节</w:t>
      </w:r>
      <w:r>
        <w:rPr>
          <w:rFonts w:hint="eastAsia" w:ascii="宋体" w:hAnsi="宋体" w:eastAsia="宋体" w:cs="宋体"/>
          <w:b/>
          <w:bCs/>
          <w:sz w:val="24"/>
          <w:szCs w:val="24"/>
        </w:rPr>
        <w:t xml:space="preserve">（需提供相关佐证材料）</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★吊杆：</w:t>
      </w:r>
      <w:r>
        <w:rPr>
          <w:rFonts w:hint="eastAsia" w:ascii="宋体" w:hAnsi="宋体" w:eastAsia="宋体" w:cs="宋体"/>
          <w:sz w:val="24"/>
          <w:szCs w:val="24"/>
        </w:rPr>
        <w:t xml:space="preserve">多臂集成一</w:t>
      </w:r>
      <w:r>
        <w:rPr>
          <w:rFonts w:hint="eastAsia" w:ascii="宋体" w:hAnsi="宋体" w:eastAsia="宋体" w:cs="宋体"/>
          <w:sz w:val="24"/>
          <w:szCs w:val="24"/>
        </w:rPr>
        <w:t xml:space="preserve">体式患者手术平台构型，具备吊杆式支持结构。</w:t>
      </w:r>
      <w:r>
        <w:rPr>
          <w:rFonts w:hint="eastAsia" w:ascii="宋体" w:hAnsi="宋体" w:eastAsia="宋体" w:cs="宋体"/>
          <w:b/>
          <w:bCs/>
          <w:sz w:val="24"/>
          <w:szCs w:val="24"/>
        </w:rPr>
        <w:t xml:space="preserve">（需提供相关佐证材料）</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控制</w:t>
      </w:r>
      <w:r>
        <w:rPr>
          <w:rFonts w:hint="eastAsia" w:ascii="宋体" w:hAnsi="宋体" w:eastAsia="宋体" w:cs="宋体"/>
          <w:sz w:val="24"/>
          <w:szCs w:val="24"/>
        </w:rPr>
        <w:t xml:space="preserve">舵</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配备液晶触摸屏控制面板。</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★具备智能入位指导功能，可设置向导解剖位置（非术中摆位示意图）≥5种。</w:t>
      </w:r>
      <w:r>
        <w:rPr>
          <w:rFonts w:hint="eastAsia" w:ascii="宋体" w:hAnsi="宋体" w:eastAsia="宋体" w:cs="宋体"/>
          <w:b/>
          <w:bCs/>
          <w:sz w:val="24"/>
          <w:szCs w:val="24"/>
        </w:rPr>
        <w:t xml:space="preserve">（需提供相关佐证材料）</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可显示≥3种患者手术平台基本位置（非术中摆位示意图）。</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具备独立的吊杆位置操纵杆，可调节吊杆位置，包括旋转以及向左/右移动，伸展及收回吊杆等。</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其它功能</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具备内置扬声器及麦克风；后备电源提供≥5分钟的后备电力，具备电池指示灯。</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▲患者手术平台整机电气安全性不低于防电击程度 CF 型。</w:t>
      </w:r>
      <w:r>
        <w:rPr>
          <w:rFonts w:hint="eastAsia" w:ascii="宋体" w:hAnsi="宋体" w:eastAsia="宋体" w:cs="宋体"/>
          <w:b/>
          <w:bCs/>
          <w:sz w:val="24"/>
          <w:szCs w:val="24"/>
        </w:rPr>
        <w:t xml:space="preserve">（需提供相关佐证材料）</w:t>
      </w:r>
      <w:r/>
    </w:p>
    <w:p>
      <w:pPr>
        <w:numPr>
          <w:ilvl w:val="0"/>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影像系统</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配置同品牌影像处理主系统，具备独立内窥镜图像处理器。</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影像处理平台自带显示器为触摸屏，可通过直接触摸屏幕方式选择相关菜单功能项。</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提供与医生主控制台的同步图像显示，内窥镜状态显示≥6种。</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具备互动批注功能，可在影像处理平台触摸屏手绘有色线条，医生可同步在医生控制台内影像同步显示。</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图像电子变焦：可在影像平台显示器及医生控制台观察窗内术中实时显示变焦倍数。</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内窥镜系统</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▲内窥镜直径（最大插入宽度）≤10.5mm，与器械直径（最大插入宽度）相差≤1mm。</w:t>
      </w:r>
      <w:r>
        <w:rPr>
          <w:rFonts w:hint="eastAsia" w:ascii="宋体" w:hAnsi="宋体" w:eastAsia="宋体" w:cs="宋体"/>
          <w:b/>
          <w:bCs/>
          <w:sz w:val="24"/>
          <w:szCs w:val="24"/>
        </w:rPr>
        <w:t xml:space="preserve">（需提供相关佐证材料）</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免调焦设计，可自动白平衡校准，自动 3D 校准，角度自动翻转方式≥2种。</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具备荧光显影功能，荧光切换方式≥3 种。</w:t>
      </w:r>
      <w:r/>
    </w:p>
    <w:p>
      <w:pPr>
        <w:numPr>
          <w:ilvl w:val="2"/>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专用内窥镜视野范围≥80°。</w:t>
      </w:r>
      <w:r/>
    </w:p>
    <w:p>
      <w:pPr>
        <w:numPr>
          <w:ilvl w:val="0"/>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安全联锁装置</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具备患者手术平台探测传感器，首个机械臂和套管对接时，可自动锁定患者手术平台。</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具备报警锁定功能，配备紧急制动开关。</w:t>
      </w:r>
      <w:r/>
    </w:p>
    <w:p>
      <w:pPr>
        <w:numPr>
          <w:ilvl w:val="0"/>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手术基本配件及器械</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直径（最大插入宽度）≤8.5mm 的原厂器械种类≥10 种。至少包含大号持针钳、抓持</w:t>
      </w:r>
      <w:r>
        <w:rPr>
          <w:rFonts w:hint="eastAsia" w:ascii="宋体" w:hAnsi="宋体" w:eastAsia="宋体" w:cs="宋体"/>
          <w:sz w:val="24"/>
          <w:szCs w:val="24"/>
        </w:rPr>
        <w:t xml:space="preserve">镊</w:t>
      </w:r>
      <w:r>
        <w:rPr>
          <w:rFonts w:hint="eastAsia" w:ascii="宋体" w:hAnsi="宋体" w:eastAsia="宋体" w:cs="宋体"/>
          <w:sz w:val="24"/>
          <w:szCs w:val="24"/>
        </w:rPr>
        <w:t xml:space="preserve">、双极</w:t>
      </w:r>
      <w:r>
        <w:rPr>
          <w:rFonts w:hint="eastAsia" w:ascii="宋体" w:hAnsi="宋体" w:eastAsia="宋体" w:cs="宋体"/>
          <w:sz w:val="24"/>
          <w:szCs w:val="24"/>
        </w:rPr>
        <w:t xml:space="preserve">镊</w:t>
      </w:r>
      <w:r>
        <w:rPr>
          <w:rFonts w:hint="eastAsia" w:ascii="宋体" w:hAnsi="宋体" w:eastAsia="宋体" w:cs="宋体"/>
          <w:sz w:val="24"/>
          <w:szCs w:val="24"/>
        </w:rPr>
        <w:t xml:space="preserve">、单极手术弯剪、电钩等，均需带腕关节。</w:t>
      </w:r>
      <w:r/>
    </w:p>
    <w:p>
      <w:pPr>
        <w:numPr>
          <w:ilvl w:val="1"/>
          <w:numId w:val="24"/>
        </w:numPr>
        <w:ind w:left="284"/>
        <w:spacing w:line="400" w:lineRule="exact"/>
        <w:rPr>
          <w:rFonts w:ascii="宋体" w:hAnsi="宋体" w:eastAsia="宋体" w:cs="宋体"/>
          <w:sz w:val="24"/>
          <w:szCs w:val="24"/>
        </w:rPr>
      </w:pPr>
      <w:r>
        <w:rPr>
          <w:rFonts w:hint="eastAsia" w:ascii="宋体" w:hAnsi="宋体" w:eastAsia="宋体" w:cs="宋体"/>
          <w:sz w:val="24"/>
          <w:szCs w:val="24"/>
        </w:rPr>
        <w:t xml:space="preserve">具备机器人专用器械，使用寿命≥12次。</w:t>
      </w:r>
      <w:r/>
    </w:p>
    <w:p>
      <w:pPr>
        <w:numPr>
          <w:ilvl w:val="0"/>
          <w:numId w:val="24"/>
        </w:numPr>
        <w:ind w:left="0" w:firstLine="0"/>
        <w:spacing w:line="400" w:lineRule="exact"/>
        <w:tabs>
          <w:tab w:val="left" w:pos="284" w:leader="none"/>
        </w:tabs>
        <w:rPr>
          <w:rFonts w:ascii="宋体" w:hAnsi="宋体" w:eastAsia="宋体" w:cs="宋体"/>
          <w:sz w:val="24"/>
          <w:szCs w:val="24"/>
        </w:rPr>
      </w:pPr>
      <w:r>
        <w:rPr>
          <w:rFonts w:hint="eastAsia" w:ascii="宋体" w:hAnsi="宋体" w:eastAsia="宋体" w:cs="宋体"/>
          <w:sz w:val="24"/>
          <w:szCs w:val="24"/>
        </w:rPr>
        <w:t xml:space="preserve">超声高频外科能量平台：刀头振动频率≥50000Hz，刀头振动幅度包含60~100微米；与手术机器人系统所使用器械相兼容。气腹机：灌流速度最高≥50 L/min；≥7寸触摸屏。高频电外科系统：可通过医生控制台的触摸控制面板设置和调节高频电刀的能量；双</w:t>
      </w:r>
      <w:r>
        <w:rPr>
          <w:rFonts w:hint="eastAsia" w:ascii="宋体" w:hAnsi="宋体" w:eastAsia="宋体" w:cs="宋体"/>
          <w:sz w:val="24"/>
          <w:szCs w:val="24"/>
        </w:rPr>
        <w:t xml:space="preserve">极</w:t>
      </w:r>
      <w:r>
        <w:rPr>
          <w:rFonts w:hint="eastAsia" w:ascii="宋体" w:hAnsi="宋体" w:eastAsia="宋体" w:cs="宋体"/>
          <w:sz w:val="24"/>
          <w:szCs w:val="24"/>
        </w:rPr>
        <w:t xml:space="preserve">模式具有自动停止功能；可同时连接≥两把同种能量器械。</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其中打</w:t>
      </w:r>
      <w:r>
        <w:rPr>
          <w:rFonts w:hint="eastAsia" w:ascii="宋体" w:hAnsi="宋体" w:eastAsia="宋体" w:cs="宋体"/>
          <w:b/>
          <w:bCs/>
          <w:sz w:val="24"/>
          <w:szCs w:val="24"/>
        </w:rPr>
        <w:t xml:space="preserve">“★”项为实质性要求，有一项负偏离将作为无效投标；打“▲”项为重要指标项。</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2.未按要求提供佐证材料的视为负偏离，佐证材料可为产品注册证、有效检测报告、官方使用说明书、产品铭牌、实物照片、功能界面截图等。</w:t>
      </w:r>
      <w:r>
        <w:rPr>
          <w:rFonts w:hint="eastAsia" w:ascii="宋体" w:hAnsi="宋体" w:eastAsia="宋体" w:cs="宋体"/>
          <w:b/>
          <w:bCs/>
          <w:sz w:val="24"/>
          <w:szCs w:val="24"/>
          <w:u w:val="single"/>
        </w:rPr>
        <w:t xml:space="preserve">投标人提供的佐证材料应将相关功能指标醒目标记，因未标记而导致的评审风险由投标人自行承担。</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3.投标产品属于医疗器械注册范畴的，须提供《医疗器械注册证》。（扫描件）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4.投标人必须如实地在偏离说明中做出明确的逐项响应承诺，并对其真实性负责。</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5.所投产品技术参数单位与采购文件不一致的由投标供应商自行换算成与采购文件一</w:t>
      </w:r>
      <w:r>
        <w:rPr>
          <w:rFonts w:hint="eastAsia" w:ascii="宋体" w:hAnsi="宋体" w:eastAsia="宋体" w:cs="宋体"/>
          <w:bCs/>
          <w:sz w:val="24"/>
          <w:szCs w:val="24"/>
        </w:rPr>
        <w:t xml:space="preserve">致的单位。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6.如中标单位供货产品的技术参数与“投标文件技术规范描述”不符，则按“提供虚假材料谋取中标”处理。</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四、交货时间和地点：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交货时间：签订合同后60天内。（各供应商报出最早交货期限）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交货地点：江阴市人民医院敔</w:t>
      </w:r>
      <w:r>
        <w:rPr>
          <w:rFonts w:hint="eastAsia" w:ascii="宋体" w:hAnsi="宋体" w:eastAsia="宋体" w:cs="宋体"/>
          <w:sz w:val="24"/>
          <w:szCs w:val="24"/>
        </w:rPr>
        <w:t xml:space="preserve">山湾院区</w:t>
      </w:r>
      <w:r>
        <w:rPr>
          <w:rFonts w:hint="eastAsia" w:ascii="宋体" w:hAnsi="宋体" w:eastAsia="宋体" w:cs="宋体"/>
          <w:sz w:val="24"/>
          <w:szCs w:val="24"/>
        </w:rPr>
        <w:t xml:space="preserve">2号楼4层手术室。</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黑体" w:hAnsi="黑体" w:eastAsia="黑体" w:cs="宋体"/>
          <w:sz w:val="28"/>
          <w:szCs w:val="28"/>
        </w:rPr>
        <w:t xml:space="preserve">五、安装及验收：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3.提供设备的出厂检验报告、合格证书、装箱单，并预先提供验收标准，填写验收报告书，供双方最终确认使用。</w:t>
      </w:r>
      <w:r>
        <w:rPr>
          <w:rFonts w:ascii="宋体" w:hAnsi="宋体" w:eastAsia="宋体" w:cs="Courier New"/>
          <w:sz w:val="24"/>
          <w:szCs w:val="24"/>
        </w:rPr>
        <w:t xml:space="preserve">货物在</w:t>
      </w:r>
      <w:r>
        <w:rPr>
          <w:rFonts w:hint="eastAsia" w:ascii="宋体" w:hAnsi="宋体" w:eastAsia="宋体" w:cs="Courier New"/>
          <w:sz w:val="24"/>
          <w:szCs w:val="24"/>
        </w:rPr>
        <w:t xml:space="preserve">验收</w:t>
      </w:r>
      <w:r>
        <w:rPr>
          <w:rFonts w:ascii="宋体" w:hAnsi="宋体" w:eastAsia="宋体" w:cs="Courier New"/>
          <w:sz w:val="24"/>
          <w:szCs w:val="24"/>
        </w:rPr>
        <w:t xml:space="preserve">前发生的风险均由</w:t>
      </w:r>
      <w:r>
        <w:rPr>
          <w:rFonts w:hint="eastAsia" w:ascii="宋体" w:hAnsi="宋体" w:eastAsia="宋体" w:cs="Courier New"/>
          <w:sz w:val="24"/>
          <w:szCs w:val="24"/>
        </w:rPr>
        <w:t xml:space="preserve">卖方</w:t>
      </w:r>
      <w:r>
        <w:rPr>
          <w:rFonts w:ascii="宋体" w:hAnsi="宋体" w:eastAsia="宋体" w:cs="Courier New"/>
          <w:sz w:val="24"/>
          <w:szCs w:val="24"/>
        </w:rPr>
        <w:t xml:space="preserve">负责</w:t>
      </w:r>
      <w:r>
        <w:rPr>
          <w:rFonts w:hint="eastAsia" w:ascii="宋体" w:hAnsi="宋体" w:eastAsia="宋体" w:cs="Courier New"/>
          <w:sz w:val="24"/>
          <w:szCs w:val="24"/>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4.设备安装后，按国际和国家标准及厂方标准进行质量验收。卖方应向买方提供详细的验收标准，验收专用仪器，并承担相关费用(包括但不限于委托第三</w:t>
      </w:r>
      <w:r>
        <w:rPr>
          <w:rFonts w:hint="eastAsia" w:ascii="宋体" w:hAnsi="宋体" w:eastAsia="宋体" w:cs="宋体"/>
          <w:sz w:val="24"/>
          <w:szCs w:val="24"/>
        </w:rPr>
        <w:t xml:space="preserve">方专业</w:t>
      </w:r>
      <w:r>
        <w:rPr>
          <w:rFonts w:hint="eastAsia" w:ascii="宋体" w:hAnsi="宋体" w:eastAsia="宋体" w:cs="宋体"/>
          <w:sz w:val="24"/>
          <w:szCs w:val="24"/>
        </w:rPr>
        <w:t xml:space="preserve">机构及专家参与验收的费用)。</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六、技术培训：</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1、卖方技术人员必须免费对安装、调试、操作、维修、保养等事项向买方做现场技术培训，保证使用人员正常操作设备的各种功能。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2、根据设备技术要求，向买方提供使用人员的集中培训。培训至少包含10主刀，10助手，4护士的培训，含培训、差旅和食宿费用。培训</w:t>
      </w:r>
      <w:r>
        <w:rPr>
          <w:rFonts w:hint="eastAsia" w:ascii="宋体" w:hAnsi="宋体" w:eastAsia="宋体" w:cs="宋体"/>
          <w:sz w:val="24"/>
          <w:szCs w:val="24"/>
        </w:rPr>
        <w:t xml:space="preserve">后需能熟练</w:t>
      </w:r>
      <w:r>
        <w:rPr>
          <w:rFonts w:hint="eastAsia" w:ascii="宋体" w:hAnsi="宋体" w:eastAsia="宋体" w:cs="宋体"/>
          <w:sz w:val="24"/>
          <w:szCs w:val="24"/>
        </w:rPr>
        <w:t xml:space="preserve">使用设备各项功能。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3、如买方需将该设备联入内部网络或外部网络（LIS,HIS,PACS等系统），卖方必须承担所有相关费用（</w:t>
      </w:r>
      <w:r>
        <w:rPr>
          <w:rFonts w:hint="eastAsia" w:ascii="宋体" w:hAnsi="宋体" w:eastAsia="宋体" w:cs="宋体"/>
          <w:sz w:val="24"/>
          <w:szCs w:val="24"/>
        </w:rPr>
        <w:t xml:space="preserve">含开放</w:t>
      </w:r>
      <w:r>
        <w:rPr>
          <w:rFonts w:hint="eastAsia" w:ascii="宋体" w:hAnsi="宋体" w:eastAsia="宋体" w:cs="宋体"/>
          <w:sz w:val="24"/>
          <w:szCs w:val="24"/>
        </w:rPr>
        <w:t xml:space="preserve">端口费用）并提供技术支持。</w:t>
      </w:r>
      <w:r/>
    </w:p>
    <w:p>
      <w:pPr>
        <w:spacing w:line="400" w:lineRule="exact"/>
        <w:rPr>
          <w:rFonts w:ascii="宋体" w:hAnsi="宋体" w:eastAsia="宋体" w:cs="宋体"/>
          <w:b/>
          <w:sz w:val="24"/>
          <w:szCs w:val="24"/>
        </w:rPr>
      </w:pPr>
      <w:r>
        <w:rPr>
          <w:rFonts w:ascii="宋体" w:hAnsi="宋体" w:eastAsia="宋体" w:cs="宋体"/>
          <w:b/>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七、备件和资料：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1、为保证设备正常运行,卖方应在中国境内设置备件库,存入所有必需的备件,并保证10年以上的供应期。</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2、专用工具：卖方向买方提供设备维护的专用工具。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八、质量保证及售后服务：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1.投标方须在投标文件中注明所投产品说明书或质量保修卡等其他</w:t>
      </w:r>
      <w:r>
        <w:rPr>
          <w:rFonts w:hint="eastAsia" w:ascii="宋体" w:hAnsi="宋体" w:eastAsia="宋体" w:cs="宋体"/>
          <w:sz w:val="24"/>
          <w:szCs w:val="24"/>
        </w:rPr>
        <w:t xml:space="preserve">随设备</w:t>
      </w:r>
      <w:r>
        <w:rPr>
          <w:rFonts w:hint="eastAsia" w:ascii="宋体" w:hAnsi="宋体" w:eastAsia="宋体" w:cs="宋体"/>
          <w:sz w:val="24"/>
          <w:szCs w:val="24"/>
        </w:rPr>
        <w:t xml:space="preserve">出厂资料的原厂质保期限不少于3年（含所有配件及易损件）。</w:t>
      </w:r>
      <w:r>
        <w:rPr>
          <w:rFonts w:hint="eastAsia" w:ascii="宋体" w:hAnsi="宋体" w:eastAsia="宋体" w:cs="宋体"/>
          <w:sz w:val="24"/>
          <w:szCs w:val="24"/>
        </w:rPr>
        <w:t xml:space="preserve">出保后</w:t>
      </w:r>
      <w:r>
        <w:rPr>
          <w:rFonts w:hint="eastAsia" w:ascii="宋体" w:hAnsi="宋体" w:eastAsia="宋体" w:cs="宋体"/>
          <w:sz w:val="24"/>
          <w:szCs w:val="24"/>
        </w:rPr>
        <w:t xml:space="preserve">每年的维保费用(全保)≤投标报价的10%。（合同签订后采购方货物开箱验收时与产品说明书或质量保修卡等其他</w:t>
      </w:r>
      <w:r>
        <w:rPr>
          <w:rFonts w:hint="eastAsia" w:ascii="宋体" w:hAnsi="宋体" w:eastAsia="宋体" w:cs="宋体"/>
          <w:sz w:val="24"/>
          <w:szCs w:val="24"/>
        </w:rPr>
        <w:t xml:space="preserve">随设备</w:t>
      </w:r>
      <w:r>
        <w:rPr>
          <w:rFonts w:hint="eastAsia" w:ascii="宋体" w:hAnsi="宋体" w:eastAsia="宋体" w:cs="宋体"/>
          <w:sz w:val="24"/>
          <w:szCs w:val="24"/>
        </w:rPr>
        <w:t xml:space="preserve">出厂的资料进行核对）。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2.质保期内每年保养≥4次，按产品说明书要求执行保养。</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4.要求保证开机率≥96%（按一年365天），全年停机日期不超过14天，若开机率 ＜ 96%，每停机1天则保修期延长7天。</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5.如后期涉及软件重装或升级，终身免费。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6.账号管理独立，医院无需另行缴纳开机费。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7.如在使用过程中，可重复使用的手术器械的实际重复消毒/灭菌次数未达到卖方承诺的次数标准的，卖方应在收到买方通知后2日内无偿向买方提供全新的同品牌规格型号品质的手术器械供买方使用。</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九、付款方式：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分两期付款。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第1期；全部设备到货后，由甲方逐一清点无误，数量，规格型号等表面质量与合同规定相符；全部设备软件，硬件安装完毕，系统工作稳定，无故障，符合招标文件及合同要求，正常运行满1个月后，由甲方组织验收合格签字后，甲方将支付合同总价的80%。</w:t>
      </w:r>
      <w:r/>
    </w:p>
    <w:p>
      <w:pPr>
        <w:ind w:firstLine="480"/>
        <w:spacing w:line="400" w:lineRule="exact"/>
        <w:rPr>
          <w:rFonts w:ascii="宋体" w:hAnsi="宋体" w:eastAsia="宋体" w:cs="宋体"/>
          <w:b/>
          <w:sz w:val="24"/>
          <w:szCs w:val="24"/>
        </w:rPr>
      </w:pPr>
      <w:r>
        <w:rPr>
          <w:rFonts w:hint="eastAsia" w:ascii="宋体" w:hAnsi="宋体" w:eastAsia="宋体" w:cs="宋体"/>
          <w:sz w:val="24"/>
          <w:szCs w:val="24"/>
        </w:rPr>
        <w:t xml:space="preserve">第2期：验收合格满12个月，甲方付清余款（不计息）。</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十、有关说明：</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1、公开招标为一次性报价，投标单位所报内容必须完整，不得漏项。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2、投标报价包括产品、税金、包装、运费、仓储、质量检验、技术指导、验收、售后服务费、安装、培训等所有费用。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5、供应商若非投标产品原厂家的，成交后签订合同时须提供该产品原厂家（或驻中国办事机构）出具的有效的经销授权书</w:t>
      </w:r>
      <w:r>
        <w:rPr>
          <w:rFonts w:hint="eastAsia" w:ascii="宋体" w:hAnsi="宋体" w:eastAsia="宋体" w:cs="宋体"/>
          <w:sz w:val="24"/>
          <w:szCs w:val="24"/>
        </w:rPr>
        <w:t xml:space="preserve">、</w:t>
      </w:r>
      <w:r>
        <w:rPr>
          <w:rFonts w:hint="eastAsia" w:ascii="宋体" w:hAnsi="宋体" w:eastAsia="宋体" w:cs="宋体"/>
          <w:b/>
          <w:bCs/>
          <w:sz w:val="24"/>
          <w:szCs w:val="24"/>
          <w:u w:val="single"/>
        </w:rPr>
        <w:t xml:space="preserve">质量保证及售后服务承诺书</w:t>
      </w:r>
      <w:r>
        <w:rPr>
          <w:rFonts w:hint="eastAsia" w:ascii="宋体" w:hAnsi="宋体" w:eastAsia="宋体" w:cs="宋体"/>
          <w:sz w:val="24"/>
          <w:szCs w:val="24"/>
        </w:rPr>
        <w:t xml:space="preserve">（格式自拟）</w:t>
      </w:r>
      <w:r>
        <w:rPr>
          <w:rFonts w:hint="eastAsia" w:ascii="宋体" w:hAnsi="宋体" w:eastAsia="宋体" w:cs="宋体"/>
          <w:sz w:val="24"/>
          <w:szCs w:val="24"/>
        </w:rPr>
        <w:t xml:space="preserve">。</w:t>
      </w:r>
      <w:r/>
    </w:p>
    <w:p>
      <w:pPr>
        <w:spacing w:line="400" w:lineRule="exact"/>
        <w:rPr>
          <w:rFonts w:ascii="宋体" w:hAnsi="宋体" w:eastAsia="宋体"/>
          <w:sz w:val="24"/>
          <w:szCs w:val="24"/>
        </w:rPr>
      </w:pPr>
      <w:r>
        <w:rPr>
          <w:rFonts w:ascii="宋体" w:hAnsi="宋体" w:eastAsia="宋体"/>
          <w:sz w:val="24"/>
          <w:szCs w:val="24"/>
        </w:rPr>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751"/>
      </w:pPr>
      <w:r/>
      <w:bookmarkStart w:id="13" w:name="_Toc213847316"/>
      <w:r>
        <w:rPr>
          <w:rFonts w:hint="eastAsia"/>
        </w:rPr>
        <w:t xml:space="preserve">第四章</w:t>
      </w:r>
      <w:r>
        <w:rPr>
          <w:rFonts w:hint="eastAsia"/>
        </w:rPr>
        <w:t xml:space="preserve">  </w:t>
      </w:r>
      <w:r>
        <w:rPr>
          <w:rFonts w:hint="eastAsia"/>
        </w:rPr>
        <w:t xml:space="preserve">评标方法和评标标准</w:t>
      </w:r>
      <w:bookmarkEnd w:id="1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ind w:firstLine="482"/>
        <w:jc w:val="left"/>
        <w:spacing w:line="400" w:lineRule="exact"/>
        <w:rPr>
          <w:rFonts w:ascii="宋体" w:hAnsi="宋体"/>
          <w:b/>
          <w:sz w:val="24"/>
        </w:rPr>
      </w:pPr>
      <w:r>
        <w:rPr>
          <w:rFonts w:hint="eastAsia" w:ascii="宋体" w:hAnsi="宋体"/>
          <w:b/>
          <w:sz w:val="24"/>
        </w:rPr>
        <w:t xml:space="preserve">特别注意：本项目采用暗标形式，投标人须对暗标部分和非暗标部分分别进行制作。其中技术部分（2.3~2.6</w:t>
      </w:r>
      <w:r>
        <w:rPr>
          <w:rFonts w:hint="eastAsia" w:ascii="宋体" w:hAnsi="宋体"/>
          <w:b/>
          <w:sz w:val="24"/>
        </w:rPr>
        <w:t xml:space="preserve">四</w:t>
      </w:r>
      <w:r>
        <w:rPr>
          <w:rFonts w:hint="eastAsia" w:ascii="宋体" w:hAnsi="宋体"/>
          <w:b/>
          <w:sz w:val="24"/>
        </w:rPr>
        <w:t xml:space="preserve">项）属于暗标，投标人在制作技术部分（2.3~2.6</w:t>
      </w:r>
      <w:r>
        <w:rPr>
          <w:rFonts w:hint="eastAsia" w:ascii="宋体" w:hAnsi="宋体"/>
          <w:b/>
          <w:sz w:val="24"/>
        </w:rPr>
        <w:t xml:space="preserve">四</w:t>
      </w:r>
      <w:r>
        <w:rPr>
          <w:rFonts w:hint="eastAsia" w:ascii="宋体" w:hAnsi="宋体"/>
          <w:b/>
          <w:sz w:val="24"/>
        </w:rPr>
        <w:t xml:space="preserve">项）相关内容时不得有体现投标人身份的内容，</w:t>
      </w:r>
      <w:r>
        <w:rPr>
          <w:rFonts w:hint="eastAsia" w:ascii="宋体" w:hAnsi="宋体"/>
          <w:b/>
          <w:sz w:val="24"/>
          <w:u w:val="single"/>
        </w:rPr>
        <w:t xml:space="preserve">否则所有暗标评审项均不得分</w:t>
      </w:r>
      <w:r>
        <w:rPr>
          <w:rFonts w:hint="eastAsia" w:ascii="宋体" w:hAnsi="宋体"/>
          <w:b/>
          <w:sz w:val="24"/>
        </w:rPr>
        <w:t xml:space="preserve">。</w:t>
      </w:r>
      <w:r/>
    </w:p>
    <w:p>
      <w:pPr>
        <w:ind w:firstLine="482"/>
        <w:spacing w:line="400" w:lineRule="exact"/>
        <w:rPr>
          <w:rFonts w:ascii="宋体" w:hAnsi="宋体"/>
          <w:b/>
          <w:sz w:val="24"/>
        </w:rPr>
      </w:pPr>
      <w:r>
        <w:rPr>
          <w:rFonts w:hint="eastAsia" w:ascii="宋体" w:hAnsi="宋体"/>
          <w:b/>
          <w:sz w:val="24"/>
        </w:rPr>
        <w:t xml:space="preserve">暗标部分不得有体现投标人身份的内容是指：</w:t>
      </w:r>
      <w:r/>
    </w:p>
    <w:p>
      <w:pPr>
        <w:ind w:firstLine="482"/>
        <w:spacing w:line="400" w:lineRule="exact"/>
        <w:rPr>
          <w:rFonts w:ascii="宋体" w:hAnsi="宋体"/>
          <w:b/>
          <w:sz w:val="24"/>
        </w:rPr>
      </w:pPr>
      <w:r>
        <w:rPr>
          <w:rFonts w:hint="eastAsia" w:ascii="宋体" w:hAnsi="宋体"/>
          <w:b/>
          <w:sz w:val="24"/>
        </w:rPr>
        <w:t xml:space="preserve">①暗标部分不得出现能够体现投标人身份、名称的相关描述、材料、文件等内容；</w:t>
      </w:r>
      <w:r/>
    </w:p>
    <w:p>
      <w:pPr>
        <w:ind w:firstLine="482"/>
        <w:spacing w:line="400" w:lineRule="exact"/>
        <w:rPr>
          <w:rFonts w:ascii="宋体" w:hAnsi="宋体"/>
          <w:b/>
          <w:sz w:val="24"/>
        </w:rPr>
      </w:pPr>
      <w:r>
        <w:rPr>
          <w:rFonts w:hint="eastAsia" w:ascii="宋体" w:hAnsi="宋体"/>
          <w:b/>
          <w:sz w:val="24"/>
        </w:rPr>
        <w:t xml:space="preserve">②暗标部分不得更改，不得在其中涂改、标注或做任何可以辨认投标人及所属人员身份的名称、印章、商标等标记；</w:t>
      </w:r>
      <w:r/>
    </w:p>
    <w:p>
      <w:pPr>
        <w:ind w:firstLine="482"/>
        <w:spacing w:line="400" w:lineRule="exact"/>
        <w:rPr>
          <w:rFonts w:ascii="宋体" w:hAnsi="宋体"/>
          <w:b/>
          <w:sz w:val="24"/>
        </w:rPr>
      </w:pPr>
      <w:r>
        <w:rPr>
          <w:rFonts w:hint="eastAsia" w:ascii="宋体" w:hAnsi="宋体"/>
          <w:b/>
          <w:sz w:val="24"/>
        </w:rPr>
        <w:t xml:space="preserve">③暗标部分应当版面整洁、字迹清楚、不许批注或进行底纹、阴影、水印等特殊设置，不得采用任何不符合常规、有别于其他投标人的特殊做法；</w:t>
      </w:r>
      <w:r/>
    </w:p>
    <w:p>
      <w:pPr>
        <w:ind w:firstLine="482"/>
        <w:spacing w:line="400" w:lineRule="exact"/>
        <w:rPr>
          <w:rFonts w:ascii="宋体" w:hAnsi="宋体"/>
          <w:b/>
          <w:sz w:val="24"/>
        </w:rPr>
      </w:pPr>
      <w:r>
        <w:rPr>
          <w:rFonts w:hint="eastAsia" w:ascii="宋体" w:hAnsi="宋体"/>
          <w:b/>
          <w:sz w:val="24"/>
        </w:rPr>
        <w:t xml:space="preserve">④不得有其他体现投标人身份的内容。</w:t>
      </w:r>
      <w:r/>
    </w:p>
    <w:p>
      <w:pPr>
        <w:ind w:firstLine="482"/>
        <w:spacing w:line="400" w:lineRule="exact"/>
        <w:rPr>
          <w:rFonts w:ascii="宋体" w:hAnsi="宋体"/>
          <w:b/>
          <w:sz w:val="24"/>
        </w:rPr>
      </w:pPr>
      <w:r>
        <w:rPr>
          <w:rFonts w:ascii="宋体" w:hAnsi="宋体"/>
          <w:b/>
          <w:sz w:val="24"/>
        </w:rPr>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（65分）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主要技术指标响应情况（一）</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根据所投产品的主要技术指标的性能、技术参数的响应情况进行综合评审，产品符合招标文件要求，无负偏离得40分。打“★”项参数有一项负偏离，</w:t>
            </w:r>
            <w:r>
              <w:rPr>
                <w:rFonts w:hint="eastAsia" w:ascii="宋体" w:hAnsi="宋体" w:eastAsia="宋体" w:cs="宋体"/>
                <w:sz w:val="24"/>
                <w:szCs w:val="24"/>
              </w:rPr>
              <w:t xml:space="preserve">则视为无效投标，打“▲”项参数每一项负偏离扣2分，非打“▲”项参数每一项负偏离扣0.8分，扣完为止。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主要技术指标响应情况（二）</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根据所投</w:t>
            </w:r>
            <w:r>
              <w:rPr>
                <w:rFonts w:hint="eastAsia" w:ascii="宋体" w:hAnsi="宋体" w:eastAsia="宋体" w:cs="宋体"/>
                <w:sz w:val="24"/>
                <w:szCs w:val="24"/>
              </w:rPr>
              <w:t xml:space="preserve">产品《医疗器械注册证》及附件（扫描件）评审：</w:t>
            </w:r>
            <w:r/>
          </w:p>
          <w:p>
            <w:pPr>
              <w:jc w:val="left"/>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①产品获批的适用范围在满足实质性要求（包含泌尿外科、普通外科、妇科）的前提下，每增加一个科室得1分，最高得3分。</w:t>
            </w:r>
            <w:r/>
          </w:p>
          <w:p>
            <w:pPr>
              <w:jc w:val="left"/>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②产品获批的专用器械种类在满足实质性要求（≥12种）的前提下，每增加1种得0.1分，最高得3分。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实施方案，包括①包装运输方案、②进度计划、③安装调试流程、④安装调试技术重难点、⑤安装调试人员安排，方案内容描述全面合理符合采购需求的得5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培训方案，包括①培训内容、②培训人员安排、③培训周期，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应急保障方案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应急保障方案，包括①应急响应时间及修复时间、②应急保障措施，方案内容描述全面合理符合采购需求的得2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售后服务方案，包括①售后服务内容、②售后服务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20"/>
        </w:trPr>
        <w:tc>
          <w:tcPr>
            <w:tcBorders>
              <w:top w:val="single" w:color="auto" w:sz="6" w:space="0"/>
              <w:left w:val="single" w:color="auto" w:sz="8"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2023年1月1日以来（以合同签订时间为准），投标人或者制造商具有与本项目同类项目（须包含腹腔镜内窥镜手术系统）的</w:t>
            </w:r>
            <w:r>
              <w:rPr>
                <w:rFonts w:hint="eastAsia" w:ascii="宋体" w:hAnsi="宋体" w:eastAsia="宋体" w:cs="宋体"/>
                <w:b/>
                <w:sz w:val="24"/>
                <w:szCs w:val="24"/>
              </w:rPr>
              <w:t xml:space="preserve">终端用户</w:t>
            </w:r>
            <w:r>
              <w:rPr>
                <w:rFonts w:hint="eastAsia" w:ascii="宋体" w:hAnsi="宋体" w:eastAsia="宋体" w:cs="宋体"/>
                <w:sz w:val="24"/>
                <w:szCs w:val="24"/>
              </w:rPr>
              <w:t xml:space="preserve">销售业绩的，有一个得1分，最高得5分。【如有多个同型号设备同一个采购人的业绩仅作同一个业绩计算，须</w:t>
            </w:r>
            <w:r>
              <w:rPr>
                <w:rFonts w:hint="eastAsia" w:ascii="宋体" w:hAnsi="宋体" w:eastAsia="宋体" w:cs="宋体"/>
                <w:b/>
                <w:sz w:val="24"/>
                <w:szCs w:val="24"/>
              </w:rPr>
              <w:t xml:space="preserve">同时提供</w:t>
            </w:r>
            <w:r>
              <w:rPr>
                <w:rFonts w:hint="eastAsia" w:ascii="宋体" w:hAnsi="宋体" w:eastAsia="宋体" w:cs="宋体"/>
                <w:sz w:val="24"/>
                <w:szCs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bl>
    <w:p>
      <w:pPr>
        <w:ind w:firstLine="482"/>
        <w:spacing w:line="400" w:lineRule="exact"/>
        <w:rPr>
          <w:rFonts w:ascii="宋体" w:hAnsi="宋体"/>
          <w:b/>
          <w:sz w:val="24"/>
        </w:rPr>
      </w:pPr>
      <w:r>
        <w:rPr>
          <w:rFonts w:ascii="宋体" w:hAnsi="宋体"/>
          <w:b/>
          <w:sz w:val="24"/>
        </w:rPr>
      </w:r>
      <w:r/>
    </w:p>
    <w:p>
      <w:pPr>
        <w:ind w:firstLine="482"/>
        <w:spacing w:line="400" w:lineRule="exact"/>
        <w:rPr>
          <w:rFonts w:ascii="宋体" w:hAnsi="宋体"/>
          <w:b/>
          <w:sz w:val="24"/>
        </w:rPr>
      </w:pPr>
      <w:r>
        <w:rPr>
          <w:rFonts w:ascii="宋体" w:hAnsi="宋体"/>
          <w:b/>
          <w:sz w:val="24"/>
        </w:rPr>
      </w:r>
      <w:r/>
    </w:p>
    <w:p>
      <w:pPr>
        <w:sectPr>
          <w:footnotePr/>
          <w:endnotePr/>
          <w:type w:val="nextPage"/>
          <w:pgSz w:w="11906" w:h="16838" w:orient="portrait"/>
          <w:pgMar w:top="1247" w:right="1247" w:bottom="1247" w:left="1247" w:header="680" w:footer="992" w:gutter="0"/>
          <w:cols w:num="1" w:sep="0" w:space="720" w:equalWidth="1"/>
          <w:docGrid w:linePitch="360"/>
        </w:sectPr>
      </w:pPr>
      <w:r/>
      <w:bookmarkStart w:id="14" w:name="_Toc213847317"/>
      <w:r/>
      <w:bookmarkEnd w:id="12"/>
      <w:r/>
      <w:r/>
    </w:p>
    <w:p>
      <w:r/>
      <w:r/>
    </w:p>
    <w:p>
      <w:pPr>
        <w:pStyle w:val="751"/>
      </w:pPr>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1.7包装方式：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方应保证甲方在使用、接受本合同货物</w:t>
      </w:r>
      <w:r>
        <w:rPr>
          <w:rFonts w:hint="eastAsia" w:ascii="Times New Roman" w:hAnsi="宋体" w:eastAsia="宋体" w:cs="Times New Roman"/>
          <w:sz w:val="24"/>
          <w:szCs w:val="24"/>
        </w:rPr>
        <w:t xml:space="preserve">（包含与货物相关的服务）</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、质量</w:t>
      </w:r>
      <w:r>
        <w:rPr>
          <w:rFonts w:hint="eastAsia" w:ascii="宋体" w:hAnsi="宋体" w:eastAsia="宋体" w:cs="Courier New"/>
          <w:b/>
          <w:sz w:val="24"/>
          <w:szCs w:val="24"/>
        </w:rPr>
        <w:t xml:space="preserve">保修范围和保修期</w:t>
      </w:r>
      <w:r>
        <w:rPr>
          <w:rFonts w:ascii="宋体" w:hAnsi="宋体" w:eastAsia="宋体" w:cs="Courier New"/>
          <w:b/>
          <w:sz w:val="24"/>
          <w:szCs w:val="24"/>
        </w:rPr>
        <w:t xml:space="preserve">及售后服务</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11.2除前款规定外，乙方还应提供下列服务：</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（1）货物的现场安装、调试、运行、维护等；</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（2）对甲方人员进行免费培训。</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w:t>
      </w:r>
      <w:r>
        <w:rPr>
          <w:rFonts w:ascii="宋体" w:hAnsi="宋体" w:eastAsia="宋体" w:cs="Courier New"/>
          <w:sz w:val="24"/>
          <w:szCs w:val="24"/>
        </w:rPr>
        <w:t xml:space="preserve">更换：由乙方承担所发生的全部费用。</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w:t>
      </w:r>
      <w:r>
        <w:rPr>
          <w:rFonts w:ascii="宋体" w:hAnsi="宋体" w:eastAsia="宋体" w:cs="Courier New"/>
          <w:sz w:val="24"/>
          <w:szCs w:val="24"/>
        </w:rPr>
        <w:t xml:space="preserve">贬值处理：由甲乙双方合议定价。</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w:t>
      </w:r>
      <w:r>
        <w:rPr>
          <w:rFonts w:ascii="宋体" w:hAnsi="宋体" w:eastAsia="宋体" w:cs="Courier New"/>
          <w:sz w:val="24"/>
          <w:szCs w:val="24"/>
        </w:rPr>
        <w:t xml:space="preserve">退货处理：乙方应退还甲方支付的合同款，同时</w:t>
      </w:r>
      <w:r>
        <w:rPr>
          <w:rFonts w:ascii="宋体" w:hAnsi="宋体" w:eastAsia="宋体" w:cs="Courier New"/>
          <w:sz w:val="24"/>
          <w:szCs w:val="24"/>
        </w:rPr>
        <w:t xml:space="preserve">应承担该货物</w:t>
      </w:r>
      <w:r>
        <w:rPr>
          <w:rFonts w:ascii="宋体" w:hAnsi="宋体" w:eastAsia="宋体" w:cs="Courier New"/>
          <w:sz w:val="24"/>
          <w:szCs w:val="24"/>
        </w:rPr>
        <w:t xml:space="preserve">的直接费用（运输、保险、检验、货款利息及银行手续费等）。</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如在使用过程中发生质量问题，乙方在接到甲方通知后在_________小时内到达甲方现场。</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5</w:t>
      </w:r>
      <w:r>
        <w:rPr>
          <w:rFonts w:ascii="宋体" w:hAnsi="宋体" w:eastAsia="宋体" w:cs="Courier New"/>
          <w:sz w:val="24"/>
          <w:szCs w:val="24"/>
        </w:rPr>
        <w:t xml:space="preserve"> 在质保期内，乙方应对货物出现的质量及安全问题负责处理解决并承担一切费用。</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6</w:t>
      </w:r>
      <w:r>
        <w:rPr>
          <w:rFonts w:ascii="宋体" w:hAnsi="宋体" w:eastAsia="宋体" w:cs="Courier New"/>
          <w:sz w:val="24"/>
          <w:szCs w:val="24"/>
        </w:rPr>
        <w:t xml:space="preserve">上述货物免费保修期为</w:t>
      </w:r>
      <w:r>
        <w:rPr>
          <w:rFonts w:ascii="宋体" w:hAnsi="宋体" w:eastAsia="宋体" w:cs="Courier New"/>
          <w:sz w:val="24"/>
          <w:szCs w:val="24"/>
          <w:u w:val="single"/>
        </w:rPr>
        <w:t xml:space="preserve">     </w:t>
      </w:r>
      <w:r>
        <w:rPr>
          <w:rFonts w:ascii="宋体" w:hAnsi="宋体" w:eastAsia="宋体" w:cs="Courier New"/>
          <w:sz w:val="24"/>
          <w:szCs w:val="24"/>
        </w:rPr>
        <w:t xml:space="preserve">年（自交货验收合格之日起计），因人为因素出现的故障不在免费保修范围内。超过保修期的机器设备，终</w:t>
      </w:r>
      <w:r>
        <w:rPr>
          <w:rFonts w:hint="eastAsia" w:ascii="宋体" w:hAnsi="宋体" w:eastAsia="宋体" w:cs="Courier New"/>
          <w:sz w:val="24"/>
          <w:szCs w:val="24"/>
        </w:rPr>
        <w:t xml:space="preserve">身</w:t>
      </w:r>
      <w:r>
        <w:rPr>
          <w:rFonts w:ascii="宋体" w:hAnsi="宋体" w:eastAsia="宋体" w:cs="Courier New"/>
          <w:sz w:val="24"/>
          <w:szCs w:val="24"/>
        </w:rPr>
        <w:t xml:space="preserve">维修，维修时只收部件成本费。</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7</w:t>
      </w:r>
      <w:r>
        <w:rPr>
          <w:rFonts w:hint="eastAsia" w:ascii="宋体" w:hAnsi="宋体" w:eastAsia="宋体" w:cs="Times New Roman"/>
          <w:bCs/>
          <w:sz w:val="24"/>
          <w:szCs w:val="24"/>
          <w:lang w:val="zh-CN"/>
        </w:rPr>
        <w:t xml:space="preserve">乙方承诺的其他售后服务：</w:t>
      </w:r>
      <w:r>
        <w:rPr>
          <w:rFonts w:hint="eastAsia" w:ascii="宋体" w:hAnsi="宋体" w:eastAsia="宋体" w:cs="Times New Roman"/>
          <w:bCs/>
          <w:sz w:val="24"/>
          <w:szCs w:val="24"/>
          <w:u w:val="single"/>
          <w:lang w:val="zh-CN"/>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、货物</w:t>
      </w:r>
      <w:r>
        <w:rPr>
          <w:rFonts w:hint="eastAsia" w:ascii="宋体" w:hAnsi="宋体" w:eastAsia="宋体" w:cs="Courier New"/>
          <w:b/>
          <w:sz w:val="24"/>
          <w:szCs w:val="24"/>
        </w:rPr>
        <w:t xml:space="preserve">的</w:t>
      </w:r>
      <w:r>
        <w:rPr>
          <w:rFonts w:ascii="宋体" w:hAnsi="宋体" w:eastAsia="宋体" w:cs="Courier New"/>
          <w:b/>
          <w:sz w:val="24"/>
          <w:szCs w:val="24"/>
        </w:rPr>
        <w:t xml:space="preserve">包装、发运及运输</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s="Times New Roman"/>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使用说明书、质量检验证明书、随配附件和工具以及清单一并附于货物内。</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.4 货物在交付甲方前发生的风险均由乙方负责。</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 甲方无正当理由拒收货物的，甲方向乙方偿付拒收货款总值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.2 甲方无故逾期验收和办理货款支付手续的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.3 乙方逾期交付货物的，乙方应按逾期交货总额每日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六</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w:t>
      </w:r>
      <w:r>
        <w:rPr>
          <w:rFonts w:ascii="宋体" w:hAnsi="宋体" w:eastAsia="宋体" w:cs="Courier New"/>
          <w:sz w:val="24"/>
          <w:szCs w:val="24"/>
        </w:rPr>
        <w:t xml:space="preserve">.1</w:t>
      </w:r>
      <w:r>
        <w:rPr>
          <w:rFonts w:hint="eastAsia" w:ascii="宋体" w:hAnsi="宋体" w:eastAsia="宋体" w:cs="Courier New"/>
          <w:sz w:val="24"/>
          <w:szCs w:val="24"/>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七</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p>
        </w:tc>
      </w:tr>
    </w:tbl>
    <w:p>
      <w:pPr>
        <w:pStyle w:val="751"/>
        <w:sectPr>
          <w:footnotePr/>
          <w:endnotePr/>
          <w:type w:val="nextPage"/>
          <w:pgSz w:w="11906" w:h="16838" w:orient="portrait"/>
          <w:pgMar w:top="1247" w:right="1247" w:bottom="1247" w:left="1247" w:header="680" w:footer="992" w:gutter="0"/>
          <w:cols w:num="1" w:sep="0" w:space="720" w:equalWidth="1"/>
          <w:docGrid w:linePitch="360"/>
        </w:sectPr>
      </w:pPr>
      <w:r/>
      <w:r/>
    </w:p>
    <w:p>
      <w:pPr>
        <w:pStyle w:val="751"/>
      </w:pPr>
      <w:r/>
      <w:r/>
    </w:p>
    <w:p>
      <w:pPr>
        <w:pStyle w:val="751"/>
      </w:pPr>
      <w:r/>
      <w:bookmarkStart w:id="16"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我方已详细审核全部招标（采购）文件及其有效补充文件，完全理解并接受招标（采购）文件的各项规定和要求，无任何异议。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JSZC-320281-JZCG-G2026-0071</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江阴市人民医院手术机器人项目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bookmarkEnd w:id="20"/>
      <w:bookmarkEnd w:id="21"/>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bookmarkEnd w:id="18"/>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75"/>
        <w:gridCol w:w="674"/>
        <w:gridCol w:w="674"/>
        <w:gridCol w:w="1120"/>
        <w:gridCol w:w="1005"/>
        <w:gridCol w:w="851"/>
        <w:gridCol w:w="818"/>
        <w:gridCol w:w="674"/>
        <w:gridCol w:w="897"/>
        <w:gridCol w:w="1120"/>
        <w:gridCol w:w="1120"/>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685"/>
        </w:trPr>
        <w:tc>
          <w:tcPr>
            <w:gridSpan w:val="11"/>
            <w:tcBorders>
              <w:top w:val="single" w:color="auto" w:sz="6" w:space="0"/>
              <w:left w:val="single" w:color="auto" w:sz="12" w:space="0"/>
              <w:bottom w:val="single" w:color="auto" w:sz="12" w:space="0"/>
              <w:right w:val="single" w:color="auto" w:sz="12" w:space="0"/>
            </w:tcBorders>
            <w:tcW w:w="0" w:type="auto"/>
            <w:vAlign w:val="center"/>
            <w:textDirection w:val="lrTb"/>
            <w:noWrap w:val="false"/>
          </w:tcPr>
          <w:p>
            <w:pPr>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w:t>
      </w:r>
      <w:r>
        <w:rPr>
          <w:rFonts w:hint="eastAsia" w:ascii="宋体" w:hAnsi="宋体" w:eastAsia="宋体" w:cs="Times New Roman"/>
          <w:szCs w:val="21"/>
        </w:rPr>
        <w:t xml:space="preserve">投标单位应当根据本</w:t>
      </w:r>
      <w:r>
        <w:rPr>
          <w:rFonts w:hint="eastAsia" w:ascii="宋体" w:hAnsi="宋体" w:eastAsia="宋体" w:cs="Times New Roman"/>
          <w:szCs w:val="21"/>
        </w:rPr>
        <w:t xml:space="preserve">采购包</w:t>
      </w:r>
      <w:r>
        <w:rPr>
          <w:rFonts w:hint="eastAsia" w:ascii="宋体" w:hAnsi="宋体" w:eastAsia="宋体" w:cs="Times New Roman"/>
          <w:szCs w:val="21"/>
        </w:rPr>
        <w:t xml:space="preserve">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w:t>
      </w:r>
      <w:r>
        <w:rPr>
          <w:rFonts w:ascii="宋体" w:hAnsi="宋体" w:eastAsia="宋体" w:cs="Times New Roman"/>
          <w:bCs/>
          <w:sz w:val="24"/>
          <w:szCs w:val="24"/>
        </w:rPr>
        <w:t xml:space="preserve">“信用中国”网站</w:t>
      </w:r>
      <w:r>
        <w:rPr>
          <w:rFonts w:hint="eastAsia" w:ascii="宋体" w:hAnsi="宋体" w:eastAsia="宋体" w:cs="Times New Roman"/>
          <w:bCs/>
          <w:sz w:val="24"/>
          <w:szCs w:val="24"/>
        </w:rPr>
        <w:t xml:space="preserve">、中国政府采购网</w:t>
      </w:r>
      <w:r>
        <w:rPr>
          <w:rFonts w:ascii="宋体" w:hAnsi="宋体" w:eastAsia="宋体" w:cs="Times New Roman"/>
          <w:bCs/>
          <w:sz w:val="24"/>
          <w:szCs w:val="24"/>
        </w:rPr>
        <w:t xml:space="preserve">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w:t>
      </w:r>
      <w:r>
        <w:rPr>
          <w:rFonts w:hint="eastAsia" w:ascii="黑体" w:hAnsi="黑体" w:eastAsia="黑体" w:cs="Times New Roman"/>
          <w:sz w:val="28"/>
          <w:szCs w:val="28"/>
        </w:rPr>
        <w:t xml:space="preserve">货物类项目</w:t>
      </w:r>
      <w:r>
        <w:rPr>
          <w:rFonts w:hint="eastAsia" w:ascii="黑体" w:hAnsi="黑体" w:eastAsia="黑体" w:cs="Times New Roman"/>
          <w:sz w:val="28"/>
          <w:szCs w:val="28"/>
        </w:rPr>
        <w:t xml:space="preserve">）</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t xml:space="preserve">。</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w:t>
      </w:r>
      <w:r>
        <w:rPr>
          <w:rFonts w:hint="eastAsia" w:ascii="宋体" w:hAnsi="宋体" w:eastAsia="宋体" w:cs="Times New Roman"/>
          <w:sz w:val="24"/>
          <w:szCs w:val="21"/>
        </w:rPr>
        <w:t xml:space="preserve">声明函将随</w:t>
      </w:r>
      <w:r>
        <w:rPr>
          <w:rFonts w:hint="eastAsia" w:ascii="宋体" w:hAnsi="宋体" w:eastAsia="宋体" w:cs="Times New Roman"/>
          <w:sz w:val="24"/>
          <w:szCs w:val="21"/>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765"/>
          <w:jc w:val="center"/>
        </w:pPr>
        <w:r>
          <w:fldChar w:fldCharType="begin"/>
        </w:r>
        <w:r>
          <w:instrText xml:space="preserve">PAGE   \* MERGEFORMAT</w:instrText>
        </w:r>
        <w:r>
          <w:fldChar w:fldCharType="separate"/>
        </w:r>
        <w:r>
          <w:rPr>
            <w:lang w:val="zh-CN"/>
          </w:rPr>
          <w:t xml:space="preserve">-</w:t>
        </w:r>
        <w:r>
          <w:t xml:space="preserve"> 6 -</w:t>
        </w:r>
        <w:r>
          <w:fldChar w:fldCharType="end"/>
        </w:r>
        <w:r/>
      </w:p>
    </w:sdtContent>
  </w:sdt>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p>
  <w:p>
    <w:pPr>
      <w:pStyle w:val="76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071</w:t>
    </w:r>
    <w:r>
      <w:rPr>
        <w:rFonts w:hint="eastAsia" w:ascii="黑体" w:hAnsi="黑体" w:eastAsia="黑体" w:cs="Times New Roman"/>
        <w:bCs/>
        <w:sz w:val="16"/>
        <w:szCs w:val="18"/>
      </w:rPr>
      <w:t xml:space="preserve">江阴市人民医院手术机器人项目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7">
    <w:multiLevelType w:val="hybridMultilevel"/>
    <w:lvl w:ilvl="0">
      <w:start w:val="1"/>
      <w:numFmt w:val="decimal"/>
      <w:isLgl w:val="false"/>
      <w:suff w:val="tab"/>
      <w:lvlText w:val="%1."/>
      <w:lvlJc w:val="left"/>
      <w:pPr>
        <w:ind w:left="283" w:hanging="283"/>
      </w:pPr>
      <w:rPr>
        <w:rFonts w:hint="default"/>
      </w:rPr>
    </w:lvl>
    <w:lvl w:ilvl="1">
      <w:start w:val="1"/>
      <w:numFmt w:val="decimal"/>
      <w:isLgl w:val="false"/>
      <w:suff w:val="space"/>
      <w:lvlText w:val="%1.%2."/>
      <w:lvlJc w:val="left"/>
      <w:pPr>
        <w:ind w:left="3828" w:firstLine="0"/>
      </w:pPr>
      <w:rPr>
        <w:rFonts w:hint="default"/>
      </w:rPr>
    </w:lvl>
    <w:lvl w:ilvl="2">
      <w:start w:val="1"/>
      <w:numFmt w:val="decimal"/>
      <w:isLgl w:val="false"/>
      <w:suff w:val="space"/>
      <w:lvlText w:val="%1.%2.%3."/>
      <w:lvlJc w:val="left"/>
      <w:pPr>
        <w:ind w:left="3828" w:firstLine="284"/>
      </w:pPr>
      <w:rPr>
        <w:rFonts w:hint="default"/>
      </w:rPr>
    </w:lvl>
    <w:lvl w:ilvl="3">
      <w:start w:val="1"/>
      <w:numFmt w:val="decimal"/>
      <w:isLgl w:val="false"/>
      <w:suff w:val="tab"/>
      <w:lvlText w:val="%1.%2.%3.%4."/>
      <w:lvlJc w:val="left"/>
      <w:pPr>
        <w:ind w:left="4395" w:hanging="850"/>
      </w:pPr>
      <w:rPr>
        <w:rFonts w:hint="default"/>
      </w:rPr>
    </w:lvl>
    <w:lvl w:ilvl="4">
      <w:start w:val="1"/>
      <w:numFmt w:val="decimal"/>
      <w:isLgl w:val="false"/>
      <w:suff w:val="tab"/>
      <w:lvlText w:val="%1.%2.%3.%4.%5."/>
      <w:lvlJc w:val="left"/>
      <w:pPr>
        <w:ind w:left="4536" w:hanging="991"/>
      </w:pPr>
      <w:rPr>
        <w:rFonts w:hint="default"/>
      </w:rPr>
    </w:lvl>
    <w:lvl w:ilvl="5">
      <w:start w:val="1"/>
      <w:numFmt w:val="decimal"/>
      <w:isLgl w:val="false"/>
      <w:suff w:val="tab"/>
      <w:lvlText w:val="%1.%2.%3.%4.%5.%6."/>
      <w:lvlJc w:val="left"/>
      <w:pPr>
        <w:ind w:left="4679" w:hanging="1134"/>
      </w:pPr>
      <w:rPr>
        <w:rFonts w:hint="default"/>
      </w:rPr>
    </w:lvl>
    <w:lvl w:ilvl="6">
      <w:start w:val="1"/>
      <w:numFmt w:val="decimal"/>
      <w:isLgl w:val="false"/>
      <w:suff w:val="tab"/>
      <w:lvlText w:val="%1.%2.%3.%4.%5.%6.%7."/>
      <w:lvlJc w:val="left"/>
      <w:pPr>
        <w:ind w:left="4820" w:hanging="1275"/>
      </w:pPr>
      <w:rPr>
        <w:rFonts w:hint="default"/>
      </w:rPr>
    </w:lvl>
    <w:lvl w:ilvl="7">
      <w:start w:val="1"/>
      <w:numFmt w:val="decimal"/>
      <w:isLgl w:val="false"/>
      <w:suff w:val="tab"/>
      <w:lvlText w:val="%1.%2.%3.%4.%5.%6.%7.%8."/>
      <w:lvlJc w:val="left"/>
      <w:pPr>
        <w:ind w:left="4963" w:hanging="1418"/>
      </w:pPr>
      <w:rPr>
        <w:rFonts w:hint="default"/>
      </w:rPr>
    </w:lvl>
    <w:lvl w:ilvl="8">
      <w:start w:val="1"/>
      <w:numFmt w:val="decimal"/>
      <w:isLgl w:val="false"/>
      <w:suff w:val="tab"/>
      <w:lvlText w:val="%1.%2.%3.%4.%5.%6.%7.%8.%9."/>
      <w:lvlJc w:val="left"/>
      <w:pPr>
        <w:ind w:left="5103" w:hanging="1558"/>
      </w:pPr>
      <w:rPr>
        <w:rFonts w:hint="default"/>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1">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1"/>
  </w:num>
  <w:num w:numId="2">
    <w:abstractNumId w:val="9"/>
  </w:num>
  <w:num w:numId="3">
    <w:abstractNumId w:val="5"/>
  </w:num>
  <w:num w:numId="4">
    <w:abstractNumId w:val="7"/>
  </w:num>
  <w:num w:numId="5">
    <w:abstractNumId w:val="20"/>
  </w:num>
  <w:num w:numId="6">
    <w:abstractNumId w:val="6"/>
  </w:num>
  <w:num w:numId="7">
    <w:abstractNumId w:val="15"/>
  </w:num>
  <w:num w:numId="8">
    <w:abstractNumId w:val="0"/>
  </w:num>
  <w:num w:numId="9">
    <w:abstractNumId w:val="18"/>
  </w:num>
  <w:num w:numId="10">
    <w:abstractNumId w:val="3"/>
  </w:num>
  <w:num w:numId="11">
    <w:abstractNumId w:val="14"/>
  </w:num>
  <w:num w:numId="12">
    <w:abstractNumId w:val="4"/>
  </w:num>
  <w:num w:numId="13">
    <w:abstractNumId w:val="2"/>
  </w:num>
  <w:num w:numId="14">
    <w:abstractNumId w:val="10"/>
  </w:num>
  <w:num w:numId="15">
    <w:abstractNumId w:val="12"/>
  </w:num>
  <w:num w:numId="16">
    <w:abstractNumId w:val="23"/>
  </w:num>
  <w:num w:numId="17">
    <w:abstractNumId w:val="21"/>
  </w:num>
  <w:num w:numId="18">
    <w:abstractNumId w:val="11"/>
  </w:num>
  <w:num w:numId="19">
    <w:abstractNumId w:val="16"/>
  </w:num>
  <w:num w:numId="20">
    <w:abstractNumId w:val="22"/>
  </w:num>
  <w:num w:numId="21">
    <w:abstractNumId w:val="19"/>
  </w:num>
  <w:num w:numId="22">
    <w:abstractNumId w:val="8"/>
  </w:num>
  <w:num w:numId="23">
    <w:abstractNumId w:val="1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8"/>
    <w:link w:val="743"/>
    <w:uiPriority w:val="9"/>
    <w:rPr>
      <w:rFonts w:ascii="Arial" w:hAnsi="Arial" w:eastAsia="Arial" w:cs="Arial"/>
      <w:sz w:val="40"/>
      <w:szCs w:val="40"/>
    </w:rPr>
  </w:style>
  <w:style w:type="character" w:styleId="15">
    <w:name w:val="Heading 2 Char"/>
    <w:basedOn w:val="748"/>
    <w:link w:val="744"/>
    <w:uiPriority w:val="9"/>
    <w:rPr>
      <w:rFonts w:ascii="Arial" w:hAnsi="Arial" w:eastAsia="Arial" w:cs="Arial"/>
      <w:sz w:val="34"/>
    </w:rPr>
  </w:style>
  <w:style w:type="character" w:styleId="17">
    <w:name w:val="Heading 3 Char"/>
    <w:basedOn w:val="748"/>
    <w:link w:val="745"/>
    <w:uiPriority w:val="9"/>
    <w:rPr>
      <w:rFonts w:ascii="Arial" w:hAnsi="Arial" w:eastAsia="Arial" w:cs="Arial"/>
      <w:sz w:val="30"/>
      <w:szCs w:val="30"/>
    </w:rPr>
  </w:style>
  <w:style w:type="character" w:styleId="19">
    <w:name w:val="Heading 4 Char"/>
    <w:basedOn w:val="748"/>
    <w:link w:val="746"/>
    <w:uiPriority w:val="9"/>
    <w:rPr>
      <w:rFonts w:ascii="Arial" w:hAnsi="Arial" w:eastAsia="Arial" w:cs="Arial"/>
      <w:b/>
      <w:bCs/>
      <w:sz w:val="26"/>
      <w:szCs w:val="26"/>
    </w:rPr>
  </w:style>
  <w:style w:type="character" w:styleId="21">
    <w:name w:val="Heading 5 Char"/>
    <w:basedOn w:val="748"/>
    <w:link w:val="747"/>
    <w:uiPriority w:val="9"/>
    <w:rPr>
      <w:rFonts w:ascii="Arial" w:hAnsi="Arial" w:eastAsia="Arial" w:cs="Arial"/>
      <w:b/>
      <w:bCs/>
      <w:sz w:val="24"/>
      <w:szCs w:val="24"/>
    </w:rPr>
  </w:style>
  <w:style w:type="paragraph" w:styleId="22">
    <w:name w:val="Heading 6"/>
    <w:basedOn w:val="742"/>
    <w:next w:val="7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48"/>
    <w:link w:val="22"/>
    <w:uiPriority w:val="9"/>
    <w:rPr>
      <w:rFonts w:ascii="Arial" w:hAnsi="Arial" w:eastAsia="Arial" w:cs="Arial"/>
      <w:b/>
      <w:bCs/>
      <w:sz w:val="22"/>
      <w:szCs w:val="22"/>
    </w:rPr>
  </w:style>
  <w:style w:type="paragraph" w:styleId="24">
    <w:name w:val="Heading 7"/>
    <w:basedOn w:val="742"/>
    <w:next w:val="7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48"/>
    <w:link w:val="24"/>
    <w:uiPriority w:val="9"/>
    <w:rPr>
      <w:rFonts w:ascii="Arial" w:hAnsi="Arial" w:eastAsia="Arial" w:cs="Arial"/>
      <w:b/>
      <w:bCs/>
      <w:i/>
      <w:iCs/>
      <w:sz w:val="22"/>
      <w:szCs w:val="22"/>
    </w:rPr>
  </w:style>
  <w:style w:type="paragraph" w:styleId="26">
    <w:name w:val="Heading 8"/>
    <w:basedOn w:val="742"/>
    <w:next w:val="7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48"/>
    <w:link w:val="26"/>
    <w:uiPriority w:val="9"/>
    <w:rPr>
      <w:rFonts w:ascii="Arial" w:hAnsi="Arial" w:eastAsia="Arial" w:cs="Arial"/>
      <w:i/>
      <w:iCs/>
      <w:sz w:val="22"/>
      <w:szCs w:val="22"/>
    </w:rPr>
  </w:style>
  <w:style w:type="paragraph" w:styleId="28">
    <w:name w:val="Heading 9"/>
    <w:basedOn w:val="742"/>
    <w:next w:val="7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48"/>
    <w:link w:val="28"/>
    <w:uiPriority w:val="9"/>
    <w:rPr>
      <w:rFonts w:ascii="Arial" w:hAnsi="Arial" w:eastAsia="Arial" w:cs="Arial"/>
      <w:i/>
      <w:iCs/>
      <w:sz w:val="21"/>
      <w:szCs w:val="21"/>
    </w:rPr>
  </w:style>
  <w:style w:type="character" w:styleId="34">
    <w:name w:val="Title Char"/>
    <w:basedOn w:val="748"/>
    <w:link w:val="751"/>
    <w:uiPriority w:val="10"/>
    <w:rPr>
      <w:sz w:val="48"/>
      <w:szCs w:val="48"/>
    </w:rPr>
  </w:style>
  <w:style w:type="paragraph" w:styleId="35">
    <w:name w:val="Subtitle"/>
    <w:basedOn w:val="742"/>
    <w:next w:val="742"/>
    <w:link w:val="36"/>
    <w:uiPriority w:val="11"/>
    <w:qFormat/>
    <w:pPr>
      <w:spacing w:before="200" w:after="200"/>
    </w:pPr>
    <w:rPr>
      <w:sz w:val="24"/>
      <w:szCs w:val="24"/>
    </w:rPr>
  </w:style>
  <w:style w:type="character" w:styleId="36">
    <w:name w:val="Subtitle Char"/>
    <w:basedOn w:val="748"/>
    <w:link w:val="35"/>
    <w:uiPriority w:val="11"/>
    <w:rPr>
      <w:sz w:val="24"/>
      <w:szCs w:val="24"/>
    </w:rPr>
  </w:style>
  <w:style w:type="paragraph" w:styleId="37">
    <w:name w:val="Quote"/>
    <w:basedOn w:val="742"/>
    <w:next w:val="742"/>
    <w:link w:val="38"/>
    <w:uiPriority w:val="29"/>
    <w:qFormat/>
    <w:pPr>
      <w:ind w:left="720" w:right="720"/>
    </w:pPr>
    <w:rPr>
      <w:i/>
    </w:rPr>
  </w:style>
  <w:style w:type="character" w:styleId="38">
    <w:name w:val="Quote Char"/>
    <w:link w:val="37"/>
    <w:uiPriority w:val="29"/>
    <w:rPr>
      <w:i/>
    </w:rPr>
  </w:style>
  <w:style w:type="paragraph" w:styleId="39">
    <w:name w:val="Intense Quote"/>
    <w:basedOn w:val="742"/>
    <w:next w:val="7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8"/>
    <w:link w:val="763"/>
    <w:uiPriority w:val="99"/>
  </w:style>
  <w:style w:type="character" w:styleId="44">
    <w:name w:val="Footer Char"/>
    <w:basedOn w:val="748"/>
    <w:link w:val="765"/>
    <w:uiPriority w:val="99"/>
  </w:style>
  <w:style w:type="paragraph" w:styleId="45">
    <w:name w:val="Caption"/>
    <w:basedOn w:val="742"/>
    <w:next w:val="742"/>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48"/>
    <w:uiPriority w:val="99"/>
    <w:unhideWhenUsed/>
    <w:rPr>
      <w:vertAlign w:val="superscript"/>
    </w:rPr>
  </w:style>
  <w:style w:type="paragraph" w:styleId="177">
    <w:name w:val="endnote text"/>
    <w:basedOn w:val="7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8"/>
    <w:uiPriority w:val="99"/>
    <w:semiHidden/>
    <w:unhideWhenUsed/>
    <w:rPr>
      <w:vertAlign w:val="superscript"/>
    </w:rPr>
  </w:style>
  <w:style w:type="paragraph" w:styleId="190">
    <w:name w:val="table of figures"/>
    <w:basedOn w:val="742"/>
    <w:next w:val="742"/>
    <w:uiPriority w:val="99"/>
    <w:unhideWhenUsed/>
    <w:pPr>
      <w:spacing w:after="0" w:afterAutospacing="0"/>
    </w:pPr>
  </w:style>
  <w:style w:type="paragraph" w:styleId="742" w:default="1">
    <w:name w:val="Normal"/>
    <w:qFormat/>
    <w:pPr>
      <w:jc w:val="both"/>
      <w:widowControl w:val="off"/>
    </w:pPr>
  </w:style>
  <w:style w:type="paragraph" w:styleId="743">
    <w:name w:val="Heading 1"/>
    <w:basedOn w:val="742"/>
    <w:next w:val="742"/>
    <w:link w:val="792"/>
    <w:uiPriority w:val="9"/>
    <w:qFormat/>
    <w:pPr>
      <w:keepLines/>
      <w:keepNext/>
      <w:spacing w:before="340" w:after="330" w:line="578" w:lineRule="auto"/>
      <w:outlineLvl w:val="0"/>
    </w:pPr>
    <w:rPr>
      <w:b/>
      <w:bCs/>
      <w:sz w:val="44"/>
      <w:szCs w:val="44"/>
    </w:rPr>
  </w:style>
  <w:style w:type="paragraph" w:styleId="744">
    <w:name w:val="Heading 2"/>
    <w:basedOn w:val="742"/>
    <w:next w:val="742"/>
    <w:link w:val="798"/>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5">
    <w:name w:val="Heading 3"/>
    <w:basedOn w:val="742"/>
    <w:next w:val="742"/>
    <w:link w:val="799"/>
    <w:uiPriority w:val="9"/>
    <w:semiHidden/>
    <w:unhideWhenUsed/>
    <w:qFormat/>
    <w:pPr>
      <w:keepLines/>
      <w:keepNext/>
      <w:spacing w:before="260" w:after="260" w:line="416" w:lineRule="auto"/>
      <w:outlineLvl w:val="2"/>
    </w:pPr>
    <w:rPr>
      <w:b/>
      <w:bCs/>
      <w:sz w:val="32"/>
      <w:szCs w:val="32"/>
    </w:rPr>
  </w:style>
  <w:style w:type="paragraph" w:styleId="746">
    <w:name w:val="Heading 4"/>
    <w:basedOn w:val="742"/>
    <w:next w:val="742"/>
    <w:link w:val="80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47">
    <w:name w:val="Heading 5"/>
    <w:basedOn w:val="742"/>
    <w:next w:val="742"/>
    <w:link w:val="801"/>
    <w:uiPriority w:val="9"/>
    <w:semiHidden/>
    <w:unhideWhenUsed/>
    <w:qFormat/>
    <w:pPr>
      <w:keepLines/>
      <w:keepNext/>
      <w:spacing w:before="280" w:after="290" w:line="376" w:lineRule="auto"/>
      <w:outlineLvl w:val="4"/>
    </w:pPr>
    <w:rPr>
      <w:b/>
      <w:bCs/>
      <w:sz w:val="28"/>
      <w:szCs w:val="28"/>
    </w:rPr>
  </w:style>
  <w:style w:type="character" w:styleId="748" w:default="1">
    <w:name w:val="Default Paragraph Font"/>
    <w:uiPriority w:val="1"/>
    <w:semiHidden/>
    <w:unhideWhenUsed/>
  </w:style>
  <w:style w:type="table" w:styleId="749" w:default="1">
    <w:name w:val="Normal Table"/>
    <w:uiPriority w:val="99"/>
    <w:semiHidden/>
    <w:unhideWhenUsed/>
    <w:tblPr>
      <w:tblInd w:w="0" w:type="dxa"/>
      <w:tblCellMar>
        <w:left w:w="108" w:type="dxa"/>
        <w:top w:w="0" w:type="dxa"/>
        <w:right w:w="108" w:type="dxa"/>
        <w:bottom w:w="0" w:type="dxa"/>
      </w:tblCellMar>
    </w:tblPr>
  </w:style>
  <w:style w:type="numbering" w:styleId="750" w:default="1">
    <w:name w:val="No List"/>
    <w:uiPriority w:val="99"/>
    <w:semiHidden/>
    <w:unhideWhenUsed/>
  </w:style>
  <w:style w:type="paragraph" w:styleId="751">
    <w:name w:val="Title"/>
    <w:basedOn w:val="742"/>
    <w:next w:val="742"/>
    <w:link w:val="752"/>
    <w:uiPriority w:val="10"/>
    <w:qFormat/>
    <w:pPr>
      <w:jc w:val="center"/>
      <w:spacing w:line="400" w:lineRule="exact"/>
      <w:outlineLvl w:val="0"/>
    </w:pPr>
    <w:rPr>
      <w:rFonts w:eastAsia="黑体" w:asciiTheme="majorHAnsi" w:hAnsiTheme="majorHAnsi" w:cstheme="majorBidi"/>
      <w:bCs/>
      <w:sz w:val="30"/>
      <w:szCs w:val="32"/>
    </w:rPr>
  </w:style>
  <w:style w:type="character" w:styleId="752" w:customStyle="1">
    <w:name w:val="标题 Char"/>
    <w:basedOn w:val="748"/>
    <w:link w:val="751"/>
    <w:uiPriority w:val="10"/>
    <w:rPr>
      <w:rFonts w:eastAsia="黑体" w:asciiTheme="majorHAnsi" w:hAnsiTheme="majorHAnsi" w:cstheme="majorBidi"/>
      <w:bCs/>
      <w:sz w:val="30"/>
      <w:szCs w:val="32"/>
    </w:rPr>
  </w:style>
  <w:style w:type="paragraph" w:styleId="753">
    <w:name w:val="toc 1"/>
    <w:basedOn w:val="742"/>
    <w:next w:val="742"/>
    <w:uiPriority w:val="39"/>
    <w:unhideWhenUsed/>
    <w:pPr>
      <w:jc w:val="left"/>
      <w:spacing w:before="120" w:after="120"/>
    </w:pPr>
    <w:rPr>
      <w:b/>
      <w:bCs/>
      <w:caps/>
      <w:sz w:val="20"/>
      <w:szCs w:val="20"/>
    </w:rPr>
  </w:style>
  <w:style w:type="character" w:styleId="754">
    <w:name w:val="Hyperlink"/>
    <w:basedOn w:val="748"/>
    <w:uiPriority w:val="99"/>
    <w:unhideWhenUsed/>
    <w:rPr>
      <w:color w:val="0000ff" w:themeColor="hyperlink"/>
      <w:u w:val="single"/>
    </w:rPr>
  </w:style>
  <w:style w:type="paragraph" w:styleId="755">
    <w:name w:val="toc 2"/>
    <w:basedOn w:val="742"/>
    <w:next w:val="742"/>
    <w:uiPriority w:val="39"/>
    <w:unhideWhenUsed/>
    <w:pPr>
      <w:ind w:left="210"/>
      <w:jc w:val="left"/>
    </w:pPr>
    <w:rPr>
      <w:smallCaps/>
      <w:sz w:val="20"/>
      <w:szCs w:val="20"/>
    </w:rPr>
  </w:style>
  <w:style w:type="paragraph" w:styleId="756">
    <w:name w:val="toc 3"/>
    <w:basedOn w:val="742"/>
    <w:next w:val="742"/>
    <w:uiPriority w:val="39"/>
    <w:unhideWhenUsed/>
    <w:pPr>
      <w:ind w:left="420"/>
      <w:jc w:val="left"/>
    </w:pPr>
    <w:rPr>
      <w:i/>
      <w:iCs/>
      <w:sz w:val="20"/>
      <w:szCs w:val="20"/>
    </w:rPr>
  </w:style>
  <w:style w:type="paragraph" w:styleId="757">
    <w:name w:val="toc 4"/>
    <w:basedOn w:val="742"/>
    <w:next w:val="742"/>
    <w:uiPriority w:val="39"/>
    <w:unhideWhenUsed/>
    <w:pPr>
      <w:ind w:left="630"/>
      <w:jc w:val="left"/>
    </w:pPr>
    <w:rPr>
      <w:sz w:val="18"/>
      <w:szCs w:val="18"/>
    </w:rPr>
  </w:style>
  <w:style w:type="paragraph" w:styleId="758">
    <w:name w:val="toc 5"/>
    <w:basedOn w:val="742"/>
    <w:next w:val="742"/>
    <w:uiPriority w:val="39"/>
    <w:unhideWhenUsed/>
    <w:pPr>
      <w:ind w:left="840"/>
      <w:jc w:val="left"/>
    </w:pPr>
    <w:rPr>
      <w:sz w:val="18"/>
      <w:szCs w:val="18"/>
    </w:rPr>
  </w:style>
  <w:style w:type="paragraph" w:styleId="759">
    <w:name w:val="toc 6"/>
    <w:basedOn w:val="742"/>
    <w:next w:val="742"/>
    <w:uiPriority w:val="39"/>
    <w:unhideWhenUsed/>
    <w:pPr>
      <w:ind w:left="1050"/>
      <w:jc w:val="left"/>
    </w:pPr>
    <w:rPr>
      <w:sz w:val="18"/>
      <w:szCs w:val="18"/>
    </w:rPr>
  </w:style>
  <w:style w:type="paragraph" w:styleId="760">
    <w:name w:val="toc 7"/>
    <w:basedOn w:val="742"/>
    <w:next w:val="742"/>
    <w:uiPriority w:val="39"/>
    <w:unhideWhenUsed/>
    <w:pPr>
      <w:ind w:left="1260"/>
      <w:jc w:val="left"/>
    </w:pPr>
    <w:rPr>
      <w:sz w:val="18"/>
      <w:szCs w:val="18"/>
    </w:rPr>
  </w:style>
  <w:style w:type="paragraph" w:styleId="761">
    <w:name w:val="toc 8"/>
    <w:basedOn w:val="742"/>
    <w:next w:val="742"/>
    <w:uiPriority w:val="39"/>
    <w:unhideWhenUsed/>
    <w:pPr>
      <w:ind w:left="1470"/>
      <w:jc w:val="left"/>
    </w:pPr>
    <w:rPr>
      <w:sz w:val="18"/>
      <w:szCs w:val="18"/>
    </w:rPr>
  </w:style>
  <w:style w:type="paragraph" w:styleId="762">
    <w:name w:val="toc 9"/>
    <w:basedOn w:val="742"/>
    <w:next w:val="742"/>
    <w:uiPriority w:val="39"/>
    <w:unhideWhenUsed/>
    <w:pPr>
      <w:ind w:left="1680"/>
      <w:jc w:val="left"/>
    </w:pPr>
    <w:rPr>
      <w:sz w:val="18"/>
      <w:szCs w:val="18"/>
    </w:rPr>
  </w:style>
  <w:style w:type="paragraph" w:styleId="763">
    <w:name w:val="Header"/>
    <w:basedOn w:val="742"/>
    <w:link w:val="764"/>
    <w:unhideWhenUsed/>
    <w:pPr>
      <w:jc w:val="center"/>
      <w:tabs>
        <w:tab w:val="center" w:pos="4153" w:leader="none"/>
        <w:tab w:val="right" w:pos="8306" w:leader="none"/>
      </w:tabs>
      <w:pBdr>
        <w:bottom w:val="single" w:color="auto" w:sz="6" w:space="1"/>
      </w:pBdr>
    </w:pPr>
    <w:rPr>
      <w:sz w:val="18"/>
      <w:szCs w:val="18"/>
    </w:rPr>
  </w:style>
  <w:style w:type="character" w:styleId="764" w:customStyle="1">
    <w:name w:val="页眉 Char"/>
    <w:basedOn w:val="748"/>
    <w:link w:val="763"/>
    <w:qFormat/>
    <w:rPr>
      <w:sz w:val="18"/>
      <w:szCs w:val="18"/>
    </w:rPr>
  </w:style>
  <w:style w:type="paragraph" w:styleId="765">
    <w:name w:val="Footer"/>
    <w:basedOn w:val="742"/>
    <w:link w:val="766"/>
    <w:uiPriority w:val="99"/>
    <w:unhideWhenUsed/>
    <w:pPr>
      <w:jc w:val="left"/>
      <w:tabs>
        <w:tab w:val="center" w:pos="4153" w:leader="none"/>
        <w:tab w:val="right" w:pos="8306" w:leader="none"/>
      </w:tabs>
    </w:pPr>
    <w:rPr>
      <w:sz w:val="18"/>
      <w:szCs w:val="18"/>
    </w:rPr>
  </w:style>
  <w:style w:type="character" w:styleId="766" w:customStyle="1">
    <w:name w:val="页脚 Char"/>
    <w:basedOn w:val="748"/>
    <w:link w:val="765"/>
    <w:uiPriority w:val="99"/>
    <w:rPr>
      <w:sz w:val="18"/>
      <w:szCs w:val="18"/>
    </w:rPr>
  </w:style>
  <w:style w:type="character" w:styleId="767">
    <w:name w:val="page number"/>
  </w:style>
  <w:style w:type="character" w:styleId="768" w:customStyle="1">
    <w:name w:val="font2800"/>
    <w:basedOn w:val="748"/>
  </w:style>
  <w:style w:type="table" w:styleId="769">
    <w:name w:val="Table Grid"/>
    <w:basedOn w:val="74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70">
    <w:name w:val="Balloon Text"/>
    <w:basedOn w:val="742"/>
    <w:link w:val="771"/>
    <w:uiPriority w:val="99"/>
    <w:semiHidden/>
    <w:unhideWhenUsed/>
    <w:rPr>
      <w:sz w:val="18"/>
      <w:szCs w:val="18"/>
    </w:rPr>
  </w:style>
  <w:style w:type="character" w:styleId="771" w:customStyle="1">
    <w:name w:val="批注框文本 Char"/>
    <w:basedOn w:val="748"/>
    <w:link w:val="770"/>
    <w:uiPriority w:val="99"/>
    <w:semiHidden/>
    <w:rPr>
      <w:sz w:val="18"/>
      <w:szCs w:val="18"/>
    </w:rPr>
  </w:style>
  <w:style w:type="table" w:styleId="772" w:customStyle="1">
    <w:name w:val="网格型1"/>
    <w:basedOn w:val="749"/>
    <w:next w:val="76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annotation reference"/>
    <w:basedOn w:val="748"/>
    <w:uiPriority w:val="99"/>
    <w:semiHidden/>
    <w:unhideWhenUsed/>
    <w:rPr>
      <w:sz w:val="21"/>
      <w:szCs w:val="21"/>
    </w:rPr>
  </w:style>
  <w:style w:type="paragraph" w:styleId="774">
    <w:name w:val="annotation text"/>
    <w:basedOn w:val="742"/>
    <w:link w:val="775"/>
    <w:uiPriority w:val="99"/>
    <w:unhideWhenUsed/>
    <w:pPr>
      <w:jc w:val="left"/>
    </w:pPr>
  </w:style>
  <w:style w:type="character" w:styleId="775" w:customStyle="1">
    <w:name w:val="批注文字 Char"/>
    <w:basedOn w:val="748"/>
    <w:link w:val="774"/>
    <w:uiPriority w:val="99"/>
  </w:style>
  <w:style w:type="paragraph" w:styleId="776">
    <w:name w:val="annotation subject"/>
    <w:basedOn w:val="774"/>
    <w:next w:val="774"/>
    <w:link w:val="777"/>
    <w:uiPriority w:val="99"/>
    <w:semiHidden/>
    <w:unhideWhenUsed/>
    <w:rPr>
      <w:b/>
      <w:bCs/>
    </w:rPr>
  </w:style>
  <w:style w:type="character" w:styleId="777" w:customStyle="1">
    <w:name w:val="批注主题 Char"/>
    <w:basedOn w:val="775"/>
    <w:link w:val="776"/>
    <w:uiPriority w:val="99"/>
    <w:semiHidden/>
    <w:rPr>
      <w:b/>
      <w:bCs/>
    </w:rPr>
  </w:style>
  <w:style w:type="paragraph" w:styleId="778">
    <w:name w:val="Body Text"/>
    <w:basedOn w:val="742"/>
    <w:link w:val="780"/>
    <w:pPr>
      <w:spacing w:line="360" w:lineRule="auto"/>
    </w:pPr>
    <w:rPr>
      <w:rFonts w:ascii="楷体_GB2312" w:hAnsi="Times New Roman" w:eastAsia="楷体_GB2312" w:cs="Times New Roman"/>
      <w:bCs/>
      <w:sz w:val="28"/>
      <w:szCs w:val="24"/>
    </w:rPr>
  </w:style>
  <w:style w:type="character" w:styleId="779" w:customStyle="1">
    <w:name w:val="正文文本 Char"/>
    <w:basedOn w:val="748"/>
  </w:style>
  <w:style w:type="character" w:styleId="780" w:customStyle="1">
    <w:name w:val="正文文本 Char1"/>
    <w:link w:val="778"/>
    <w:rPr>
      <w:rFonts w:ascii="楷体_GB2312" w:hAnsi="Times New Roman" w:eastAsia="楷体_GB2312" w:cs="Times New Roman"/>
      <w:bCs/>
      <w:sz w:val="28"/>
      <w:szCs w:val="24"/>
    </w:rPr>
  </w:style>
  <w:style w:type="paragraph" w:styleId="781" w:customStyle="1">
    <w:name w:val="Table Paragraph"/>
    <w:basedOn w:val="742"/>
    <w:uiPriority w:val="1"/>
    <w:pPr>
      <w:ind w:firstLine="260"/>
      <w:jc w:val="left"/>
      <w:spacing w:line="360" w:lineRule="auto"/>
    </w:pPr>
    <w:rPr>
      <w:rFonts w:ascii="Calibri" w:hAnsi="Calibri" w:eastAsia="仿宋" w:cs="Times New Roman"/>
      <w:sz w:val="28"/>
      <w:lang w:eastAsia="en-US"/>
    </w:rPr>
  </w:style>
  <w:style w:type="paragraph" w:styleId="782">
    <w:name w:val="No Spacing"/>
    <w:link w:val="783"/>
    <w:uiPriority w:val="1"/>
    <w:pPr>
      <w:jc w:val="both"/>
      <w:spacing w:line="360" w:lineRule="auto"/>
      <w:widowControl w:val="off"/>
    </w:pPr>
    <w:rPr>
      <w:rFonts w:ascii="宋体" w:hAnsi="宋体"/>
      <w:sz w:val="24"/>
    </w:rPr>
  </w:style>
  <w:style w:type="character" w:styleId="783" w:customStyle="1">
    <w:name w:val="无间隔 Char"/>
    <w:link w:val="782"/>
    <w:uiPriority w:val="1"/>
    <w:rPr>
      <w:rFonts w:ascii="宋体" w:hAnsi="宋体"/>
      <w:sz w:val="24"/>
    </w:rPr>
  </w:style>
  <w:style w:type="paragraph" w:styleId="784">
    <w:name w:val="Body Text Indent"/>
    <w:basedOn w:val="742"/>
    <w:link w:val="785"/>
    <w:unhideWhenUsed/>
    <w:pPr>
      <w:ind w:left="420"/>
      <w:spacing w:after="120"/>
    </w:pPr>
  </w:style>
  <w:style w:type="character" w:styleId="785" w:customStyle="1">
    <w:name w:val="正文文本缩进 Char"/>
    <w:basedOn w:val="748"/>
    <w:link w:val="784"/>
  </w:style>
  <w:style w:type="table" w:styleId="786" w:customStyle="1">
    <w:name w:val="网格型2"/>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87">
    <w:name w:val="Revision"/>
    <w:hidden/>
    <w:uiPriority w:val="99"/>
    <w:unhideWhenUsed/>
  </w:style>
  <w:style w:type="table" w:styleId="788" w:customStyle="1">
    <w:name w:val="网格型3"/>
    <w:basedOn w:val="749"/>
    <w:next w:val="76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789" w:customStyle="1">
    <w:name w:val="无列表1"/>
    <w:next w:val="750"/>
    <w:uiPriority w:val="99"/>
    <w:semiHidden/>
    <w:unhideWhenUsed/>
  </w:style>
  <w:style w:type="table" w:styleId="790" w:customStyle="1">
    <w:name w:val="网格型4"/>
    <w:basedOn w:val="749"/>
    <w:next w:val="76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customStyle="1">
    <w:name w:val="Table Normal"/>
    <w:semiHidden/>
    <w:unhideWhenUsed/>
    <w:qFormat/>
    <w:rPr>
      <w:sz w:val="20"/>
      <w:szCs w:val="20"/>
    </w:rPr>
    <w:tblPr>
      <w:tblCellMar>
        <w:left w:w="0" w:type="dxa"/>
        <w:top w:w="0" w:type="dxa"/>
        <w:right w:w="0" w:type="dxa"/>
        <w:bottom w:w="0" w:type="dxa"/>
      </w:tblCellMar>
    </w:tblPr>
  </w:style>
  <w:style w:type="character" w:styleId="792" w:customStyle="1">
    <w:name w:val="标题 1 Char"/>
    <w:basedOn w:val="748"/>
    <w:link w:val="743"/>
    <w:uiPriority w:val="9"/>
    <w:rPr>
      <w:b/>
      <w:bCs/>
      <w:sz w:val="44"/>
      <w:szCs w:val="44"/>
    </w:rPr>
  </w:style>
  <w:style w:type="paragraph" w:styleId="793">
    <w:name w:val="TOC Heading"/>
    <w:basedOn w:val="743"/>
    <w:next w:val="742"/>
    <w:uiPriority w:val="39"/>
    <w:semiHidden/>
    <w:unhideWhenUsed/>
    <w:qFormat/>
    <w:pPr>
      <w:outlineLvl w:val="9"/>
    </w:pPr>
  </w:style>
  <w:style w:type="character" w:styleId="794" w:customStyle="1">
    <w:name w:val="font21"/>
    <w:basedOn w:val="748"/>
    <w:rPr>
      <w:rFonts w:ascii="Calibri" w:hAnsi="Calibri" w:cs="Calibri"/>
      <w:color w:val="000000"/>
      <w:sz w:val="21"/>
      <w:szCs w:val="21"/>
      <w:u w:val="none"/>
    </w:rPr>
  </w:style>
  <w:style w:type="character" w:styleId="795" w:customStyle="1">
    <w:name w:val="font11"/>
    <w:basedOn w:val="748"/>
    <w:rPr>
      <w:rFonts w:hint="eastAsia" w:ascii="宋体" w:hAnsi="宋体" w:eastAsia="宋体" w:cs="宋体"/>
      <w:color w:val="000000"/>
      <w:sz w:val="21"/>
      <w:szCs w:val="21"/>
      <w:u w:val="none"/>
    </w:rPr>
  </w:style>
  <w:style w:type="paragraph" w:styleId="796">
    <w:name w:val="Body Text First Indent 2"/>
    <w:basedOn w:val="784"/>
    <w:link w:val="797"/>
    <w:unhideWhenUsed/>
    <w:pPr>
      <w:ind w:firstLine="420"/>
    </w:pPr>
  </w:style>
  <w:style w:type="character" w:styleId="797" w:customStyle="1">
    <w:name w:val="正文首行缩进 2 Char"/>
    <w:basedOn w:val="785"/>
    <w:link w:val="796"/>
  </w:style>
  <w:style w:type="character" w:styleId="798" w:customStyle="1">
    <w:name w:val="标题 2 Char"/>
    <w:basedOn w:val="748"/>
    <w:link w:val="744"/>
    <w:uiPriority w:val="9"/>
    <w:semiHidden/>
    <w:rPr>
      <w:rFonts w:asciiTheme="majorHAnsi" w:hAnsiTheme="majorHAnsi" w:eastAsiaTheme="majorEastAsia" w:cstheme="majorBidi"/>
      <w:b/>
      <w:bCs/>
      <w:sz w:val="32"/>
      <w:szCs w:val="32"/>
    </w:rPr>
  </w:style>
  <w:style w:type="character" w:styleId="799" w:customStyle="1">
    <w:name w:val="标题 3 Char"/>
    <w:basedOn w:val="748"/>
    <w:link w:val="745"/>
    <w:uiPriority w:val="9"/>
    <w:semiHidden/>
    <w:rPr>
      <w:b/>
      <w:bCs/>
      <w:sz w:val="32"/>
      <w:szCs w:val="32"/>
    </w:rPr>
  </w:style>
  <w:style w:type="character" w:styleId="800" w:customStyle="1">
    <w:name w:val="标题 4 Char"/>
    <w:basedOn w:val="748"/>
    <w:link w:val="746"/>
    <w:uiPriority w:val="9"/>
    <w:semiHidden/>
    <w:rPr>
      <w:rFonts w:asciiTheme="majorHAnsi" w:hAnsiTheme="majorHAnsi" w:eastAsiaTheme="majorEastAsia" w:cstheme="majorBidi"/>
      <w:b/>
      <w:bCs/>
      <w:sz w:val="28"/>
      <w:szCs w:val="28"/>
    </w:rPr>
  </w:style>
  <w:style w:type="character" w:styleId="801" w:customStyle="1">
    <w:name w:val="标题 5 Char"/>
    <w:basedOn w:val="748"/>
    <w:link w:val="747"/>
    <w:uiPriority w:val="9"/>
    <w:semiHidden/>
    <w:rPr>
      <w:b/>
      <w:bCs/>
      <w:sz w:val="28"/>
      <w:szCs w:val="28"/>
    </w:rPr>
  </w:style>
  <w:style w:type="paragraph" w:styleId="802">
    <w:name w:val="Note Heading"/>
    <w:basedOn w:val="742"/>
    <w:next w:val="742"/>
    <w:link w:val="803"/>
    <w:pPr>
      <w:jc w:val="center"/>
    </w:pPr>
    <w:rPr>
      <w:rFonts w:ascii="金梅簡體中黑字形" w:hAnsi="Arial" w:eastAsia="金梅簡體中黑字形" w:cs="Times New Roman"/>
      <w:sz w:val="24"/>
      <w:szCs w:val="24"/>
    </w:rPr>
  </w:style>
  <w:style w:type="character" w:styleId="803" w:customStyle="1">
    <w:name w:val="注释标题 Char"/>
    <w:basedOn w:val="748"/>
    <w:link w:val="802"/>
    <w:rPr>
      <w:rFonts w:ascii="金梅簡體中黑字形" w:hAnsi="Arial" w:eastAsia="金梅簡體中黑字形" w:cs="Times New Roman"/>
      <w:sz w:val="24"/>
      <w:szCs w:val="24"/>
    </w:rPr>
  </w:style>
  <w:style w:type="paragraph" w:styleId="804">
    <w:name w:val="Normal Indent"/>
    <w:basedOn w:val="742"/>
    <w:uiPriority w:val="99"/>
    <w:semiHidden/>
    <w:unhideWhenUsed/>
    <w:pPr>
      <w:ind w:left="720"/>
    </w:pPr>
  </w:style>
  <w:style w:type="paragraph" w:styleId="805">
    <w:name w:val="Document Map"/>
    <w:basedOn w:val="742"/>
    <w:link w:val="806"/>
    <w:uiPriority w:val="99"/>
    <w:rPr>
      <w:rFonts w:ascii="宋体"/>
      <w:sz w:val="18"/>
      <w:szCs w:val="18"/>
    </w:rPr>
  </w:style>
  <w:style w:type="character" w:styleId="806" w:customStyle="1">
    <w:name w:val="文档结构图 Char"/>
    <w:basedOn w:val="748"/>
    <w:link w:val="805"/>
    <w:uiPriority w:val="99"/>
    <w:rPr>
      <w:rFonts w:ascii="宋体"/>
      <w:sz w:val="18"/>
      <w:szCs w:val="18"/>
    </w:rPr>
  </w:style>
  <w:style w:type="paragraph" w:styleId="807">
    <w:name w:val="Body Text 3"/>
    <w:basedOn w:val="742"/>
    <w:link w:val="808"/>
    <w:rPr>
      <w:rFonts w:ascii="仿宋_GB2312" w:eastAsia="仿宋_GB2312"/>
      <w:sz w:val="24"/>
    </w:rPr>
  </w:style>
  <w:style w:type="character" w:styleId="808" w:customStyle="1">
    <w:name w:val="正文文本 3 Char"/>
    <w:basedOn w:val="748"/>
    <w:link w:val="807"/>
    <w:rPr>
      <w:rFonts w:ascii="仿宋_GB2312" w:eastAsia="仿宋_GB2312"/>
      <w:sz w:val="24"/>
    </w:rPr>
  </w:style>
  <w:style w:type="paragraph" w:styleId="809">
    <w:name w:val="Plain Text"/>
    <w:basedOn w:val="742"/>
    <w:link w:val="810"/>
    <w:rPr>
      <w:rFonts w:hAnsi="Courier New" w:cs="Courier New" w:asciiTheme="minorEastAsia"/>
    </w:rPr>
  </w:style>
  <w:style w:type="character" w:styleId="810" w:customStyle="1">
    <w:name w:val="纯文本 Char"/>
    <w:basedOn w:val="748"/>
    <w:link w:val="809"/>
    <w:rPr>
      <w:rFonts w:hAnsi="Courier New" w:cs="Courier New" w:asciiTheme="minorEastAsia"/>
    </w:rPr>
  </w:style>
  <w:style w:type="paragraph" w:styleId="811">
    <w:name w:val="Normal (Web)"/>
    <w:basedOn w:val="742"/>
    <w:pPr>
      <w:jc w:val="left"/>
      <w:spacing w:before="100" w:beforeAutospacing="1" w:after="100" w:afterAutospacing="1"/>
      <w:widowControl/>
    </w:pPr>
    <w:rPr>
      <w:rFonts w:ascii="宋体" w:hAnsi="宋体" w:cs="宋体"/>
      <w:sz w:val="24"/>
      <w:szCs w:val="24"/>
    </w:rPr>
  </w:style>
  <w:style w:type="paragraph" w:styleId="812">
    <w:name w:val="Body Text First Indent"/>
    <w:basedOn w:val="778"/>
    <w:link w:val="813"/>
    <w:pPr>
      <w:ind w:firstLine="420"/>
      <w:spacing w:after="120" w:line="240" w:lineRule="auto"/>
    </w:pPr>
    <w:rPr>
      <w:rFonts w:ascii="宋体" w:hAnsi="宋体" w:eastAsia="宋体" w:cstheme="minorBidi"/>
      <w:sz w:val="24"/>
      <w:szCs w:val="22"/>
    </w:rPr>
  </w:style>
  <w:style w:type="character" w:styleId="813" w:customStyle="1">
    <w:name w:val="正文首行缩进 Char"/>
    <w:basedOn w:val="780"/>
    <w:link w:val="812"/>
    <w:rPr>
      <w:rFonts w:ascii="宋体" w:hAnsi="宋体" w:eastAsia="宋体" w:cs="Times New Roman"/>
      <w:bCs/>
      <w:sz w:val="24"/>
      <w:szCs w:val="24"/>
    </w:rPr>
  </w:style>
  <w:style w:type="table" w:styleId="814" w:customStyle="1">
    <w:name w:val="网格型5"/>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48"/>
    <w:uiPriority w:val="22"/>
    <w:qFormat/>
    <w:rPr>
      <w:b/>
      <w:bCs/>
    </w:rPr>
  </w:style>
  <w:style w:type="paragraph" w:styleId="816" w:customStyle="1">
    <w:name w:val="正文首行缩进 21"/>
    <w:basedOn w:val="784"/>
    <w:next w:val="778"/>
    <w:pPr>
      <w:ind w:firstLine="210"/>
    </w:pPr>
    <w:rPr>
      <w:szCs w:val="21"/>
    </w:rPr>
  </w:style>
  <w:style w:type="paragraph" w:styleId="817" w:customStyle="1">
    <w:name w:val="标题 21"/>
    <w:basedOn w:val="742"/>
    <w:next w:val="742"/>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818" w:customStyle="1">
    <w:name w:val="网格型11"/>
    <w:basedOn w:val="74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19" w:customStyle="1">
    <w:name w:val="BodyText1I2"/>
    <w:basedOn w:val="742"/>
    <w:next w:val="742"/>
    <w:uiPriority w:val="99"/>
    <w:pPr>
      <w:ind w:left="420" w:firstLine="420"/>
      <w:spacing w:after="120"/>
    </w:pPr>
    <w:rPr>
      <w:rFonts w:ascii="楷体_GB2312" w:hAnsi="Times New Roman" w:eastAsia="楷体_GB2312" w:cs="Times New Roman"/>
      <w:szCs w:val="24"/>
    </w:rPr>
  </w:style>
  <w:style w:type="paragraph" w:styleId="820">
    <w:name w:val="List Paragraph"/>
    <w:basedOn w:val="742"/>
    <w:uiPriority w:val="34"/>
    <w:qFormat/>
    <w:pPr>
      <w:ind w:firstLine="420"/>
    </w:pPr>
  </w:style>
  <w:style w:type="paragraph" w:styleId="821" w:customStyle="1">
    <w:name w:val="正文无缩进"/>
    <w:basedOn w:val="742"/>
    <w:pPr>
      <w:jc w:val="left"/>
      <w:spacing w:line="300" w:lineRule="auto"/>
      <w:widowControl/>
    </w:pPr>
    <w:rPr>
      <w:rFonts w:eastAsia="楷体_GB2312"/>
      <w:sz w:val="24"/>
    </w:rPr>
  </w:style>
  <w:style w:type="character" w:styleId="822" w:customStyle="1">
    <w:name w:val="NormalCharacter"/>
    <w:rPr>
      <w:rFonts w:ascii="Times New Roman" w:hAnsi="Times New Roman" w:eastAsia="宋体"/>
    </w:rPr>
  </w:style>
  <w:style w:type="table" w:styleId="823" w:customStyle="1">
    <w:name w:val="网格型21"/>
    <w:basedOn w:val="74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24"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825" w:customStyle="1">
    <w:name w:val="正文文本首行缩进1"/>
    <w:basedOn w:val="778"/>
    <w:next w:val="826"/>
    <w:pPr>
      <w:ind w:firstLine="420"/>
      <w:spacing w:after="120"/>
    </w:pPr>
    <w:rPr>
      <w:rFonts w:eastAsia="宋体"/>
    </w:rPr>
  </w:style>
  <w:style w:type="paragraph" w:styleId="826" w:customStyle="1">
    <w:name w:val="正文文本首行缩进 21"/>
    <w:basedOn w:val="784"/>
    <w:pPr>
      <w:ind w:firstLine="420"/>
      <w:widowControl/>
    </w:pPr>
    <w:rPr>
      <w:rFonts w:ascii="仿宋_GB2312" w:eastAsia="仿宋_GB2312"/>
      <w:color w:val="ff6600"/>
    </w:rPr>
  </w:style>
  <w:style w:type="character" w:styleId="827" w:customStyle="1">
    <w:name w:val="font41"/>
    <w:basedOn w:val="748"/>
    <w:rPr>
      <w:rFonts w:hint="eastAsia" w:ascii="宋体" w:hAnsi="宋体" w:eastAsia="宋体" w:cs="宋体"/>
      <w:color w:val="000000"/>
      <w:sz w:val="24"/>
      <w:szCs w:val="24"/>
      <w:u w:val="none"/>
    </w:rPr>
  </w:style>
  <w:style w:type="character" w:styleId="828" w:customStyle="1">
    <w:name w:val="font31"/>
    <w:rPr>
      <w:rFonts w:hint="default" w:ascii="Times New Roman" w:hAnsi="Times New Roman" w:cs="Times New Roman"/>
      <w:color w:val="000000"/>
      <w:sz w:val="24"/>
      <w:szCs w:val="24"/>
      <w:u w:val="none"/>
    </w:rPr>
  </w:style>
  <w:style w:type="paragraph" w:styleId="829" w:customStyle="1">
    <w:name w:val="msolistparagraph"/>
    <w:basedOn w:val="742"/>
    <w:pPr>
      <w:ind w:firstLine="420"/>
    </w:pPr>
    <w:rPr>
      <w:rFonts w:ascii="Calibri" w:hAnsi="Calibri" w:eastAsia="宋体" w:cs="Times New Roman"/>
    </w:rPr>
  </w:style>
  <w:style w:type="paragraph" w:styleId="830" w:customStyle="1">
    <w:name w:val="表格文本"/>
    <w:pPr>
      <w:jc w:val="center"/>
    </w:pPr>
    <w:rPr>
      <w:rFonts w:ascii="宋体" w:hAnsi="宋体" w:eastAsia="宋体" w:cs="Times New Roman (标题 CS)"/>
      <w:color w:val="000000" w:themeColor="text1"/>
      <w:sz w:val="24"/>
      <w:szCs w:val="40"/>
    </w:rPr>
  </w:style>
  <w:style w:type="paragraph" w:styleId="831" w:customStyle="1">
    <w:name w:val="表格文字"/>
    <w:basedOn w:val="832"/>
    <w:next w:val="778"/>
  </w:style>
  <w:style w:type="paragraph" w:styleId="832" w:customStyle="1">
    <w:name w:val="表格文字（两侧对齐）"/>
    <w:basedOn w:val="742"/>
    <w:rPr>
      <w:rFonts w:ascii="Calibri" w:hAnsi="Calibri"/>
      <w:sz w:val="20"/>
    </w:rPr>
  </w:style>
  <w:style w:type="paragraph" w:styleId="833" w:customStyle="1">
    <w:name w:val="样式 样式 小四 行距: 1.5 倍行距 + 首行缩进:  3 字符"/>
    <w:basedOn w:val="742"/>
    <w:pPr>
      <w:ind w:firstLine="420"/>
    </w:pPr>
    <w:rPr>
      <w:rFonts w:ascii="宋体" w:hAnsi="宋体" w:eastAsia="宋体" w:cs="宋体"/>
      <w:szCs w:val="21"/>
    </w:rPr>
  </w:style>
  <w:style w:type="paragraph" w:styleId="834" w:customStyle="1">
    <w:name w:val="列出段落1"/>
    <w:basedOn w:val="742"/>
    <w:uiPriority w:val="34"/>
    <w:pPr>
      <w:ind w:firstLine="420"/>
      <w:spacing w:line="360" w:lineRule="auto"/>
    </w:pPr>
    <w:rPr>
      <w:rFonts w:ascii="Times New Roman" w:hAnsi="Times New Roman" w:eastAsia="宋体" w:cs="Times New Roman"/>
      <w:sz w:val="24"/>
      <w:szCs w:val="24"/>
    </w:rPr>
  </w:style>
  <w:style w:type="paragraph" w:styleId="835" w:customStyle="1">
    <w:name w:val="投标正文"/>
    <w:basedOn w:val="742"/>
    <w:pPr>
      <w:ind w:left="567"/>
      <w:spacing w:line="360" w:lineRule="auto"/>
    </w:pPr>
    <w:rPr>
      <w:rFonts w:ascii="Times New Roman" w:hAnsi="Times New Roman"/>
      <w:sz w:val="24"/>
    </w:rPr>
  </w:style>
  <w:style w:type="table" w:styleId="836" w:customStyle="1">
    <w:name w:val="网格型6"/>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customStyle="1">
    <w:name w:val="网格型22"/>
    <w:basedOn w:val="74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customStyle="1">
    <w:name w:val="网格型7"/>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39" w:customStyle="1">
    <w:name w:val="修订1"/>
    <w:hidden/>
    <w:uiPriority w:val="99"/>
    <w:unhideWhenUsed/>
    <w:qFormat/>
  </w:style>
  <w:style w:type="paragraph" w:styleId="840" w:customStyle="1">
    <w:name w:val="TOC 标题1"/>
    <w:basedOn w:val="743"/>
    <w:next w:val="742"/>
    <w:uiPriority w:val="39"/>
    <w:semiHidden/>
    <w:unhideWhenUsed/>
    <w:pPr>
      <w:outlineLvl w:val="9"/>
    </w:pPr>
  </w:style>
  <w:style w:type="table" w:styleId="841" w:customStyle="1">
    <w:name w:val="网格型8"/>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customStyle="1">
    <w:name w:val="网格型9"/>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customStyle="1">
    <w:name w:val="网格型12"/>
    <w:basedOn w:val="749"/>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customStyle="1">
    <w:name w:val="网格型23"/>
    <w:basedOn w:val="74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customStyle="1">
    <w:name w:val="网格型31"/>
    <w:basedOn w:val="749"/>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6" w:customStyle="1">
    <w:name w:val="网格型41"/>
    <w:basedOn w:val="74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customStyle="1">
    <w:name w:val="Table Normal1"/>
    <w:semiHidden/>
    <w:unhideWhenUsed/>
    <w:qFormat/>
    <w:tblPr>
      <w:tblCellMar>
        <w:left w:w="0" w:type="dxa"/>
        <w:top w:w="0" w:type="dxa"/>
        <w:right w:w="0" w:type="dxa"/>
        <w:bottom w:w="0" w:type="dxa"/>
      </w:tblCellMar>
    </w:tblPr>
  </w:style>
  <w:style w:type="table" w:styleId="848" w:customStyle="1">
    <w:name w:val="网格型51"/>
    <w:basedOn w:val="74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customStyle="1">
    <w:name w:val="网格型111"/>
    <w:basedOn w:val="74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customStyle="1">
    <w:name w:val="网格型211"/>
    <w:basedOn w:val="74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customStyle="1">
    <w:name w:val="网格型61"/>
    <w:basedOn w:val="74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customStyle="1">
    <w:name w:val="网格型221"/>
    <w:basedOn w:val="74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customStyle="1">
    <w:name w:val="网格型71"/>
    <w:basedOn w:val="749"/>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4" w:customStyle="1">
    <w:name w:val="网格型10"/>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customStyle="1">
    <w:name w:val="网格型13"/>
    <w:basedOn w:val="749"/>
    <w:next w:val="76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customStyle="1">
    <w:name w:val="网格型121"/>
    <w:basedOn w:val="74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customStyle="1">
    <w:name w:val="网格型231"/>
    <w:basedOn w:val="74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8" w:customStyle="1">
    <w:name w:val="网格型311"/>
    <w:basedOn w:val="749"/>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customStyle="1">
    <w:name w:val="网格型411"/>
    <w:basedOn w:val="74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0" w:customStyle="1">
    <w:name w:val="Table Normal11"/>
    <w:semiHidden/>
    <w:unhideWhenUsed/>
    <w:qFormat/>
    <w:rPr>
      <w:sz w:val="20"/>
      <w:szCs w:val="20"/>
    </w:rPr>
    <w:tblPr>
      <w:tblCellMar>
        <w:left w:w="0" w:type="dxa"/>
        <w:top w:w="0" w:type="dxa"/>
        <w:right w:w="0" w:type="dxa"/>
        <w:bottom w:w="0" w:type="dxa"/>
      </w:tblCellMar>
    </w:tblPr>
  </w:style>
  <w:style w:type="table" w:styleId="861" w:customStyle="1">
    <w:name w:val="网格型511"/>
    <w:basedOn w:val="74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2" w:customStyle="1">
    <w:name w:val="网格型1111"/>
    <w:basedOn w:val="74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3" w:customStyle="1">
    <w:name w:val="网格型2111"/>
    <w:basedOn w:val="74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customStyle="1">
    <w:name w:val="网格型611"/>
    <w:basedOn w:val="74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5" w:customStyle="1">
    <w:name w:val="网格型2211"/>
    <w:basedOn w:val="749"/>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customStyle="1">
    <w:name w:val="网格型711"/>
    <w:basedOn w:val="749"/>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91F47-ED7A-4218-9917-7A305ED15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522</cp:revision>
  <dcterms:created xsi:type="dcterms:W3CDTF">2025-10-17T05:39:00Z</dcterms:created>
  <dcterms:modified xsi:type="dcterms:W3CDTF">2026-10-29T06:28:46Z</dcterms:modified>
</cp:coreProperties>
</file>