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widowControl w:val="off"/>
        <w:rPr>
          <w:rFonts w:hint="eastAsia"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r>
      <w:r/>
    </w:p>
    <w:p>
      <w:pPr>
        <w:ind w:firstLine="0"/>
        <w:jc w:val="center"/>
        <w:spacing w:line="240" w:lineRule="auto"/>
        <w:widowControl w:val="off"/>
        <w:rPr>
          <w:rFonts w:hint="eastAsia"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widowControl w:val="off"/>
        <w:rPr>
          <w:rFonts w:hint="eastAsia" w:ascii="宋体" w:hAnsi="宋体"/>
          <w:color w:val="auto"/>
          <w:sz w:val="21"/>
          <w:szCs w:val="20"/>
          <w:highlight w:val="none"/>
          <w:lang w:eastAsia="zh-CN"/>
        </w:rPr>
      </w:pPr>
      <w:r>
        <w:rPr>
          <w:rFonts w:hint="eastAsia" w:ascii="宋体" w:hAnsi="宋体"/>
          <w:color w:val="auto"/>
          <w:sz w:val="21"/>
          <w:szCs w:val="20"/>
          <w:highlight w:val="none"/>
          <w:lang w:eastAsia="zh-CN"/>
        </w:rPr>
      </w:r>
      <w:r/>
    </w:p>
    <w:p>
      <w:pPr>
        <w:ind w:firstLine="420"/>
        <w:jc w:val="both"/>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420"/>
        <w:jc w:val="both"/>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0"/>
        <w:jc w:val="center"/>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tabs>
          <w:tab w:val="left" w:pos="7544" w:leader="none"/>
        </w:tabs>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 xml:space="preserve">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号：</w:t>
      </w:r>
      <w:r>
        <w:rPr>
          <w:rFonts w:hint="eastAsia" w:ascii="宋体" w:hAnsi="宋体" w:cs="宋体"/>
          <w:b/>
          <w:color w:val="auto"/>
          <w:sz w:val="32"/>
          <w:szCs w:val="32"/>
          <w:highlight w:val="none"/>
          <w:lang w:eastAsia="zh-CN"/>
        </w:rPr>
        <w:t xml:space="preserve">JSZC-320205-ZBZB-G2026-0011</w:t>
      </w:r>
      <w:r/>
    </w:p>
    <w:p>
      <w:pPr>
        <w:ind w:firstLine="0"/>
        <w:jc w:val="both"/>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ind w:left="3017" w:right="-139" w:hanging="3017"/>
        <w:jc w:val="both"/>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称：2026年DNA实验室试剂和耗材采购</w:t>
      </w:r>
      <w:r/>
    </w:p>
    <w:p>
      <w:pPr>
        <w:ind w:firstLine="0"/>
        <w:jc w:val="both"/>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人：无锡市公安局锡山分局</w:t>
      </w:r>
      <w:r/>
    </w:p>
    <w:p>
      <w:pPr>
        <w:ind w:firstLine="0"/>
        <w:jc w:val="both"/>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ind w:firstLine="0"/>
        <w:jc w:val="both"/>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招 标 代 理 机 构：无锡智邦工程咨询有限公司</w:t>
      </w:r>
      <w:r/>
    </w:p>
    <w:p>
      <w:pPr>
        <w:ind w:right="-29"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center"/>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二〇二六年九月</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spacing w:line="240" w:lineRule="auto"/>
        <w:rPr>
          <w:rFonts w:hint="eastAsia"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sdt>
      <w:sdtPr>
        <w15:appearance w15:val="boundingBox"/>
        <w:id w:val="-1"/>
        <w:docPartObj>
          <w:docPartGallery w:val="Table of Contents"/>
          <w:docPartUnique w:val="true"/>
        </w:docPartObj>
        <w:rPr>
          <w:rFonts w:ascii="Arial" w:hAnsi="Arial" w:eastAsia="宋体" w:cs="Arial"/>
          <w:color w:val="auto"/>
          <w:sz w:val="24"/>
          <w:szCs w:val="21"/>
          <w:highlight w:val="none"/>
          <w:lang w:val="zh-CN" w:eastAsia="en-US"/>
        </w:rPr>
      </w:sdtPr>
      <w:sdtContent>
        <w:p>
          <w:pPr>
            <w:pStyle w:val="1102"/>
            <w:jc w:val="center"/>
            <w:rPr>
              <w:rFonts w:hint="eastAsia" w:ascii="宋体" w:hAnsi="宋体"/>
              <w:b/>
              <w:bCs/>
              <w:color w:val="auto"/>
              <w:sz w:val="52"/>
              <w:szCs w:val="52"/>
              <w:highlight w:val="none"/>
            </w:rPr>
          </w:pPr>
          <w:r>
            <w:rPr>
              <w:rFonts w:ascii="宋体" w:hAnsi="宋体"/>
              <w:b/>
              <w:bCs/>
              <w:color w:val="auto"/>
              <w:sz w:val="52"/>
              <w:szCs w:val="52"/>
              <w:highlight w:val="none"/>
              <w:lang w:val="zh-CN"/>
            </w:rPr>
            <w:t xml:space="preserve">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 xml:space="preserve">录</w:t>
          </w:r>
          <w:r/>
        </w:p>
        <w:p>
          <w:pPr>
            <w:pStyle w:val="927"/>
            <w:rPr>
              <w:rFonts w:hint="eastAsia" w:asciiTheme="minorHAnsi" w:hAnsiTheme="minorHAnsi" w:eastAsiaTheme="minorEastAsia" w:cstheme="minorBidi"/>
              <w:color w:val="auto"/>
              <w:sz w:val="21"/>
              <w:szCs w:val="22"/>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color w:val="auto"/>
              <w:highlight w:val="none"/>
            </w:rPr>
            <w:fldChar w:fldCharType="begin"/>
          </w:r>
          <w:r>
            <w:rPr>
              <w:color w:val="auto"/>
              <w:highlight w:val="none"/>
            </w:rPr>
            <w:instrText xml:space="preserve"> HYPERLINK \l "_Toc161316664" </w:instrText>
          </w:r>
          <w:r>
            <w:rPr>
              <w:color w:val="auto"/>
              <w:highlight w:val="none"/>
            </w:rPr>
            <w:fldChar w:fldCharType="separate"/>
          </w:r>
          <w:r>
            <w:rPr>
              <w:rStyle w:val="942"/>
              <w:color w:val="auto"/>
              <w:highlight w:val="none"/>
              <w:lang w:eastAsia="zh-CN"/>
            </w:rPr>
            <w:t xml:space="preserve">一、投标邀请函</w:t>
          </w:r>
          <w:r>
            <w:rPr>
              <w:color w:val="auto"/>
              <w:highlight w:val="none"/>
            </w:rPr>
            <w:tab/>
          </w:r>
          <w:r>
            <w:rPr>
              <w:color w:val="auto"/>
              <w:highlight w:val="none"/>
            </w:rPr>
            <w:fldChar w:fldCharType="begin"/>
          </w:r>
          <w:r>
            <w:rPr>
              <w:color w:val="auto"/>
              <w:highlight w:val="none"/>
            </w:rPr>
            <w:instrText xml:space="preserve"> PAGEREF _Toc161316664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27"/>
            <w:rPr>
              <w:rFonts w:hint="eastAsia" w:asciiTheme="minorHAnsi" w:hAnsiTheme="minorHAnsi" w:eastAsiaTheme="minorEastAsia" w:cstheme="minorBidi"/>
              <w:color w:val="auto"/>
              <w:sz w:val="21"/>
              <w:szCs w:val="22"/>
              <w:highlight w:val="none"/>
              <w:lang w:eastAsia="zh-CN"/>
              <w14:ligatures w14:val="standardContextual"/>
            </w:rPr>
          </w:pPr>
          <w:r>
            <w:rPr>
              <w:color w:val="auto"/>
              <w:highlight w:val="none"/>
            </w:rPr>
            <w:fldChar w:fldCharType="begin"/>
          </w:r>
          <w:r>
            <w:rPr>
              <w:color w:val="auto"/>
              <w:highlight w:val="none"/>
            </w:rPr>
            <w:instrText xml:space="preserve"> HYPERLINK \l "_Toc161316665" </w:instrText>
          </w:r>
          <w:r>
            <w:rPr>
              <w:color w:val="auto"/>
              <w:highlight w:val="none"/>
            </w:rPr>
            <w:fldChar w:fldCharType="separate"/>
          </w:r>
          <w:r>
            <w:rPr>
              <w:rStyle w:val="942"/>
              <w:color w:val="auto"/>
              <w:highlight w:val="none"/>
              <w:lang w:eastAsia="zh-CN"/>
            </w:rPr>
            <w:t xml:space="preserve">二、供应商须知</w:t>
          </w:r>
          <w:r>
            <w:rPr>
              <w:color w:val="auto"/>
              <w:highlight w:val="none"/>
            </w:rPr>
            <w:tab/>
          </w:r>
          <w:r>
            <w:rPr>
              <w:color w:val="auto"/>
              <w:highlight w:val="none"/>
            </w:rPr>
            <w:fldChar w:fldCharType="begin"/>
          </w:r>
          <w:r>
            <w:rPr>
              <w:color w:val="auto"/>
              <w:highlight w:val="none"/>
            </w:rPr>
            <w:instrText xml:space="preserve"> PAGEREF _Toc161316665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27"/>
            <w:rPr>
              <w:rFonts w:hint="eastAsia" w:asciiTheme="minorHAnsi" w:hAnsiTheme="minorHAnsi" w:cstheme="minorBidi"/>
              <w:color w:val="auto"/>
              <w:sz w:val="21"/>
              <w:szCs w:val="22"/>
              <w:highlight w:val="none"/>
              <w:lang w:eastAsia="zh-CN"/>
              <w14:ligatures w14:val="standardContextual"/>
            </w:rPr>
          </w:pPr>
          <w:r>
            <w:rPr>
              <w:color w:val="auto"/>
              <w:highlight w:val="none"/>
            </w:rPr>
            <w:fldChar w:fldCharType="begin"/>
          </w:r>
          <w:r>
            <w:rPr>
              <w:color w:val="auto"/>
              <w:highlight w:val="none"/>
            </w:rPr>
            <w:instrText xml:space="preserve"> HYPERLINK \l "_Toc161316666" </w:instrText>
          </w:r>
          <w:r>
            <w:rPr>
              <w:color w:val="auto"/>
              <w:highlight w:val="none"/>
            </w:rPr>
            <w:fldChar w:fldCharType="separate"/>
          </w:r>
          <w:r>
            <w:rPr>
              <w:rStyle w:val="942"/>
              <w:color w:val="auto"/>
              <w:highlight w:val="none"/>
              <w:lang w:eastAsia="zh-CN"/>
            </w:rPr>
            <w:t xml:space="preserve">三、采购需求和技术有关要求</w:t>
          </w:r>
          <w:r>
            <w:rPr>
              <w:color w:val="auto"/>
              <w:highlight w:val="none"/>
            </w:rPr>
            <w:tab/>
          </w:r>
          <w:r>
            <w:rPr>
              <w:rFonts w:hint="eastAsia"/>
              <w:color w:val="auto"/>
              <w:highlight w:val="none"/>
              <w:lang w:eastAsia="zh-CN"/>
            </w:rPr>
            <w:t xml:space="preserve">1</w:t>
          </w:r>
          <w:r>
            <w:rPr>
              <w:rFonts w:hint="eastAsia"/>
              <w:color w:val="auto"/>
              <w:highlight w:val="none"/>
              <w:lang w:eastAsia="zh-CN"/>
            </w:rPr>
            <w:fldChar w:fldCharType="end"/>
          </w:r>
          <w:r>
            <w:rPr>
              <w:rFonts w:hint="eastAsia"/>
              <w:color w:val="auto"/>
              <w:highlight w:val="none"/>
              <w:lang w:eastAsia="zh-CN"/>
            </w:rPr>
            <w:t xml:space="preserve">9</w:t>
          </w:r>
          <w:r/>
        </w:p>
        <w:p>
          <w:pPr>
            <w:pStyle w:val="927"/>
            <w:rPr>
              <w:rFonts w:hint="eastAsia" w:asciiTheme="minorHAnsi" w:hAnsiTheme="minorHAnsi" w:cstheme="minorBidi"/>
              <w:color w:val="auto"/>
              <w:sz w:val="21"/>
              <w:szCs w:val="22"/>
              <w:highlight w:val="none"/>
              <w:lang w:eastAsia="zh-CN"/>
              <w14:ligatures w14:val="standardContextual"/>
            </w:rPr>
          </w:pPr>
          <w:r>
            <w:rPr>
              <w:color w:val="auto"/>
              <w:highlight w:val="none"/>
            </w:rPr>
            <w:fldChar w:fldCharType="begin"/>
          </w:r>
          <w:r>
            <w:rPr>
              <w:color w:val="auto"/>
              <w:highlight w:val="none"/>
            </w:rPr>
            <w:instrText xml:space="preserve"> HYPERLINK \l "_Toc161316667" </w:instrText>
          </w:r>
          <w:r>
            <w:rPr>
              <w:color w:val="auto"/>
              <w:highlight w:val="none"/>
            </w:rPr>
            <w:fldChar w:fldCharType="separate"/>
          </w:r>
          <w:r>
            <w:rPr>
              <w:rStyle w:val="942"/>
              <w:color w:val="auto"/>
              <w:highlight w:val="none"/>
              <w:lang w:eastAsia="zh-CN"/>
            </w:rPr>
            <w:t xml:space="preserve">四、合同书（格式文本）</w:t>
          </w:r>
          <w:r>
            <w:rPr>
              <w:color w:val="auto"/>
              <w:highlight w:val="none"/>
            </w:rPr>
            <w:tab/>
          </w:r>
          <w:r>
            <w:rPr>
              <w:rFonts w:hint="eastAsia"/>
              <w:color w:val="auto"/>
              <w:highlight w:val="none"/>
              <w:lang w:eastAsia="zh-CN"/>
            </w:rPr>
            <w:t xml:space="preserve">3</w:t>
          </w:r>
          <w:r>
            <w:rPr>
              <w:rFonts w:hint="eastAsia"/>
              <w:color w:val="auto"/>
              <w:highlight w:val="none"/>
              <w:lang w:eastAsia="zh-CN"/>
            </w:rPr>
            <w:fldChar w:fldCharType="end"/>
          </w:r>
          <w:r>
            <w:rPr>
              <w:rFonts w:hint="eastAsia"/>
              <w:color w:val="auto"/>
              <w:highlight w:val="none"/>
              <w:lang w:eastAsia="zh-CN"/>
            </w:rPr>
            <w:t xml:space="preserve">4</w:t>
          </w:r>
          <w:r/>
        </w:p>
        <w:p>
          <w:pPr>
            <w:pStyle w:val="927"/>
            <w:rPr>
              <w:rFonts w:hint="eastAsia" w:asciiTheme="minorHAnsi" w:hAnsiTheme="minorHAnsi" w:cstheme="minorBidi"/>
              <w:color w:val="auto"/>
              <w:sz w:val="21"/>
              <w:szCs w:val="22"/>
              <w:highlight w:val="none"/>
              <w:lang w:eastAsia="zh-CN"/>
              <w14:ligatures w14:val="standardContextual"/>
            </w:rPr>
          </w:pPr>
          <w:r>
            <w:rPr>
              <w:color w:val="auto"/>
              <w:highlight w:val="none"/>
            </w:rPr>
            <w:fldChar w:fldCharType="begin"/>
          </w:r>
          <w:r>
            <w:rPr>
              <w:color w:val="auto"/>
              <w:highlight w:val="none"/>
            </w:rPr>
            <w:instrText xml:space="preserve"> HYPERLINK \l "_Toc161316668" </w:instrText>
          </w:r>
          <w:r>
            <w:rPr>
              <w:color w:val="auto"/>
              <w:highlight w:val="none"/>
            </w:rPr>
            <w:fldChar w:fldCharType="separate"/>
          </w:r>
          <w:r>
            <w:rPr>
              <w:rStyle w:val="942"/>
              <w:color w:val="auto"/>
              <w:highlight w:val="none"/>
              <w:lang w:eastAsia="zh-CN"/>
            </w:rPr>
            <w:t xml:space="preserve">五、附件</w:t>
          </w:r>
          <w:r>
            <w:rPr>
              <w:color w:val="auto"/>
              <w:highlight w:val="none"/>
            </w:rPr>
            <w:tab/>
          </w:r>
          <w:r>
            <w:rPr>
              <w:rFonts w:hint="eastAsia"/>
              <w:color w:val="auto"/>
              <w:highlight w:val="none"/>
              <w:lang w:eastAsia="zh-CN"/>
            </w:rPr>
            <w:t xml:space="preserve">5</w:t>
          </w:r>
          <w:r>
            <w:rPr>
              <w:rFonts w:hint="eastAsia"/>
              <w:color w:val="auto"/>
              <w:highlight w:val="none"/>
              <w:lang w:eastAsia="zh-CN"/>
            </w:rPr>
            <w:fldChar w:fldCharType="end"/>
          </w:r>
          <w:r>
            <w:rPr>
              <w:rFonts w:hint="eastAsia"/>
              <w:color w:val="auto"/>
              <w:highlight w:val="none"/>
              <w:lang w:eastAsia="zh-CN"/>
            </w:rPr>
            <w:t xml:space="preserve">0</w:t>
          </w:r>
          <w:r/>
        </w:p>
        <w:p>
          <w:pPr>
            <w:pStyle w:val="933"/>
            <w:ind w:left="480" w:firstLine="480"/>
            <w:tabs>
              <w:tab w:val="right" w:pos="8296" w:leader="dot"/>
            </w:tabs>
            <w:rPr>
              <w:rFonts w:hint="eastAsia" w:asciiTheme="minorHAnsi" w:hAnsiTheme="minorHAnsi" w:cstheme="minorBidi"/>
              <w:color w:val="auto"/>
              <w:sz w:val="21"/>
              <w:szCs w:val="22"/>
              <w:highlight w:val="none"/>
              <w:lang w:eastAsia="zh-CN"/>
              <w14:ligatures w14:val="standardContextual"/>
            </w:rPr>
          </w:pPr>
          <w:r>
            <w:rPr>
              <w:color w:val="auto"/>
              <w:highlight w:val="none"/>
            </w:rPr>
            <w:fldChar w:fldCharType="begin"/>
          </w:r>
          <w:r>
            <w:rPr>
              <w:color w:val="auto"/>
              <w:highlight w:val="none"/>
            </w:rPr>
            <w:instrText xml:space="preserve"> HYPERLINK \l "_Toc161316669" </w:instrText>
          </w:r>
          <w:r>
            <w:rPr>
              <w:color w:val="auto"/>
              <w:highlight w:val="none"/>
            </w:rPr>
            <w:fldChar w:fldCharType="separate"/>
          </w:r>
          <w:r>
            <w:rPr>
              <w:rStyle w:val="942"/>
              <w:color w:val="auto"/>
              <w:highlight w:val="none"/>
              <w:lang w:eastAsia="zh-CN"/>
            </w:rPr>
            <w:t xml:space="preserve">附件一：评分标准</w:t>
          </w:r>
          <w:r>
            <w:rPr>
              <w:color w:val="auto"/>
              <w:highlight w:val="none"/>
            </w:rPr>
            <w:tab/>
          </w:r>
          <w:r>
            <w:rPr>
              <w:rFonts w:hint="eastAsia"/>
              <w:color w:val="auto"/>
              <w:highlight w:val="none"/>
              <w:lang w:eastAsia="zh-CN"/>
            </w:rPr>
            <w:t xml:space="preserve">5</w:t>
          </w:r>
          <w:r>
            <w:rPr>
              <w:rFonts w:hint="eastAsia"/>
              <w:color w:val="auto"/>
              <w:highlight w:val="none"/>
              <w:lang w:eastAsia="zh-CN"/>
            </w:rPr>
            <w:fldChar w:fldCharType="end"/>
          </w:r>
          <w:r>
            <w:rPr>
              <w:rFonts w:hint="eastAsia"/>
              <w:color w:val="auto"/>
              <w:highlight w:val="none"/>
              <w:lang w:eastAsia="zh-CN"/>
            </w:rPr>
            <w:t xml:space="preserve">0</w:t>
          </w:r>
          <w:r/>
        </w:p>
        <w:p>
          <w:pPr>
            <w:pStyle w:val="933"/>
            <w:ind w:left="480" w:firstLine="480"/>
            <w:tabs>
              <w:tab w:val="right" w:pos="8296" w:leader="dot"/>
            </w:tabs>
            <w:rPr>
              <w:rFonts w:hint="eastAsia" w:asciiTheme="minorHAnsi" w:hAnsiTheme="minorHAnsi" w:cstheme="minorBidi"/>
              <w:color w:val="auto"/>
              <w:sz w:val="21"/>
              <w:szCs w:val="22"/>
              <w:highlight w:val="none"/>
              <w:lang w:eastAsia="zh-CN"/>
              <w14:ligatures w14:val="standardContextual"/>
            </w:rPr>
          </w:pPr>
          <w:r>
            <w:rPr>
              <w:color w:val="auto"/>
              <w:highlight w:val="none"/>
            </w:rPr>
            <w:fldChar w:fldCharType="begin"/>
          </w:r>
          <w:r>
            <w:rPr>
              <w:color w:val="auto"/>
              <w:highlight w:val="none"/>
            </w:rPr>
            <w:instrText xml:space="preserve"> HYPERLINK \l "_Toc161316670" </w:instrText>
          </w:r>
          <w:r>
            <w:rPr>
              <w:color w:val="auto"/>
              <w:highlight w:val="none"/>
            </w:rPr>
            <w:fldChar w:fldCharType="separate"/>
          </w:r>
          <w:r>
            <w:rPr>
              <w:rStyle w:val="942"/>
              <w:color w:val="auto"/>
              <w:highlight w:val="none"/>
              <w:lang w:eastAsia="zh-CN"/>
            </w:rPr>
            <w:t xml:space="preserve">附件二：投标文件格式</w:t>
          </w:r>
          <w:r>
            <w:rPr>
              <w:color w:val="auto"/>
              <w:highlight w:val="none"/>
            </w:rPr>
            <w:tab/>
          </w:r>
          <w:r>
            <w:rPr>
              <w:rFonts w:hint="eastAsia"/>
              <w:color w:val="auto"/>
              <w:highlight w:val="none"/>
              <w:lang w:eastAsia="zh-CN"/>
            </w:rPr>
            <w:t xml:space="preserve">5</w:t>
          </w:r>
          <w:r>
            <w:rPr>
              <w:rFonts w:hint="eastAsia"/>
              <w:color w:val="auto"/>
              <w:highlight w:val="none"/>
              <w:lang w:eastAsia="zh-CN"/>
            </w:rPr>
            <w:fldChar w:fldCharType="end"/>
          </w:r>
          <w:r>
            <w:rPr>
              <w:rFonts w:hint="eastAsia"/>
              <w:color w:val="auto"/>
              <w:highlight w:val="none"/>
              <w:lang w:eastAsia="zh-CN"/>
            </w:rPr>
            <w:t xml:space="preserve">3</w:t>
          </w:r>
          <w:r/>
        </w:p>
        <w:p>
          <w:pPr>
            <w:ind w:firstLine="0"/>
            <w:rPr>
              <w:color w:val="auto"/>
              <w:highlight w:val="none"/>
            </w:rPr>
          </w:pPr>
          <w:r>
            <w:rPr>
              <w:rFonts w:ascii="宋体" w:hAnsi="宋体"/>
              <w:b/>
              <w:bCs/>
              <w:color w:val="auto"/>
              <w:sz w:val="48"/>
              <w:szCs w:val="40"/>
              <w:highlight w:val="none"/>
              <w:lang w:val="zh-CN"/>
            </w:rPr>
            <w:fldChar w:fldCharType="end"/>
          </w:r>
          <w:r/>
        </w:p>
      </w:sdtContent>
    </w:sdt>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spacing w:line="240" w:lineRule="auto"/>
        <w:rPr>
          <w:rFonts w:eastAsia="黑体"/>
          <w:b/>
          <w:bCs/>
          <w:color w:val="auto"/>
          <w:sz w:val="36"/>
          <w:szCs w:val="44"/>
          <w:highlight w:val="none"/>
          <w:lang w:eastAsia="zh-CN"/>
        </w:rPr>
      </w:pPr>
      <w:r/>
      <w:bookmarkStart w:id="0" w:name="_Toc101981929"/>
      <w:r/>
      <w:bookmarkStart w:id="1" w:name="_Toc161316664"/>
      <w:r>
        <w:rPr>
          <w:color w:val="auto"/>
          <w:highlight w:val="none"/>
          <w:lang w:eastAsia="zh-CN"/>
        </w:rPr>
        <w:br w:type="page" w:clear="all"/>
      </w:r>
      <w:r/>
    </w:p>
    <w:p>
      <w:pPr>
        <w:pStyle w:val="901"/>
        <w:spacing w:after="240"/>
        <w:rPr>
          <w:color w:val="auto"/>
          <w:highlight w:val="none"/>
          <w:lang w:eastAsia="zh-CN"/>
        </w:rPr>
      </w:pPr>
      <w:r>
        <w:rPr>
          <w:rFonts w:hint="eastAsia"/>
          <w:color w:val="auto"/>
          <w:highlight w:val="none"/>
          <w:lang w:eastAsia="zh-CN"/>
        </w:rPr>
        <w:t xml:space="preserve">一、投标邀请</w:t>
      </w:r>
      <w:bookmarkEnd w:id="0"/>
      <w:r>
        <w:rPr>
          <w:rFonts w:hint="eastAsia"/>
          <w:color w:val="auto"/>
          <w:highlight w:val="none"/>
          <w:lang w:eastAsia="zh-CN"/>
        </w:rPr>
        <w:t xml:space="preserve">函</w:t>
      </w:r>
      <w:bookmarkEnd w:id="1"/>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无锡智邦工程咨询有限公司受无锡市公安局锡山分局的委托，就2026年DNA实验室试剂和耗材采购进行公开招标，欢迎符合相关条件的供应商参加投标并提请注意下列附表中的相关事项：</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（一）项目信息</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1.项目名称：2026年DNA实验室试剂和耗材采购</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 JSZC-320205-ZBZB-G2026-0011</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w:t>
      </w:r>
      <w:r>
        <w:rPr>
          <w:rFonts w:hint="eastAsia" w:ascii="宋体" w:hAnsi="宋体" w:cs="宋体"/>
          <w:b/>
          <w:color w:val="auto"/>
          <w:szCs w:val="24"/>
          <w:highlight w:val="none"/>
          <w:lang w:eastAsia="zh-CN"/>
        </w:rPr>
        <w:t xml:space="preserve">投标最高限价为100万元</w:t>
      </w:r>
      <w:r>
        <w:rPr>
          <w:rFonts w:hint="eastAsia" w:ascii="宋体" w:hAnsi="宋体" w:cs="宋体"/>
          <w:color w:val="auto"/>
          <w:szCs w:val="24"/>
          <w:highlight w:val="none"/>
          <w:lang w:eastAsia="zh-CN"/>
        </w:rPr>
        <w:t xml:space="preserve">，投标报价不得超过最高限价，否则作无效投标文件处理。</w:t>
      </w:r>
      <w:r/>
    </w:p>
    <w:p>
      <w:pPr>
        <w:ind w:firstLine="480"/>
        <w:shd w:val="clear" w:color="auto" w:fill="ffffff"/>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4.供货期：</w:t>
      </w:r>
      <w:bookmarkStart w:id="2" w:name="OLE_LINK1"/>
      <w:r>
        <w:rPr>
          <w:rFonts w:hint="eastAsia" w:ascii="宋体" w:hAnsi="宋体"/>
          <w:color w:val="auto"/>
          <w:szCs w:val="24"/>
          <w:highlight w:val="none"/>
          <w:lang w:eastAsia="zh-CN"/>
        </w:rPr>
        <w:t xml:space="preserve">合同签订后根据采购单位的提出的试剂耗材的数量30天内交齐，误期违约金 2000 元/天。</w:t>
      </w:r>
      <w:bookmarkEnd w:id="2"/>
      <w:r/>
      <w:r/>
    </w:p>
    <w:p>
      <w:pPr>
        <w:ind w:firstLine="480"/>
        <w:shd w:val="clear" w:color="auto" w:fill="ffff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5.质量标准：达到国家（含推荐性标准、强制性标准）、行业合格标准及投标人承诺标准，且必须满足本次招标的要求。</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6.质保期：</w:t>
      </w:r>
      <w:r>
        <w:rPr>
          <w:rFonts w:hint="eastAsia" w:ascii="宋体" w:hAnsi="宋体" w:cs="宋体"/>
          <w:color w:val="auto"/>
          <w:szCs w:val="24"/>
          <w:highlight w:val="none"/>
          <w:lang w:eastAsia="zh-CN"/>
        </w:rPr>
        <w:t xml:space="preserve">自交货验收合格之日起1年，质量实行“三包”。</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7.采购方式：公开招标</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8.采购人：</w:t>
      </w:r>
      <w:r>
        <w:rPr>
          <w:rFonts w:hint="eastAsia" w:ascii="宋体" w:hAnsi="宋体" w:cs="宋体"/>
          <w:bCs/>
          <w:color w:val="auto"/>
          <w:szCs w:val="24"/>
          <w:highlight w:val="none"/>
          <w:lang w:eastAsia="zh-CN"/>
        </w:rPr>
        <w:t xml:space="preserve">无锡市公安局锡山分局</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9.本项目标的所属行业：</w:t>
      </w:r>
      <w:r>
        <w:rPr>
          <w:rFonts w:hint="eastAsia" w:ascii="宋体" w:hAnsi="宋体" w:cs="宋体"/>
          <w:bCs/>
          <w:color w:val="auto"/>
          <w:szCs w:val="24"/>
          <w:highlight w:val="none"/>
          <w:lang w:eastAsia="zh-CN"/>
        </w:rPr>
        <w:t xml:space="preserve">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10.本项目是否专门面向中小企业：</w:t>
      </w:r>
      <w:r>
        <w:rPr>
          <w:rFonts w:hint="eastAsia" w:ascii="宋体" w:hAnsi="宋体" w:cs="宋体"/>
          <w:color w:val="auto"/>
          <w:szCs w:val="24"/>
          <w:highlight w:val="none"/>
          <w:lang w:val="en-US" w:eastAsia="zh-CN"/>
        </w:rPr>
        <w:t xml:space="preserve">是</w:t>
      </w:r>
      <w:r>
        <w:rPr>
          <w:rFonts w:hint="eastAsia" w:ascii="宋体" w:hAnsi="宋体" w:cs="宋体"/>
          <w:color w:val="auto"/>
          <w:szCs w:val="24"/>
          <w:highlight w:val="none"/>
          <w:lang w:eastAsia="zh-CN"/>
        </w:rPr>
        <w:t xml:space="preserve"> </w:t>
      </w:r>
      <w:r/>
    </w:p>
    <w:p>
      <w:pPr>
        <w:ind w:firstLine="482"/>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480"/>
        <w:shd w:val="clear" w:color="auto" w:fill="ffffff"/>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供应商所提供的产品须为中小微企业或监狱企业、残疾人福利性单位制造的产品。供应商须按要求提供《中小企业声明函》《残疾人福利性单位声明函》或由省级以上监狱管理局、戒毒管理局(含新疆生产建设兵团)出具的属于监狱企业的证明文件。 </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4.</w:t>
      </w:r>
      <w:r>
        <w:rPr>
          <w:rFonts w:hint="eastAsia" w:ascii="宋体" w:hAnsi="宋体" w:cs="宋体"/>
          <w:color w:val="auto"/>
          <w:szCs w:val="24"/>
          <w:highlight w:val="none"/>
          <w:lang w:eastAsia="zh-CN"/>
        </w:rPr>
        <w:t xml:space="preserve">本项目的特定资格要求：无。 </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p>
      <w:pPr>
        <w:ind w:firstLine="482"/>
        <w:shd w:val="clear" w:color="auto" w:fill="ffffff"/>
        <w:rPr>
          <w:rFonts w:hint="eastAsia" w:ascii="宋体" w:hAnsi="宋体" w:cs="Times New Roman"/>
          <w:color w:val="auto"/>
          <w:szCs w:val="24"/>
          <w:highlight w:val="none"/>
          <w:lang w:eastAsia="zh-CN"/>
        </w:rPr>
      </w:pPr>
      <w:r/>
      <w:bookmarkStart w:id="3" w:name="_Toc112006902"/>
      <w:r>
        <w:rPr>
          <w:rFonts w:hint="eastAsia" w:ascii="宋体" w:hAnsi="宋体" w:cs="Times New Roman"/>
          <w:b/>
          <w:bCs/>
          <w:color w:val="auto"/>
          <w:szCs w:val="24"/>
          <w:highlight w:val="none"/>
          <w:lang w:eastAsia="zh-CN"/>
        </w:rPr>
        <w:t xml:space="preserve">（三）</w:t>
      </w:r>
      <w:bookmarkEnd w:id="3"/>
      <w:r>
        <w:rPr>
          <w:rFonts w:hint="eastAsia" w:ascii="宋体" w:hAnsi="宋体" w:cs="Times New Roman"/>
          <w:b/>
          <w:bCs/>
          <w:color w:val="auto"/>
          <w:szCs w:val="24"/>
          <w:highlight w:val="none"/>
          <w:lang w:eastAsia="zh-CN"/>
        </w:rPr>
        <w:t xml:space="preserve">供应商主体信息库注册</w:t>
      </w:r>
      <w:r/>
    </w:p>
    <w:p>
      <w:pPr>
        <w:ind w:firstLine="480"/>
        <w:rPr>
          <w:rFonts w:hint="eastAsia" w:ascii="宋体" w:hAnsi="宋体" w:cs="宋体"/>
          <w:bCs/>
          <w:color w:val="auto"/>
          <w:szCs w:val="24"/>
          <w:highlight w:val="none"/>
          <w:lang w:eastAsia="zh-CN"/>
        </w:rPr>
      </w:pPr>
      <w:r/>
      <w:bookmarkStart w:id="4" w:name="_Toc112006903"/>
      <w:r>
        <w:rPr>
          <w:rFonts w:hint="eastAsia" w:ascii="宋体" w:hAnsi="宋体" w:cs="宋体"/>
          <w:bCs/>
          <w:color w:val="auto"/>
          <w:szCs w:val="24"/>
          <w:highlight w:val="none"/>
          <w:lang w:eastAsia="zh-CN"/>
        </w:rPr>
        <w:t xml:space="preserve">1.请有意参加本项目投标的投标供应商按以下流程进行操作：</w:t>
      </w:r>
      <w:r/>
    </w:p>
    <w:p>
      <w:pPr>
        <w:ind w:firstLine="480"/>
        <w:rPr>
          <w:rFonts w:hint="eastAsia" w:ascii="宋体" w:hAnsi="宋体" w:cs="宋体"/>
          <w:bCs/>
          <w:color w:val="auto"/>
          <w:szCs w:val="24"/>
          <w:highlight w:val="none"/>
        </w:rPr>
      </w:pPr>
      <w:r>
        <w:rPr>
          <w:rFonts w:hint="eastAsia" w:ascii="宋体" w:hAnsi="宋体" w:cs="宋体"/>
          <w:bCs/>
          <w:color w:val="auto"/>
          <w:szCs w:val="24"/>
          <w:highlight w:val="none"/>
        </w:rPr>
        <w:t xml:space="preserve">（1）访问“无锡政府采购网”点击“江苏省政府采购（苏采云）平台”—“用户注册”按钮进入注册界面，也可以直接通过http://jszfcg.jsczt.cn/jszc/login进入注册界面。</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（2）办理并领取CA和电子签章（办理地址：无锡市观山路市民中心12号楼2楼公共资源交易大厅9号10号窗口）。</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（3）“苏采云”系统供应商操作手册链接：</w:t>
      </w:r>
      <w:r/>
    </w:p>
    <w:p>
      <w:pPr>
        <w:ind w:firstLine="480"/>
        <w:rPr>
          <w:rFonts w:hint="eastAsia" w:ascii="宋体" w:hAnsi="宋体" w:cs="宋体"/>
          <w:bCs/>
          <w:color w:val="auto"/>
          <w:szCs w:val="24"/>
          <w:highlight w:val="none"/>
        </w:rPr>
      </w:pPr>
      <w:r>
        <w:rPr>
          <w:rFonts w:hint="eastAsia" w:ascii="宋体" w:hAnsi="宋体" w:cs="宋体"/>
          <w:bCs/>
          <w:color w:val="auto"/>
          <w:szCs w:val="24"/>
          <w:highlight w:val="none"/>
        </w:rPr>
        <w:t xml:space="preserve">http://cz.wuxi.gov.cn/ztzl/zfcg/zlxz/scy/index.shtml  </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（4）CA驱动下载链接（政务CA方正签章控件驱动）：</w:t>
      </w:r>
      <w:r/>
    </w:p>
    <w:p>
      <w:pPr>
        <w:ind w:firstLine="480"/>
        <w:rPr>
          <w:rFonts w:hint="eastAsia" w:ascii="宋体" w:hAnsi="宋体" w:cs="宋体"/>
          <w:bCs/>
          <w:color w:val="auto"/>
          <w:szCs w:val="24"/>
          <w:highlight w:val="none"/>
        </w:rPr>
      </w:pPr>
      <w:r>
        <w:rPr>
          <w:rFonts w:hint="eastAsia" w:ascii="宋体" w:hAnsi="宋体" w:cs="宋体"/>
          <w:bCs/>
          <w:color w:val="auto"/>
          <w:szCs w:val="24"/>
          <w:highlight w:val="none"/>
        </w:rPr>
        <w:t xml:space="preserve">http://cz.wuxi.gov.cn/ztzl/zfcg/zlxz/scy/index.shtml </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技术服务QQ：3071474382（服务时间：工作日9:00-17:00）</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2.完成注册的供应商方可绑定CA，并使用CA登录苏采云平台，参与项目，上传投标文件，进行投标。</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3.如供应商未按上述要求操作，由此所产生的损失及风险由供应商自行承担。</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（四）</w:t>
      </w:r>
      <w:bookmarkEnd w:id="4"/>
      <w:r>
        <w:rPr>
          <w:rFonts w:hint="eastAsia" w:ascii="宋体" w:hAnsi="宋体" w:cs="Times New Roman"/>
          <w:b/>
          <w:bCs/>
          <w:color w:val="auto"/>
          <w:szCs w:val="24"/>
          <w:highlight w:val="none"/>
          <w:lang w:eastAsia="zh-CN"/>
        </w:rPr>
        <w:t xml:space="preserve">获取招标文件</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宋体"/>
          <w:color w:val="auto"/>
          <w:szCs w:val="24"/>
          <w:highlight w:val="none"/>
          <w:lang w:eastAsia="zh-CN"/>
        </w:rPr>
        <w:t xml:space="preserve">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5" w:name="_Hlk161849833"/>
      <w:r>
        <w:rPr>
          <w:rFonts w:hint="eastAsia" w:ascii="宋体" w:hAnsi="宋体" w:cs="宋体"/>
          <w:color w:val="auto"/>
          <w:szCs w:val="24"/>
          <w:highlight w:val="none"/>
          <w:lang w:eastAsia="zh-CN"/>
        </w:rPr>
        <w:t xml:space="preserve">投标</w:t>
      </w:r>
      <w:bookmarkEnd w:id="5"/>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482"/>
        <w:shd w:val="clear" w:color="auto" w:fill="ffffff"/>
        <w:rPr>
          <w:rFonts w:hint="eastAsia" w:ascii="宋体" w:hAnsi="宋体" w:cs="Times New Roman"/>
          <w:color w:val="auto"/>
          <w:szCs w:val="24"/>
          <w:highlight w:val="none"/>
          <w:lang w:eastAsia="zh-CN"/>
        </w:rPr>
      </w:pPr>
      <w:r>
        <w:rPr>
          <w:color w:val="auto"/>
          <w:highlight w:val="none"/>
        </w:rPr>
        <w:fldChar w:fldCharType="begin"/>
      </w:r>
      <w:r>
        <w:rPr>
          <w:color w:val="auto"/>
          <w:highlight w:val="none"/>
        </w:rPr>
        <w:instrText xml:space="preserve"> HYPERLINK "mailto:采购人、招标代理机构将以电话咨询、邮箱（jscjzbb2108@163.com）等方式开展线上不见面答疑服务。截止至2026年" </w:instrText>
      </w:r>
      <w:r>
        <w:rPr>
          <w:color w:val="auto"/>
          <w:highlight w:val="none"/>
        </w:rPr>
        <w:fldChar w:fldCharType="separate"/>
      </w:r>
      <w:r>
        <w:rPr>
          <w:rStyle w:val="942"/>
          <w:rFonts w:hint="eastAsia" w:ascii="宋体" w:hAnsi="宋体" w:cs="Times New Roman"/>
          <w:color w:val="auto"/>
          <w:szCs w:val="24"/>
          <w:highlight w:val="none"/>
          <w:lang w:eastAsia="zh-CN"/>
        </w:rPr>
        <w:t xml:space="preserve">采购人、招标代理机构将以电话咨询、邮箱（</w:t>
      </w:r>
      <w:r>
        <w:rPr>
          <w:rFonts w:hint="eastAsia" w:hAnsi="宋体"/>
          <w:bCs/>
          <w:color w:val="auto"/>
          <w:szCs w:val="24"/>
          <w:highlight w:val="none"/>
        </w:rPr>
        <w:t xml:space="preserve">123649967@qq.com</w:t>
      </w:r>
      <w:r>
        <w:rPr>
          <w:rStyle w:val="942"/>
          <w:rFonts w:ascii="宋体" w:hAnsi="宋体" w:cs="Times New Roman"/>
          <w:color w:val="auto"/>
          <w:szCs w:val="24"/>
          <w:highlight w:val="none"/>
          <w:lang w:eastAsia="zh-CN"/>
        </w:rPr>
        <w:t xml:space="preserve">）</w:t>
      </w:r>
      <w:r>
        <w:rPr>
          <w:rStyle w:val="942"/>
          <w:rFonts w:hint="eastAsia" w:ascii="宋体" w:hAnsi="宋体" w:cs="Times New Roman"/>
          <w:color w:val="auto"/>
          <w:szCs w:val="24"/>
          <w:highlight w:val="none"/>
          <w:lang w:eastAsia="zh-CN"/>
        </w:rPr>
        <w:t xml:space="preserve">等方式开展线上不见面答疑服务。截至2026年</w:t>
      </w:r>
      <w:r>
        <w:rPr>
          <w:rStyle w:val="942"/>
          <w:rFonts w:hint="eastAsia" w:ascii="宋体" w:hAnsi="宋体" w:cs="Times New Roman"/>
          <w:color w:val="auto"/>
          <w:szCs w:val="24"/>
          <w:highlight w:val="none"/>
          <w:lang w:eastAsia="zh-CN"/>
        </w:rPr>
        <w:fldChar w:fldCharType="end"/>
      </w:r>
      <w:r>
        <w:rPr>
          <w:rFonts w:hint="eastAsia" w:ascii="宋体" w:hAnsi="宋体" w:cs="Times New Roman"/>
          <w:color w:val="auto"/>
          <w:szCs w:val="24"/>
          <w:highlight w:val="none"/>
          <w:lang w:val="en-US" w:eastAsia="zh-CN"/>
        </w:rPr>
        <w:t xml:space="preserve">10</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8</w:t>
      </w:r>
      <w:r>
        <w:rPr>
          <w:rFonts w:hint="eastAsia" w:ascii="宋体" w:hAnsi="宋体" w:cs="Times New Roman"/>
          <w:color w:val="auto"/>
          <w:szCs w:val="24"/>
          <w:highlight w:val="none"/>
          <w:lang w:eastAsia="zh-CN"/>
        </w:rPr>
        <w:t xml:space="preserve">日10:00前，有关单位对于招标文件的相关事项如有疑问可通过上述方式咨询；供应商如有需要对招标文件要求澄清的问题，请以书面形式（必须加盖投标人公章，也请务必留下联系方式，以便回复）提出“2026年DNA实验室试剂和耗材采购需澄清问题”， 并于答疑截止时间前邮箱（</w:t>
      </w:r>
      <w:r>
        <w:rPr>
          <w:rFonts w:hint="eastAsia" w:hAnsi="宋体"/>
          <w:bCs/>
          <w:color w:val="auto"/>
          <w:szCs w:val="24"/>
          <w:highlight w:val="none"/>
          <w:lang w:eastAsia="zh-CN"/>
        </w:rPr>
        <w:t xml:space="preserve">123649967@qq.com</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给项目联系人。若未在法定时间内提出澄清，由此造成的损失及风险由供应商自行承担。  </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hint="eastAsia" w:ascii="宋体" w:hAnsi="宋体" w:cs="Times New Roman"/>
          <w:b/>
          <w:bCs/>
          <w:color w:val="auto"/>
          <w:szCs w:val="24"/>
          <w:highlight w:val="none"/>
          <w:lang w:eastAsia="zh-CN"/>
        </w:rPr>
      </w:pPr>
      <w:r/>
      <w:bookmarkStart w:id="6" w:name="_Toc112006904"/>
      <w:r>
        <w:rPr>
          <w:rFonts w:hint="eastAsia" w:ascii="宋体" w:hAnsi="宋体" w:cs="Times New Roman"/>
          <w:b/>
          <w:bCs/>
          <w:color w:val="auto"/>
          <w:szCs w:val="24"/>
          <w:highlight w:val="none"/>
          <w:lang w:eastAsia="zh-CN"/>
        </w:rPr>
        <w:t xml:space="preserve">（七）投标及开标、定标时间、地点</w:t>
      </w:r>
      <w:bookmarkEnd w:id="6"/>
      <w:r/>
      <w:r/>
    </w:p>
    <w:p>
      <w:pPr>
        <w:ind w:firstLine="482"/>
        <w:shd w:val="clear" w:color="auto" w:fill="ffffff"/>
        <w:rPr>
          <w:rFonts w:hint="eastAsia" w:ascii="宋体" w:hAnsi="宋体" w:cs="Times New Roman"/>
          <w:color w:val="auto"/>
          <w:szCs w:val="24"/>
          <w:highlight w:val="none"/>
          <w:lang w:eastAsia="zh-CN"/>
        </w:rPr>
      </w:pPr>
      <w:r/>
      <w:bookmarkStart w:id="7" w:name="_Toc112006905"/>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投标截止时间（网上投标截止时间苏采云投标客户端投标）：2026年</w:t>
      </w:r>
      <w:r>
        <w:rPr>
          <w:rFonts w:hint="eastAsia" w:ascii="宋体" w:hAnsi="宋体" w:cs="Times New Roman"/>
          <w:color w:val="auto"/>
          <w:szCs w:val="24"/>
          <w:highlight w:val="none"/>
          <w:lang w:val="en-US" w:eastAsia="zh-CN"/>
        </w:rPr>
        <w:t xml:space="preserve">10</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14</w:t>
      </w:r>
      <w:r>
        <w:rPr>
          <w:rFonts w:hint="eastAsia" w:ascii="宋体" w:hAnsi="宋体" w:cs="Times New Roman"/>
          <w:color w:val="auto"/>
          <w:szCs w:val="24"/>
          <w:highlight w:val="none"/>
          <w:lang w:eastAsia="zh-CN"/>
        </w:rPr>
        <w:t xml:space="preserve">日9:30，投标截止时间后的投标文件恕不接受。</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开标时间：2026年</w:t>
      </w:r>
      <w:r>
        <w:rPr>
          <w:rFonts w:hint="eastAsia" w:ascii="宋体" w:hAnsi="宋体" w:cs="Times New Roman"/>
          <w:color w:val="auto"/>
          <w:szCs w:val="24"/>
          <w:highlight w:val="none"/>
          <w:lang w:val="en-US" w:eastAsia="zh-CN"/>
        </w:rPr>
        <w:t xml:space="preserve">10</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14</w:t>
      </w:r>
      <w:r>
        <w:rPr>
          <w:rFonts w:hint="eastAsia" w:ascii="宋体" w:hAnsi="宋体" w:cs="Times New Roman"/>
          <w:color w:val="auto"/>
          <w:szCs w:val="24"/>
          <w:highlight w:val="none"/>
          <w:lang w:eastAsia="zh-CN"/>
        </w:rPr>
        <w:t xml:space="preserve">日9:30。</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定标地点：无锡市公共资源交易中心锡山分中心迎宾南路2</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号  </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（八）投标文件份数：</w:t>
      </w:r>
      <w:bookmarkEnd w:id="7"/>
      <w:r>
        <w:rPr>
          <w:rFonts w:hint="eastAsia" w:ascii="宋体" w:hAnsi="宋体" w:cs="Times New Roman"/>
          <w:b/>
          <w:bCs/>
          <w:color w:val="auto"/>
          <w:szCs w:val="24"/>
          <w:highlight w:val="none"/>
          <w:lang w:eastAsia="zh-CN"/>
        </w:rPr>
        <w:t xml:space="preserve">请按规定上传电子投标文件，不接收纸质投标文件。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（九）投标有效期：投标文件接收截止之日起90天</w:t>
      </w:r>
      <w:r/>
    </w:p>
    <w:p>
      <w:pPr>
        <w:ind w:firstLine="480"/>
        <w:shd w:val="clear" w:color="auto" w:fill="ffffff"/>
        <w:rPr>
          <w:rFonts w:hint="eastAsia" w:ascii="宋体" w:hAnsi="宋体" w:cs="Times New Roman"/>
          <w:b/>
          <w:bCs/>
          <w:color w:val="auto"/>
          <w:szCs w:val="24"/>
          <w:highlight w:val="none"/>
          <w:lang w:eastAsia="zh-CN"/>
        </w:rPr>
      </w:pPr>
      <w:r/>
      <w:bookmarkStart w:id="8" w:name="_Toc112006909"/>
      <w:r>
        <w:rPr>
          <w:rFonts w:hint="eastAsia" w:ascii="宋体" w:hAnsi="宋体" w:cs="Times New Roman"/>
          <w:b/>
          <w:bCs/>
          <w:color w:val="auto"/>
          <w:szCs w:val="24"/>
          <w:highlight w:val="none"/>
          <w:lang w:eastAsia="zh-CN"/>
        </w:rPr>
        <w:t xml:space="preserve">（十）其他</w:t>
      </w:r>
      <w:r/>
    </w:p>
    <w:p>
      <w:pPr>
        <w:ind w:firstLine="480"/>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w:t>
      </w:r>
      <w:r>
        <w:rPr>
          <w:rFonts w:hint="eastAsia" w:ascii="宋体" w:hAnsi="宋体" w:cs="宋体"/>
          <w:bCs/>
          <w:color w:val="auto"/>
          <w:szCs w:val="24"/>
          <w:highlight w:val="none"/>
          <w:lang w:eastAsia="zh-CN"/>
        </w:rPr>
        <w:t xml:space="preserve">本次采购采用“江苏省政府采购（苏采云）平台”进行招标投标活动，招标、投标、评标和中标结果发布全程电子化。</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，招标人不予受理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8"/>
      <w:r>
        <w:rPr>
          <w:rFonts w:hint="eastAsia" w:ascii="宋体" w:hAnsi="宋体" w:cs="Times New Roman"/>
          <w:b/>
          <w:bCs/>
          <w:color w:val="auto"/>
          <w:szCs w:val="24"/>
          <w:highlight w:val="none"/>
          <w:lang w:eastAsia="zh-CN"/>
        </w:rPr>
        <w:t xml:space="preserve">联系方式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1.采购人：无锡市公安局锡山分局</w:t>
      </w:r>
      <w:r/>
    </w:p>
    <w:p>
      <w:pPr>
        <w:ind w:firstLine="480"/>
        <w:shd w:val="clear" w:color="auto" w:fill="ffffff"/>
        <w:tabs>
          <w:tab w:val="left" w:pos="5148" w:leader="none"/>
        </w:tabs>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采购人地址：无锡市锡山区锡沪中路92号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 系 人：唐警官</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联系方式：</w:t>
      </w:r>
      <w:r>
        <w:rPr>
          <w:rFonts w:ascii="宋体" w:hAnsi="宋体" w:cs="Times New Roman"/>
          <w:color w:val="auto"/>
          <w:szCs w:val="24"/>
          <w:highlight w:val="none"/>
          <w:lang w:eastAsia="zh-CN"/>
        </w:rPr>
        <w:t xml:space="preserve">0510-</w:t>
      </w:r>
      <w:r>
        <w:rPr>
          <w:rFonts w:hint="eastAsia" w:ascii="宋体" w:hAnsi="宋体" w:cs="Times New Roman"/>
          <w:color w:val="auto"/>
          <w:szCs w:val="24"/>
          <w:highlight w:val="none"/>
          <w:lang w:eastAsia="zh-CN"/>
        </w:rPr>
        <w:t xml:space="preserve">82225228</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2.采购代理机构：</w:t>
      </w:r>
      <w:r>
        <w:rPr>
          <w:rFonts w:hint="eastAsia" w:ascii="宋体" w:hAnsi="宋体" w:cs="宋体"/>
          <w:bCs/>
          <w:color w:val="auto"/>
          <w:szCs w:val="24"/>
          <w:highlight w:val="none"/>
          <w:lang w:eastAsia="zh-CN"/>
        </w:rPr>
        <w:t xml:space="preserve"> </w:t>
      </w:r>
      <w:r>
        <w:rPr>
          <w:rFonts w:hint="eastAsia" w:ascii="宋体" w:hAnsi="宋体" w:cs="Times New Roman"/>
          <w:color w:val="auto"/>
          <w:szCs w:val="24"/>
          <w:highlight w:val="none"/>
          <w:lang w:eastAsia="zh-CN"/>
        </w:rPr>
        <w:t xml:space="preserve">无锡智邦工程咨询有限公司</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联系地址：</w:t>
      </w:r>
      <w:r>
        <w:rPr>
          <w:rFonts w:hint="eastAsia"/>
          <w:color w:val="auto"/>
          <w:highlight w:val="none"/>
          <w:lang w:eastAsia="zh-CN"/>
        </w:rPr>
        <w:t xml:space="preserve">无锡蠡园开发区创意产业园3号</w:t>
      </w:r>
      <w:r>
        <w:rPr>
          <w:rFonts w:hint="eastAsia" w:ascii="宋体" w:hAnsi="宋体" w:cs="Times New Roman"/>
          <w:color w:val="auto"/>
          <w:szCs w:val="24"/>
          <w:highlight w:val="none"/>
          <w:lang w:eastAsia="zh-CN"/>
        </w:rPr>
        <w:t xml:space="preserve">3楼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联系人：杨彦</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联系电话：</w:t>
      </w:r>
      <w:r>
        <w:rPr>
          <w:rFonts w:hint="eastAsia" w:ascii="宋体" w:hAnsi="宋体" w:cs="宋体"/>
          <w:color w:val="auto"/>
          <w:highlight w:val="none"/>
          <w:lang w:eastAsia="zh-CN"/>
        </w:rPr>
        <w:t xml:space="preserve">13861829889</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 </w:t>
      </w:r>
      <w:r/>
    </w:p>
    <w:p>
      <w:pPr>
        <w:pStyle w:val="901"/>
        <w:spacing w:after="240"/>
        <w:rPr>
          <w:rFonts w:hint="eastAsia" w:ascii="黑体" w:hAnsi="黑体"/>
          <w:color w:val="auto"/>
          <w:szCs w:val="36"/>
          <w:highlight w:val="none"/>
          <w:lang w:eastAsia="zh-CN"/>
        </w:rPr>
      </w:pPr>
      <w:r/>
      <w:bookmarkStart w:id="9" w:name="_Toc161316665"/>
      <w:r>
        <w:rPr>
          <w:rFonts w:hint="eastAsia" w:ascii="黑体" w:hAnsi="黑体"/>
          <w:color w:val="auto"/>
          <w:szCs w:val="36"/>
          <w:highlight w:val="none"/>
          <w:lang w:eastAsia="zh-CN"/>
        </w:rPr>
        <w:t xml:space="preserve">二、供应商须知</w:t>
      </w:r>
      <w:bookmarkEnd w:id="9"/>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10" w:name="_Hlk160181958"/>
      <w:r>
        <w:rPr>
          <w:rFonts w:hint="eastAsia" w:ascii="宋体" w:hAnsi="宋体" w:cs="Times New Roman"/>
          <w:b/>
          <w:bCs/>
          <w:color w:val="auto"/>
          <w:szCs w:val="24"/>
          <w:highlight w:val="none"/>
          <w:lang w:eastAsia="zh-CN"/>
        </w:rPr>
        <w:t xml:space="preserve">招标文件</w:t>
      </w:r>
      <w:bookmarkEnd w:id="10"/>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1.招标文件包括本文件目录所列全部内容，投标人应仔细阅读，并在投标文件中充分响应招标文件的所有要求。</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2.潜在投标人可在项目招标公告附件中查看公开招标文件，如确定投标，必须在苏采云平台</w:t>
      </w:r>
      <w:r>
        <w:rPr>
          <w:rFonts w:hint="eastAsia" w:ascii="宋体" w:hAnsi="宋体" w:cs="Times New Roman"/>
          <w:color w:val="auto"/>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auto"/>
          <w:szCs w:val="22"/>
          <w:highlight w:val="none"/>
          <w:lang w:eastAsia="zh-CN"/>
        </w:rPr>
        <w:t xml:space="preserve">，完成项目参与，将苏采云平台中下载的采购文件（后缀名为</w:t>
      </w:r>
      <w:r>
        <w:rPr>
          <w:rFonts w:hint="eastAsia" w:ascii="宋体" w:hAnsi="宋体" w:cs="宋体"/>
          <w:color w:val="auto"/>
          <w:szCs w:val="22"/>
          <w:highlight w:val="none"/>
          <w:lang w:eastAsia="zh-CN"/>
        </w:rPr>
        <w:t xml:space="preserve">“</w:t>
      </w:r>
      <w:r>
        <w:rPr>
          <w:rFonts w:ascii="宋体" w:hAnsi="宋体" w:cs="宋体"/>
          <w:color w:val="auto"/>
          <w:szCs w:val="22"/>
          <w:highlight w:val="none"/>
          <w:lang w:eastAsia="zh-CN"/>
        </w:rPr>
        <w:t xml:space="preserve">kedt”）导入到“政府采购客户端”，离线按要求编制并加密</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文件无效。</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3.投标人一旦参加本项目投标，即表明承诺接受了本招标文件中的所有条件和规定。</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4.招标文件仅作为本次招投标使用。</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5.招标文件中的“法定代表人”是指投标人的营业执照或相关部门的登记证明文件中的“法定代表人”或“负责人”。</w:t>
      </w:r>
      <w:r/>
    </w:p>
    <w:p>
      <w:pPr>
        <w:ind w:firstLine="480"/>
        <w:jc w:val="both"/>
        <w:widowControl w:val="o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w:t>
      </w:r>
      <w:r>
        <w:rPr>
          <w:rFonts w:hint="eastAsia" w:ascii="宋体" w:hAnsi="宋体" w:cs="Times New Roman"/>
          <w:color w:val="auto"/>
          <w:szCs w:val="24"/>
          <w:highlight w:val="none"/>
          <w:lang w:eastAsia="zh-CN"/>
        </w:rPr>
        <w:t xml:space="preserve">无锡智邦工程咨询有限公司</w:t>
      </w:r>
      <w:r>
        <w:rPr>
          <w:rFonts w:hint="eastAsia" w:ascii="宋体" w:hAnsi="宋体" w:cs="宋体"/>
          <w:color w:val="auto"/>
          <w:szCs w:val="24"/>
          <w:highlight w:val="none"/>
          <w:lang w:eastAsia="zh-CN"/>
        </w:rPr>
        <w:t xml:space="preserve">，确认已收到修改文件或延期开标通知，邮箱：123649967@qq.com；逾期不回视同收到此公告。因供应商未及时全面地关注更正公告导致其提交的投标文件材料不符合采购人要求，而造成的损失及风险（包括但不限于未成交）由供应商自行承担。</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4</w:t>
      </w:r>
      <w:r>
        <w:rPr>
          <w:rFonts w:hint="eastAsia" w:ascii="宋体" w:hAnsi="宋体" w:cs="Times New Roman"/>
          <w:color w:val="auto"/>
          <w:szCs w:val="24"/>
          <w:highlight w:val="none"/>
          <w:lang w:eastAsia="zh-CN"/>
        </w:rPr>
        <w:t xml:space="preserve">.供应商认为招标文件使自己的权益受到损害的，可以自获取招标文件之</w:t>
      </w:r>
      <w:r>
        <w:rPr>
          <w:rFonts w:hint="eastAsia" w:ascii="宋体" w:hAnsi="宋体" w:cs="Times New Roman"/>
          <w:color w:val="auto"/>
          <w:szCs w:val="24"/>
          <w:highlight w:val="none"/>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r/>
    </w:p>
    <w:p>
      <w:pPr>
        <w:ind w:firstLine="480"/>
        <w:shd w:val="clear" w:color="auto" w:fill="ffffff"/>
        <w:rPr>
          <w:rFonts w:hint="eastAsia" w:ascii="宋体" w:hAnsi="宋体" w:cs="Times New Roman"/>
          <w:b/>
          <w:bCs/>
          <w:color w:val="auto"/>
          <w:szCs w:val="24"/>
          <w:highlight w:val="none"/>
          <w:lang w:eastAsia="zh-CN"/>
        </w:rPr>
      </w:pPr>
      <w:r/>
      <w:bookmarkStart w:id="11" w:name="_Hlk159252584"/>
      <w:r>
        <w:rPr>
          <w:rFonts w:hint="eastAsia" w:ascii="宋体" w:hAnsi="宋体" w:cs="Times New Roman"/>
          <w:b/>
          <w:bCs/>
          <w:color w:val="auto"/>
          <w:szCs w:val="24"/>
          <w:highlight w:val="none"/>
          <w:lang w:eastAsia="zh-CN"/>
        </w:rPr>
        <w:t xml:space="preserve">1.投标函（格式见附件）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bookmarkEnd w:id="11"/>
      <w:r/>
      <w:r/>
    </w:p>
    <w:p>
      <w:pPr>
        <w:ind w:firstLine="480"/>
        <w:shd w:val="clear" w:color="auto" w:fill="ffffff"/>
        <w:rPr>
          <w:rFonts w:hint="eastAsia" w:ascii="宋体" w:hAnsi="宋体" w:cs="Times New Roman"/>
          <w:color w:val="auto"/>
          <w:szCs w:val="24"/>
          <w:highlight w:val="none"/>
          <w:lang w:eastAsia="zh-CN"/>
        </w:rPr>
      </w:pPr>
      <w:r/>
      <w:bookmarkStart w:id="12" w:name="_Hlk159251740"/>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 xml:space="preserve">（投标供应商如允许以分支机构身份参加投标的，提供投标供应商分支机构的营业执照扫描件）；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（5）供应商法定代表人授权代表身份证扫描件加盖公章</w:t>
      </w:r>
      <w:r>
        <w:rPr>
          <w:rFonts w:hint="eastAsia" w:ascii="宋体" w:hAnsi="宋体" w:cs="Times New Roman"/>
          <w:b/>
          <w:bCs/>
          <w:color w:val="auto"/>
          <w:szCs w:val="24"/>
          <w:highlight w:val="none"/>
          <w:lang w:eastAsia="zh-CN"/>
        </w:rPr>
        <w:t xml:space="preserve">（正、反面， 法定代表人亲自参与投标的除外）</w:t>
      </w:r>
      <w:r>
        <w:rPr>
          <w:rFonts w:hint="eastAsia" w:ascii="宋体" w:hAnsi="宋体" w:cs="Times New Roman"/>
          <w:color w:val="auto"/>
          <w:szCs w:val="24"/>
          <w:highlight w:val="none"/>
          <w:lang w:eastAsia="zh-CN"/>
        </w:rPr>
        <w:t xml:space="preserve">；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bookmarkEnd w:id="12"/>
      <w:r>
        <w:rPr>
          <w:rFonts w:hint="eastAsia" w:ascii="宋体" w:hAnsi="宋体" w:cs="Times New Roman"/>
          <w:color w:val="auto"/>
          <w:szCs w:val="24"/>
          <w:highlight w:val="none"/>
          <w:lang w:eastAsia="zh-CN"/>
        </w:rPr>
        <w:t xml:space="preserve">；</w:t>
      </w:r>
      <w:r/>
    </w:p>
    <w:p>
      <w:pPr>
        <w:pStyle w:val="902"/>
        <w:ind w:firstLine="480"/>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供应商所提供的产品须为中小微企业或监狱企业、残疾人福利性单位制造的产品。供应商须按要求提供《中小企业声明函》《残疾人福利性单位声明函》或由省级以上监狱管理局、戒毒管理局(含新疆生产建设兵团)出具的属于监狱企业的证明文件（格式见附件）。</w:t>
      </w:r>
      <w:r/>
    </w:p>
    <w:p>
      <w:pPr>
        <w:ind w:firstLine="480"/>
        <w:shd w:val="clear" w:color="auto" w:fill="ffffff"/>
        <w:rPr>
          <w:rFonts w:hint="eastAsia" w:ascii="宋体" w:hAnsi="宋体" w:cs="宋体"/>
          <w:b/>
          <w:color w:val="auto"/>
          <w:szCs w:val="24"/>
          <w:highlight w:val="none"/>
          <w:lang w:eastAsia="zh-CN" w:bidi="ar"/>
        </w:rPr>
      </w:pPr>
      <w:r>
        <w:rPr>
          <w:rFonts w:hint="eastAsia" w:ascii="宋体" w:hAnsi="宋体" w:cs="宋体"/>
          <w:bCs/>
          <w:color w:val="auto"/>
          <w:szCs w:val="24"/>
          <w:highlight w:val="none"/>
          <w:lang w:eastAsia="zh-CN" w:bidi="ar"/>
        </w:rPr>
        <w:t xml:space="preserve">3.供应商情况表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5</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明细报价表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商务偏离表</w:t>
      </w:r>
      <w:r>
        <w:rPr>
          <w:rFonts w:hint="eastAsia" w:ascii="宋体" w:hAnsi="宋体" w:cs="Times New Roman"/>
          <w:b/>
          <w:bCs/>
          <w:color w:val="auto"/>
          <w:szCs w:val="24"/>
          <w:highlight w:val="none"/>
          <w:lang w:eastAsia="zh-CN"/>
        </w:rPr>
        <w:t xml:space="preserve">（格式见附件）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7.技术规格偏离表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8.供应商近年已完成类似业绩一览表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9</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服务承诺</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10.关于符合本国产品标准的声明函</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11</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技术方案</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12</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评分标准中对应的其他所需证明材料</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13.</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（投标人认为有必要提供的声明和文件，如有格式自拟并自行添加）</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上述1-11项供应商必须按要求全部提供，否则投标文件无效。如上述资格证明文件遇年检、换证，则必须提供法定年检、换证单位出具的有效证明扫描件。如上述资格证明文件第（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2.投标文件由投标人按给定格式如实填写（编写），须有法人（盖章）、法定代表人或法定代表人授权代表签字或盖章，方为有效，未尽事宜可自行补充。</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3.如无特别说明，投标人报价一律以人民币为投标结算货币，结算单位为“元”。</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4.投标文件格式部分，应由投标人按给定格式提供，不得更改。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5.投标人在制作电子投标文件时，请正确关联到对应页面，在评审过程中，评审专家如因在相对应页面找不到该相关联的文件，由此产生的后果由投标人自行承担。</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6.投标费用自理，本项目投标报价中包含代理服务费，投标供应商应自行考虑将代理服务费纳入所报投标价中。</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2.投标人应对CA数字证书妥善保管，如被他人盗用投标，后果自负。</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3.投标人按招标文件规定的网上解密时间进行解密，如未按时解密后果自负。</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4.投标人应当对招标文件提出的要求和条件作出实质性响应，并在电子投标系统逐条应答。</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5.投标人应对要求提供的资格证明文件（如资质证书、资格证书）、技术资料（如白皮书、彩页、手册、检测报告等）扫描上传至投标系统。</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6.投标费用自理。</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7.供应商进行网上投标请参照《政府采购项目电子交易管理操作指南－供应商》。</w:t>
      </w:r>
      <w:r/>
    </w:p>
    <w:p>
      <w:pPr>
        <w:pStyle w:val="1112"/>
        <w:ind w:firstLine="482"/>
        <w:spacing w:line="360" w:lineRule="auto"/>
        <w:rPr>
          <w:color w:val="auto"/>
          <w:highlight w:val="none"/>
        </w:rPr>
      </w:pPr>
      <w:r>
        <w:rPr>
          <w:rFonts w:hint="eastAsia" w:ascii="宋体" w:hAnsi="宋体" w:cs="宋体"/>
          <w:b/>
          <w:bCs/>
          <w:color w:val="auto"/>
          <w:sz w:val="24"/>
          <w:szCs w:val="24"/>
          <w:highlight w:val="none"/>
        </w:rPr>
        <w:t xml:space="preserve">特别提醒：</w:t>
      </w:r>
      <w:bookmarkStart w:id="13" w:name="OLE_LINK15"/>
      <w:r/>
      <w:bookmarkStart w:id="14" w:name="OLE_LINK16"/>
      <w:r>
        <w:rPr>
          <w:rFonts w:hint="eastAsia" w:ascii="宋体" w:hAnsi="宋体" w:cs="宋体"/>
          <w:b/>
          <w:bCs/>
          <w:color w:val="auto"/>
          <w:sz w:val="24"/>
          <w:szCs w:val="24"/>
          <w:highlight w:val="none"/>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3"/>
      <w:r/>
      <w:bookmarkEnd w:id="14"/>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投标人有下列情况之一者，投标文件无效：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3.投标人未按招标文件要求解密电子投标文件的；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4.投标人的法定代表人授权代表，无法定代表人授权委托书的；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5.投标人的法定代表人或被授权代表，未准时参加开标会议的；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11.不同投标人委托同一单位或者个人办理投标事宜的；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12.不同投标人的单位负责人为同一人或者存在直接控股、管理关系的；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13.不同投标人的投标文件存在明显的相似性或一致性，特征显示由同一单位或者同一个人编制的；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14.不同投标人投标文件内容存在非正常一致、项目组成员出现同一人、投标文件中错误（或异常）一致或雷同、电子文档信息一致或雷同的、投标报价呈规律性差异的；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16.投标人提交两个（含）以上不同的投标报价或项目（标段）投标总价超过本项目（标段）预算或最高限价的；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19.未通过符合性审查的，采购清单技术参数存在负偏离的；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20.除单一来源采购项目外，为采购项目提供整体设计、规范编制或者项目管理、监理、检测等服务的；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21.投标文件中无技术方案或技术方案编制粗糙、缺漏项较多；</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22.未按要求提供第三章项目要求和有关说明中须提供的相关证明材料的；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23.法律法规和招标文件规定的其他无效情形。</w:t>
      </w:r>
      <w:r/>
    </w:p>
    <w:p>
      <w:pPr>
        <w:ind w:firstLine="480"/>
        <w:shd w:val="clear" w:color="auto" w:fill="ffffff"/>
        <w:rPr>
          <w:rFonts w:hint="eastAsia" w:ascii="宋体" w:hAnsi="宋体" w:cs="Times New Roman"/>
          <w:color w:val="auto"/>
          <w:szCs w:val="24"/>
          <w:highlight w:val="none"/>
          <w:shd w:val="clear" w:color="auto" w:fill="ffffff"/>
          <w:lang w:eastAsia="zh-CN"/>
        </w:rPr>
      </w:pPr>
      <w:r>
        <w:rPr>
          <w:rFonts w:hint="eastAsia" w:ascii="宋体" w:hAnsi="宋体" w:cs="Times New Roman"/>
          <w:color w:val="auto"/>
          <w:szCs w:val="24"/>
          <w:highlight w:val="none"/>
          <w:lang w:eastAsia="zh-CN"/>
        </w:rPr>
        <w:t xml:space="preserve">24.</w:t>
      </w:r>
      <w:r>
        <w:rPr>
          <w:rFonts w:hint="eastAsia" w:ascii="宋体" w:hAnsi="宋体" w:cs="Times New Roman"/>
          <w:color w:val="auto"/>
          <w:szCs w:val="24"/>
          <w:highlight w:val="none"/>
          <w:shd w:val="clear" w:color="auto" w:fill="ffffff"/>
          <w:lang w:eastAsia="zh-CN" w:bidi="ar"/>
        </w:rPr>
        <w:t xml:space="preserve">不同供应商IP地址、MAC地址、标书制作工具客户端标识码出现一致的情形；</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25.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1.所有投标单位在招标文件规定的时间内解密各自投标文件。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投标截止时间后参加投标的供应商或解密投标文件的供应商不足三家的，不开标；开标后，所有投标人可在线上开标大厅中看到所有投标人的投标报价。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（3）投标人未参加开标的，视同认可开标结果。</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0"/>
        <w:jc w:val="center"/>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911"/>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3714"/>
        <w:gridCol w:w="6034"/>
      </w:tblGrid>
      <w:tr>
        <w:trPr>
          <w:trHeight w:val="567"/>
        </w:trPr>
        <w:tc>
          <w:tcPr>
            <w:tcW w:w="771"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9748"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2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93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具有独立承担民事责任能力的供应商营业执照或相关部门的登记证明文件扫描件加盖公章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投标供应商如是允许以分支机构身份参加投标的，提供投标供应商分支机构的营业执照</w:t>
            </w:r>
            <w:r>
              <w:rPr>
                <w:rFonts w:hint="eastAsia" w:ascii="宋体" w:hAnsi="宋体" w:cs="Times New Roman"/>
                <w:color w:val="auto"/>
                <w:szCs w:val="24"/>
                <w:highlight w:val="none"/>
                <w:lang w:eastAsia="zh-CN"/>
              </w:rPr>
              <w:t xml:space="preserve">扫描</w:t>
            </w:r>
            <w:r>
              <w:rPr>
                <w:rFonts w:hint="eastAsia" w:ascii="宋体" w:hAnsi="宋体" w:cs="Times New Roman"/>
                <w:bCs/>
                <w:color w:val="auto"/>
                <w:szCs w:val="24"/>
                <w:highlight w:val="none"/>
                <w:lang w:eastAsia="zh-CN"/>
              </w:rPr>
              <w:t xml:space="preserve">件</w:t>
            </w:r>
            <w:r>
              <w:rPr>
                <w:rFonts w:hint="eastAsia" w:ascii="宋体" w:hAnsi="宋体" w:cs="Times New Roman"/>
                <w:color w:val="auto"/>
                <w:szCs w:val="24"/>
                <w:highlight w:val="none"/>
                <w:lang w:eastAsia="zh-CN"/>
              </w:rPr>
              <w:t xml:space="preserve">加盖公章</w:t>
            </w:r>
            <w:r/>
          </w:p>
        </w:tc>
      </w:tr>
      <w:tr>
        <w:trPr>
          <w:trHeight w:val="62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6034" w:type="dxa"/>
            <w:vAlign w:val="center"/>
            <w:textDirection w:val="lrTb"/>
            <w:noWrap w:val="false"/>
          </w:tcPr>
          <w:p>
            <w:pPr>
              <w:ind w:firstLine="0"/>
              <w:jc w:val="both"/>
              <w:widowControl w:val="off"/>
              <w:tabs>
                <w:tab w:val="left" w:pos="1050" w:leader="none"/>
              </w:tabs>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46"/>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供应商法定代表人身份证扫描件加盖公章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6"/>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w:t>
            </w:r>
            <w:r>
              <w:rPr>
                <w:rFonts w:hint="eastAsia" w:ascii="宋体" w:hAnsi="宋体" w:cs="Times New Roman"/>
                <w:color w:val="auto"/>
                <w:szCs w:val="24"/>
                <w:highlight w:val="none"/>
                <w:lang w:eastAsia="zh-CN"/>
              </w:rPr>
              <w:t xml:space="preserve">扫描</w:t>
            </w:r>
            <w:r>
              <w:rPr>
                <w:rFonts w:hint="eastAsia" w:ascii="宋体" w:hAnsi="宋体" w:cs="宋体"/>
                <w:bCs/>
                <w:color w:val="auto"/>
                <w:szCs w:val="24"/>
                <w:highlight w:val="none"/>
                <w:lang w:eastAsia="zh-CN"/>
              </w:rPr>
              <w:t xml:space="preserve">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27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6034" w:type="dxa"/>
            <w:vAlign w:val="center"/>
            <w:textDirection w:val="lrTb"/>
            <w:noWrap w:val="false"/>
          </w:tcPr>
          <w:p>
            <w:pPr>
              <w:ind w:firstLine="0"/>
              <w:jc w:val="both"/>
              <w:spacing w:line="240" w:lineRule="auto"/>
              <w:widowControl w:val="off"/>
              <w:tabs>
                <w:tab w:val="left" w:pos="1050" w:leader="none"/>
              </w:tabs>
              <w:rPr>
                <w:rFonts w:hint="eastAsia"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950"/>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2"/>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60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4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3</w:t>
            </w:r>
            <w:r>
              <w:rPr>
                <w:rFonts w:hint="eastAsia" w:ascii="宋体" w:hAnsi="宋体" w:cs="宋体"/>
                <w:color w:val="auto"/>
                <w:szCs w:val="24"/>
                <w:highlight w:val="none"/>
                <w:lang w:eastAsia="zh-CN"/>
              </w:rPr>
              <w:t xml:space="preserve">中要求）；</w:t>
            </w:r>
            <w:r/>
          </w:p>
        </w:tc>
      </w:tr>
      <w:tr>
        <w:trPr>
          <w:trHeight w:val="62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（详见“投标邀请函”－“供应商资格要求”之4中要求）；</w:t>
            </w:r>
            <w:r/>
          </w:p>
        </w:tc>
      </w:tr>
      <w:tr>
        <w:trPr>
          <w:trHeight w:val="2486"/>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3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中要求）；</w:t>
            </w:r>
            <w:r/>
          </w:p>
        </w:tc>
      </w:tr>
    </w:tbl>
    <w:p>
      <w:pPr>
        <w:ind w:firstLine="482"/>
        <w:spacing w:before="24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911"/>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556"/>
        <w:gridCol w:w="6051"/>
      </w:tblGrid>
      <w:tr>
        <w:trPr>
          <w:trHeight w:val="535"/>
        </w:trPr>
        <w:tc>
          <w:tcPr>
            <w:tcW w:w="751"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tcW w:w="3556"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Cs/>
                <w:color w:val="auto"/>
                <w:szCs w:val="24"/>
                <w:highlight w:val="none"/>
              </w:rPr>
              <w:t xml:space="preserve">评审点要求概况</w:t>
            </w:r>
            <w:r/>
          </w:p>
        </w:tc>
        <w:tc>
          <w:tcPr>
            <w:tcW w:w="6051"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Cs/>
                <w:color w:val="auto"/>
                <w:szCs w:val="24"/>
                <w:highlight w:val="none"/>
              </w:rPr>
              <w:t xml:space="preserve">评审点具体描述</w:t>
            </w:r>
            <w:r/>
          </w:p>
        </w:tc>
      </w:tr>
      <w:tr>
        <w:trPr>
          <w:trHeight w:val="493"/>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投标函</w:t>
            </w:r>
            <w:r/>
          </w:p>
        </w:tc>
        <w:tc>
          <w:tcPr>
            <w:tcW w:w="60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493"/>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bidi="ar"/>
              </w:rPr>
              <w:t xml:space="preserve">供应商情况表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819"/>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开标一览表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462"/>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明细报价表</w:t>
            </w:r>
            <w:r/>
          </w:p>
        </w:tc>
        <w:tc>
          <w:tcPr>
            <w:tcW w:w="6051" w:type="dxa"/>
            <w:vAlign w:val="center"/>
            <w:textDirection w:val="lrTb"/>
            <w:noWrap w:val="false"/>
          </w:tcPr>
          <w:p>
            <w:pPr>
              <w:ind w:firstLine="0"/>
              <w:jc w:val="center"/>
              <w:widowControl w:val="off"/>
              <w:tabs>
                <w:tab w:val="left" w:pos="1050" w:leader="none"/>
              </w:tabs>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商务偏离表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556" w:type="dxa"/>
            <w:vAlign w:val="center"/>
            <w:textDirection w:val="lrTb"/>
            <w:noWrap w:val="false"/>
          </w:tcPr>
          <w:p>
            <w:pPr>
              <w:ind w:firstLine="0"/>
              <w:jc w:val="center"/>
              <w:spacing w:line="240" w:lineRule="auto"/>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技术规格偏离表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服务承诺</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556" w:type="dxa"/>
            <w:vAlign w:val="center"/>
            <w:textDirection w:val="lrTb"/>
            <w:noWrap w:val="false"/>
          </w:tcPr>
          <w:p>
            <w:pPr>
              <w:ind w:firstLine="0"/>
              <w:jc w:val="center"/>
              <w:spacing w:line="240" w:lineRule="auto"/>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供应商近年已完成类似业绩一览表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50"/>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投标文件内容</w:t>
            </w:r>
            <w:r/>
          </w:p>
        </w:tc>
        <w:tc>
          <w:tcPr>
            <w:tcW w:w="60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不存在</w:t>
            </w:r>
            <w:r>
              <w:rPr>
                <w:rFonts w:hint="eastAsia"/>
                <w:color w:val="auto"/>
                <w:highlight w:val="none"/>
                <w:lang w:eastAsia="zh-CN"/>
              </w:rPr>
              <w:t xml:space="preserve">供应商须知</w:t>
            </w:r>
            <w:r>
              <w:rPr>
                <w:rFonts w:hint="eastAsia" w:ascii="宋体" w:hAnsi="宋体" w:cs="Times New Roman"/>
                <w:color w:val="auto"/>
                <w:szCs w:val="24"/>
                <w:highlight w:val="none"/>
                <w:lang w:eastAsia="zh-CN"/>
              </w:rPr>
              <w:t xml:space="preserve">第八条中的情形</w:t>
            </w:r>
            <w:r/>
          </w:p>
        </w:tc>
      </w:tr>
    </w:tbl>
    <w:p>
      <w:pPr>
        <w:ind w:firstLine="482"/>
        <w:spacing w:before="240"/>
        <w:shd w:val="clear" w:color="auto" w:fill="ffff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特别提醒：符合性审查不合格的投标供应商的投标文件不进入后续评审。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2"/>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评审过程中出现下列情形之一的，评审委员会应当启动异常低价投标（响应）审查程序：</w:t>
      </w:r>
      <w:r/>
    </w:p>
    <w:p>
      <w:pPr>
        <w:ind w:firstLine="482"/>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1）投标（响应）报价低于全部通过符合性审查供应商投标（响应）报价平均值50%的，即投标（响应）报价〈全部通过符合性审查供应商投标（响应）报价平均值×50%；</w:t>
      </w:r>
      <w:r/>
    </w:p>
    <w:p>
      <w:pPr>
        <w:ind w:firstLine="482"/>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2）投标（响应）报价低于通过符合性审查的次低报价供应商投标（响应）报价50%的，即投标（响应）报价〈通过符合性审查的次低报价供应商投标（响应）报价×50%；</w:t>
      </w:r>
      <w:r/>
    </w:p>
    <w:p>
      <w:pPr>
        <w:ind w:firstLine="482"/>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3）投标（响应）报价低于采购项目最高限价45%的，即投标（响应）报价〈采购项目最高限价×45%；</w:t>
      </w:r>
      <w:r/>
    </w:p>
    <w:p>
      <w:pPr>
        <w:ind w:firstLine="482"/>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4）评审委员会基于专业判断，认为供应商报价过低，有可能影响产品质量或者不能诚信履约的其他情形。</w:t>
      </w:r>
      <w:r/>
    </w:p>
    <w:p>
      <w:pPr>
        <w:ind w:firstLine="482"/>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（1）投标人通过初审的，方可进入比较与评价程序，</w:t>
      </w:r>
      <w:r>
        <w:rPr>
          <w:rFonts w:hint="eastAsia" w:ascii="宋体" w:hAnsi="宋体" w:cs="Times New Roman"/>
          <w:b/>
          <w:color w:val="auto"/>
          <w:szCs w:val="24"/>
          <w:highlight w:val="none"/>
          <w:lang w:eastAsia="zh-CN"/>
        </w:rPr>
        <w:t xml:space="preserve">本项目采用综合评分法。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w:t>
      </w:r>
      <w:bookmarkStart w:id="15" w:name="OLE_LINK18"/>
      <w:r/>
      <w:bookmarkStart w:id="16" w:name="OLE_LINK17"/>
      <w:r>
        <w:rPr>
          <w:rFonts w:hint="eastAsia" w:ascii="宋体" w:hAnsi="宋体" w:cs="Times New Roman"/>
          <w:color w:val="auto"/>
          <w:szCs w:val="24"/>
          <w:highlight w:val="none"/>
          <w:lang w:eastAsia="zh-CN"/>
        </w:rPr>
        <w:t xml:space="preserve">评审得分最高的投标人排名第一，为中标候选人。</w:t>
      </w:r>
      <w:bookmarkEnd w:id="15"/>
      <w:r/>
      <w:bookmarkEnd w:id="16"/>
      <w:r/>
      <w:r/>
    </w:p>
    <w:p>
      <w:pPr>
        <w:ind w:firstLine="482"/>
        <w:shd w:val="clear" w:color="auto" w:fill="ffffff"/>
        <w:rPr>
          <w:rFonts w:hint="eastAsia" w:ascii="宋体" w:hAnsi="宋体" w:cs="Times New Roman"/>
          <w:b/>
          <w:bCs/>
          <w:color w:val="auto"/>
          <w:szCs w:val="24"/>
          <w:highlight w:val="none"/>
          <w:lang w:eastAsia="zh-CN"/>
        </w:rPr>
      </w:pPr>
      <w:r/>
      <w:bookmarkStart w:id="17" w:name="_Hlk161324277"/>
      <w:r>
        <w:rPr>
          <w:rFonts w:hint="eastAsia" w:ascii="宋体" w:hAnsi="宋体" w:cs="Times New Roman"/>
          <w:b/>
          <w:bCs/>
          <w:color w:val="auto"/>
          <w:szCs w:val="24"/>
          <w:highlight w:val="none"/>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7"/>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（3）采购本国产品的支持政策</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根据《国务院办公厅关于在政府采购中实施本国产品标准及相关政策的通知》（国办发〔2025〕34号）要求，本项目对采购本国产品给予政策支持。关于本国产品标准和本国产品标准的适用范围详见《国务院办公厅关于在政府采购中实施本国产品标准及相关政策的通知》（国办发〔2025〕34号）。</w:t>
      </w:r>
      <w:r/>
    </w:p>
    <w:p>
      <w:pPr>
        <w:ind w:firstLine="480"/>
        <w:rPr>
          <w:rFonts w:hint="eastAsia" w:ascii="宋体" w:hAnsi="宋体" w:cs="宋体"/>
          <w:bCs/>
          <w:color w:val="auto"/>
          <w:szCs w:val="24"/>
          <w:highlight w:val="none"/>
          <w:lang w:eastAsia="zh-CN"/>
        </w:rPr>
      </w:pPr>
      <w:r>
        <w:rPr>
          <w:rFonts w:ascii="宋体" w:hAnsi="宋体" w:cs="宋体"/>
          <w:bCs/>
          <w:color w:val="auto"/>
          <w:szCs w:val="24"/>
          <w:highlight w:val="none"/>
          <w:lang w:eastAsia="zh-CN"/>
        </w:rPr>
        <w:t xml:space="preserve">①</w:t>
      </w:r>
      <w:r>
        <w:rPr>
          <w:rFonts w:hint="eastAsia" w:ascii="宋体" w:hAnsi="宋体" w:cs="宋体"/>
          <w:bCs/>
          <w:color w:val="auto"/>
          <w:szCs w:val="24"/>
          <w:highlight w:val="none"/>
          <w:lang w:eastAsia="zh-CN"/>
        </w:rPr>
        <w:t xml:space="preserve">本国产品价格扣除政策</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rPr>
          <w:rFonts w:hint="eastAsia" w:ascii="宋体" w:hAnsi="宋体" w:cs="宋体"/>
          <w:bCs/>
          <w:color w:val="auto"/>
          <w:szCs w:val="24"/>
          <w:highlight w:val="none"/>
          <w:lang w:eastAsia="zh-CN"/>
        </w:rPr>
      </w:pPr>
      <w:r>
        <w:rPr>
          <w:rFonts w:ascii="宋体" w:hAnsi="宋体" w:cs="宋体"/>
          <w:bCs/>
          <w:color w:val="auto"/>
          <w:szCs w:val="24"/>
          <w:highlight w:val="none"/>
          <w:lang w:eastAsia="zh-CN"/>
        </w:rPr>
        <w:t xml:space="preserve">②</w:t>
      </w:r>
      <w:r>
        <w:rPr>
          <w:rFonts w:hint="eastAsia" w:ascii="宋体" w:hAnsi="宋体" w:cs="宋体"/>
          <w:bCs/>
          <w:color w:val="auto"/>
          <w:szCs w:val="24"/>
          <w:highlight w:val="none"/>
          <w:lang w:eastAsia="zh-CN"/>
        </w:rPr>
        <w:t xml:space="preserve">注意事项</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1）提供本国产品进行投标（报价）的供应商需在</w:t>
      </w:r>
      <w:r>
        <w:rPr>
          <w:rFonts w:hint="eastAsia" w:ascii="宋体" w:hAnsi="宋体" w:cs="宋体"/>
          <w:bCs/>
          <w:color w:val="auto"/>
          <w:szCs w:val="24"/>
          <w:highlight w:val="none"/>
          <w:lang w:eastAsia="zh-CN"/>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即，当小微型企业价格扣除政策和本国产品价格扣除政策同时享受时，按以下计算方式进行计算：</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供应商参与评审的报价=供应商投标总报价×[1-（小微型企业价格扣除+本国产品价格扣除）]</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例如，供应商总报价1000000元，经认定可以享受小微型企业价格扣除政策以及本国产品价格扣除政策的，则该供应商参与评审的报价为：</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1000000×[1-（10%+20%）]=700000元</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numPr>
          <w:ilvl w:val="0"/>
          <w:numId w:val="1"/>
        </w:numPr>
        <w:ind w:left="0" w:firstLine="480"/>
        <w:spacing w:line="440" w:lineRule="exact"/>
        <w:tabs>
          <w:tab w:val="left" w:pos="525" w:leader="none"/>
          <w:tab w:val="left" w:pos="945" w:leader="none"/>
          <w:tab w:val="left" w:pos="1155" w:leader="none"/>
        </w:tabs>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评标委员会根据招标文件规定的评标方法和评标标准进行评审，按评审得分由高到低的原则推荐中标候选人，</w:t>
      </w:r>
      <w:r>
        <w:rPr>
          <w:rFonts w:hint="eastAsia" w:ascii="宋体" w:hAnsi="宋体" w:cs="Times New Roman"/>
          <w:color w:val="auto"/>
          <w:szCs w:val="24"/>
          <w:highlight w:val="none"/>
          <w:lang w:eastAsia="zh-CN"/>
        </w:rPr>
        <w:t xml:space="preserve">无锡智邦工程咨询有限公司</w:t>
      </w:r>
      <w:r>
        <w:rPr>
          <w:rFonts w:hint="eastAsia" w:ascii="宋体" w:hAnsi="宋体" w:cs="宋体"/>
          <w:bCs/>
          <w:color w:val="auto"/>
          <w:szCs w:val="24"/>
          <w:highlight w:val="none"/>
          <w:lang w:eastAsia="zh-CN"/>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Times New Roman"/>
          <w:color w:val="auto"/>
          <w:szCs w:val="24"/>
          <w:highlight w:val="none"/>
          <w:lang w:eastAsia="zh-CN"/>
        </w:rPr>
        <w:t xml:space="preserve">无锡智邦工程咨询有限公司</w:t>
      </w:r>
      <w:r>
        <w:rPr>
          <w:rFonts w:hint="eastAsia" w:ascii="宋体" w:hAnsi="宋体" w:cs="宋体"/>
          <w:bCs/>
          <w:color w:val="auto"/>
          <w:szCs w:val="24"/>
          <w:highlight w:val="none"/>
          <w:lang w:eastAsia="zh-CN"/>
        </w:rPr>
        <w:t xml:space="preserve">将在江苏政府采购网上发布中标公告。</w:t>
      </w:r>
      <w:r>
        <w:rPr>
          <w:rFonts w:hint="eastAsia" w:ascii="宋体" w:hAnsi="宋体" w:cs="Times New Roman"/>
          <w:color w:val="auto"/>
          <w:szCs w:val="24"/>
          <w:highlight w:val="none"/>
          <w:lang w:eastAsia="zh-CN"/>
        </w:rPr>
        <w:t xml:space="preserve">无锡智邦工程咨询有限公司</w:t>
      </w:r>
      <w:r>
        <w:rPr>
          <w:rFonts w:hint="eastAsia" w:ascii="宋体" w:hAnsi="宋体" w:cs="宋体"/>
          <w:bCs/>
          <w:color w:val="auto"/>
          <w:szCs w:val="24"/>
          <w:highlight w:val="none"/>
          <w:lang w:eastAsia="zh-CN"/>
        </w:rPr>
        <w:t xml:space="preserve">和评标委员会对未中标原因不作解释。</w:t>
      </w:r>
      <w:r/>
    </w:p>
    <w:p>
      <w:pPr>
        <w:numPr>
          <w:ilvl w:val="0"/>
          <w:numId w:val="1"/>
        </w:numPr>
        <w:ind w:left="0" w:firstLine="480"/>
        <w:spacing w:line="440" w:lineRule="exact"/>
        <w:tabs>
          <w:tab w:val="left" w:pos="525" w:leader="none"/>
          <w:tab w:val="left" w:pos="945" w:leader="none"/>
          <w:tab w:val="left" w:pos="1155" w:leader="none"/>
        </w:tabs>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在发布中标公告的同时，</w:t>
      </w:r>
      <w:r>
        <w:rPr>
          <w:rFonts w:hint="eastAsia" w:ascii="宋体" w:hAnsi="宋体" w:cs="Times New Roman"/>
          <w:color w:val="auto"/>
          <w:szCs w:val="24"/>
          <w:highlight w:val="none"/>
          <w:lang w:eastAsia="zh-CN"/>
        </w:rPr>
        <w:t xml:space="preserve">无锡智邦工程咨询有限公司</w:t>
      </w:r>
      <w:r>
        <w:rPr>
          <w:rFonts w:hint="eastAsia" w:ascii="宋体" w:hAnsi="宋体" w:cs="宋体"/>
          <w:bCs/>
          <w:color w:val="auto"/>
          <w:szCs w:val="24"/>
          <w:highlight w:val="none"/>
          <w:lang w:eastAsia="zh-CN"/>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宋体"/>
          <w:bCs/>
          <w:color w:val="auto"/>
          <w:szCs w:val="24"/>
          <w:highlight w:val="none"/>
          <w:lang w:eastAsia="zh-CN"/>
        </w:rPr>
        <w:t xml:space="preserve">3.投标供应商电子投标文件将作为电子档案保存。</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w:t>
      </w:r>
      <w:bookmarkStart w:id="18" w:name="_Hlk161324674"/>
      <w:r>
        <w:rPr>
          <w:rFonts w:hint="eastAsia" w:ascii="宋体" w:hAnsi="宋体" w:cs="Times New Roman"/>
          <w:b/>
          <w:bCs/>
          <w:color w:val="auto"/>
          <w:szCs w:val="24"/>
          <w:highlight w:val="none"/>
          <w:lang w:eastAsia="zh-CN"/>
        </w:rPr>
        <w:t xml:space="preserve">中标无效的确认：</w:t>
      </w:r>
      <w:bookmarkEnd w:id="18"/>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智邦工程咨询有限公司见证后生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本项目履约保证金：</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3.成交方非因不可抗力未履行招、投标文件和合同规定的义务，一经查实，招标代理机构将根据具体情况提请政府采购管理部门做出相应处理。</w:t>
      </w:r>
      <w:r/>
    </w:p>
    <w:p>
      <w:pPr>
        <w:ind w:firstLine="482"/>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（十四）质疑处理</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eastAsia="zh-CN"/>
        </w:rPr>
        <w:t xml:space="preserve">1.</w:t>
      </w:r>
      <w:r>
        <w:rPr>
          <w:rFonts w:hint="eastAsia" w:ascii="宋体" w:hAnsi="宋体" w:cs="宋体"/>
          <w:bCs/>
          <w:color w:val="auto"/>
          <w:szCs w:val="24"/>
          <w:highlight w:val="none"/>
          <w:lang w:val="zh-CN" w:eastAsia="zh-CN"/>
        </w:rPr>
        <w:t xml:space="preserve">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w:t>
      </w:r>
      <w:r>
        <w:rPr>
          <w:rFonts w:hint="eastAsia" w:ascii="宋体" w:hAnsi="宋体" w:cs="宋体"/>
          <w:bCs/>
          <w:color w:val="auto"/>
          <w:szCs w:val="24"/>
          <w:highlight w:val="none"/>
          <w:lang w:val="en-US" w:eastAsia="zh-CN"/>
        </w:rPr>
        <w:t xml:space="preserve">采购代理机构</w:t>
      </w:r>
      <w:r>
        <w:rPr>
          <w:rFonts w:hint="eastAsia" w:ascii="宋体" w:hAnsi="宋体" w:cs="宋体"/>
          <w:bCs/>
          <w:color w:val="auto"/>
          <w:szCs w:val="24"/>
          <w:highlight w:val="none"/>
          <w:lang w:val="zh-CN" w:eastAsia="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2.供应商认为采购文件、采购过程和采购结果使自己的权益受到损害的，可以在知道或应知其权益受到损害之日起七个工作日内，以书面形式根据下述</w:t>
      </w:r>
      <w:r>
        <w:rPr>
          <w:rFonts w:hint="eastAsia" w:ascii="宋体" w:hAnsi="宋体" w:cs="宋体"/>
          <w:bCs/>
          <w:color w:val="auto"/>
          <w:szCs w:val="24"/>
          <w:highlight w:val="none"/>
          <w:lang w:eastAsia="zh-CN"/>
        </w:rPr>
        <w:t xml:space="preserve">第4条</w:t>
      </w:r>
      <w:r>
        <w:rPr>
          <w:rFonts w:hint="eastAsia" w:ascii="宋体" w:hAnsi="宋体" w:cs="宋体"/>
          <w:bCs/>
          <w:color w:val="auto"/>
          <w:szCs w:val="24"/>
          <w:highlight w:val="none"/>
          <w:lang w:val="zh-CN" w:eastAsia="zh-CN"/>
        </w:rPr>
        <w:t xml:space="preserve">的规定向采购人或</w:t>
      </w:r>
      <w:r>
        <w:rPr>
          <w:rFonts w:hint="eastAsia" w:ascii="宋体" w:hAnsi="宋体" w:cs="宋体"/>
          <w:bCs/>
          <w:color w:val="auto"/>
          <w:szCs w:val="24"/>
          <w:highlight w:val="none"/>
          <w:lang w:val="en-US" w:eastAsia="zh-CN"/>
        </w:rPr>
        <w:t xml:space="preserve">采购代理机构</w:t>
      </w:r>
      <w:r>
        <w:rPr>
          <w:rFonts w:hint="eastAsia" w:ascii="宋体" w:hAnsi="宋体" w:cs="宋体"/>
          <w:bCs/>
          <w:color w:val="auto"/>
          <w:szCs w:val="24"/>
          <w:highlight w:val="none"/>
          <w:lang w:val="zh-CN" w:eastAsia="zh-CN"/>
        </w:rPr>
        <w:t xml:space="preserve">质疑，上述应知其权益受到损害之日，是指：</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2.1对可以质疑的采购文件提出质疑的，为收到采购文件之日或者采购文件公告期限届满之日；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2.2对采购过程提出质疑的，为各采购程序环节结束之日；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2.3对中标或者成交结果提出质疑的，为中标或者成交结果公告期限届满之日。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auto"/>
          <w:szCs w:val="24"/>
          <w:highlight w:val="none"/>
          <w:lang w:eastAsia="zh-CN"/>
        </w:rPr>
        <w:t xml:space="preserve">采购代理机构</w:t>
      </w:r>
      <w:r>
        <w:rPr>
          <w:rFonts w:hint="eastAsia" w:ascii="宋体" w:hAnsi="宋体" w:cs="宋体"/>
          <w:bCs/>
          <w:color w:val="auto"/>
          <w:szCs w:val="24"/>
          <w:highlight w:val="none"/>
          <w:lang w:val="zh-CN" w:eastAsia="zh-CN"/>
        </w:rPr>
        <w:t xml:space="preserve">、采购人将只对供应商第一次质疑作出答复。</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auto"/>
          <w:szCs w:val="24"/>
          <w:highlight w:val="none"/>
          <w:lang w:eastAsia="zh-CN"/>
        </w:rPr>
        <w:t xml:space="preserve">采购代理机构</w:t>
      </w:r>
      <w:r>
        <w:rPr>
          <w:rFonts w:hint="eastAsia" w:ascii="宋体" w:hAnsi="宋体" w:cs="宋体"/>
          <w:bCs/>
          <w:color w:val="auto"/>
          <w:szCs w:val="24"/>
          <w:highlight w:val="none"/>
          <w:lang w:val="zh-CN" w:eastAsia="zh-CN"/>
        </w:rPr>
        <w:t xml:space="preserve">提出，由</w:t>
      </w:r>
      <w:r>
        <w:rPr>
          <w:rFonts w:hint="eastAsia" w:ascii="宋体" w:hAnsi="宋体" w:cs="宋体"/>
          <w:bCs/>
          <w:color w:val="auto"/>
          <w:szCs w:val="24"/>
          <w:highlight w:val="none"/>
          <w:lang w:eastAsia="zh-CN"/>
        </w:rPr>
        <w:t xml:space="preserve">采购代理机构</w:t>
      </w:r>
      <w:r>
        <w:rPr>
          <w:rFonts w:hint="eastAsia" w:ascii="宋体" w:hAnsi="宋体" w:cs="宋体"/>
          <w:bCs/>
          <w:color w:val="auto"/>
          <w:szCs w:val="24"/>
          <w:highlight w:val="none"/>
          <w:lang w:val="zh-CN" w:eastAsia="zh-CN"/>
        </w:rPr>
        <w:t xml:space="preserve">负责答复。</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采购人、</w:t>
      </w:r>
      <w:r>
        <w:rPr>
          <w:rFonts w:hint="eastAsia" w:ascii="宋体" w:hAnsi="宋体" w:cs="宋体"/>
          <w:bCs/>
          <w:color w:val="auto"/>
          <w:szCs w:val="24"/>
          <w:highlight w:val="none"/>
          <w:lang w:eastAsia="zh-CN"/>
        </w:rPr>
        <w:t xml:space="preserve">采购代理机构</w:t>
      </w:r>
      <w:r>
        <w:rPr>
          <w:rFonts w:hint="eastAsia" w:ascii="宋体" w:hAnsi="宋体" w:cs="宋体"/>
          <w:bCs/>
          <w:color w:val="auto"/>
          <w:szCs w:val="24"/>
          <w:highlight w:val="none"/>
          <w:lang w:val="zh-CN" w:eastAsia="zh-CN"/>
        </w:rPr>
        <w:t xml:space="preserve">只接收以纸质原件形式送达的质疑，质疑供应商可通过面交或邮寄方式送达（采购人和</w:t>
      </w:r>
      <w:r>
        <w:rPr>
          <w:rFonts w:hint="eastAsia" w:ascii="宋体" w:hAnsi="宋体" w:cs="宋体"/>
          <w:bCs/>
          <w:color w:val="auto"/>
          <w:szCs w:val="24"/>
          <w:highlight w:val="none"/>
          <w:lang w:eastAsia="zh-CN"/>
        </w:rPr>
        <w:t xml:space="preserve">采购代理机构</w:t>
      </w:r>
      <w:r>
        <w:rPr>
          <w:rFonts w:hint="eastAsia" w:ascii="宋体" w:hAnsi="宋体" w:cs="宋体"/>
          <w:bCs/>
          <w:color w:val="auto"/>
          <w:szCs w:val="24"/>
          <w:highlight w:val="none"/>
          <w:lang w:val="zh-CN" w:eastAsia="zh-CN"/>
        </w:rPr>
        <w:t xml:space="preserve">不接受未填写快递运单的快件）。</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采购人、</w:t>
      </w:r>
      <w:r>
        <w:rPr>
          <w:rFonts w:hint="eastAsia" w:ascii="宋体" w:hAnsi="宋体" w:cs="宋体"/>
          <w:bCs/>
          <w:color w:val="auto"/>
          <w:szCs w:val="24"/>
          <w:highlight w:val="none"/>
          <w:lang w:eastAsia="zh-CN"/>
        </w:rPr>
        <w:t xml:space="preserve">采购代理机构</w:t>
      </w:r>
      <w:r>
        <w:rPr>
          <w:rFonts w:hint="eastAsia" w:ascii="宋体" w:hAnsi="宋体" w:cs="宋体"/>
          <w:bCs/>
          <w:color w:val="auto"/>
          <w:szCs w:val="24"/>
          <w:highlight w:val="none"/>
          <w:lang w:val="zh-CN" w:eastAsia="zh-CN"/>
        </w:rPr>
        <w:t xml:space="preserve">联系人、联系方式、通信地址见招标文件第一章。</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 以下情形的质疑不予受理</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5.1 内容不符合《政府采购质疑和投诉办法》第十二条规定的质疑。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5.2 超出政府采购法定期限的质疑。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5.3 以传真、电子邮件等方式递交的非原件形式的质疑。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5.4未参加投标活动的供应商或在投标活动中自身权益未受到损害的供应商所提出的质疑。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5.5供应商组成联合体参加投标，联合体中任何一方或多方未按要求签字、盖章、加盖公章的质疑。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auto"/>
          <w:szCs w:val="24"/>
          <w:highlight w:val="none"/>
          <w:lang w:eastAsia="zh-CN"/>
        </w:rPr>
        <w:t xml:space="preserve">采购代理机构</w:t>
      </w:r>
      <w:r>
        <w:rPr>
          <w:rFonts w:hint="eastAsia" w:ascii="宋体" w:hAnsi="宋体" w:cs="宋体"/>
          <w:bCs/>
          <w:color w:val="auto"/>
          <w:szCs w:val="24"/>
          <w:highlight w:val="none"/>
          <w:lang w:val="zh-CN" w:eastAsia="zh-CN"/>
        </w:rPr>
        <w:t xml:space="preserve">有权依据政府采购的有关规定，报请政府采购监管部门对该供应商进行相应的行政处罚和记录该供应商的失信信息。</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（十五）服务费：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代理服务费以中标价为计费基础，收费标准为（货物类）：中标金额100万元（含100万元）以下费率为中标金额的1.5%。根据委托代理协议签订内容，本项目招标代理服务费由中标供应商支付，本项目投标报价中包含代理服务费，投标供应商应自行考虑将代理服务费纳入所报投标价中。</w:t>
      </w:r>
      <w:r/>
    </w:p>
    <w:p>
      <w:pPr>
        <w:ind w:firstLine="482"/>
        <w:shd w:val="clear" w:color="auto" w:fill="ffffff"/>
        <w:rPr>
          <w:rFonts w:hint="eastAsia" w:ascii="宋体" w:hAnsi="宋体" w:cs="Times New Roman"/>
          <w:b/>
          <w:bCs/>
          <w:color w:val="auto"/>
          <w:szCs w:val="24"/>
          <w:highlight w:val="none"/>
          <w:lang w:eastAsia="zh-CN"/>
        </w:rPr>
      </w:pPr>
      <w:r/>
      <w:bookmarkStart w:id="19" w:name="_Toc161316666"/>
      <w:r>
        <w:rPr>
          <w:rFonts w:hint="eastAsia" w:ascii="宋体" w:hAnsi="宋体" w:cs="Times New Roman"/>
          <w:b/>
          <w:bCs/>
          <w:color w:val="auto"/>
          <w:szCs w:val="24"/>
          <w:highlight w:val="none"/>
          <w:lang w:eastAsia="zh-CN"/>
        </w:rPr>
        <w:t xml:space="preserve">（十六）信用担保</w:t>
      </w:r>
      <w:r/>
    </w:p>
    <w:p>
      <w:pPr>
        <w:ind w:firstLine="72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1.履约担保</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2.融资担保。</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3.政府采购信用担保合作担保机构和信用融资合作银行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color w:val="auto"/>
          <w:highlight w:val="none"/>
          <w:lang w:eastAsia="zh-CN"/>
        </w:rPr>
      </w:pPr>
      <w:r>
        <w:rPr>
          <w:rFonts w:hint="eastAsia" w:ascii="宋体" w:hAnsi="宋体" w:cs="Times New Roman"/>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（十七）政府采购合同融资：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合同融资，是指参与政府采购的供应商，凭借中</w:t>
      </w:r>
      <w:r>
        <w:rPr>
          <w:rFonts w:hint="eastAsia" w:ascii="宋体" w:hAnsi="宋体" w:cs="Times New Roman"/>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具体事项详见《关于进一步推进政府采购合同融资工作的通知》（http://cz.wuxi.gov.cn/doc/2022/04/18/3644462.shtml）</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（十八）其他：</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rPr>
          <w:color w:val="auto"/>
          <w:highlight w:val="none"/>
          <w:lang w:eastAsia="zh-CN"/>
        </w:rPr>
        <w:br w:type="page" w:clear="all"/>
      </w:r>
      <w:r/>
    </w:p>
    <w:p>
      <w:pPr>
        <w:pStyle w:val="901"/>
        <w:spacing w:after="240"/>
        <w:rPr>
          <w:rFonts w:hint="eastAsia" w:ascii="宋体" w:hAnsi="宋体" w:cs="宋体"/>
          <w:color w:val="auto"/>
          <w:szCs w:val="24"/>
          <w:highlight w:val="none"/>
          <w:lang w:eastAsia="zh-CN"/>
        </w:rPr>
      </w:pPr>
      <w:r>
        <w:rPr>
          <w:rFonts w:hint="eastAsia"/>
          <w:color w:val="auto"/>
          <w:highlight w:val="none"/>
          <w:lang w:eastAsia="zh-CN"/>
        </w:rPr>
        <w:t xml:space="preserve">三、采购需求和技术有关要求</w:t>
      </w:r>
      <w:bookmarkEnd w:id="19"/>
      <w:r/>
      <w:r/>
    </w:p>
    <w:p>
      <w:pPr>
        <w:ind w:right="-143" w:firstLine="480"/>
        <w:rPr>
          <w:color w:val="auto"/>
          <w:highlight w:val="none"/>
          <w:lang w:eastAsia="zh-CN"/>
        </w:rPr>
      </w:pPr>
      <w:r>
        <w:rPr>
          <w:rFonts w:hint="eastAsia"/>
          <w:color w:val="auto"/>
          <w:highlight w:val="none"/>
          <w:lang w:eastAsia="zh-CN"/>
        </w:rPr>
        <w:t xml:space="preserve">本项目为无锡市公安局锡山分局2026年DNA实验室试剂和耗材采购，本项目中的</w:t>
      </w:r>
      <w:r>
        <w:rPr>
          <w:rFonts w:hint="eastAsia"/>
          <w:b/>
          <w:color w:val="auto"/>
          <w:highlight w:val="none"/>
          <w:lang w:eastAsia="zh-CN"/>
        </w:rPr>
        <w:t xml:space="preserve">核心产品为多位点STR扩增试剂盒</w:t>
      </w:r>
      <w:r>
        <w:rPr>
          <w:rFonts w:hint="eastAsia"/>
          <w:color w:val="auto"/>
          <w:highlight w:val="none"/>
          <w:lang w:eastAsia="zh-CN"/>
        </w:rPr>
        <w:t xml:space="preserve">。</w:t>
      </w:r>
      <w:r/>
    </w:p>
    <w:p>
      <w:pPr>
        <w:ind w:right="-143" w:firstLine="0"/>
        <w:rPr>
          <w:color w:val="auto"/>
          <w:highlight w:val="none"/>
          <w:lang w:eastAsia="zh-CN"/>
        </w:rPr>
      </w:pPr>
      <w:r>
        <w:rPr>
          <w:rFonts w:hint="eastAsia"/>
          <w:b/>
          <w:color w:val="auto"/>
          <w:highlight w:val="none"/>
          <w:lang w:eastAsia="zh-CN"/>
        </w:rPr>
        <w:t xml:space="preserve">一、项目基本情况</w:t>
      </w:r>
      <w:r/>
    </w:p>
    <w:p>
      <w:pPr>
        <w:ind w:right="-143" w:firstLine="480"/>
        <w:rPr>
          <w:color w:val="auto"/>
          <w:highlight w:val="none"/>
          <w:lang w:eastAsia="zh-CN"/>
        </w:rPr>
      </w:pPr>
      <w:r>
        <w:rPr>
          <w:rFonts w:hint="eastAsia"/>
          <w:color w:val="auto"/>
          <w:highlight w:val="none"/>
          <w:lang w:eastAsia="zh-CN"/>
        </w:rPr>
        <w:t xml:space="preserve">1.项目地址：无锡市公安局锡山分局。</w:t>
      </w:r>
      <w:r/>
    </w:p>
    <w:p>
      <w:pPr>
        <w:ind w:right="-143" w:firstLine="480"/>
        <w:rPr>
          <w:color w:val="auto"/>
          <w:highlight w:val="none"/>
          <w:lang w:eastAsia="zh-CN"/>
        </w:rPr>
      </w:pPr>
      <w:r>
        <w:rPr>
          <w:rFonts w:hint="eastAsia"/>
          <w:color w:val="auto"/>
          <w:highlight w:val="none"/>
          <w:lang w:eastAsia="zh-CN"/>
        </w:rPr>
        <w:t xml:space="preserve">2.采购范围：清单范围内的2026年DNA实验室试剂和耗材采购。</w:t>
      </w:r>
      <w:r/>
    </w:p>
    <w:p>
      <w:pPr>
        <w:ind w:firstLine="480"/>
        <w:shd w:val="clear" w:color="auto" w:fill="ffffff"/>
        <w:rPr>
          <w:rFonts w:hint="eastAsia" w:ascii="宋体" w:hAnsi="宋体" w:cs="宋体"/>
          <w:bCs/>
          <w:color w:val="auto"/>
          <w:szCs w:val="24"/>
          <w:highlight w:val="none"/>
          <w:lang w:eastAsia="zh-CN"/>
        </w:rPr>
      </w:pPr>
      <w:r>
        <w:rPr>
          <w:rFonts w:hint="eastAsia"/>
          <w:color w:val="auto"/>
          <w:highlight w:val="none"/>
          <w:lang w:eastAsia="zh-CN"/>
        </w:rPr>
        <w:t xml:space="preserve">3.供货期：</w:t>
      </w:r>
      <w:r>
        <w:rPr>
          <w:rFonts w:hint="eastAsia" w:ascii="宋体" w:hAnsi="宋体"/>
          <w:color w:val="auto"/>
          <w:szCs w:val="24"/>
          <w:highlight w:val="none"/>
          <w:lang w:eastAsia="zh-CN"/>
        </w:rPr>
        <w:t xml:space="preserve">合同签订后根据采购单位的提出的试剂耗材的数量30天内交齐，误期违约金 2000 元/天。</w:t>
      </w:r>
      <w:r/>
    </w:p>
    <w:p>
      <w:pPr>
        <w:ind w:right="-143"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4.质量标准：达到国家（含推荐性标准、强制性标准）、行业合格标准及投标人承诺标准，且必须满足本次招标的要求。</w:t>
      </w:r>
      <w:r/>
    </w:p>
    <w:p>
      <w:pPr>
        <w:contextualSpacing/>
        <w:ind w:firstLine="480"/>
        <w:rPr>
          <w:rFonts w:hint="eastAsia" w:ascii="宋体" w:hAnsi="宋体" w:cs="宋体"/>
          <w:color w:val="auto"/>
          <w:highlight w:val="none"/>
          <w:lang w:eastAsia="zh-CN"/>
        </w:rPr>
      </w:pPr>
      <w:r>
        <w:rPr>
          <w:rFonts w:hint="eastAsia" w:ascii="宋体" w:hAnsi="宋体"/>
          <w:color w:val="auto"/>
          <w:highlight w:val="none"/>
          <w:lang w:eastAsia="zh-CN"/>
        </w:rPr>
        <w:t xml:space="preserve">中标后签订合同时中标单位须提供所投核心产品正规渠道所出具的项目授权与售后质量承诺书原件（须标明项目名称和项目编号），</w:t>
      </w:r>
      <w:r>
        <w:rPr>
          <w:rFonts w:hint="eastAsia" w:ascii="宋体" w:hAnsi="宋体" w:cs="宋体"/>
          <w:color w:val="auto"/>
          <w:highlight w:val="none"/>
          <w:lang w:eastAsia="zh-CN"/>
        </w:rPr>
        <w:t xml:space="preserve">如中标人未提供或提供的以上所有资料未达到项目需求或采购单位要求的，将视作自动放弃中标资格处理，采购单位有权根据评审报告选择排名第二的中标候选人中标或者重新组织采购。</w:t>
      </w:r>
      <w:r/>
    </w:p>
    <w:p>
      <w:pPr>
        <w:ind w:right="-143" w:firstLine="480"/>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5.</w:t>
      </w:r>
      <w:r>
        <w:rPr>
          <w:rFonts w:ascii="宋体" w:hAnsi="宋体" w:cs="宋体"/>
          <w:bCs/>
          <w:color w:val="auto"/>
          <w:szCs w:val="24"/>
          <w:highlight w:val="none"/>
          <w:lang w:eastAsia="zh-CN"/>
        </w:rPr>
        <w:t xml:space="preserve">质保期：</w:t>
      </w:r>
      <w:r>
        <w:rPr>
          <w:rFonts w:hint="eastAsia" w:ascii="宋体" w:hAnsi="宋体" w:cs="宋体"/>
          <w:color w:val="auto"/>
          <w:szCs w:val="24"/>
          <w:highlight w:val="none"/>
          <w:lang w:eastAsia="zh-CN"/>
        </w:rPr>
        <w:t xml:space="preserve">自交货验收合格之日起1年，质量实行“三包”。</w:t>
      </w:r>
      <w:r/>
    </w:p>
    <w:p>
      <w:pPr>
        <w:pStyle w:val="1093"/>
        <w:jc w:val="left"/>
        <w:tabs>
          <w:tab w:val="left" w:pos="1080" w:leader="none"/>
        </w:tabs>
        <w:rPr>
          <w:color w:val="auto"/>
          <w:highlight w:val="none"/>
          <w:lang w:eastAsia="zh-CN"/>
        </w:rPr>
      </w:pPr>
      <w:r>
        <w:rPr>
          <w:rFonts w:hint="eastAsia"/>
          <w:color w:val="auto"/>
          <w:highlight w:val="none"/>
          <w:lang w:eastAsia="zh-CN"/>
        </w:rPr>
        <w:t xml:space="preserve">6.付款方式：</w:t>
      </w:r>
      <w:r>
        <w:rPr>
          <w:rFonts w:hint="eastAsia" w:ascii="宋体" w:hAnsi="宋体" w:cs="宋体"/>
          <w:color w:val="auto"/>
          <w:szCs w:val="24"/>
          <w:highlight w:val="none"/>
          <w:lang w:eastAsia="zh-CN"/>
        </w:rPr>
        <w:t xml:space="preserve">合同签订、产品送到采购方指定地点并验收合格后，按实际供货量一次性付清。</w:t>
      </w:r>
      <w:r>
        <w:rPr>
          <w:rFonts w:hint="eastAsia"/>
          <w:color w:val="auto"/>
          <w:highlight w:val="none"/>
          <w:lang w:eastAsia="zh-CN"/>
        </w:rPr>
        <w:t xml:space="preserve">每次付款前中标人需提交相应的付款发票。若中标人未能按期开具发票，采购人可顺延付款。</w:t>
      </w:r>
      <w:r/>
    </w:p>
    <w:p>
      <w:pPr>
        <w:numPr>
          <w:ilvl w:val="0"/>
          <w:numId w:val="2"/>
        </w:numPr>
        <w:ind w:right="-143" w:firstLine="0"/>
        <w:rPr>
          <w:b/>
          <w:color w:val="auto"/>
          <w:highlight w:val="none"/>
          <w:lang w:eastAsia="zh-CN"/>
        </w:rPr>
      </w:pPr>
      <w:r>
        <w:rPr>
          <w:rFonts w:hint="eastAsia"/>
          <w:b/>
          <w:color w:val="auto"/>
          <w:highlight w:val="none"/>
          <w:lang w:eastAsia="zh-CN"/>
        </w:rPr>
        <w:t xml:space="preserve">采购清单</w:t>
      </w:r>
      <w:r/>
    </w:p>
    <w:p>
      <w:pPr>
        <w:pStyle w:val="902"/>
        <w:ind w:firstLine="480"/>
        <w:rPr>
          <w:rFonts w:ascii="Arial" w:hAnsi="Arial" w:cs="Arial"/>
          <w:b w:val="0"/>
          <w:bCs w:val="0"/>
          <w:color w:val="auto"/>
          <w:sz w:val="24"/>
          <w:szCs w:val="21"/>
          <w:highlight w:val="none"/>
          <w:lang w:eastAsia="zh-CN"/>
        </w:rPr>
      </w:pPr>
      <w:r>
        <w:rPr>
          <w:rFonts w:hint="eastAsia" w:ascii="Arial" w:hAnsi="Arial" w:cs="Arial"/>
          <w:b w:val="0"/>
          <w:bCs w:val="0"/>
          <w:color w:val="auto"/>
          <w:sz w:val="24"/>
          <w:szCs w:val="21"/>
          <w:highlight w:val="none"/>
          <w:lang w:eastAsia="zh-CN"/>
        </w:rPr>
        <w:t xml:space="preserve">1.品名数量</w:t>
      </w:r>
      <w:r/>
    </w:p>
    <w:tbl>
      <w:tblPr>
        <w:tblStyle w:val="911"/>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862"/>
        <w:gridCol w:w="4125"/>
        <w:gridCol w:w="3081"/>
        <w:gridCol w:w="1034"/>
        <w:gridCol w:w="1034"/>
      </w:tblGrid>
      <w:tr>
        <w:trPr>
          <w:trHeight w:val="379"/>
        </w:trPr>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34" w:type="pct"/>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规格</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510" w:type="pct"/>
            <w:textDirection w:val="lrTb"/>
            <w:noWrap w:val="false"/>
          </w:tcPr>
          <w:p>
            <w:pPr>
              <w:ind w:firstLine="0"/>
              <w:jc w:val="center"/>
              <w:rPr>
                <w:color w:val="auto"/>
                <w:sz w:val="21"/>
                <w:szCs w:val="24"/>
                <w:highlight w:val="none"/>
              </w:rPr>
            </w:pPr>
            <w:r>
              <w:rPr>
                <w:rFonts w:hint="eastAsia"/>
                <w:color w:val="auto"/>
                <w:sz w:val="21"/>
                <w:szCs w:val="24"/>
                <w:highlight w:val="none"/>
              </w:rPr>
              <w:t xml:space="preserve">备注</w:t>
            </w:r>
            <w:r/>
          </w:p>
        </w:tc>
      </w:tr>
      <w:tr>
        <w:trPr>
          <w:trHeight w:val="375"/>
        </w:trPr>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34" w:type="pct"/>
            <w:vAlign w:val="center"/>
            <w:textDirection w:val="lrTb"/>
            <w:noWrap w:val="false"/>
          </w:tcPr>
          <w:p>
            <w:pPr>
              <w:ind w:firstLine="0"/>
              <w:jc w:val="center"/>
              <w:rPr>
                <w:color w:val="auto"/>
                <w:sz w:val="21"/>
                <w:szCs w:val="24"/>
                <w:highlight w:val="none"/>
                <w:lang w:eastAsia="zh-CN"/>
              </w:rPr>
            </w:pPr>
            <w:r/>
            <w:bookmarkStart w:id="20" w:name="OLE_LINK2"/>
            <w:r>
              <w:rPr>
                <w:rFonts w:hint="eastAsia"/>
                <w:color w:val="auto"/>
                <w:sz w:val="21"/>
                <w:szCs w:val="24"/>
                <w:highlight w:val="none"/>
                <w:lang w:eastAsia="zh-CN"/>
              </w:rPr>
              <w:t xml:space="preserve">多位点STR扩增试剂盒</w:t>
            </w:r>
            <w:bookmarkEnd w:id="20"/>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25ul体系，200人份/盒</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510" w:type="pct"/>
            <w:textDirection w:val="lrTb"/>
            <w:noWrap w:val="false"/>
          </w:tcPr>
          <w:p>
            <w:pPr>
              <w:ind w:firstLine="0"/>
              <w:jc w:val="center"/>
              <w:rPr>
                <w:color w:val="auto"/>
                <w:sz w:val="21"/>
                <w:szCs w:val="24"/>
                <w:highlight w:val="none"/>
              </w:rPr>
            </w:pPr>
            <w:r>
              <w:rPr>
                <w:color w:val="auto"/>
                <w:sz w:val="21"/>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34" w:type="pct"/>
            <w:vAlign w:val="bottom"/>
            <w:textDirection w:val="lrTb"/>
            <w:noWrap w:val="false"/>
          </w:tcPr>
          <w:p>
            <w:pPr>
              <w:ind w:firstLine="0"/>
              <w:jc w:val="center"/>
              <w:rPr>
                <w:color w:val="auto"/>
                <w:sz w:val="21"/>
                <w:szCs w:val="24"/>
                <w:highlight w:val="none"/>
                <w:lang w:eastAsia="zh-CN"/>
              </w:rPr>
            </w:pPr>
            <w:r>
              <w:rPr>
                <w:rFonts w:hint="eastAsia"/>
                <w:color w:val="auto"/>
                <w:sz w:val="21"/>
                <w:szCs w:val="24"/>
                <w:highlight w:val="none"/>
                <w:lang w:eastAsia="zh-CN"/>
              </w:rPr>
              <w:t xml:space="preserve">全自动微量提取试剂盒</w:t>
            </w:r>
            <w:r/>
          </w:p>
        </w:tc>
        <w:tc>
          <w:tcPr>
            <w:tcBorders>
              <w:top w:val="single" w:color="000000" w:sz="4" w:space="0"/>
              <w:left w:val="single" w:color="000000" w:sz="4" w:space="0"/>
              <w:bottom w:val="single" w:color="000000" w:sz="4" w:space="0"/>
              <w:right w:val="single" w:color="000000" w:sz="4" w:space="0"/>
            </w:tcBorders>
            <w:tcW w:w="1519" w:type="pct"/>
            <w:vAlign w:val="bottom"/>
            <w:textDirection w:val="lrTb"/>
            <w:noWrap w:val="false"/>
          </w:tcPr>
          <w:p>
            <w:pPr>
              <w:ind w:firstLine="0"/>
              <w:jc w:val="center"/>
              <w:rPr>
                <w:color w:val="auto"/>
                <w:sz w:val="21"/>
                <w:szCs w:val="24"/>
                <w:highlight w:val="none"/>
              </w:rPr>
            </w:pPr>
            <w:r>
              <w:rPr>
                <w:rFonts w:hint="eastAsia"/>
                <w:color w:val="auto"/>
                <w:sz w:val="21"/>
                <w:szCs w:val="24"/>
                <w:highlight w:val="none"/>
              </w:rPr>
              <w:t xml:space="preserve">24道全自动专用 96次</w:t>
            </w:r>
            <w:r/>
          </w:p>
        </w:tc>
        <w:tc>
          <w:tcPr>
            <w:tcBorders>
              <w:top w:val="single" w:color="000000" w:sz="4" w:space="0"/>
              <w:left w:val="single" w:color="000000" w:sz="4" w:space="0"/>
              <w:bottom w:val="single" w:color="000000" w:sz="4" w:space="0"/>
              <w:right w:val="single" w:color="000000" w:sz="4" w:space="0"/>
            </w:tcBorders>
            <w:tcW w:w="510" w:type="pct"/>
            <w:vAlign w:val="bottom"/>
            <w:textDirection w:val="lrTb"/>
            <w:noWrap w:val="false"/>
          </w:tcPr>
          <w:p>
            <w:pPr>
              <w:ind w:firstLine="0"/>
              <w:jc w:val="center"/>
              <w:rPr>
                <w:color w:val="auto"/>
                <w:sz w:val="21"/>
                <w:szCs w:val="24"/>
                <w:highlight w:val="none"/>
              </w:rPr>
            </w:pPr>
            <w:r>
              <w:rPr>
                <w:rFonts w:hint="eastAsia"/>
                <w:color w:val="auto"/>
                <w:sz w:val="21"/>
                <w:szCs w:val="24"/>
                <w:highlight w:val="none"/>
              </w:rPr>
              <w:t xml:space="preserve">40</w:t>
            </w:r>
            <w:r/>
          </w:p>
        </w:tc>
        <w:tc>
          <w:tcPr>
            <w:tcBorders>
              <w:top w:val="single" w:color="000000" w:sz="4" w:space="0"/>
              <w:left w:val="single" w:color="000000" w:sz="4" w:space="0"/>
              <w:bottom w:val="single" w:color="000000" w:sz="4" w:space="0"/>
              <w:right w:val="single" w:color="000000" w:sz="4" w:space="0"/>
            </w:tcBorders>
            <w:tcW w:w="510" w:type="pct"/>
            <w:textDirection w:val="lrTb"/>
            <w:noWrap w:val="false"/>
          </w:tcPr>
          <w:p>
            <w:pPr>
              <w:ind w:firstLine="0"/>
              <w:jc w:val="center"/>
              <w:rPr>
                <w:color w:val="auto"/>
                <w:sz w:val="21"/>
                <w:szCs w:val="24"/>
                <w:highlight w:val="none"/>
              </w:rPr>
            </w:pPr>
            <w:r>
              <w:rPr>
                <w:color w:val="auto"/>
                <w:sz w:val="21"/>
                <w:szCs w:val="24"/>
                <w:highlight w:val="none"/>
              </w:rPr>
            </w:r>
            <w:r/>
          </w:p>
        </w:tc>
      </w:tr>
      <w:tr>
        <w:trPr>
          <w:trHeight w:val="410"/>
        </w:trPr>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34" w:type="pct"/>
            <w:vAlign w:val="bottom"/>
            <w:textDirection w:val="lrTb"/>
            <w:noWrap w:val="false"/>
          </w:tcPr>
          <w:p>
            <w:pPr>
              <w:ind w:firstLine="0"/>
              <w:jc w:val="center"/>
              <w:rPr>
                <w:color w:val="auto"/>
                <w:sz w:val="21"/>
                <w:szCs w:val="24"/>
                <w:highlight w:val="none"/>
                <w:lang w:eastAsia="zh-CN"/>
              </w:rPr>
            </w:pPr>
            <w:r>
              <w:rPr>
                <w:rFonts w:hint="eastAsia"/>
                <w:color w:val="auto"/>
                <w:sz w:val="21"/>
                <w:szCs w:val="24"/>
                <w:highlight w:val="none"/>
                <w:lang w:eastAsia="zh-CN"/>
              </w:rPr>
              <w:t xml:space="preserve">全自动混合斑提取试剂盒</w:t>
            </w:r>
            <w:r/>
          </w:p>
        </w:tc>
        <w:tc>
          <w:tcPr>
            <w:tcBorders>
              <w:top w:val="single" w:color="000000" w:sz="4" w:space="0"/>
              <w:left w:val="single" w:color="000000" w:sz="4" w:space="0"/>
              <w:bottom w:val="single" w:color="000000" w:sz="4" w:space="0"/>
              <w:right w:val="single" w:color="000000" w:sz="4" w:space="0"/>
            </w:tcBorders>
            <w:tcW w:w="1519" w:type="pct"/>
            <w:vAlign w:val="bottom"/>
            <w:textDirection w:val="lrTb"/>
            <w:noWrap w:val="false"/>
          </w:tcPr>
          <w:p>
            <w:pPr>
              <w:ind w:firstLine="0"/>
              <w:jc w:val="center"/>
              <w:rPr>
                <w:color w:val="auto"/>
                <w:sz w:val="21"/>
                <w:szCs w:val="24"/>
                <w:highlight w:val="none"/>
              </w:rPr>
            </w:pPr>
            <w:r>
              <w:rPr>
                <w:rFonts w:hint="eastAsia"/>
                <w:color w:val="auto"/>
                <w:sz w:val="21"/>
                <w:szCs w:val="24"/>
                <w:highlight w:val="none"/>
              </w:rPr>
              <w:t xml:space="preserve">24道全自动专用 8次</w:t>
            </w:r>
            <w:r/>
          </w:p>
        </w:tc>
        <w:tc>
          <w:tcPr>
            <w:tcBorders>
              <w:top w:val="single" w:color="000000" w:sz="4" w:space="0"/>
              <w:left w:val="single" w:color="000000" w:sz="4" w:space="0"/>
              <w:bottom w:val="single" w:color="000000" w:sz="4" w:space="0"/>
              <w:right w:val="single" w:color="000000" w:sz="4" w:space="0"/>
            </w:tcBorders>
            <w:tcW w:w="510"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50</w:t>
            </w:r>
            <w:r/>
          </w:p>
        </w:tc>
        <w:tc>
          <w:tcPr>
            <w:tcBorders>
              <w:top w:val="single" w:color="000000" w:sz="4" w:space="0"/>
              <w:left w:val="single" w:color="000000" w:sz="4" w:space="0"/>
              <w:bottom w:val="single" w:color="000000" w:sz="4" w:space="0"/>
              <w:right w:val="single" w:color="000000" w:sz="4" w:space="0"/>
            </w:tcBorders>
            <w:tcW w:w="510" w:type="pct"/>
            <w:textDirection w:val="lrTb"/>
            <w:noWrap w:val="false"/>
          </w:tcPr>
          <w:p>
            <w:pPr>
              <w:ind w:firstLine="0"/>
              <w:jc w:val="center"/>
              <w:rPr>
                <w:color w:val="auto"/>
                <w:sz w:val="21"/>
                <w:szCs w:val="24"/>
                <w:highlight w:val="none"/>
              </w:rPr>
            </w:pPr>
            <w:r>
              <w:rPr>
                <w:color w:val="auto"/>
                <w:sz w:val="21"/>
                <w:szCs w:val="24"/>
                <w:highlight w:val="none"/>
              </w:rPr>
            </w:r>
            <w:r/>
          </w:p>
        </w:tc>
      </w:tr>
      <w:tr>
        <w:trPr>
          <w:trHeight w:val="395"/>
        </w:trPr>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34" w:type="pct"/>
            <w:vAlign w:val="center"/>
            <w:textDirection w:val="lrTb"/>
            <w:noWrap w:val="false"/>
          </w:tcPr>
          <w:p>
            <w:pPr>
              <w:ind w:firstLine="0"/>
              <w:jc w:val="center"/>
              <w:rPr>
                <w:color w:val="auto"/>
                <w:sz w:val="21"/>
                <w:szCs w:val="24"/>
                <w:highlight w:val="none"/>
                <w:lang w:eastAsia="zh-CN"/>
              </w:rPr>
            </w:pPr>
            <w:r>
              <w:rPr>
                <w:rFonts w:hint="eastAsia"/>
                <w:color w:val="auto"/>
                <w:sz w:val="21"/>
                <w:szCs w:val="24"/>
                <w:highlight w:val="none"/>
                <w:lang w:eastAsia="zh-CN"/>
              </w:rPr>
              <w:t xml:space="preserve">半自动微量提取试剂盒</w:t>
            </w:r>
            <w:r/>
          </w:p>
        </w:tc>
        <w:tc>
          <w:tcPr>
            <w:tcBorders>
              <w:top w:val="single" w:color="000000" w:sz="4" w:space="0"/>
              <w:left w:val="single" w:color="000000" w:sz="4" w:space="0"/>
              <w:bottom w:val="single" w:color="000000" w:sz="4" w:space="0"/>
              <w:right w:val="single" w:color="000000" w:sz="4" w:space="0"/>
            </w:tcBorders>
            <w:tcW w:w="1519" w:type="pct"/>
            <w:vAlign w:val="bottom"/>
            <w:textDirection w:val="lrTb"/>
            <w:noWrap w:val="false"/>
          </w:tcPr>
          <w:p>
            <w:pPr>
              <w:ind w:firstLine="0"/>
              <w:jc w:val="center"/>
              <w:rPr>
                <w:color w:val="auto"/>
                <w:sz w:val="21"/>
                <w:szCs w:val="24"/>
                <w:highlight w:val="none"/>
              </w:rPr>
            </w:pPr>
            <w:r>
              <w:rPr>
                <w:rFonts w:hint="eastAsia"/>
                <w:color w:val="auto"/>
                <w:sz w:val="21"/>
                <w:szCs w:val="24"/>
                <w:highlight w:val="none"/>
              </w:rPr>
              <w:t xml:space="preserve">大体系提取仪专用</w:t>
            </w:r>
            <w:r/>
          </w:p>
        </w:tc>
        <w:tc>
          <w:tcPr>
            <w:tcBorders>
              <w:top w:val="single" w:color="000000" w:sz="4" w:space="0"/>
              <w:left w:val="single" w:color="000000" w:sz="4" w:space="0"/>
              <w:bottom w:val="single" w:color="000000" w:sz="4" w:space="0"/>
              <w:right w:val="single" w:color="000000" w:sz="4" w:space="0"/>
            </w:tcBorders>
            <w:tcW w:w="510"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510" w:type="pct"/>
            <w:textDirection w:val="lrTb"/>
            <w:noWrap w:val="false"/>
          </w:tcPr>
          <w:p>
            <w:pPr>
              <w:ind w:firstLine="0"/>
              <w:jc w:val="center"/>
              <w:rPr>
                <w:color w:val="auto"/>
                <w:sz w:val="21"/>
                <w:szCs w:val="24"/>
                <w:highlight w:val="none"/>
              </w:rPr>
            </w:pPr>
            <w:r>
              <w:rPr>
                <w:color w:val="auto"/>
                <w:sz w:val="21"/>
                <w:szCs w:val="24"/>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34" w:type="pct"/>
            <w:vAlign w:val="center"/>
            <w:textDirection w:val="lrTb"/>
            <w:noWrap w:val="false"/>
          </w:tcPr>
          <w:p>
            <w:pPr>
              <w:ind w:firstLine="0"/>
              <w:jc w:val="center"/>
              <w:rPr>
                <w:color w:val="auto"/>
                <w:sz w:val="21"/>
                <w:szCs w:val="24"/>
                <w:highlight w:val="none"/>
                <w:lang w:eastAsia="zh-CN"/>
              </w:rPr>
            </w:pPr>
            <w:r>
              <w:rPr>
                <w:rFonts w:hint="eastAsia"/>
                <w:color w:val="auto"/>
                <w:sz w:val="21"/>
                <w:szCs w:val="24"/>
                <w:highlight w:val="none"/>
                <w:lang w:eastAsia="zh-CN"/>
              </w:rPr>
              <w:t xml:space="preserve">全自动陈旧检材提取试剂盒</w:t>
            </w:r>
            <w:r/>
          </w:p>
        </w:tc>
        <w:tc>
          <w:tcPr>
            <w:tcBorders>
              <w:top w:val="single" w:color="000000" w:sz="4" w:space="0"/>
              <w:left w:val="single" w:color="000000" w:sz="4" w:space="0"/>
              <w:bottom w:val="single" w:color="000000" w:sz="4" w:space="0"/>
              <w:right w:val="single" w:color="000000" w:sz="4" w:space="0"/>
            </w:tcBorders>
            <w:tcW w:w="1519"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24道全自动专用 48次</w:t>
            </w:r>
            <w:r/>
          </w:p>
        </w:tc>
        <w:tc>
          <w:tcPr>
            <w:tcBorders>
              <w:top w:val="single" w:color="000000" w:sz="4" w:space="0"/>
              <w:left w:val="single" w:color="000000" w:sz="4" w:space="0"/>
              <w:bottom w:val="single" w:color="000000" w:sz="4" w:space="0"/>
              <w:right w:val="single" w:color="000000" w:sz="4" w:space="0"/>
            </w:tcBorders>
            <w:tcW w:w="510"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10" w:type="pct"/>
            <w:textDirection w:val="lrTb"/>
            <w:noWrap w:val="false"/>
          </w:tcPr>
          <w:p>
            <w:pPr>
              <w:ind w:firstLine="0"/>
              <w:jc w:val="center"/>
              <w:rPr>
                <w:color w:val="auto"/>
                <w:sz w:val="21"/>
                <w:szCs w:val="24"/>
                <w:highlight w:val="none"/>
              </w:rPr>
            </w:pPr>
            <w:r>
              <w:rPr>
                <w:color w:val="auto"/>
                <w:sz w:val="21"/>
                <w:szCs w:val="24"/>
                <w:highlight w:val="none"/>
              </w:rPr>
            </w:r>
            <w:r/>
          </w:p>
        </w:tc>
      </w:tr>
      <w:tr>
        <w:trPr>
          <w:trHeight w:val="362"/>
        </w:trPr>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34" w:type="pct"/>
            <w:vAlign w:val="bottom"/>
            <w:textDirection w:val="lrTb"/>
            <w:noWrap/>
          </w:tcPr>
          <w:p>
            <w:pPr>
              <w:ind w:firstLine="0"/>
              <w:jc w:val="center"/>
              <w:rPr>
                <w:color w:val="auto"/>
                <w:sz w:val="21"/>
                <w:szCs w:val="24"/>
                <w:highlight w:val="none"/>
                <w:lang w:eastAsia="zh-CN"/>
              </w:rPr>
            </w:pPr>
            <w:r>
              <w:rPr>
                <w:rFonts w:hint="eastAsia"/>
                <w:color w:val="auto"/>
                <w:sz w:val="21"/>
                <w:szCs w:val="24"/>
                <w:highlight w:val="none"/>
                <w:lang w:eastAsia="zh-CN"/>
              </w:rPr>
              <w:t xml:space="preserve">半自动陈旧检材提取试剂盒</w:t>
            </w:r>
            <w:r/>
          </w:p>
        </w:tc>
        <w:tc>
          <w:tcPr>
            <w:tcBorders>
              <w:top w:val="single" w:color="000000" w:sz="4" w:space="0"/>
              <w:left w:val="single" w:color="000000" w:sz="4" w:space="0"/>
              <w:bottom w:val="single" w:color="000000" w:sz="4" w:space="0"/>
              <w:right w:val="single" w:color="000000" w:sz="4" w:space="0"/>
            </w:tcBorders>
            <w:tcW w:w="1519"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大体系提取仪专用 48次</w:t>
            </w:r>
            <w:r/>
          </w:p>
        </w:tc>
        <w:tc>
          <w:tcPr>
            <w:tcBorders>
              <w:top w:val="single" w:color="000000" w:sz="4" w:space="0"/>
              <w:left w:val="single" w:color="000000" w:sz="4" w:space="0"/>
              <w:bottom w:val="single" w:color="000000" w:sz="4" w:space="0"/>
              <w:right w:val="single" w:color="000000" w:sz="4" w:space="0"/>
            </w:tcBorders>
            <w:tcW w:w="510"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10" w:type="pct"/>
            <w:textDirection w:val="lrTb"/>
            <w:noWrap w:val="false"/>
          </w:tcPr>
          <w:p>
            <w:pPr>
              <w:ind w:firstLine="0"/>
              <w:jc w:val="center"/>
              <w:rPr>
                <w:color w:val="auto"/>
                <w:sz w:val="21"/>
                <w:szCs w:val="24"/>
                <w:highlight w:val="none"/>
              </w:rPr>
            </w:pPr>
            <w:r>
              <w:rPr>
                <w:color w:val="auto"/>
                <w:sz w:val="21"/>
                <w:szCs w:val="24"/>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425"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34" w:type="pct"/>
            <w:vAlign w:val="center"/>
            <w:textDirection w:val="lrTb"/>
            <w:noWrap w:val="false"/>
          </w:tcPr>
          <w:p>
            <w:pPr>
              <w:ind w:firstLine="0"/>
              <w:jc w:val="center"/>
              <w:rPr>
                <w:color w:val="auto"/>
                <w:sz w:val="21"/>
                <w:szCs w:val="24"/>
                <w:highlight w:val="none"/>
              </w:rPr>
            </w:pPr>
            <w:r/>
            <w:bookmarkStart w:id="21" w:name="OLE_LINK3"/>
            <w:r>
              <w:rPr>
                <w:rFonts w:hint="eastAsia"/>
                <w:color w:val="auto"/>
                <w:sz w:val="21"/>
                <w:szCs w:val="24"/>
                <w:highlight w:val="none"/>
              </w:rPr>
              <w:t xml:space="preserve">蛋白酶K </w:t>
            </w:r>
            <w:bookmarkEnd w:id="21"/>
            <w:r/>
            <w:r/>
          </w:p>
        </w:tc>
        <w:tc>
          <w:tcPr>
            <w:tcBorders>
              <w:top w:val="single" w:color="000000" w:sz="4" w:space="0"/>
              <w:left w:val="single" w:color="000000" w:sz="4" w:space="0"/>
              <w:bottom w:val="single" w:color="000000" w:sz="4" w:space="0"/>
              <w:right w:val="single" w:color="000000" w:sz="4" w:space="0"/>
            </w:tcBorders>
            <w:tcW w:w="1519"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1ml*5支（10 mg/ml</w:t>
            </w:r>
            <w:r>
              <w:rPr>
                <w:rFonts w:hint="eastAsia"/>
                <w:color w:val="auto"/>
                <w:sz w:val="21"/>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10"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10" w:type="pct"/>
            <w:textDirection w:val="lrTb"/>
            <w:noWrap w:val="false"/>
          </w:tcPr>
          <w:p>
            <w:pPr>
              <w:ind w:firstLine="0"/>
              <w:jc w:val="center"/>
              <w:rPr>
                <w:color w:val="auto"/>
                <w:sz w:val="21"/>
                <w:szCs w:val="24"/>
                <w:highlight w:val="none"/>
              </w:rPr>
            </w:pPr>
            <w:r>
              <w:rPr>
                <w:color w:val="auto"/>
                <w:sz w:val="21"/>
                <w:szCs w:val="24"/>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425"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34" w:type="pct"/>
            <w:vAlign w:val="center"/>
            <w:textDirection w:val="lrTb"/>
            <w:noWrap/>
          </w:tcPr>
          <w:p>
            <w:pPr>
              <w:ind w:firstLine="0"/>
              <w:jc w:val="center"/>
              <w:rPr>
                <w:color w:val="auto"/>
                <w:sz w:val="21"/>
                <w:szCs w:val="24"/>
                <w:highlight w:val="none"/>
              </w:rPr>
            </w:pPr>
            <w:r>
              <w:rPr>
                <w:rFonts w:hint="eastAsia"/>
                <w:color w:val="auto"/>
                <w:sz w:val="21"/>
                <w:szCs w:val="24"/>
                <w:highlight w:val="none"/>
              </w:rPr>
              <w:t xml:space="preserve">荧光定量试剂盒</w:t>
            </w:r>
            <w:r/>
          </w:p>
        </w:tc>
        <w:tc>
          <w:tcPr>
            <w:tcBorders>
              <w:top w:val="single" w:color="000000" w:sz="4" w:space="0"/>
              <w:left w:val="single" w:color="000000" w:sz="4" w:space="0"/>
              <w:bottom w:val="single" w:color="000000" w:sz="4" w:space="0"/>
              <w:right w:val="single" w:color="000000" w:sz="4" w:space="0"/>
            </w:tcBorders>
            <w:tcW w:w="1519"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400人份/盒</w:t>
            </w:r>
            <w:r/>
          </w:p>
        </w:tc>
        <w:tc>
          <w:tcPr>
            <w:tcBorders>
              <w:top w:val="single" w:color="000000" w:sz="4" w:space="0"/>
              <w:left w:val="single" w:color="000000" w:sz="4" w:space="0"/>
              <w:bottom w:val="single" w:color="000000" w:sz="4" w:space="0"/>
              <w:right w:val="single" w:color="000000" w:sz="4" w:space="0"/>
            </w:tcBorders>
            <w:tcW w:w="510"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10" w:type="pct"/>
            <w:textDirection w:val="lrTb"/>
            <w:noWrap w:val="false"/>
          </w:tcPr>
          <w:p>
            <w:pPr>
              <w:ind w:firstLine="0"/>
              <w:jc w:val="center"/>
              <w:rPr>
                <w:color w:val="auto"/>
                <w:sz w:val="21"/>
                <w:szCs w:val="24"/>
                <w:highlight w:val="none"/>
              </w:rPr>
            </w:pPr>
            <w:r>
              <w:rPr>
                <w:color w:val="auto"/>
                <w:sz w:val="21"/>
                <w:szCs w:val="24"/>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425"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034" w:type="pct"/>
            <w:vAlign w:val="center"/>
            <w:textDirection w:val="lrTb"/>
            <w:noWrap/>
          </w:tcPr>
          <w:p>
            <w:pPr>
              <w:ind w:firstLine="0"/>
              <w:jc w:val="center"/>
              <w:rPr>
                <w:color w:val="auto"/>
                <w:sz w:val="21"/>
                <w:szCs w:val="24"/>
                <w:highlight w:val="none"/>
              </w:rPr>
            </w:pPr>
            <w:r>
              <w:rPr>
                <w:rFonts w:hint="eastAsia"/>
                <w:color w:val="auto"/>
                <w:sz w:val="21"/>
                <w:szCs w:val="24"/>
                <w:highlight w:val="none"/>
              </w:rPr>
              <w:t xml:space="preserve">荧光检测试剂盒</w:t>
            </w:r>
            <w:r/>
          </w:p>
        </w:tc>
        <w:tc>
          <w:tcPr>
            <w:tcBorders>
              <w:top w:val="single" w:color="000000" w:sz="4" w:space="0"/>
              <w:left w:val="single" w:color="000000" w:sz="4" w:space="0"/>
              <w:bottom w:val="single" w:color="000000" w:sz="4" w:space="0"/>
              <w:right w:val="single" w:color="000000" w:sz="4" w:space="0"/>
            </w:tcBorders>
            <w:tcW w:w="1519"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200人份/盒</w:t>
            </w:r>
            <w:r/>
          </w:p>
        </w:tc>
        <w:tc>
          <w:tcPr>
            <w:tcBorders>
              <w:top w:val="single" w:color="000000" w:sz="4" w:space="0"/>
              <w:left w:val="single" w:color="000000" w:sz="4" w:space="0"/>
              <w:bottom w:val="single" w:color="000000" w:sz="4" w:space="0"/>
              <w:right w:val="single" w:color="000000" w:sz="4" w:space="0"/>
            </w:tcBorders>
            <w:tcW w:w="510"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510" w:type="pct"/>
            <w:textDirection w:val="lrTb"/>
            <w:noWrap w:val="false"/>
          </w:tcPr>
          <w:p>
            <w:pPr>
              <w:ind w:firstLine="0"/>
              <w:jc w:val="center"/>
              <w:rPr>
                <w:color w:val="auto"/>
                <w:sz w:val="21"/>
                <w:szCs w:val="24"/>
                <w:highlight w:val="none"/>
              </w:rPr>
            </w:pPr>
            <w:r>
              <w:rPr>
                <w:color w:val="auto"/>
                <w:sz w:val="21"/>
                <w:szCs w:val="24"/>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425"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034" w:type="pct"/>
            <w:vAlign w:val="center"/>
            <w:textDirection w:val="lrTb"/>
            <w:noWrap/>
          </w:tcPr>
          <w:p>
            <w:pPr>
              <w:ind w:firstLine="0"/>
              <w:jc w:val="center"/>
              <w:rPr>
                <w:color w:val="auto"/>
                <w:sz w:val="21"/>
                <w:szCs w:val="24"/>
                <w:highlight w:val="none"/>
                <w:lang w:eastAsia="zh-CN"/>
              </w:rPr>
            </w:pPr>
            <w:r>
              <w:rPr>
                <w:rFonts w:hint="eastAsia"/>
                <w:color w:val="auto"/>
                <w:sz w:val="21"/>
                <w:szCs w:val="24"/>
                <w:highlight w:val="none"/>
                <w:lang w:eastAsia="zh-CN"/>
              </w:rPr>
              <w:t xml:space="preserve">扩增试剂盒（液体版）</w:t>
            </w:r>
            <w:r/>
          </w:p>
        </w:tc>
        <w:tc>
          <w:tcPr>
            <w:tcBorders>
              <w:top w:val="single" w:color="000000" w:sz="4" w:space="0"/>
              <w:left w:val="single" w:color="000000" w:sz="4" w:space="0"/>
              <w:bottom w:val="single" w:color="000000" w:sz="4" w:space="0"/>
              <w:right w:val="single" w:color="000000" w:sz="4" w:space="0"/>
            </w:tcBorders>
            <w:tcW w:w="1519"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200人份/盒（25ul体系）</w:t>
            </w:r>
            <w:r/>
          </w:p>
        </w:tc>
        <w:tc>
          <w:tcPr>
            <w:tcBorders>
              <w:top w:val="single" w:color="000000" w:sz="4" w:space="0"/>
              <w:left w:val="single" w:color="000000" w:sz="4" w:space="0"/>
              <w:bottom w:val="single" w:color="000000" w:sz="4" w:space="0"/>
              <w:right w:val="single" w:color="000000" w:sz="4" w:space="0"/>
            </w:tcBorders>
            <w:tcW w:w="510"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510" w:type="pct"/>
            <w:textDirection w:val="lrTb"/>
            <w:noWrap w:val="false"/>
          </w:tcPr>
          <w:p>
            <w:pPr>
              <w:ind w:firstLine="0"/>
              <w:jc w:val="center"/>
              <w:rPr>
                <w:color w:val="auto"/>
                <w:sz w:val="21"/>
                <w:szCs w:val="24"/>
                <w:highlight w:val="none"/>
              </w:rPr>
            </w:pPr>
            <w:r>
              <w:rPr>
                <w:color w:val="auto"/>
                <w:sz w:val="21"/>
                <w:szCs w:val="24"/>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425"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034" w:type="pct"/>
            <w:vAlign w:val="center"/>
            <w:textDirection w:val="lrTb"/>
            <w:noWrap/>
          </w:tcPr>
          <w:p>
            <w:pPr>
              <w:ind w:firstLine="0"/>
              <w:jc w:val="center"/>
              <w:rPr>
                <w:color w:val="auto"/>
                <w:sz w:val="21"/>
                <w:szCs w:val="24"/>
                <w:highlight w:val="none"/>
                <w:lang w:eastAsia="zh-CN"/>
              </w:rPr>
            </w:pPr>
            <w:r>
              <w:rPr>
                <w:rFonts w:hint="eastAsia"/>
                <w:color w:val="auto"/>
                <w:sz w:val="21"/>
                <w:szCs w:val="24"/>
                <w:highlight w:val="none"/>
                <w:lang w:eastAsia="zh-CN"/>
              </w:rPr>
              <w:t xml:space="preserve">扩增试剂盒（快速版）</w:t>
            </w:r>
            <w:r/>
          </w:p>
        </w:tc>
        <w:tc>
          <w:tcPr>
            <w:tcBorders>
              <w:top w:val="single" w:color="000000" w:sz="4" w:space="0"/>
              <w:left w:val="single" w:color="000000" w:sz="4" w:space="0"/>
              <w:bottom w:val="single" w:color="000000" w:sz="4" w:space="0"/>
              <w:right w:val="single" w:color="000000" w:sz="4" w:space="0"/>
            </w:tcBorders>
            <w:tcW w:w="1519"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100人份/盒（25ul体系）</w:t>
            </w:r>
            <w:r/>
          </w:p>
        </w:tc>
        <w:tc>
          <w:tcPr>
            <w:tcBorders>
              <w:top w:val="single" w:color="000000" w:sz="4" w:space="0"/>
              <w:left w:val="single" w:color="000000" w:sz="4" w:space="0"/>
              <w:bottom w:val="single" w:color="000000" w:sz="4" w:space="0"/>
              <w:right w:val="single" w:color="000000" w:sz="4" w:space="0"/>
            </w:tcBorders>
            <w:tcW w:w="510"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510" w:type="pct"/>
            <w:textDirection w:val="lrTb"/>
            <w:noWrap w:val="false"/>
          </w:tcPr>
          <w:p>
            <w:pPr>
              <w:ind w:firstLine="0"/>
              <w:jc w:val="center"/>
              <w:rPr>
                <w:color w:val="auto"/>
                <w:sz w:val="21"/>
                <w:szCs w:val="24"/>
                <w:highlight w:val="none"/>
              </w:rPr>
            </w:pPr>
            <w:r>
              <w:rPr>
                <w:color w:val="auto"/>
                <w:sz w:val="21"/>
                <w:szCs w:val="24"/>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425" w:type="pct"/>
            <w:vAlign w:val="bottom"/>
            <w:textDirection w:val="lrTb"/>
            <w:noWrap/>
          </w:tcPr>
          <w:p>
            <w:pPr>
              <w:ind w:firstLine="0"/>
              <w:jc w:val="center"/>
              <w:rPr>
                <w:color w:val="auto"/>
                <w:sz w:val="21"/>
                <w:szCs w:val="24"/>
                <w:highlight w:val="none"/>
              </w:rPr>
            </w:pPr>
            <w:r>
              <w:rPr>
                <w:rFonts w:hint="eastAsia"/>
                <w:color w:val="auto"/>
                <w:sz w:val="21"/>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034" w:type="pct"/>
            <w:vAlign w:val="center"/>
            <w:textDirection w:val="lrTb"/>
            <w:noWrap/>
          </w:tcPr>
          <w:p>
            <w:pPr>
              <w:ind w:firstLine="0"/>
              <w:jc w:val="center"/>
              <w:rPr>
                <w:color w:val="auto"/>
                <w:sz w:val="21"/>
                <w:szCs w:val="24"/>
                <w:highlight w:val="none"/>
              </w:rPr>
            </w:pPr>
            <w:r>
              <w:rPr>
                <w:rFonts w:hint="eastAsia"/>
                <w:color w:val="auto"/>
                <w:sz w:val="21"/>
                <w:szCs w:val="24"/>
                <w:highlight w:val="none"/>
              </w:rPr>
              <w:t xml:space="preserve">套管</w:t>
            </w:r>
            <w:r/>
          </w:p>
        </w:tc>
        <w:tc>
          <w:tcPr>
            <w:tcBorders>
              <w:top w:val="single" w:color="000000" w:sz="4" w:space="0"/>
              <w:left w:val="single" w:color="000000" w:sz="4" w:space="0"/>
              <w:bottom w:val="single" w:color="000000" w:sz="4" w:space="0"/>
              <w:right w:val="single" w:color="000000" w:sz="4" w:space="0"/>
            </w:tcBorders>
            <w:tcW w:w="1519" w:type="pct"/>
            <w:vAlign w:val="center"/>
            <w:textDirection w:val="lrTb"/>
            <w:noWrap/>
          </w:tcPr>
          <w:p>
            <w:pPr>
              <w:ind w:firstLine="0"/>
              <w:jc w:val="center"/>
              <w:rPr>
                <w:color w:val="auto"/>
                <w:sz w:val="21"/>
                <w:szCs w:val="24"/>
                <w:highlight w:val="none"/>
              </w:rPr>
            </w:pPr>
            <w:r>
              <w:rPr>
                <w:rFonts w:hint="eastAsia"/>
                <w:color w:val="auto"/>
                <w:sz w:val="21"/>
                <w:szCs w:val="24"/>
                <w:highlight w:val="none"/>
              </w:rPr>
              <w:t xml:space="preserve">250个/盒</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firstLine="0"/>
              <w:jc w:val="center"/>
              <w:rPr>
                <w:color w:val="auto"/>
                <w:sz w:val="21"/>
                <w:szCs w:val="24"/>
                <w:highlight w:val="none"/>
              </w:rPr>
            </w:pPr>
            <w:r>
              <w:rPr>
                <w:rFonts w:hint="eastAsia"/>
                <w:color w:val="auto"/>
                <w:sz w:val="21"/>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firstLine="0"/>
              <w:jc w:val="center"/>
              <w:rPr>
                <w:color w:val="auto"/>
                <w:sz w:val="21"/>
                <w:szCs w:val="24"/>
                <w:highlight w:val="none"/>
              </w:rPr>
            </w:pPr>
            <w:r>
              <w:rPr>
                <w:color w:val="auto"/>
                <w:sz w:val="21"/>
                <w:szCs w:val="24"/>
                <w:highlight w:val="none"/>
              </w:rPr>
            </w:r>
            <w:r/>
          </w:p>
        </w:tc>
      </w:tr>
    </w:tbl>
    <w:p>
      <w:pPr>
        <w:pStyle w:val="902"/>
        <w:ind w:firstLine="480"/>
        <w:rPr>
          <w:rFonts w:ascii="Arial" w:hAnsi="Arial" w:cs="Arial"/>
          <w:b w:val="0"/>
          <w:bCs w:val="0"/>
          <w:color w:val="auto"/>
          <w:sz w:val="24"/>
          <w:szCs w:val="21"/>
          <w:highlight w:val="none"/>
          <w:lang w:eastAsia="zh-CN"/>
        </w:rPr>
      </w:pPr>
      <w:r>
        <w:rPr>
          <w:rFonts w:hint="eastAsia" w:ascii="Arial" w:hAnsi="Arial" w:cs="Arial"/>
          <w:b w:val="0"/>
          <w:bCs w:val="0"/>
          <w:color w:val="auto"/>
          <w:sz w:val="24"/>
          <w:szCs w:val="21"/>
          <w:highlight w:val="none"/>
          <w:lang w:eastAsia="zh-CN"/>
        </w:rPr>
        <w:t xml:space="preserve">2.规格参数</w:t>
      </w:r>
      <w:r/>
    </w:p>
    <w:tbl>
      <w:tblPr>
        <w:tblStyle w:val="91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4"/>
        <w:gridCol w:w="425"/>
        <w:gridCol w:w="9222"/>
      </w:tblGrid>
      <w:tr>
        <w:trPr>
          <w:jc w:val="center"/>
        </w:trPr>
        <w:tc>
          <w:tcPr>
            <w:tcW w:w="284"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序号</w:t>
            </w:r>
            <w:r/>
          </w:p>
        </w:tc>
        <w:tc>
          <w:tcPr>
            <w:tcW w:w="425"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货物名称</w:t>
            </w:r>
            <w:r/>
          </w:p>
        </w:tc>
        <w:tc>
          <w:tcPr>
            <w:tcW w:w="9213"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技术参数</w:t>
            </w:r>
            <w:r/>
          </w:p>
        </w:tc>
      </w:tr>
      <w:tr>
        <w:trPr>
          <w:jc w:val="center"/>
        </w:trPr>
        <w:tc>
          <w:tcPr>
            <w:tcW w:w="284"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1</w:t>
            </w:r>
            <w:r/>
          </w:p>
        </w:tc>
        <w:tc>
          <w:tcPr>
            <w:tcW w:w="425" w:type="dxa"/>
            <w:vAlign w:val="center"/>
            <w:textDirection w:val="lrTb"/>
            <w:noWrap w:val="false"/>
          </w:tcPr>
          <w:p>
            <w:pPr>
              <w:ind w:firstLine="0"/>
              <w:jc w:val="center"/>
              <w:rPr>
                <w:color w:val="auto"/>
                <w:sz w:val="21"/>
                <w:szCs w:val="24"/>
                <w:highlight w:val="none"/>
                <w:lang w:eastAsia="zh-CN"/>
              </w:rPr>
            </w:pPr>
            <w:r>
              <w:rPr>
                <w:rFonts w:hint="eastAsia"/>
                <w:color w:val="auto"/>
                <w:sz w:val="21"/>
                <w:szCs w:val="24"/>
                <w:highlight w:val="none"/>
                <w:lang w:eastAsia="zh-CN"/>
              </w:rPr>
              <w:t xml:space="preserve">★多位点STR扩增试剂盒</w:t>
            </w:r>
            <w:r/>
          </w:p>
        </w:tc>
        <w:tc>
          <w:tcPr>
            <w:tcW w:w="9213" w:type="dxa"/>
            <w:vAlign w:val="center"/>
            <w:textDirection w:val="lrTb"/>
            <w:noWrap w:val="false"/>
          </w:tcPr>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1.标准反应体系25微升，200人份/盒。 </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2.采用六色荧光技术，便于更清晰地分辨基因座标记。 </w:t>
            </w:r>
            <w:r/>
          </w:p>
          <w:p>
            <w:pPr>
              <w:ind w:firstLine="420"/>
              <w:rPr>
                <w:rFonts w:hint="eastAsia" w:ascii="宋体" w:hAnsi="宋体" w:cs="宋体"/>
                <w:color w:val="auto"/>
                <w:sz w:val="21"/>
                <w:highlight w:val="none"/>
              </w:rPr>
            </w:pPr>
            <w:r>
              <w:rPr>
                <w:rFonts w:hint="eastAsia" w:ascii="宋体" w:hAnsi="宋体" w:cs="宋体"/>
                <w:color w:val="auto"/>
                <w:sz w:val="21"/>
                <w:highlight w:val="none"/>
                <w:lang w:eastAsia="zh-CN"/>
              </w:rPr>
              <w:t xml:space="preserve">3.单管同时扩增25个位点：D18S51. </w:t>
            </w:r>
            <w:r>
              <w:rPr>
                <w:rFonts w:hint="eastAsia" w:ascii="宋体" w:hAnsi="宋体" w:cs="宋体"/>
                <w:color w:val="auto"/>
                <w:sz w:val="21"/>
                <w:highlight w:val="none"/>
              </w:rPr>
              <w:t xml:space="preserve">FGA. D21S11. D8S1179. VWA. D13S317. D16S539. D7S820. TH01. D3S1358. D5S818. CSF1PO. D2S1338. D19S433. D1S1656. D12S391. D2S441. D10S1248. TPOX. D22S1045. D6S1043. Penta E. Penta D. Amelogenin以及Y-indel。 </w:t>
            </w:r>
            <w:r/>
          </w:p>
          <w:p>
            <w:pPr>
              <w:ind w:firstLine="420"/>
              <w:rPr>
                <w:rFonts w:hint="eastAsia" w:ascii="宋体" w:hAnsi="宋体" w:cs="宋体"/>
                <w:color w:val="auto"/>
                <w:sz w:val="21"/>
                <w:highlight w:val="none"/>
              </w:rPr>
            </w:pPr>
            <w:r>
              <w:rPr>
                <w:rFonts w:hint="eastAsia" w:ascii="宋体" w:hAnsi="宋体" w:cs="宋体"/>
                <w:color w:val="auto"/>
                <w:sz w:val="21"/>
                <w:highlight w:val="none"/>
              </w:rPr>
              <w:t xml:space="preserve">▲4、试剂盒所有扩增片段长度小于440 bp，包含11个扩增长度小于250bp的Mini位点，便于降解DNA和疑难样品更容易得到完整DNA分型信息。 </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●5、试剂盒真实bin和虚拟bin的个数合计大于500个，有效降低OL的产生。 </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6.每个基因座有自己的滑移峰比例。 </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▲7、扩增产物中须包含内控质量参考（IQC），可用于样品质量（如抑制物、降解）的快速评估。 </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8.在25</w:t>
            </w:r>
            <w:r>
              <w:rPr>
                <w:rFonts w:hint="eastAsia" w:ascii="宋体" w:hAnsi="宋体" w:cs="宋体"/>
                <w:color w:val="auto"/>
                <w:sz w:val="21"/>
                <w:highlight w:val="none"/>
              </w:rPr>
              <w:t xml:space="preserve">μ</w:t>
            </w:r>
            <w:r>
              <w:rPr>
                <w:rFonts w:hint="eastAsia" w:ascii="宋体" w:hAnsi="宋体" w:cs="宋体"/>
                <w:color w:val="auto"/>
                <w:sz w:val="21"/>
                <w:highlight w:val="none"/>
                <w:lang w:eastAsia="zh-CN"/>
              </w:rPr>
              <w:t xml:space="preserve">l扩增体系中，模板加样量最大可加样17.5 </w:t>
            </w:r>
            <w:r>
              <w:rPr>
                <w:rFonts w:hint="eastAsia" w:ascii="宋体" w:hAnsi="宋体" w:cs="宋体"/>
                <w:color w:val="auto"/>
                <w:sz w:val="21"/>
                <w:highlight w:val="none"/>
              </w:rPr>
              <w:t xml:space="preserve">μ</w:t>
            </w:r>
            <w:r>
              <w:rPr>
                <w:rFonts w:hint="eastAsia" w:ascii="宋体" w:hAnsi="宋体" w:cs="宋体"/>
                <w:color w:val="auto"/>
                <w:sz w:val="21"/>
                <w:highlight w:val="none"/>
                <w:lang w:eastAsia="zh-CN"/>
              </w:rPr>
              <w:t xml:space="preserve">l。 </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●9、采用快速扩增酶和高效缓冲体系，能够缩短PCR扩增时间至100分钟以内。 </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10.为减少人源性污染，试剂盒需符合ISO 18385法医DNA级标签的要求。 </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11.具有中国安全技术防范认证中心颁发的《中国公共安全产品认证证书》。 </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12.在25ul扩增体系中，试剂盒的检测灵敏度为125 pg DNA模板量。 </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●13、试剂盒抗抑制能力强，在100 ng/</w:t>
            </w:r>
            <w:r>
              <w:rPr>
                <w:rFonts w:hint="eastAsia" w:ascii="宋体" w:hAnsi="宋体" w:cs="宋体"/>
                <w:color w:val="auto"/>
                <w:sz w:val="21"/>
                <w:highlight w:val="none"/>
              </w:rPr>
              <w:t xml:space="preserve">μ</w:t>
            </w:r>
            <w:r>
              <w:rPr>
                <w:rFonts w:hint="eastAsia" w:ascii="宋体" w:hAnsi="宋体" w:cs="宋体"/>
                <w:color w:val="auto"/>
                <w:sz w:val="21"/>
                <w:highlight w:val="none"/>
                <w:lang w:eastAsia="zh-CN"/>
              </w:rPr>
              <w:t xml:space="preserve">l腐殖酸或200 μm血红素存在情况下仍能得到完整分型。</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▲14、试剂盒通过SWGDAM测试验证。</w:t>
            </w:r>
            <w:r/>
          </w:p>
        </w:tc>
      </w:tr>
      <w:tr>
        <w:trPr>
          <w:jc w:val="center"/>
        </w:trPr>
        <w:tc>
          <w:tcPr>
            <w:tcW w:w="284"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2</w:t>
            </w:r>
            <w:r/>
          </w:p>
        </w:tc>
        <w:tc>
          <w:tcPr>
            <w:tcW w:w="425" w:type="dxa"/>
            <w:vAlign w:val="center"/>
            <w:textDirection w:val="lrTb"/>
            <w:noWrap w:val="false"/>
          </w:tcPr>
          <w:p>
            <w:pPr>
              <w:ind w:firstLine="0"/>
              <w:jc w:val="center"/>
              <w:rPr>
                <w:color w:val="auto"/>
                <w:sz w:val="21"/>
                <w:szCs w:val="24"/>
                <w:highlight w:val="none"/>
                <w:lang w:eastAsia="zh-CN"/>
              </w:rPr>
            </w:pPr>
            <w:r>
              <w:rPr>
                <w:rFonts w:hint="eastAsia"/>
                <w:color w:val="auto"/>
                <w:sz w:val="21"/>
                <w:szCs w:val="24"/>
                <w:highlight w:val="none"/>
                <w:lang w:eastAsia="zh-CN"/>
              </w:rPr>
              <w:t xml:space="preserve">全自动微量提取试剂盒</w:t>
            </w:r>
            <w:r/>
          </w:p>
        </w:tc>
        <w:tc>
          <w:tcPr>
            <w:tcW w:w="9213" w:type="dxa"/>
            <w:vAlign w:val="center"/>
            <w:textDirection w:val="lrTb"/>
            <w:noWrap w:val="false"/>
          </w:tcPr>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1.用于DNA提取的磁珠和各种试剂通过塑料膜密封在可与全自动24道微量DNA提取工作站配套使用的塑料反应板内，使用时撕开密封膜置于全自动24道微量DNA提取工作站中即可直接用于全自动DNA的自动化提取；</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一个完整试剂盒包装含有封装试剂的反应板，另配有试剂相应数量的盒装吸头（吸头为封装好的盒装吸头，撕开外包装即可整盒放在工作站上使用），封装好的消化液（一次性使用，无需二次整体转移消化液，撕开封膜即可放在工作站上使用）;</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3.完整试剂盒外另配合试剂盒规格相应数量的24孔离心套板，该24孔离心套板为嵌套反应板，上下部分可分离；</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4.专用洗脱液，可有效降低洗脱产物的，长期保存DNA保存性能好，不降解、不分层；</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5.产品规格：96次/盒；</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6.样本适用性：配有在全自动24道微量DNA提取工作站上使用的浓缩、纯化及提取程序，可用于血液（斑）、唾液（斑）、精液（斑）、毛发、组织等常规检材及陈旧、污染、降解和微量检材等疑难检材的DNA提取纯化；</w:t>
            </w:r>
            <w:r/>
          </w:p>
        </w:tc>
      </w:tr>
      <w:tr>
        <w:trPr>
          <w:jc w:val="center"/>
        </w:trPr>
        <w:tc>
          <w:tcPr>
            <w:tcW w:w="284"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3</w:t>
            </w:r>
            <w:r/>
          </w:p>
        </w:tc>
        <w:tc>
          <w:tcPr>
            <w:tcW w:w="425" w:type="dxa"/>
            <w:vAlign w:val="center"/>
            <w:textDirection w:val="lrTb"/>
            <w:noWrap w:val="false"/>
          </w:tcPr>
          <w:p>
            <w:pPr>
              <w:ind w:firstLine="0"/>
              <w:jc w:val="center"/>
              <w:rPr>
                <w:color w:val="auto"/>
                <w:sz w:val="21"/>
                <w:szCs w:val="24"/>
                <w:highlight w:val="none"/>
                <w:lang w:eastAsia="zh-CN"/>
              </w:rPr>
            </w:pPr>
            <w:r>
              <w:rPr>
                <w:rFonts w:hint="eastAsia"/>
                <w:color w:val="auto"/>
                <w:sz w:val="21"/>
                <w:szCs w:val="24"/>
                <w:highlight w:val="none"/>
                <w:lang w:eastAsia="zh-CN"/>
              </w:rPr>
              <w:t xml:space="preserve">全自动混合斑提取试剂盒</w:t>
            </w:r>
            <w:r/>
          </w:p>
        </w:tc>
        <w:tc>
          <w:tcPr>
            <w:tcW w:w="9213" w:type="dxa"/>
            <w:vAlign w:val="center"/>
            <w:textDirection w:val="lrTb"/>
            <w:noWrap w:val="false"/>
          </w:tcPr>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1.试剂盒（全自动专用）搭载全自动微量 DNA 提取工作站，全程自动化提取性侵案件中混合斑类检材，采用全新试剂体系，可以专项高效裂解女性成分，结合精子细胞富集膜，有效回收精子细胞，从而达到混合斑检材男女成分快速分离目的。全程提取自动化操作，无需人工干预，分离纯化效果与手工精细化操作水平相近。</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2.可适配我单位现有自动化工作站使用；</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3.完整试剂盒外另有与试剂盒规格适配的混合斑处理套装，可以实现混合斑类检材载体与消化产物、男女成分分离的目的；另配相应数量封装好的洗脱液。</w:t>
            </w:r>
            <w:r/>
          </w:p>
          <w:p>
            <w:pPr>
              <w:ind w:firstLine="420"/>
              <w:rPr>
                <w:rFonts w:hint="eastAsia" w:ascii="宋体" w:hAnsi="宋体" w:cs="宋体"/>
                <w:color w:val="auto"/>
                <w:sz w:val="21"/>
                <w:highlight w:val="none"/>
              </w:rPr>
            </w:pPr>
            <w:r>
              <w:rPr>
                <w:rFonts w:hint="eastAsia" w:ascii="宋体" w:hAnsi="宋体" w:cs="宋体"/>
                <w:color w:val="auto"/>
                <w:sz w:val="21"/>
                <w:highlight w:val="none"/>
                <w:lang w:eastAsia="zh-CN"/>
              </w:rPr>
              <w:t xml:space="preserve">4.</w:t>
            </w:r>
            <w:r>
              <w:rPr>
                <w:rFonts w:hint="eastAsia" w:ascii="宋体" w:hAnsi="宋体" w:cs="宋体"/>
                <w:color w:val="auto"/>
                <w:sz w:val="21"/>
                <w:highlight w:val="none"/>
              </w:rPr>
              <w:t xml:space="preserve">产品规格：8次/盒。</w:t>
            </w:r>
            <w:r/>
          </w:p>
        </w:tc>
      </w:tr>
      <w:tr>
        <w:trPr>
          <w:jc w:val="center"/>
          <w:trHeight w:val="699"/>
        </w:trPr>
        <w:tc>
          <w:tcPr>
            <w:tcW w:w="284"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4</w:t>
            </w:r>
            <w:r/>
          </w:p>
        </w:tc>
        <w:tc>
          <w:tcPr>
            <w:tcW w:w="425" w:type="dxa"/>
            <w:vAlign w:val="center"/>
            <w:textDirection w:val="lrTb"/>
            <w:noWrap w:val="false"/>
          </w:tcPr>
          <w:p>
            <w:pPr>
              <w:ind w:firstLine="0"/>
              <w:jc w:val="center"/>
              <w:rPr>
                <w:color w:val="auto"/>
                <w:sz w:val="21"/>
                <w:szCs w:val="24"/>
                <w:highlight w:val="none"/>
                <w:lang w:eastAsia="zh-CN"/>
              </w:rPr>
            </w:pPr>
            <w:r>
              <w:rPr>
                <w:rFonts w:hint="eastAsia"/>
                <w:color w:val="auto"/>
                <w:sz w:val="21"/>
                <w:szCs w:val="24"/>
                <w:highlight w:val="none"/>
                <w:lang w:eastAsia="zh-CN"/>
              </w:rPr>
              <w:t xml:space="preserve">半自动微量提取试剂盒</w:t>
            </w:r>
            <w:r/>
          </w:p>
        </w:tc>
        <w:tc>
          <w:tcPr>
            <w:tcW w:w="9213" w:type="dxa"/>
            <w:vAlign w:val="center"/>
            <w:textDirection w:val="lrTb"/>
            <w:noWrap w:val="false"/>
          </w:tcPr>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1.用于DNA提取的磁珠和各种试剂通过塑料膜密封在可与大体系疑难检材DNA提取仪配套使用的塑料反应板内，使用时撕开密封膜置于仪器中即可直接用于DNA的自动化提取；</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2.一个完整试剂盒包装含：1瓶裂解液 、预封装试剂的纯化试剂板12块均为48孔深孔板，12条48孔板磁套及12条8孔联盖洗脱条，8孔联盖洗脱条可以实现30</w:t>
            </w:r>
            <w:r>
              <w:rPr>
                <w:rFonts w:hint="eastAsia" w:ascii="宋体" w:hAnsi="宋体" w:cs="宋体"/>
                <w:color w:val="auto"/>
                <w:sz w:val="21"/>
                <w:highlight w:val="none"/>
              </w:rPr>
              <w:t xml:space="preserve">μ</w:t>
            </w:r>
            <w:r>
              <w:rPr>
                <w:rFonts w:hint="eastAsia" w:ascii="宋体" w:hAnsi="宋体" w:cs="宋体"/>
                <w:color w:val="auto"/>
                <w:sz w:val="21"/>
                <w:highlight w:val="none"/>
                <w:lang w:eastAsia="zh-CN"/>
              </w:rPr>
              <w:t xml:space="preserve">L小体积洗脱；</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3.可按要求提供产品规格：96次/盒；</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4.样本适用性：用于各种常规和疑难案件检材的自动化 DNA 提取，尤其是针对杂质含量高的检材，全面升级了缓冲液配方，大大提高了抗杂质干扰素力。</w:t>
            </w:r>
            <w:r/>
          </w:p>
        </w:tc>
      </w:tr>
      <w:tr>
        <w:trPr>
          <w:jc w:val="center"/>
          <w:trHeight w:val="730"/>
        </w:trPr>
        <w:tc>
          <w:tcPr>
            <w:tcW w:w="284"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5</w:t>
            </w:r>
            <w:r/>
          </w:p>
        </w:tc>
        <w:tc>
          <w:tcPr>
            <w:tcW w:w="425" w:type="dxa"/>
            <w:vAlign w:val="bottom"/>
            <w:textDirection w:val="lrTb"/>
            <w:noWrap w:val="false"/>
          </w:tcPr>
          <w:p>
            <w:pPr>
              <w:ind w:firstLine="0"/>
              <w:jc w:val="center"/>
              <w:rPr>
                <w:color w:val="auto"/>
                <w:sz w:val="21"/>
                <w:szCs w:val="24"/>
                <w:highlight w:val="none"/>
                <w:lang w:eastAsia="zh-CN"/>
              </w:rPr>
            </w:pPr>
            <w:r>
              <w:rPr>
                <w:rFonts w:hint="eastAsia"/>
                <w:color w:val="auto"/>
                <w:sz w:val="21"/>
                <w:szCs w:val="24"/>
                <w:highlight w:val="none"/>
                <w:lang w:eastAsia="zh-CN"/>
              </w:rPr>
              <w:t xml:space="preserve">全自动陈旧检材提取试剂盒</w:t>
            </w:r>
            <w:r/>
          </w:p>
        </w:tc>
        <w:tc>
          <w:tcPr>
            <w:tcW w:w="9213" w:type="dxa"/>
            <w:vAlign w:val="center"/>
            <w:textDirection w:val="lrTb"/>
            <w:noWrap w:val="false"/>
          </w:tcPr>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全自动陈旧检材DNA提取试剂盒（全自动专用）为一体式封装试剂，用于DNA提取的磁珠和各种试剂通过塑料膜密封在可与全自动24道微量DNA提取工作站配套使用的塑料反应板内，使用时撕开密封膜置于全自动24微量DNA提取工作站中即可直接用于全自动DNA的自动化提取；</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一个完整试剂盒包装含有封装试剂的反应板，并配有试剂相应数量的盒装吸头（吸头为封装好的盒装吸头，撕开外包装即可整盒放在工作站上使用），封装好的消化液（一次性使用，无需二次整体转移消化液，撕开封膜即可放在工作站上使用），洗脱条及磁套；</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3.可提供产品规格：48次/盒；</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4.全自动陈旧检材DNA提取试剂盒需含有以下几部分，分别为封装试剂的48孔反应板，相应数量的封装盒装吸头，封装的裂解液，磁套，洗脱条以及蛋白酶K（单独包装）；</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5.完整试剂盒外另配合试剂盒规格相应数量的24孔离心套板、24孔空白收集板和洗脱液。24孔离心套板为嵌套反应板，上下部分可分离。</w:t>
            </w:r>
            <w:r/>
          </w:p>
        </w:tc>
      </w:tr>
      <w:tr>
        <w:trPr>
          <w:jc w:val="center"/>
          <w:trHeight w:val="730"/>
        </w:trPr>
        <w:tc>
          <w:tcPr>
            <w:tcW w:w="284"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6</w:t>
            </w:r>
            <w:r/>
          </w:p>
        </w:tc>
        <w:tc>
          <w:tcPr>
            <w:tcW w:w="425" w:type="dxa"/>
            <w:vAlign w:val="center"/>
            <w:textDirection w:val="lrTb"/>
            <w:noWrap w:val="false"/>
          </w:tcPr>
          <w:p>
            <w:pPr>
              <w:ind w:firstLine="0"/>
              <w:jc w:val="center"/>
              <w:rPr>
                <w:color w:val="auto"/>
                <w:sz w:val="21"/>
                <w:szCs w:val="24"/>
                <w:highlight w:val="none"/>
                <w:lang w:eastAsia="zh-CN"/>
              </w:rPr>
            </w:pPr>
            <w:r>
              <w:rPr>
                <w:rFonts w:hint="eastAsia"/>
                <w:color w:val="auto"/>
                <w:sz w:val="21"/>
                <w:szCs w:val="24"/>
                <w:highlight w:val="none"/>
                <w:lang w:eastAsia="zh-CN"/>
              </w:rPr>
              <w:t xml:space="preserve">半自动陈旧检材提取试剂盒</w:t>
            </w:r>
            <w:r/>
          </w:p>
        </w:tc>
        <w:tc>
          <w:tcPr>
            <w:tcW w:w="9213" w:type="dxa"/>
            <w:vAlign w:val="center"/>
            <w:textDirection w:val="lrTb"/>
            <w:noWrap w:val="false"/>
          </w:tcPr>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1.陈旧检材DNA提取试剂盒为一体式封装试剂，用于DNA提取的磁珠和各种试剂通过塑料膜密封在可与大体系疑难检材DNA提取仪配套使用的塑料反应板内，使用时撕开密封膜置于仪器中即可直接用于DNA的自动化提取；</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2.一个完整试剂盒包装含：1瓶消化液、预封装试剂的纯化试剂板6块均为48孔深孔板，6条48孔板磁套及6条8孔联盖洗脱条，8孔联盖洗脱条可以实现30</w:t>
            </w:r>
            <w:r>
              <w:rPr>
                <w:rFonts w:hint="eastAsia" w:ascii="宋体" w:hAnsi="宋体" w:cs="宋体"/>
                <w:color w:val="auto"/>
                <w:sz w:val="21"/>
                <w:highlight w:val="none"/>
              </w:rPr>
              <w:t xml:space="preserve">μ</w:t>
            </w:r>
            <w:r>
              <w:rPr>
                <w:rFonts w:hint="eastAsia" w:ascii="宋体" w:hAnsi="宋体" w:cs="宋体"/>
                <w:color w:val="auto"/>
                <w:sz w:val="21"/>
                <w:highlight w:val="none"/>
                <w:lang w:eastAsia="zh-CN"/>
              </w:rPr>
              <w:t xml:space="preserve">L小体积洗脱；</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3.可按要求提供产品规格：48次/盒；</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4.样本适用性：用于陈年积案中的各种陈旧检材，采用蛋白酶法消化，消化条件更温和，消化程度更彻底，可提高渗透性陈旧检材 DNA 的自动化提取效果。</w:t>
            </w:r>
            <w:r/>
          </w:p>
        </w:tc>
      </w:tr>
      <w:tr>
        <w:trPr>
          <w:jc w:val="center"/>
          <w:trHeight w:val="675"/>
        </w:trPr>
        <w:tc>
          <w:tcPr>
            <w:tcW w:w="284"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7</w:t>
            </w:r>
            <w:r/>
          </w:p>
        </w:tc>
        <w:tc>
          <w:tcPr>
            <w:tcW w:w="425"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蛋白酶K</w:t>
            </w:r>
            <w:r/>
          </w:p>
        </w:tc>
        <w:tc>
          <w:tcPr>
            <w:tcW w:w="9213" w:type="dxa"/>
            <w:vAlign w:val="center"/>
            <w:textDirection w:val="lrTb"/>
            <w:noWrap w:val="false"/>
          </w:tcPr>
          <w:p>
            <w:pPr>
              <w:ind w:firstLine="420"/>
              <w:rPr>
                <w:rFonts w:hint="eastAsia" w:ascii="宋体" w:hAnsi="宋体" w:cs="宋体"/>
                <w:color w:val="auto"/>
                <w:sz w:val="21"/>
                <w:highlight w:val="none"/>
              </w:rPr>
            </w:pPr>
            <w:r>
              <w:rPr>
                <w:rFonts w:hint="eastAsia" w:ascii="宋体" w:hAnsi="宋体" w:cs="宋体"/>
                <w:color w:val="auto"/>
                <w:sz w:val="21"/>
                <w:highlight w:val="none"/>
              </w:rPr>
              <w:t xml:space="preserve">1ml*5支/袋，10mg/ml</w:t>
            </w:r>
            <w:r/>
          </w:p>
        </w:tc>
      </w:tr>
      <w:tr>
        <w:trPr>
          <w:jc w:val="center"/>
          <w:trHeight w:val="543"/>
        </w:trPr>
        <w:tc>
          <w:tcPr>
            <w:tcW w:w="284"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8</w:t>
            </w:r>
            <w:r/>
          </w:p>
        </w:tc>
        <w:tc>
          <w:tcPr>
            <w:tcW w:w="425"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荧光定量试剂盒</w:t>
            </w:r>
            <w:r/>
          </w:p>
        </w:tc>
        <w:tc>
          <w:tcPr>
            <w:tcW w:w="9213" w:type="dxa"/>
            <w:vAlign w:val="center"/>
            <w:textDirection w:val="lrTb"/>
            <w:noWrap w:val="false"/>
          </w:tcPr>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1.使用TaqMan实时荧光qPCR技术，在单一PCR反应中获得样品的多种信息，包括：人类DNA总量、男性DNA总量、DNA降解程度、DNA污染程度等；</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2.试剂盒有专门的配套分析软件，实现PCR结果的定性和定量评估，进而指导选择下游的分析方法并提供上样方案，简化工作流程，提高下游分析成功率；</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3.灵敏度高，要求10000倍女性样品中混有10pg/ul的男性DNA仍可有效检出；</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4.高强度的抗抑制能力，要求含1000μm血红素的20pg/</w:t>
            </w:r>
            <w:r>
              <w:rPr>
                <w:rFonts w:hint="eastAsia" w:ascii="宋体" w:hAnsi="宋体" w:cs="宋体"/>
                <w:color w:val="auto"/>
                <w:sz w:val="21"/>
                <w:highlight w:val="none"/>
              </w:rPr>
              <w:t xml:space="preserve">μ</w:t>
            </w:r>
            <w:r>
              <w:rPr>
                <w:rFonts w:hint="eastAsia" w:ascii="宋体" w:hAnsi="宋体" w:cs="宋体"/>
                <w:color w:val="auto"/>
                <w:sz w:val="21"/>
                <w:highlight w:val="none"/>
                <w:lang w:eastAsia="zh-CN"/>
              </w:rPr>
              <w:t xml:space="preserve">L DNA样本仍可有效检出；</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5.产品规格：400人份/盒；</w:t>
            </w:r>
            <w:r/>
          </w:p>
        </w:tc>
      </w:tr>
      <w:tr>
        <w:trPr>
          <w:jc w:val="center"/>
          <w:trHeight w:val="543"/>
        </w:trPr>
        <w:tc>
          <w:tcPr>
            <w:tcW w:w="284"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9</w:t>
            </w:r>
            <w:r/>
          </w:p>
        </w:tc>
        <w:tc>
          <w:tcPr>
            <w:tcW w:w="425"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荧光检测试剂盒</w:t>
            </w:r>
            <w:r/>
          </w:p>
        </w:tc>
        <w:tc>
          <w:tcPr>
            <w:tcW w:w="9213" w:type="dxa"/>
            <w:vAlign w:val="center"/>
            <w:textDirection w:val="lrTb"/>
            <w:noWrap w:val="false"/>
          </w:tcPr>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1.采用六色荧光标记复合扩增检测技术。所有基因座位点的扩增片段大小不超过500bp。</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2.对人基因组DNA中的28个STR基因座多态性进行检测，包含23个常染色体STR、Amelogenin和3个Y-STR基因座以及Y indel</w:t>
            </w:r>
            <w:r>
              <w:rPr>
                <w:rFonts w:hint="eastAsia" w:ascii="宋体" w:hAnsi="宋体" w:cs="宋体"/>
                <w:color w:val="auto"/>
                <w:sz w:val="21"/>
                <w:highlight w:val="none"/>
                <w:lang w:eastAsia="zh-CN"/>
              </w:rPr>
              <w:t xml:space="preserve">，还包括两个内部PCR控制基因。包含的基因座有D3S1358、D13S317、D1S1656、CSF1PO、D6S1043、DYS576、D2S441、D5S818、TH01、FGA、DYS518、Yindel、Amelogenin、D8S1179、D21S11、D16S539、TPOX、D10S1248、D22S1045、D19S433、D7S820、D18S51、PentaD、DYS391、vWA、D2S1338、D12S391、PentaE。至少有12个基因座在300bp以内，更有利于降解检材的检出。</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3.高性能的PCR缓冲系统和特异性的引物体系，灵敏度高、抗抑制能力强，微量检材的检出率高，最低检出限可达50 pg。</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4.试剂盒具有公安部刑事技术质量监督检验中心检测报告。</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5.包含扩增、检测所需的全部试剂，分为扩增前试剂（引物对、Mix、超纯水、对照样本controlDNA9948）和扩增后试剂（内标、等位基因Ladder）。</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6、荧光标记分子量内标由橙色荧光素标记，包含：60、80、100、114、120、140、160、180、200、214、220、240、250、260、280、300、314、320、340、360、380、400、414、420、440、460、480、500、514、520、540、560、580和600bp的片段。</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7.试剂盒具有中国公共安全技术防范认证中心颁发的《中国公共安全产品认证证书》。</w:t>
            </w:r>
            <w:r/>
          </w:p>
          <w:p>
            <w:pPr>
              <w:ind w:firstLine="420"/>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w:t>
            </w:r>
            <w:r>
              <w:rPr>
                <w:rFonts w:hint="eastAsia" w:ascii="宋体" w:hAnsi="宋体" w:cs="宋体"/>
                <w:color w:val="auto"/>
                <w:sz w:val="21"/>
                <w:highlight w:val="none"/>
              </w:rPr>
              <w:t xml:space="preserve">根据比中</w:t>
            </w:r>
            <w:r>
              <w:rPr>
                <w:rFonts w:hint="eastAsia" w:ascii="宋体" w:hAnsi="宋体" w:cs="宋体"/>
                <w:color w:val="auto"/>
                <w:sz w:val="21"/>
                <w:highlight w:val="none"/>
                <w:lang w:eastAsia="zh-CN"/>
              </w:rPr>
              <w:t xml:space="preserve">复核</w:t>
            </w:r>
            <w:r>
              <w:rPr>
                <w:rFonts w:hint="eastAsia" w:ascii="宋体" w:hAnsi="宋体" w:cs="宋体"/>
                <w:color w:val="auto"/>
                <w:sz w:val="21"/>
                <w:highlight w:val="none"/>
              </w:rPr>
              <w:t xml:space="preserve">需要，所投标产品</w:t>
            </w:r>
            <w:r>
              <w:rPr>
                <w:rFonts w:hint="eastAsia" w:ascii="宋体" w:hAnsi="宋体" w:cs="宋体"/>
                <w:color w:val="auto"/>
                <w:sz w:val="21"/>
                <w:highlight w:val="none"/>
                <w:lang w:eastAsia="zh-CN"/>
              </w:rPr>
              <w:t xml:space="preserve">须具备</w:t>
            </w:r>
            <w:r>
              <w:rPr>
                <w:rFonts w:hint="eastAsia" w:ascii="宋体" w:hAnsi="宋体" w:cs="宋体"/>
                <w:color w:val="auto"/>
                <w:sz w:val="21"/>
                <w:highlight w:val="none"/>
              </w:rPr>
              <w:t xml:space="preserve">同一生产厂商生产的基因座补充试剂盒，同步检测15个以上基因座，包括D6S474、D12ATA63、D22S1045、D10S1435、D1S1677、D11S4463、D3S4529、D6S1017、D4S2408、D17S1301、D1GATA113、D20S482、D14S1434、D9S1122、D5S2500和Amelogenin等。</w:t>
            </w:r>
            <w:r/>
          </w:p>
          <w:p>
            <w:pPr>
              <w:pStyle w:val="902"/>
              <w:ind w:firstLine="420"/>
              <w:rPr>
                <w:rFonts w:hint="eastAsia" w:ascii="宋体" w:hAnsi="宋体"/>
                <w:b w:val="0"/>
                <w:bCs w:val="0"/>
                <w:color w:val="auto"/>
                <w:sz w:val="21"/>
                <w:szCs w:val="21"/>
                <w:highlight w:val="none"/>
                <w:lang w:eastAsia="zh-CN"/>
              </w:rPr>
            </w:pPr>
            <w:r>
              <w:rPr>
                <w:rFonts w:hint="eastAsia" w:ascii="宋体" w:hAnsi="宋体"/>
                <w:b w:val="0"/>
                <w:bCs w:val="0"/>
                <w:color w:val="auto"/>
                <w:sz w:val="21"/>
                <w:szCs w:val="21"/>
                <w:highlight w:val="none"/>
                <w:lang w:eastAsia="zh-CN"/>
              </w:rPr>
              <w:t xml:space="preserve">9.试剂盒规格：200反应/盒（25ul体系）</w:t>
            </w:r>
            <w:r/>
          </w:p>
        </w:tc>
      </w:tr>
      <w:tr>
        <w:trPr>
          <w:jc w:val="center"/>
          <w:trHeight w:val="543"/>
        </w:trPr>
        <w:tc>
          <w:tcPr>
            <w:tcW w:w="284"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10</w:t>
            </w:r>
            <w:r/>
          </w:p>
        </w:tc>
        <w:tc>
          <w:tcPr>
            <w:tcW w:w="425" w:type="dxa"/>
            <w:vAlign w:val="center"/>
            <w:textDirection w:val="lrTb"/>
            <w:noWrap w:val="false"/>
          </w:tcPr>
          <w:p>
            <w:pPr>
              <w:ind w:firstLine="0"/>
              <w:jc w:val="center"/>
              <w:rPr>
                <w:color w:val="auto"/>
                <w:sz w:val="21"/>
                <w:szCs w:val="24"/>
                <w:highlight w:val="none"/>
                <w:lang w:eastAsia="zh-CN"/>
              </w:rPr>
            </w:pPr>
            <w:r>
              <w:rPr>
                <w:rFonts w:hint="eastAsia"/>
                <w:color w:val="auto"/>
                <w:sz w:val="21"/>
                <w:szCs w:val="24"/>
                <w:highlight w:val="none"/>
                <w:lang w:eastAsia="zh-CN"/>
              </w:rPr>
              <w:t xml:space="preserve">扩增试剂盒（液体版）</w:t>
            </w:r>
            <w:r/>
          </w:p>
        </w:tc>
        <w:tc>
          <w:tcPr>
            <w:tcW w:w="9213" w:type="dxa"/>
            <w:vAlign w:val="center"/>
            <w:textDirection w:val="lrTb"/>
            <w:noWrap w:val="false"/>
          </w:tcPr>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1.试剂型：数量以200人份/盒计算（25ul标准体系）；</w:t>
            </w:r>
            <w:r/>
          </w:p>
          <w:p>
            <w:pPr>
              <w:ind w:firstLine="420"/>
              <w:rPr>
                <w:rFonts w:hint="eastAsia" w:ascii="宋体" w:hAnsi="宋体" w:cs="宋体"/>
                <w:color w:val="auto"/>
                <w:sz w:val="21"/>
                <w:highlight w:val="none"/>
              </w:rPr>
            </w:pPr>
            <w:r>
              <w:rPr>
                <w:rFonts w:hint="eastAsia" w:ascii="宋体" w:hAnsi="宋体" w:cs="宋体"/>
                <w:color w:val="auto"/>
                <w:sz w:val="21"/>
                <w:highlight w:val="none"/>
                <w:lang w:eastAsia="zh-CN"/>
              </w:rPr>
              <w:t xml:space="preserve">2.采用六色荧光技术，单 管 同 时 扩 增不少于 25 个 基 因 座 ，包括24个STR位点和一个插入缺失位点Y-indel，两个内控质量参考（QTS，QTL）。</w:t>
            </w:r>
            <w:r>
              <w:rPr>
                <w:rFonts w:hint="eastAsia" w:ascii="宋体" w:hAnsi="宋体" w:cs="宋体"/>
                <w:color w:val="auto"/>
                <w:sz w:val="21"/>
                <w:highlight w:val="none"/>
              </w:rPr>
              <w:t xml:space="preserve">D18S51、FGA、D21S11、D8S1179、VWA、D13S317、D16S539、D7S820、TH01、D3S1358、D5S818、CSF1PO、D2S1338、D19S433、D1S1656、D12S391、D2S441、D10S1248、TPOX、D22S1045、D6S1043、Penta E、Penta D、Amelogenin</w:t>
            </w:r>
            <w:r>
              <w:rPr>
                <w:rFonts w:hint="eastAsia" w:ascii="宋体" w:hAnsi="宋体" w:cs="宋体"/>
                <w:color w:val="auto"/>
                <w:sz w:val="21"/>
                <w:highlight w:val="none"/>
                <w:lang w:eastAsia="zh-CN"/>
              </w:rPr>
              <w:t xml:space="preserve">.</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3.为提高疑难、陈旧样本检出率，公安部要求的20个核心位点最大片段不超过425bp；</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4.试剂盒必须包含2个内控质量参考（IQC）标记物，可用于样品质量（如抑制物、降解）的快速评估；</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5.包含 11个以上扩增长度小于 220bp 的 Mini 位点，便于降解样品信息的获取，对于降解 DNA 和疑难样品更容易得到完整 DNA 分型信息，数据更精确更可靠；</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6.具有中国安全技术防范认证中心颁发的《中国公共安全产品认证证书》。</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7.为提高检出灵敏度，对低浓度模板尽可能获得有效分型，扩增体系中模板占比最大可达100%。</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8.为保证分型准确，试剂盒采用分子量内标覆盖范围60-600bp，包含特殊识别片段314bp；</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▲9、为保证实验稳定性，试剂盒扩增体系可逆热启动，任一阶段断电均可直接继续扩增，提供彩页或者说明书等证明材料。</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rPr>
              <w:t xml:space="preserve">▲10、针对</w:t>
            </w:r>
            <w:r>
              <w:rPr>
                <w:rFonts w:hint="eastAsia" w:ascii="宋体" w:hAnsi="宋体" w:cs="宋体"/>
                <w:color w:val="auto"/>
                <w:sz w:val="21"/>
                <w:highlight w:val="none"/>
              </w:rPr>
              <w:t xml:space="preserve">疑难微量检材及陈旧采集卡，投标人有能力提供同品牌的Mini试剂盒，Mini试剂盒可同时扩增和检测不少于25个基因座，包含 20 个新 CODIS 核心位点，包含的基因座：D2S441、D5S818、D21S11、D16S539、D1S1656、AMEL、D3S1358、D13S317、D7S820、D2S1338、D18S51、D19S433、D22S1045、D8S1179、vWA、TPOX、D10S1248、D12S391、CSF1PO、FGA、Penta D、D6S1043、TH01、Penta E。</w:t>
            </w:r>
            <w:r>
              <w:rPr>
                <w:rFonts w:hint="eastAsia" w:ascii="宋体" w:hAnsi="宋体" w:cs="宋体"/>
                <w:color w:val="auto"/>
                <w:sz w:val="21"/>
                <w:highlight w:val="none"/>
                <w:lang w:eastAsia="zh-CN"/>
              </w:rPr>
              <w:t xml:space="preserve">试剂盒最大片段不超过300bp，检测灵敏度最低可至31.25pg；</w:t>
            </w:r>
            <w:r/>
          </w:p>
        </w:tc>
      </w:tr>
      <w:tr>
        <w:trPr>
          <w:jc w:val="center"/>
          <w:trHeight w:val="543"/>
        </w:trPr>
        <w:tc>
          <w:tcPr>
            <w:tcW w:w="284"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11</w:t>
            </w:r>
            <w:r/>
          </w:p>
        </w:tc>
        <w:tc>
          <w:tcPr>
            <w:tcW w:w="425" w:type="dxa"/>
            <w:vAlign w:val="center"/>
            <w:textDirection w:val="lrTb"/>
            <w:noWrap w:val="false"/>
          </w:tcPr>
          <w:p>
            <w:pPr>
              <w:ind w:firstLine="0"/>
              <w:jc w:val="center"/>
              <w:rPr>
                <w:color w:val="auto"/>
                <w:sz w:val="21"/>
                <w:szCs w:val="24"/>
                <w:highlight w:val="none"/>
                <w:lang w:eastAsia="zh-CN"/>
              </w:rPr>
            </w:pPr>
            <w:r>
              <w:rPr>
                <w:rFonts w:hint="eastAsia"/>
                <w:color w:val="auto"/>
                <w:sz w:val="21"/>
                <w:szCs w:val="24"/>
                <w:highlight w:val="none"/>
                <w:lang w:eastAsia="zh-CN"/>
              </w:rPr>
              <w:t xml:space="preserve">扩增试剂盒（快速版）</w:t>
            </w:r>
            <w:r/>
          </w:p>
        </w:tc>
        <w:tc>
          <w:tcPr>
            <w:tcW w:w="9213" w:type="dxa"/>
            <w:vAlign w:val="center"/>
            <w:textDirection w:val="lrTb"/>
            <w:noWrap w:val="false"/>
          </w:tcPr>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1.试剂型：数量以100人份/盒计算（25ul标准体系）；</w:t>
            </w:r>
            <w:r/>
          </w:p>
          <w:p>
            <w:pPr>
              <w:ind w:firstLine="420"/>
              <w:rPr>
                <w:rFonts w:hint="eastAsia" w:ascii="宋体" w:hAnsi="宋体" w:cs="宋体"/>
                <w:color w:val="auto"/>
                <w:sz w:val="21"/>
                <w:highlight w:val="none"/>
              </w:rPr>
            </w:pPr>
            <w:r>
              <w:rPr>
                <w:rFonts w:hint="eastAsia" w:ascii="宋体" w:hAnsi="宋体" w:cs="宋体"/>
                <w:color w:val="auto"/>
                <w:sz w:val="21"/>
                <w:highlight w:val="none"/>
                <w:lang w:eastAsia="zh-CN"/>
              </w:rPr>
              <w:t xml:space="preserve">2.采用六色荧光技术，单 管 同 时 扩 增不少于 25 个 基 因 座 ，包括24个STR位点和一个插入缺失位点Y-indel，两个内控质量参考（QTS，QTL）。</w:t>
            </w:r>
            <w:r>
              <w:rPr>
                <w:rFonts w:hint="eastAsia" w:ascii="宋体" w:hAnsi="宋体" w:cs="宋体"/>
                <w:color w:val="auto"/>
                <w:sz w:val="21"/>
                <w:highlight w:val="none"/>
              </w:rPr>
              <w:t xml:space="preserve">D18S51、FGA、D21S11、D8S1179、VWA、D13S317、D16S539、D7S820、TH01、D3S1358、D5S818、CSF1PO、D2S1338、D19S433、D1S1656、D12S391、D2S441、D10S1248、TPOX、D22S1045、D6S1043、Penta E、Penta D、Amelogenin</w:t>
            </w:r>
            <w:r>
              <w:rPr>
                <w:rFonts w:hint="eastAsia" w:ascii="宋体" w:hAnsi="宋体" w:cs="宋体"/>
                <w:color w:val="auto"/>
                <w:sz w:val="21"/>
                <w:highlight w:val="none"/>
                <w:lang w:eastAsia="zh-CN"/>
              </w:rPr>
              <w:t xml:space="preserve">;</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3.为提高疑难、陈旧样本检出率，公安部要求的20个核心位点最大片段不超过425bp；</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4.试剂盒必须包含2个内控质量参考（IQC）标记物，可用于样品质量（如抑制物、降解）的快速评估；</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▲5、应用快速扩增酶和高效缓冲体系，扩增时间不超过30分钟，提供彩页或者说明书等证明材料；</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6.包含 11个以上扩增长度小于 220bp 的 Mini 位点，便于降解样品信息的获取，对于降解 DNA 和疑难样品更容易得到完整 DNA 分型信息，数据更精确更可靠；</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▲7、为保证实验稳定性，试剂盒扩增体系可逆热启动，任一阶段断电均可直接继续扩增，提供彩页或者说明书等证明材料。</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8.提供生产制造商盖章的针对本项目的售后服务承诺书。</w:t>
            </w:r>
            <w:r/>
          </w:p>
        </w:tc>
      </w:tr>
      <w:tr>
        <w:trPr>
          <w:jc w:val="center"/>
          <w:trHeight w:val="543"/>
        </w:trPr>
        <w:tc>
          <w:tcPr>
            <w:tcW w:w="284"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12</w:t>
            </w:r>
            <w:r/>
          </w:p>
        </w:tc>
        <w:tc>
          <w:tcPr>
            <w:tcW w:w="425" w:type="dxa"/>
            <w:vAlign w:val="center"/>
            <w:textDirection w:val="lrTb"/>
            <w:noWrap w:val="false"/>
          </w:tcPr>
          <w:p>
            <w:pPr>
              <w:ind w:firstLine="0"/>
              <w:jc w:val="center"/>
              <w:rPr>
                <w:color w:val="auto"/>
                <w:sz w:val="21"/>
                <w:szCs w:val="24"/>
                <w:highlight w:val="none"/>
              </w:rPr>
            </w:pPr>
            <w:r>
              <w:rPr>
                <w:rFonts w:hint="eastAsia"/>
                <w:color w:val="auto"/>
                <w:sz w:val="21"/>
                <w:szCs w:val="24"/>
                <w:highlight w:val="none"/>
              </w:rPr>
              <w:t xml:space="preserve">套管</w:t>
            </w:r>
            <w:r/>
          </w:p>
        </w:tc>
        <w:tc>
          <w:tcPr>
            <w:tcW w:w="9213" w:type="dxa"/>
            <w:vAlign w:val="center"/>
            <w:textDirection w:val="lrTb"/>
            <w:noWrap w:val="false"/>
          </w:tcPr>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1.250个/盒</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2.裂解体积和洗脱体积大于500ul</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3.56摄氏度裂解时间最长可达16小时无渗漏</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4.每个套管独立包装</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5.洗脱管适配QIAcube、EZ1和QIAsymhpnoy等设备</w:t>
            </w:r>
            <w:r/>
          </w:p>
          <w:p>
            <w:pPr>
              <w:ind w:firstLine="420"/>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6.可过滤裂解产物，粒径大于10um的会被滤除</w:t>
            </w:r>
            <w:r/>
          </w:p>
        </w:tc>
      </w:tr>
    </w:tbl>
    <w:p>
      <w:pPr>
        <w:pStyle w:val="914"/>
        <w:ind w:firstLine="480"/>
        <w:rPr>
          <w:color w:val="auto"/>
          <w:highlight w:val="none"/>
          <w:lang w:eastAsia="zh-CN"/>
        </w:rPr>
      </w:pPr>
      <w:r>
        <w:rPr>
          <w:color w:val="auto"/>
          <w:highlight w:val="none"/>
          <w:lang w:eastAsia="zh-CN"/>
        </w:rPr>
      </w:r>
      <w:r/>
    </w:p>
    <w:p>
      <w:pPr>
        <w:ind w:right="-143" w:firstLine="0"/>
        <w:rPr>
          <w:color w:val="auto"/>
          <w:highlight w:val="none"/>
          <w:lang w:eastAsia="zh-CN"/>
        </w:rPr>
      </w:pPr>
      <w:r>
        <w:rPr>
          <w:rFonts w:hint="eastAsia"/>
          <w:b/>
          <w:color w:val="auto"/>
          <w:highlight w:val="none"/>
          <w:lang w:eastAsia="zh-CN"/>
        </w:rPr>
        <w:t xml:space="preserve">三、其他有关说明</w:t>
      </w:r>
      <w:r/>
    </w:p>
    <w:p>
      <w:pPr>
        <w:ind w:right="-143" w:firstLine="480"/>
        <w:rPr>
          <w:color w:val="auto"/>
          <w:highlight w:val="none"/>
          <w:lang w:eastAsia="zh-CN"/>
        </w:rPr>
      </w:pPr>
      <w:r>
        <w:rPr>
          <w:rFonts w:hint="eastAsia"/>
          <w:color w:val="auto"/>
          <w:highlight w:val="none"/>
          <w:lang w:eastAsia="zh-CN"/>
        </w:rPr>
        <w:t xml:space="preserve">1.</w:t>
      </w:r>
      <w:r>
        <w:rPr>
          <w:rFonts w:hint="eastAsia"/>
          <w:color w:val="auto"/>
          <w:highlight w:val="none"/>
          <w:lang w:eastAsia="zh-CN"/>
        </w:rPr>
        <w:tab/>
      </w:r>
      <w:r>
        <w:rPr>
          <w:rFonts w:hint="eastAsia"/>
          <w:color w:val="auto"/>
          <w:highlight w:val="none"/>
          <w:lang w:eastAsia="zh-CN"/>
        </w:rPr>
        <w:t xml:space="preserve">以上相关证书需在供货时同步将原件提供给采购人，若有虚假，由该中标候选人承担由此带来的所有损失，中标人所提供的证书原件须确保真实有效，若有虚假，由中标人承担由此带来的所有损失。</w:t>
      </w:r>
      <w:r/>
    </w:p>
    <w:p>
      <w:pPr>
        <w:ind w:right="-143" w:firstLine="480"/>
        <w:rPr>
          <w:color w:val="auto"/>
          <w:highlight w:val="none"/>
          <w:lang w:eastAsia="zh-CN"/>
        </w:rPr>
      </w:pPr>
      <w:r>
        <w:rPr>
          <w:rFonts w:hint="eastAsia"/>
          <w:color w:val="auto"/>
          <w:highlight w:val="none"/>
          <w:lang w:eastAsia="zh-CN"/>
        </w:rPr>
        <w:t xml:space="preserve">2. 投标总报价包括满足本项目要求的所有产品及其配件、包装、运杂及售后服务等从项目中标起到项目正式交付以及质保期内所发生的一切费用。</w:t>
      </w:r>
      <w:r>
        <w:rPr>
          <w:rFonts w:hint="eastAsia" w:ascii="宋体" w:hAnsi="宋体" w:cs="Times New Roman"/>
          <w:b/>
          <w:bCs/>
          <w:color w:val="auto"/>
          <w:szCs w:val="24"/>
          <w:highlight w:val="none"/>
          <w:lang w:eastAsia="zh-CN"/>
        </w:rPr>
        <w:t xml:space="preserve">本项目投标报价中包含代理服务费，投标供应商应自行考虑将代理服务费纳入所报投标价中。</w:t>
      </w:r>
      <w:r/>
    </w:p>
    <w:p>
      <w:pPr>
        <w:ind w:right="-143" w:firstLine="480"/>
        <w:rPr>
          <w:color w:val="auto"/>
          <w:highlight w:val="none"/>
          <w:lang w:eastAsia="zh-CN"/>
        </w:rPr>
      </w:pPr>
      <w:r>
        <w:rPr>
          <w:rFonts w:hint="eastAsia"/>
          <w:color w:val="auto"/>
          <w:highlight w:val="none"/>
          <w:lang w:eastAsia="zh-CN"/>
        </w:rPr>
        <w:t xml:space="preserve">3.</w:t>
      </w:r>
      <w:r>
        <w:rPr>
          <w:rFonts w:hint="eastAsia"/>
          <w:color w:val="auto"/>
          <w:highlight w:val="none"/>
          <w:lang w:eastAsia="zh-CN"/>
        </w:rPr>
        <w:tab/>
      </w:r>
      <w:r>
        <w:rPr>
          <w:rFonts w:hint="eastAsia"/>
          <w:color w:val="auto"/>
          <w:highlight w:val="none"/>
          <w:lang w:eastAsia="zh-CN"/>
        </w:rPr>
        <w:t xml:space="preserve">通过中国海关报关验放进入中国境内且产自中国境外的产品不在本项目的报价范围。</w:t>
      </w:r>
      <w:r/>
    </w:p>
    <w:p>
      <w:pPr>
        <w:ind w:right="-143" w:firstLine="480"/>
        <w:rPr>
          <w:color w:val="auto"/>
          <w:highlight w:val="none"/>
          <w:lang w:eastAsia="zh-CN"/>
        </w:rPr>
      </w:pPr>
      <w:r>
        <w:rPr>
          <w:rFonts w:hint="eastAsia"/>
          <w:color w:val="auto"/>
          <w:highlight w:val="none"/>
          <w:lang w:eastAsia="zh-CN"/>
        </w:rPr>
        <w:t xml:space="preserve">4.</w:t>
      </w:r>
      <w:r>
        <w:rPr>
          <w:rFonts w:hint="eastAsia"/>
          <w:color w:val="auto"/>
          <w:highlight w:val="none"/>
          <w:lang w:eastAsia="zh-CN"/>
        </w:rPr>
        <w:tab/>
      </w:r>
      <w:r>
        <w:rPr>
          <w:rFonts w:hint="eastAsia"/>
          <w:color w:val="auto"/>
          <w:highlight w:val="none"/>
          <w:lang w:eastAsia="zh-CN"/>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right="-143" w:firstLine="480"/>
        <w:rPr>
          <w:color w:val="auto"/>
          <w:highlight w:val="none"/>
          <w:lang w:eastAsia="zh-CN"/>
        </w:rPr>
      </w:pPr>
      <w:r>
        <w:rPr>
          <w:rFonts w:hint="eastAsia"/>
          <w:color w:val="auto"/>
          <w:highlight w:val="none"/>
          <w:lang w:eastAsia="zh-CN"/>
        </w:rPr>
        <w:t xml:space="preserve">5.</w:t>
      </w:r>
      <w:r>
        <w:rPr>
          <w:rFonts w:hint="eastAsia"/>
          <w:color w:val="auto"/>
          <w:highlight w:val="none"/>
          <w:lang w:eastAsia="zh-CN"/>
        </w:rPr>
        <w:tab/>
      </w:r>
      <w:r>
        <w:rPr>
          <w:rFonts w:hint="eastAsia"/>
          <w:color w:val="auto"/>
          <w:highlight w:val="none"/>
          <w:lang w:eastAsia="zh-CN"/>
        </w:rPr>
        <w:t xml:space="preserve">投标人必须在满足招标文件要求的基础上进行报价，如有技术偏离请于投标偏离表中说明。</w:t>
      </w:r>
      <w:r/>
    </w:p>
    <w:p>
      <w:pPr>
        <w:ind w:right="-143" w:firstLine="480"/>
        <w:rPr>
          <w:color w:val="auto"/>
          <w:highlight w:val="none"/>
          <w:lang w:eastAsia="zh-CN"/>
        </w:rPr>
      </w:pPr>
      <w:r>
        <w:rPr>
          <w:rFonts w:hint="eastAsia"/>
          <w:color w:val="auto"/>
          <w:highlight w:val="none"/>
          <w:lang w:eastAsia="zh-CN"/>
        </w:rPr>
        <w:t xml:space="preserve">6.维修服务响应时间：投标人负责所投产品在保修期内，一旦发生质量问题，中标人保证在接到通知12小时内响应，1日历天内赶到现场进行修理、更换或退货，费用由中标人负责。如中标人在接到通知后12小时内没有答复，则视为中标人承认质量问题并承担由此发生的一切费用。保修期间所有的一切质量问题，更换部件及产品本身质量原因造成的直接经济损失应全部由中标人负责。</w:t>
      </w:r>
      <w:r/>
    </w:p>
    <w:p>
      <w:pPr>
        <w:ind w:right="-143" w:firstLine="480"/>
        <w:rPr>
          <w:color w:val="auto"/>
          <w:highlight w:val="none"/>
          <w:lang w:eastAsia="zh-CN"/>
        </w:rPr>
      </w:pPr>
      <w:r>
        <w:rPr>
          <w:rFonts w:hint="eastAsia"/>
          <w:color w:val="auto"/>
          <w:highlight w:val="none"/>
          <w:lang w:eastAsia="zh-CN"/>
        </w:rPr>
        <w:t xml:space="preserve">7.本项目合同履行地点：无锡市公安局锡山分局，具体地点以合同书约定为准。中标人必须按采购人要求将本项目中货物送到指定地点（包括可能的分布范围），并实施售后服务。</w:t>
      </w:r>
      <w:r/>
    </w:p>
    <w:p>
      <w:pPr>
        <w:ind w:right="-143" w:firstLine="480"/>
        <w:rPr>
          <w:color w:val="auto"/>
          <w:highlight w:val="none"/>
          <w:lang w:eastAsia="zh-CN"/>
        </w:rPr>
      </w:pPr>
      <w:r>
        <w:rPr>
          <w:rFonts w:hint="eastAsia"/>
          <w:color w:val="auto"/>
          <w:highlight w:val="none"/>
          <w:lang w:eastAsia="zh-CN"/>
        </w:rPr>
        <w:t xml:space="preserve">8.质量及验收：</w:t>
      </w:r>
      <w:r/>
    </w:p>
    <w:p>
      <w:pPr>
        <w:ind w:right="-143" w:firstLine="480"/>
        <w:rPr>
          <w:color w:val="auto"/>
          <w:highlight w:val="none"/>
          <w:lang w:eastAsia="zh-CN"/>
        </w:rPr>
      </w:pPr>
      <w:r>
        <w:rPr>
          <w:rFonts w:hint="eastAsia"/>
          <w:color w:val="auto"/>
          <w:highlight w:val="none"/>
          <w:lang w:eastAsia="zh-CN"/>
        </w:rPr>
        <w:t xml:space="preserve">（1）采购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r/>
    </w:p>
    <w:p>
      <w:pPr>
        <w:ind w:right="-143" w:firstLine="480"/>
        <w:rPr>
          <w:color w:val="auto"/>
          <w:highlight w:val="none"/>
          <w:lang w:eastAsia="zh-CN"/>
        </w:rPr>
      </w:pPr>
      <w:r>
        <w:rPr>
          <w:rFonts w:hint="eastAsia"/>
          <w:color w:val="auto"/>
          <w:highlight w:val="none"/>
          <w:lang w:eastAsia="zh-CN"/>
        </w:rPr>
        <w:t xml:space="preserve">（2）投标人在中标后，采购人有权要求中标人提供投标文件内全部产品报告、证书等证明材料复印件并加盖原厂公章原件给采购人，如不能满足，采购人有权终止合同，并依法追究其责任。</w:t>
      </w:r>
      <w:r/>
    </w:p>
    <w:p>
      <w:pPr>
        <w:ind w:right="-143" w:firstLine="480"/>
        <w:rPr>
          <w:color w:val="auto"/>
          <w:highlight w:val="none"/>
          <w:lang w:eastAsia="zh-CN"/>
        </w:rPr>
      </w:pPr>
      <w:r>
        <w:rPr>
          <w:rFonts w:hint="eastAsia"/>
          <w:color w:val="auto"/>
          <w:highlight w:val="none"/>
          <w:lang w:eastAsia="zh-CN"/>
        </w:rPr>
        <w:t xml:space="preserve">9 履约保证金：</w:t>
      </w:r>
      <w:r/>
    </w:p>
    <w:p>
      <w:pPr>
        <w:ind w:firstLine="0"/>
        <w:spacing w:line="240" w:lineRule="auto"/>
        <w:rPr>
          <w:color w:val="auto"/>
          <w:highlight w:val="none"/>
          <w:lang w:eastAsia="zh-CN"/>
        </w:rPr>
      </w:pPr>
      <w:r>
        <w:rPr>
          <w:color w:val="auto"/>
          <w:highlight w:val="none"/>
          <w:lang w:eastAsia="zh-CN"/>
        </w:rPr>
        <w:br w:type="page" w:clear="all"/>
      </w:r>
      <w:r/>
    </w:p>
    <w:p>
      <w:pPr>
        <w:ind w:firstLine="0"/>
        <w:jc w:val="both"/>
        <w:widowControl w:val="off"/>
        <w:tabs>
          <w:tab w:val="left" w:pos="525" w:leader="none"/>
          <w:tab w:val="left" w:pos="630" w:leader="none"/>
          <w:tab w:val="left" w:pos="735" w:leader="none"/>
          <w:tab w:val="left" w:pos="945" w:leader="none"/>
        </w:tabs>
        <w:rPr>
          <w:rFonts w:hint="eastAsia" w:ascii="宋体" w:hAnsi="宋体" w:eastAsia="等线" w:cs="Times New Roman"/>
          <w:b/>
          <w:bCs/>
          <w:color w:val="auto"/>
          <w:sz w:val="30"/>
          <w:szCs w:val="30"/>
          <w:highlight w:val="none"/>
          <w:lang w:eastAsia="zh-CN"/>
        </w:rPr>
      </w:pPr>
      <w:r>
        <w:rPr>
          <w:rFonts w:hint="eastAsia" w:ascii="宋体" w:hAnsi="宋体" w:eastAsia="等线" w:cs="Times New Roman"/>
          <w:b/>
          <w:color w:val="auto"/>
          <w:sz w:val="30"/>
          <w:szCs w:val="30"/>
          <w:highlight w:val="none"/>
          <w:lang w:eastAsia="zh-CN"/>
        </w:rPr>
        <w:t xml:space="preserve">附：政府采购政策（包括但不限于下列具体政策要求）</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2"/>
        <w:spacing w:line="336" w:lineRule="auto"/>
        <w:widowControl w:val="off"/>
        <w:tabs>
          <w:tab w:val="left" w:pos="840" w:leader="none"/>
          <w:tab w:val="left" w:pos="1155" w:leader="none"/>
        </w:tabs>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w:t>
      </w:r>
      <w:r>
        <w:rPr>
          <w:rFonts w:hint="eastAsia" w:ascii="宋体" w:hAnsi="宋体" w:cs="宋体"/>
          <w:bCs/>
          <w:color w:val="auto"/>
          <w:szCs w:val="24"/>
          <w:highlight w:val="none"/>
          <w:lang w:eastAsia="zh-CN"/>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2"/>
        <w:spacing w:line="336" w:lineRule="auto"/>
        <w:widowControl w:val="off"/>
        <w:tabs>
          <w:tab w:val="left" w:pos="840" w:leader="none"/>
          <w:tab w:val="left" w:pos="1155" w:leader="none"/>
        </w:tabs>
        <w:rPr>
          <w:color w:val="auto"/>
          <w:highlight w:val="none"/>
          <w:lang w:eastAsia="zh-CN"/>
        </w:rPr>
      </w:pPr>
      <w:r>
        <w:rPr>
          <w:rFonts w:hint="eastAsia" w:ascii="宋体" w:hAnsi="宋体" w:cs="宋体"/>
          <w:bCs/>
          <w:color w:val="auto"/>
          <w:szCs w:val="24"/>
          <w:highlight w:val="none"/>
          <w:lang w:eastAsia="zh-CN"/>
        </w:rPr>
        <w:t xml:space="preserve">5.依据《江苏省财政厅关于加强政府绿色采购有关事项的通知》（苏财购〔2023〕65号），本项目中如有涉及涂料、胶黏剂、油墨、清洗剂等挥发性有机物产品的，属于强制性标准的，供应商应当执行国家和我省VOCs含量限制标准。</w:t>
      </w:r>
      <w:r/>
    </w:p>
    <w:p>
      <w:pPr>
        <w:ind w:firstLine="480"/>
        <w:spacing w:line="336" w:lineRule="auto"/>
        <w:widowControl w:val="off"/>
        <w:tabs>
          <w:tab w:val="left" w:pos="945" w:leader="none"/>
          <w:tab w:val="left" w:pos="1125" w:leader="none"/>
        </w:tabs>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6.本项目中有信息安全产品的，必须选择经国家认证的信息安全产品，并提供由中国信息安全认证中心（中国网络安全审查技术与认证中心）颁发的有效认证证书复印件。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36"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36" w:lineRule="auto"/>
        <w:widowControl w:val="off"/>
        <w:rPr>
          <w:rFonts w:hint="eastAsia" w:ascii="宋体" w:hAnsi="宋体" w:cs="宋体"/>
          <w:b/>
          <w:color w:val="auto"/>
          <w:szCs w:val="24"/>
          <w:highlight w:val="none"/>
          <w:lang w:eastAsia="zh-CN"/>
        </w:rPr>
      </w:pPr>
      <w:r>
        <w:rPr>
          <w:rFonts w:hint="eastAsia" w:ascii="宋体" w:hAnsi="宋体" w:cs="宋体"/>
          <w:color w:val="auto"/>
          <w:szCs w:val="24"/>
          <w:highlight w:val="none"/>
          <w:lang w:eastAsia="zh-CN"/>
        </w:rPr>
        <w:t xml:space="preserve">8.有关中小企业政策，如落实政府采购政策需满足的资格要求以及落实政府采购政策的价格调整的相关内容可详见本文件其他章节。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color w:val="auto"/>
          <w:szCs w:val="24"/>
          <w:highlight w:val="none"/>
          <w:lang w:eastAsia="zh-CN"/>
        </w:rPr>
        <w:t xml:space="preserve">中华人民共和国政府采购法</w:t>
      </w:r>
      <w:r>
        <w:rPr>
          <w:rFonts w:hint="eastAsia" w:ascii="宋体" w:hAnsi="宋体" w:cs="宋体"/>
          <w:bCs/>
          <w:color w:val="auto"/>
          <w:szCs w:val="24"/>
          <w:highlight w:val="none"/>
          <w:lang w:eastAsia="zh-CN"/>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36"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9.中标、成交供应商可采用合同融资形式，中标人可凭政府采购合同办理融资贷款，详见政府采购网“政采贷”专栏。</w:t>
      </w:r>
      <w:r/>
    </w:p>
    <w:p>
      <w:pPr>
        <w:contextualSpacing/>
        <w:ind w:firstLine="480"/>
        <w:spacing w:line="336"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10.履约担保，是指由专业担保机构为中标、成交供应商支付履约保证金的义务向采购人提供的保函担保。专业担保机构根据中标、成交供应商的中标（成交）通知书为凭据，进行资信审查后出具保函，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36"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11.本项目中如有涉及数据库、操作系</w:t>
      </w:r>
      <w:r>
        <w:rPr>
          <w:rFonts w:hint="eastAsia" w:ascii="宋体" w:hAnsi="宋体" w:cs="宋体"/>
          <w:color w:val="auto"/>
          <w:szCs w:val="24"/>
          <w:highlight w:val="none"/>
          <w:lang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36"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12.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36" w:lineRule="auto"/>
        <w:widowControl w:val="off"/>
        <w:rPr>
          <w:rFonts w:hint="eastAsia" w:ascii="宋体" w:hAnsi="宋体" w:cs="宋体"/>
          <w:color w:val="auto"/>
          <w:szCs w:val="24"/>
          <w:highlight w:val="none"/>
          <w:lang w:val="en" w:eastAsia="zh-CN"/>
        </w:rPr>
      </w:pPr>
      <w:r>
        <w:rPr>
          <w:rFonts w:hint="eastAsia" w:ascii="宋体" w:hAnsi="宋体" w:cs="宋体"/>
          <w:color w:val="auto"/>
          <w:szCs w:val="24"/>
          <w:highlight w:val="none"/>
          <w:lang w:eastAsia="zh-CN"/>
        </w:rPr>
        <w:t xml:space="preserve">13.</w:t>
      </w:r>
      <w:r>
        <w:rPr>
          <w:rFonts w:hint="eastAsia" w:ascii="宋体" w:hAnsi="宋体" w:cs="宋体"/>
          <w:color w:val="auto"/>
          <w:szCs w:val="24"/>
          <w:highlight w:val="none"/>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2"/>
        <w:rPr>
          <w:rFonts w:hint="eastAsia" w:ascii="宋体" w:hAnsi="宋体" w:cs="宋体"/>
          <w:b/>
          <w:bCs/>
          <w:color w:val="auto"/>
          <w:szCs w:val="24"/>
          <w:highlight w:val="none"/>
          <w:lang w:val="en" w:eastAsia="zh-CN"/>
        </w:rPr>
      </w:pPr>
      <w:r>
        <w:rPr>
          <w:rFonts w:hint="eastAsia" w:ascii="宋体" w:hAnsi="宋体" w:cs="宋体"/>
          <w:b/>
          <w:bCs/>
          <w:color w:val="auto"/>
          <w:szCs w:val="24"/>
          <w:highlight w:val="none"/>
          <w:lang w:eastAsia="zh-CN"/>
        </w:rPr>
        <w:t xml:space="preserve">14.</w:t>
      </w:r>
      <w:r>
        <w:rPr>
          <w:rFonts w:hint="eastAsia" w:ascii="宋体" w:hAnsi="宋体" w:cs="宋体"/>
          <w:b/>
          <w:bCs/>
          <w:color w:val="auto"/>
          <w:szCs w:val="24"/>
          <w:highlight w:val="none"/>
          <w:lang w:val="en" w:eastAsia="zh-CN"/>
        </w:rPr>
        <w:t xml:space="preserve">政府采购中实施本国产品标准及相关政策</w:t>
      </w:r>
      <w:r/>
    </w:p>
    <w:p>
      <w:pPr>
        <w:contextualSpacing/>
        <w:ind w:firstLine="480"/>
        <w:rPr>
          <w:rFonts w:hint="eastAsia" w:ascii="宋体" w:hAnsi="宋体" w:cs="宋体"/>
          <w:color w:val="auto"/>
          <w:szCs w:val="24"/>
          <w:highlight w:val="none"/>
          <w:lang w:val="en" w:eastAsia="zh-CN"/>
        </w:rPr>
      </w:pPr>
      <w:r>
        <w:rPr>
          <w:rFonts w:hint="eastAsia" w:ascii="宋体" w:hAnsi="宋体" w:cs="宋体"/>
          <w:color w:val="auto"/>
          <w:szCs w:val="24"/>
          <w:highlight w:val="none"/>
          <w:lang w:val="en" w:eastAsia="zh-CN"/>
        </w:rPr>
        <w:t xml:space="preserve">（</w:t>
      </w:r>
      <w:r>
        <w:rPr>
          <w:rFonts w:hint="eastAsia" w:ascii="宋体" w:hAnsi="宋体" w:cs="宋体"/>
          <w:color w:val="auto"/>
          <w:szCs w:val="24"/>
          <w:highlight w:val="none"/>
          <w:lang w:eastAsia="zh-CN"/>
        </w:rPr>
        <w:t xml:space="preserve">1</w:t>
      </w:r>
      <w:r>
        <w:rPr>
          <w:rFonts w:hint="eastAsia" w:ascii="宋体" w:hAnsi="宋体" w:cs="宋体"/>
          <w:color w:val="auto"/>
          <w:szCs w:val="24"/>
          <w:highlight w:val="none"/>
          <w:lang w:val="en" w:eastAsia="zh-CN"/>
        </w:rPr>
        <w:t xml:space="preserve">）本项目对采购本国产品给予政策支持，具体内容见招标文件“二、供应商须知 （九）开标、评标</w:t>
      </w:r>
      <w:r>
        <w:rPr>
          <w:rFonts w:hint="eastAsia" w:ascii="宋体" w:hAnsi="宋体" w:cs="宋体"/>
          <w:color w:val="auto"/>
          <w:szCs w:val="24"/>
          <w:highlight w:val="none"/>
          <w:lang w:eastAsia="zh-CN"/>
        </w:rPr>
        <w:t xml:space="preserve">5.</w:t>
      </w:r>
      <w:r>
        <w:rPr>
          <w:rFonts w:hint="eastAsia" w:ascii="宋体" w:hAnsi="宋体" w:cs="宋体"/>
          <w:color w:val="auto"/>
          <w:szCs w:val="24"/>
          <w:highlight w:val="none"/>
          <w:lang w:val="en" w:eastAsia="zh-CN"/>
        </w:rPr>
        <w:t xml:space="preserve">评标方法”。</w:t>
      </w:r>
      <w:r/>
    </w:p>
    <w:p>
      <w:pPr>
        <w:contextualSpacing/>
        <w:ind w:firstLine="480"/>
        <w:rPr>
          <w:rFonts w:hint="eastAsia" w:ascii="宋体" w:hAnsi="宋体" w:cs="宋体"/>
          <w:color w:val="auto"/>
          <w:szCs w:val="24"/>
          <w:highlight w:val="none"/>
          <w:lang w:val="en" w:eastAsia="zh-CN"/>
        </w:rPr>
      </w:pPr>
      <w:r>
        <w:rPr>
          <w:rFonts w:hint="eastAsia" w:ascii="宋体" w:hAnsi="宋体" w:cs="宋体"/>
          <w:color w:val="auto"/>
          <w:szCs w:val="24"/>
          <w:highlight w:val="none"/>
          <w:lang w:val="en" w:eastAsia="zh-CN"/>
        </w:rPr>
        <w:t xml:space="preserve">（</w:t>
      </w:r>
      <w:r>
        <w:rPr>
          <w:rFonts w:hint="eastAsia" w:ascii="宋体" w:hAnsi="宋体" w:cs="宋体"/>
          <w:color w:val="auto"/>
          <w:szCs w:val="24"/>
          <w:highlight w:val="none"/>
          <w:lang w:eastAsia="zh-CN"/>
        </w:rPr>
        <w:t xml:space="preserve">2</w:t>
      </w:r>
      <w:r>
        <w:rPr>
          <w:rFonts w:hint="eastAsia" w:ascii="宋体" w:hAnsi="宋体" w:cs="宋体"/>
          <w:color w:val="auto"/>
          <w:szCs w:val="24"/>
          <w:highlight w:val="none"/>
          <w:lang w:val="e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rPr>
          <w:rFonts w:hint="eastAsia" w:ascii="宋体" w:hAnsi="宋体" w:cs="宋体"/>
          <w:color w:val="auto"/>
          <w:szCs w:val="24"/>
          <w:highlight w:val="none"/>
          <w:lang w:val="en" w:eastAsia="zh-CN"/>
        </w:rPr>
      </w:pPr>
      <w:r>
        <w:rPr>
          <w:rFonts w:hint="eastAsia" w:ascii="宋体" w:hAnsi="宋体" w:cs="宋体"/>
          <w:color w:val="auto"/>
          <w:szCs w:val="24"/>
          <w:highlight w:val="none"/>
          <w:lang w:val="en" w:eastAsia="zh-CN"/>
        </w:rPr>
        <w:t xml:space="preserve">（</w:t>
      </w:r>
      <w:r>
        <w:rPr>
          <w:rFonts w:hint="eastAsia" w:ascii="宋体" w:hAnsi="宋体" w:cs="宋体"/>
          <w:color w:val="auto"/>
          <w:szCs w:val="24"/>
          <w:highlight w:val="none"/>
          <w:lang w:eastAsia="zh-CN"/>
        </w:rPr>
        <w:t xml:space="preserve">3</w:t>
      </w:r>
      <w:r>
        <w:rPr>
          <w:rFonts w:hint="eastAsia" w:ascii="宋体" w:hAnsi="宋体" w:cs="宋体"/>
          <w:color w:val="auto"/>
          <w:szCs w:val="24"/>
          <w:highlight w:val="none"/>
          <w:lang w:val="e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firstLine="0"/>
        <w:widowControl w:val="off"/>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r>
      <w:r/>
    </w:p>
    <w:p>
      <w:pPr>
        <w:ind w:firstLine="0"/>
        <w:spacing w:line="240" w:lineRule="auto"/>
        <w:rPr>
          <w:rFonts w:hint="eastAsia" w:ascii="宋体" w:hAnsi="宋体" w:cs="宋体"/>
          <w:b/>
          <w:bCs/>
          <w:color w:val="auto"/>
          <w:szCs w:val="24"/>
          <w:highlight w:val="none"/>
          <w:lang w:val="zh-CN" w:eastAsia="zh-CN"/>
        </w:rPr>
      </w:pPr>
      <w:r>
        <w:rPr>
          <w:rFonts w:ascii="宋体" w:hAnsi="宋体" w:cs="宋体"/>
          <w:b/>
          <w:bCs/>
          <w:color w:val="auto"/>
          <w:szCs w:val="24"/>
          <w:highlight w:val="none"/>
          <w:lang w:val="zh-CN" w:eastAsia="zh-CN"/>
        </w:rPr>
        <w:br w:type="page" w:clear="all"/>
      </w:r>
      <w:r/>
    </w:p>
    <w:p>
      <w:pPr>
        <w:pStyle w:val="901"/>
        <w:spacing w:after="240"/>
        <w:rPr>
          <w:color w:val="auto"/>
          <w:highlight w:val="none"/>
          <w:lang w:eastAsia="zh-CN"/>
        </w:rPr>
      </w:pPr>
      <w:r/>
      <w:bookmarkStart w:id="22" w:name="_Toc161316667"/>
      <w:r>
        <w:rPr>
          <w:rFonts w:hint="eastAsia"/>
          <w:color w:val="auto"/>
          <w:highlight w:val="none"/>
          <w:lang w:eastAsia="zh-CN"/>
        </w:rPr>
        <w:t xml:space="preserve">四、</w:t>
      </w:r>
      <w:bookmarkEnd w:id="22"/>
      <w:r>
        <w:rPr>
          <w:rFonts w:hint="eastAsia"/>
          <w:color w:val="auto"/>
          <w:highlight w:val="none"/>
          <w:lang w:eastAsia="zh-CN"/>
        </w:rPr>
        <w:t xml:space="preserve">政府采购货物买卖合同</w:t>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center"/>
        <w:spacing w:line="240" w:lineRule="auto"/>
        <w:widowControl w:val="off"/>
        <w:rPr>
          <w:rFonts w:hint="eastAsia"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r>
      <w:r/>
    </w:p>
    <w:p>
      <w:pPr>
        <w:ind w:firstLine="0"/>
        <w:jc w:val="center"/>
        <w:spacing w:line="240" w:lineRule="auto"/>
        <w:widowControl w:val="off"/>
        <w:rPr>
          <w:rFonts w:hint="eastAsia"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政府采购货物买卖合同</w:t>
      </w:r>
      <w:r/>
    </w:p>
    <w:p>
      <w:pPr>
        <w:ind w:firstLine="0"/>
        <w:jc w:val="center"/>
        <w:spacing w:line="240" w:lineRule="auto"/>
        <w:widowControl w:val="off"/>
        <w:rPr>
          <w:rFonts w:hint="eastAsia"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ind w:firstLine="0"/>
        <w:jc w:val="both"/>
        <w:spacing w:line="240" w:lineRule="auto"/>
        <w:widowControl w:val="off"/>
        <w:rPr>
          <w:rFonts w:hint="eastAsia" w:ascii="宋体" w:hAnsi="宋体" w:eastAsia="等线" w:cs="宋体"/>
          <w:b/>
          <w:bCs/>
          <w:color w:val="auto"/>
          <w:spacing w:val="-20"/>
          <w:sz w:val="40"/>
          <w:szCs w:val="40"/>
          <w:highlight w:val="none"/>
          <w:lang w:eastAsia="zh-CN"/>
        </w:rPr>
      </w:pPr>
      <w:r>
        <w:rPr>
          <w:rFonts w:hint="eastAsia" w:ascii="宋体" w:hAnsi="宋体" w:eastAsia="等线" w:cs="宋体"/>
          <w:b/>
          <w:bCs/>
          <w:color w:val="auto"/>
          <w:spacing w:val="-20"/>
          <w:sz w:val="40"/>
          <w:szCs w:val="40"/>
          <w:highlight w:val="none"/>
          <w:lang w:eastAsia="zh-CN"/>
        </w:rPr>
      </w:r>
      <w:r/>
    </w:p>
    <w:p>
      <w:pPr>
        <w:ind w:firstLine="0"/>
        <w:jc w:val="both"/>
        <w:spacing w:line="240" w:lineRule="auto"/>
        <w:widowControl w:val="off"/>
        <w:rPr>
          <w:rFonts w:hint="eastAsia" w:ascii="宋体" w:hAnsi="宋体" w:eastAsia="等线" w:cs="宋体"/>
          <w:b/>
          <w:bCs/>
          <w:color w:val="auto"/>
          <w:spacing w:val="-20"/>
          <w:sz w:val="40"/>
          <w:szCs w:val="40"/>
          <w:highlight w:val="none"/>
          <w:lang w:eastAsia="zh-CN"/>
        </w:rPr>
      </w:pPr>
      <w:r>
        <w:rPr>
          <w:rFonts w:hint="eastAsia" w:ascii="宋体" w:hAnsi="宋体" w:eastAsia="等线" w:cs="宋体"/>
          <w:b/>
          <w:bCs/>
          <w:color w:val="auto"/>
          <w:spacing w:val="-20"/>
          <w:sz w:val="40"/>
          <w:szCs w:val="40"/>
          <w:highlight w:val="none"/>
          <w:lang w:eastAsia="zh-CN"/>
        </w:rPr>
      </w:r>
      <w:r/>
    </w:p>
    <w:p>
      <w:pPr>
        <w:ind w:firstLine="0"/>
        <w:jc w:val="both"/>
        <w:spacing w:line="240" w:lineRule="auto"/>
        <w:widowControl w:val="off"/>
        <w:rPr>
          <w:rFonts w:hint="eastAsia" w:ascii="宋体" w:hAnsi="宋体" w:eastAsia="等线" w:cs="宋体"/>
          <w:b/>
          <w:bCs/>
          <w:color w:val="auto"/>
          <w:spacing w:val="-20"/>
          <w:sz w:val="40"/>
          <w:szCs w:val="40"/>
          <w:highlight w:val="none"/>
          <w:lang w:eastAsia="zh-CN"/>
        </w:rPr>
      </w:pPr>
      <w:r>
        <w:rPr>
          <w:rFonts w:hint="eastAsia" w:ascii="宋体" w:hAnsi="宋体" w:eastAsia="等线" w:cs="宋体"/>
          <w:b/>
          <w:bCs/>
          <w:color w:val="auto"/>
          <w:spacing w:val="-20"/>
          <w:sz w:val="40"/>
          <w:szCs w:val="40"/>
          <w:highlight w:val="none"/>
          <w:lang w:eastAsia="zh-CN"/>
        </w:rPr>
      </w:r>
      <w:r/>
    </w:p>
    <w:p>
      <w:pPr>
        <w:ind w:left="420" w:firstLine="0"/>
        <w:jc w:val="both"/>
        <w:widowControl w:val="off"/>
        <w:rPr>
          <w:rFonts w:hint="eastAsia" w:ascii="等线" w:hAnsi="等线" w:eastAsia="等线" w:cs="Times New Roman"/>
          <w:color w:val="auto"/>
          <w:sz w:val="32"/>
          <w:szCs w:val="32"/>
          <w:highlight w:val="none"/>
          <w:lang w:eastAsia="zh-CN"/>
        </w:rPr>
      </w:pPr>
      <w:r>
        <w:rPr>
          <w:rFonts w:hint="eastAsia" w:ascii="宋体" w:hAnsi="宋体" w:eastAsia="等线" w:cs="宋体"/>
          <w:color w:val="auto"/>
          <w:sz w:val="32"/>
          <w:szCs w:val="32"/>
          <w:highlight w:val="none"/>
          <w:lang w:eastAsia="zh-CN"/>
        </w:rPr>
        <w:t xml:space="preserve">项目名称：</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hint="eastAsia"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合同编号：</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hint="eastAsia"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甲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hint="eastAsia"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乙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hint="eastAsia"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签订时间：</w:t>
      </w:r>
      <w:r>
        <w:rPr>
          <w:rFonts w:hint="eastAsia" w:ascii="等线" w:hAnsi="等线" w:eastAsia="等线" w:cs="Times New Roman"/>
          <w:color w:val="auto"/>
          <w:sz w:val="32"/>
          <w:szCs w:val="32"/>
          <w:highlight w:val="none"/>
          <w:u w:val="single"/>
          <w:lang w:eastAsia="zh-CN"/>
        </w:rPr>
        <w:t xml:space="preserve">      </w:t>
      </w:r>
      <w:r>
        <w:rPr>
          <w:rFonts w:ascii="等线" w:hAnsi="等线" w:eastAsia="等线" w:cs="Times New Roman"/>
          <w:color w:val="auto"/>
          <w:sz w:val="32"/>
          <w:szCs w:val="32"/>
          <w:highlight w:val="none"/>
          <w:u w:val="single"/>
          <w:lang w:eastAsia="zh-CN"/>
        </w:rPr>
        <w:t xml:space="preserve">           </w:t>
      </w:r>
      <w:r>
        <w:rPr>
          <w:rFonts w:hint="eastAsia" w:ascii="等线" w:hAnsi="等线" w:eastAsia="等线" w:cs="Times New Roman"/>
          <w:color w:val="auto"/>
          <w:sz w:val="32"/>
          <w:szCs w:val="32"/>
          <w:highlight w:val="none"/>
          <w:u w:val="single"/>
          <w:lang w:eastAsia="zh-CN"/>
        </w:rPr>
        <w:t xml:space="preserve">            </w:t>
      </w:r>
      <w:r/>
    </w:p>
    <w:p>
      <w:pPr>
        <w:ind w:firstLine="0"/>
        <w:jc w:val="both"/>
        <w:spacing w:line="240" w:lineRule="auto"/>
        <w:widowControl w:val="off"/>
        <w:rPr>
          <w:rFonts w:hint="eastAsia"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r>
      <w:r/>
    </w:p>
    <w:p>
      <w:pPr>
        <w:ind w:firstLine="0"/>
        <w:jc w:val="both"/>
        <w:spacing w:line="240" w:lineRule="auto"/>
        <w:widowControl w:val="off"/>
        <w:rPr>
          <w:rFonts w:hint="eastAsia" w:ascii="等线" w:hAnsi="等线" w:eastAsia="黑体" w:cs="Times New Roman"/>
          <w:color w:val="auto"/>
          <w:sz w:val="44"/>
          <w:szCs w:val="44"/>
          <w:highlight w:val="none"/>
          <w:lang w:eastAsia="zh-CN"/>
        </w:rPr>
      </w:pPr>
      <w:r>
        <w:rPr>
          <w:rFonts w:ascii="等线" w:hAnsi="等线" w:eastAsia="黑体" w:cs="Times New Roman"/>
          <w:color w:val="auto"/>
          <w:sz w:val="44"/>
          <w:szCs w:val="44"/>
          <w:highlight w:val="none"/>
          <w:lang w:eastAsia="zh-CN"/>
        </w:rPr>
        <w:br w:type="page" w:clear="all"/>
      </w:r>
      <w:r/>
    </w:p>
    <w:p>
      <w:pPr>
        <w:ind w:firstLine="0"/>
        <w:jc w:val="center"/>
        <w:spacing w:line="240" w:lineRule="auto"/>
        <w:widowControl w:val="off"/>
        <w:rPr>
          <w:rFonts w:hint="eastAsia"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使 用 说 明</w:t>
      </w:r>
      <w:r/>
    </w:p>
    <w:p>
      <w:pPr>
        <w:ind w:firstLine="640"/>
        <w:jc w:val="both"/>
        <w:spacing w:line="240" w:lineRule="auto"/>
        <w:widowControl w:val="off"/>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r>
      <w:r/>
    </w:p>
    <w:p>
      <w:pPr>
        <w:ind w:firstLine="640"/>
        <w:jc w:val="both"/>
        <w:spacing w:line="240" w:lineRule="auto"/>
        <w:widowControl w:val="off"/>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1.本合同标准文本适用于购买现成货物的采购项目，不包括需要供应商定制开发、创新研发的货物采购项目。</w:t>
      </w:r>
      <w:r/>
    </w:p>
    <w:p>
      <w:pPr>
        <w:ind w:firstLine="0"/>
        <w:jc w:val="both"/>
        <w:spacing w:line="240" w:lineRule="auto"/>
        <w:widowControl w:val="off"/>
        <w:rPr>
          <w:rFonts w:hint="eastAsia"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   </w:t>
      </w:r>
      <w:r>
        <w:rPr>
          <w:rFonts w:hint="eastAsia" w:ascii="仿宋_GB2312" w:hAnsi="仿宋_GB2312" w:eastAsia="仿宋_GB2312" w:cs="仿宋_GB2312"/>
          <w:color w:val="auto"/>
          <w:sz w:val="32"/>
          <w:szCs w:val="32"/>
          <w:highlight w:val="none"/>
          <w:lang w:eastAsia="zh-CN"/>
        </w:rPr>
        <w:t xml:space="preserve">2.本合同标准文本为政府采购货物买卖合同编制提供参考，可以结合采购项目具体情况，对文本做必要的调整修订后使用。</w:t>
      </w:r>
      <w:r/>
    </w:p>
    <w:p>
      <w:pPr>
        <w:ind w:firstLine="640"/>
        <w:jc w:val="both"/>
        <w:spacing w:line="240" w:lineRule="auto"/>
        <w:widowControl w:val="off"/>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3.本合同标准文本各条款中，如涉及填写多家供应商、制造商，多种采购标的、分包主要内容等信息的，可根据采购项目具体情况添加信息项。</w:t>
      </w:r>
      <w:r/>
    </w:p>
    <w:p>
      <w:pPr>
        <w:ind w:firstLine="880"/>
        <w:jc w:val="both"/>
        <w:spacing w:line="240" w:lineRule="auto"/>
        <w:widowControl w:val="off"/>
        <w:rPr>
          <w:rFonts w:hint="eastAsia" w:ascii="等线" w:hAnsi="等线" w:eastAsia="黑体" w:cs="Times New Roman"/>
          <w:color w:val="auto"/>
          <w:sz w:val="44"/>
          <w:szCs w:val="44"/>
          <w:highlight w:val="none"/>
          <w:lang w:eastAsia="zh-CN"/>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992" w:bottom="1440" w:left="992" w:header="851" w:footer="992" w:gutter="0"/>
          <w:cols w:num="1" w:sep="0" w:space="425" w:equalWidth="1"/>
          <w:docGrid w:linePitch="360"/>
        </w:sectPr>
      </w:pPr>
      <w:r>
        <w:rPr>
          <w:rFonts w:hint="eastAsia" w:ascii="等线" w:hAnsi="等线" w:eastAsia="黑体" w:cs="Times New Roman"/>
          <w:color w:val="auto"/>
          <w:sz w:val="44"/>
          <w:szCs w:val="44"/>
          <w:highlight w:val="none"/>
          <w:lang w:eastAsia="zh-CN"/>
        </w:rPr>
      </w:r>
      <w:r/>
    </w:p>
    <w:p>
      <w:pPr>
        <w:ind w:firstLine="0"/>
        <w:jc w:val="center"/>
        <w:keepLines/>
        <w:keepNext/>
        <w:spacing w:before="360" w:after="200" w:line="400" w:lineRule="exact"/>
        <w:widowControl w:val="off"/>
        <w:rPr>
          <w:rFonts w:hint="eastAsia" w:ascii="黑体" w:hAnsi="华文中宋" w:eastAsia="黑体"/>
          <w:color w:val="auto"/>
          <w:sz w:val="28"/>
          <w:szCs w:val="28"/>
          <w:highlight w:val="none"/>
          <w:lang w:eastAsia="zh-CN"/>
        </w:rPr>
        <w:outlineLvl w:val="1"/>
      </w:pPr>
      <w:r/>
      <w:bookmarkStart w:id="23" w:name="_Toc22209"/>
      <w:r>
        <w:rPr>
          <w:rFonts w:hint="eastAsia" w:ascii="黑体" w:hAnsi="黑体" w:eastAsia="黑体"/>
          <w:color w:val="auto"/>
          <w:sz w:val="28"/>
          <w:szCs w:val="28"/>
          <w:highlight w:val="none"/>
          <w:lang w:eastAsia="zh-CN"/>
        </w:rPr>
        <w:t xml:space="preserve">第一节 </w:t>
      </w:r>
      <w:r>
        <w:rPr>
          <w:rFonts w:hint="eastAsia" w:ascii="黑体" w:hAnsi="华文中宋" w:eastAsia="黑体"/>
          <w:color w:val="auto"/>
          <w:sz w:val="28"/>
          <w:szCs w:val="28"/>
          <w:highlight w:val="none"/>
          <w:lang w:eastAsia="zh-CN"/>
        </w:rPr>
        <w:t xml:space="preserve">政府采购合同协议书</w:t>
      </w:r>
      <w:bookmarkEnd w:id="23"/>
      <w:r/>
      <w:r/>
    </w:p>
    <w:p>
      <w:pPr>
        <w:pStyle w:val="938"/>
        <w:jc w:val="center"/>
        <w:keepLines/>
        <w:keepNext/>
        <w:spacing w:before="360" w:after="200"/>
        <w:widowControl w:val="off"/>
        <w:rPr>
          <w:rFonts w:hint="eastAsia" w:ascii="黑体" w:hAnsi="华文中宋" w:eastAsia="黑体"/>
          <w:color w:val="auto"/>
          <w:sz w:val="28"/>
          <w:szCs w:val="28"/>
          <w:highlight w:val="none"/>
          <w:lang w:eastAsia="zh-CN"/>
        </w:rPr>
        <w:outlineLvl w:val="1"/>
      </w:pPr>
      <w:r>
        <w:rPr>
          <w:rFonts w:hint="eastAsia" w:ascii="黑体" w:hAnsi="华文中宋" w:eastAsia="黑体"/>
          <w:color w:val="auto"/>
          <w:sz w:val="28"/>
          <w:szCs w:val="28"/>
          <w:highlight w:val="none"/>
          <w:lang w:eastAsia="zh-CN"/>
        </w:rPr>
      </w:r>
      <w:r/>
    </w:p>
    <w:p>
      <w:pPr>
        <w:ind w:firstLine="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甲方（全称）：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采购人、受采购人委托签订合同的单位或采购文件约定的合同甲方）</w:t>
      </w:r>
      <w:r/>
    </w:p>
    <w:p>
      <w:pPr>
        <w:ind w:firstLine="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乙方1（全称）：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（供应商）</w:t>
      </w:r>
      <w:r/>
    </w:p>
    <w:p>
      <w:pPr>
        <w:ind w:firstLine="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乙方2（全称）：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hint="eastAsia" w:ascii="宋体" w:hAnsi="宋体" w:eastAsia="等线" w:cs="Times New Roman"/>
          <w:color w:val="auto"/>
          <w:sz w:val="21"/>
          <w:highlight w:val="none"/>
          <w:lang w:eastAsia="zh-CN"/>
        </w:rPr>
      </w:pPr>
      <w:r>
        <w:rPr>
          <w:rFonts w:hint="eastAsia" w:ascii="等线" w:hAnsi="等线" w:eastAsia="等线" w:cs="Times New Roman"/>
          <w:color w:val="auto"/>
          <w:sz w:val="21"/>
          <w:szCs w:val="22"/>
          <w:highlight w:val="none"/>
          <w:lang w:eastAsia="zh-CN"/>
        </w:rPr>
        <w:t xml:space="preserve">乙方</w:t>
      </w:r>
      <w:r>
        <w:rPr>
          <w:rFonts w:hint="eastAsia" w:ascii="宋体" w:hAnsi="宋体" w:eastAsia="等线" w:cs="Times New Roman"/>
          <w:color w:val="auto"/>
          <w:sz w:val="21"/>
          <w:highlight w:val="none"/>
          <w:lang w:eastAsia="zh-CN"/>
        </w:rPr>
        <w:t xml:space="preserve">3</w:t>
      </w:r>
      <w:r>
        <w:rPr>
          <w:rFonts w:hint="eastAsia" w:ascii="等线" w:hAnsi="等线" w:eastAsia="等线" w:cs="Times New Roman"/>
          <w:color w:val="auto"/>
          <w:sz w:val="21"/>
          <w:szCs w:val="22"/>
          <w:highlight w:val="none"/>
          <w:lang w:eastAsia="zh-CN"/>
        </w:rPr>
        <w:t xml:space="preserve">（全称）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hint="eastAsia" w:ascii="等线" w:hAnsi="等线" w:cs="Times New Roman"/>
          <w:color w:val="auto"/>
          <w:sz w:val="21"/>
          <w:szCs w:val="22"/>
          <w:highlight w:val="none"/>
          <w:lang w:eastAsia="zh-CN"/>
        </w:rPr>
      </w:pPr>
      <w:r>
        <w:rPr>
          <w:rFonts w:hint="eastAsia" w:ascii="等线" w:hAnsi="等线" w:cs="Times New Roman"/>
          <w:color w:val="auto"/>
          <w:sz w:val="21"/>
          <w:szCs w:val="22"/>
          <w:highlight w:val="none"/>
          <w:lang w:eastAsia="zh-CN"/>
        </w:rPr>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jc w:val="both"/>
        <w:spacing w:line="400" w:lineRule="exact"/>
        <w:widowControl w:val="off"/>
        <w:rPr>
          <w:rFonts w:hint="eastAsia"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项目信息</w:t>
      </w:r>
      <w:r/>
    </w:p>
    <w:p>
      <w:pPr>
        <w:numPr>
          <w:ilvl w:val="0"/>
          <w:numId w:val="4"/>
        </w:numPr>
        <w:jc w:val="both"/>
        <w:spacing w:line="400" w:lineRule="exact"/>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采购项目名称：</w:t>
      </w:r>
      <w:r>
        <w:rPr>
          <w:rFonts w:hint="eastAsia" w:ascii="宋体" w:hAnsi="宋体" w:eastAsia="等线" w:cs="Times New Roman"/>
          <w:color w:val="auto"/>
          <w:sz w:val="21"/>
          <w:highlight w:val="none"/>
          <w:u w:val="single"/>
          <w:lang w:eastAsia="zh-CN"/>
        </w:rPr>
        <w:t xml:space="preserve">                                         </w:t>
      </w:r>
      <w:r/>
    </w:p>
    <w:p>
      <w:pPr>
        <w:numPr>
          <w:ilvl w:val="255"/>
          <w:numId w:val="0"/>
        </w:numPr>
        <w:jc w:val="both"/>
        <w:spacing w:line="400" w:lineRule="exact"/>
        <w:widowControl w:val="off"/>
        <w:tabs>
          <w:tab w:val="left" w:pos="999" w:leader="none"/>
        </w:tabs>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采购项目编号：</w:t>
      </w:r>
      <w:r>
        <w:rPr>
          <w:rFonts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（2）采购计划编号：</w:t>
      </w:r>
      <w:r>
        <w:rPr>
          <w:rFonts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lang w:eastAsia="zh-CN"/>
        </w:rPr>
        <w:t xml:space="preserve"> </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（3）项目内容：</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采购标的及数量（台/套</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个</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架</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组等</w:t>
      </w:r>
      <w:r>
        <w:rPr>
          <w:rFonts w:hint="eastAsia" w:ascii="宋体" w:hAnsi="宋体" w:eastAsia="等线" w:cs="Times New Roman"/>
          <w:color w:val="auto"/>
          <w:sz w:val="21"/>
          <w:highlight w:val="none"/>
          <w:lang w:eastAsia="zh-CN"/>
        </w:rPr>
        <w:t xml:space="preserve">）：</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          </w:t>
      </w:r>
      <w:r/>
    </w:p>
    <w:p>
      <w:pPr>
        <w:numPr>
          <w:ilvl w:val="255"/>
          <w:numId w:val="0"/>
        </w:numPr>
        <w:ind w:firstLine="420"/>
        <w:jc w:val="both"/>
        <w:spacing w:line="400" w:lineRule="exact"/>
        <w:widowControl w:val="off"/>
        <w:rPr>
          <w:rFonts w:hint="eastAsia" w:ascii="宋体" w:hAnsi="宋体" w:eastAsia="等线" w:cs="宋体"/>
          <w:color w:val="auto"/>
          <w:sz w:val="21"/>
          <w:highlight w:val="none"/>
          <w:lang w:val="en"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品牌：</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lang w:val="en" w:eastAsia="zh-CN"/>
        </w:rPr>
        <w:t xml:space="preserve">     </w:t>
      </w:r>
      <w:r>
        <w:rPr>
          <w:rFonts w:hint="eastAsia" w:ascii="宋体" w:hAnsi="宋体" w:eastAsia="等线" w:cs="宋体"/>
          <w:color w:val="auto"/>
          <w:sz w:val="21"/>
          <w:highlight w:val="none"/>
          <w:lang w:eastAsia="zh-CN"/>
        </w:rPr>
        <w:t xml:space="preserve">规格型号：</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p>
    <w:p>
      <w:pPr>
        <w:ind w:firstLine="945"/>
        <w:jc w:val="both"/>
        <w:spacing w:line="400" w:lineRule="exact"/>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采购标的的技术要求、商务要求具体见附件。</w:t>
      </w:r>
      <w:r/>
    </w:p>
    <w:p>
      <w:pPr>
        <w:numPr>
          <w:ilvl w:val="255"/>
          <w:numId w:val="0"/>
        </w:numPr>
        <w:ind w:firstLine="945"/>
        <w:jc w:val="both"/>
        <w:spacing w:line="400" w:lineRule="exact"/>
        <w:widowControl w:val="off"/>
        <w:rPr>
          <w:rFonts w:hint="eastAsia" w:ascii="宋体" w:hAnsi="宋体" w:eastAsia="等线" w:cs="宋体"/>
          <w:color w:val="auto"/>
          <w:sz w:val="21"/>
          <w:highlight w:val="none"/>
          <w:lang w:eastAsia="zh-CN"/>
        </w:rPr>
      </w:pPr>
      <w:r>
        <w:rPr>
          <w:rFonts w:hint="eastAsia" w:ascii="汉仪书宋二S" w:hAnsi="汉仪书宋二S" w:eastAsia="汉仪书宋二S" w:cs="汉仪书宋二S"/>
          <w:color w:val="auto"/>
          <w:sz w:val="21"/>
          <w:highlight w:val="none"/>
          <w:lang w:eastAsia="zh-CN"/>
        </w:rPr>
        <w:t xml:space="preserve">①</w:t>
      </w:r>
      <w:r>
        <w:rPr>
          <w:rFonts w:hint="eastAsia" w:ascii="宋体" w:hAnsi="宋体" w:eastAsia="等线" w:cs="宋体"/>
          <w:color w:val="auto"/>
          <w:sz w:val="21"/>
          <w:highlight w:val="none"/>
          <w:lang w:eastAsia="zh-CN"/>
        </w:rPr>
        <w:t xml:space="preserve">涉及信息类产品，请填写该产品关键部件的品牌、型号：</w:t>
      </w:r>
      <w:r/>
    </w:p>
    <w:p>
      <w:pPr>
        <w:numPr>
          <w:ilvl w:val="255"/>
          <w:numId w:val="0"/>
        </w:numPr>
        <w:ind w:firstLine="420"/>
        <w:jc w:val="both"/>
        <w:spacing w:line="400" w:lineRule="exact"/>
        <w:widowControl w:val="off"/>
        <w:rPr>
          <w:rFonts w:hint="eastAsia"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     标的名称：</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p>
    <w:p>
      <w:pPr>
        <w:numPr>
          <w:ilvl w:val="255"/>
          <w:numId w:val="0"/>
        </w:numPr>
        <w:ind w:firstLine="420"/>
        <w:jc w:val="both"/>
        <w:spacing w:line="400" w:lineRule="exact"/>
        <w:widowControl w:val="off"/>
        <w:rPr>
          <w:rFonts w:hint="eastAsia"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     关键部件：</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品牌：</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型号：</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p>
    <w:p>
      <w:pPr>
        <w:ind w:firstLine="44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ind w:firstLine="44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p>
    <w:p>
      <w:pPr>
        <w:numPr>
          <w:ilvl w:val="255"/>
          <w:numId w:val="0"/>
        </w:numPr>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hint="eastAsia" w:ascii="汉仪书宋二S" w:hAnsi="汉仪书宋二S" w:eastAsia="汉仪书宋二S" w:cs="汉仪书宋二S"/>
          <w:color w:val="auto"/>
          <w:sz w:val="21"/>
          <w:highlight w:val="none"/>
          <w:lang w:eastAsia="zh-CN"/>
        </w:rPr>
        <w:t xml:space="preserve">②</w:t>
      </w:r>
      <w:r>
        <w:rPr>
          <w:rFonts w:hint="eastAsia" w:ascii="宋体" w:hAnsi="宋体" w:cs="宋体"/>
          <w:color w:val="auto"/>
          <w:sz w:val="21"/>
          <w:highlight w:val="none"/>
          <w:lang w:eastAsia="zh-CN"/>
        </w:rPr>
        <w:t xml:space="preserve">涉及车辆采购，请填写是否属于新能源汽车：</w:t>
      </w:r>
      <w:r/>
    </w:p>
    <w:p>
      <w:pPr>
        <w:numPr>
          <w:ilvl w:val="255"/>
          <w:numId w:val="0"/>
        </w:numPr>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是，《政府采购品目分类目录》底级品目名称：</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数量：</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金额：</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numPr>
          <w:ilvl w:val="255"/>
          <w:numId w:val="0"/>
        </w:numPr>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numPr>
          <w:ilvl w:val="255"/>
          <w:numId w:val="0"/>
        </w:numPr>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宋体" w:hAnsi="宋体" w:cs="宋体"/>
          <w:color w:val="auto"/>
          <w:sz w:val="21"/>
          <w:highlight w:val="none"/>
          <w:lang w:val="en" w:eastAsia="zh-CN"/>
        </w:rPr>
        <w:t xml:space="preserve">4</w:t>
      </w:r>
      <w:r>
        <w:rPr>
          <w:rFonts w:hint="eastAsia" w:ascii="宋体" w:hAnsi="宋体" w:cs="宋体"/>
          <w:color w:val="auto"/>
          <w:sz w:val="21"/>
          <w:highlight w:val="none"/>
          <w:lang w:eastAsia="zh-CN"/>
        </w:rPr>
        <w:t xml:space="preserve">）政府采购组织形式：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政府集中采购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部门集中采购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分散采购</w:t>
      </w:r>
      <w:r/>
    </w:p>
    <w:p>
      <w:pPr>
        <w:numPr>
          <w:ilvl w:val="255"/>
          <w:numId w:val="0"/>
        </w:numPr>
        <w:ind w:firstLine="42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val="en" w:eastAsia="zh-CN"/>
        </w:rPr>
        <w:t xml:space="preserve">5</w:t>
      </w:r>
      <w:r>
        <w:rPr>
          <w:rFonts w:hint="eastAsia" w:ascii="宋体" w:hAnsi="宋体" w:cs="宋体"/>
          <w:color w:val="auto"/>
          <w:sz w:val="21"/>
          <w:highlight w:val="none"/>
          <w:lang w:eastAsia="zh-CN"/>
        </w:rPr>
        <w:t xml:space="preserve">）政府采购方式：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公开招标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邀请招标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竞争性谈判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竞争性磋商</w:t>
      </w:r>
      <w:r/>
    </w:p>
    <w:p>
      <w:pPr>
        <w:numPr>
          <w:ilvl w:val="255"/>
          <w:numId w:val="0"/>
        </w:numPr>
        <w:ind w:firstLine="420"/>
        <w:spacing w:line="400" w:lineRule="exact"/>
        <w:rPr>
          <w:rFonts w:hint="eastAsia" w:ascii="宋体" w:hAnsi="宋体" w:cs="宋体"/>
          <w:color w:val="auto"/>
          <w:sz w:val="21"/>
          <w:highlight w:val="none"/>
          <w:u w:val="single"/>
          <w:lang w:eastAsia="zh-CN"/>
        </w:rPr>
      </w:pPr>
      <w:r>
        <w:rPr>
          <w:rFonts w:hint="eastAsia" w:ascii="宋体" w:hAnsi="宋体" w:eastAsia="华文楷体" w:cs="宋体"/>
          <w:color w:val="auto"/>
          <w:sz w:val="22"/>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询价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单一来源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框架协议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其他：</w:t>
      </w:r>
      <w:r>
        <w:rPr>
          <w:rFonts w:hint="eastAsia" w:ascii="宋体" w:hAnsi="宋体" w:cs="宋体"/>
          <w:color w:val="auto"/>
          <w:sz w:val="21"/>
          <w:highlight w:val="none"/>
          <w:u w:val="single"/>
          <w:lang w:eastAsia="zh-CN"/>
        </w:rPr>
        <w:t xml:space="preserve">          </w:t>
      </w:r>
      <w:r/>
    </w:p>
    <w:p>
      <w:pPr>
        <w:numPr>
          <w:ilvl w:val="255"/>
          <w:numId w:val="0"/>
        </w:numPr>
        <w:ind w:firstLine="42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（注：在框架协议采购的第二阶段，可选择使用该合同文本）</w:t>
      </w:r>
      <w:r/>
    </w:p>
    <w:p>
      <w:pPr>
        <w:numPr>
          <w:ilvl w:val="255"/>
          <w:numId w:val="0"/>
        </w:numPr>
        <w:ind w:firstLine="220"/>
        <w:spacing w:line="400" w:lineRule="exact"/>
        <w:rPr>
          <w:rFonts w:hint="eastAsia" w:ascii="宋体" w:hAnsi="宋体" w:cs="Times New Roman"/>
          <w:color w:val="auto"/>
          <w:sz w:val="21"/>
          <w:highlight w:val="none"/>
          <w:lang w:eastAsia="zh-CN"/>
        </w:rPr>
      </w:pPr>
      <w:r>
        <w:rPr>
          <w:rFonts w:hint="eastAsia" w:ascii="宋体" w:hAnsi="宋体" w:eastAsia="华文楷体" w:cs="华文楷体"/>
          <w:color w:val="auto"/>
          <w:sz w:val="22"/>
          <w:highlight w:val="none"/>
          <w:lang w:eastAsia="zh-CN"/>
        </w:rPr>
        <w:t xml:space="preserve"> （</w:t>
      </w:r>
      <w:r>
        <w:rPr>
          <w:rFonts w:ascii="宋体" w:hAnsi="宋体" w:eastAsia="华文楷体" w:cs="华文楷体"/>
          <w:color w:val="auto"/>
          <w:sz w:val="22"/>
          <w:highlight w:val="none"/>
          <w:lang w:val="en" w:eastAsia="zh-CN"/>
        </w:rPr>
        <w:t xml:space="preserve">6</w:t>
      </w:r>
      <w:r>
        <w:rPr>
          <w:rFonts w:hint="eastAsia" w:ascii="宋体" w:hAnsi="宋体" w:eastAsia="华文楷体" w:cs="华文楷体"/>
          <w:color w:val="auto"/>
          <w:sz w:val="22"/>
          <w:highlight w:val="none"/>
          <w:lang w:eastAsia="zh-CN"/>
        </w:rPr>
        <w:t xml:space="preserve">）</w:t>
      </w:r>
      <w:r>
        <w:rPr>
          <w:rFonts w:hint="eastAsia" w:ascii="宋体" w:hAnsi="宋体" w:cs="Times New Roman"/>
          <w:color w:val="auto"/>
          <w:sz w:val="21"/>
          <w:highlight w:val="none"/>
          <w:lang w:eastAsia="zh-CN"/>
        </w:rPr>
        <w:t xml:space="preserve">中标（成交）采购标的制造商是否为中小企业：</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rPr>
          <w:rFonts w:hint="eastAsia"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本合同是否为专门面向中小企业的采购合同（中小企业预留合同）：</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jc w:val="both"/>
        <w:spacing w:line="400" w:lineRule="exact"/>
        <w:widowControl w:val="off"/>
        <w:rPr>
          <w:rFonts w:hint="eastAsia"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若本项目不专门面向中小企业采购，是否给予小微企业评审优惠：</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jc w:val="both"/>
        <w:spacing w:line="400" w:lineRule="exact"/>
        <w:widowControl w:val="off"/>
        <w:rPr>
          <w:rFonts w:hint="eastAsia"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中标（成交）采购标的制造商是否为残疾人福利性单位：</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0"/>
        <w:jc w:val="both"/>
        <w:spacing w:line="400" w:lineRule="exact"/>
        <w:widowControl w:val="off"/>
        <w:rPr>
          <w:rFonts w:hint="eastAsia"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中标（成交）采购标的制造商是否为监狱企业：</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w:t>
      </w:r>
      <w:r>
        <w:rPr>
          <w:rFonts w:ascii="宋体" w:hAnsi="宋体" w:eastAsia="等线" w:cs="Times New Roman"/>
          <w:color w:val="auto"/>
          <w:sz w:val="21"/>
          <w:highlight w:val="none"/>
          <w:lang w:val="en" w:eastAsia="zh-CN"/>
        </w:rPr>
        <w:t xml:space="preserve">7</w:t>
      </w:r>
      <w:r>
        <w:rPr>
          <w:rFonts w:hint="eastAsia" w:ascii="宋体" w:hAnsi="宋体" w:eastAsia="等线" w:cs="Times New Roman"/>
          <w:color w:val="auto"/>
          <w:sz w:val="21"/>
          <w:highlight w:val="none"/>
          <w:lang w:eastAsia="zh-CN"/>
        </w:rPr>
        <w:t xml:space="preserve">）合同是否分包：</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840"/>
        <w:jc w:val="both"/>
        <w:spacing w:line="400" w:lineRule="exact"/>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分包主要内容：</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分包供应商/制造商名称（如供应商和制造商不同，请分别填写）：</w:t>
      </w:r>
      <w:r/>
    </w:p>
    <w:p>
      <w:pPr>
        <w:ind w:firstLine="840"/>
        <w:jc w:val="both"/>
        <w:spacing w:line="400" w:lineRule="exact"/>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分包供应商/制造商类型（如果供应商和制造商不同，只填写制造商类型）：</w:t>
      </w:r>
      <w:r/>
    </w:p>
    <w:p>
      <w:pPr>
        <w:ind w:firstLine="840"/>
        <w:jc w:val="both"/>
        <w:spacing w:line="400" w:lineRule="exact"/>
        <w:widowControl w:val="off"/>
        <w:rPr>
          <w:rFonts w:hint="eastAsia"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大型企业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中型企业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小微型企业  </w:t>
      </w:r>
      <w:r/>
    </w:p>
    <w:p>
      <w:pPr>
        <w:ind w:firstLine="840"/>
        <w:jc w:val="both"/>
        <w:spacing w:line="400" w:lineRule="exact"/>
        <w:widowControl w:val="off"/>
        <w:rPr>
          <w:rFonts w:hint="eastAsia" w:ascii="等线" w:hAnsi="等线" w:eastAsia="华文楷体" w:cs="Times New Roman"/>
          <w:color w:val="auto"/>
          <w:sz w:val="21"/>
          <w:szCs w:val="22"/>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残疾人福利性单位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监狱企业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p>
    <w:p>
      <w:pPr>
        <w:numPr>
          <w:ilvl w:val="255"/>
          <w:numId w:val="0"/>
        </w:numPr>
        <w:jc w:val="both"/>
        <w:spacing w:line="400" w:lineRule="exact"/>
        <w:widowControl w:val="off"/>
        <w:rPr>
          <w:rFonts w:hint="eastAsia" w:ascii="宋体" w:hAnsi="宋体" w:eastAsia="等线" w:cs="宋体"/>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w:t>
      </w:r>
      <w:r>
        <w:rPr>
          <w:rFonts w:ascii="宋体" w:hAnsi="宋体" w:eastAsia="等线" w:cs="宋体"/>
          <w:color w:val="auto"/>
          <w:sz w:val="21"/>
          <w:highlight w:val="none"/>
          <w:lang w:val="en" w:eastAsia="zh-CN"/>
        </w:rPr>
        <w:t xml:space="preserve">8</w:t>
      </w:r>
      <w:r>
        <w:rPr>
          <w:rFonts w:hint="eastAsia" w:ascii="宋体" w:hAnsi="宋体" w:eastAsia="等线" w:cs="宋体"/>
          <w:color w:val="auto"/>
          <w:sz w:val="21"/>
          <w:highlight w:val="none"/>
          <w:lang w:eastAsia="zh-CN"/>
        </w:rPr>
        <w:t xml:space="preserve">）中标（成交）供应商是否为外商投资企业：</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否</w:t>
      </w:r>
      <w:r/>
    </w:p>
    <w:p>
      <w:pPr>
        <w:ind w:firstLine="440"/>
        <w:spacing w:line="400" w:lineRule="exact"/>
        <w:tabs>
          <w:tab w:val="left" w:pos="1340" w:leader="none"/>
        </w:tabs>
        <w:rPr>
          <w:rFonts w:hint="eastAsia" w:ascii="宋体" w:hAnsi="宋体" w:cs="宋体"/>
          <w:color w:val="auto"/>
          <w:sz w:val="21"/>
          <w:highlight w:val="none"/>
          <w:u w:val="single"/>
          <w:lang w:eastAsia="zh-CN"/>
        </w:rPr>
      </w:pPr>
      <w:r>
        <w:rPr>
          <w:rFonts w:hint="eastAsia" w:ascii="宋体" w:hAnsi="宋体" w:cs="宋体"/>
          <w:color w:val="auto"/>
          <w:sz w:val="21"/>
          <w:highlight w:val="none"/>
          <w:lang w:eastAsia="zh-CN"/>
        </w:rPr>
        <w:t xml:space="preserve">     外商投资企业类型：</w:t>
      </w:r>
      <w:r>
        <w:rPr>
          <w:rFonts w:ascii="Wingdings" w:hAnsi="Wingdings" w:eastAsia="Wingdings" w:cs="Wingdings"/>
          <w:iCs/>
          <w:color w:val="auto"/>
          <w:sz w:val="21"/>
          <w:highlight w:val="none"/>
          <w:lang w:eastAsia="zh-CN"/>
        </w:rPr>
        <w:t xml:space="preserve"></w:t>
      </w:r>
      <w:r>
        <w:rPr>
          <w:rFonts w:hint="eastAsia" w:ascii="宋体" w:hAnsi="宋体" w:cs="宋体"/>
          <w:color w:val="auto"/>
          <w:sz w:val="21"/>
          <w:highlight w:val="none"/>
          <w:lang w:eastAsia="zh-CN"/>
        </w:rPr>
        <w:t xml:space="preserve">全部由外国投资者投资  </w:t>
      </w:r>
      <w:r>
        <w:rPr>
          <w:rFonts w:ascii="Wingdings" w:hAnsi="Wingdings" w:eastAsia="Wingdings" w:cs="Wingdings"/>
          <w:iCs/>
          <w:color w:val="auto"/>
          <w:sz w:val="21"/>
          <w:highlight w:val="none"/>
          <w:lang w:eastAsia="zh-CN"/>
        </w:rPr>
        <w:t xml:space="preserve"></w:t>
      </w:r>
      <w:r>
        <w:rPr>
          <w:rFonts w:hint="eastAsia" w:ascii="宋体" w:hAnsi="宋体" w:cs="宋体"/>
          <w:iCs/>
          <w:color w:val="auto"/>
          <w:sz w:val="21"/>
          <w:highlight w:val="none"/>
          <w:lang w:eastAsia="zh-CN"/>
        </w:rPr>
        <w:t xml:space="preserve">部分由外国投资者投资</w:t>
      </w:r>
      <w:r/>
    </w:p>
    <w:p>
      <w:pPr>
        <w:numPr>
          <w:ilvl w:val="255"/>
          <w:numId w:val="0"/>
        </w:numPr>
        <w:ind w:firstLine="420"/>
        <w:jc w:val="both"/>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eastAsia="等线" w:cs="宋体"/>
          <w:color w:val="auto"/>
          <w:sz w:val="21"/>
          <w:highlight w:val="none"/>
          <w:lang w:val="en" w:eastAsia="zh-CN"/>
        </w:rPr>
        <w:t xml:space="preserve">9</w:t>
      </w:r>
      <w:r>
        <w:rPr>
          <w:rFonts w:hint="eastAsia" w:ascii="宋体" w:hAnsi="宋体" w:cs="宋体"/>
          <w:color w:val="auto"/>
          <w:sz w:val="21"/>
          <w:highlight w:val="none"/>
          <w:lang w:eastAsia="zh-CN"/>
        </w:rPr>
        <w:t xml:space="preserve">）是否涉及进口产品：</w:t>
      </w:r>
      <w:r/>
    </w:p>
    <w:p>
      <w:pPr>
        <w:numPr>
          <w:ilvl w:val="255"/>
          <w:numId w:val="0"/>
        </w:numPr>
        <w:ind w:firstLine="840"/>
        <w:jc w:val="both"/>
        <w:spacing w:line="400" w:lineRule="exact"/>
        <w:widowControl w:val="off"/>
        <w:rPr>
          <w:rFonts w:hint="eastAsia" w:ascii="宋体" w:hAnsi="宋体" w:cs="宋体"/>
          <w:color w:val="auto"/>
          <w:sz w:val="21"/>
          <w:highlight w:val="none"/>
          <w:u w:val="single"/>
          <w:lang w:eastAsia="zh-CN"/>
        </w:rPr>
      </w:pPr>
      <w:r>
        <w:rPr>
          <w:rFonts w:hint="eastAsia" w:ascii="宋体" w:hAnsi="宋体" w:eastAsia="等线"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w:t>
      </w:r>
      <w:r>
        <w:rPr>
          <w:rFonts w:hint="eastAsia" w:ascii="宋体" w:hAnsi="宋体" w:eastAsia="等线" w:cs="宋体"/>
          <w:color w:val="auto"/>
          <w:sz w:val="21"/>
          <w:highlight w:val="none"/>
          <w:lang w:eastAsia="zh-CN"/>
        </w:rPr>
        <w:t xml:space="preserve">《政府采购品目分类目录》底级品目名称</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rPr>
          <w:rFonts w:hint="eastAsia" w:ascii="宋体" w:hAnsi="宋体" w:eastAsia="等线" w:cs="宋体"/>
          <w:color w:val="auto"/>
          <w:sz w:val="21"/>
          <w:highlight w:val="none"/>
          <w:lang w:eastAsia="zh-CN"/>
        </w:rPr>
        <w:t xml:space="preserve">金额：</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p>
    <w:p>
      <w:pPr>
        <w:numPr>
          <w:ilvl w:val="255"/>
          <w:numId w:val="0"/>
        </w:numPr>
        <w:ind w:firstLine="840"/>
        <w:jc w:val="both"/>
        <w:spacing w:line="400" w:lineRule="exact"/>
        <w:widowControl w:val="off"/>
        <w:rPr>
          <w:rFonts w:hint="eastAsia" w:ascii="宋体" w:hAnsi="宋体" w:cs="Times New Roman"/>
          <w:color w:val="auto"/>
          <w:sz w:val="21"/>
          <w:highlight w:val="none"/>
          <w:lang w:eastAsia="zh-CN"/>
        </w:rPr>
      </w:pPr>
      <w:r>
        <w:rPr>
          <w:rFonts w:hint="eastAsia" w:ascii="宋体" w:hAnsi="宋体" w:eastAsia="等线" w:cs="宋体"/>
          <w:color w:val="auto"/>
          <w:sz w:val="21"/>
          <w:highlight w:val="none"/>
          <w:lang w:eastAsia="zh-CN"/>
        </w:rPr>
        <w:t xml:space="preserve">        国别：</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rPr>
          <w:rFonts w:hint="eastAsia" w:ascii="宋体" w:hAnsi="宋体" w:cs="宋体"/>
          <w:color w:val="auto"/>
          <w:sz w:val="21"/>
          <w:highlight w:val="none"/>
          <w:lang w:eastAsia="zh-CN"/>
        </w:rPr>
        <w:t xml:space="preserve">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规格型号：</w:t>
      </w:r>
      <w:r>
        <w:rPr>
          <w:rFonts w:hint="eastAsia" w:ascii="宋体" w:hAnsi="宋体" w:cs="宋体"/>
          <w:color w:val="auto"/>
          <w:sz w:val="21"/>
          <w:highlight w:val="none"/>
          <w:u w:val="single"/>
          <w:lang w:eastAsia="zh-CN"/>
        </w:rPr>
        <w:t xml:space="preserve">        </w:t>
      </w:r>
      <w:r>
        <w:rPr>
          <w:rFonts w:hint="eastAsia" w:ascii="宋体" w:hAnsi="宋体" w:cs="Times New Roman"/>
          <w:color w:val="auto"/>
          <w:sz w:val="21"/>
          <w:highlight w:val="none"/>
          <w:lang w:eastAsia="zh-CN"/>
        </w:rPr>
        <w:t xml:space="preserve">      </w:t>
      </w:r>
      <w:r/>
    </w:p>
    <w:p>
      <w:pPr>
        <w:ind w:firstLine="84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tabs>
          <w:tab w:val="left" w:pos="740" w:leader="none"/>
        </w:tabs>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0</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是否涉及节能产品：</w:t>
      </w:r>
      <w:r/>
    </w:p>
    <w:p>
      <w:pPr>
        <w:numPr>
          <w:ilvl w:val="255"/>
          <w:numId w:val="0"/>
        </w:numPr>
        <w:jc w:val="both"/>
        <w:spacing w:line="400" w:lineRule="exact"/>
        <w:widowControl w:val="off"/>
        <w:tabs>
          <w:tab w:val="left" w:pos="740" w:leader="none"/>
        </w:tabs>
        <w:rPr>
          <w:rFonts w:hint="eastAsia"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《节能产品政府采购品目清单》的底级品目名称：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jc w:val="both"/>
        <w:spacing w:line="400" w:lineRule="exact"/>
        <w:widowControl w:val="off"/>
        <w:tabs>
          <w:tab w:val="left" w:pos="740" w:leader="none"/>
        </w:tabs>
        <w:rPr>
          <w:rFonts w:hint="eastAsia"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jc w:val="both"/>
        <w:spacing w:line="400" w:lineRule="exact"/>
        <w:widowControl w:val="off"/>
        <w:tabs>
          <w:tab w:val="left" w:pos="740" w:leader="none"/>
        </w:tabs>
        <w:rPr>
          <w:rFonts w:hint="eastAsia"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tabs>
          <w:tab w:val="left" w:pos="740" w:leader="none"/>
        </w:tabs>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cs="Times New Roman"/>
          <w:color w:val="auto"/>
          <w:sz w:val="21"/>
          <w:highlight w:val="none"/>
          <w:lang w:eastAsia="zh-CN"/>
        </w:rPr>
        <w:t xml:space="preserve">是否涉及</w:t>
      </w:r>
      <w:r>
        <w:rPr>
          <w:rFonts w:hint="eastAsia" w:ascii="宋体" w:hAnsi="宋体" w:eastAsia="等线" w:cs="Times New Roman"/>
          <w:color w:val="auto"/>
          <w:sz w:val="21"/>
          <w:highlight w:val="none"/>
          <w:lang w:eastAsia="zh-CN"/>
        </w:rPr>
        <w:t xml:space="preserve">环境标志</w:t>
      </w:r>
      <w:r>
        <w:rPr>
          <w:rFonts w:hint="eastAsia" w:ascii="宋体" w:hAnsi="宋体" w:cs="Times New Roman"/>
          <w:color w:val="auto"/>
          <w:sz w:val="21"/>
          <w:highlight w:val="none"/>
          <w:lang w:eastAsia="zh-CN"/>
        </w:rPr>
        <w:t xml:space="preserve">产品：</w:t>
      </w:r>
      <w:r/>
    </w:p>
    <w:p>
      <w:pPr>
        <w:numPr>
          <w:ilvl w:val="255"/>
          <w:numId w:val="0"/>
        </w:numPr>
        <w:jc w:val="both"/>
        <w:spacing w:line="400" w:lineRule="exact"/>
        <w:widowControl w:val="off"/>
        <w:tabs>
          <w:tab w:val="left" w:pos="740" w:leader="none"/>
        </w:tabs>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《环境标志产品政府采购品目清单》的底级品目名称：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jc w:val="both"/>
        <w:spacing w:line="400" w:lineRule="exact"/>
        <w:widowControl w:val="off"/>
        <w:tabs>
          <w:tab w:val="left" w:pos="740" w:leader="none"/>
        </w:tabs>
        <w:rPr>
          <w:rFonts w:hint="eastAsia"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jc w:val="both"/>
        <w:spacing w:line="400" w:lineRule="exact"/>
        <w:widowControl w:val="off"/>
        <w:tabs>
          <w:tab w:val="left" w:pos="740" w:leader="none"/>
        </w:tabs>
        <w:rPr>
          <w:rFonts w:hint="eastAsia" w:ascii="宋体" w:hAnsi="宋体" w:eastAsia="等线"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spacing w:line="400" w:lineRule="exact"/>
        <w:rPr>
          <w:rFonts w:hint="eastAsia" w:ascii="宋体" w:hAnsi="宋体" w:cs="Times New Roman"/>
          <w:color w:val="auto"/>
          <w:sz w:val="21"/>
          <w:highlight w:val="none"/>
          <w:lang w:eastAsia="zh-CN"/>
        </w:rPr>
      </w:pPr>
      <w:r>
        <w:rPr>
          <w:rFonts w:hint="eastAsia" w:ascii="宋体" w:hAnsi="宋体" w:eastAsia="华文楷体" w:cs="华文楷体"/>
          <w:color w:val="auto"/>
          <w:sz w:val="21"/>
          <w:highlight w:val="none"/>
          <w:lang w:eastAsia="zh-CN"/>
        </w:rPr>
        <w:t xml:space="preserve">          </w:t>
      </w:r>
      <w:r>
        <w:rPr>
          <w:rFonts w:hint="eastAsia" w:ascii="宋体" w:hAnsi="宋体" w:cs="Times New Roman"/>
          <w:color w:val="auto"/>
          <w:sz w:val="21"/>
          <w:highlight w:val="none"/>
          <w:lang w:eastAsia="zh-CN"/>
        </w:rPr>
        <w:t xml:space="preserve">是否涉及绿色产品： </w:t>
      </w:r>
      <w:r/>
    </w:p>
    <w:p>
      <w:pPr>
        <w:ind w:firstLine="420"/>
        <w:spacing w:line="400" w:lineRule="exact"/>
        <w:rPr>
          <w:rFonts w:hint="eastAsia" w:ascii="宋体" w:hAnsi="宋体" w:cs="华文楷体"/>
          <w:color w:val="auto"/>
          <w:sz w:val="22"/>
          <w:highlight w:val="none"/>
          <w:u w:val="singl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是，绿色产品政府采购相关政策确定的底级品目名称：</w:t>
      </w:r>
      <w:r>
        <w:rPr>
          <w:rFonts w:hint="eastAsia" w:ascii="宋体" w:hAnsi="宋体" w:cs="华文楷体"/>
          <w:color w:val="auto"/>
          <w:sz w:val="22"/>
          <w:highlight w:val="none"/>
          <w:u w:val="single"/>
          <w:lang w:eastAsia="zh-CN"/>
        </w:rPr>
        <w:t xml:space="preserve">         </w:t>
      </w:r>
      <w:r/>
    </w:p>
    <w:p>
      <w:pPr>
        <w:numPr>
          <w:ilvl w:val="255"/>
          <w:numId w:val="0"/>
        </w:numPr>
        <w:jc w:val="both"/>
        <w:spacing w:line="400" w:lineRule="exact"/>
        <w:widowControl w:val="off"/>
        <w:tabs>
          <w:tab w:val="left" w:pos="740" w:leader="none"/>
        </w:tabs>
        <w:rPr>
          <w:rFonts w:hint="eastAsia"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ind w:firstLine="420"/>
        <w:spacing w:line="400" w:lineRule="exact"/>
        <w:rPr>
          <w:rFonts w:hint="eastAsia" w:ascii="宋体" w:hAnsi="宋体" w:eastAsia="华文楷体" w:cs="华文楷体"/>
          <w:color w:val="auto"/>
          <w:sz w:val="21"/>
          <w:highlight w:val="non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1</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涉及商品包装和快递包装的，是否参考</w:t>
      </w:r>
      <w:r>
        <w:rPr>
          <w:rFonts w:hint="eastAsia" w:ascii="宋体" w:hAnsi="宋体" w:eastAsia="等线" w:cs="Times New Roman"/>
          <w:color w:val="auto"/>
          <w:sz w:val="21"/>
          <w:highlight w:val="none"/>
          <w:lang w:eastAsia="zh-CN"/>
        </w:rPr>
        <w:t xml:space="preserve">《商品包装政府采购需求标准（试行）》《快递包装政府采购需求标准（试行）》</w:t>
      </w:r>
      <w:r>
        <w:rPr>
          <w:rFonts w:hint="eastAsia" w:ascii="宋体" w:hAnsi="宋体" w:cs="Times New Roman"/>
          <w:color w:val="auto"/>
          <w:sz w:val="21"/>
          <w:highlight w:val="none"/>
          <w:lang w:eastAsia="zh-CN"/>
        </w:rPr>
        <w:t xml:space="preserve">明确产品及相关快递服务的具体包装要求：</w:t>
      </w:r>
      <w:r/>
    </w:p>
    <w:p>
      <w:pPr>
        <w:numPr>
          <w:ilvl w:val="255"/>
          <w:numId w:val="0"/>
        </w:numPr>
        <w:ind w:firstLine="840"/>
        <w:jc w:val="both"/>
        <w:spacing w:line="400" w:lineRule="exact"/>
        <w:widowControl w:val="off"/>
        <w:rPr>
          <w:rFonts w:hint="eastAsia" w:ascii="宋体" w:hAnsi="宋体"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不涉及</w:t>
      </w:r>
      <w:r/>
    </w:p>
    <w:p>
      <w:pPr>
        <w:numPr>
          <w:ilvl w:val="0"/>
          <w:numId w:val="3"/>
        </w:numPr>
        <w:jc w:val="both"/>
        <w:spacing w:line="400" w:lineRule="exact"/>
        <w:widowControl w:val="off"/>
        <w:rPr>
          <w:rFonts w:hint="eastAsia"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合同金额</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（1）合同金额小写：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分包金额（如有）小写：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（注：固定单价合同应填写单价和最高限价）</w:t>
      </w:r>
      <w:r/>
    </w:p>
    <w:p>
      <w:pPr>
        <w:numPr>
          <w:ilvl w:val="255"/>
          <w:numId w:val="0"/>
        </w:numPr>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（2）合同定价方式（采用组合定价方式的，可以勾选多项）：</w:t>
      </w:r>
      <w:r/>
    </w:p>
    <w:p>
      <w:pPr>
        <w:ind w:firstLine="420"/>
        <w:jc w:val="both"/>
        <w:spacing w:line="400" w:lineRule="exact"/>
        <w:widowControl w:val="off"/>
        <w:rPr>
          <w:rFonts w:hint="eastAsia"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固定总价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固定单价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固定费率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成本补偿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绩效激励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Calibri" w:hAnsi="Calibri" w:cs="Times New Roman"/>
          <w:color w:val="auto"/>
          <w:sz w:val="21"/>
          <w:szCs w:val="22"/>
          <w:highlight w:val="none"/>
          <w:lang w:eastAsia="zh-CN"/>
        </w:rPr>
      </w:pPr>
      <w:r>
        <w:rPr>
          <w:rFonts w:hint="eastAsia" w:ascii="宋体" w:hAnsi="宋体" w:cs="Times New Roman"/>
          <w:color w:val="auto"/>
          <w:sz w:val="21"/>
          <w:szCs w:val="22"/>
          <w:highlight w:val="none"/>
          <w:lang w:eastAsia="zh-CN"/>
        </w:rPr>
        <w:t xml:space="preserve">（3）付款方式（按项目实际勾选填写）：</w:t>
      </w:r>
      <w:r/>
    </w:p>
    <w:p>
      <w:pPr>
        <w:ind w:firstLine="630"/>
        <w:jc w:val="both"/>
        <w:spacing w:line="400" w:lineRule="exact"/>
        <w:widowControl w:val="off"/>
        <w:rPr>
          <w:rFonts w:hint="eastAsia"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全额付款：</w:t>
      </w:r>
      <w:r>
        <w:rPr>
          <w:rFonts w:hint="eastAsia" w:ascii="宋体" w:hAnsi="宋体" w:eastAsia="等线" w:cs="Times New Roman"/>
          <w:color w:val="auto"/>
          <w:sz w:val="21"/>
          <w:highlight w:val="none"/>
          <w:u w:val="single"/>
          <w:lang w:eastAsia="zh-CN"/>
        </w:rPr>
        <w:t xml:space="preserve">     （应明确一次性支付合同款项的条件）                    </w:t>
      </w:r>
      <w:r/>
    </w:p>
    <w:p>
      <w:pPr>
        <w:ind w:firstLine="630"/>
        <w:jc w:val="both"/>
        <w:spacing w:line="400" w:lineRule="exact"/>
        <w:widowControl w:val="off"/>
        <w:rPr>
          <w:rFonts w:hint="eastAsia" w:ascii="等线" w:hAnsi="等线" w:eastAsia="等线" w:cs="Times New Roman"/>
          <w:color w:val="auto"/>
          <w:sz w:val="21"/>
          <w:szCs w:val="22"/>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分期付款：</w:t>
      </w:r>
      <w:r>
        <w:rPr>
          <w:rFonts w:hint="eastAsia" w:ascii="宋体" w:hAnsi="宋体" w:eastAsia="等线" w:cs="Times New Roman"/>
          <w:color w:val="auto"/>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color w:val="auto"/>
          <w:sz w:val="21"/>
          <w:highlight w:val="none"/>
          <w:lang w:eastAsia="zh-CN"/>
        </w:rPr>
        <w:t xml:space="preserve">，其中涉及预付款的：</w:t>
      </w:r>
      <w:r>
        <w:rPr>
          <w:rFonts w:hint="eastAsia" w:ascii="宋体" w:hAnsi="宋体" w:eastAsia="等线" w:cs="Times New Roman"/>
          <w:color w:val="auto"/>
          <w:sz w:val="21"/>
          <w:highlight w:val="none"/>
          <w:u w:val="single"/>
          <w:lang w:eastAsia="zh-CN"/>
        </w:rPr>
        <w:t xml:space="preserve"> （应明确预付款的支付比例和支付条件） </w:t>
      </w:r>
      <w:r/>
    </w:p>
    <w:p>
      <w:pPr>
        <w:ind w:firstLine="630"/>
        <w:jc w:val="both"/>
        <w:spacing w:line="400" w:lineRule="exact"/>
        <w:widowControl w:val="off"/>
        <w:rPr>
          <w:rFonts w:hint="eastAsia"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成本补偿：</w:t>
      </w:r>
      <w:r>
        <w:rPr>
          <w:rFonts w:hint="eastAsia" w:ascii="宋体" w:hAnsi="宋体" w:eastAsia="等线" w:cs="Times New Roman"/>
          <w:color w:val="auto"/>
          <w:sz w:val="21"/>
          <w:highlight w:val="none"/>
          <w:u w:val="single"/>
          <w:lang w:eastAsia="zh-CN"/>
        </w:rPr>
        <w:t xml:space="preserve">      （应明确按照成本补偿方式的支付方式和支付条件）   </w:t>
      </w:r>
      <w:r/>
    </w:p>
    <w:p>
      <w:pPr>
        <w:ind w:firstLine="630"/>
        <w:jc w:val="both"/>
        <w:spacing w:line="400" w:lineRule="exact"/>
        <w:widowControl w:val="off"/>
        <w:rPr>
          <w:rFonts w:hint="eastAsia" w:ascii="宋体" w:hAnsi="宋体" w:eastAsia="等线"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绩效激励：</w:t>
      </w:r>
      <w:r>
        <w:rPr>
          <w:rFonts w:hint="eastAsia" w:ascii="宋体" w:hAnsi="宋体" w:eastAsia="等线" w:cs="Times New Roman"/>
          <w:color w:val="auto"/>
          <w:sz w:val="21"/>
          <w:highlight w:val="none"/>
          <w:u w:val="single"/>
          <w:lang w:eastAsia="zh-CN"/>
        </w:rPr>
        <w:t xml:space="preserve">      （应明确按照绩效激励方式的支付方式和支付条件）   </w:t>
      </w:r>
      <w:r/>
    </w:p>
    <w:p>
      <w:pPr>
        <w:numPr>
          <w:ilvl w:val="0"/>
          <w:numId w:val="3"/>
        </w:numPr>
        <w:jc w:val="both"/>
        <w:spacing w:line="400" w:lineRule="exact"/>
        <w:widowControl w:val="off"/>
        <w:rPr>
          <w:rFonts w:hint="eastAsia" w:ascii="宋体" w:hAnsi="宋体" w:eastAsia="等线" w:cs="Times New Roman"/>
          <w:b/>
          <w:color w:val="auto"/>
          <w:sz w:val="21"/>
          <w:highlight w:val="none"/>
          <w:u w:val="single"/>
          <w:lang w:eastAsia="zh-CN"/>
        </w:rPr>
      </w:pPr>
      <w:r>
        <w:rPr>
          <w:rFonts w:hint="eastAsia" w:ascii="宋体" w:hAnsi="宋体" w:eastAsia="等线" w:cs="Times New Roman"/>
          <w:b/>
          <w:color w:val="auto"/>
          <w:sz w:val="21"/>
          <w:highlight w:val="none"/>
          <w:lang w:eastAsia="zh-CN"/>
        </w:rPr>
        <w:t xml:space="preserve">合同履行</w:t>
      </w:r>
      <w:r/>
    </w:p>
    <w:p>
      <w:pPr>
        <w:ind w:firstLine="420"/>
        <w:jc w:val="both"/>
        <w:spacing w:line="400" w:lineRule="exact"/>
        <w:widowControl w:val="off"/>
        <w:rPr>
          <w:rFonts w:hint="eastAsia"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（1）起始日期：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日，完成日期：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w:t>
      </w:r>
      <w:r/>
    </w:p>
    <w:p>
      <w:pPr>
        <w:ind w:firstLine="420"/>
        <w:jc w:val="both"/>
        <w:spacing w:line="400" w:lineRule="exact"/>
        <w:widowControl w:val="off"/>
        <w:rPr>
          <w:rFonts w:hint="eastAsia"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（2）履约地点</w:t>
      </w:r>
      <w:r>
        <w:rPr>
          <w:rFonts w:hint="eastAsia" w:ascii="宋体" w:hAnsi="宋体" w:eastAsia="等线" w:cs="宋体"/>
          <w:bCs/>
          <w:color w:val="auto"/>
          <w:sz w:val="21"/>
          <w:highlight w:val="none"/>
          <w:lang w:eastAsia="zh-CN"/>
        </w:rPr>
        <w:t xml:space="preserve">：</w:t>
      </w:r>
      <w:r>
        <w:rPr>
          <w:rFonts w:hint="eastAsia" w:ascii="宋体" w:hAnsi="宋体" w:eastAsia="等线" w:cs="宋体"/>
          <w:color w:val="auto"/>
          <w:sz w:val="21"/>
          <w:highlight w:val="none"/>
          <w:u w:val="single"/>
          <w:lang w:eastAsia="zh-CN"/>
        </w:rPr>
        <w:t xml:space="preserve">                             </w:t>
      </w:r>
      <w:r/>
    </w:p>
    <w:p>
      <w:pPr>
        <w:ind w:firstLine="420"/>
        <w:jc w:val="both"/>
        <w:spacing w:line="400" w:lineRule="exact"/>
        <w:widowControl w:val="off"/>
        <w:rPr>
          <w:rFonts w:hint="eastAsia" w:ascii="宋体" w:hAnsi="宋体" w:cs="宋体"/>
          <w:color w:val="auto"/>
          <w:sz w:val="21"/>
          <w:highlight w:val="none"/>
          <w:lang w:eastAsia="zh-CN"/>
        </w:rPr>
      </w:pPr>
      <w:r>
        <w:rPr>
          <w:rFonts w:hint="eastAsia" w:ascii="宋体" w:hAnsi="宋体" w:eastAsia="等线" w:cs="宋体"/>
          <w:bCs/>
          <w:color w:val="auto"/>
          <w:sz w:val="21"/>
          <w:highlight w:val="none"/>
          <w:lang w:eastAsia="zh-CN"/>
        </w:rPr>
        <w:t xml:space="preserve">（3）履约担保：</w:t>
      </w:r>
      <w:r>
        <w:rPr>
          <w:rFonts w:hint="eastAsia" w:ascii="宋体" w:hAnsi="宋体" w:cs="宋体"/>
          <w:color w:val="auto"/>
          <w:sz w:val="21"/>
          <w:szCs w:val="22"/>
          <w:highlight w:val="none"/>
          <w:lang w:eastAsia="zh-CN"/>
        </w:rPr>
        <w:t xml:space="preserve">是否收取履约保证金：</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ind w:firstLine="440"/>
        <w:spacing w:line="400" w:lineRule="exact"/>
        <w:rPr>
          <w:rFonts w:hint="eastAsia" w:ascii="宋体" w:hAnsi="宋体" w:eastAsia="等线" w:cs="宋体"/>
          <w:bCs/>
          <w:color w:val="auto"/>
          <w:sz w:val="21"/>
          <w:highlight w:val="none"/>
          <w:lang w:eastAsia="zh-CN"/>
        </w:rPr>
      </w:pPr>
      <w:r>
        <w:rPr>
          <w:rFonts w:hint="eastAsia" w:ascii="宋体" w:hAnsi="宋体" w:eastAsia="华文楷体" w:cs="宋体"/>
          <w:bCs/>
          <w:color w:val="auto"/>
          <w:sz w:val="22"/>
          <w:highlight w:val="none"/>
          <w:lang w:eastAsia="zh-CN"/>
        </w:rPr>
        <w:t xml:space="preserve">  </w:t>
      </w:r>
      <w:r>
        <w:rPr>
          <w:rFonts w:hint="eastAsia" w:ascii="宋体" w:hAnsi="宋体" w:eastAsia="等线" w:cs="宋体"/>
          <w:bCs/>
          <w:color w:val="auto"/>
          <w:sz w:val="21"/>
          <w:highlight w:val="none"/>
          <w:lang w:eastAsia="zh-CN"/>
        </w:rPr>
        <w:t xml:space="preserve">收取履约保证金形式：</w:t>
      </w:r>
      <w:r>
        <w:rPr>
          <w:rFonts w:hint="eastAsia" w:ascii="宋体" w:hAnsi="宋体" w:eastAsia="等线" w:cs="宋体"/>
          <w:bCs/>
          <w:color w:val="auto"/>
          <w:sz w:val="21"/>
          <w:highlight w:val="none"/>
          <w:u w:val="single"/>
          <w:lang w:eastAsia="zh-CN"/>
        </w:rPr>
        <w:t xml:space="preserve">以履约保函形式缴纳或提交。</w:t>
      </w:r>
      <w:r>
        <w:rPr>
          <w:rFonts w:hint="eastAsia" w:ascii="宋体" w:hAnsi="宋体" w:eastAsia="等线" w:cs="宋体"/>
          <w:bCs/>
          <w:color w:val="auto"/>
          <w:sz w:val="21"/>
          <w:highlight w:val="none"/>
          <w:lang w:eastAsia="zh-CN"/>
        </w:rPr>
        <w:t xml:space="preserve">                            </w:t>
      </w:r>
      <w:r/>
    </w:p>
    <w:p>
      <w:pPr>
        <w:ind w:firstLine="440"/>
        <w:spacing w:line="400" w:lineRule="exact"/>
        <w:rPr>
          <w:rFonts w:hint="eastAsia"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收取履约保证金金额：</w:t>
      </w:r>
      <w:r>
        <w:rPr>
          <w:rFonts w:hint="eastAsia" w:ascii="宋体" w:hAnsi="宋体" w:eastAsia="等线" w:cs="宋体"/>
          <w:bCs/>
          <w:color w:val="auto"/>
          <w:sz w:val="21"/>
          <w:highlight w:val="none"/>
          <w:u w:val="single"/>
          <w:lang w:eastAsia="zh-CN"/>
        </w:rPr>
        <w:t xml:space="preserve">合同价款的10%  </w:t>
      </w:r>
      <w:r>
        <w:rPr>
          <w:rFonts w:hint="eastAsia" w:ascii="宋体" w:hAnsi="宋体" w:eastAsia="等线" w:cs="宋体"/>
          <w:bCs/>
          <w:color w:val="auto"/>
          <w:sz w:val="21"/>
          <w:highlight w:val="none"/>
          <w:lang w:eastAsia="zh-CN"/>
        </w:rPr>
        <w:t xml:space="preserve">                          </w:t>
      </w:r>
      <w:r/>
    </w:p>
    <w:p>
      <w:pPr>
        <w:ind w:firstLine="420"/>
        <w:jc w:val="both"/>
        <w:spacing w:line="400" w:lineRule="exact"/>
        <w:widowControl w:val="off"/>
        <w:rPr>
          <w:rFonts w:hint="eastAsia"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履约担保期限：</w:t>
      </w:r>
      <w:r>
        <w:rPr>
          <w:rFonts w:hint="eastAsia" w:ascii="宋体" w:hAnsi="宋体" w:eastAsia="等线" w:cs="宋体"/>
          <w:bCs/>
          <w:color w:val="auto"/>
          <w:sz w:val="21"/>
          <w:highlight w:val="none"/>
          <w:u w:val="single"/>
          <w:lang w:eastAsia="zh-CN"/>
        </w:rPr>
        <w:t xml:space="preserve">货物安装、调试、验收合格后10个工作日内退还。</w:t>
      </w:r>
      <w:r>
        <w:rPr>
          <w:rFonts w:hint="eastAsia" w:ascii="宋体" w:hAnsi="宋体" w:eastAsia="等线" w:cs="宋体"/>
          <w:bCs/>
          <w:color w:val="auto"/>
          <w:sz w:val="21"/>
          <w:highlight w:val="none"/>
          <w:lang w:eastAsia="zh-CN"/>
        </w:rPr>
        <w:t xml:space="preserve">                                  </w:t>
      </w:r>
      <w:r/>
    </w:p>
    <w:p>
      <w:pPr>
        <w:ind w:firstLine="630"/>
        <w:spacing w:line="400" w:lineRule="exact"/>
        <w:rPr>
          <w:rFonts w:hint="eastAsia"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履约保证金的缴纳时间：</w:t>
      </w:r>
      <w:r>
        <w:rPr>
          <w:rFonts w:hint="eastAsia" w:ascii="宋体" w:hAnsi="宋体" w:eastAsia="等线" w:cs="宋体"/>
          <w:bCs/>
          <w:color w:val="auto"/>
          <w:sz w:val="21"/>
          <w:highlight w:val="none"/>
          <w:u w:val="single"/>
          <w:lang w:eastAsia="zh-CN"/>
        </w:rPr>
        <w:t xml:space="preserve"> 乙方在签订合同后5个工作日内，向甲方提交履约保证金。</w:t>
      </w:r>
      <w:r>
        <w:rPr>
          <w:rFonts w:hint="eastAsia" w:ascii="宋体" w:hAnsi="宋体" w:eastAsia="等线" w:cs="宋体"/>
          <w:bCs/>
          <w:color w:val="auto"/>
          <w:sz w:val="21"/>
          <w:highlight w:val="none"/>
          <w:lang w:eastAsia="zh-CN"/>
        </w:rPr>
        <w:t xml:space="preserve">                           </w:t>
      </w:r>
      <w:r/>
    </w:p>
    <w:p>
      <w:pPr>
        <w:ind w:firstLine="630"/>
        <w:spacing w:line="400" w:lineRule="exact"/>
        <w:rPr>
          <w:rFonts w:hint="eastAsia"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退付办法：</w:t>
      </w:r>
      <w:r>
        <w:rPr>
          <w:rFonts w:hint="eastAsia" w:ascii="宋体" w:hAnsi="宋体" w:eastAsia="等线" w:cs="宋体"/>
          <w:bCs/>
          <w:color w:val="auto"/>
          <w:sz w:val="21"/>
          <w:highlight w:val="none"/>
          <w:u w:val="single"/>
          <w:lang w:eastAsia="zh-CN"/>
        </w:rPr>
        <w:t xml:space="preserve">与乙方提交履约保证金的方式相同。</w:t>
      </w:r>
      <w:r>
        <w:rPr>
          <w:rFonts w:hint="eastAsia" w:ascii="宋体" w:hAnsi="宋体" w:eastAsia="等线" w:cs="宋体"/>
          <w:bCs/>
          <w:color w:val="auto"/>
          <w:sz w:val="21"/>
          <w:highlight w:val="none"/>
          <w:lang w:eastAsia="zh-CN"/>
        </w:rPr>
        <w:t xml:space="preserve">                                      </w:t>
      </w:r>
      <w:r/>
    </w:p>
    <w:p>
      <w:pPr>
        <w:ind w:left="3360" w:hanging="2730"/>
        <w:spacing w:line="400" w:lineRule="exact"/>
        <w:rPr>
          <w:rFonts w:hint="eastAsia"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履约保证金不予退还的情形：</w:t>
      </w:r>
      <w:r>
        <w:rPr>
          <w:rFonts w:hint="eastAsia" w:ascii="宋体" w:hAnsi="宋体" w:eastAsia="等线" w:cs="宋体"/>
          <w:bCs/>
          <w:color w:val="auto"/>
          <w:sz w:val="21"/>
          <w:highlight w:val="none"/>
          <w:u w:val="single"/>
          <w:lang w:eastAsia="zh-CN"/>
        </w:rPr>
        <w:t xml:space="preserve">①由于乙方的原因不能履约的，②在履行合同期间发生重大安全事故，给甲方造成不良影响和严重经济损失的。</w:t>
      </w:r>
      <w:r/>
    </w:p>
    <w:p>
      <w:pPr>
        <w:ind w:firstLine="630"/>
        <w:jc w:val="both"/>
        <w:spacing w:line="400" w:lineRule="exact"/>
        <w:widowControl w:val="off"/>
        <w:rPr>
          <w:rFonts w:hint="eastAsia"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逾期退还履约保证金的违约责任：</w:t>
      </w:r>
      <w:r>
        <w:rPr>
          <w:rFonts w:hint="eastAsia" w:ascii="宋体" w:hAnsi="宋体" w:eastAsia="等线" w:cs="宋体"/>
          <w:bCs/>
          <w:color w:val="auto"/>
          <w:sz w:val="21"/>
          <w:highlight w:val="none"/>
          <w:u w:val="single"/>
          <w:lang w:eastAsia="zh-CN"/>
        </w:rPr>
        <w:t xml:space="preserve">承担履约保证金金额千分之二/天的违约金。 </w:t>
      </w:r>
      <w:r/>
    </w:p>
    <w:p>
      <w:pPr>
        <w:ind w:firstLine="420"/>
        <w:jc w:val="both"/>
        <w:spacing w:line="400" w:lineRule="exact"/>
        <w:widowControl w:val="off"/>
        <w:rPr>
          <w:rFonts w:hint="eastAsia"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（4）分期履行要求：</w:t>
      </w:r>
      <w:r>
        <w:rPr>
          <w:rFonts w:hint="eastAsia" w:ascii="宋体" w:hAnsi="宋体" w:eastAsia="等线" w:cs="宋体"/>
          <w:bCs/>
          <w:color w:val="auto"/>
          <w:sz w:val="21"/>
          <w:highlight w:val="none"/>
          <w:u w:val="single"/>
          <w:lang w:eastAsia="zh-CN"/>
        </w:rPr>
        <w:t xml:space="preserve">                                                        </w:t>
      </w:r>
      <w:r/>
    </w:p>
    <w:p>
      <w:pPr>
        <w:ind w:firstLine="420"/>
        <w:jc w:val="both"/>
        <w:spacing w:line="400" w:lineRule="exact"/>
        <w:widowControl w:val="off"/>
        <w:rPr>
          <w:rFonts w:hint="eastAsia" w:ascii="宋体" w:hAnsi="宋体" w:eastAsia="等线" w:cs="宋体"/>
          <w:color w:val="auto"/>
          <w:sz w:val="21"/>
          <w:highlight w:val="none"/>
          <w:u w:val="single"/>
          <w:lang w:eastAsia="zh-CN"/>
        </w:rPr>
      </w:pPr>
      <w:r>
        <w:rPr>
          <w:rFonts w:hint="eastAsia" w:ascii="宋体" w:hAnsi="宋体" w:eastAsia="等线" w:cs="宋体"/>
          <w:bCs/>
          <w:color w:val="auto"/>
          <w:sz w:val="21"/>
          <w:highlight w:val="none"/>
          <w:lang w:eastAsia="zh-CN"/>
        </w:rPr>
        <w:t xml:space="preserve">（5）风险处置措施和替代方案：</w:t>
      </w:r>
      <w:r>
        <w:rPr>
          <w:rFonts w:hint="eastAsia" w:ascii="宋体" w:hAnsi="宋体" w:eastAsia="等线" w:cs="宋体"/>
          <w:color w:val="auto"/>
          <w:sz w:val="21"/>
          <w:highlight w:val="none"/>
          <w:u w:val="single"/>
          <w:lang w:eastAsia="zh-CN"/>
        </w:rPr>
        <w:t xml:space="preserve">                                                               </w:t>
      </w:r>
      <w:r/>
    </w:p>
    <w:p>
      <w:pPr>
        <w:numPr>
          <w:ilvl w:val="0"/>
          <w:numId w:val="3"/>
        </w:numPr>
        <w:jc w:val="both"/>
        <w:spacing w:line="400" w:lineRule="exact"/>
        <w:widowControl w:val="off"/>
        <w:rPr>
          <w:rFonts w:hint="eastAsia"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合同验收</w:t>
      </w:r>
      <w:r/>
    </w:p>
    <w:p>
      <w:pPr>
        <w:numPr>
          <w:ilvl w:val="0"/>
          <w:numId w:val="5"/>
        </w:numPr>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验收组织方式：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自行组织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委托第三方组织</w:t>
      </w:r>
      <w:r/>
    </w:p>
    <w:p>
      <w:pPr>
        <w:ind w:firstLine="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验收主体：</w:t>
      </w:r>
      <w:r>
        <w:rPr>
          <w:rFonts w:hint="eastAsia" w:ascii="宋体" w:hAnsi="宋体" w:eastAsia="等线" w:cs="Times New Roman"/>
          <w:bCs/>
          <w:color w:val="auto"/>
          <w:sz w:val="21"/>
          <w:highlight w:val="none"/>
          <w:u w:val="single"/>
          <w:lang w:eastAsia="zh-CN"/>
        </w:rPr>
        <w:t xml:space="preserve">                  </w:t>
      </w:r>
      <w:r/>
    </w:p>
    <w:p>
      <w:pPr>
        <w:ind w:firstLine="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是否邀请本项目的其他供应商参加验收：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是否邀请专家参加验收：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是否邀请服务对象参加验收：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是否邀请第三方检测机构参加验收：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是否进行抽查检测：</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是，抽查比例：</w:t>
      </w:r>
      <w:r>
        <w:rPr>
          <w:rFonts w:hint="eastAsia" w:ascii="宋体" w:hAnsi="宋体" w:eastAsia="等线" w:cs="Times New Roman"/>
          <w:bCs/>
          <w:color w:val="auto"/>
          <w:sz w:val="21"/>
          <w:highlight w:val="none"/>
          <w:u w:val="single"/>
          <w:lang w:eastAsia="zh-CN"/>
        </w:rPr>
        <w:t xml:space="preserve">        </w:t>
      </w: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hint="eastAsia" w:ascii="宋体" w:hAnsi="宋体" w:cs="Times New Roman"/>
          <w:bCs/>
          <w:color w:val="auto"/>
          <w:sz w:val="21"/>
          <w:highlight w:val="none"/>
          <w:u w:val="single"/>
          <w:lang w:eastAsia="zh-CN"/>
        </w:rPr>
      </w:pPr>
      <w:r>
        <w:rPr>
          <w:rFonts w:hint="eastAsia" w:ascii="宋体" w:hAnsi="宋体" w:cs="Times New Roman"/>
          <w:bCs/>
          <w:color w:val="auto"/>
          <w:sz w:val="21"/>
          <w:highlight w:val="none"/>
          <w:lang w:eastAsia="zh-CN"/>
        </w:rPr>
        <w:t xml:space="preserve">是否存在破坏性检测：</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是，</w:t>
      </w:r>
      <w:r>
        <w:rPr>
          <w:rFonts w:hint="eastAsia" w:ascii="宋体" w:hAnsi="宋体" w:cs="Times New Roman"/>
          <w:bCs/>
          <w:color w:val="auto"/>
          <w:sz w:val="21"/>
          <w:highlight w:val="none"/>
          <w:u w:val="single"/>
          <w:lang w:eastAsia="zh-CN"/>
        </w:rPr>
        <w:t xml:space="preserve">（应明确对被破坏的检测产品的处理方式）</w:t>
      </w:r>
      <w:r/>
    </w:p>
    <w:p>
      <w:pPr>
        <w:ind w:firstLine="840"/>
        <w:jc w:val="both"/>
        <w:spacing w:line="400" w:lineRule="exact"/>
        <w:widowControl w:val="off"/>
        <w:rPr>
          <w:rFonts w:hint="eastAsia" w:ascii="宋体" w:hAnsi="宋体" w:cs="Times New Roman"/>
          <w:bCs/>
          <w:color w:val="auto"/>
          <w:sz w:val="21"/>
          <w:highlight w:val="none"/>
          <w:lang w:eastAsia="zh-CN"/>
        </w:rPr>
      </w:pPr>
      <w:r>
        <w:rPr>
          <w:rFonts w:hint="eastAsia" w:ascii="宋体" w:hAnsi="宋体"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否</w:t>
      </w:r>
      <w:r/>
    </w:p>
    <w:p>
      <w:pPr>
        <w:ind w:firstLine="840"/>
        <w:jc w:val="both"/>
        <w:spacing w:line="400" w:lineRule="exact"/>
        <w:widowControl w:val="off"/>
        <w:rPr>
          <w:rFonts w:hint="eastAsia"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验收组织的其他事项：</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hint="eastAsia"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（2）履约验收时间：</w:t>
      </w:r>
      <w:r>
        <w:rPr>
          <w:rFonts w:hint="eastAsia" w:ascii="宋体" w:hAnsi="宋体" w:eastAsia="等线" w:cs="Times New Roman"/>
          <w:bCs/>
          <w:color w:val="auto"/>
          <w:sz w:val="21"/>
          <w:highlight w:val="none"/>
          <w:u w:val="single"/>
          <w:lang w:eastAsia="zh-CN"/>
        </w:rPr>
        <w:t xml:space="preserve">（计划于何时验收/供应商提出验收申请之日起   日内组织验收） </w:t>
      </w:r>
      <w:r/>
    </w:p>
    <w:p>
      <w:pPr>
        <w:ind w:firstLine="42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（3）履约验收方式：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一次性验收         </w:t>
      </w:r>
      <w:r/>
    </w:p>
    <w:p>
      <w:pPr>
        <w:ind w:firstLine="0"/>
        <w:jc w:val="both"/>
        <w:spacing w:line="400" w:lineRule="exact"/>
        <w:widowControl w:val="off"/>
        <w:rPr>
          <w:rFonts w:hint="eastAsia" w:ascii="宋体" w:hAnsi="宋体"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分期/分项验收：</w:t>
      </w:r>
      <w:r>
        <w:rPr>
          <w:rFonts w:hint="eastAsia" w:ascii="宋体" w:hAnsi="宋体" w:eastAsia="等线" w:cs="Times New Roman"/>
          <w:bCs/>
          <w:color w:val="auto"/>
          <w:sz w:val="21"/>
          <w:highlight w:val="none"/>
          <w:u w:val="single"/>
          <w:lang w:eastAsia="zh-CN"/>
        </w:rPr>
        <w:t xml:space="preserve"> （应明确分期</w:t>
      </w:r>
      <w:r>
        <w:rPr>
          <w:rFonts w:ascii="宋体" w:hAnsi="宋体" w:eastAsia="等线" w:cs="Times New Roman"/>
          <w:bCs/>
          <w:color w:val="auto"/>
          <w:sz w:val="21"/>
          <w:highlight w:val="none"/>
          <w:u w:val="single"/>
          <w:lang w:val="en" w:eastAsia="zh-CN"/>
        </w:rPr>
        <w:t xml:space="preserve">/</w:t>
      </w:r>
      <w:r>
        <w:rPr>
          <w:rFonts w:hint="eastAsia" w:ascii="宋体" w:hAnsi="宋体" w:eastAsia="等线" w:cs="Times New Roman"/>
          <w:bCs/>
          <w:color w:val="auto"/>
          <w:sz w:val="21"/>
          <w:highlight w:val="none"/>
          <w:u w:val="single"/>
          <w:lang w:val="en" w:eastAsia="zh-CN"/>
        </w:rPr>
        <w:t xml:space="preserve">分项验收的工作安排</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hint="eastAsia"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（4）履约验收程序：</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hint="eastAsia"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（5）履约验收的内容：</w:t>
      </w:r>
      <w:r>
        <w:rPr>
          <w:rFonts w:hint="eastAsia" w:ascii="宋体" w:hAnsi="宋体" w:eastAsia="等线" w:cs="Times New Roman"/>
          <w:bCs/>
          <w:color w:val="auto"/>
          <w:sz w:val="21"/>
          <w:highlight w:val="none"/>
          <w:u w:val="single"/>
          <w:lang w:eastAsia="zh-CN"/>
        </w:rPr>
        <w:t xml:space="preserve"> （应当包括每一项技术和商务要求的履约情况，特别是落实政府采购扶持中小企业，支持绿色发展和乡村振兴等政策情况）                                      </w:t>
      </w:r>
      <w:r/>
    </w:p>
    <w:p>
      <w:pPr>
        <w:ind w:firstLine="420"/>
        <w:jc w:val="both"/>
        <w:spacing w:line="400" w:lineRule="exact"/>
        <w:widowControl w:val="off"/>
        <w:rPr>
          <w:rFonts w:hint="eastAsia"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（6）履约验收标准：</w:t>
      </w:r>
      <w:r>
        <w:rPr>
          <w:rFonts w:hint="eastAsia" w:ascii="宋体" w:hAnsi="宋体" w:eastAsia="等线" w:cs="Times New Roman"/>
          <w:bCs/>
          <w:color w:val="auto"/>
          <w:sz w:val="21"/>
          <w:highlight w:val="none"/>
          <w:u w:val="single"/>
          <w:lang w:eastAsia="zh-CN"/>
        </w:rPr>
        <w:t xml:space="preserve">                                         </w:t>
      </w:r>
      <w:r/>
    </w:p>
    <w:p>
      <w:pPr>
        <w:ind w:firstLine="440"/>
        <w:spacing w:line="400" w:lineRule="exact"/>
        <w:rPr>
          <w:rFonts w:hint="eastAsia" w:ascii="宋体" w:hAnsi="宋体" w:cs="宋体"/>
          <w:color w:val="auto"/>
          <w:sz w:val="21"/>
          <w:highlight w:val="none"/>
          <w:lang w:eastAsia="zh-CN"/>
        </w:rPr>
      </w:pPr>
      <w:r>
        <w:rPr>
          <w:rFonts w:hint="eastAsia" w:ascii="宋体" w:hAnsi="宋体" w:cs="宋体"/>
          <w:bCs/>
          <w:color w:val="auto"/>
          <w:sz w:val="21"/>
          <w:highlight w:val="none"/>
          <w:lang w:eastAsia="zh-CN"/>
        </w:rPr>
        <w:t xml:space="preserve">（7）是否以采购活动中供应商提供的样品作为参考：</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否</w:t>
      </w:r>
      <w:r/>
    </w:p>
    <w:p>
      <w:pPr>
        <w:ind w:firstLine="420"/>
        <w:jc w:val="both"/>
        <w:spacing w:line="400" w:lineRule="exact"/>
        <w:widowControl w:val="off"/>
        <w:rPr>
          <w:rFonts w:hint="eastAsia"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（8）履约验收其他事项：</w:t>
      </w:r>
      <w:r>
        <w:rPr>
          <w:rFonts w:hint="eastAsia" w:ascii="宋体" w:hAnsi="宋体" w:eastAsia="等线" w:cs="宋体"/>
          <w:bCs/>
          <w:color w:val="auto"/>
          <w:sz w:val="21"/>
          <w:highlight w:val="none"/>
          <w:u w:val="single"/>
          <w:lang w:eastAsia="zh-CN"/>
        </w:rPr>
        <w:t xml:space="preserve">      （产权过户登记等）          </w:t>
      </w:r>
      <w:r/>
    </w:p>
    <w:p>
      <w:pPr>
        <w:numPr>
          <w:ilvl w:val="0"/>
          <w:numId w:val="3"/>
        </w:numPr>
        <w:jc w:val="both"/>
        <w:spacing w:line="400" w:lineRule="exact"/>
        <w:widowControl w:val="off"/>
        <w:rPr>
          <w:rFonts w:hint="eastAsia"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组成合同的文件</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本协议书与下列文件一起构成合同文件，如下述文件之间有任何抵触、矛盾或歧义，应按以下顺序解释：</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（1）政府采购合同协议书及其变更、补充协议</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（2）政府采购合同专用条款</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（3）政府采购合同通用条款</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（4）中标（成交）通知书</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（5）投标（响应）文件</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（6）采购文件</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（7）有关技术文件，图纸</w:t>
      </w:r>
      <w:r/>
    </w:p>
    <w:p>
      <w:pPr>
        <w:ind w:firstLine="44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（8）国家法律、行政法规和规章制度规定或合同约定的作为合同组成部分的其他文件</w:t>
      </w:r>
      <w:r/>
    </w:p>
    <w:p>
      <w:pPr>
        <w:numPr>
          <w:ilvl w:val="0"/>
          <w:numId w:val="3"/>
        </w:numPr>
        <w:jc w:val="both"/>
        <w:spacing w:line="400" w:lineRule="exact"/>
        <w:widowControl w:val="off"/>
        <w:rPr>
          <w:rFonts w:hint="eastAsia"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合同生效</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本合同自</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生效。</w:t>
      </w:r>
      <w:r/>
    </w:p>
    <w:p>
      <w:pPr>
        <w:numPr>
          <w:ilvl w:val="0"/>
          <w:numId w:val="3"/>
        </w:numPr>
        <w:jc w:val="both"/>
        <w:spacing w:line="400" w:lineRule="exact"/>
        <w:widowControl w:val="off"/>
        <w:rPr>
          <w:rFonts w:hint="eastAsia"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合同份数</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本合同一式</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份，甲方执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份，乙方执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份，均具有同等法律效力。</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合同订立时间：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月</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日</w:t>
      </w:r>
      <w:r/>
    </w:p>
    <w:p>
      <w:pPr>
        <w:ind w:firstLine="420"/>
        <w:jc w:val="both"/>
        <w:spacing w:line="400" w:lineRule="exact"/>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合同订立地点：</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hint="eastAsia"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附件：具体标的及其技术要求和商务要求、联合协议、分包意向协议等。</w:t>
      </w:r>
      <w:r/>
    </w:p>
    <w:p>
      <w:pPr>
        <w:ind w:firstLine="420"/>
        <w:jc w:val="both"/>
        <w:spacing w:line="240" w:lineRule="auto"/>
        <w:widowControl w:val="off"/>
        <w:rPr>
          <w:rFonts w:hint="eastAsia" w:ascii="等线" w:hAnsi="等线" w:cs="Times New Roman" w:eastAsiaTheme="minorEastAsia"/>
          <w:color w:val="auto"/>
          <w:sz w:val="21"/>
          <w:szCs w:val="22"/>
          <w:highlight w:val="none"/>
          <w:lang w:eastAsia="zh-CN"/>
        </w:rPr>
      </w:pPr>
      <w:r>
        <w:rPr>
          <w:rFonts w:hint="eastAsia" w:ascii="等线" w:hAnsi="等线" w:cs="Times New Roman" w:eastAsiaTheme="minorEastAsia"/>
          <w:color w:val="auto"/>
          <w:sz w:val="21"/>
          <w:szCs w:val="22"/>
          <w:highlight w:val="none"/>
          <w:lang w:eastAsia="zh-CN"/>
        </w:rPr>
      </w:r>
      <w:r/>
    </w:p>
    <w:p>
      <w:pPr>
        <w:ind w:firstLine="420"/>
        <w:jc w:val="both"/>
        <w:spacing w:line="240" w:lineRule="auto"/>
        <w:widowControl w:val="off"/>
        <w:rPr>
          <w:rFonts w:hint="eastAsia" w:ascii="等线" w:hAnsi="等线" w:cs="Times New Roman" w:eastAsiaTheme="minorEastAsia"/>
          <w:color w:val="auto"/>
          <w:sz w:val="21"/>
          <w:szCs w:val="22"/>
          <w:highlight w:val="none"/>
          <w:lang w:eastAsia="zh-CN"/>
        </w:rPr>
      </w:pPr>
      <w:r>
        <w:rPr>
          <w:rFonts w:hint="eastAsia" w:ascii="等线" w:hAnsi="等线" w:cs="Times New Roman" w:eastAsiaTheme="minorEastAsia"/>
          <w:color w:val="auto"/>
          <w:sz w:val="21"/>
          <w:szCs w:val="22"/>
          <w:highlight w:val="none"/>
          <w:lang w:eastAsia="zh-CN"/>
        </w:rPr>
      </w:r>
      <w:r/>
    </w:p>
    <w:p>
      <w:pPr>
        <w:ind w:firstLine="420"/>
        <w:jc w:val="both"/>
        <w:spacing w:line="240" w:lineRule="auto"/>
        <w:widowControl w:val="off"/>
        <w:rPr>
          <w:rFonts w:hint="eastAsia" w:ascii="等线" w:hAnsi="等线" w:cs="Times New Roman" w:eastAsiaTheme="minorEastAsia"/>
          <w:color w:val="auto"/>
          <w:sz w:val="21"/>
          <w:szCs w:val="22"/>
          <w:highlight w:val="none"/>
          <w:lang w:eastAsia="zh-CN"/>
        </w:rPr>
      </w:pPr>
      <w:r>
        <w:rPr>
          <w:rFonts w:hint="eastAsia" w:ascii="等线" w:hAnsi="等线" w:cs="Times New Roman" w:eastAsiaTheme="minorEastAsia"/>
          <w:color w:val="auto"/>
          <w:sz w:val="21"/>
          <w:szCs w:val="22"/>
          <w:highlight w:val="none"/>
          <w:lang w:eastAsia="zh-CN"/>
        </w:rPr>
      </w:r>
      <w:r/>
    </w:p>
    <w:p>
      <w:pPr>
        <w:ind w:firstLine="420"/>
        <w:jc w:val="both"/>
        <w:spacing w:line="240" w:lineRule="auto"/>
        <w:widowControl w:val="off"/>
        <w:rPr>
          <w:rFonts w:hint="eastAsia" w:ascii="等线" w:hAnsi="等线" w:cs="Times New Roman" w:eastAsiaTheme="minorEastAsia"/>
          <w:color w:val="auto"/>
          <w:sz w:val="21"/>
          <w:szCs w:val="22"/>
          <w:highlight w:val="none"/>
          <w:lang w:eastAsia="zh-CN"/>
        </w:rPr>
      </w:pPr>
      <w:r>
        <w:rPr>
          <w:rFonts w:hint="eastAsia" w:ascii="等线" w:hAnsi="等线" w:cs="Times New Roman" w:eastAsiaTheme="minorEastAsia"/>
          <w:color w:val="auto"/>
          <w:sz w:val="21"/>
          <w:szCs w:val="22"/>
          <w:highlight w:val="none"/>
          <w:lang w:eastAsia="zh-CN"/>
        </w:rPr>
      </w:r>
      <w:r/>
    </w:p>
    <w:p>
      <w:pPr>
        <w:ind w:firstLine="420"/>
        <w:jc w:val="both"/>
        <w:spacing w:line="240" w:lineRule="auto"/>
        <w:widowControl w:val="off"/>
        <w:rPr>
          <w:rFonts w:hint="eastAsia" w:ascii="等线" w:hAnsi="等线" w:cs="Times New Roman" w:eastAsiaTheme="minorEastAsia"/>
          <w:color w:val="auto"/>
          <w:sz w:val="21"/>
          <w:szCs w:val="22"/>
          <w:highlight w:val="none"/>
          <w:lang w:eastAsia="zh-CN"/>
        </w:rPr>
      </w:pPr>
      <w:r>
        <w:rPr>
          <w:rFonts w:hint="eastAsia" w:ascii="等线" w:hAnsi="等线" w:cs="Times New Roman" w:eastAsiaTheme="minorEastAsia"/>
          <w:color w:val="auto"/>
          <w:sz w:val="21"/>
          <w:szCs w:val="22"/>
          <w:highlight w:val="none"/>
          <w:lang w:eastAsia="zh-CN"/>
        </w:rPr>
      </w:r>
      <w:r/>
    </w:p>
    <w:p>
      <w:pPr>
        <w:ind w:firstLine="420"/>
        <w:jc w:val="both"/>
        <w:spacing w:line="240" w:lineRule="auto"/>
        <w:widowControl w:val="off"/>
        <w:rPr>
          <w:rFonts w:hint="eastAsia" w:ascii="等线" w:hAnsi="等线" w:cs="Times New Roman" w:eastAsiaTheme="minorEastAsia"/>
          <w:color w:val="auto"/>
          <w:sz w:val="21"/>
          <w:szCs w:val="22"/>
          <w:highlight w:val="none"/>
          <w:lang w:eastAsia="zh-CN"/>
        </w:rPr>
      </w:pPr>
      <w:r>
        <w:rPr>
          <w:rFonts w:hint="eastAsia"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Calibri" w:hAnsi="Calibri" w:cs="Times New Roman"/>
          <w:color w:val="auto"/>
          <w:sz w:val="21"/>
          <w:szCs w:val="22"/>
          <w:highlight w:val="none"/>
          <w:lang w:eastAsia="zh-CN"/>
        </w:rPr>
      </w:pPr>
      <w:r>
        <w:rPr>
          <w:rFonts w:ascii="Calibri" w:hAnsi="Calibri" w:cs="Times New Roman"/>
          <w:color w:val="auto"/>
          <w:sz w:val="21"/>
          <w:szCs w:val="22"/>
          <w:highlight w:val="none"/>
          <w:lang w:eastAsia="zh-CN"/>
        </w:rPr>
      </w:r>
      <w:r/>
    </w:p>
    <w:tbl>
      <w:tblPr>
        <w:tblStyle w:val="91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869"/>
        <w:gridCol w:w="2354"/>
        <w:gridCol w:w="251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szCs w:val="22"/>
                <w:highlight w:val="none"/>
                <w:lang w:eastAsia="zh-CN"/>
              </w:rPr>
            </w:pPr>
            <w:r>
              <w:rPr>
                <w:rFonts w:ascii="等线" w:hAnsi="等线" w:eastAsia="等线" w:cs="Times New Roman"/>
                <w:color w:val="auto"/>
                <w:sz w:val="21"/>
                <w:highlight w:val="none"/>
                <w:lang w:eastAsia="zh-CN"/>
              </w:rPr>
              <w:t xml:space="preserve">甲方</w:t>
            </w:r>
            <w:r>
              <w:rPr>
                <w:rFonts w:hint="eastAsia" w:ascii="等线" w:hAnsi="等线" w:eastAsia="等线" w:cs="Times New Roman"/>
                <w:color w:val="auto"/>
                <w:sz w:val="21"/>
                <w:highlight w:val="none"/>
                <w:lang w:eastAsia="zh-CN"/>
              </w:rPr>
              <w:t xml:space="preserve">（采购人</w:t>
            </w:r>
            <w:r>
              <w:rPr>
                <w:rFonts w:hint="eastAsia" w:ascii="宋体" w:hAnsi="宋体" w:eastAsia="等线" w:cs="Times New Roman"/>
                <w:color w:val="auto"/>
                <w:sz w:val="21"/>
                <w:highlight w:val="none"/>
                <w:lang w:eastAsia="zh-CN"/>
              </w:rPr>
              <w:t xml:space="preserve">、受采购人委托签订合同的单位或</w:t>
            </w:r>
            <w:r>
              <w:rPr>
                <w:rFonts w:hint="eastAsia" w:ascii="等线" w:hAnsi="等线" w:eastAsia="等线" w:cs="Times New Roman"/>
                <w:color w:val="auto"/>
                <w:sz w:val="21"/>
                <w:highlight w:val="none"/>
                <w:lang w:eastAsia="zh-CN"/>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szCs w:val="22"/>
                <w:highlight w:val="none"/>
                <w:lang w:eastAsia="zh-CN"/>
              </w:rPr>
            </w:pPr>
            <w:r>
              <w:rPr>
                <w:rFonts w:ascii="等线" w:hAnsi="等线" w:eastAsia="等线" w:cs="Times New Roman"/>
                <w:color w:val="auto"/>
                <w:sz w:val="21"/>
                <w:highlight w:val="none"/>
                <w:lang w:eastAsia="zh-CN"/>
              </w:rPr>
              <w:t xml:space="preserve">乙方</w:t>
            </w:r>
            <w:r>
              <w:rPr>
                <w:rFonts w:hint="eastAsia" w:ascii="等线" w:hAnsi="等线" w:eastAsia="等线" w:cs="Times New Roman"/>
                <w:color w:val="auto"/>
                <w:sz w:val="21"/>
                <w:highlight w:val="none"/>
                <w:lang w:eastAsia="zh-CN"/>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单位名称</w:t>
            </w:r>
            <w:r>
              <w:rPr>
                <w:rFonts w:hint="eastAsia" w:ascii="等线" w:hAnsi="等线" w:eastAsia="等线" w:cs="Times New Roman"/>
                <w:color w:val="auto"/>
                <w:sz w:val="21"/>
                <w:highlight w:val="none"/>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单位名称</w:t>
            </w:r>
            <w:r>
              <w:rPr>
                <w:rFonts w:hint="eastAsia" w:ascii="等线" w:hAnsi="等线" w:eastAsia="等线" w:cs="Times New Roman"/>
                <w:color w:val="auto"/>
                <w:sz w:val="21"/>
                <w:highlight w:val="none"/>
                <w:lang w:eastAsia="zh-CN"/>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法定代表人</w:t>
            </w:r>
            <w:r/>
          </w:p>
          <w:p>
            <w:pPr>
              <w:ind w:firstLine="10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或其</w:t>
            </w:r>
            <w:r>
              <w:rPr>
                <w:rFonts w:ascii="等线" w:hAnsi="等线" w:eastAsia="等线" w:cs="Times New Roman"/>
                <w:color w:val="auto"/>
                <w:sz w:val="21"/>
                <w:highlight w:val="none"/>
                <w:lang w:eastAsia="zh-CN"/>
              </w:rPr>
              <w:t xml:space="preserve">委托代理人</w:t>
            </w:r>
            <w:r>
              <w:rPr>
                <w:rFonts w:hint="eastAsia" w:ascii="等线" w:hAnsi="等线" w:eastAsia="等线" w:cs="Times New Roman"/>
                <w:color w:val="auto"/>
                <w:sz w:val="21"/>
                <w:highlight w:val="none"/>
                <w:lang w:eastAsia="zh-CN"/>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法定代表人</w:t>
            </w:r>
            <w:r/>
          </w:p>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或其</w:t>
            </w:r>
            <w:r>
              <w:rPr>
                <w:rFonts w:ascii="等线" w:hAnsi="等线" w:eastAsia="等线" w:cs="Times New Roman"/>
                <w:color w:val="auto"/>
                <w:sz w:val="21"/>
                <w:highlight w:val="none"/>
                <w:lang w:eastAsia="zh-CN"/>
              </w:rPr>
              <w:t xml:space="preserve">委托代理人</w:t>
            </w:r>
            <w:r>
              <w:rPr>
                <w:rFonts w:hint="eastAsia" w:ascii="等线" w:hAnsi="等线" w:eastAsia="等线" w:cs="Times New Roman"/>
                <w:color w:val="auto"/>
                <w:sz w:val="21"/>
                <w:highlight w:val="none"/>
                <w:lang w:eastAsia="zh-CN"/>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hint="eastAsia"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hint="eastAsia" w:ascii="等线" w:hAnsi="等线" w:eastAsia="等线" w:cs="Times New Roman"/>
                <w:color w:val="auto"/>
                <w:spacing w:val="20"/>
                <w:sz w:val="21"/>
                <w:highlight w:val="none"/>
                <w:lang w:eastAsia="zh-CN"/>
              </w:rPr>
            </w:pPr>
            <w:r>
              <w:rPr>
                <w:rFonts w:hint="eastAsia" w:ascii="等线" w:hAnsi="等线" w:eastAsia="等线" w:cs="Times New Roman"/>
                <w:color w:val="auto"/>
                <w:spacing w:val="20"/>
                <w:sz w:val="21"/>
                <w:highlight w:val="none"/>
                <w:lang w:eastAsia="zh-CN"/>
              </w:rPr>
            </w:r>
            <w:r/>
          </w:p>
        </w:tc>
      </w:tr>
      <w:tr>
        <w:trPr>
          <w:trHeight w:val="586"/>
        </w:trPr>
        <w:tc>
          <w:tcPr>
            <w:gridSpan w:val="4"/>
            <w:tcBorders>
              <w:top w:val="single" w:color="auto" w:sz="2" w:space="0"/>
            </w:tcBorders>
            <w:tcW w:w="5000" w:type="pct"/>
            <w:vAlign w:val="center"/>
            <w:textDirection w:val="lrTb"/>
            <w:noWrap w:val="false"/>
          </w:tcPr>
          <w:p>
            <w:pPr>
              <w:ind w:firstLine="0"/>
              <w:spacing w:before="156"/>
              <w:widowControl w:val="off"/>
              <w:rPr>
                <w:rFonts w:hint="eastAsia" w:ascii="等线" w:hAnsi="等线" w:eastAsia="等线" w:cs="Times New Roman"/>
                <w:color w:val="auto"/>
                <w:spacing w:val="20"/>
                <w:sz w:val="21"/>
                <w:highlight w:val="none"/>
                <w:lang w:eastAsia="zh-CN"/>
              </w:rPr>
            </w:pPr>
            <w:r>
              <w:rPr>
                <w:rFonts w:hint="eastAsia" w:ascii="宋体" w:hAnsi="宋体" w:eastAsia="等线" w:cs="Times New Roman"/>
                <w:color w:val="auto"/>
                <w:sz w:val="21"/>
                <w:highlight w:val="none"/>
                <w:lang w:eastAsia="zh-CN"/>
              </w:rPr>
              <w:t xml:space="preserve">注：涉及联合体或其他合同主体的信息应按上表格式加列。</w:t>
            </w:r>
            <w:r/>
          </w:p>
        </w:tc>
      </w:tr>
    </w:tbl>
    <w:p>
      <w:pPr>
        <w:ind w:firstLine="0"/>
        <w:jc w:val="center"/>
        <w:keepLines/>
        <w:keepNext/>
        <w:spacing w:before="156" w:after="200" w:line="240" w:lineRule="auto"/>
        <w:widowControl w:val="off"/>
        <w:rPr>
          <w:rFonts w:hint="eastAsia" w:ascii="黑体" w:hAnsi="黑体" w:eastAsia="黑体"/>
          <w:color w:val="auto"/>
          <w:sz w:val="28"/>
          <w:szCs w:val="28"/>
          <w:highlight w:val="none"/>
          <w:lang w:eastAsia="zh-CN"/>
        </w:rPr>
        <w:outlineLvl w:val="1"/>
      </w:pPr>
      <w:r>
        <w:rPr>
          <w:rFonts w:ascii="宋体" w:hAnsi="宋体" w:eastAsia="Arial"/>
          <w:color w:val="auto"/>
          <w:sz w:val="21"/>
          <w:highlight w:val="none"/>
          <w:u w:val="single"/>
          <w:lang w:eastAsia="zh-CN"/>
        </w:rPr>
        <w:br w:type="page" w:clear="all"/>
      </w:r>
      <w:bookmarkStart w:id="24" w:name="_Toc27624"/>
      <w:r>
        <w:rPr>
          <w:rFonts w:hint="eastAsia" w:ascii="黑体" w:hAnsi="黑体" w:eastAsia="黑体"/>
          <w:color w:val="auto"/>
          <w:sz w:val="28"/>
          <w:szCs w:val="28"/>
          <w:highlight w:val="none"/>
          <w:lang w:eastAsia="zh-CN"/>
        </w:rPr>
        <w:t xml:space="preserve">第二节 政府采购合同通用条款</w:t>
      </w:r>
      <w:bookmarkEnd w:id="24"/>
      <w:r/>
      <w:r/>
    </w:p>
    <w:p>
      <w:pPr>
        <w:ind w:firstLine="0"/>
        <w:spacing w:line="400" w:lineRule="exact"/>
        <w:widowControl w:val="off"/>
        <w:tabs>
          <w:tab w:val="left" w:pos="8820" w:leader="none"/>
          <w:tab w:val="left" w:pos="9345" w:leader="none"/>
          <w:tab w:val="left" w:pos="9765" w:leader="none"/>
        </w:tabs>
        <w:rPr>
          <w:rFonts w:hint="eastAsia" w:ascii="宋体" w:hAnsi="宋体" w:cs="宋体"/>
          <w:b/>
          <w:bCs/>
          <w:color w:val="auto"/>
          <w:szCs w:val="22"/>
          <w:highlight w:val="none"/>
          <w:lang w:eastAsia="zh-CN"/>
        </w:rPr>
      </w:pPr>
      <w:r>
        <w:rPr>
          <w:rFonts w:hint="eastAsia" w:ascii="宋体" w:hAnsi="宋体" w:cs="宋体"/>
          <w:b/>
          <w:color w:val="auto"/>
          <w:szCs w:val="22"/>
          <w:highlight w:val="none"/>
          <w:lang w:eastAsia="zh-CN"/>
        </w:rPr>
        <w:t xml:space="preserve">1. </w:t>
      </w:r>
      <w:r>
        <w:rPr>
          <w:rFonts w:hint="eastAsia" w:ascii="宋体" w:hAnsi="宋体" w:cs="宋体"/>
          <w:b/>
          <w:bCs/>
          <w:color w:val="auto"/>
          <w:szCs w:val="22"/>
          <w:highlight w:val="none"/>
          <w:lang w:eastAsia="zh-CN"/>
        </w:rPr>
        <w:t xml:space="preserve">定义</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1.1合同当事人</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（1）采购人（以下简称甲方）是指使用财政性资金，通过政府采购方式向供应商购买货物及其相关服务的国家机关、事业单位、团体组织。</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（2）供应商（以下简称乙方）是指参加政府采购活动并且中标（成交），向采购人提供合同约定的货物及其相关服务的法人、非法人组织或者自然人。</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（3）其他合同主体是指除采购人和供应商以外，</w:t>
      </w:r>
      <w:r>
        <w:rPr>
          <w:rFonts w:hint="eastAsia" w:ascii="宋体" w:hAnsi="宋体" w:cs="宋体"/>
          <w:bCs/>
          <w:color w:val="auto"/>
          <w:sz w:val="21"/>
          <w:highlight w:val="none"/>
          <w:lang w:eastAsia="zh-CN"/>
        </w:rPr>
        <w:t xml:space="preserve">依法参与合同缔结或履行，享有权利、承担义务的合同当事人</w:t>
      </w:r>
      <w:r>
        <w:rPr>
          <w:rFonts w:hint="eastAsia" w:ascii="宋体" w:hAnsi="宋体" w:cs="宋体"/>
          <w:color w:val="auto"/>
          <w:sz w:val="21"/>
          <w:highlight w:val="none"/>
          <w:lang w:eastAsia="zh-CN"/>
        </w:rPr>
        <w:t xml:space="preserve">。</w:t>
      </w:r>
      <w:r/>
    </w:p>
    <w:p>
      <w:pPr>
        <w:ind w:firstLine="420"/>
        <w:spacing w:line="400" w:lineRule="exact"/>
        <w:widowControl w:val="off"/>
        <w:tabs>
          <w:tab w:val="left" w:pos="570" w:leader="none"/>
          <w:tab w:val="left" w:pos="9240" w:leader="none"/>
          <w:tab w:val="left" w:pos="9555" w:leader="none"/>
        </w:tabs>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1.2本合同下列术语应解释为：</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（1）“合同”系指</w:t>
      </w:r>
      <w:r>
        <w:rPr>
          <w:rFonts w:hint="eastAsia" w:ascii="宋体" w:hAnsi="宋体" w:cs="宋体"/>
          <w:bCs/>
          <w:color w:val="auto"/>
          <w:sz w:val="21"/>
          <w:highlight w:val="none"/>
          <w:lang w:eastAsia="zh-CN"/>
        </w:rPr>
        <w:t xml:space="preserve">合同当事人意思表示达成一致的任何协议，包括签署的</w:t>
      </w:r>
      <w:r>
        <w:rPr>
          <w:rFonts w:hint="eastAsia" w:ascii="宋体" w:hAnsi="宋体" w:cs="宋体"/>
          <w:color w:val="auto"/>
          <w:sz w:val="21"/>
          <w:highlight w:val="none"/>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widowControl w:val="off"/>
        <w:tabs>
          <w:tab w:val="left" w:pos="570" w:leader="none"/>
          <w:tab w:val="left" w:pos="9240" w:leader="none"/>
          <w:tab w:val="left" w:pos="9555" w:leader="none"/>
        </w:tabs>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（2）“合同价款”系指根据本合同规定乙方在全面履行合同义务后甲方应支付给乙方的价款。</w:t>
      </w:r>
      <w:r/>
    </w:p>
    <w:p>
      <w:pPr>
        <w:ind w:firstLine="420"/>
        <w:spacing w:line="400" w:lineRule="exact"/>
        <w:widowControl w:val="off"/>
        <w:tabs>
          <w:tab w:val="left" w:pos="570" w:leader="none"/>
          <w:tab w:val="left" w:pos="9240" w:leader="none"/>
          <w:tab w:val="left" w:pos="9555" w:leader="none"/>
        </w:tabs>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（3）“货物”系指乙方根据本合同规定须向甲方提供的各种形态和种类的物品，包括原材料、设备、产品（包括软件）及相关的备品备件、工具、手册及</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技术资料和材料等。</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（4）“相关服务”系指根据合同规定，乙方应提供的与货物有关的技术、管理和</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义务。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widowControl w:val="off"/>
        <w:tabs>
          <w:tab w:val="left" w:pos="570" w:leader="none"/>
          <w:tab w:val="left" w:pos="9240" w:leader="none"/>
          <w:tab w:val="left" w:pos="9555" w:leader="none"/>
        </w:tabs>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ind w:firstLine="420"/>
        <w:spacing w:line="400" w:lineRule="exact"/>
        <w:widowControl w:val="off"/>
        <w:tabs>
          <w:tab w:val="left" w:pos="570" w:leader="none"/>
          <w:tab w:val="left" w:pos="9240" w:leader="none"/>
          <w:tab w:val="left" w:pos="9555" w:leader="none"/>
        </w:tabs>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（7）其他术语解释，见【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numPr>
          <w:ilvl w:val="0"/>
          <w:numId w:val="6"/>
        </w:numPr>
        <w:ind w:firstLine="0"/>
        <w:jc w:val="both"/>
        <w:spacing w:line="400" w:lineRule="exact"/>
        <w:widowControl w:val="off"/>
        <w:rPr>
          <w:rFonts w:hint="eastAsia" w:ascii="宋体" w:hAnsi="宋体" w:cs="宋体"/>
          <w:b/>
          <w:bCs/>
          <w:color w:val="auto"/>
          <w:szCs w:val="22"/>
          <w:highlight w:val="none"/>
          <w:lang w:eastAsia="zh-CN"/>
        </w:rPr>
      </w:pPr>
      <w:r>
        <w:rPr>
          <w:rFonts w:hint="eastAsia" w:ascii="宋体" w:hAnsi="宋体" w:cs="宋体"/>
          <w:b/>
          <w:color w:val="auto"/>
          <w:szCs w:val="22"/>
          <w:highlight w:val="none"/>
          <w:lang w:eastAsia="zh-CN"/>
        </w:rPr>
        <w:t xml:space="preserve">合同标的及金额</w:t>
      </w:r>
      <w:r/>
    </w:p>
    <w:p>
      <w:pPr>
        <w:ind w:firstLine="420"/>
        <w:spacing w:line="400" w:lineRule="exact"/>
        <w:widowControl w:val="off"/>
        <w:rPr>
          <w:rFonts w:hint="eastAsia" w:ascii="宋体" w:hAnsi="宋体" w:cs="宋体"/>
          <w:b/>
          <w:bCs/>
          <w:i/>
          <w:iCs/>
          <w:color w:val="auto"/>
          <w:sz w:val="21"/>
          <w:highlight w:val="none"/>
          <w:lang w:eastAsia="zh-CN"/>
        </w:rPr>
      </w:pPr>
      <w:r>
        <w:rPr>
          <w:rFonts w:hint="eastAsia" w:ascii="宋体" w:hAnsi="宋体" w:cs="宋体"/>
          <w:color w:val="auto"/>
          <w:sz w:val="21"/>
          <w:highlight w:val="none"/>
          <w:lang w:eastAsia="zh-CN"/>
        </w:rPr>
        <w:t xml:space="preserve">2.1 合同标的及金额应与中标（成交）结果一致。乙方为履行本合同而发生的所有费用均应包含在合同价款中，甲方不再另行支付</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任何费用。</w:t>
      </w:r>
      <w:r/>
    </w:p>
    <w:p>
      <w:pPr>
        <w:ind w:firstLine="0"/>
        <w:spacing w:line="400" w:lineRule="exact"/>
        <w:widowControl w:val="off"/>
        <w:rPr>
          <w:rFonts w:hint="eastAsia"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3. 履行合同的时间、地点和方式</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3.1 乙方应当在约定的时间、地点，按照约定方式履行合同。</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4. 甲方的权利和义务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4.3 甲方有权要求乙方对缺陷部分予以修复，并按合同约定享有货物保修及其他合同约定的权利。</w:t>
      </w:r>
      <w:r/>
    </w:p>
    <w:p>
      <w:pPr>
        <w:ind w:firstLine="420"/>
        <w:jc w:val="both"/>
        <w:spacing w:line="400" w:lineRule="exact"/>
        <w:widowControl w:val="off"/>
        <w:rPr>
          <w:rFonts w:hint="eastAsia"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4.4 甲方应当按照合同约定及时对交付的货物进行验收，未在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约定的期限内对乙方履约提出任何异议或者向乙方作出任何说明的，视为验收通过。</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4.5 甲方应当根据合同约定及时向乙方支付合同价款，不得以内部人员变更、履行内部付款流程等为由，拒绝或迟延支付。</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4.6 国家法律法规规定及</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约定应由甲方承担的其他义务和责任。</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5. 乙方的权利和义务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5.1 签署合同后，乙方应确定项目负责人（或项目联系人），负责与本合同有关的事务。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spacing w:line="400" w:lineRule="exact"/>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t xml:space="preserve">5.3乙方有权根据合同约定向甲方收取合同价款。</w:t>
      </w:r>
      <w:r/>
    </w:p>
    <w:p>
      <w:pPr>
        <w:ind w:firstLine="422"/>
        <w:jc w:val="both"/>
        <w:spacing w:line="400" w:lineRule="exact"/>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t xml:space="preserve">5.4国家法律法规规定及</w:t>
      </w:r>
      <w:r>
        <w:rPr>
          <w:rFonts w:hint="eastAsia" w:ascii="宋体" w:hAnsi="宋体" w:cs="宋体"/>
          <w:b/>
          <w:bCs/>
          <w:color w:val="auto"/>
          <w:highlight w:val="none"/>
          <w:lang w:eastAsia="zh-CN"/>
        </w:rPr>
        <w:t xml:space="preserve">【政府采购合同专用条款】</w:t>
      </w:r>
      <w:r>
        <w:rPr>
          <w:rFonts w:hint="eastAsia" w:ascii="宋体" w:hAnsi="宋体" w:cs="宋体"/>
          <w:color w:val="auto"/>
          <w:highlight w:val="none"/>
          <w:lang w:eastAsia="zh-CN"/>
        </w:rPr>
        <w:t xml:space="preserve">约定应由乙方承担的其他义务和责任。</w:t>
      </w:r>
      <w:r/>
    </w:p>
    <w:p>
      <w:pPr>
        <w:numPr>
          <w:ilvl w:val="0"/>
          <w:numId w:val="7"/>
        </w:numPr>
        <w:jc w:val="both"/>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合同履行</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6.1 甲乙双方应当按照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约定顺序履行合同义务；如果没有先后顺序的，应当同时履行。</w:t>
      </w:r>
      <w:r/>
    </w:p>
    <w:p>
      <w:pPr>
        <w:ind w:firstLine="420"/>
        <w:spacing w:line="400" w:lineRule="exact"/>
        <w:widowControl w:val="off"/>
        <w:rPr>
          <w:rFonts w:hint="eastAsia"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7. 货物包装、运输、保险和交付要求</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7.1 本合同</w:t>
      </w:r>
      <w:r>
        <w:rPr>
          <w:rFonts w:hint="eastAsia" w:ascii="宋体" w:hAnsi="宋体" w:cs="宋体"/>
          <w:bCs/>
          <w:color w:val="auto"/>
          <w:sz w:val="21"/>
          <w:highlight w:val="none"/>
          <w:lang w:eastAsia="zh-CN"/>
        </w:rPr>
        <w:t xml:space="preserve">涉及商品包装、快递包装的，</w:t>
      </w:r>
      <w:r>
        <w:rPr>
          <w:rFonts w:hint="eastAsia" w:ascii="宋体" w:hAnsi="宋体" w:cs="宋体"/>
          <w:color w:val="auto"/>
          <w:sz w:val="21"/>
          <w:highlight w:val="none"/>
          <w:lang w:eastAsia="zh-CN"/>
        </w:rPr>
        <w:t xml:space="preserve">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包装应适应远距离运输、防潮、防震、防锈和防野蛮装卸等要求，确保货物安全无损地运抵</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约定的</w:t>
      </w:r>
      <w:r>
        <w:rPr>
          <w:rFonts w:hint="eastAsia" w:ascii="宋体" w:hAnsi="宋体" w:cs="宋体"/>
          <w:color w:val="auto"/>
          <w:sz w:val="21"/>
          <w:highlight w:val="none"/>
          <w:lang w:eastAsia="zh-CN"/>
        </w:rPr>
        <w:t xml:space="preserve">指定现场。</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7.2 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乙方负责办理将货物运抵本合同规定的交货地点，并装卸、交付至甲方的一切运输事项，相关费用应包含在合同价款中。</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7.3 货物保险要求按</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规定执行</w:t>
      </w:r>
      <w:r>
        <w:rPr>
          <w:rFonts w:hint="eastAsia" w:ascii="宋体" w:hAnsi="宋体" w:cs="宋体"/>
          <w:color w:val="auto"/>
          <w:sz w:val="21"/>
          <w:highlight w:val="none"/>
          <w:lang w:eastAsia="zh-CN"/>
        </w:rPr>
        <w:t xml:space="preserve">。</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7.5 乙方在运输到达之前应提前通知甲方，并提示货物运输装卸的注意事项，甲方配合乙方做好货物的接收工作。</w:t>
      </w:r>
      <w:r/>
    </w:p>
    <w:p>
      <w:pPr>
        <w:ind w:firstLine="44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7.6 如因包装、运输问题导致货物损毁、丢失或者品质下降，甲方有权要求降价、换货、拒收部分或整批货物，由此产生的费用和损失，均由乙方承担。</w:t>
      </w:r>
      <w:r/>
    </w:p>
    <w:p>
      <w:pPr>
        <w:ind w:firstLine="44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7.7 </w:t>
      </w:r>
      <w:r>
        <w:rPr>
          <w:rFonts w:hint="eastAsia" w:ascii="宋体" w:hAnsi="宋体" w:cs="宋体"/>
          <w:color w:val="auto"/>
          <w:sz w:val="21"/>
          <w:highlight w:val="none"/>
          <w:shd w:val="clear" w:color="auto" w:fill="fafafa"/>
          <w:lang w:eastAsia="zh-CN"/>
        </w:rPr>
        <w:t xml:space="preserve">乙方应购买货物运输保险及安装工程一切险，保险费用含在合同价中</w:t>
      </w:r>
      <w:r/>
    </w:p>
    <w:p>
      <w:pPr>
        <w:ind w:firstLine="0"/>
        <w:spacing w:line="400" w:lineRule="exact"/>
        <w:widowControl w:val="off"/>
        <w:rPr>
          <w:rFonts w:hint="eastAsia"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8. 质量标准和保证</w:t>
      </w:r>
      <w:r/>
    </w:p>
    <w:p>
      <w:pPr>
        <w:ind w:firstLine="420"/>
        <w:spacing w:line="400" w:lineRule="exact"/>
        <w:widowControl w:val="off"/>
        <w:rPr>
          <w:rFonts w:hint="eastAsia" w:ascii="宋体" w:hAnsi="宋体" w:cs="宋体"/>
          <w:b/>
          <w:color w:val="auto"/>
          <w:sz w:val="21"/>
          <w:highlight w:val="none"/>
          <w:lang w:eastAsia="zh-CN"/>
        </w:rPr>
      </w:pPr>
      <w:r>
        <w:rPr>
          <w:rFonts w:hint="eastAsia" w:ascii="宋体" w:hAnsi="宋体" w:cs="宋体"/>
          <w:color w:val="auto"/>
          <w:sz w:val="21"/>
          <w:highlight w:val="none"/>
          <w:lang w:eastAsia="zh-CN"/>
        </w:rPr>
        <w:t xml:space="preserve">8.1 质量标准</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（2）采用中华人民共和国法定计量单位。</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（3）乙方所提供的货物应符合国家有关安全、环保、卫生的规定。</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8.2 保证</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规定或乙方书面承诺（两者以较长的为准）的质量保证期内，本保证保持有效。</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（2）在质量保证期内所发现的缺陷，甲方应尽快以书面形式通知乙方。</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（3）乙方收到通知后，应在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规定的响应时间内以合理的速度免费维修或更换有缺陷的货物或部件。</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widowControl w:val="off"/>
        <w:rPr>
          <w:rFonts w:hint="eastAsia"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9. 权利瑕疵担保</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9.1 乙方保证对其出售的货物享有合法的权利。</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9.2 </w:t>
      </w:r>
      <w:r>
        <w:rPr>
          <w:rFonts w:hint="eastAsia" w:ascii="宋体" w:hAnsi="宋体" w:cs="宋体"/>
          <w:color w:val="auto"/>
          <w:sz w:val="21"/>
          <w:szCs w:val="15"/>
          <w:highlight w:val="none"/>
          <w:lang w:eastAsia="zh-CN"/>
        </w:rPr>
        <w:t xml:space="preserve">乙方保证在交付的货物上不存在抵押权等担保物权。</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9.3 如甲方使用上述货物构成对第三人侵权的，则由乙方承担全部责任。</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10. 知识产权保护</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10.1 乙方对其所销售的货物应当享有知识产权或经权利人合法授权，保证没有侵犯任何第三人的知识产权等权利。</w:t>
      </w:r>
      <w:bookmarkStart w:id="25" w:name="_Hlk163047038"/>
      <w:r>
        <w:rPr>
          <w:rFonts w:hint="eastAsia" w:ascii="宋体" w:hAnsi="宋体" w:cs="宋体"/>
          <w:color w:val="auto"/>
          <w:sz w:val="21"/>
          <w:szCs w:val="15"/>
          <w:highlight w:val="none"/>
          <w:lang w:eastAsia="zh-CN"/>
        </w:rPr>
        <w:t xml:space="preserve">因违反前述约定对第三人构成侵权的，应当由乙方向第三人承担法律责任；甲方依法向第三人赔偿后，有权向乙方追偿。甲方有其他损失的，乙方应当赔偿</w:t>
      </w:r>
      <w:bookmarkEnd w:id="25"/>
      <w:r>
        <w:rPr>
          <w:rFonts w:hint="eastAsia" w:ascii="宋体" w:hAnsi="宋体" w:cs="宋体"/>
          <w:color w:val="auto"/>
          <w:sz w:val="21"/>
          <w:highlight w:val="none"/>
          <w:lang w:eastAsia="zh-CN"/>
        </w:rPr>
        <w:t xml:space="preserve">。</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11. 保密义务</w:t>
      </w:r>
      <w:r/>
    </w:p>
    <w:p>
      <w:pPr>
        <w:ind w:firstLine="420"/>
        <w:widowControl w:val="off"/>
        <w:rPr>
          <w:rFonts w:hint="eastAsia"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中约定。</w:t>
      </w:r>
      <w:r/>
    </w:p>
    <w:p>
      <w:pPr>
        <w:ind w:firstLine="0"/>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12. 合同价款支付</w:t>
      </w:r>
      <w:r/>
    </w:p>
    <w:p>
      <w:pPr>
        <w:ind w:firstLine="420"/>
        <w:widowControl w:val="off"/>
        <w:rPr>
          <w:rFonts w:hint="eastAsia"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12.1 合同价款支付按照国库集中支付制度及财政管理相关规定执行。</w:t>
      </w:r>
      <w:r/>
    </w:p>
    <w:p>
      <w:pPr>
        <w:pStyle w:val="914"/>
        <w:ind w:firstLine="420"/>
        <w:rPr>
          <w:rFonts w:hint="eastAsia"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12.2</w:t>
      </w:r>
      <w:r>
        <w:rPr>
          <w:rFonts w:hint="eastAsia"/>
          <w:color w:val="auto"/>
          <w:highlight w:val="none"/>
          <w:lang w:eastAsia="zh-CN"/>
        </w:rPr>
        <w:t xml:space="preserve">预付款：合同签订后，甲方向乙方支付合同总价30%作为项目预付款，全部设备在工厂完成安装调试并经甲方初步验收合格后甲方支付至合同总价70%；成套设备发货至甲方处完成安装调试并经甲方验收合格后，甲方支付至合同总价90%；尾款：设备正常运行，完成 DQ、IQ、OQ、PQ 全部验证工作且经甲方最终验收合格后，甲方向乙方支付合同总价10% 剩余尾款。每次付款前乙方需提交相应的付款发票。若乙方未能按期开具发票，甲方可顺延付款。</w:t>
      </w:r>
      <w:r/>
    </w:p>
    <w:p>
      <w:pPr>
        <w:ind w:firstLine="0"/>
        <w:jc w:val="both"/>
        <w:spacing w:line="400" w:lineRule="exact"/>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13. 履约保证金</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13.1 </w:t>
      </w:r>
      <w:r>
        <w:rPr>
          <w:rFonts w:hint="eastAsia" w:ascii="宋体" w:hAnsi="宋体" w:cs="宋体"/>
          <w:color w:val="auto"/>
          <w:sz w:val="21"/>
          <w:szCs w:val="15"/>
          <w:highlight w:val="none"/>
          <w:lang w:eastAsia="zh-CN"/>
        </w:rPr>
        <w:t xml:space="preserve">乙方应当以支票、汇票、本票或者金融机构、担保机构出具的保函等非现金形式提交。</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13.2 如果乙方出现</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约定情形的</w:t>
      </w:r>
      <w:r>
        <w:rPr>
          <w:rFonts w:hint="eastAsia" w:ascii="宋体" w:hAnsi="宋体" w:cs="宋体"/>
          <w:color w:val="auto"/>
          <w:sz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spacing w:line="400" w:lineRule="exact"/>
        <w:widowControl w:val="off"/>
        <w:rPr>
          <w:rFonts w:hint="eastAsia"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13.3 甲方在项目通过验收后按照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规定的时间内将履约保证金退还乙方；逾期退还的，乙方可要求甲方支付违约金，违约金按照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规定支付。</w:t>
      </w:r>
      <w:r/>
    </w:p>
    <w:p>
      <w:pPr>
        <w:ind w:firstLine="0"/>
        <w:spacing w:line="400" w:lineRule="exact"/>
        <w:widowControl w:val="off"/>
        <w:rPr>
          <w:rFonts w:hint="eastAsia" w:ascii="宋体" w:hAnsi="宋体" w:cs="宋体"/>
          <w:b/>
          <w:color w:val="auto"/>
          <w:szCs w:val="22"/>
          <w:highlight w:val="none"/>
          <w:lang w:eastAsia="zh-CN"/>
        </w:rPr>
      </w:pPr>
      <w:r>
        <w:rPr>
          <w:rFonts w:hint="eastAsia" w:ascii="宋体" w:hAnsi="宋体" w:cs="宋体"/>
          <w:b/>
          <w:bCs/>
          <w:color w:val="auto"/>
          <w:szCs w:val="22"/>
          <w:highlight w:val="none"/>
          <w:lang w:eastAsia="zh-CN"/>
        </w:rPr>
        <w:t xml:space="preserve">14. </w:t>
      </w:r>
      <w:r>
        <w:rPr>
          <w:rFonts w:hint="eastAsia" w:ascii="宋体" w:hAnsi="宋体" w:cs="宋体"/>
          <w:b/>
          <w:color w:val="auto"/>
          <w:szCs w:val="22"/>
          <w:highlight w:val="none"/>
          <w:lang w:eastAsia="zh-CN"/>
        </w:rPr>
        <w:t xml:space="preserve">售后服务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14.1 除项目不涉及或采购活动中明确约定无须承担外，乙方还应提供下列服务：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（1）货物的现场移动、安装、调试、启动监督及技术支持；</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（2）提供货物组装和维修所需的专用工具和辅助材料；</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highlight w:val="none"/>
          <w:lang w:eastAsia="zh-CN"/>
        </w:rPr>
        <w:t xml:space="preserve">约定的期限内对所有的货物实施运行监督、维修，但前提条件是该服务并不能免除乙方在质量保证期内所承担的义务；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（4）在制造商所在地或指定现场就货物的安装、启动、运营、维护、废弃处置等对甲方操作人员进行培训</w:t>
      </w:r>
      <w:r>
        <w:rPr>
          <w:rFonts w:hint="eastAsia" w:ascii="宋体" w:hAnsi="宋体" w:cs="宋体"/>
          <w:color w:val="auto"/>
          <w:sz w:val="21"/>
          <w:szCs w:val="15"/>
          <w:highlight w:val="none"/>
          <w:lang w:eastAsia="zh-CN"/>
        </w:rPr>
        <w:t xml:space="preserve">；</w:t>
      </w:r>
      <w:r/>
    </w:p>
    <w:p>
      <w:pPr>
        <w:ind w:firstLine="440"/>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（5）依照法律、行政法规的规定或者按照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约定，货物在有效使用年限届满后应予回收的，乙方负有自行或者委托第三人对货物予以回收的义务；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（6）</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规定由乙方提供的其他服务。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14.2 乙方提供的售后服务的费用已包含在合同价款中，甲方不再另行支付。</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15. 违约责任</w:t>
      </w:r>
      <w:r/>
    </w:p>
    <w:p>
      <w:pPr>
        <w:ind w:firstLine="420"/>
        <w:spacing w:line="400" w:lineRule="exact"/>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15.1质量瑕疵的违约责任</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乙方提供的产品不符合合同约定的质量标准或存在产品质量缺陷，甲方有权要求乙方根据</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要求</w:t>
      </w:r>
      <w:r>
        <w:rPr>
          <w:rFonts w:hint="eastAsia" w:ascii="宋体" w:hAnsi="宋体" w:cs="宋体"/>
          <w:color w:val="auto"/>
          <w:sz w:val="21"/>
          <w:highlight w:val="none"/>
          <w:lang w:eastAsia="zh-CN"/>
        </w:rPr>
        <w:t xml:space="preserve">及时修理、重作、更换，并承担由此给甲方造成的损失。</w:t>
      </w:r>
      <w:r/>
    </w:p>
    <w:p>
      <w:pPr>
        <w:ind w:firstLine="420"/>
        <w:spacing w:line="400" w:lineRule="exact"/>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15.2 迟延交货的违约责任</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规定执行。如果涉及公共利益，且赔偿金额无法弥补公共利益损失，甲方可要求继续履行或者采取其他补救措施。</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15.3 迟延支付的违约责任</w:t>
      </w:r>
      <w:r/>
    </w:p>
    <w:p>
      <w:pPr>
        <w:ind w:firstLine="420"/>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甲方存在迟延支付乙方合同款项的，应当承担</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规定的逾期付款利息。</w:t>
      </w:r>
      <w:r/>
    </w:p>
    <w:p>
      <w:pPr>
        <w:ind w:firstLine="420"/>
        <w:widowControl w:val="off"/>
        <w:rPr>
          <w:rFonts w:hint="eastAsia" w:ascii="宋体" w:hAnsi="宋体" w:cs="宋体"/>
          <w:color w:val="auto"/>
          <w:sz w:val="21"/>
          <w:highlight w:val="none"/>
          <w:lang w:eastAsia="zh-CN"/>
        </w:rPr>
      </w:pPr>
      <w:r>
        <w:rPr>
          <w:rFonts w:hint="eastAsia" w:ascii="宋体" w:hAnsi="宋体" w:cs="宋体"/>
          <w:bCs/>
          <w:color w:val="auto"/>
          <w:sz w:val="21"/>
          <w:highlight w:val="none"/>
          <w:lang w:eastAsia="zh-CN"/>
        </w:rPr>
        <w:t xml:space="preserve">15.4其他违约责任根据项目实际需要按</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w:t>
      </w:r>
      <w:r/>
    </w:p>
    <w:p>
      <w:pPr>
        <w:ind w:firstLine="420"/>
        <w:jc w:val="both"/>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left="600" w:firstLine="0"/>
        <w:jc w:val="both"/>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（1）需方内部工作安排、计划调整等自身原因；</w:t>
      </w:r>
      <w:r/>
    </w:p>
    <w:p>
      <w:pPr>
        <w:ind w:left="600" w:firstLine="0"/>
        <w:jc w:val="both"/>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（2）中央、省、市、区级政策变动，以及规划、计划调整等外部原因；</w:t>
      </w:r>
      <w:r/>
    </w:p>
    <w:p>
      <w:pPr>
        <w:ind w:left="600" w:firstLine="0"/>
        <w:jc w:val="both"/>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（3）其他需方原因。</w:t>
      </w:r>
      <w:r/>
    </w:p>
    <w:p>
      <w:pPr>
        <w:ind w:left="600" w:firstLine="0"/>
        <w:jc w:val="both"/>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本合同对合同变更、中止或终止合同有其他特殊约定的，按该特殊约定执行。</w:t>
      </w:r>
      <w:r/>
    </w:p>
    <w:p>
      <w:pPr>
        <w:numPr>
          <w:ilvl w:val="0"/>
          <w:numId w:val="8"/>
        </w:numPr>
        <w:jc w:val="both"/>
        <w:spacing w:line="400" w:lineRule="exact"/>
        <w:widowControl w:val="off"/>
        <w:rPr>
          <w:rFonts w:hint="eastAsia"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合同变更、中止与终止</w:t>
      </w:r>
      <w:r/>
    </w:p>
    <w:p>
      <w:pPr>
        <w:ind w:firstLine="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16.1合同的变更</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16.2合同的终止</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（1）合同履行过程中因供应商就采购文件、采购过程或结果提起投诉的，甲方认为有必要的，可以中止合同的履行。</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widowControl w:val="off"/>
        <w:rPr>
          <w:rFonts w:hint="eastAsia"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（4）甲方不得以行政区划调整、政府换届、机构或者职能调整以及相关责任人更替为由终止合同。</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16.3合同的终止</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（1）合同因有效期限届满而终止；</w:t>
      </w:r>
      <w:r/>
    </w:p>
    <w:p>
      <w:pPr>
        <w:ind w:firstLine="420"/>
        <w:jc w:val="both"/>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（2）乙方未按合同约定履行，构成根本性违约的，甲方有权终止合同，并追究乙方的违约责任。</w:t>
      </w:r>
      <w:r/>
    </w:p>
    <w:p>
      <w:pPr>
        <w:ind w:firstLine="440"/>
        <w:spacing w:line="4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16.4 </w:t>
      </w:r>
      <w:r>
        <w:rPr>
          <w:rFonts w:hint="eastAsia" w:ascii="宋体" w:hAnsi="宋体" w:cs="宋体"/>
          <w:color w:val="auto"/>
          <w:sz w:val="21"/>
          <w:highlight w:val="none"/>
          <w:lang w:eastAsia="zh-CN"/>
        </w:rPr>
        <w:t xml:space="preserve">涉及国家利益、社会公共利益的情形</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17. 合同分包</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17.1 乙方不得将合同转包给其他供应商。涉及合同分包的，乙方应根据采购文件和投标（响应）文件规定进行合同分包。</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17.2 乙方执行政府采购政策向中小企业依法分包的，乙方应当按采购文件和投标（响应）文件签订分包意向协议，分包意向协议属于本合同组成部分。</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18. 不可抗力</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18.1 不可抗力是指合同双方不能预见、不能避免且不能克服的客观情况。</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18.2 任何一方对由于不可抗力造成的部分或全部不能履行合同不承担违约责任。但迟延履行后发生不可抗力的，不能免除责任。</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19. 解决争议的方法</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19.2 选择仲裁的，应在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中明确仲裁机构及仲裁地；通过诉讼方式解决的，可以在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中进一步约定选择与争议有实际联系的地点的人民法院管辖，但管辖法院的约定不得违反级别管辖和专属管辖的规定。</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19.3 如甲乙双方有争议的事项不影响合同其他部分的履行，在争议解决期间，合同其他部分应当继续履行。</w:t>
      </w:r>
      <w:r/>
    </w:p>
    <w:p>
      <w:pPr>
        <w:ind w:firstLine="0"/>
        <w:spacing w:line="400" w:lineRule="exact"/>
        <w:widowControl w:val="off"/>
        <w:rPr>
          <w:rFonts w:hint="eastAsia" w:ascii="宋体" w:hAnsi="宋体" w:cs="宋体"/>
          <w:color w:val="auto"/>
          <w:szCs w:val="22"/>
          <w:highlight w:val="none"/>
          <w:lang w:eastAsia="zh-CN"/>
        </w:rPr>
      </w:pPr>
      <w:r>
        <w:rPr>
          <w:rFonts w:hint="eastAsia" w:ascii="宋体" w:hAnsi="宋体" w:cs="宋体"/>
          <w:b/>
          <w:color w:val="auto"/>
          <w:szCs w:val="22"/>
          <w:highlight w:val="none"/>
          <w:lang w:eastAsia="zh-CN"/>
        </w:rPr>
        <w:t xml:space="preserve">20. 政府采购政策</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20.1 </w:t>
      </w:r>
      <w:r>
        <w:rPr>
          <w:rFonts w:hint="eastAsia" w:ascii="宋体" w:hAnsi="宋体" w:cs="宋体"/>
          <w:color w:val="auto"/>
          <w:sz w:val="21"/>
          <w:szCs w:val="22"/>
          <w:highlight w:val="none"/>
          <w:lang w:val="en-GB" w:eastAsia="zh-CN"/>
        </w:rPr>
        <w:t xml:space="preserve">本合同应当按照规定执行政府采购政策。</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20.2 本合同依法执行政府采购政策的方式和内容，属于合同履约验收的范围。</w:t>
      </w:r>
      <w:r>
        <w:rPr>
          <w:rFonts w:hint="eastAsia" w:ascii="宋体" w:hAnsi="宋体" w:cs="宋体"/>
          <w:color w:val="auto"/>
          <w:sz w:val="21"/>
          <w:szCs w:val="22"/>
          <w:highlight w:val="none"/>
          <w:lang w:eastAsia="zh-CN"/>
        </w:rPr>
        <w:t xml:space="preserve">甲乙双方</w:t>
      </w:r>
      <w:r>
        <w:rPr>
          <w:rFonts w:hint="eastAsia" w:ascii="宋体" w:hAnsi="宋体" w:cs="宋体"/>
          <w:color w:val="auto"/>
          <w:sz w:val="21"/>
          <w:szCs w:val="22"/>
          <w:highlight w:val="none"/>
          <w:lang w:val="en-GB" w:eastAsia="zh-CN"/>
        </w:rPr>
        <w:t xml:space="preserve">未按规定要求执行政府采购政策造成损失的</w:t>
      </w:r>
      <w:r>
        <w:rPr>
          <w:rFonts w:hint="eastAsia" w:ascii="宋体" w:hAnsi="宋体" w:cs="宋体"/>
          <w:color w:val="auto"/>
          <w:sz w:val="21"/>
          <w:highlight w:val="none"/>
          <w:lang w:eastAsia="zh-CN"/>
        </w:rPr>
        <w:t xml:space="preserve">，有过错的一方应当承担赔偿责任，双方都有过错的，各自承担相应的责任。</w:t>
      </w:r>
      <w:r/>
    </w:p>
    <w:p>
      <w:pPr>
        <w:ind w:firstLine="420"/>
        <w:jc w:val="both"/>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spacing w:line="400" w:lineRule="exact"/>
        <w:widowControl w:val="off"/>
        <w:rPr>
          <w:rFonts w:hint="eastAsia"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21. 法律适用</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21.1 本合同的订立、生效、解释、履行及与本合同有关的争议解决，均适用法律、行政法规。</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21.2 本合同条款与法律、行政法规的强制性规定不一致的，双方当事人应当按照法律、行政法规的强制性规定修改本合同的相关条款。</w:t>
      </w:r>
      <w:r/>
    </w:p>
    <w:p>
      <w:pPr>
        <w:numPr>
          <w:ilvl w:val="255"/>
          <w:numId w:val="0"/>
        </w:numPr>
        <w:spacing w:line="400" w:lineRule="exact"/>
        <w:widowControl w:val="off"/>
        <w:rPr>
          <w:rFonts w:hint="eastAsia"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22. 通知</w:t>
      </w:r>
      <w:r/>
    </w:p>
    <w:p>
      <w:pPr>
        <w:ind w:firstLine="44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22.3本合同一方给另一方的通知均应采用书面形式，传真或快递送到本合同中规定的对方的地址和办理签收手续。</w:t>
      </w:r>
      <w:r/>
    </w:p>
    <w:p>
      <w:pPr>
        <w:ind w:firstLine="420"/>
        <w:spacing w:line="400" w:lineRule="exact"/>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22.4通知以送达之日或通知书中规定的生效之日起生效，两者中以较迟之日为准。</w:t>
      </w:r>
      <w:r/>
    </w:p>
    <w:p>
      <w:pPr>
        <w:numPr>
          <w:ilvl w:val="0"/>
          <w:numId w:val="9"/>
        </w:numPr>
        <w:jc w:val="both"/>
        <w:spacing w:line="400" w:lineRule="exact"/>
        <w:widowControl w:val="off"/>
        <w:rPr>
          <w:rFonts w:hint="eastAsia"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合同未尽事项</w:t>
      </w:r>
      <w:r/>
    </w:p>
    <w:p>
      <w:pPr>
        <w:ind w:firstLine="420"/>
        <w:spacing w:line="400" w:lineRule="exact"/>
        <w:widowControl w:val="off"/>
        <w:rPr>
          <w:rFonts w:hint="eastAsia"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23.1合同未尽事项见</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w:t>
      </w:r>
      <w:r/>
    </w:p>
    <w:p>
      <w:pPr>
        <w:ind w:firstLine="0"/>
        <w:spacing w:line="400" w:lineRule="exact"/>
        <w:widowControl w:val="off"/>
        <w:rPr>
          <w:rFonts w:hint="eastAsia" w:ascii="宋体" w:hAnsi="宋体" w:cs="宋体"/>
          <w:color w:val="auto"/>
          <w:sz w:val="28"/>
          <w:szCs w:val="28"/>
          <w:highlight w:val="none"/>
          <w:lang w:eastAsia="zh-CN"/>
        </w:rPr>
      </w:pPr>
      <w:r>
        <w:rPr>
          <w:rFonts w:hint="eastAsia" w:ascii="宋体" w:hAnsi="宋体" w:cs="宋体"/>
          <w:bCs/>
          <w:color w:val="auto"/>
          <w:sz w:val="21"/>
          <w:highlight w:val="none"/>
          <w:lang w:eastAsia="zh-CN"/>
        </w:rPr>
        <w:t xml:space="preserve">    23.2 合同附件与合同正文具有同等的法律效力。</w:t>
      </w:r>
      <w:bookmarkStart w:id="26" w:name="_Toc20313"/>
      <w:r/>
      <w:r/>
    </w:p>
    <w:p>
      <w:pPr>
        <w:ind w:firstLine="0"/>
        <w:jc w:val="center"/>
        <w:spacing w:line="240" w:lineRule="auto"/>
        <w:widowControl w:val="off"/>
        <w:rPr>
          <w:rFonts w:hint="eastAsia" w:ascii="黑体" w:hAnsi="华文中宋" w:eastAsia="黑体" w:cs="Times New Roman"/>
          <w:color w:val="auto"/>
          <w:sz w:val="28"/>
          <w:szCs w:val="28"/>
          <w:highlight w:val="none"/>
          <w:lang w:eastAsia="zh-CN"/>
        </w:rPr>
      </w:pPr>
      <w:r>
        <w:rPr>
          <w:rFonts w:hint="eastAsia" w:ascii="黑体" w:hAnsi="华文中宋" w:eastAsia="黑体" w:cs="Times New Roman"/>
          <w:color w:val="auto"/>
          <w:sz w:val="28"/>
          <w:szCs w:val="28"/>
          <w:highlight w:val="none"/>
          <w:lang w:eastAsia="zh-CN"/>
        </w:rPr>
        <w:br w:type="page" w:clear="all"/>
      </w:r>
      <w:r/>
    </w:p>
    <w:p>
      <w:pPr>
        <w:ind w:firstLine="0"/>
        <w:jc w:val="center"/>
        <w:keepLines/>
        <w:keepNext/>
        <w:spacing w:before="360" w:after="200" w:line="240" w:lineRule="auto"/>
        <w:widowControl w:val="off"/>
        <w:rPr>
          <w:rFonts w:hint="eastAsia" w:ascii="黑体" w:hAnsi="华文中宋" w:eastAsia="黑体"/>
          <w:color w:val="auto"/>
          <w:sz w:val="28"/>
          <w:szCs w:val="28"/>
          <w:highlight w:val="none"/>
          <w:lang w:eastAsia="zh-CN"/>
        </w:rPr>
        <w:outlineLvl w:val="1"/>
      </w:pPr>
      <w:r>
        <w:rPr>
          <w:rFonts w:hint="eastAsia" w:ascii="黑体" w:hAnsi="华文中宋" w:eastAsia="黑体"/>
          <w:color w:val="auto"/>
          <w:sz w:val="28"/>
          <w:szCs w:val="28"/>
          <w:highlight w:val="none"/>
          <w:lang w:eastAsia="zh-CN"/>
        </w:rPr>
        <w:t xml:space="preserve">第三节 政府采购合同专用条款</w:t>
      </w:r>
      <w:bookmarkEnd w:id="26"/>
      <w:r/>
      <w:r/>
    </w:p>
    <w:tbl>
      <w:tblPr>
        <w:tblStyle w:val="911"/>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99"/>
        <w:gridCol w:w="1950"/>
        <w:gridCol w:w="5788"/>
      </w:tblGrid>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第1.2（6）项</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联合体具体要求</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w:t>
            </w:r>
            <w:r/>
          </w:p>
        </w:tc>
      </w:tr>
      <w:tr>
        <w:trPr>
          <w:trHeight w:val="607"/>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第1.2（7）项</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其他术语解释</w:t>
            </w:r>
            <w:r/>
          </w:p>
        </w:tc>
        <w:tc>
          <w:tcPr>
            <w:tcW w:w="5788"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cs="Times New Roman"/>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第4.4款</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履约验收中甲方提出异议或作出说明的期限</w:t>
            </w:r>
            <w:r/>
          </w:p>
        </w:tc>
        <w:tc>
          <w:tcPr>
            <w:tcW w:w="5788"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ascii="宋体" w:hAnsi="宋体" w:cs="Times New Roman"/>
                <w:color w:val="auto"/>
                <w:sz w:val="21"/>
                <w:highlight w:val="none"/>
                <w:lang w:eastAsia="zh-CN"/>
              </w:rPr>
              <w:t xml:space="preserve">20</w:t>
            </w:r>
            <w:r>
              <w:rPr>
                <w:rFonts w:hint="eastAsia" w:ascii="宋体" w:hAnsi="宋体" w:cs="Times New Roman"/>
                <w:color w:val="auto"/>
                <w:sz w:val="21"/>
                <w:highlight w:val="none"/>
                <w:lang w:eastAsia="zh-CN"/>
              </w:rPr>
              <w:t xml:space="preserve">个工作日</w:t>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第4.6款</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约定甲方承担的其他义务和责任</w:t>
            </w:r>
            <w:r/>
          </w:p>
        </w:tc>
        <w:tc>
          <w:tcPr>
            <w:tcW w:w="5788"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cs="Times New Roman"/>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第5.4款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约定乙方承担的其他义务和责任</w:t>
            </w:r>
            <w:r/>
          </w:p>
        </w:tc>
        <w:tc>
          <w:tcPr>
            <w:tcW w:w="5788"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cs="Times New Roman"/>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第6.1款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履行合同义务的顺序</w:t>
            </w:r>
            <w:r/>
          </w:p>
        </w:tc>
        <w:tc>
          <w:tcPr>
            <w:tcW w:w="5788"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cs="Times New Roman"/>
                <w:color w:val="auto"/>
                <w:sz w:val="21"/>
                <w:highlight w:val="none"/>
                <w:lang w:eastAsia="zh-CN"/>
              </w:rPr>
              <w:t xml:space="preserve">/</w:t>
            </w:r>
            <w:r/>
          </w:p>
        </w:tc>
      </w:tr>
      <w:tr>
        <w:trPr>
          <w:trHeight w:val="670"/>
        </w:trPr>
        <w:tc>
          <w:tcPr>
            <w:tcW w:w="1799" w:type="dxa"/>
            <w:vAlign w:val="center"/>
            <w:vMerge w:val="restart"/>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第7.1款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包装特殊要求</w:t>
            </w:r>
            <w:r/>
          </w:p>
        </w:tc>
        <w:tc>
          <w:tcPr>
            <w:tcW w:w="5788" w:type="dxa"/>
            <w:vAlign w:val="center"/>
            <w:textDirection w:val="lrTb"/>
            <w:noWrap w:val="false"/>
          </w:tcPr>
          <w:p>
            <w:pPr>
              <w:ind w:firstLine="0"/>
              <w:jc w:val="both"/>
              <w:spacing w:line="240" w:lineRule="auto"/>
              <w:widowControl w:val="off"/>
              <w:rPr>
                <w:rFonts w:hint="eastAsia" w:ascii="等线" w:hAnsi="等线" w:eastAsia="等线" w:cs="Times New Roman"/>
                <w:color w:val="auto"/>
                <w:sz w:val="21"/>
                <w:szCs w:val="22"/>
                <w:highlight w:val="none"/>
                <w:lang w:eastAsia="zh-CN"/>
              </w:rPr>
            </w:pPr>
            <w:r>
              <w:rPr>
                <w:rFonts w:hint="eastAsia" w:ascii="宋体" w:hAnsi="宋体" w:cs="宋体"/>
                <w:color w:val="auto"/>
                <w:sz w:val="21"/>
                <w:highlight w:val="none"/>
                <w:lang w:eastAsia="zh-CN"/>
              </w:rPr>
              <w:t xml:space="preserve">乙方应对任何由于不当包装或防护措施不力而导致的商品损坏、损失、锈蚀、费用增长等后果负责。</w:t>
            </w:r>
            <w:r/>
          </w:p>
        </w:tc>
      </w:tr>
      <w:tr>
        <w:trPr>
          <w:trHeight w:val="670"/>
        </w:trPr>
        <w:tc>
          <w:tcPr>
            <w:tcW w:w="1799" w:type="dxa"/>
            <w:vAlign w:val="center"/>
            <w:vMerge w:val="continue"/>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指定现场</w:t>
            </w:r>
            <w:r/>
          </w:p>
        </w:tc>
        <w:tc>
          <w:tcPr>
            <w:tcW w:w="5788" w:type="dxa"/>
            <w:vAlign w:val="center"/>
            <w:textDirection w:val="lrTb"/>
            <w:noWrap w:val="false"/>
          </w:tcPr>
          <w:p>
            <w:pPr>
              <w:ind w:firstLine="0"/>
              <w:jc w:val="both"/>
              <w:spacing w:line="240" w:lineRule="auto"/>
              <w:widowControl w:val="off"/>
              <w:rPr>
                <w:rFonts w:hint="eastAsia" w:ascii="等线" w:hAnsi="等线" w:eastAsia="等线" w:cs="Times New Roman"/>
                <w:color w:val="auto"/>
                <w:sz w:val="21"/>
                <w:szCs w:val="22"/>
                <w:highlight w:val="none"/>
                <w:lang w:eastAsia="zh-CN"/>
              </w:rPr>
            </w:pPr>
            <w:r>
              <w:rPr>
                <w:rFonts w:ascii="Calibri" w:hAnsi="Calibri" w:cs="Calibri"/>
                <w:color w:val="auto"/>
                <w:sz w:val="21"/>
                <w:highlight w:val="none"/>
              </w:rPr>
              <w:t xml:space="preserve">甲方指定现场</w:t>
            </w:r>
            <w:r/>
          </w:p>
        </w:tc>
      </w:tr>
      <w:tr>
        <w:trPr>
          <w:trHeight w:val="775"/>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第7.2款</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运输特殊要求</w:t>
            </w:r>
            <w:r/>
          </w:p>
        </w:tc>
        <w:tc>
          <w:tcPr>
            <w:tcW w:w="5788" w:type="dxa"/>
            <w:vAlign w:val="center"/>
            <w:textDirection w:val="lrTb"/>
            <w:noWrap w:val="false"/>
          </w:tcPr>
          <w:p>
            <w:pPr>
              <w:ind w:firstLine="0"/>
              <w:jc w:val="both"/>
              <w:spacing w:line="240" w:lineRule="auto"/>
              <w:widowControl w:val="off"/>
              <w:rPr>
                <w:rFonts w:hint="eastAsia" w:ascii="等线" w:hAnsi="等线" w:eastAsia="等线" w:cs="Times New Roman"/>
                <w:color w:val="auto"/>
                <w:sz w:val="21"/>
                <w:szCs w:val="22"/>
                <w:highlight w:val="none"/>
                <w:lang w:eastAsia="zh-CN"/>
              </w:rPr>
            </w:pPr>
            <w:r>
              <w:rPr>
                <w:rFonts w:hint="eastAsia" w:ascii="宋体" w:hAnsi="宋体" w:cs="宋体"/>
                <w:color w:val="auto"/>
                <w:sz w:val="21"/>
                <w:highlight w:val="none"/>
                <w:lang w:eastAsia="zh-CN"/>
              </w:rPr>
              <w:t xml:space="preserve">由乙方负责办理运输并承担所有费用，直接送到甲方指定地点，并实施安装调试。</w:t>
            </w:r>
            <w:r/>
          </w:p>
        </w:tc>
      </w:tr>
      <w:tr>
        <w:trPr>
          <w:trHeight w:val="670"/>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第7.3款</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保险要求</w:t>
            </w:r>
            <w:r/>
          </w:p>
        </w:tc>
        <w:tc>
          <w:tcPr>
            <w:tcW w:w="5788" w:type="dxa"/>
            <w:vAlign w:val="center"/>
            <w:textDirection w:val="lrTb"/>
            <w:noWrap w:val="false"/>
          </w:tcPr>
          <w:p>
            <w:pPr>
              <w:ind w:firstLine="0"/>
              <w:jc w:val="both"/>
              <w:spacing w:line="240" w:lineRule="auto"/>
              <w:widowControl w:val="off"/>
              <w:rPr>
                <w:rFonts w:hint="eastAsia"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第8.2（1）项</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质量保证期</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cs="宋体"/>
                <w:color w:val="auto"/>
                <w:sz w:val="21"/>
                <w:highlight w:val="none"/>
                <w:lang w:eastAsia="zh-CN"/>
              </w:rPr>
              <w:t xml:space="preserve">自交货验收合格之日起1年，质量实行“三包”</w:t>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第8.2（3）项</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货物质量缺陷</w:t>
            </w:r>
            <w:r/>
          </w:p>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响应时间</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第二节</w:t>
            </w:r>
            <w:r/>
          </w:p>
          <w:p>
            <w:pPr>
              <w:ind w:firstLine="0"/>
              <w:jc w:val="center"/>
              <w:spacing w:line="400" w:lineRule="exact"/>
              <w:rPr>
                <w:rFonts w:hint="eastAsia" w:ascii="华文楷体" w:hAnsi="华文楷体" w:eastAsia="华文楷体" w:cs="华文楷体"/>
                <w:color w:val="auto"/>
                <w:sz w:val="22"/>
                <w:highlight w:val="none"/>
                <w:lang w:eastAsia="zh-CN"/>
              </w:rPr>
            </w:pPr>
            <w:r>
              <w:rPr>
                <w:rFonts w:hint="eastAsia" w:ascii="宋体" w:hAnsi="宋体" w:cs="宋体"/>
                <w:color w:val="auto"/>
                <w:sz w:val="22"/>
                <w:highlight w:val="none"/>
                <w:lang w:eastAsia="zh-CN"/>
              </w:rPr>
              <w:t xml:space="preserve">第11.1款</w:t>
            </w:r>
            <w:r/>
          </w:p>
        </w:tc>
        <w:tc>
          <w:tcPr>
            <w:tcW w:w="1950" w:type="dxa"/>
            <w:vAlign w:val="center"/>
            <w:textDirection w:val="lrTb"/>
            <w:noWrap w:val="false"/>
          </w:tcPr>
          <w:p>
            <w:pPr>
              <w:ind w:firstLine="0"/>
              <w:jc w:val="both"/>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其他应当保密的信息</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ascii="Calibri" w:hAnsi="Calibri" w:cs="Calibri"/>
                <w:color w:val="auto"/>
                <w:sz w:val="21"/>
                <w:highlight w:val="none"/>
                <w:lang w:eastAsia="zh-CN"/>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tc>
      </w:tr>
      <w:tr>
        <w:trPr>
          <w:trHeight w:val="700"/>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第12.2款</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合同价款支付时间</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00"/>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第13.2款</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履约保证金不予退还的情形</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第13.3款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履约保证金退还时间及逾期退还的违约金</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88"/>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第14.1（3）项</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运行监督、维修期限</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88"/>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第14.1（5）项</w:t>
            </w:r>
            <w:r/>
          </w:p>
        </w:tc>
        <w:tc>
          <w:tcPr>
            <w:tcW w:w="1950"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货物回收的约定</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第14.1（6）项</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乙方提供的其他服务</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第15.1款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修理、重做、更换相关具体规定</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第15.2（2）项</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迟延交货赔偿费</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u w:val="single"/>
                <w:lang w:eastAsia="zh-CN"/>
              </w:rPr>
              <w:t xml:space="preserve">除不可抗力外，每逾期一日，乙方应按照逾期交货金额的万分之五的标准累计计算向甲方支付违约金。逾期超过20个工作日的，甲方有权解除合同，甲方如已支付费用的，乙方全部返还；</w:t>
            </w:r>
            <w:r/>
          </w:p>
        </w:tc>
      </w:tr>
      <w:tr>
        <w:trPr>
          <w:trHeight w:val="739"/>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第15.3款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逾期付款利息</w:t>
            </w:r>
            <w:r/>
          </w:p>
        </w:tc>
        <w:tc>
          <w:tcPr>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u w:val="single"/>
                <w:lang w:eastAsia="zh-CN"/>
              </w:rPr>
              <w:t xml:space="preserve">甲方无正当理由逾期付款时，每逾期一日，甲方应按照逾期付款金额的万分之五的标准累计计算向乙方支付违约金。</w:t>
            </w:r>
            <w:r/>
          </w:p>
        </w:tc>
      </w:tr>
      <w:tr>
        <w:trPr>
          <w:trHeight w:val="880"/>
        </w:trPr>
        <w:tc>
          <w:tcPr>
            <w:tcBorders>
              <w:bottom w:val="single" w:color="auto" w:sz="2" w:space="0"/>
              <w:right w:val="single" w:color="auto" w:sz="2" w:space="0"/>
            </w:tcBorders>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第15.4款</w:t>
            </w:r>
            <w:r/>
          </w:p>
        </w:tc>
        <w:tc>
          <w:tcPr>
            <w:tcBorders>
              <w:left w:val="single" w:color="auto" w:sz="2" w:space="0"/>
              <w:bottom w:val="single" w:color="auto" w:sz="2" w:space="0"/>
              <w:right w:val="single" w:color="auto" w:sz="2" w:space="0"/>
            </w:tcBorders>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其他违约责任</w:t>
            </w:r>
            <w:r/>
          </w:p>
        </w:tc>
        <w:tc>
          <w:tcPr>
            <w:tcBorders>
              <w:left w:val="single" w:color="auto" w:sz="2" w:space="0"/>
              <w:bottom w:val="single" w:color="auto" w:sz="2" w:space="0"/>
            </w:tcBorders>
            <w:tcW w:w="5788"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u w:val="single"/>
                <w:lang w:eastAsia="zh-CN"/>
              </w:rPr>
              <w:t xml:space="preserve">乙方如无不可抗力，又未履行招标文件、投标文件和合同条款的，一经查实，由乙方赔偿由此给甲方造成的损失，并按照合同总价的10%向甲方支付违约金，因招、投标产生的其他责任及后果按招标文件的相关要求及处理方式执行。</w:t>
            </w:r>
            <w:r/>
          </w:p>
        </w:tc>
      </w:tr>
      <w:tr>
        <w:trPr>
          <w:trHeight w:val="90"/>
        </w:trPr>
        <w:tc>
          <w:tcPr>
            <w:tcBorders>
              <w:top w:val="single" w:color="auto" w:sz="2" w:space="0"/>
              <w:right w:val="single" w:color="auto" w:sz="2" w:space="0"/>
            </w:tcBorders>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第19.2款</w:t>
            </w:r>
            <w:r/>
          </w:p>
        </w:tc>
        <w:tc>
          <w:tcPr>
            <w:tcBorders>
              <w:top w:val="single" w:color="auto" w:sz="2" w:space="0"/>
              <w:left w:val="single" w:color="auto" w:sz="2" w:space="0"/>
              <w:right w:val="single" w:color="auto" w:sz="2" w:space="0"/>
            </w:tcBorders>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解决争议的方法</w:t>
            </w:r>
            <w:r/>
          </w:p>
        </w:tc>
        <w:tc>
          <w:tcPr>
            <w:tcBorders>
              <w:top w:val="single" w:color="auto" w:sz="2" w:space="0"/>
              <w:left w:val="single" w:color="auto" w:sz="2" w:space="0"/>
            </w:tcBorders>
            <w:tcW w:w="5788" w:type="dxa"/>
            <w:vAlign w:val="center"/>
            <w:textDirection w:val="lrTb"/>
            <w:noWrap w:val="false"/>
          </w:tcPr>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因本合同及合同有关事项发生的争议，按下列第</w:t>
            </w:r>
            <w:r>
              <w:rPr>
                <w:rFonts w:hint="eastAsia" w:ascii="宋体" w:hAnsi="宋体" w:cs="宋体"/>
                <w:iCs/>
                <w:color w:val="auto"/>
                <w:sz w:val="21"/>
                <w:highlight w:val="none"/>
                <w:u w:val="single"/>
                <w:lang w:eastAsia="zh-CN"/>
              </w:rPr>
              <w:t xml:space="preserve">  （2） </w:t>
            </w:r>
            <w:r>
              <w:rPr>
                <w:rFonts w:hint="eastAsia" w:ascii="宋体" w:hAnsi="宋体" w:cs="宋体"/>
                <w:iCs/>
                <w:color w:val="auto"/>
                <w:sz w:val="21"/>
                <w:highlight w:val="none"/>
                <w:lang w:eastAsia="zh-CN"/>
              </w:rPr>
              <w:t xml:space="preserve">种方式解决：</w:t>
            </w:r>
            <w:r/>
          </w:p>
          <w:p>
            <w:pPr>
              <w:ind w:firstLine="0"/>
              <w:spacing w:line="400" w:lineRule="exact"/>
              <w:widowControl w:val="off"/>
              <w:rPr>
                <w:rFonts w:hint="eastAsia"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（1）向</w:t>
            </w:r>
            <w:r>
              <w:rPr>
                <w:rFonts w:hint="eastAsia" w:ascii="宋体" w:hAnsi="宋体" w:cs="宋体"/>
                <w:iCs/>
                <w:color w:val="auto"/>
                <w:sz w:val="21"/>
                <w:highlight w:val="none"/>
                <w:u w:val="single"/>
                <w:lang w:eastAsia="zh-CN"/>
              </w:rPr>
              <w:t xml:space="preserve">   无锡  </w:t>
            </w:r>
            <w:r>
              <w:rPr>
                <w:rFonts w:hint="eastAsia" w:ascii="宋体" w:hAnsi="宋体" w:cs="宋体"/>
                <w:iCs/>
                <w:color w:val="auto"/>
                <w:sz w:val="21"/>
                <w:highlight w:val="none"/>
                <w:lang w:eastAsia="zh-CN"/>
              </w:rPr>
              <w:t xml:space="preserve">仲裁委员会申请仲裁，仲裁地点为</w:t>
            </w:r>
            <w:r>
              <w:rPr>
                <w:rFonts w:hint="eastAsia" w:ascii="宋体" w:hAnsi="宋体" w:cs="宋体"/>
                <w:iCs/>
                <w:color w:val="auto"/>
                <w:sz w:val="21"/>
                <w:highlight w:val="none"/>
                <w:u w:val="single"/>
                <w:lang w:eastAsia="zh-CN"/>
              </w:rPr>
              <w:t xml:space="preserve"> 无锡锡山区  </w:t>
            </w:r>
            <w:r>
              <w:rPr>
                <w:rFonts w:hint="eastAsia" w:ascii="宋体" w:hAnsi="宋体" w:cs="宋体"/>
                <w:iCs/>
                <w:color w:val="auto"/>
                <w:sz w:val="21"/>
                <w:highlight w:val="none"/>
                <w:lang w:eastAsia="zh-CN"/>
              </w:rPr>
              <w:t xml:space="preserve">；</w:t>
            </w:r>
            <w:r/>
          </w:p>
          <w:p>
            <w:pPr>
              <w:ind w:firstLine="0"/>
              <w:spacing w:line="240" w:lineRule="auto"/>
              <w:widowControl w:val="off"/>
              <w:rPr>
                <w:rFonts w:hint="eastAsia" w:ascii="宋体" w:hAnsi="宋体" w:eastAsia="等线" w:cs="Times New Roman"/>
                <w:color w:val="auto"/>
                <w:sz w:val="21"/>
                <w:highlight w:val="none"/>
                <w:u w:val="single"/>
                <w:lang w:eastAsia="zh-CN"/>
              </w:rPr>
            </w:pPr>
            <w:r>
              <w:rPr>
                <w:rFonts w:hint="eastAsia" w:ascii="宋体" w:hAnsi="宋体" w:cs="宋体"/>
                <w:iCs/>
                <w:color w:val="auto"/>
                <w:sz w:val="21"/>
                <w:highlight w:val="none"/>
                <w:lang w:eastAsia="zh-CN"/>
              </w:rPr>
              <w:t xml:space="preserve">（2）向</w:t>
            </w:r>
            <w:r>
              <w:rPr>
                <w:rFonts w:hint="eastAsia" w:ascii="宋体" w:hAnsi="宋体" w:cs="宋体"/>
                <w:iCs/>
                <w:color w:val="auto"/>
                <w:sz w:val="21"/>
                <w:highlight w:val="none"/>
                <w:u w:val="single"/>
                <w:lang w:eastAsia="zh-CN"/>
              </w:rPr>
              <w:t xml:space="preserve">  甲方所在地 </w:t>
            </w:r>
            <w:r>
              <w:rPr>
                <w:rFonts w:hint="eastAsia" w:ascii="宋体" w:hAnsi="宋体" w:cs="宋体"/>
                <w:iCs/>
                <w:color w:val="auto"/>
                <w:sz w:val="21"/>
                <w:highlight w:val="none"/>
                <w:lang w:eastAsia="zh-CN"/>
              </w:rPr>
              <w:t xml:space="preserve">人民法院起诉。</w:t>
            </w:r>
            <w:r/>
          </w:p>
        </w:tc>
      </w:tr>
      <w:tr>
        <w:trPr>
          <w:trHeight w:val="773"/>
        </w:trPr>
        <w:tc>
          <w:tcPr>
            <w:tcW w:w="1799" w:type="dxa"/>
            <w:vAlign w:val="center"/>
            <w:textDirection w:val="lrTb"/>
            <w:noWrap w:val="false"/>
          </w:tcPr>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第23.1款</w:t>
            </w:r>
            <w:r/>
          </w:p>
        </w:tc>
        <w:tc>
          <w:tcPr>
            <w:tcW w:w="1950" w:type="dxa"/>
            <w:vAlign w:val="center"/>
            <w:textDirection w:val="lrTb"/>
            <w:noWrap w:val="false"/>
          </w:tcPr>
          <w:p>
            <w:pPr>
              <w:ind w:firstLine="0"/>
              <w:spacing w:line="240" w:lineRule="auto"/>
              <w:widowControl w:val="off"/>
              <w:rPr>
                <w:rFonts w:hint="eastAsia" w:ascii="宋体" w:hAnsi="宋体" w:eastAsia="等线" w:cs="Times New Roman"/>
                <w:color w:val="auto"/>
                <w:sz w:val="21"/>
                <w:highlight w:val="none"/>
                <w:lang w:eastAsia="zh-CN"/>
              </w:rPr>
            </w:pPr>
            <w:r>
              <w:rPr>
                <w:rFonts w:hint="eastAsia" w:ascii="宋体" w:hAnsi="宋体" w:eastAsia="等线" w:cs="Times New Roman"/>
                <w:bCs/>
                <w:color w:val="auto"/>
                <w:sz w:val="21"/>
                <w:highlight w:val="none"/>
                <w:lang w:eastAsia="zh-CN"/>
              </w:rPr>
              <w:t xml:space="preserve">其他专用条款</w:t>
            </w:r>
            <w:r/>
          </w:p>
        </w:tc>
        <w:tc>
          <w:tcPr>
            <w:tcW w:w="5788" w:type="dxa"/>
            <w:vAlign w:val="center"/>
            <w:textDirection w:val="lrTb"/>
            <w:noWrap w:val="false"/>
          </w:tcPr>
          <w:p>
            <w:pPr>
              <w:ind w:firstLine="0"/>
              <w:spacing w:line="240" w:lineRule="auto"/>
              <w:widowControl w:val="off"/>
              <w:rPr>
                <w:rFonts w:hint="eastAsia" w:ascii="宋体" w:hAnsi="宋体" w:cs="Times New Roman"/>
                <w:color w:val="auto"/>
                <w:sz w:val="21"/>
                <w:highlight w:val="none"/>
                <w:lang w:eastAsia="zh-CN"/>
              </w:rPr>
            </w:pPr>
            <w:r>
              <w:rPr>
                <w:rFonts w:hint="eastAsia" w:ascii="宋体" w:hAnsi="宋体" w:cs="Times New Roman"/>
                <w:color w:val="auto"/>
                <w:sz w:val="21"/>
                <w:highlight w:val="none"/>
                <w:lang w:eastAsia="zh-CN"/>
              </w:rPr>
            </w:r>
            <w:r/>
          </w:p>
        </w:tc>
      </w:tr>
    </w:tbl>
    <w:p>
      <w:pPr>
        <w:ind w:firstLine="0"/>
        <w:widowControl w:val="off"/>
        <w:rPr>
          <w:rFonts w:hint="eastAsia" w:ascii="宋体" w:hAnsi="宋体" w:cs="宋体"/>
          <w:b/>
          <w:bCs/>
          <w:color w:val="auto"/>
          <w:sz w:val="36"/>
          <w:szCs w:val="36"/>
          <w:highlight w:val="none"/>
          <w:lang w:eastAsia="zh-CN"/>
        </w:rPr>
      </w:pPr>
      <w:r>
        <w:rPr>
          <w:rFonts w:hint="eastAsia" w:ascii="宋体" w:hAnsi="宋体" w:cs="宋体"/>
          <w:b/>
          <w:bCs/>
          <w:color w:val="auto"/>
          <w:sz w:val="36"/>
          <w:szCs w:val="36"/>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rFonts w:eastAsia="黑体"/>
          <w:b/>
          <w:bCs/>
          <w:color w:val="auto"/>
          <w:sz w:val="36"/>
          <w:szCs w:val="44"/>
          <w:highlight w:val="none"/>
          <w:lang w:eastAsia="zh-CN"/>
        </w:rPr>
      </w:pPr>
      <w:r/>
      <w:bookmarkStart w:id="27" w:name="_Toc161316668"/>
      <w:r>
        <w:rPr>
          <w:color w:val="auto"/>
          <w:highlight w:val="none"/>
          <w:lang w:eastAsia="zh-CN"/>
        </w:rPr>
        <w:br w:type="page" w:clear="all"/>
      </w:r>
      <w:bookmarkEnd w:id="27"/>
      <w:r/>
      <w:r/>
    </w:p>
    <w:p>
      <w:pPr>
        <w:pStyle w:val="901"/>
        <w:rPr>
          <w:color w:val="auto"/>
          <w:highlight w:val="none"/>
          <w:lang w:eastAsia="zh-CN"/>
        </w:rPr>
      </w:pPr>
      <w:r>
        <w:rPr>
          <w:rFonts w:hint="eastAsia"/>
          <w:color w:val="auto"/>
          <w:highlight w:val="none"/>
          <w:lang w:eastAsia="zh-CN"/>
        </w:rPr>
        <w:t xml:space="preserve">五、附件</w:t>
      </w:r>
      <w:r/>
    </w:p>
    <w:p>
      <w:pPr>
        <w:pStyle w:val="902"/>
        <w:rPr>
          <w:rFonts w:hint="eastAsia" w:ascii="宋体" w:hAnsi="宋体" w:cs="宋体"/>
          <w:color w:val="auto"/>
          <w:szCs w:val="24"/>
          <w:highlight w:val="none"/>
          <w:lang w:eastAsia="zh-CN"/>
        </w:rPr>
      </w:pPr>
      <w:r/>
      <w:bookmarkStart w:id="28" w:name="_Toc101981934"/>
      <w:r/>
      <w:bookmarkStart w:id="29" w:name="_Toc161316669"/>
      <w:r>
        <w:rPr>
          <w:rFonts w:hint="eastAsia"/>
          <w:color w:val="auto"/>
          <w:highlight w:val="none"/>
          <w:lang w:eastAsia="zh-CN"/>
        </w:rPr>
        <w:t xml:space="preserve">附件一：评分标准</w:t>
      </w:r>
      <w:bookmarkEnd w:id="28"/>
      <w:r/>
      <w:bookmarkEnd w:id="29"/>
      <w:r/>
      <w:r/>
    </w:p>
    <w:p>
      <w:pPr>
        <w:contextualSpacing/>
        <w:ind w:firstLine="482"/>
        <w:rPr>
          <w:rFonts w:hint="eastAsia" w:ascii="宋体" w:hAnsi="宋体"/>
          <w:b/>
          <w:bCs/>
          <w:color w:val="auto"/>
          <w:highlight w:val="none"/>
        </w:rPr>
      </w:pPr>
      <w:r>
        <w:rPr>
          <w:rFonts w:hint="eastAsia" w:ascii="宋体" w:hAnsi="宋体"/>
          <w:b/>
          <w:bCs/>
          <w:color w:val="auto"/>
          <w:highlight w:val="none"/>
        </w:rPr>
        <w:t xml:space="preserve">一、评分项目及分值</w:t>
      </w:r>
      <w:r/>
    </w:p>
    <w:p>
      <w:pPr>
        <w:contextualSpacing/>
        <w:ind w:firstLine="480"/>
        <w:rPr>
          <w:rFonts w:hint="eastAsia" w:ascii="宋体" w:hAnsi="宋体"/>
          <w:color w:val="auto"/>
          <w:highlight w:val="none"/>
        </w:rPr>
      </w:pPr>
      <w:r>
        <w:rPr>
          <w:rFonts w:hint="eastAsia" w:ascii="宋体" w:hAnsi="宋体"/>
          <w:color w:val="auto"/>
          <w:highlight w:val="none"/>
        </w:rPr>
        <w:t xml:space="preserve">（一）价格分</w:t>
      </w:r>
      <w:r>
        <w:rPr>
          <w:rFonts w:ascii="宋体" w:hAnsi="宋体"/>
          <w:color w:val="auto"/>
          <w:highlight w:val="none"/>
        </w:rPr>
        <w:t xml:space="preserve">                              </w:t>
      </w:r>
      <w:r>
        <w:rPr>
          <w:rFonts w:hint="eastAsia" w:ascii="宋体" w:hAnsi="宋体"/>
          <w:color w:val="auto"/>
          <w:highlight w:val="none"/>
        </w:rPr>
        <w:t xml:space="preserve">40</w:t>
      </w:r>
      <w:r>
        <w:rPr>
          <w:rFonts w:ascii="宋体" w:hAnsi="宋体"/>
          <w:color w:val="auto"/>
          <w:highlight w:val="none"/>
        </w:rPr>
        <w:t xml:space="preserve">分</w:t>
      </w:r>
      <w:r/>
    </w:p>
    <w:p>
      <w:pPr>
        <w:contextualSpacing/>
        <w:ind w:firstLine="480"/>
        <w:rPr>
          <w:rFonts w:hint="eastAsia" w:ascii="宋体" w:hAnsi="宋体"/>
          <w:color w:val="auto"/>
          <w:highlight w:val="none"/>
        </w:rPr>
      </w:pPr>
      <w:r>
        <w:rPr>
          <w:rFonts w:hint="eastAsia" w:ascii="宋体" w:hAnsi="宋体"/>
          <w:color w:val="auto"/>
          <w:highlight w:val="none"/>
        </w:rPr>
        <w:t xml:space="preserve">（二）综合能力评价</w:t>
      </w:r>
      <w:r>
        <w:rPr>
          <w:rFonts w:ascii="宋体" w:hAnsi="宋体"/>
          <w:color w:val="auto"/>
          <w:highlight w:val="none"/>
        </w:rPr>
        <w:t xml:space="preserve">                       </w:t>
      </w:r>
      <w:r>
        <w:rPr>
          <w:rFonts w:hint="eastAsia" w:ascii="宋体" w:hAnsi="宋体"/>
          <w:color w:val="auto"/>
          <w:highlight w:val="none"/>
        </w:rPr>
        <w:t xml:space="preserve"> 13</w:t>
      </w:r>
      <w:r>
        <w:rPr>
          <w:rFonts w:ascii="宋体" w:hAnsi="宋体"/>
          <w:color w:val="auto"/>
          <w:highlight w:val="none"/>
        </w:rPr>
        <w:t xml:space="preserve">分</w:t>
      </w:r>
      <w:r/>
    </w:p>
    <w:p>
      <w:pPr>
        <w:contextualSpacing/>
        <w:ind w:firstLine="480"/>
        <w:rPr>
          <w:rFonts w:hint="eastAsia" w:ascii="宋体" w:hAnsi="宋体"/>
          <w:color w:val="auto"/>
          <w:highlight w:val="none"/>
        </w:rPr>
      </w:pPr>
      <w:r>
        <w:rPr>
          <w:rFonts w:hint="eastAsia" w:ascii="宋体" w:hAnsi="宋体"/>
          <w:color w:val="auto"/>
          <w:highlight w:val="none"/>
        </w:rPr>
        <w:t xml:space="preserve">（三）服务方案</w:t>
      </w:r>
      <w:r>
        <w:rPr>
          <w:rFonts w:ascii="宋体" w:hAnsi="宋体"/>
          <w:color w:val="auto"/>
          <w:highlight w:val="none"/>
        </w:rPr>
        <w:t xml:space="preserve">                        </w:t>
      </w:r>
      <w:r>
        <w:rPr>
          <w:rFonts w:hint="eastAsia" w:ascii="宋体" w:hAnsi="宋体"/>
          <w:color w:val="auto"/>
          <w:highlight w:val="none"/>
        </w:rPr>
        <w:t xml:space="preserve">    47</w:t>
      </w:r>
      <w:r>
        <w:rPr>
          <w:rFonts w:ascii="宋体" w:hAnsi="宋体"/>
          <w:color w:val="auto"/>
          <w:highlight w:val="none"/>
        </w:rPr>
        <w:t xml:space="preserve">分</w:t>
      </w:r>
      <w:r/>
    </w:p>
    <w:p>
      <w:pPr>
        <w:contextualSpacing/>
        <w:ind w:firstLine="482"/>
        <w:rPr>
          <w:rFonts w:hint="eastAsia" w:ascii="宋体" w:hAnsi="宋体"/>
          <w:b/>
          <w:bCs/>
          <w:color w:val="auto"/>
          <w:highlight w:val="none"/>
        </w:rPr>
      </w:pPr>
      <w:r>
        <w:rPr>
          <w:rFonts w:hint="eastAsia" w:ascii="宋体" w:hAnsi="宋体"/>
          <w:b/>
          <w:bCs/>
          <w:color w:val="auto"/>
          <w:highlight w:val="none"/>
        </w:rPr>
        <w:t xml:space="preserve">二、各项评分标准</w:t>
      </w:r>
      <w:r/>
    </w:p>
    <w:p>
      <w:pPr>
        <w:contextualSpacing/>
        <w:ind w:firstLine="480"/>
        <w:rPr>
          <w:rFonts w:hint="eastAsia" w:ascii="宋体" w:hAnsi="宋体"/>
          <w:color w:val="auto"/>
          <w:highlight w:val="none"/>
        </w:rPr>
      </w:pPr>
      <w:r>
        <w:rPr>
          <w:rFonts w:hint="eastAsia" w:ascii="宋体" w:hAnsi="宋体"/>
          <w:color w:val="auto"/>
          <w:highlight w:val="none"/>
        </w:rPr>
        <w:t xml:space="preserve">（一）价格分（40</w:t>
      </w:r>
      <w:r>
        <w:rPr>
          <w:rFonts w:ascii="宋体" w:hAnsi="宋体"/>
          <w:color w:val="auto"/>
          <w:highlight w:val="none"/>
        </w:rPr>
        <w:t xml:space="preserve">分）</w:t>
      </w:r>
      <w:r/>
    </w:p>
    <w:p>
      <w:pPr>
        <w:ind w:left="1" w:firstLine="480"/>
        <w:tabs>
          <w:tab w:val="left" w:pos="840" w:leader="none"/>
          <w:tab w:val="left" w:pos="1050" w:leader="none"/>
        </w:tabs>
        <w:rPr>
          <w:rFonts w:hint="eastAsia" w:ascii="宋体" w:hAnsi="宋体"/>
          <w:bCs/>
          <w:color w:val="auto"/>
          <w:highlight w:val="none"/>
          <w:lang w:eastAsia="zh-CN"/>
        </w:rPr>
      </w:pPr>
      <w:r>
        <w:rPr>
          <w:rFonts w:hint="eastAsia" w:ascii="宋体" w:hAnsi="宋体"/>
          <w:bCs/>
          <w:color w:val="auto"/>
          <w:highlight w:val="none"/>
          <w:lang w:eastAsia="zh-CN"/>
        </w:rPr>
        <w:t xml:space="preserve">采用低价优先法计算，即满足招标文件要求且投标价格最低的投标报价为评标基准价，其价格分为满分。其他投标人的价格分统一按照下列公式计算：</w:t>
      </w:r>
      <w:r/>
    </w:p>
    <w:p>
      <w:pPr>
        <w:ind w:left="1" w:firstLine="480"/>
        <w:tabs>
          <w:tab w:val="left" w:pos="840" w:leader="none"/>
          <w:tab w:val="left" w:pos="1050" w:leader="none"/>
        </w:tabs>
        <w:rPr>
          <w:rFonts w:hint="eastAsia" w:ascii="宋体" w:hAnsi="宋体"/>
          <w:bCs/>
          <w:color w:val="auto"/>
          <w:highlight w:val="none"/>
          <w:lang w:eastAsia="zh-CN"/>
        </w:rPr>
      </w:pPr>
      <w:r>
        <w:rPr>
          <w:rFonts w:hint="eastAsia" w:ascii="宋体" w:hAnsi="宋体"/>
          <w:bCs/>
          <w:color w:val="auto"/>
          <w:highlight w:val="none"/>
          <w:lang w:eastAsia="zh-CN"/>
        </w:rPr>
        <w:t xml:space="preserve"> 投标报价得分=（评标基准价／投标报价）×价格权值×100</w:t>
      </w:r>
      <w:r/>
    </w:p>
    <w:p>
      <w:pPr>
        <w:contextualSpacing/>
        <w:ind w:firstLine="482"/>
        <w:rPr>
          <w:rFonts w:hint="eastAsia" w:ascii="宋体" w:hAnsi="宋体"/>
          <w:b/>
          <w:bCs/>
          <w:color w:val="auto"/>
          <w:highlight w:val="none"/>
          <w:lang w:eastAsia="zh-CN"/>
        </w:rPr>
      </w:pPr>
      <w:r>
        <w:rPr>
          <w:rFonts w:hint="eastAsia" w:ascii="宋体" w:hAnsi="宋体"/>
          <w:b/>
          <w:bCs/>
          <w:color w:val="auto"/>
          <w:highlight w:val="none"/>
          <w:lang w:eastAsia="zh-CN"/>
        </w:rPr>
        <w:t xml:space="preserve">价格扣除：</w:t>
      </w:r>
      <w:r>
        <w:rPr>
          <w:rFonts w:hint="eastAsia" w:ascii="宋体" w:hAnsi="宋体" w:cs="Times New Roman"/>
          <w:b/>
          <w:bCs/>
          <w:color w:val="auto"/>
          <w:szCs w:val="24"/>
          <w:highlight w:val="none"/>
          <w:lang w:val="en-US" w:eastAsia="zh-CN"/>
        </w:rPr>
        <w:t xml:space="preserve">/</w:t>
      </w:r>
      <w:bookmarkStart w:id="36" w:name="_GoBack"/>
      <w:r/>
      <w:bookmarkEnd w:id="36"/>
      <w:r>
        <w:rPr>
          <w:rFonts w:hint="eastAsia" w:ascii="宋体" w:hAnsi="宋体"/>
          <w:b/>
          <w:bCs/>
          <w:color w:val="auto"/>
          <w:highlight w:val="none"/>
          <w:lang w:eastAsia="zh-CN"/>
        </w:rPr>
        <w:t xml:space="preserve">。</w:t>
      </w:r>
      <w:r/>
    </w:p>
    <w:p>
      <w:pPr>
        <w:contextualSpacing/>
        <w:ind w:firstLine="480"/>
        <w:rPr>
          <w:rFonts w:hint="eastAsia" w:ascii="宋体" w:hAnsi="宋体"/>
          <w:color w:val="auto"/>
          <w:highlight w:val="none"/>
          <w:lang w:eastAsia="zh-CN"/>
        </w:rPr>
      </w:pPr>
      <w:r>
        <w:rPr>
          <w:rFonts w:hint="eastAsia" w:ascii="宋体" w:hAnsi="宋体"/>
          <w:color w:val="auto"/>
          <w:highlight w:val="none"/>
          <w:lang w:eastAsia="zh-CN"/>
        </w:rPr>
        <w:t xml:space="preserve">（二）综合能力评价（13</w:t>
      </w:r>
      <w:r>
        <w:rPr>
          <w:rFonts w:ascii="宋体" w:hAnsi="宋体"/>
          <w:color w:val="auto"/>
          <w:highlight w:val="none"/>
          <w:lang w:eastAsia="zh-CN"/>
        </w:rPr>
        <w:t xml:space="preserve">分） </w:t>
      </w:r>
      <w:r/>
    </w:p>
    <w:p>
      <w:pPr>
        <w:contextualSpacing/>
        <w:ind w:firstLine="480"/>
        <w:rPr>
          <w:rFonts w:hint="eastAsia" w:ascii="宋体" w:hAnsi="宋体"/>
          <w:color w:val="auto"/>
          <w:highlight w:val="none"/>
          <w:lang w:eastAsia="zh-CN"/>
        </w:rPr>
      </w:pPr>
      <w:r>
        <w:rPr>
          <w:rFonts w:hint="eastAsia" w:ascii="宋体" w:hAnsi="宋体"/>
          <w:color w:val="auto"/>
          <w:highlight w:val="none"/>
          <w:lang w:eastAsia="zh-CN"/>
        </w:rPr>
        <w:t xml:space="preserve">1.</w:t>
      </w:r>
      <w:r>
        <w:rPr>
          <w:rFonts w:ascii="宋体" w:hAnsi="宋体"/>
          <w:color w:val="auto"/>
          <w:highlight w:val="none"/>
          <w:lang w:eastAsia="zh-CN"/>
        </w:rPr>
        <w:t xml:space="preserve">业绩（</w:t>
      </w:r>
      <w:r>
        <w:rPr>
          <w:rFonts w:hint="eastAsia" w:ascii="宋体" w:hAnsi="宋体"/>
          <w:color w:val="auto"/>
          <w:highlight w:val="none"/>
          <w:lang w:eastAsia="zh-CN"/>
        </w:rPr>
        <w:t xml:space="preserve">4</w:t>
      </w:r>
      <w:r>
        <w:rPr>
          <w:rFonts w:ascii="宋体" w:hAnsi="宋体"/>
          <w:color w:val="auto"/>
          <w:highlight w:val="none"/>
          <w:lang w:eastAsia="zh-CN"/>
        </w:rPr>
        <w:t xml:space="preserve">分）</w:t>
      </w:r>
      <w:r/>
    </w:p>
    <w:p>
      <w:pPr>
        <w:contextualSpacing/>
        <w:ind w:firstLine="480"/>
        <w:rPr>
          <w:rFonts w:hint="eastAsia" w:ascii="宋体" w:hAnsi="宋体"/>
          <w:color w:val="auto"/>
          <w:highlight w:val="none"/>
          <w:lang w:eastAsia="zh-CN"/>
        </w:rPr>
      </w:pPr>
      <w:r>
        <w:rPr>
          <w:rFonts w:hint="eastAsia" w:ascii="宋体" w:hAnsi="宋体"/>
          <w:color w:val="auto"/>
          <w:highlight w:val="none"/>
          <w:lang w:eastAsia="zh-CN"/>
        </w:rPr>
        <w:t xml:space="preserve">投标人自</w:t>
      </w:r>
      <w:r>
        <w:rPr>
          <w:rFonts w:ascii="宋体" w:hAnsi="宋体"/>
          <w:color w:val="auto"/>
          <w:highlight w:val="none"/>
          <w:lang w:eastAsia="zh-CN"/>
        </w:rPr>
        <w:t xml:space="preserve">202</w:t>
      </w:r>
      <w:r>
        <w:rPr>
          <w:rFonts w:hint="eastAsia" w:ascii="宋体" w:hAnsi="宋体"/>
          <w:color w:val="auto"/>
          <w:highlight w:val="none"/>
          <w:lang w:eastAsia="zh-CN"/>
        </w:rPr>
        <w:t xml:space="preserve">3</w:t>
      </w:r>
      <w:r>
        <w:rPr>
          <w:rFonts w:ascii="宋体" w:hAnsi="宋体"/>
          <w:color w:val="auto"/>
          <w:highlight w:val="none"/>
          <w:lang w:eastAsia="zh-CN"/>
        </w:rPr>
        <w:t xml:space="preserve">年1月1日以来承担过类似的项目（以签订合同时间为准），每提供一个项目得</w:t>
      </w:r>
      <w:r>
        <w:rPr>
          <w:rFonts w:hint="eastAsia" w:ascii="宋体" w:hAnsi="宋体"/>
          <w:color w:val="auto"/>
          <w:highlight w:val="none"/>
          <w:lang w:eastAsia="zh-CN"/>
        </w:rPr>
        <w:t xml:space="preserve">2</w:t>
      </w:r>
      <w:r>
        <w:rPr>
          <w:rFonts w:ascii="宋体" w:hAnsi="宋体"/>
          <w:color w:val="auto"/>
          <w:highlight w:val="none"/>
          <w:lang w:eastAsia="zh-CN"/>
        </w:rPr>
        <w:t xml:space="preserve">分，本项最高得</w:t>
      </w:r>
      <w:r>
        <w:rPr>
          <w:rFonts w:hint="eastAsia" w:ascii="宋体" w:hAnsi="宋体"/>
          <w:color w:val="auto"/>
          <w:highlight w:val="none"/>
          <w:lang w:eastAsia="zh-CN"/>
        </w:rPr>
        <w:t xml:space="preserve">4</w:t>
      </w:r>
      <w:r>
        <w:rPr>
          <w:rFonts w:ascii="宋体" w:hAnsi="宋体"/>
          <w:color w:val="auto"/>
          <w:highlight w:val="none"/>
          <w:lang w:eastAsia="zh-CN"/>
        </w:rPr>
        <w:t xml:space="preserve">分。</w:t>
      </w:r>
      <w:r/>
    </w:p>
    <w:p>
      <w:pPr>
        <w:contextualSpacing/>
        <w:ind w:firstLine="480"/>
        <w:rPr>
          <w:rFonts w:hint="eastAsia" w:ascii="宋体" w:hAnsi="宋体"/>
          <w:color w:val="auto"/>
          <w:highlight w:val="none"/>
          <w:lang w:eastAsia="zh-CN"/>
        </w:rPr>
      </w:pPr>
      <w:r>
        <w:rPr>
          <w:rFonts w:hint="eastAsia" w:ascii="宋体" w:hAnsi="宋体"/>
          <w:color w:val="auto"/>
          <w:highlight w:val="none"/>
          <w:lang w:eastAsia="zh-CN"/>
        </w:rPr>
        <w:t xml:space="preserve">【</w:t>
      </w:r>
      <w:r>
        <w:rPr>
          <w:rFonts w:hint="eastAsia" w:ascii="宋体" w:hAnsi="宋体"/>
          <w:b/>
          <w:bCs/>
          <w:color w:val="auto"/>
          <w:highlight w:val="none"/>
          <w:lang w:eastAsia="zh-CN"/>
        </w:rPr>
        <w:t xml:space="preserve">需提供合同（</w:t>
      </w:r>
      <w:r>
        <w:rPr>
          <w:rFonts w:ascii="宋体" w:hAnsi="宋体"/>
          <w:b/>
          <w:bCs/>
          <w:color w:val="auto"/>
          <w:highlight w:val="none"/>
          <w:lang w:eastAsia="zh-CN"/>
        </w:rPr>
        <w:t xml:space="preserve">协议</w:t>
      </w:r>
      <w:r>
        <w:rPr>
          <w:rFonts w:hint="eastAsia" w:ascii="宋体" w:hAnsi="宋体"/>
          <w:b/>
          <w:bCs/>
          <w:color w:val="auto"/>
          <w:highlight w:val="none"/>
          <w:lang w:eastAsia="zh-CN"/>
        </w:rPr>
        <w:t xml:space="preserve">）</w:t>
      </w:r>
      <w:r>
        <w:rPr>
          <w:rFonts w:ascii="宋体" w:hAnsi="宋体"/>
          <w:b/>
          <w:bCs/>
          <w:color w:val="auto"/>
          <w:highlight w:val="none"/>
          <w:lang w:eastAsia="zh-CN"/>
        </w:rPr>
        <w:t xml:space="preserve">的扫描件加盖公章上传至电子标书，时间以合同签订时间为准，否则不得分</w:t>
      </w:r>
      <w:r>
        <w:rPr>
          <w:rFonts w:hint="eastAsia" w:ascii="宋体" w:hAnsi="宋体"/>
          <w:b/>
          <w:bCs/>
          <w:color w:val="auto"/>
          <w:highlight w:val="none"/>
          <w:lang w:eastAsia="zh-CN"/>
        </w:rPr>
        <w:t xml:space="preserve">】</w:t>
      </w:r>
      <w:r/>
    </w:p>
    <w:p>
      <w:pPr>
        <w:contextualSpacing/>
        <w:ind w:firstLine="480"/>
        <w:rPr>
          <w:rFonts w:hint="eastAsia" w:ascii="宋体" w:hAnsi="宋体"/>
          <w:color w:val="auto"/>
          <w:highlight w:val="none"/>
          <w:lang w:eastAsia="zh-CN"/>
        </w:rPr>
      </w:pPr>
      <w:r>
        <w:rPr>
          <w:rFonts w:hint="eastAsia" w:ascii="宋体" w:hAnsi="宋体"/>
          <w:color w:val="auto"/>
          <w:highlight w:val="none"/>
          <w:lang w:eastAsia="zh-CN"/>
        </w:rPr>
        <w:t xml:space="preserve">2.技术参数（9分）</w:t>
      </w:r>
      <w:r/>
    </w:p>
    <w:p>
      <w:pPr>
        <w:contextualSpacing/>
        <w:ind w:firstLine="480"/>
        <w:rPr>
          <w:rFonts w:hint="eastAsia" w:ascii="宋体" w:hAnsi="宋体" w:cs="宋体"/>
          <w:color w:val="auto"/>
          <w:highlight w:val="none"/>
          <w:lang w:eastAsia="zh-CN"/>
        </w:rPr>
      </w:pPr>
      <w:r>
        <w:rPr>
          <w:rFonts w:hint="eastAsia" w:ascii="宋体" w:hAnsi="宋体" w:cs="宋体"/>
          <w:color w:val="auto"/>
          <w:highlight w:val="none"/>
          <w:lang w:eastAsia="zh-CN"/>
        </w:rPr>
        <w:t xml:space="preserve">根据投标人对招标文件中的每条技术参数的响应情况进行评分。其中“▲”为核心参数，必须满足，否则按无效投标处理。其余参数均须符合招标要求，不得有负偏离。</w:t>
      </w:r>
      <w:r/>
    </w:p>
    <w:p>
      <w:pPr>
        <w:contextualSpacing/>
        <w:ind w:firstLine="480"/>
        <w:rPr>
          <w:rFonts w:hint="eastAsia" w:ascii="宋体" w:hAnsi="宋体" w:cs="宋体"/>
          <w:color w:val="auto"/>
          <w:highlight w:val="none"/>
          <w:lang w:eastAsia="zh-CN"/>
        </w:rPr>
      </w:pPr>
      <w:r>
        <w:rPr>
          <w:rFonts w:hint="eastAsia" w:ascii="宋体" w:hAnsi="宋体" w:cs="宋体"/>
          <w:color w:val="auto"/>
          <w:highlight w:val="none"/>
          <w:lang w:eastAsia="zh-CN"/>
        </w:rPr>
        <w:t xml:space="preserve">其中带“●”的为重要参数项，每一项正偏离可得分，最多9分，具体评分标准如下：</w:t>
      </w:r>
      <w:r/>
    </w:p>
    <w:p>
      <w:pPr>
        <w:ind w:firstLine="482"/>
        <w:rPr>
          <w:b/>
          <w:bCs/>
          <w:color w:val="auto"/>
          <w:highlight w:val="none"/>
          <w:lang w:eastAsia="zh-CN"/>
        </w:rPr>
      </w:pPr>
      <w:r>
        <w:rPr>
          <w:rFonts w:hint="eastAsia"/>
          <w:b/>
          <w:bCs/>
          <w:color w:val="auto"/>
          <w:highlight w:val="none"/>
          <w:lang w:eastAsia="zh-CN"/>
        </w:rPr>
        <w:t xml:space="preserve">多位点STR扩增试剂盒</w:t>
      </w:r>
      <w:r/>
    </w:p>
    <w:tbl>
      <w:tblPr>
        <w:tblStyle w:val="91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2"/>
        <w:gridCol w:w="5234"/>
      </w:tblGrid>
      <w:tr>
        <w:trPr>
          <w:jc w:val="center"/>
        </w:trPr>
        <w:tc>
          <w:tcPr>
            <w:tcW w:w="2418" w:type="pct"/>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t xml:space="preserve">招标要求</w:t>
            </w:r>
            <w:r/>
          </w:p>
        </w:tc>
        <w:tc>
          <w:tcPr>
            <w:tcW w:w="2582" w:type="pct"/>
            <w:textDirection w:val="lrTb"/>
            <w:noWrap w:val="false"/>
          </w:tcPr>
          <w:p>
            <w:pPr>
              <w:ind w:firstLine="480"/>
              <w:jc w:val="center"/>
              <w:rPr>
                <w:rFonts w:hint="eastAsia" w:ascii="宋体" w:hAnsi="宋体" w:cs="宋体"/>
                <w:color w:val="auto"/>
                <w:highlight w:val="none"/>
              </w:rPr>
            </w:pPr>
            <w:r>
              <w:rPr>
                <w:rFonts w:hint="eastAsia" w:ascii="宋体" w:hAnsi="宋体" w:cs="宋体"/>
                <w:color w:val="auto"/>
                <w:highlight w:val="none"/>
              </w:rPr>
              <w:t xml:space="preserve">评分标准</w:t>
            </w:r>
            <w:r/>
          </w:p>
        </w:tc>
      </w:tr>
      <w:tr>
        <w:trPr>
          <w:jc w:val="center"/>
        </w:trPr>
        <w:tc>
          <w:tcPr>
            <w:tcW w:w="2418" w:type="pct"/>
            <w:textDirection w:val="lrTb"/>
            <w:noWrap w:val="false"/>
          </w:tcPr>
          <w:p>
            <w:pPr>
              <w:ind w:firstLine="480"/>
              <w:rPr>
                <w:rFonts w:hint="eastAsia" w:ascii="宋体" w:hAnsi="宋体" w:cs="宋体"/>
                <w:color w:val="auto"/>
                <w:highlight w:val="none"/>
                <w:lang w:eastAsia="zh-CN"/>
              </w:rPr>
            </w:pPr>
            <w:r>
              <w:rPr>
                <w:rFonts w:hint="eastAsia"/>
                <w:color w:val="auto"/>
                <w:highlight w:val="none"/>
                <w:lang w:eastAsia="zh-CN"/>
              </w:rPr>
              <w:t xml:space="preserve">●</w:t>
            </w:r>
            <w:r>
              <w:rPr>
                <w:color w:val="auto"/>
                <w:highlight w:val="none"/>
                <w:lang w:eastAsia="zh-CN"/>
              </w:rPr>
              <w:t xml:space="preserve">5</w:t>
            </w:r>
            <w:r>
              <w:rPr>
                <w:rFonts w:hint="eastAsia"/>
                <w:color w:val="auto"/>
                <w:highlight w:val="none"/>
                <w:lang w:eastAsia="zh-CN"/>
              </w:rPr>
              <w:t xml:space="preserve">、试剂盒真实</w:t>
            </w:r>
            <w:r>
              <w:rPr>
                <w:color w:val="auto"/>
                <w:highlight w:val="none"/>
                <w:lang w:eastAsia="zh-CN"/>
              </w:rPr>
              <w:t xml:space="preserve">bin</w:t>
            </w:r>
            <w:r>
              <w:rPr>
                <w:rFonts w:hint="eastAsia"/>
                <w:color w:val="auto"/>
                <w:highlight w:val="none"/>
                <w:lang w:eastAsia="zh-CN"/>
              </w:rPr>
              <w:t xml:space="preserve">和虚拟</w:t>
            </w:r>
            <w:r>
              <w:rPr>
                <w:color w:val="auto"/>
                <w:highlight w:val="none"/>
                <w:lang w:eastAsia="zh-CN"/>
              </w:rPr>
              <w:t xml:space="preserve">bin</w:t>
            </w:r>
            <w:r>
              <w:rPr>
                <w:rFonts w:hint="eastAsia"/>
                <w:color w:val="auto"/>
                <w:highlight w:val="none"/>
                <w:lang w:eastAsia="zh-CN"/>
              </w:rPr>
              <w:t xml:space="preserve">的个数合计大于500个，有效降低</w:t>
            </w:r>
            <w:r>
              <w:rPr>
                <w:color w:val="auto"/>
                <w:highlight w:val="none"/>
                <w:lang w:eastAsia="zh-CN"/>
              </w:rPr>
              <w:t xml:space="preserve">OL</w:t>
            </w:r>
            <w:r>
              <w:rPr>
                <w:rFonts w:hint="eastAsia"/>
                <w:color w:val="auto"/>
                <w:highlight w:val="none"/>
                <w:lang w:eastAsia="zh-CN"/>
              </w:rPr>
              <w:t xml:space="preserve">的产生。</w:t>
            </w:r>
            <w:r/>
          </w:p>
        </w:tc>
        <w:tc>
          <w:tcPr>
            <w:tcW w:w="2582" w:type="pct"/>
            <w:textDirection w:val="lrTb"/>
            <w:noWrap w:val="false"/>
          </w:tcPr>
          <w:p>
            <w:pPr>
              <w:ind w:firstLine="480"/>
              <w:rPr>
                <w:rFonts w:hint="eastAsia" w:ascii="宋体" w:hAnsi="宋体" w:cs="宋体"/>
                <w:color w:val="auto"/>
                <w:highlight w:val="none"/>
                <w:lang w:eastAsia="zh-CN"/>
              </w:rPr>
            </w:pPr>
            <w:r>
              <w:rPr>
                <w:rFonts w:hint="eastAsia" w:ascii="宋体" w:hAnsi="宋体" w:cs="宋体"/>
                <w:color w:val="auto"/>
                <w:highlight w:val="none"/>
                <w:lang w:eastAsia="zh-CN"/>
              </w:rPr>
              <w:t xml:space="preserve">符合要求不加分，bin的总数在500个基础上每增加40个可得1分，最多不超过3分。</w:t>
            </w:r>
            <w:r/>
          </w:p>
        </w:tc>
      </w:tr>
      <w:tr>
        <w:trPr>
          <w:jc w:val="center"/>
        </w:trPr>
        <w:tc>
          <w:tcPr>
            <w:tcW w:w="2418" w:type="pct"/>
            <w:textDirection w:val="lrTb"/>
            <w:noWrap w:val="false"/>
          </w:tcPr>
          <w:p>
            <w:pPr>
              <w:ind w:firstLine="480"/>
              <w:rPr>
                <w:rFonts w:hint="eastAsia" w:ascii="宋体" w:hAnsi="宋体" w:cs="宋体"/>
                <w:color w:val="auto"/>
                <w:highlight w:val="none"/>
                <w:lang w:eastAsia="zh-CN"/>
              </w:rPr>
            </w:pPr>
            <w:r>
              <w:rPr>
                <w:rFonts w:hint="eastAsia"/>
                <w:color w:val="auto"/>
                <w:highlight w:val="none"/>
                <w:lang w:eastAsia="zh-CN"/>
              </w:rPr>
              <w:t xml:space="preserve">●</w:t>
            </w:r>
            <w:r>
              <w:rPr>
                <w:color w:val="auto"/>
                <w:highlight w:val="none"/>
                <w:lang w:eastAsia="zh-CN"/>
              </w:rPr>
              <w:t xml:space="preserve">9</w:t>
            </w:r>
            <w:r>
              <w:rPr>
                <w:rFonts w:hint="eastAsia"/>
                <w:color w:val="auto"/>
                <w:highlight w:val="none"/>
                <w:lang w:eastAsia="zh-CN"/>
              </w:rPr>
              <w:t xml:space="preserve">、采用快速扩增酶和高效缓冲体系，能够缩短</w:t>
            </w:r>
            <w:r>
              <w:rPr>
                <w:color w:val="auto"/>
                <w:highlight w:val="none"/>
                <w:lang w:eastAsia="zh-CN"/>
              </w:rPr>
              <w:t xml:space="preserve">PCR</w:t>
            </w:r>
            <w:r>
              <w:rPr>
                <w:rFonts w:hint="eastAsia"/>
                <w:color w:val="auto"/>
                <w:highlight w:val="none"/>
                <w:lang w:eastAsia="zh-CN"/>
              </w:rPr>
              <w:t xml:space="preserve">扩增时间至100分钟以内。</w:t>
            </w:r>
            <w:r>
              <w:rPr>
                <w:color w:val="auto"/>
                <w:highlight w:val="none"/>
                <w:lang w:eastAsia="zh-CN"/>
              </w:rPr>
              <w:t xml:space="preserve"> </w:t>
            </w:r>
            <w:r/>
          </w:p>
        </w:tc>
        <w:tc>
          <w:tcPr>
            <w:tcW w:w="2582" w:type="pct"/>
            <w:textDirection w:val="lrTb"/>
            <w:noWrap w:val="false"/>
          </w:tcPr>
          <w:p>
            <w:pPr>
              <w:ind w:firstLine="480"/>
              <w:rPr>
                <w:rFonts w:hint="eastAsia" w:ascii="宋体" w:hAnsi="宋体" w:cs="宋体"/>
                <w:color w:val="auto"/>
                <w:highlight w:val="none"/>
                <w:lang w:eastAsia="zh-CN"/>
              </w:rPr>
            </w:pPr>
            <w:r>
              <w:rPr>
                <w:rFonts w:hint="eastAsia" w:ascii="宋体" w:hAnsi="宋体" w:cs="宋体"/>
                <w:color w:val="auto"/>
                <w:highlight w:val="none"/>
                <w:lang w:eastAsia="zh-CN"/>
              </w:rPr>
              <w:t xml:space="preserve">符合要求不加分，扩增时间在100分钟标准内每缩短5分钟可得1分，最多不超过3分。</w:t>
            </w:r>
            <w:r/>
          </w:p>
        </w:tc>
      </w:tr>
      <w:tr>
        <w:trPr>
          <w:jc w:val="center"/>
        </w:trPr>
        <w:tc>
          <w:tcPr>
            <w:tcW w:w="2418" w:type="pct"/>
            <w:textDirection w:val="lrTb"/>
            <w:noWrap w:val="false"/>
          </w:tcPr>
          <w:p>
            <w:pPr>
              <w:ind w:firstLine="480"/>
              <w:rPr>
                <w:rFonts w:hint="eastAsia" w:ascii="宋体" w:hAnsi="宋体" w:cs="宋体"/>
                <w:color w:val="auto"/>
                <w:highlight w:val="none"/>
                <w:lang w:eastAsia="zh-CN"/>
              </w:rPr>
            </w:pPr>
            <w:r>
              <w:rPr>
                <w:rFonts w:hint="eastAsia"/>
                <w:color w:val="auto"/>
                <w:highlight w:val="none"/>
                <w:lang w:eastAsia="zh-CN"/>
              </w:rPr>
              <w:t xml:space="preserve">●1</w:t>
            </w:r>
            <w:r>
              <w:rPr>
                <w:color w:val="auto"/>
                <w:highlight w:val="none"/>
                <w:lang w:eastAsia="zh-CN"/>
              </w:rPr>
              <w:t xml:space="preserve">3</w:t>
            </w:r>
            <w:r>
              <w:rPr>
                <w:rFonts w:hint="eastAsia"/>
                <w:color w:val="auto"/>
                <w:highlight w:val="none"/>
                <w:lang w:eastAsia="zh-CN"/>
              </w:rPr>
              <w:t xml:space="preserve">、试剂盒抗抑制能力强，在1</w:t>
            </w:r>
            <w:r>
              <w:rPr>
                <w:color w:val="auto"/>
                <w:highlight w:val="none"/>
                <w:lang w:eastAsia="zh-CN"/>
              </w:rPr>
              <w:t xml:space="preserve">00 ng/</w:t>
            </w:r>
            <w:r>
              <w:rPr>
                <w:rFonts w:hint="eastAsia"/>
                <w:color w:val="auto"/>
                <w:highlight w:val="none"/>
              </w:rPr>
              <w:t xml:space="preserve">μ</w:t>
            </w:r>
            <w:r>
              <w:rPr>
                <w:color w:val="auto"/>
                <w:highlight w:val="none"/>
                <w:lang w:eastAsia="zh-CN"/>
              </w:rPr>
              <w:t xml:space="preserve">l</w:t>
            </w:r>
            <w:r>
              <w:rPr>
                <w:rFonts w:hint="eastAsia"/>
                <w:color w:val="auto"/>
                <w:highlight w:val="none"/>
                <w:lang w:eastAsia="zh-CN"/>
              </w:rPr>
              <w:t xml:space="preserve">腐殖酸或2</w:t>
            </w:r>
            <w:r>
              <w:rPr>
                <w:color w:val="auto"/>
                <w:highlight w:val="none"/>
                <w:lang w:eastAsia="zh-CN"/>
              </w:rPr>
              <w:t xml:space="preserve">00 </w:t>
            </w:r>
            <w:r>
              <w:rPr>
                <w:rFonts w:hint="eastAsia"/>
                <w:color w:val="auto"/>
                <w:highlight w:val="none"/>
                <w:lang w:eastAsia="zh-CN"/>
              </w:rPr>
              <w:t xml:space="preserve">μm血红素存在情况下仍能得到完整分型。</w:t>
            </w:r>
            <w:r/>
          </w:p>
        </w:tc>
        <w:tc>
          <w:tcPr>
            <w:tcW w:w="2582" w:type="pct"/>
            <w:textDirection w:val="lrTb"/>
            <w:noWrap w:val="false"/>
          </w:tcPr>
          <w:p>
            <w:pPr>
              <w:ind w:firstLine="480"/>
              <w:rPr>
                <w:rFonts w:hint="eastAsia" w:ascii="宋体" w:hAnsi="宋体" w:cs="宋体"/>
                <w:color w:val="auto"/>
                <w:highlight w:val="none"/>
                <w:lang w:eastAsia="zh-CN"/>
              </w:rPr>
            </w:pPr>
            <w:r>
              <w:rPr>
                <w:rFonts w:hint="eastAsia" w:ascii="宋体" w:hAnsi="宋体" w:cs="宋体"/>
                <w:color w:val="auto"/>
                <w:highlight w:val="none"/>
                <w:lang w:eastAsia="zh-CN"/>
              </w:rPr>
              <w:t xml:space="preserve">符合要求不加分，在100 ng/µl腐殖酸或200 µM血红素存在情况下仍能得到完整分型的基础上，抗抑制性可达150 ng/µl腐殖酸或300 µM血红素的得1分；</w:t>
            </w:r>
            <w:r/>
          </w:p>
          <w:p>
            <w:pPr>
              <w:ind w:firstLine="480"/>
              <w:rPr>
                <w:rFonts w:hint="eastAsia" w:ascii="宋体" w:hAnsi="宋体" w:cs="宋体"/>
                <w:color w:val="auto"/>
                <w:highlight w:val="none"/>
                <w:lang w:eastAsia="zh-CN"/>
              </w:rPr>
            </w:pPr>
            <w:r>
              <w:rPr>
                <w:rFonts w:hint="eastAsia" w:ascii="宋体" w:hAnsi="宋体" w:cs="宋体"/>
                <w:color w:val="auto"/>
                <w:highlight w:val="none"/>
                <w:lang w:eastAsia="zh-CN"/>
              </w:rPr>
              <w:t xml:space="preserve">抗抑制性可达200 ng/µl腐殖酸或400 µM血红素的得2分；</w:t>
            </w:r>
            <w:r/>
          </w:p>
          <w:p>
            <w:pPr>
              <w:ind w:firstLine="480"/>
              <w:rPr>
                <w:rFonts w:hint="eastAsia" w:ascii="宋体" w:hAnsi="宋体" w:cs="宋体"/>
                <w:color w:val="auto"/>
                <w:highlight w:val="none"/>
                <w:lang w:eastAsia="zh-CN"/>
              </w:rPr>
            </w:pPr>
            <w:r>
              <w:rPr>
                <w:rFonts w:hint="eastAsia" w:ascii="宋体" w:hAnsi="宋体" w:cs="宋体"/>
                <w:color w:val="auto"/>
                <w:highlight w:val="none"/>
                <w:lang w:eastAsia="zh-CN"/>
              </w:rPr>
              <w:t xml:space="preserve">抗抑制性可达250 ng/µl腐殖酸或500 µM血红素的得3分；最多不超过3分。</w:t>
            </w:r>
            <w:r/>
          </w:p>
        </w:tc>
      </w:tr>
    </w:tbl>
    <w:p>
      <w:pPr>
        <w:contextualSpacing/>
        <w:ind w:firstLine="480"/>
        <w:rPr>
          <w:rFonts w:hint="eastAsia" w:ascii="宋体" w:hAnsi="宋体"/>
          <w:color w:val="auto"/>
          <w:highlight w:val="none"/>
          <w:lang w:eastAsia="zh-CN"/>
        </w:rPr>
      </w:pPr>
      <w:r>
        <w:rPr>
          <w:rFonts w:hint="eastAsia" w:ascii="宋体" w:hAnsi="宋体"/>
          <w:color w:val="auto"/>
          <w:highlight w:val="none"/>
          <w:lang w:eastAsia="zh-CN"/>
        </w:rPr>
        <w:t xml:space="preserve">【</w:t>
      </w:r>
      <w:r>
        <w:rPr>
          <w:rFonts w:hint="eastAsia" w:ascii="宋体" w:hAnsi="宋体"/>
          <w:b/>
          <w:bCs/>
          <w:color w:val="auto"/>
          <w:highlight w:val="none"/>
          <w:lang w:eastAsia="zh-CN"/>
        </w:rPr>
        <w:t xml:space="preserve">投标人提供相关证明材料扫描件上传至系统中并加盖公章，不提供不得分，</w:t>
      </w:r>
      <w:r>
        <w:rPr>
          <w:rFonts w:ascii="宋体" w:hAnsi="宋体"/>
          <w:b/>
          <w:bCs/>
          <w:color w:val="auto"/>
          <w:highlight w:val="none"/>
          <w:lang w:eastAsia="zh-CN"/>
        </w:rPr>
        <w:t xml:space="preserve"> 原件扫描放至电子标书</w:t>
      </w:r>
      <w:r>
        <w:rPr>
          <w:rFonts w:hint="eastAsia" w:ascii="宋体" w:hAnsi="宋体"/>
          <w:b/>
          <w:bCs/>
          <w:color w:val="auto"/>
          <w:highlight w:val="none"/>
          <w:lang w:eastAsia="zh-CN"/>
        </w:rPr>
        <w:t xml:space="preserve">】</w:t>
      </w:r>
      <w:r/>
    </w:p>
    <w:p>
      <w:pPr>
        <w:ind w:firstLine="241"/>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（三）技术方案（47分）</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（1）供货方案（12分）</w:t>
      </w:r>
      <w:r/>
    </w:p>
    <w:p>
      <w:pPr>
        <w:ind w:firstLine="482"/>
        <w:rPr>
          <w:rFonts w:hint="eastAsia"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投标人针对本项目提供的供货方案包括：①投标人针对本项目提出的供货方案（4分）、②投标人针对本项目提出的供货时间保证措施（4分）、③投标人针对本项目提出的供货组织及运输安排方案（4分）。</w:t>
      </w:r>
      <w:r>
        <w:rPr>
          <w:rFonts w:hint="eastAsia" w:ascii="宋体" w:hAnsi="宋体" w:cs="宋体"/>
          <w:bCs/>
          <w:color w:val="auto"/>
          <w:szCs w:val="24"/>
          <w:highlight w:val="none"/>
          <w:lang w:eastAsia="zh-CN"/>
        </w:rPr>
        <w:t xml:space="preserve">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3点内容，本项最高得12分。</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（2）项目实施方案及保证措施（8分）</w:t>
      </w:r>
      <w:r/>
    </w:p>
    <w:p>
      <w:pPr>
        <w:ind w:firstLine="482"/>
        <w:rPr>
          <w:rFonts w:hint="eastAsia"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投标人针对本项目提供的供货方案包括：①投标人针对本项目提出的质量保证措施（4分）、②投标人针对本项目提出的质量控制的方法与重点（4分）。</w:t>
      </w:r>
      <w:r>
        <w:rPr>
          <w:rFonts w:hint="eastAsia" w:ascii="宋体" w:hAnsi="宋体" w:cs="宋体"/>
          <w:bCs/>
          <w:color w:val="auto"/>
          <w:szCs w:val="24"/>
          <w:highlight w:val="none"/>
          <w:lang w:eastAsia="zh-CN"/>
        </w:rPr>
        <w:t xml:space="preserve">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2点内容，本项最高得8分。</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（3）培训方案（7分）</w:t>
      </w:r>
      <w:r/>
    </w:p>
    <w:p>
      <w:pPr>
        <w:ind w:firstLine="482"/>
        <w:rPr>
          <w:rFonts w:hint="eastAsia"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投标人针对本项目提供的供货方案包括：①培训日程、培训地点、培训内容等内容（3.5分）、②负责培训的专业人员安排等内容（3.5分）。</w:t>
      </w:r>
      <w:r>
        <w:rPr>
          <w:rFonts w:hint="eastAsia" w:ascii="宋体" w:hAnsi="宋体" w:cs="宋体"/>
          <w:bCs/>
          <w:color w:val="auto"/>
          <w:szCs w:val="24"/>
          <w:highlight w:val="none"/>
          <w:lang w:eastAsia="zh-CN"/>
        </w:rPr>
        <w:t xml:space="preserve">投标人针对上述内容进行阐述，要求阐述内容合理、针对性强、切实可行有效。以上每点内容不存在瑕疵的得3.5分，存在1处瑕疵的得2.5分，存在2处瑕疵的得1.5分，未进行阐述或不满足采购需求或内容存在3处及以上瑕疵的得0分；本项共计2点内容，本项最高得4分。</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（4）售后服务方案（8分）</w:t>
      </w:r>
      <w:r/>
    </w:p>
    <w:p>
      <w:pPr>
        <w:ind w:firstLine="482"/>
        <w:rPr>
          <w:rFonts w:hint="eastAsia"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投标人针对本项目提供的供货方案包括：①售后服务体系（4分）、②售后服务内容（4分）。投标人针对上述内容进行阐述，要求阐述内容合理、针对性强、切实可行有效。</w:t>
      </w:r>
      <w:r>
        <w:rPr>
          <w:rFonts w:hint="eastAsia" w:ascii="宋体" w:hAnsi="宋体" w:cs="宋体"/>
          <w:bCs/>
          <w:color w:val="auto"/>
          <w:szCs w:val="24"/>
          <w:highlight w:val="none"/>
          <w:lang w:eastAsia="zh-CN"/>
        </w:rPr>
        <w:t xml:space="preserve">以上每点内容不存在瑕疵的得4分，存在1处瑕疵的得2分，存在2处瑕疵的得1分，未进行阐述或不满足采购需求或内容存在3处及以上瑕疵的得0分；本项共计2点内容，本项最高得8分。</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（5）专业技术保障及响应补救（12分）</w:t>
      </w:r>
      <w:r/>
    </w:p>
    <w:p>
      <w:pPr>
        <w:ind w:firstLine="482"/>
        <w:rPr>
          <w:rFonts w:hint="eastAsia"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投标人针对本项目提供的供货方案包括：①</w:t>
      </w:r>
      <w:r>
        <w:rPr>
          <w:rFonts w:ascii="宋体" w:hAnsi="宋体" w:cs="宋体"/>
          <w:b/>
          <w:color w:val="auto"/>
          <w:szCs w:val="24"/>
          <w:highlight w:val="none"/>
          <w:lang w:eastAsia="zh-CN"/>
        </w:rPr>
        <w:t xml:space="preserve">出现问题后的</w:t>
      </w:r>
      <w:r>
        <w:rPr>
          <w:rFonts w:hint="eastAsia" w:ascii="宋体" w:hAnsi="宋体" w:cs="宋体"/>
          <w:b/>
          <w:color w:val="auto"/>
          <w:szCs w:val="24"/>
          <w:highlight w:val="none"/>
          <w:lang w:eastAsia="zh-CN"/>
        </w:rPr>
        <w:t xml:space="preserve">解决方案（4分）、②专业技术人员保障方案（4分）、③响应时间及补救措施（4分）。</w:t>
      </w:r>
      <w:r>
        <w:rPr>
          <w:rFonts w:hint="eastAsia" w:ascii="宋体" w:hAnsi="宋体" w:cs="宋体"/>
          <w:bCs/>
          <w:color w:val="auto"/>
          <w:szCs w:val="24"/>
          <w:highlight w:val="none"/>
          <w:lang w:eastAsia="zh-CN"/>
        </w:rPr>
        <w:t xml:space="preserve">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3点内容，本项最高得12分。</w:t>
      </w:r>
      <w:r/>
    </w:p>
    <w:p>
      <w:pPr>
        <w:ind w:firstLine="480"/>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rPr>
          <w:color w:val="auto"/>
          <w:highlight w:val="none"/>
          <w:lang w:eastAsia="zh-CN"/>
        </w:rPr>
      </w:pPr>
      <w:r>
        <w:rPr>
          <w:color w:val="auto"/>
          <w:highlight w:val="none"/>
          <w:lang w:eastAsia="zh-CN"/>
        </w:rPr>
      </w:r>
      <w:r/>
    </w:p>
    <w:p>
      <w:pPr>
        <w:ind w:firstLine="0"/>
        <w:spacing w:line="240" w:lineRule="auto"/>
        <w:rPr>
          <w:rFonts w:hint="eastAsia" w:asciiTheme="majorHAnsi" w:hAnsiTheme="majorHAnsi" w:cstheme="majorBidi"/>
          <w:b/>
          <w:bCs/>
          <w:color w:val="auto"/>
          <w:sz w:val="32"/>
          <w:szCs w:val="32"/>
          <w:highlight w:val="none"/>
          <w:lang w:eastAsia="zh-CN"/>
        </w:rPr>
      </w:pPr>
      <w:r/>
      <w:bookmarkStart w:id="30" w:name="_Toc161316670"/>
      <w:r/>
      <w:bookmarkStart w:id="31" w:name="_Toc101981935"/>
      <w:r>
        <w:rPr>
          <w:color w:val="auto"/>
          <w:highlight w:val="none"/>
          <w:lang w:eastAsia="zh-CN"/>
        </w:rPr>
        <w:br w:type="page" w:clear="all"/>
      </w:r>
      <w:r/>
    </w:p>
    <w:p>
      <w:pPr>
        <w:pStyle w:val="902"/>
        <w:rPr>
          <w:rFonts w:hint="eastAsia"/>
          <w:color w:val="auto"/>
          <w:highlight w:val="none"/>
          <w:lang w:eastAsia="zh-CN"/>
        </w:rPr>
      </w:pPr>
      <w:r>
        <w:rPr>
          <w:rFonts w:hint="eastAsia"/>
          <w:color w:val="auto"/>
          <w:highlight w:val="none"/>
          <w:lang w:eastAsia="zh-CN"/>
        </w:rPr>
        <w:t xml:space="preserve">附件二：投标文件格式</w:t>
      </w:r>
      <w:bookmarkEnd w:id="30"/>
      <w:r/>
      <w:bookmarkEnd w:id="31"/>
      <w: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center"/>
        <w:spacing w:line="240" w:lineRule="auto"/>
        <w:widowControl w:val="off"/>
        <w:rPr>
          <w:rFonts w:hint="eastAsia"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 xml:space="preserve">项目</w:t>
      </w:r>
      <w:r/>
    </w:p>
    <w:p>
      <w:pPr>
        <w:ind w:firstLine="0"/>
        <w:jc w:val="both"/>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r>
      <w:r/>
    </w:p>
    <w:p>
      <w:pPr>
        <w:ind w:firstLine="0"/>
        <w:jc w:val="center"/>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 xml:space="preserve">投标文件</w:t>
      </w:r>
      <w:r/>
    </w:p>
    <w:p>
      <w:pPr>
        <w:ind w:firstLine="0"/>
        <w:jc w:val="center"/>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采购编号</w:t>
      </w:r>
      <w:r>
        <w:rPr>
          <w:rFonts w:hint="eastAsia" w:ascii="宋体" w:hAnsi="宋体" w:eastAsia="等线" w:cs="宋体"/>
          <w:b/>
          <w:color w:val="auto"/>
          <w:sz w:val="30"/>
          <w:highlight w:val="none"/>
          <w:lang w:eastAsia="zh-CN"/>
        </w:rPr>
        <w:t xml:space="preserve">：</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hint="eastAsia" w:ascii="宋体" w:hAnsi="宋体" w:eastAsia="等线" w:cs="宋体"/>
          <w:b/>
          <w:color w:val="auto"/>
          <w:sz w:val="28"/>
          <w:highlight w:val="none"/>
          <w:lang w:eastAsia="zh-CN"/>
        </w:rPr>
      </w:pPr>
      <w:r>
        <w:rPr>
          <w:rFonts w:hint="eastAsia" w:ascii="宋体" w:hAnsi="宋体" w:eastAsia="等线" w:cs="宋体"/>
          <w:b/>
          <w:color w:val="auto"/>
          <w:sz w:val="28"/>
          <w:highlight w:val="none"/>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项目</w:t>
      </w:r>
      <w:r>
        <w:rPr>
          <w:rFonts w:hint="eastAsia" w:ascii="宋体" w:hAnsi="宋体" w:eastAsia="等线" w:cs="宋体"/>
          <w:b/>
          <w:color w:val="auto"/>
          <w:sz w:val="30"/>
          <w:highlight w:val="none"/>
          <w:lang w:eastAsia="zh-CN"/>
        </w:rPr>
        <w:t xml:space="preserve">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hint="eastAsia" w:ascii="宋体" w:hAnsi="宋体" w:eastAsia="等线" w:cs="宋体"/>
          <w:b/>
          <w:bCs/>
          <w:color w:val="auto"/>
          <w:sz w:val="30"/>
          <w:szCs w:val="30"/>
          <w:highlight w:val="none"/>
          <w:u w:val="single"/>
          <w:lang w:eastAsia="zh-CN"/>
        </w:rPr>
      </w:pPr>
      <w:r>
        <w:rPr>
          <w:rFonts w:hint="eastAsia" w:ascii="宋体" w:hAnsi="宋体" w:eastAsia="等线" w:cs="宋体"/>
          <w:b/>
          <w:bCs/>
          <w:color w:val="auto"/>
          <w:sz w:val="30"/>
          <w:szCs w:val="30"/>
          <w:highlight w:val="none"/>
          <w:u w:val="single"/>
          <w:lang w:eastAsia="zh-CN"/>
        </w:rPr>
      </w:r>
      <w:r/>
    </w:p>
    <w:p>
      <w:pPr>
        <w:ind w:firstLine="0"/>
        <w:jc w:val="both"/>
        <w:spacing w:line="240" w:lineRule="auto"/>
        <w:widowControl w:val="off"/>
        <w:rPr>
          <w:rFonts w:hint="eastAsia"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分</w:t>
      </w:r>
      <w:r>
        <w:rPr>
          <w:rFonts w:hint="eastAsia" w:ascii="宋体" w:hAnsi="宋体" w:eastAsia="等线" w:cs="宋体"/>
          <w:color w:val="auto"/>
          <w:sz w:val="30"/>
          <w:szCs w:val="30"/>
          <w:highlight w:val="none"/>
          <w:lang w:eastAsia="zh-CN"/>
        </w:rPr>
        <w:t xml:space="preserve">开标，此时间以前不得开封；</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供应商：</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（盖公章）</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法定代表人或</w:t>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日</w:t>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spacing w:line="240" w:lineRule="auto"/>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t xml:space="preserve">（一）投标函（格式）：</w:t>
      </w:r>
      <w:r/>
    </w:p>
    <w:p>
      <w:pPr>
        <w:ind w:firstLine="0"/>
        <w:jc w:val="center"/>
        <w:spacing w:after="240"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0"/>
        <w:jc w:val="both"/>
        <w:spacing w:before="4"/>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致：</w:t>
      </w:r>
      <w:r>
        <w:rPr>
          <w:rFonts w:hint="eastAsia" w:ascii="宋体" w:hAnsi="宋体" w:cs="Times New Roman"/>
          <w:color w:val="auto"/>
          <w:szCs w:val="24"/>
          <w:highlight w:val="none"/>
          <w:lang w:eastAsia="zh-CN"/>
        </w:rPr>
        <w:t xml:space="preserve">无锡智邦工程咨询有限公司</w:t>
      </w:r>
      <w:r/>
    </w:p>
    <w:p>
      <w:pPr>
        <w:ind w:firstLine="480"/>
        <w:spacing w:line="440" w:lineRule="exact"/>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我方收到贵方编号招标文件，经仔细阅读和研究，我方决定参加此次     项目的投标。</w:t>
      </w:r>
      <w:r/>
    </w:p>
    <w:p>
      <w:pPr>
        <w:numPr>
          <w:ilvl w:val="0"/>
          <w:numId w:val="10"/>
        </w:numPr>
        <w:ind w:left="0" w:firstLine="480"/>
        <w:spacing w:line="440" w:lineRule="exact"/>
        <w:tabs>
          <w:tab w:val="left" w:pos="315" w:leader="none"/>
          <w:tab w:val="left" w:pos="840" w:leader="none"/>
          <w:tab w:val="left" w:pos="945" w:leader="none"/>
          <w:tab w:val="left" w:pos="1050" w:leader="none"/>
          <w:tab w:val="left" w:pos="1260" w:leader="none"/>
        </w:tabs>
        <w:rPr>
          <w:rFonts w:hint="eastAsia" w:ascii="宋体" w:hAnsi="宋体" w:cs="宋体"/>
          <w:b/>
          <w:bCs/>
          <w:color w:val="auto"/>
          <w:highlight w:val="none"/>
          <w:lang w:eastAsia="zh-CN"/>
        </w:rPr>
      </w:pPr>
      <w:r>
        <w:rPr>
          <w:rFonts w:hint="eastAsia" w:ascii="宋体" w:hAnsi="宋体" w:cs="宋体"/>
          <w:bCs/>
          <w:color w:val="auto"/>
          <w:highlight w:val="none"/>
          <w:lang w:eastAsia="zh-CN"/>
        </w:rPr>
        <w:t xml:space="preserve">我方愿意按照招标文件的一切要求，提供本项目的投标，投标总价见《开标一览表》。</w:t>
      </w:r>
      <w:r/>
    </w:p>
    <w:p>
      <w:pPr>
        <w:numPr>
          <w:ilvl w:val="0"/>
          <w:numId w:val="10"/>
        </w:numPr>
        <w:ind w:left="0" w:firstLine="480"/>
        <w:spacing w:line="440" w:lineRule="exact"/>
        <w:tabs>
          <w:tab w:val="left" w:pos="315" w:leader="none"/>
          <w:tab w:val="left" w:pos="840" w:leader="none"/>
          <w:tab w:val="left" w:pos="945" w:leader="none"/>
          <w:tab w:val="left" w:pos="1050" w:leader="none"/>
          <w:tab w:val="left" w:pos="1260" w:leader="none"/>
        </w:tabs>
        <w:rPr>
          <w:rFonts w:hint="eastAsia" w:ascii="宋体" w:hAnsi="宋体" w:cs="宋体"/>
          <w:b/>
          <w:bCs/>
          <w:color w:val="auto"/>
          <w:highlight w:val="none"/>
          <w:lang w:eastAsia="zh-CN"/>
        </w:rPr>
      </w:pPr>
      <w:r>
        <w:rPr>
          <w:rFonts w:hint="eastAsia" w:ascii="宋体" w:hAnsi="宋体" w:cs="宋体"/>
          <w:bCs/>
          <w:color w:val="auto"/>
          <w:highlight w:val="none"/>
          <w:lang w:eastAsia="zh-CN"/>
        </w:rPr>
        <w:t xml:space="preserve">我方愿意提供</w:t>
      </w:r>
      <w:r>
        <w:rPr>
          <w:rFonts w:hint="eastAsia" w:ascii="宋体" w:hAnsi="宋体" w:cs="Times New Roman"/>
          <w:color w:val="auto"/>
          <w:szCs w:val="24"/>
          <w:highlight w:val="none"/>
          <w:lang w:eastAsia="zh-CN"/>
        </w:rPr>
        <w:t xml:space="preserve">无锡智邦工程咨询有限公司</w:t>
      </w:r>
      <w:r>
        <w:rPr>
          <w:rFonts w:hint="eastAsia" w:ascii="宋体" w:hAnsi="宋体" w:cs="宋体"/>
          <w:bCs/>
          <w:color w:val="auto"/>
          <w:highlight w:val="none"/>
          <w:lang w:eastAsia="zh-CN"/>
        </w:rPr>
        <w:t xml:space="preserve">在招标文件中要求的文件、资料。</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我方同意按招标文件中的规定，本投标文件投标的有效期限为投标截止之日起90天。</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如果我方的投标文件被接受，我方将履行招标文件中规定的每一项要求，按期、按质、按量，完成任务。</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我方认为贵方有权决定中标者。</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我方愿意遵守《中华人民共和国政府采购法》，并按《中华人民共和国民法典》、财政部《政府采购货物和服务招标投标管理办法》</w:t>
      </w:r>
      <w:r>
        <w:rPr>
          <w:rFonts w:hint="eastAsia" w:ascii="宋体" w:hAnsi="宋体" w:cs="宋体"/>
          <w:color w:val="auto"/>
          <w:highlight w:val="none"/>
          <w:lang w:eastAsia="zh-CN"/>
        </w:rPr>
        <w:t xml:space="preserve">和</w:t>
      </w:r>
      <w:r>
        <w:rPr>
          <w:rFonts w:hint="eastAsia" w:ascii="宋体" w:hAnsi="宋体" w:cs="宋体"/>
          <w:bCs/>
          <w:color w:val="auto"/>
          <w:highlight w:val="none"/>
          <w:lang w:eastAsia="zh-CN"/>
        </w:rPr>
        <w:t xml:space="preserve">合同条款履行自己的全部责任。</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我方认可并遵守招标文件的所有规定，不存在对招标文件有质疑。</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如我方在投标截止期后撤回投标及中标后拒绝遵守投标承诺或拒绝在规定的时间内与采购人签订合同，我方愿接受相关处罚。</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bCs/>
          <w:color w:val="auto"/>
          <w:highlight w:val="none"/>
          <w:lang w:eastAsia="zh-CN"/>
        </w:rPr>
        <w:t xml:space="preserve">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r>
      <w:r/>
    </w:p>
    <w:p>
      <w:pPr>
        <w:ind w:firstLine="480"/>
        <w:spacing w:line="410" w:lineRule="exact"/>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投标供应商（盖章）：     </w:t>
      </w:r>
      <w:r/>
    </w:p>
    <w:p>
      <w:pPr>
        <w:ind w:firstLine="480"/>
        <w:spacing w:line="410" w:lineRule="exact"/>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法定代表人或法定代表人授权代表签字或盖章：</w:t>
      </w:r>
      <w:r/>
    </w:p>
    <w:p>
      <w:pPr>
        <w:ind w:firstLine="480"/>
        <w:spacing w:line="410" w:lineRule="exact"/>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电话：                              传真：</w:t>
      </w:r>
      <w:r/>
    </w:p>
    <w:p>
      <w:pPr>
        <w:ind w:firstLine="240"/>
        <w:jc w:val="both"/>
        <w:spacing w:line="240" w:lineRule="auto"/>
        <w:widowControl w:val="off"/>
        <w:rPr>
          <w:rFonts w:hint="eastAsia" w:ascii="等线" w:hAnsi="等线" w:eastAsia="等线"/>
          <w:color w:val="auto"/>
          <w:sz w:val="21"/>
          <w:highlight w:val="none"/>
          <w:lang w:eastAsia="zh-CN"/>
        </w:rPr>
      </w:pPr>
      <w:r>
        <w:rPr>
          <w:rFonts w:hint="eastAsia" w:ascii="宋体" w:hAnsi="宋体" w:cs="宋体"/>
          <w:bCs/>
          <w:color w:val="auto"/>
          <w:highlight w:val="none"/>
          <w:lang w:eastAsia="zh-CN"/>
        </w:rPr>
        <w:t xml:space="preserve">通讯地址：                          邮编：</w: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b/>
          <w:bCs/>
          <w:color w:val="auto"/>
          <w:sz w:val="30"/>
          <w:szCs w:val="30"/>
          <w:highlight w:val="none"/>
          <w:lang w:eastAsia="zh-CN"/>
        </w:rPr>
      </w:pPr>
      <w:r/>
      <w:bookmarkStart w:id="32" w:name="校园网系统报价和服务承诺表（格式）"/>
      <w:r/>
      <w:bookmarkEnd w:id="32"/>
      <w:r/>
      <w:bookmarkStart w:id="33" w:name="（报价人）法定代表人授权书（格式）"/>
      <w:r/>
      <w:bookmarkEnd w:id="33"/>
      <w:r>
        <w:rPr>
          <w:rFonts w:ascii="宋体" w:hAnsi="宋体"/>
          <w:b/>
          <w:bCs/>
          <w:color w:val="auto"/>
          <w:sz w:val="30"/>
          <w:szCs w:val="30"/>
          <w:highlight w:val="none"/>
          <w:lang w:eastAsia="zh-CN"/>
        </w:rPr>
        <w:br w:type="page" w:clear="all"/>
      </w:r>
      <w:r/>
    </w:p>
    <w:p>
      <w:pPr>
        <w:ind w:firstLine="0"/>
        <w:jc w:val="both"/>
        <w:spacing w:line="240" w:lineRule="auto"/>
        <w:widowControl w:val="off"/>
        <w:rPr>
          <w:rFonts w:hint="eastAsia" w:ascii="宋体" w:hAnsi="宋体"/>
          <w:b/>
          <w:bCs/>
          <w:color w:val="auto"/>
          <w:szCs w:val="24"/>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widowControl w:val="off"/>
        <w:rPr>
          <w:rFonts w:hint="eastAsia" w:ascii="宋体" w:hAnsi="宋体" w:cs="Times New Roman"/>
          <w:b/>
          <w:bCs/>
          <w:color w:val="auto"/>
          <w:szCs w:val="24"/>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采购编号：</w:t>
      </w:r>
      <w:r>
        <w:rPr>
          <w:rFonts w:hint="eastAsia" w:ascii="宋体" w:hAnsi="宋体" w:cs="Times New Roman"/>
          <w:bCs/>
          <w:color w:val="auto"/>
          <w:szCs w:val="24"/>
          <w:highlight w:val="none"/>
          <w:lang w:eastAsia="zh-CN"/>
        </w:rPr>
        <w:t xml:space="preserve"> </w:t>
      </w:r>
      <w:r/>
    </w:p>
    <w:p>
      <w:pPr>
        <w:ind w:firstLine="0"/>
        <w:jc w:val="center"/>
        <w:widowControl w:val="off"/>
        <w:tabs>
          <w:tab w:val="left" w:pos="6300" w:leader="none"/>
        </w:tabs>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widowControl w:val="off"/>
        <w:rPr>
          <w:rFonts w:hint="eastAsia"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w:t>
      </w:r>
      <w:r>
        <w:rPr>
          <w:rFonts w:hint="eastAsia" w:ascii="宋体" w:hAnsi="宋体" w:cs="Times New Roman"/>
          <w:color w:val="auto"/>
          <w:szCs w:val="24"/>
          <w:highlight w:val="none"/>
          <w:u w:val="single"/>
          <w:lang w:eastAsia="zh-CN"/>
        </w:rPr>
        <w:t xml:space="preserve">无锡智邦工程咨询有限公司</w:t>
      </w:r>
      <w:r>
        <w:rPr>
          <w:rFonts w:hint="eastAsia" w:ascii="宋体" w:hAnsi="宋体" w:cs="Times New Roman"/>
          <w:bCs/>
          <w:color w:val="auto"/>
          <w:szCs w:val="24"/>
          <w:highlight w:val="none"/>
          <w:u w:val="single"/>
          <w:lang w:eastAsia="zh-CN"/>
        </w:rPr>
        <w:t xml:space="preserve"> ：</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愿针对</w:t>
      </w:r>
      <w:r>
        <w:rPr>
          <w:rFonts w:ascii="Times New Roman" w:hAnsi="Times New Roman" w:cs="Times New Roman"/>
          <w:bCs/>
          <w:color w:val="auto"/>
          <w:szCs w:val="24"/>
          <w:highlight w:val="none"/>
          <w:lang w:eastAsia="zh-CN"/>
        </w:rPr>
        <w:t xml:space="preserve">本次项目</w:t>
      </w:r>
      <w:r>
        <w:rPr>
          <w:rFonts w:ascii="宋体" w:hAnsi="宋体" w:cs="Times New Roman"/>
          <w:bCs/>
          <w:color w:val="auto"/>
          <w:szCs w:val="24"/>
          <w:highlight w:val="none"/>
          <w:lang w:eastAsia="zh-CN"/>
        </w:rPr>
        <w:t xml:space="preserve">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（一）</w:t>
      </w:r>
      <w:r>
        <w:rPr>
          <w:rFonts w:ascii="宋体" w:hAnsi="宋体" w:cs="Times New Roman"/>
          <w:bCs/>
          <w:color w:val="auto"/>
          <w:szCs w:val="24"/>
          <w:highlight w:val="none"/>
          <w:lang w:eastAsia="zh-CN"/>
        </w:rPr>
        <w:t xml:space="preserve">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（二）</w:t>
      </w:r>
      <w:r>
        <w:rPr>
          <w:rFonts w:ascii="宋体" w:hAnsi="宋体" w:cs="Times New Roman"/>
          <w:bCs/>
          <w:color w:val="auto"/>
          <w:szCs w:val="24"/>
          <w:highlight w:val="none"/>
          <w:lang w:eastAsia="zh-CN"/>
        </w:rPr>
        <w:t xml:space="preserve">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（三）</w:t>
      </w:r>
      <w:r>
        <w:rPr>
          <w:rFonts w:ascii="宋体" w:hAnsi="宋体" w:cs="Times New Roman"/>
          <w:bCs/>
          <w:color w:val="auto"/>
          <w:szCs w:val="24"/>
          <w:highlight w:val="none"/>
          <w:lang w:eastAsia="zh-CN"/>
        </w:rPr>
        <w:t xml:space="preserve">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（四）</w:t>
      </w:r>
      <w:r>
        <w:rPr>
          <w:rFonts w:ascii="宋体" w:hAnsi="宋体" w:cs="Times New Roman"/>
          <w:bCs/>
          <w:color w:val="auto"/>
          <w:szCs w:val="24"/>
          <w:highlight w:val="none"/>
          <w:lang w:eastAsia="zh-CN"/>
        </w:rPr>
        <w:t xml:space="preserve">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（五）</w:t>
      </w:r>
      <w:r>
        <w:rPr>
          <w:rFonts w:ascii="宋体" w:hAnsi="宋体" w:cs="Times New Roman"/>
          <w:bCs/>
          <w:color w:val="auto"/>
          <w:szCs w:val="24"/>
          <w:highlight w:val="none"/>
          <w:lang w:eastAsia="zh-CN"/>
        </w:rPr>
        <w:t xml:space="preserve">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（六）</w:t>
      </w:r>
      <w:r>
        <w:rPr>
          <w:rFonts w:hint="eastAsia"/>
          <w:color w:val="auto"/>
          <w:highlight w:val="none"/>
          <w:lang w:eastAsia="zh-CN"/>
        </w:rPr>
        <w:t xml:space="preserve"> </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愿意承担由此而产生的一切后果。</w:t>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firstLine="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firstLine="0"/>
        <w:jc w:val="both"/>
        <w:spacing w:line="240" w:lineRule="auto"/>
        <w:widowControl w:val="off"/>
        <w:rPr>
          <w:rFonts w:hint="eastAsia" w:ascii="黑体" w:hAnsi="宋体" w:eastAsia="黑体"/>
          <w:bCs/>
          <w:color w:val="auto"/>
          <w:szCs w:val="24"/>
          <w:highlight w:val="none"/>
          <w:lang w:eastAsia="zh-CN"/>
        </w:rPr>
      </w:pPr>
      <w:r>
        <w:rPr>
          <w:rFonts w:hint="eastAsia" w:ascii="等线" w:hAnsi="等线" w:eastAsia="等线"/>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rFonts w:hint="eastAsia" w:ascii="宋体" w:hAnsi="宋体" w:cs="宋体"/>
          <w:color w:val="auto"/>
          <w:szCs w:val="24"/>
          <w:highlight w:val="none"/>
          <w:lang w:eastAsia="zh-CN"/>
        </w:rPr>
      </w:pPr>
      <w:r>
        <w:rPr>
          <w:rFonts w:ascii="宋体" w:hAnsi="宋体" w:cs="宋体"/>
          <w:color w:val="auto"/>
          <w:szCs w:val="24"/>
          <w:highlight w:val="none"/>
          <w:lang w:eastAsia="zh-CN"/>
        </w:rPr>
        <w:br w:type="page" w:clear="all"/>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jc w:val="center"/>
        <w:widowControl w:val="off"/>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color w:val="auto"/>
          <w:szCs w:val="24"/>
          <w:highlight w:val="none"/>
          <w:u w:val="single"/>
          <w:lang w:eastAsia="zh-CN"/>
        </w:rPr>
      </w:pPr>
      <w:r>
        <w:rPr>
          <w:rFonts w:hint="eastAsia" w:ascii="宋体" w:hAnsi="宋体" w:cs="Times New Roman"/>
          <w:color w:val="auto"/>
          <w:szCs w:val="24"/>
          <w:highlight w:val="none"/>
          <w:u w:val="single"/>
          <w:lang w:eastAsia="zh-CN"/>
        </w:rPr>
        <w:t xml:space="preserve">无锡智邦工程咨询有限公司</w:t>
      </w:r>
      <w:r>
        <w:rPr>
          <w:rFonts w:hint="eastAsia" w:ascii="宋体" w:hAnsi="宋体" w:cs="宋体"/>
          <w:color w:val="auto"/>
          <w:szCs w:val="24"/>
          <w:highlight w:val="none"/>
          <w:u w:val="single"/>
          <w:lang w:eastAsia="zh-CN"/>
        </w:rPr>
        <w:t xml:space="preserve">：</w:t>
      </w:r>
      <w:r>
        <w:rPr>
          <w:rFonts w:ascii="宋体" w:hAnsi="宋体" w:cs="宋体"/>
          <w:color w:val="auto"/>
          <w:szCs w:val="24"/>
          <w:highlight w:val="none"/>
          <w:u w:val="single"/>
          <w:lang w:eastAsia="zh-CN"/>
        </w:rPr>
        <w:t xml:space="preserve">  </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系中华人民共和国合法企业。</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widowControl w:val="off"/>
        <w:rPr>
          <w:rFonts w:hint="eastAsia" w:ascii="宋体" w:hAnsi="宋体" w:cs="宋体"/>
          <w:b/>
          <w:bCs/>
          <w:color w:val="auto"/>
          <w:szCs w:val="24"/>
          <w:highlight w:val="none"/>
          <w:u w:val="single"/>
          <w:lang w:eastAsia="zh-CN"/>
        </w:rPr>
      </w:pPr>
      <w:r>
        <w:rPr>
          <w:rFonts w:hint="eastAsia" w:ascii="宋体" w:hAnsi="宋体" w:cs="宋体"/>
          <w:b/>
          <w:bCs/>
          <w:color w:val="auto"/>
          <w:szCs w:val="24"/>
          <w:highlight w:val="none"/>
          <w:lang w:eastAsia="zh-CN"/>
        </w:rPr>
        <w:t xml:space="preserve">被授权人签名：</w:t>
      </w:r>
      <w:r>
        <w:rPr>
          <w:rFonts w:hint="eastAsia" w:ascii="宋体" w:hAnsi="宋体" w:cs="宋体"/>
          <w:b/>
          <w:bCs/>
          <w:color w:val="auto"/>
          <w:szCs w:val="24"/>
          <w:highlight w:val="none"/>
          <w:u w:val="single"/>
          <w:lang w:eastAsia="zh-CN"/>
        </w:rPr>
        <w:t xml:space="preserve">                </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r/>
    </w:p>
    <w:p>
      <w:pPr>
        <w:ind w:firstLine="432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供应商法定代表人身份证扫描件：</w:t>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2"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1" o:spid="_x0000_s1"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21635" cy="1584960"/>
                <wp:effectExtent l="0" t="0" r="12065" b="15240"/>
                <wp:docPr id="3"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2" o:spid="_x0000_s2"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highlight w:val="none"/>
          <w:lang w:eastAsia="zh-CN"/>
        </w:rPr>
        <w:t xml:space="preserve">       </w:t>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黑体" w:hAnsi="宋体" w:eastAsia="黑体" w:cs="Times New Roman"/>
          <w:bCs/>
          <w:color w:val="auto"/>
          <w:szCs w:val="24"/>
          <w:highlight w:val="none"/>
          <w:lang w:eastAsia="zh-CN"/>
        </w:rPr>
        <w:outlineLvl w:val="0"/>
      </w:pPr>
      <w:r>
        <w:rPr>
          <w:rFonts w:hint="eastAsia" w:ascii="黑体" w:hAnsi="宋体" w:eastAsia="黑体" w:cs="Times New Roman"/>
          <w:bCs/>
          <w:color w:val="auto"/>
          <w:szCs w:val="24"/>
          <w:highlight w:val="none"/>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highlight w:val="none"/>
          <w:lang w:eastAsia="zh-CN"/>
        </w:rPr>
      </w:pPr>
      <w:r>
        <w:rPr>
          <w:rFonts w:ascii="Calibri" w:hAnsi="Calibri" w:cs="Times New Roman"/>
          <w:color w:val="auto"/>
          <w:sz w:val="21"/>
          <w:highlight w:val="none"/>
          <w:lang w:eastAsia="zh-CN"/>
        </w:rPr>
      </w:r>
      <w:r/>
    </w:p>
    <w:p>
      <w:pPr>
        <w:ind w:firstLine="0"/>
        <w:jc w:val="both"/>
        <w:spacing w:line="240" w:lineRule="auto"/>
        <w:widowControl w:val="off"/>
        <w:rPr>
          <w:rFonts w:hint="eastAsia"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4"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3" o:spid="_x0000_s3"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866390" cy="1584960"/>
                <wp:effectExtent l="0" t="0" r="10160" b="15240"/>
                <wp:docPr id="5"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4" o:spid="_x0000_s4"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r/>
    </w:p>
    <w:p>
      <w:pPr>
        <w:ind w:firstLine="0"/>
        <w:spacing w:before="4"/>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spacing w:before="240" w:line="240" w:lineRule="auto"/>
        <w:widowControl w:val="off"/>
        <w:rPr>
          <w:rFonts w:hint="eastAsia"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 xml:space="preserve">承诺书一（格式）</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    （采购人名称）           </w:t>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color w:val="auto"/>
          <w:szCs w:val="24"/>
          <w:highlight w:val="none"/>
          <w:lang w:eastAsia="zh-CN"/>
        </w:rPr>
        <w:t xml:space="preserve">与其他潜在供应商不存在单位负责人为同一人或者存在直接控股、管理关系的情形</w:t>
      </w:r>
      <w:r>
        <w:rPr>
          <w:rFonts w:hint="eastAsia" w:ascii="宋体" w:hAnsi="宋体" w:cs="宋体"/>
          <w:color w:val="auto"/>
          <w:szCs w:val="24"/>
          <w:highlight w:val="none"/>
          <w:lang w:eastAsia="zh-CN"/>
        </w:rPr>
        <w:t xml:space="preserve">，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right="480" w:firstLine="324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right"/>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spacing w:line="24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spacing w:line="240" w:lineRule="auto"/>
        <w:rPr>
          <w:rFonts w:hint="eastAsia"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承诺书二（格式）</w:t>
      </w:r>
      <w:r/>
    </w:p>
    <w:p>
      <w:pPr>
        <w:ind w:firstLine="0"/>
        <w:jc w:val="center"/>
        <w:spacing w:line="240" w:lineRule="auto"/>
        <w:widowControl w:val="off"/>
        <w:rPr>
          <w:rFonts w:hint="eastAsia"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 xml:space="preserve">廉洁承诺书</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我们若违反上述承诺，自愿接受取消投标资格及其他任何形式的处理。</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right="960" w:firstLine="0"/>
        <w:jc w:val="center"/>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right"/>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center"/>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开标一览表</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911"/>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7"/>
        <w:gridCol w:w="6177"/>
      </w:tblGrid>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2026年DNA实验室试剂和耗材采购</w:t>
            </w:r>
            <w:r/>
          </w:p>
        </w:tc>
      </w:tr>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投标报价（人民币元）</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大写：</w:t>
            </w:r>
            <w:r/>
          </w:p>
          <w:p>
            <w:pPr>
              <w:ind w:firstLine="0"/>
              <w:jc w:val="both"/>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r/>
          </w:p>
        </w:tc>
      </w:tr>
      <w:tr>
        <w:trPr>
          <w:cantSplit/>
          <w:trHeight w:val="1171"/>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供货期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tc>
      </w:tr>
      <w:tr>
        <w:trPr>
          <w:cantSplit/>
          <w:trHeight w:val="9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firstLine="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质保期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1200"/>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tc>
      </w:tr>
    </w:tbl>
    <w:p>
      <w:pPr>
        <w:ind w:firstLine="0"/>
        <w:jc w:val="both"/>
        <w:spacing w:before="240"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spacing w:line="240" w:lineRule="auto"/>
        <w:widowControl w:val="off"/>
        <w:rPr>
          <w:rFonts w:hint="eastAsia" w:ascii="宋体" w:hAnsi="宋体"/>
          <w:b/>
          <w:bCs/>
          <w:color w:val="auto"/>
          <w:szCs w:val="24"/>
          <w:highlight w:val="none"/>
          <w:lang w:eastAsia="zh-CN"/>
        </w:rPr>
      </w:pPr>
      <w:r>
        <w:rPr>
          <w:rFonts w:hint="eastAsia" w:ascii="宋体" w:hAnsi="宋体"/>
          <w:b/>
          <w:bCs/>
          <w:color w:val="auto"/>
          <w:szCs w:val="24"/>
          <w:highlight w:val="none"/>
          <w:lang w:eastAsia="zh-CN"/>
        </w:rPr>
        <w:t xml:space="preserve">1.开标</w:t>
      </w:r>
      <w:r>
        <w:rPr>
          <w:rFonts w:ascii="宋体" w:hAnsi="宋体"/>
          <w:b/>
          <w:bCs/>
          <w:color w:val="auto"/>
          <w:szCs w:val="24"/>
          <w:highlight w:val="none"/>
          <w:lang w:eastAsia="zh-CN"/>
        </w:rPr>
        <w:t xml:space="preserve">一览表中的内容应与</w:t>
      </w:r>
      <w:r>
        <w:rPr>
          <w:rFonts w:hint="eastAsia" w:ascii="宋体" w:hAnsi="宋体"/>
          <w:b/>
          <w:bCs/>
          <w:color w:val="auto"/>
          <w:szCs w:val="24"/>
          <w:highlight w:val="none"/>
          <w:lang w:eastAsia="zh-CN"/>
        </w:rPr>
        <w:t xml:space="preserve">投标</w:t>
      </w:r>
      <w:r>
        <w:rPr>
          <w:rFonts w:ascii="宋体" w:hAnsi="宋体"/>
          <w:b/>
          <w:bCs/>
          <w:color w:val="auto"/>
          <w:szCs w:val="24"/>
          <w:highlight w:val="none"/>
          <w:lang w:eastAsia="zh-CN"/>
        </w:rPr>
        <w:t xml:space="preserve">函内容一致，否则评标时一律按</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一览表中内容为准，</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一览表中必须盖章或签字</w:t>
      </w:r>
      <w:r>
        <w:rPr>
          <w:rFonts w:hint="eastAsia" w:ascii="宋体" w:hAnsi="宋体"/>
          <w:b/>
          <w:bCs/>
          <w:color w:val="auto"/>
          <w:szCs w:val="24"/>
          <w:highlight w:val="none"/>
          <w:lang w:eastAsia="zh-CN"/>
        </w:rPr>
        <w:t xml:space="preserve">。</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spacing w:line="240" w:lineRule="auto"/>
        <w:rPr>
          <w:rFonts w:hint="eastAsia" w:ascii="宋体" w:hAnsi="宋体"/>
          <w:color w:val="auto"/>
          <w:szCs w:val="24"/>
          <w:highlight w:val="none"/>
          <w:lang w:eastAsia="zh-CN"/>
        </w:rPr>
      </w:pPr>
      <w:r>
        <w:rPr>
          <w:rFonts w:ascii="宋体" w:hAnsi="宋体"/>
          <w:color w:val="auto"/>
          <w:szCs w:val="24"/>
          <w:highlight w:val="none"/>
          <w:lang w:eastAsia="zh-CN"/>
        </w:rPr>
        <w:br w:type="page" w:clear="all"/>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（六）明细报价表（格式）：</w:t>
      </w:r>
      <w:bookmarkStart w:id="34" w:name="_Hlk104971923"/>
      <w:r/>
      <w:r/>
    </w:p>
    <w:p>
      <w:pPr>
        <w:ind w:firstLine="0"/>
        <w:jc w:val="center"/>
        <w:spacing w:after="240" w:line="240" w:lineRule="auto"/>
        <w:widowControl w:val="off"/>
        <w:rPr>
          <w:rFonts w:ascii="Times New Roman" w:hAnsi="Times New Roman" w:cs="Times New Roman"/>
          <w:b/>
          <w:color w:val="auto"/>
          <w:sz w:val="36"/>
          <w:szCs w:val="20"/>
          <w:highlight w:val="none"/>
          <w:lang w:eastAsia="zh-CN"/>
        </w:rPr>
      </w:pPr>
      <w:r>
        <w:rPr>
          <w:rFonts w:ascii="Times New Roman" w:hAnsi="Times New Roman" w:cs="Times New Roman"/>
          <w:b/>
          <w:color w:val="auto"/>
          <w:sz w:val="36"/>
          <w:szCs w:val="20"/>
          <w:highlight w:val="none"/>
          <w:lang w:eastAsia="zh-CN"/>
        </w:rPr>
      </w:r>
      <w:r/>
    </w:p>
    <w:p>
      <w:pPr>
        <w:ind w:firstLine="0"/>
        <w:jc w:val="center"/>
        <w:spacing w:after="240" w:line="240" w:lineRule="auto"/>
        <w:widowControl w:val="off"/>
        <w:rPr>
          <w:rFonts w:ascii="Times New Roman" w:hAnsi="Times New Roman" w:cs="Times New Roman"/>
          <w:b/>
          <w:color w:val="auto"/>
          <w:sz w:val="36"/>
          <w:szCs w:val="20"/>
          <w:highlight w:val="none"/>
          <w:lang w:eastAsia="zh-CN"/>
        </w:rPr>
      </w:pPr>
      <w:r>
        <w:rPr>
          <w:rFonts w:hint="eastAsia" w:ascii="Times New Roman" w:hAnsi="Times New Roman" w:cs="Times New Roman"/>
          <w:b/>
          <w:color w:val="auto"/>
          <w:sz w:val="36"/>
          <w:szCs w:val="20"/>
          <w:highlight w:val="none"/>
          <w:lang w:eastAsia="zh-CN"/>
        </w:rPr>
        <w:t xml:space="preserve">明细</w:t>
      </w:r>
      <w:r>
        <w:rPr>
          <w:rFonts w:ascii="Times New Roman" w:hAnsi="Times New Roman" w:cs="Times New Roman"/>
          <w:b/>
          <w:color w:val="auto"/>
          <w:sz w:val="36"/>
          <w:szCs w:val="20"/>
          <w:highlight w:val="none"/>
          <w:lang w:eastAsia="zh-CN"/>
        </w:rPr>
        <w:t xml:space="preserve">报价表</w:t>
      </w:r>
      <w:r/>
    </w:p>
    <w:p>
      <w:pPr>
        <w:ind w:firstLine="0"/>
        <w:jc w:val="both"/>
        <w:spacing w:line="240" w:lineRule="auto"/>
        <w:widowControl w:val="off"/>
        <w:rPr>
          <w:rFonts w:ascii="Times New Roman" w:hAnsi="Times New Roman" w:eastAsia="黑体" w:cs="Times New Roman"/>
          <w:bCs/>
          <w:color w:val="auto"/>
          <w:szCs w:val="24"/>
          <w:highlight w:val="none"/>
          <w:lang w:eastAsia="zh-CN"/>
        </w:rPr>
      </w:pPr>
      <w:r>
        <w:rPr>
          <w:rFonts w:hint="eastAsia" w:ascii="宋体" w:hAnsi="宋体" w:cs="宋体"/>
          <w:color w:val="auto"/>
          <w:szCs w:val="24"/>
          <w:highlight w:val="none"/>
          <w:lang w:eastAsia="zh-CN"/>
        </w:rPr>
        <w:t xml:space="preserve">供应商</w:t>
      </w:r>
      <w:r>
        <w:rPr>
          <w:rFonts w:ascii="宋体" w:hAnsi="宋体" w:cs="宋体"/>
          <w:color w:val="auto"/>
          <w:szCs w:val="24"/>
          <w:highlight w:val="none"/>
          <w:lang w:eastAsia="zh-CN"/>
        </w:rPr>
        <w:t xml:space="preserve">名称</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盖章</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                         采购编号</w:t>
      </w:r>
      <w:r>
        <w:rPr>
          <w:rFonts w:ascii="宋体" w:hAnsi="宋体" w:cs="宋体"/>
          <w:color w:val="auto"/>
          <w:szCs w:val="24"/>
          <w:highlight w:val="none"/>
          <w:lang w:eastAsia="zh-CN"/>
        </w:rPr>
        <w:t xml:space="preserve">：</w:t>
      </w:r>
      <w:r/>
    </w:p>
    <w:tbl>
      <w:tblPr>
        <w:tblStyle w:val="911"/>
        <w:tblW w:w="5000" w:type="pct"/>
        <w:jc w:val="center"/>
        <w:tblLayout w:type="fixed"/>
        <w:tblCellMar>
          <w:left w:w="108" w:type="dxa"/>
          <w:top w:w="0" w:type="dxa"/>
          <w:right w:w="108" w:type="dxa"/>
          <w:bottom w:w="0" w:type="dxa"/>
        </w:tblCellMar>
        <w:tblLook w:val="04A0" w:firstRow="1" w:lastRow="0" w:firstColumn="1" w:lastColumn="0" w:noHBand="0" w:noVBand="1"/>
      </w:tblPr>
      <w:tblGrid>
        <w:gridCol w:w="500"/>
        <w:gridCol w:w="2054"/>
        <w:gridCol w:w="2204"/>
        <w:gridCol w:w="963"/>
        <w:gridCol w:w="1199"/>
        <w:gridCol w:w="734"/>
        <w:gridCol w:w="1259"/>
        <w:gridCol w:w="1224"/>
      </w:tblGrid>
      <w:tr>
        <w:trPr>
          <w:jc w:val="center"/>
          <w:trHeight w:val="379"/>
        </w:trPr>
        <w:tc>
          <w:tcPr>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ind w:firstLine="0"/>
              <w:jc w:val="center"/>
              <w:rPr>
                <w:color w:val="auto"/>
                <w:sz w:val="21"/>
                <w:szCs w:val="18"/>
                <w:highlight w:val="none"/>
              </w:rPr>
            </w:pPr>
            <w:r>
              <w:rPr>
                <w:rFonts w:hint="eastAsia"/>
                <w:color w:val="auto"/>
                <w:sz w:val="21"/>
                <w:szCs w:val="1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ind w:firstLine="0"/>
              <w:jc w:val="center"/>
              <w:rPr>
                <w:color w:val="auto"/>
                <w:sz w:val="21"/>
                <w:szCs w:val="18"/>
                <w:highlight w:val="none"/>
              </w:rPr>
            </w:pPr>
            <w:r>
              <w:rPr>
                <w:rFonts w:hint="eastAsia"/>
                <w:color w:val="auto"/>
                <w:sz w:val="21"/>
                <w:szCs w:val="18"/>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ind w:firstLine="0"/>
              <w:jc w:val="center"/>
              <w:rPr>
                <w:color w:val="auto"/>
                <w:sz w:val="21"/>
                <w:szCs w:val="18"/>
                <w:highlight w:val="none"/>
              </w:rPr>
            </w:pPr>
            <w:r>
              <w:rPr>
                <w:rFonts w:hint="eastAsia"/>
                <w:color w:val="auto"/>
                <w:sz w:val="21"/>
                <w:szCs w:val="18"/>
                <w:highlight w:val="none"/>
              </w:rPr>
              <w:t xml:space="preserve">规格</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rPr>
                <w:color w:val="auto"/>
                <w:sz w:val="21"/>
                <w:szCs w:val="18"/>
                <w:highlight w:val="none"/>
              </w:rPr>
            </w:pPr>
            <w:r>
              <w:rPr>
                <w:rFonts w:hint="eastAsia"/>
                <w:color w:val="auto"/>
                <w:sz w:val="21"/>
                <w:szCs w:val="18"/>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rPr>
                <w:color w:val="auto"/>
                <w:sz w:val="21"/>
                <w:szCs w:val="18"/>
                <w:highlight w:val="none"/>
              </w:rPr>
            </w:pPr>
            <w:r>
              <w:rPr>
                <w:color w:val="auto"/>
                <w:sz w:val="21"/>
                <w:szCs w:val="18"/>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rPr>
                <w:color w:val="auto"/>
                <w:sz w:val="21"/>
                <w:szCs w:val="18"/>
                <w:highlight w:val="none"/>
              </w:rPr>
            </w:pPr>
            <w:r>
              <w:rPr>
                <w:color w:val="auto"/>
                <w:sz w:val="21"/>
                <w:szCs w:val="18"/>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ind w:firstLine="0"/>
              <w:jc w:val="center"/>
              <w:rPr>
                <w:color w:val="auto"/>
                <w:sz w:val="21"/>
                <w:szCs w:val="18"/>
                <w:highlight w:val="none"/>
              </w:rPr>
            </w:pPr>
            <w:r>
              <w:rPr>
                <w:color w:val="auto"/>
                <w:sz w:val="21"/>
                <w:szCs w:val="18"/>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ind w:firstLine="0"/>
              <w:jc w:val="center"/>
              <w:rPr>
                <w:color w:val="auto"/>
                <w:sz w:val="21"/>
                <w:szCs w:val="18"/>
                <w:highlight w:val="none"/>
              </w:rPr>
            </w:pPr>
            <w:r>
              <w:rPr>
                <w:color w:val="auto"/>
                <w:sz w:val="21"/>
                <w:szCs w:val="18"/>
                <w:highlight w:val="none"/>
              </w:rPr>
              <w:t xml:space="preserve">总价</w:t>
            </w:r>
            <w:r>
              <w:rPr>
                <w:rFonts w:hint="eastAsia"/>
                <w:color w:val="auto"/>
                <w:sz w:val="21"/>
                <w:szCs w:val="18"/>
                <w:highlight w:val="none"/>
                <w:lang w:eastAsia="zh-CN"/>
              </w:rPr>
              <w:t xml:space="preserve">（元</w:t>
            </w:r>
            <w:r>
              <w:rPr>
                <w:color w:val="auto"/>
                <w:sz w:val="21"/>
                <w:szCs w:val="18"/>
                <w:highlight w:val="none"/>
              </w:rPr>
              <w:t xml:space="preserve"> </w:t>
            </w:r>
            <w:r>
              <w:rPr>
                <w:rFonts w:hint="eastAsia"/>
                <w:color w:val="auto"/>
                <w:sz w:val="21"/>
                <w:szCs w:val="18"/>
                <w:highlight w:val="none"/>
                <w:lang w:eastAsia="zh-CN"/>
              </w:rPr>
              <w:t xml:space="preserve">）</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ind w:firstLine="0"/>
              <w:jc w:val="center"/>
              <w:rPr>
                <w:color w:val="auto"/>
                <w:sz w:val="21"/>
                <w:szCs w:val="18"/>
                <w:highlight w:val="none"/>
              </w:rPr>
            </w:pPr>
            <w:r>
              <w:rPr>
                <w:rFonts w:hint="eastAsia"/>
                <w:color w:val="auto"/>
                <w:sz w:val="21"/>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ind w:firstLine="0"/>
              <w:jc w:val="center"/>
              <w:rPr>
                <w:color w:val="auto"/>
                <w:sz w:val="21"/>
                <w:szCs w:val="18"/>
                <w:highlight w:val="none"/>
                <w:lang w:eastAsia="zh-CN"/>
              </w:rPr>
            </w:pPr>
            <w:r>
              <w:rPr>
                <w:rFonts w:hint="eastAsia"/>
                <w:color w:val="auto"/>
                <w:sz w:val="21"/>
                <w:szCs w:val="18"/>
                <w:highlight w:val="none"/>
                <w:lang w:eastAsia="zh-CN"/>
              </w:rPr>
              <w:t xml:space="preserve">多位点STR扩增试剂盒</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ind w:firstLine="0"/>
              <w:jc w:val="center"/>
              <w:rPr>
                <w:color w:val="auto"/>
                <w:sz w:val="21"/>
                <w:szCs w:val="18"/>
                <w:highlight w:val="none"/>
              </w:rPr>
            </w:pPr>
            <w:r>
              <w:rPr>
                <w:rFonts w:hint="eastAsia"/>
                <w:color w:val="auto"/>
                <w:sz w:val="21"/>
                <w:szCs w:val="18"/>
                <w:highlight w:val="none"/>
              </w:rPr>
              <w:t xml:space="preserve">25ul体系，200人份/盒</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rPr>
                <w:color w:val="auto"/>
                <w:sz w:val="21"/>
                <w:szCs w:val="18"/>
                <w:highlight w:val="none"/>
              </w:rPr>
            </w:pPr>
            <w:r>
              <w:rPr>
                <w:rFonts w:hint="eastAsia"/>
                <w:color w:val="auto"/>
                <w:sz w:val="21"/>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59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362"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2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02" w:type="pct"/>
            <w:textDirection w:val="lrTb"/>
            <w:noWrap w:val="false"/>
          </w:tcPr>
          <w:p>
            <w:pPr>
              <w:ind w:firstLine="0"/>
              <w:jc w:val="center"/>
              <w:rPr>
                <w:color w:val="auto"/>
                <w:sz w:val="21"/>
                <w:szCs w:val="18"/>
                <w:highlight w:val="none"/>
              </w:rPr>
            </w:pPr>
            <w:r>
              <w:rPr>
                <w:color w:val="auto"/>
                <w:sz w:val="21"/>
                <w:szCs w:val="18"/>
                <w:highlight w:val="none"/>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ind w:firstLine="0"/>
              <w:jc w:val="center"/>
              <w:rPr>
                <w:color w:val="auto"/>
                <w:sz w:val="21"/>
                <w:szCs w:val="18"/>
                <w:highlight w:val="none"/>
              </w:rPr>
            </w:pPr>
            <w:r>
              <w:rPr>
                <w:rFonts w:hint="eastAsia"/>
                <w:color w:val="auto"/>
                <w:sz w:val="21"/>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013" w:type="pct"/>
            <w:vAlign w:val="bottom"/>
            <w:textDirection w:val="lrTb"/>
            <w:noWrap w:val="false"/>
          </w:tcPr>
          <w:p>
            <w:pPr>
              <w:ind w:firstLine="0"/>
              <w:jc w:val="center"/>
              <w:rPr>
                <w:color w:val="auto"/>
                <w:sz w:val="21"/>
                <w:szCs w:val="18"/>
                <w:highlight w:val="none"/>
                <w:lang w:eastAsia="zh-CN"/>
              </w:rPr>
            </w:pPr>
            <w:r>
              <w:rPr>
                <w:rFonts w:hint="eastAsia"/>
                <w:color w:val="auto"/>
                <w:sz w:val="21"/>
                <w:szCs w:val="18"/>
                <w:highlight w:val="none"/>
                <w:lang w:eastAsia="zh-CN"/>
              </w:rPr>
              <w:t xml:space="preserve">全自动微量提取试剂盒</w:t>
            </w:r>
            <w:r/>
          </w:p>
        </w:tc>
        <w:tc>
          <w:tcPr>
            <w:tcBorders>
              <w:top w:val="single" w:color="000000" w:sz="4" w:space="0"/>
              <w:left w:val="single" w:color="000000" w:sz="4" w:space="0"/>
              <w:bottom w:val="single" w:color="000000" w:sz="4" w:space="0"/>
              <w:right w:val="single" w:color="000000" w:sz="4" w:space="0"/>
            </w:tcBorders>
            <w:tcW w:w="1087" w:type="pct"/>
            <w:vAlign w:val="bottom"/>
            <w:textDirection w:val="lrTb"/>
            <w:noWrap w:val="false"/>
          </w:tcPr>
          <w:p>
            <w:pPr>
              <w:ind w:firstLine="0"/>
              <w:jc w:val="center"/>
              <w:rPr>
                <w:color w:val="auto"/>
                <w:sz w:val="21"/>
                <w:szCs w:val="18"/>
                <w:highlight w:val="none"/>
              </w:rPr>
            </w:pPr>
            <w:r>
              <w:rPr>
                <w:rFonts w:hint="eastAsia"/>
                <w:color w:val="auto"/>
                <w:sz w:val="21"/>
                <w:szCs w:val="18"/>
                <w:highlight w:val="none"/>
              </w:rPr>
              <w:t xml:space="preserve">24道全自动专用 96次</w:t>
            </w:r>
            <w:r/>
          </w:p>
        </w:tc>
        <w:tc>
          <w:tcPr>
            <w:tcBorders>
              <w:top w:val="single" w:color="000000" w:sz="4" w:space="0"/>
              <w:left w:val="single" w:color="000000" w:sz="4" w:space="0"/>
              <w:bottom w:val="single" w:color="000000" w:sz="4" w:space="0"/>
              <w:right w:val="single" w:color="000000" w:sz="4" w:space="0"/>
            </w:tcBorders>
            <w:tcW w:w="473" w:type="pct"/>
            <w:vAlign w:val="bottom"/>
            <w:textDirection w:val="lrTb"/>
            <w:noWrap w:val="false"/>
          </w:tcPr>
          <w:p>
            <w:pPr>
              <w:ind w:firstLine="0"/>
              <w:jc w:val="center"/>
              <w:rPr>
                <w:color w:val="auto"/>
                <w:sz w:val="21"/>
                <w:szCs w:val="18"/>
                <w:highlight w:val="none"/>
              </w:rPr>
            </w:pPr>
            <w:r>
              <w:rPr>
                <w:rFonts w:hint="eastAsia"/>
                <w:color w:val="auto"/>
                <w:sz w:val="21"/>
                <w:szCs w:val="18"/>
                <w:highlight w:val="none"/>
              </w:rPr>
              <w:t xml:space="preserve">40</w:t>
            </w:r>
            <w:r/>
          </w:p>
        </w:tc>
        <w:tc>
          <w:tcPr>
            <w:tcBorders>
              <w:top w:val="single" w:color="000000" w:sz="4" w:space="0"/>
              <w:left w:val="single" w:color="000000" w:sz="4" w:space="0"/>
              <w:bottom w:val="single" w:color="000000" w:sz="4" w:space="0"/>
              <w:right w:val="single" w:color="000000" w:sz="4" w:space="0"/>
            </w:tcBorders>
            <w:tcW w:w="59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362"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2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02" w:type="pct"/>
            <w:textDirection w:val="lrTb"/>
            <w:noWrap w:val="false"/>
          </w:tcPr>
          <w:p>
            <w:pPr>
              <w:ind w:firstLine="0"/>
              <w:jc w:val="center"/>
              <w:rPr>
                <w:color w:val="auto"/>
                <w:sz w:val="21"/>
                <w:szCs w:val="18"/>
                <w:highlight w:val="none"/>
              </w:rPr>
            </w:pPr>
            <w:r>
              <w:rPr>
                <w:color w:val="auto"/>
                <w:sz w:val="21"/>
                <w:szCs w:val="18"/>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ind w:firstLine="0"/>
              <w:jc w:val="center"/>
              <w:rPr>
                <w:color w:val="auto"/>
                <w:sz w:val="21"/>
                <w:szCs w:val="18"/>
                <w:highlight w:val="none"/>
              </w:rPr>
            </w:pPr>
            <w:r>
              <w:rPr>
                <w:rFonts w:hint="eastAsia"/>
                <w:color w:val="auto"/>
                <w:sz w:val="21"/>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1013" w:type="pct"/>
            <w:vAlign w:val="bottom"/>
            <w:textDirection w:val="lrTb"/>
            <w:noWrap w:val="false"/>
          </w:tcPr>
          <w:p>
            <w:pPr>
              <w:ind w:firstLine="0"/>
              <w:jc w:val="center"/>
              <w:rPr>
                <w:color w:val="auto"/>
                <w:sz w:val="21"/>
                <w:szCs w:val="18"/>
                <w:highlight w:val="none"/>
                <w:lang w:eastAsia="zh-CN"/>
              </w:rPr>
            </w:pPr>
            <w:r>
              <w:rPr>
                <w:rFonts w:hint="eastAsia"/>
                <w:color w:val="auto"/>
                <w:sz w:val="21"/>
                <w:szCs w:val="18"/>
                <w:highlight w:val="none"/>
                <w:lang w:eastAsia="zh-CN"/>
              </w:rPr>
              <w:t xml:space="preserve">全自动混合斑提取试剂盒</w:t>
            </w:r>
            <w:r/>
          </w:p>
        </w:tc>
        <w:tc>
          <w:tcPr>
            <w:tcBorders>
              <w:top w:val="single" w:color="000000" w:sz="4" w:space="0"/>
              <w:left w:val="single" w:color="000000" w:sz="4" w:space="0"/>
              <w:bottom w:val="single" w:color="000000" w:sz="4" w:space="0"/>
              <w:right w:val="single" w:color="000000" w:sz="4" w:space="0"/>
            </w:tcBorders>
            <w:tcW w:w="1087" w:type="pct"/>
            <w:vAlign w:val="bottom"/>
            <w:textDirection w:val="lrTb"/>
            <w:noWrap w:val="false"/>
          </w:tcPr>
          <w:p>
            <w:pPr>
              <w:ind w:firstLine="0"/>
              <w:jc w:val="center"/>
              <w:rPr>
                <w:color w:val="auto"/>
                <w:sz w:val="21"/>
                <w:szCs w:val="18"/>
                <w:highlight w:val="none"/>
              </w:rPr>
            </w:pPr>
            <w:r>
              <w:rPr>
                <w:rFonts w:hint="eastAsia"/>
                <w:color w:val="auto"/>
                <w:sz w:val="21"/>
                <w:szCs w:val="18"/>
                <w:highlight w:val="none"/>
              </w:rPr>
              <w:t xml:space="preserve">24道全自动专用 8次</w:t>
            </w:r>
            <w:r/>
          </w:p>
        </w:tc>
        <w:tc>
          <w:tcPr>
            <w:tcBorders>
              <w:top w:val="single" w:color="000000" w:sz="4" w:space="0"/>
              <w:left w:val="single" w:color="000000" w:sz="4" w:space="0"/>
              <w:bottom w:val="single" w:color="000000" w:sz="4" w:space="0"/>
              <w:right w:val="single" w:color="000000" w:sz="4" w:space="0"/>
            </w:tcBorders>
            <w:tcW w:w="473"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50</w:t>
            </w:r>
            <w:r/>
          </w:p>
        </w:tc>
        <w:tc>
          <w:tcPr>
            <w:tcBorders>
              <w:top w:val="single" w:color="000000" w:sz="4" w:space="0"/>
              <w:left w:val="single" w:color="000000" w:sz="4" w:space="0"/>
              <w:bottom w:val="single" w:color="000000" w:sz="4" w:space="0"/>
              <w:right w:val="single" w:color="000000" w:sz="4" w:space="0"/>
            </w:tcBorders>
            <w:tcW w:w="59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362"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2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02" w:type="pct"/>
            <w:textDirection w:val="lrTb"/>
            <w:noWrap w:val="false"/>
          </w:tcPr>
          <w:p>
            <w:pPr>
              <w:ind w:firstLine="0"/>
              <w:jc w:val="center"/>
              <w:rPr>
                <w:color w:val="auto"/>
                <w:sz w:val="21"/>
                <w:szCs w:val="18"/>
                <w:highlight w:val="none"/>
              </w:rPr>
            </w:pPr>
            <w:r>
              <w:rPr>
                <w:color w:val="auto"/>
                <w:sz w:val="21"/>
                <w:szCs w:val="18"/>
                <w:highlight w:val="none"/>
              </w:rPr>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ind w:firstLine="0"/>
              <w:jc w:val="center"/>
              <w:rPr>
                <w:color w:val="auto"/>
                <w:sz w:val="21"/>
                <w:szCs w:val="18"/>
                <w:highlight w:val="none"/>
              </w:rPr>
            </w:pPr>
            <w:r>
              <w:rPr>
                <w:rFonts w:hint="eastAsia"/>
                <w:color w:val="auto"/>
                <w:sz w:val="21"/>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ind w:firstLine="0"/>
              <w:jc w:val="center"/>
              <w:rPr>
                <w:color w:val="auto"/>
                <w:sz w:val="21"/>
                <w:szCs w:val="18"/>
                <w:highlight w:val="none"/>
                <w:lang w:eastAsia="zh-CN"/>
              </w:rPr>
            </w:pPr>
            <w:r>
              <w:rPr>
                <w:rFonts w:hint="eastAsia"/>
                <w:color w:val="auto"/>
                <w:sz w:val="21"/>
                <w:szCs w:val="18"/>
                <w:highlight w:val="none"/>
                <w:lang w:eastAsia="zh-CN"/>
              </w:rPr>
              <w:t xml:space="preserve">半自动微量提取试剂盒</w:t>
            </w:r>
            <w:r/>
          </w:p>
        </w:tc>
        <w:tc>
          <w:tcPr>
            <w:tcBorders>
              <w:top w:val="single" w:color="000000" w:sz="4" w:space="0"/>
              <w:left w:val="single" w:color="000000" w:sz="4" w:space="0"/>
              <w:bottom w:val="single" w:color="000000" w:sz="4" w:space="0"/>
              <w:right w:val="single" w:color="000000" w:sz="4" w:space="0"/>
            </w:tcBorders>
            <w:tcW w:w="1087" w:type="pct"/>
            <w:vAlign w:val="bottom"/>
            <w:textDirection w:val="lrTb"/>
            <w:noWrap w:val="false"/>
          </w:tcPr>
          <w:p>
            <w:pPr>
              <w:ind w:firstLine="0"/>
              <w:jc w:val="center"/>
              <w:rPr>
                <w:color w:val="auto"/>
                <w:sz w:val="21"/>
                <w:szCs w:val="18"/>
                <w:highlight w:val="none"/>
              </w:rPr>
            </w:pPr>
            <w:r>
              <w:rPr>
                <w:rFonts w:hint="eastAsia"/>
                <w:color w:val="auto"/>
                <w:sz w:val="21"/>
                <w:szCs w:val="18"/>
                <w:highlight w:val="none"/>
              </w:rPr>
              <w:t xml:space="preserve">大体系提取仪专用</w:t>
            </w:r>
            <w:r/>
          </w:p>
        </w:tc>
        <w:tc>
          <w:tcPr>
            <w:tcBorders>
              <w:top w:val="single" w:color="000000" w:sz="4" w:space="0"/>
              <w:left w:val="single" w:color="000000" w:sz="4" w:space="0"/>
              <w:bottom w:val="single" w:color="000000" w:sz="4" w:space="0"/>
              <w:right w:val="single" w:color="000000" w:sz="4" w:space="0"/>
            </w:tcBorders>
            <w:tcW w:w="473"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59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362"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2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02" w:type="pct"/>
            <w:textDirection w:val="lrTb"/>
            <w:noWrap w:val="false"/>
          </w:tcPr>
          <w:p>
            <w:pPr>
              <w:ind w:firstLine="0"/>
              <w:jc w:val="center"/>
              <w:rPr>
                <w:color w:val="auto"/>
                <w:sz w:val="21"/>
                <w:szCs w:val="18"/>
                <w:highlight w:val="none"/>
              </w:rPr>
            </w:pPr>
            <w:r>
              <w:rPr>
                <w:color w:val="auto"/>
                <w:sz w:val="21"/>
                <w:szCs w:val="18"/>
                <w:highlight w:val="none"/>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ind w:firstLine="0"/>
              <w:jc w:val="center"/>
              <w:rPr>
                <w:color w:val="auto"/>
                <w:sz w:val="21"/>
                <w:szCs w:val="18"/>
                <w:highlight w:val="none"/>
              </w:rPr>
            </w:pPr>
            <w:r>
              <w:rPr>
                <w:rFonts w:hint="eastAsia"/>
                <w:color w:val="auto"/>
                <w:sz w:val="21"/>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ind w:firstLine="0"/>
              <w:jc w:val="center"/>
              <w:rPr>
                <w:color w:val="auto"/>
                <w:sz w:val="21"/>
                <w:szCs w:val="18"/>
                <w:highlight w:val="none"/>
                <w:lang w:eastAsia="zh-CN"/>
              </w:rPr>
            </w:pPr>
            <w:r>
              <w:rPr>
                <w:rFonts w:hint="eastAsia"/>
                <w:color w:val="auto"/>
                <w:sz w:val="21"/>
                <w:szCs w:val="18"/>
                <w:highlight w:val="none"/>
                <w:lang w:eastAsia="zh-CN"/>
              </w:rPr>
              <w:t xml:space="preserve">全自动陈旧检材提取试剂盒</w:t>
            </w:r>
            <w:r/>
          </w:p>
        </w:tc>
        <w:tc>
          <w:tcPr>
            <w:tcBorders>
              <w:top w:val="single" w:color="000000" w:sz="4" w:space="0"/>
              <w:left w:val="single" w:color="000000" w:sz="4" w:space="0"/>
              <w:bottom w:val="single" w:color="000000" w:sz="4" w:space="0"/>
              <w:right w:val="single" w:color="000000" w:sz="4" w:space="0"/>
            </w:tcBorders>
            <w:tcW w:w="1087"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24道全自动专用 48次</w:t>
            </w:r>
            <w:r/>
          </w:p>
        </w:tc>
        <w:tc>
          <w:tcPr>
            <w:tcBorders>
              <w:top w:val="single" w:color="000000" w:sz="4" w:space="0"/>
              <w:left w:val="single" w:color="000000" w:sz="4" w:space="0"/>
              <w:bottom w:val="single" w:color="000000" w:sz="4" w:space="0"/>
              <w:right w:val="single" w:color="000000" w:sz="4" w:space="0"/>
            </w:tcBorders>
            <w:tcW w:w="473"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59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362"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2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02" w:type="pct"/>
            <w:textDirection w:val="lrTb"/>
            <w:noWrap w:val="false"/>
          </w:tcPr>
          <w:p>
            <w:pPr>
              <w:ind w:firstLine="0"/>
              <w:jc w:val="center"/>
              <w:rPr>
                <w:color w:val="auto"/>
                <w:sz w:val="21"/>
                <w:szCs w:val="18"/>
                <w:highlight w:val="none"/>
              </w:rPr>
            </w:pPr>
            <w:r>
              <w:rPr>
                <w:color w:val="auto"/>
                <w:sz w:val="21"/>
                <w:szCs w:val="18"/>
                <w:highlight w:val="none"/>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247" w:type="pct"/>
            <w:vAlign w:val="center"/>
            <w:textDirection w:val="lrTb"/>
            <w:noWrap w:val="false"/>
          </w:tcPr>
          <w:p>
            <w:pPr>
              <w:ind w:firstLine="0"/>
              <w:jc w:val="center"/>
              <w:rPr>
                <w:color w:val="auto"/>
                <w:sz w:val="21"/>
                <w:szCs w:val="18"/>
                <w:highlight w:val="none"/>
              </w:rPr>
            </w:pPr>
            <w:r>
              <w:rPr>
                <w:rFonts w:hint="eastAsia"/>
                <w:color w:val="auto"/>
                <w:sz w:val="21"/>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1013" w:type="pct"/>
            <w:vAlign w:val="bottom"/>
            <w:textDirection w:val="lrTb"/>
            <w:noWrap/>
          </w:tcPr>
          <w:p>
            <w:pPr>
              <w:ind w:firstLine="0"/>
              <w:jc w:val="center"/>
              <w:rPr>
                <w:color w:val="auto"/>
                <w:sz w:val="21"/>
                <w:szCs w:val="18"/>
                <w:highlight w:val="none"/>
                <w:lang w:eastAsia="zh-CN"/>
              </w:rPr>
            </w:pPr>
            <w:r>
              <w:rPr>
                <w:rFonts w:hint="eastAsia"/>
                <w:color w:val="auto"/>
                <w:sz w:val="21"/>
                <w:szCs w:val="18"/>
                <w:highlight w:val="none"/>
                <w:lang w:eastAsia="zh-CN"/>
              </w:rPr>
              <w:t xml:space="preserve">半自动陈旧检材提取试剂盒</w:t>
            </w:r>
            <w:r/>
          </w:p>
        </w:tc>
        <w:tc>
          <w:tcPr>
            <w:tcBorders>
              <w:top w:val="single" w:color="000000" w:sz="4" w:space="0"/>
              <w:left w:val="single" w:color="000000" w:sz="4" w:space="0"/>
              <w:bottom w:val="single" w:color="000000" w:sz="4" w:space="0"/>
              <w:right w:val="single" w:color="000000" w:sz="4" w:space="0"/>
            </w:tcBorders>
            <w:tcW w:w="1087"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大体系提取仪专用 48次</w:t>
            </w:r>
            <w:r/>
          </w:p>
        </w:tc>
        <w:tc>
          <w:tcPr>
            <w:tcBorders>
              <w:top w:val="single" w:color="000000" w:sz="4" w:space="0"/>
              <w:left w:val="single" w:color="000000" w:sz="4" w:space="0"/>
              <w:bottom w:val="single" w:color="000000" w:sz="4" w:space="0"/>
              <w:right w:val="single" w:color="000000" w:sz="4" w:space="0"/>
            </w:tcBorders>
            <w:tcW w:w="473"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59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362"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2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02" w:type="pct"/>
            <w:textDirection w:val="lrTb"/>
            <w:noWrap w:val="false"/>
          </w:tcPr>
          <w:p>
            <w:pPr>
              <w:ind w:firstLine="0"/>
              <w:jc w:val="center"/>
              <w:rPr>
                <w:color w:val="auto"/>
                <w:sz w:val="21"/>
                <w:szCs w:val="18"/>
                <w:highlight w:val="none"/>
              </w:rPr>
            </w:pPr>
            <w:r>
              <w:rPr>
                <w:color w:val="auto"/>
                <w:sz w:val="21"/>
                <w:szCs w:val="18"/>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247"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ind w:firstLine="0"/>
              <w:jc w:val="center"/>
              <w:rPr>
                <w:color w:val="auto"/>
                <w:sz w:val="21"/>
                <w:szCs w:val="18"/>
                <w:highlight w:val="none"/>
              </w:rPr>
            </w:pPr>
            <w:r>
              <w:rPr>
                <w:rFonts w:hint="eastAsia"/>
                <w:color w:val="auto"/>
                <w:sz w:val="21"/>
                <w:szCs w:val="18"/>
                <w:highlight w:val="none"/>
              </w:rPr>
              <w:t xml:space="preserve">蛋白酶K </w:t>
            </w:r>
            <w:r/>
          </w:p>
        </w:tc>
        <w:tc>
          <w:tcPr>
            <w:tcBorders>
              <w:top w:val="single" w:color="000000" w:sz="4" w:space="0"/>
              <w:left w:val="single" w:color="000000" w:sz="4" w:space="0"/>
              <w:bottom w:val="single" w:color="000000" w:sz="4" w:space="0"/>
              <w:right w:val="single" w:color="000000" w:sz="4" w:space="0"/>
            </w:tcBorders>
            <w:tcW w:w="1087"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1ml*5支（10 mg/ml</w:t>
            </w:r>
            <w:r>
              <w:rPr>
                <w:rFonts w:hint="eastAsia"/>
                <w:color w:val="auto"/>
                <w:sz w:val="21"/>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73"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59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362"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2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02" w:type="pct"/>
            <w:textDirection w:val="lrTb"/>
            <w:noWrap w:val="false"/>
          </w:tcPr>
          <w:p>
            <w:pPr>
              <w:ind w:firstLine="0"/>
              <w:jc w:val="center"/>
              <w:rPr>
                <w:color w:val="auto"/>
                <w:sz w:val="21"/>
                <w:szCs w:val="18"/>
                <w:highlight w:val="none"/>
              </w:rPr>
            </w:pPr>
            <w:r>
              <w:rPr>
                <w:color w:val="auto"/>
                <w:sz w:val="21"/>
                <w:szCs w:val="18"/>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247"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tcPr>
          <w:p>
            <w:pPr>
              <w:ind w:firstLine="0"/>
              <w:jc w:val="center"/>
              <w:rPr>
                <w:color w:val="auto"/>
                <w:sz w:val="21"/>
                <w:szCs w:val="18"/>
                <w:highlight w:val="none"/>
              </w:rPr>
            </w:pPr>
            <w:r>
              <w:rPr>
                <w:rFonts w:hint="eastAsia"/>
                <w:color w:val="auto"/>
                <w:sz w:val="21"/>
                <w:szCs w:val="18"/>
                <w:highlight w:val="none"/>
              </w:rPr>
              <w:t xml:space="preserve">荧光定量试剂盒</w:t>
            </w:r>
            <w:r/>
          </w:p>
        </w:tc>
        <w:tc>
          <w:tcPr>
            <w:tcBorders>
              <w:top w:val="single" w:color="000000" w:sz="4" w:space="0"/>
              <w:left w:val="single" w:color="000000" w:sz="4" w:space="0"/>
              <w:bottom w:val="single" w:color="000000" w:sz="4" w:space="0"/>
              <w:right w:val="single" w:color="000000" w:sz="4" w:space="0"/>
            </w:tcBorders>
            <w:tcW w:w="1087"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400人份/盒</w:t>
            </w:r>
            <w:r/>
          </w:p>
        </w:tc>
        <w:tc>
          <w:tcPr>
            <w:tcBorders>
              <w:top w:val="single" w:color="000000" w:sz="4" w:space="0"/>
              <w:left w:val="single" w:color="000000" w:sz="4" w:space="0"/>
              <w:bottom w:val="single" w:color="000000" w:sz="4" w:space="0"/>
              <w:right w:val="single" w:color="000000" w:sz="4" w:space="0"/>
            </w:tcBorders>
            <w:tcW w:w="473"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59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362"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2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02" w:type="pct"/>
            <w:textDirection w:val="lrTb"/>
            <w:noWrap w:val="false"/>
          </w:tcPr>
          <w:p>
            <w:pPr>
              <w:ind w:firstLine="0"/>
              <w:jc w:val="center"/>
              <w:rPr>
                <w:color w:val="auto"/>
                <w:sz w:val="21"/>
                <w:szCs w:val="18"/>
                <w:highlight w:val="none"/>
              </w:rPr>
            </w:pPr>
            <w:r>
              <w:rPr>
                <w:color w:val="auto"/>
                <w:sz w:val="21"/>
                <w:szCs w:val="18"/>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247"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9</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tcPr>
          <w:p>
            <w:pPr>
              <w:ind w:firstLine="0"/>
              <w:jc w:val="center"/>
              <w:rPr>
                <w:color w:val="auto"/>
                <w:sz w:val="21"/>
                <w:szCs w:val="18"/>
                <w:highlight w:val="none"/>
              </w:rPr>
            </w:pPr>
            <w:r>
              <w:rPr>
                <w:rFonts w:hint="eastAsia"/>
                <w:color w:val="auto"/>
                <w:sz w:val="21"/>
                <w:szCs w:val="18"/>
                <w:highlight w:val="none"/>
              </w:rPr>
              <w:t xml:space="preserve">荧光检测试剂盒</w:t>
            </w:r>
            <w:r/>
          </w:p>
        </w:tc>
        <w:tc>
          <w:tcPr>
            <w:tcBorders>
              <w:top w:val="single" w:color="000000" w:sz="4" w:space="0"/>
              <w:left w:val="single" w:color="000000" w:sz="4" w:space="0"/>
              <w:bottom w:val="single" w:color="000000" w:sz="4" w:space="0"/>
              <w:right w:val="single" w:color="000000" w:sz="4" w:space="0"/>
            </w:tcBorders>
            <w:tcW w:w="1087"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200人份/盒</w:t>
            </w:r>
            <w:r/>
          </w:p>
        </w:tc>
        <w:tc>
          <w:tcPr>
            <w:tcBorders>
              <w:top w:val="single" w:color="000000" w:sz="4" w:space="0"/>
              <w:left w:val="single" w:color="000000" w:sz="4" w:space="0"/>
              <w:bottom w:val="single" w:color="000000" w:sz="4" w:space="0"/>
              <w:right w:val="single" w:color="000000" w:sz="4" w:space="0"/>
            </w:tcBorders>
            <w:tcW w:w="473"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59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362"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2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02" w:type="pct"/>
            <w:textDirection w:val="lrTb"/>
            <w:noWrap w:val="false"/>
          </w:tcPr>
          <w:p>
            <w:pPr>
              <w:ind w:firstLine="0"/>
              <w:jc w:val="center"/>
              <w:rPr>
                <w:color w:val="auto"/>
                <w:sz w:val="21"/>
                <w:szCs w:val="18"/>
                <w:highlight w:val="none"/>
              </w:rPr>
            </w:pPr>
            <w:r>
              <w:rPr>
                <w:color w:val="auto"/>
                <w:sz w:val="21"/>
                <w:szCs w:val="18"/>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247"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tcPr>
          <w:p>
            <w:pPr>
              <w:ind w:firstLine="0"/>
              <w:jc w:val="center"/>
              <w:rPr>
                <w:color w:val="auto"/>
                <w:sz w:val="21"/>
                <w:szCs w:val="18"/>
                <w:highlight w:val="none"/>
                <w:lang w:eastAsia="zh-CN"/>
              </w:rPr>
            </w:pPr>
            <w:r>
              <w:rPr>
                <w:rFonts w:hint="eastAsia"/>
                <w:color w:val="auto"/>
                <w:sz w:val="21"/>
                <w:szCs w:val="18"/>
                <w:highlight w:val="none"/>
                <w:lang w:eastAsia="zh-CN"/>
              </w:rPr>
              <w:t xml:space="preserve">扩增试剂盒（液体版）</w:t>
            </w:r>
            <w:r/>
          </w:p>
        </w:tc>
        <w:tc>
          <w:tcPr>
            <w:tcBorders>
              <w:top w:val="single" w:color="000000" w:sz="4" w:space="0"/>
              <w:left w:val="single" w:color="000000" w:sz="4" w:space="0"/>
              <w:bottom w:val="single" w:color="000000" w:sz="4" w:space="0"/>
              <w:right w:val="single" w:color="000000" w:sz="4" w:space="0"/>
            </w:tcBorders>
            <w:tcW w:w="1087"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200人份/盒（25ul体系）</w:t>
            </w:r>
            <w:r/>
          </w:p>
        </w:tc>
        <w:tc>
          <w:tcPr>
            <w:tcBorders>
              <w:top w:val="single" w:color="000000" w:sz="4" w:space="0"/>
              <w:left w:val="single" w:color="000000" w:sz="4" w:space="0"/>
              <w:bottom w:val="single" w:color="000000" w:sz="4" w:space="0"/>
              <w:right w:val="single" w:color="000000" w:sz="4" w:space="0"/>
            </w:tcBorders>
            <w:tcW w:w="473"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59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362"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2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02" w:type="pct"/>
            <w:textDirection w:val="lrTb"/>
            <w:noWrap w:val="false"/>
          </w:tcPr>
          <w:p>
            <w:pPr>
              <w:ind w:firstLine="0"/>
              <w:jc w:val="center"/>
              <w:rPr>
                <w:color w:val="auto"/>
                <w:sz w:val="21"/>
                <w:szCs w:val="18"/>
                <w:highlight w:val="none"/>
              </w:rPr>
            </w:pPr>
            <w:r>
              <w:rPr>
                <w:color w:val="auto"/>
                <w:sz w:val="21"/>
                <w:szCs w:val="18"/>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247"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tcPr>
          <w:p>
            <w:pPr>
              <w:ind w:firstLine="0"/>
              <w:jc w:val="center"/>
              <w:rPr>
                <w:color w:val="auto"/>
                <w:sz w:val="21"/>
                <w:szCs w:val="18"/>
                <w:highlight w:val="none"/>
                <w:lang w:eastAsia="zh-CN"/>
              </w:rPr>
            </w:pPr>
            <w:r>
              <w:rPr>
                <w:rFonts w:hint="eastAsia"/>
                <w:color w:val="auto"/>
                <w:sz w:val="21"/>
                <w:szCs w:val="18"/>
                <w:highlight w:val="none"/>
                <w:lang w:eastAsia="zh-CN"/>
              </w:rPr>
              <w:t xml:space="preserve">扩增试剂盒（快速版）</w:t>
            </w:r>
            <w:r/>
          </w:p>
        </w:tc>
        <w:tc>
          <w:tcPr>
            <w:tcBorders>
              <w:top w:val="single" w:color="000000" w:sz="4" w:space="0"/>
              <w:left w:val="single" w:color="000000" w:sz="4" w:space="0"/>
              <w:bottom w:val="single" w:color="000000" w:sz="4" w:space="0"/>
              <w:right w:val="single" w:color="000000" w:sz="4" w:space="0"/>
            </w:tcBorders>
            <w:tcW w:w="1087"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100人份/盒（25ul体系）</w:t>
            </w:r>
            <w:r/>
          </w:p>
        </w:tc>
        <w:tc>
          <w:tcPr>
            <w:tcBorders>
              <w:top w:val="single" w:color="000000" w:sz="4" w:space="0"/>
              <w:left w:val="single" w:color="000000" w:sz="4" w:space="0"/>
              <w:bottom w:val="single" w:color="000000" w:sz="4" w:space="0"/>
              <w:right w:val="single" w:color="000000" w:sz="4" w:space="0"/>
            </w:tcBorders>
            <w:tcW w:w="473"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59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362"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21" w:type="pct"/>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02" w:type="pct"/>
            <w:textDirection w:val="lrTb"/>
            <w:noWrap w:val="false"/>
          </w:tcPr>
          <w:p>
            <w:pPr>
              <w:ind w:firstLine="0"/>
              <w:jc w:val="center"/>
              <w:rPr>
                <w:color w:val="auto"/>
                <w:sz w:val="21"/>
                <w:szCs w:val="18"/>
                <w:highlight w:val="none"/>
              </w:rPr>
            </w:pPr>
            <w:r>
              <w:rPr>
                <w:color w:val="auto"/>
                <w:sz w:val="21"/>
                <w:szCs w:val="18"/>
                <w:highlight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247" w:type="pct"/>
            <w:vAlign w:val="bottom"/>
            <w:textDirection w:val="lrTb"/>
            <w:noWrap/>
          </w:tcPr>
          <w:p>
            <w:pPr>
              <w:ind w:firstLine="0"/>
              <w:jc w:val="center"/>
              <w:rPr>
                <w:color w:val="auto"/>
                <w:sz w:val="21"/>
                <w:szCs w:val="18"/>
                <w:highlight w:val="none"/>
              </w:rPr>
            </w:pPr>
            <w:r>
              <w:rPr>
                <w:rFonts w:hint="eastAsia"/>
                <w:color w:val="auto"/>
                <w:sz w:val="21"/>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1013" w:type="pct"/>
            <w:vAlign w:val="center"/>
            <w:textDirection w:val="lrTb"/>
            <w:noWrap/>
          </w:tcPr>
          <w:p>
            <w:pPr>
              <w:ind w:firstLine="0"/>
              <w:jc w:val="center"/>
              <w:rPr>
                <w:color w:val="auto"/>
                <w:sz w:val="21"/>
                <w:szCs w:val="18"/>
                <w:highlight w:val="none"/>
              </w:rPr>
            </w:pPr>
            <w:r>
              <w:rPr>
                <w:rFonts w:hint="eastAsia"/>
                <w:color w:val="auto"/>
                <w:sz w:val="21"/>
                <w:szCs w:val="18"/>
                <w:highlight w:val="none"/>
              </w:rPr>
              <w:t xml:space="preserve">套管</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tcPr>
          <w:p>
            <w:pPr>
              <w:ind w:firstLine="0"/>
              <w:jc w:val="center"/>
              <w:rPr>
                <w:color w:val="auto"/>
                <w:sz w:val="21"/>
                <w:szCs w:val="18"/>
                <w:highlight w:val="none"/>
              </w:rPr>
            </w:pPr>
            <w:r>
              <w:rPr>
                <w:rFonts w:hint="eastAsia"/>
                <w:color w:val="auto"/>
                <w:sz w:val="21"/>
                <w:szCs w:val="18"/>
                <w:highlight w:val="none"/>
              </w:rPr>
              <w:t xml:space="preserve">250个/盒</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ind w:firstLine="0"/>
              <w:jc w:val="center"/>
              <w:rPr>
                <w:color w:val="auto"/>
                <w:sz w:val="21"/>
                <w:szCs w:val="18"/>
                <w:highlight w:val="none"/>
              </w:rPr>
            </w:pPr>
            <w:r>
              <w:rPr>
                <w:rFonts w:hint="eastAsia"/>
                <w:color w:val="auto"/>
                <w:sz w:val="21"/>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ind w:firstLine="0"/>
              <w:jc w:val="center"/>
              <w:rPr>
                <w:color w:val="auto"/>
                <w:sz w:val="21"/>
                <w:szCs w:val="18"/>
                <w:highlight w:val="none"/>
              </w:rPr>
            </w:pPr>
            <w:r>
              <w:rPr>
                <w:color w:val="auto"/>
                <w:sz w:val="21"/>
                <w:szCs w:val="18"/>
                <w:highlight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ind w:firstLine="0"/>
              <w:jc w:val="center"/>
              <w:rPr>
                <w:color w:val="auto"/>
                <w:sz w:val="21"/>
                <w:szCs w:val="18"/>
                <w:highlight w:val="none"/>
              </w:rPr>
            </w:pPr>
            <w:r>
              <w:rPr>
                <w:color w:val="auto"/>
                <w:sz w:val="21"/>
                <w:szCs w:val="18"/>
                <w:highlight w:val="none"/>
              </w:rPr>
            </w:r>
            <w:r/>
          </w:p>
        </w:tc>
      </w:tr>
      <w:tr>
        <w:trPr>
          <w:jc w:val="center"/>
          <w:trHeight w:val="375"/>
        </w:trPr>
        <w:tc>
          <w:tcPr>
            <w:gridSpan w:val="4"/>
            <w:tcBorders>
              <w:top w:val="single" w:color="000000" w:sz="4" w:space="0"/>
              <w:left w:val="single" w:color="000000" w:sz="4" w:space="0"/>
              <w:bottom w:val="single" w:color="000000" w:sz="4" w:space="0"/>
              <w:right w:val="single" w:color="000000" w:sz="4" w:space="0"/>
            </w:tcBorders>
            <w:tcW w:w="2822" w:type="pct"/>
            <w:vAlign w:val="bottom"/>
            <w:textDirection w:val="lrTb"/>
            <w:noWrap/>
          </w:tcPr>
          <w:p>
            <w:pPr>
              <w:ind w:firstLine="0"/>
              <w:jc w:val="center"/>
              <w:rPr>
                <w:color w:val="auto"/>
                <w:sz w:val="21"/>
                <w:szCs w:val="18"/>
                <w:highlight w:val="none"/>
                <w:lang w:eastAsia="zh-CN"/>
              </w:rPr>
            </w:pPr>
            <w:r>
              <w:rPr>
                <w:rFonts w:hint="eastAsia"/>
                <w:color w:val="auto"/>
                <w:sz w:val="21"/>
                <w:szCs w:val="18"/>
                <w:highlight w:val="none"/>
                <w:lang w:eastAsia="zh-CN"/>
              </w:rPr>
              <w:t xml:space="preserve">合计（元）</w:t>
            </w:r>
            <w:r/>
          </w:p>
        </w:tc>
        <w:tc>
          <w:tcPr>
            <w:gridSpan w:val="4"/>
            <w:tcBorders>
              <w:top w:val="single" w:color="000000" w:sz="4" w:space="0"/>
              <w:left w:val="single" w:color="000000" w:sz="4" w:space="0"/>
              <w:bottom w:val="single" w:color="000000" w:sz="4" w:space="0"/>
              <w:right w:val="single" w:color="000000" w:sz="4" w:space="0"/>
            </w:tcBorders>
            <w:tcW w:w="2177" w:type="pct"/>
            <w:vAlign w:val="center"/>
            <w:textDirection w:val="lrTb"/>
            <w:noWrap w:val="false"/>
          </w:tcPr>
          <w:p>
            <w:pPr>
              <w:ind w:firstLine="0"/>
              <w:jc w:val="center"/>
              <w:rPr>
                <w:color w:val="auto"/>
                <w:sz w:val="21"/>
                <w:szCs w:val="18"/>
                <w:highlight w:val="none"/>
              </w:rPr>
            </w:pPr>
            <w:r>
              <w:rPr>
                <w:color w:val="auto"/>
                <w:sz w:val="21"/>
                <w:szCs w:val="18"/>
                <w:highlight w:val="none"/>
              </w:rPr>
            </w:r>
            <w:r/>
          </w:p>
        </w:tc>
      </w:tr>
      <w:tr>
        <w:trPr>
          <w:jc w:val="center"/>
          <w:trHeight w:val="375"/>
        </w:trPr>
        <w:tc>
          <w:tcPr>
            <w:gridSpan w:val="8"/>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ind w:firstLine="560"/>
              <w:spacing w:line="288" w:lineRule="auto"/>
              <w:rPr>
                <w:rFonts w:hint="eastAsia" w:ascii="楷体" w:hAnsi="楷体" w:eastAsia="楷体"/>
                <w:bCs/>
                <w:color w:val="auto"/>
                <w:sz w:val="28"/>
                <w:szCs w:val="28"/>
                <w:highlight w:val="none"/>
                <w:lang w:eastAsia="zh-CN"/>
              </w:rPr>
            </w:pPr>
            <w:r>
              <w:rPr>
                <w:rFonts w:hint="eastAsia" w:ascii="楷体" w:hAnsi="楷体" w:eastAsia="楷体"/>
                <w:bCs/>
                <w:color w:val="auto"/>
                <w:sz w:val="28"/>
                <w:szCs w:val="28"/>
                <w:highlight w:val="none"/>
                <w:lang w:eastAsia="zh-CN"/>
              </w:rPr>
              <w:t xml:space="preserve">投标人承诺：</w:t>
            </w:r>
            <w:r/>
          </w:p>
          <w:p>
            <w:pPr>
              <w:ind w:firstLine="0"/>
              <w:rPr>
                <w:color w:val="auto"/>
                <w:sz w:val="21"/>
                <w:szCs w:val="18"/>
                <w:highlight w:val="none"/>
                <w:lang w:eastAsia="zh-CN"/>
              </w:rPr>
            </w:pPr>
            <w:r>
              <w:rPr>
                <w:rFonts w:hint="eastAsia" w:ascii="楷体" w:hAnsi="楷体" w:eastAsia="楷体"/>
                <w:bCs/>
                <w:color w:val="auto"/>
                <w:sz w:val="28"/>
                <w:szCs w:val="28"/>
                <w:highlight w:val="none"/>
                <w:lang w:eastAsia="zh-CN"/>
              </w:rPr>
              <w:t xml:space="preserve">本采购项目或采购包中提供的符合本国产品标准的产品</w:t>
            </w:r>
            <w:r>
              <w:rPr>
                <w:rFonts w:hint="eastAsia" w:ascii="楷体" w:hAnsi="楷体" w:eastAsia="楷体"/>
                <w:b/>
                <w:bCs/>
                <w:color w:val="auto"/>
                <w:sz w:val="28"/>
                <w:szCs w:val="28"/>
                <w:highlight w:val="none"/>
                <w:lang w:eastAsia="zh-CN"/>
              </w:rPr>
              <w:t xml:space="preserve">成本之和</w:t>
            </w:r>
            <w:r>
              <w:rPr>
                <w:rFonts w:hint="eastAsia" w:ascii="楷体" w:hAnsi="楷体" w:eastAsia="楷体"/>
                <w:bCs/>
                <w:color w:val="auto"/>
                <w:sz w:val="28"/>
                <w:szCs w:val="28"/>
                <w:highlight w:val="none"/>
                <w:lang w:eastAsia="zh-CN"/>
              </w:rPr>
              <w:t xml:space="preserve">占提供的全部产品</w:t>
            </w:r>
            <w:r>
              <w:rPr>
                <w:rFonts w:hint="eastAsia" w:ascii="楷体" w:hAnsi="楷体" w:eastAsia="楷体"/>
                <w:b/>
                <w:bCs/>
                <w:color w:val="auto"/>
                <w:sz w:val="28"/>
                <w:szCs w:val="28"/>
                <w:highlight w:val="none"/>
                <w:lang w:eastAsia="zh-CN"/>
              </w:rPr>
              <w:t xml:space="preserve">成本之和</w:t>
            </w:r>
            <w:r>
              <w:rPr>
                <w:rFonts w:hint="eastAsia" w:ascii="楷体" w:hAnsi="楷体" w:eastAsia="楷体"/>
                <w:bCs/>
                <w:color w:val="auto"/>
                <w:sz w:val="28"/>
                <w:szCs w:val="28"/>
                <w:highlight w:val="none"/>
                <w:lang w:eastAsia="zh-CN"/>
              </w:rPr>
              <w:t xml:space="preserve">的比例：</w:t>
            </w:r>
            <w:r>
              <w:rPr>
                <w:rFonts w:hint="eastAsia" w:ascii="楷体" w:hAnsi="楷体" w:eastAsia="楷体"/>
                <w:bCs/>
                <w:color w:val="auto"/>
                <w:sz w:val="28"/>
                <w:szCs w:val="28"/>
                <w:highlight w:val="none"/>
                <w:u w:val="single"/>
                <w:lang w:eastAsia="zh-CN"/>
              </w:rPr>
              <w:t xml:space="preserve">      </w:t>
            </w:r>
            <w:r>
              <w:rPr>
                <w:rFonts w:hint="eastAsia" w:ascii="楷体" w:hAnsi="楷体" w:eastAsia="楷体"/>
                <w:bCs/>
                <w:color w:val="auto"/>
                <w:sz w:val="28"/>
                <w:szCs w:val="28"/>
                <w:highlight w:val="none"/>
                <w:lang w:eastAsia="zh-CN"/>
              </w:rPr>
              <w:t xml:space="preserve">%</w:t>
            </w:r>
            <w:r/>
          </w:p>
        </w:tc>
      </w:tr>
    </w:tbl>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注：</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（1）该报价包括满足本项目要求的所有产品及其配件、包装、运杂、安装调试及售后服务等从项目中标起到项目正式交付以及免费质保期内所发生的一切费用；</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（2）投标人应当根据“项目要求和有关说明”的内容在上表中详细填写；</w:t>
      </w:r>
      <w:r/>
    </w:p>
    <w:p>
      <w:pPr>
        <w:ind w:firstLine="0"/>
        <w:spacing w:line="400" w:lineRule="exact"/>
        <w:rPr>
          <w:rFonts w:hint="eastAsia" w:ascii="宋体" w:hAnsi="宋体"/>
          <w:bCs/>
          <w:color w:val="auto"/>
          <w:highlight w:val="none"/>
          <w:lang w:eastAsia="zh-CN"/>
        </w:rPr>
        <w:outlineLvl w:val="0"/>
      </w:pPr>
      <w:r>
        <w:rPr>
          <w:rFonts w:hint="eastAsia" w:ascii="Times New Roman" w:hAnsi="Times New Roman" w:cs="Times New Roman"/>
          <w:bCs/>
          <w:color w:val="auto"/>
          <w:szCs w:val="24"/>
          <w:highlight w:val="none"/>
          <w:lang w:eastAsia="zh-CN"/>
        </w:rPr>
        <w:t xml:space="preserve">（3）</w:t>
      </w:r>
      <w:r>
        <w:rPr>
          <w:rFonts w:hint="eastAsia" w:ascii="宋体" w:hAnsi="宋体"/>
          <w:bCs/>
          <w:color w:val="auto"/>
          <w:highlight w:val="none"/>
          <w:lang w:eastAsia="zh-CN"/>
        </w:rPr>
        <w:t xml:space="preserve">当采</w:t>
      </w:r>
      <w:r>
        <w:rPr>
          <w:rFonts w:hint="eastAsia" w:ascii="宋体" w:hAnsi="宋体"/>
          <w:bCs/>
          <w:color w:val="auto"/>
          <w:highlight w:val="none"/>
          <w:lang w:eastAsia="zh-CN"/>
        </w:rPr>
        <w:t xml:space="preserve">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二章第五条第三点“对本国产品的支持政策”）</w:t>
      </w:r>
      <w:r/>
    </w:p>
    <w:p>
      <w:pPr>
        <w:ind w:firstLine="480"/>
        <w:spacing w:line="400" w:lineRule="exact"/>
        <w:rPr>
          <w:rFonts w:ascii="宋体"/>
          <w:bCs/>
          <w:color w:val="auto"/>
          <w:highlight w:val="none"/>
          <w:lang w:eastAsia="zh-CN"/>
        </w:rPr>
        <w:outlineLvl w:val="0"/>
      </w:pPr>
      <w:r>
        <w:rPr>
          <w:rFonts w:hint="eastAsia" w:ascii="宋体" w:hAnsi="宋体"/>
          <w:bCs/>
          <w:color w:val="auto"/>
          <w:highlight w:val="none"/>
          <w:lang w:eastAsia="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widowControl w:val="off"/>
        <w:rPr>
          <w:rFonts w:hint="eastAsia" w:ascii="宋体" w:hAnsi="宋体" w:cs="宋体"/>
          <w:color w:val="auto"/>
          <w:sz w:val="21"/>
          <w:highlight w:val="none"/>
          <w:lang w:val="zh-CN" w:eastAsia="zh-CN"/>
        </w:rPr>
      </w:pPr>
      <w:r>
        <w:rPr>
          <w:rFonts w:hint="eastAsia" w:ascii="宋体" w:hAnsi="宋体" w:cs="宋体"/>
          <w:color w:val="auto"/>
          <w:sz w:val="21"/>
          <w:highlight w:val="none"/>
          <w:lang w:val="zh-CN" w:eastAsia="zh-CN"/>
        </w:rPr>
      </w:r>
      <w:r/>
    </w:p>
    <w:p>
      <w:pPr>
        <w:ind w:firstLine="0"/>
        <w:jc w:val="both"/>
        <w:spacing w:before="5" w:line="240" w:lineRule="auto"/>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t xml:space="preserve">法定代表人或法定代表人授权代表签字或盖章：</w:t>
      </w:r>
      <w:r/>
    </w:p>
    <w:p>
      <w:pPr>
        <w:ind w:firstLine="0"/>
        <w:jc w:val="both"/>
        <w:widowControl w:val="off"/>
        <w:rPr>
          <w:rFonts w:hint="eastAsia" w:ascii="宋体" w:hAnsi="宋体" w:eastAsia="等线"/>
          <w:b/>
          <w:bCs/>
          <w:color w:val="auto"/>
          <w:sz w:val="21"/>
          <w:highlight w:val="none"/>
          <w:lang w:eastAsia="zh-CN"/>
        </w:rPr>
      </w:pPr>
      <w:r>
        <w:rPr>
          <w:rFonts w:ascii="Times New Roman" w:hAnsi="Times New Roman" w:cs="Times New Roman"/>
          <w:b/>
          <w:bCs/>
          <w:color w:val="auto"/>
          <w:szCs w:val="24"/>
          <w:highlight w:val="none"/>
          <w:lang w:eastAsia="zh-CN"/>
        </w:rPr>
        <w:t xml:space="preserve">日期：</w:t>
      </w:r>
      <w:bookmarkEnd w:id="34"/>
      <w:r/>
      <w:r/>
    </w:p>
    <w:p>
      <w:p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482"/>
        <w:rPr>
          <w:rFonts w:hint="eastAsia" w:ascii="宋体" w:hAnsi="宋体" w:cs="宋体"/>
          <w:b/>
          <w:color w:val="auto"/>
          <w:szCs w:val="24"/>
          <w:highlight w:val="none"/>
          <w:lang w:eastAsia="zh-CN"/>
        </w:rPr>
      </w:pPr>
      <w:r>
        <w:rPr>
          <w:rFonts w:ascii="宋体" w:hAnsi="宋体" w:cs="宋体"/>
          <w:b/>
          <w:color w:val="auto"/>
          <w:szCs w:val="24"/>
          <w:highlight w:val="none"/>
          <w:lang w:eastAsia="zh-CN"/>
        </w:rPr>
        <w:br w:type="page" w:clear="all"/>
      </w:r>
      <w:r/>
    </w:p>
    <w:p>
      <w:pPr>
        <w:pStyle w:val="902"/>
        <w:rPr>
          <w:rFonts w:hint="eastAsia"/>
          <w:color w:val="auto"/>
          <w:highlight w:val="none"/>
          <w:lang w:eastAsia="zh-CN"/>
        </w:rPr>
      </w:pPr>
      <w:r>
        <w:rPr>
          <w:rFonts w:hint="eastAsia"/>
          <w:color w:val="auto"/>
          <w:highlight w:val="none"/>
          <w:lang w:eastAsia="zh-CN"/>
        </w:rPr>
      </w:r>
      <w:r/>
    </w:p>
    <w:p>
      <w:p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numPr>
          <w:ilvl w:val="0"/>
          <w:numId w:val="11"/>
        </w:num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中小企业声明函（格式）：</w:t>
      </w:r>
      <w:r/>
    </w:p>
    <w:p>
      <w:pPr>
        <w:ind w:firstLine="0"/>
        <w:jc w:val="center"/>
        <w:widowControl w:val="off"/>
        <w:rPr>
          <w:rFonts w:ascii="Tahoma" w:hAnsi="Tahoma" w:cs="Times New Roman"/>
          <w:color w:val="auto"/>
          <w:szCs w:val="20"/>
          <w:highlight w:val="none"/>
          <w:lang w:eastAsia="zh-CN"/>
        </w:rPr>
      </w:pPr>
      <w:r/>
      <w:bookmarkStart w:id="35" w:name="_Hlk104972057"/>
      <w:r>
        <w:rPr>
          <w:rFonts w:hint="eastAsia" w:ascii="黑体" w:hAnsi="黑体" w:eastAsia="黑体" w:cs="Times New Roman"/>
          <w:bCs/>
          <w:color w:val="auto"/>
          <w:sz w:val="28"/>
          <w:szCs w:val="28"/>
          <w:highlight w:val="none"/>
          <w:lang w:eastAsia="zh-CN"/>
        </w:rPr>
        <w:t xml:space="preserve">中小企业声明函（货物）</w:t>
      </w:r>
      <w:r/>
    </w:p>
    <w:p>
      <w:pPr>
        <w:ind w:firstLine="480"/>
        <w:rPr>
          <w:rFonts w:hint="eastAsia" w:ascii="宋体" w:hAnsi="宋体" w:cs="宋体"/>
          <w:color w:val="auto"/>
          <w:highlight w:val="none"/>
        </w:rPr>
      </w:pPr>
      <w:r>
        <w:rPr>
          <w:rFonts w:hint="eastAsia" w:ascii="宋体" w:hAnsi="宋体" w:cs="宋体"/>
          <w:color w:val="auto"/>
          <w:highlight w:val="none"/>
          <w:lang w:eastAsia="zh-CN" w:bidi="ar"/>
        </w:rPr>
        <w:t xml:space="preserve">本公司（联合体）郑重声明，根据《政府采购促进中小企业发展管理办法》（财库﹝2020﹞46 号）的规定，本公司</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参加</w:t>
      </w:r>
      <w:r>
        <w:rPr>
          <w:rFonts w:hint="eastAsia" w:ascii="宋体" w:hAnsi="宋体" w:cs="宋体"/>
          <w:i/>
          <w:color w:val="auto"/>
          <w:highlight w:val="none"/>
          <w:u w:val="single"/>
          <w:lang w:eastAsia="zh-CN" w:bidi="ar"/>
        </w:rPr>
        <w:t xml:space="preserve">（单位名称）</w:t>
      </w:r>
      <w:r>
        <w:rPr>
          <w:rFonts w:hint="eastAsia" w:ascii="宋体" w:hAnsi="宋体" w:cs="宋体"/>
          <w:color w:val="auto"/>
          <w:highlight w:val="none"/>
          <w:lang w:eastAsia="zh-CN" w:bidi="ar"/>
        </w:rPr>
        <w:t xml:space="preserve">的</w:t>
      </w:r>
      <w:r>
        <w:rPr>
          <w:rFonts w:hint="eastAsia" w:ascii="宋体" w:hAnsi="宋体" w:cs="宋体"/>
          <w:i/>
          <w:color w:val="auto"/>
          <w:highlight w:val="none"/>
          <w:u w:val="single"/>
          <w:lang w:eastAsia="zh-CN" w:bidi="ar"/>
        </w:rPr>
        <w:t xml:space="preserve">（项目名称）</w:t>
      </w:r>
      <w:r>
        <w:rPr>
          <w:rFonts w:hint="eastAsia" w:ascii="宋体" w:hAnsi="宋体" w:cs="宋体"/>
          <w:color w:val="auto"/>
          <w:highlight w:val="none"/>
          <w:lang w:eastAsia="zh-CN" w:bidi="ar"/>
        </w:rPr>
        <w:t xml:space="preserve">采购活动，</w:t>
      </w:r>
      <w:r>
        <w:rPr>
          <w:rFonts w:hint="eastAsia" w:ascii="宋体" w:hAnsi="宋体" w:cs="宋体"/>
          <w:color w:val="auto"/>
          <w:highlight w:val="none"/>
          <w:lang w:eastAsia="zh-CN"/>
        </w:rPr>
        <w:t xml:space="preserve">提供的货物全部由符合政策要求的中小企业制造。</w:t>
      </w:r>
      <w:r>
        <w:rPr>
          <w:rFonts w:hint="eastAsia" w:ascii="宋体" w:hAnsi="宋体" w:cs="宋体"/>
          <w:color w:val="auto"/>
          <w:highlight w:val="none"/>
        </w:rPr>
        <w:t xml:space="preserve">企业的具体情况如下</w:t>
      </w:r>
      <w:r>
        <w:rPr>
          <w:rFonts w:hint="eastAsia" w:ascii="宋体" w:hAnsi="宋体" w:cs="宋体"/>
          <w:color w:val="auto"/>
          <w:highlight w:val="none"/>
          <w:lang w:bidi="ar"/>
        </w:rPr>
        <w:t xml:space="preserve">：</w:t>
      </w:r>
      <w:r/>
    </w:p>
    <w:p>
      <w:pPr>
        <w:numPr>
          <w:ilvl w:val="0"/>
          <w:numId w:val="12"/>
        </w:numPr>
        <w:ind w:firstLine="480"/>
        <w:rPr>
          <w:rFonts w:hint="eastAsia" w:ascii="宋体" w:hAnsi="宋体" w:cs="宋体"/>
          <w:color w:val="auto"/>
          <w:highlight w:val="none"/>
          <w:lang w:eastAsia="zh-CN"/>
        </w:rPr>
      </w:pP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u w:val="single"/>
          <w:lang w:val="en-US" w:eastAsia="zh-CN" w:bidi="ar"/>
        </w:rPr>
        <w:t xml:space="preserve">            </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12"/>
        </w:numPr>
        <w:ind w:firstLine="480"/>
        <w:rPr>
          <w:rFonts w:hint="eastAsia" w:ascii="宋体" w:hAnsi="宋体" w:cs="宋体"/>
          <w:color w:val="auto"/>
          <w:highlight w:val="none"/>
          <w:lang w:eastAsia="zh-CN" w:bidi="ar"/>
        </w:rPr>
      </w:pPr>
      <w:r>
        <w:rPr>
          <w:rFonts w:hint="eastAsia" w:ascii="宋体" w:hAnsi="宋体" w:cs="宋体"/>
          <w:color w:val="auto"/>
          <w:szCs w:val="24"/>
          <w:highlight w:val="none"/>
          <w:u w:val="single"/>
          <w:lang w:val="en-US" w:eastAsia="zh-CN" w:bidi="ar"/>
        </w:rPr>
        <w:t xml:space="preserve">                   </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12"/>
        </w:numPr>
        <w:ind w:firstLine="480"/>
        <w:rPr>
          <w:rFonts w:hint="eastAsia" w:ascii="宋体" w:hAnsi="宋体" w:cs="宋体"/>
          <w:color w:val="auto"/>
          <w:highlight w:val="none"/>
          <w:lang w:eastAsia="zh-CN" w:bidi="ar"/>
        </w:rPr>
      </w:pPr>
      <w:r>
        <w:rPr>
          <w:rFonts w:hint="eastAsia" w:ascii="宋体" w:hAnsi="宋体" w:cs="宋体"/>
          <w:color w:val="auto"/>
          <w:szCs w:val="24"/>
          <w:highlight w:val="none"/>
          <w:u w:val="single"/>
          <w:lang w:val="en-US" w:eastAsia="zh-CN" w:bidi="ar"/>
        </w:rPr>
        <w:t xml:space="preserve">             </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12"/>
        </w:numPr>
        <w:ind w:firstLine="480"/>
        <w:rPr>
          <w:rFonts w:hint="eastAsia" w:ascii="宋体" w:hAnsi="宋体" w:cs="宋体"/>
          <w:color w:val="auto"/>
          <w:highlight w:val="none"/>
          <w:lang w:eastAsia="zh-CN" w:bidi="ar"/>
        </w:rPr>
      </w:pPr>
      <w:r>
        <w:rPr>
          <w:rFonts w:hint="eastAsia" w:ascii="宋体" w:hAnsi="宋体" w:cs="宋体"/>
          <w:color w:val="auto"/>
          <w:szCs w:val="24"/>
          <w:highlight w:val="none"/>
          <w:u w:val="single"/>
          <w:lang w:val="en-US" w:eastAsia="zh-CN" w:bidi="ar"/>
        </w:rPr>
        <w:t xml:space="preserve">                 </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12"/>
        </w:numPr>
        <w:ind w:firstLine="480"/>
        <w:rPr>
          <w:rFonts w:hint="eastAsia" w:ascii="宋体" w:hAnsi="宋体" w:cs="宋体"/>
          <w:color w:val="auto"/>
          <w:highlight w:val="none"/>
          <w:lang w:eastAsia="zh-CN" w:bidi="ar"/>
        </w:rPr>
      </w:pPr>
      <w:r>
        <w:rPr>
          <w:rFonts w:hint="eastAsia" w:ascii="宋体" w:hAnsi="宋体" w:cs="宋体"/>
          <w:color w:val="auto"/>
          <w:szCs w:val="24"/>
          <w:highlight w:val="none"/>
          <w:u w:val="single"/>
          <w:lang w:val="en-US" w:eastAsia="zh-CN" w:bidi="ar"/>
        </w:rPr>
        <w:t xml:space="preserve">            </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12"/>
        </w:numPr>
        <w:ind w:firstLine="480"/>
        <w:rPr>
          <w:rFonts w:hint="eastAsia" w:ascii="宋体" w:hAnsi="宋体" w:cs="宋体"/>
          <w:color w:val="auto"/>
          <w:highlight w:val="none"/>
          <w:lang w:eastAsia="zh-CN" w:bidi="ar"/>
        </w:rPr>
      </w:pPr>
      <w:r>
        <w:rPr>
          <w:rFonts w:hint="eastAsia" w:ascii="宋体" w:hAnsi="宋体" w:cs="宋体"/>
          <w:color w:val="auto"/>
          <w:szCs w:val="24"/>
          <w:highlight w:val="none"/>
          <w:u w:val="single"/>
          <w:lang w:val="en-US" w:eastAsia="zh-CN" w:bidi="ar"/>
        </w:rPr>
        <w:t xml:space="preserve">                </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12"/>
        </w:numPr>
        <w:ind w:firstLine="480"/>
        <w:rPr>
          <w:rFonts w:hint="eastAsia" w:ascii="宋体" w:hAnsi="宋体" w:cs="宋体"/>
          <w:color w:val="auto"/>
          <w:highlight w:val="none"/>
          <w:lang w:eastAsia="zh-CN" w:bidi="ar"/>
        </w:rPr>
      </w:pPr>
      <w:r>
        <w:rPr>
          <w:rFonts w:hint="eastAsia" w:ascii="宋体" w:hAnsi="宋体" w:cs="宋体"/>
          <w:color w:val="auto"/>
          <w:szCs w:val="24"/>
          <w:highlight w:val="none"/>
          <w:u w:val="single"/>
          <w:lang w:val="en-US" w:eastAsia="zh-CN" w:bidi="ar"/>
        </w:rPr>
        <w:t xml:space="preserve">               </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12"/>
        </w:numPr>
        <w:ind w:firstLine="480"/>
        <w:rPr>
          <w:rFonts w:hint="eastAsia" w:ascii="宋体" w:hAnsi="宋体" w:cs="宋体"/>
          <w:color w:val="auto"/>
          <w:highlight w:val="none"/>
          <w:lang w:eastAsia="zh-CN" w:bidi="ar"/>
        </w:rPr>
      </w:pPr>
      <w:r>
        <w:rPr>
          <w:rFonts w:hint="eastAsia" w:ascii="宋体" w:hAnsi="宋体" w:cs="宋体"/>
          <w:color w:val="auto"/>
          <w:szCs w:val="24"/>
          <w:highlight w:val="none"/>
          <w:u w:val="single"/>
          <w:lang w:val="en-US" w:eastAsia="zh-CN" w:bidi="ar"/>
        </w:rPr>
        <w:t xml:space="preserve">                 </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12"/>
        </w:numPr>
        <w:ind w:firstLine="480"/>
        <w:rPr>
          <w:rFonts w:hint="eastAsia" w:ascii="宋体" w:hAnsi="宋体" w:cs="宋体"/>
          <w:color w:val="auto"/>
          <w:highlight w:val="none"/>
          <w:lang w:eastAsia="zh-CN" w:bidi="ar"/>
        </w:rPr>
      </w:pPr>
      <w:r>
        <w:rPr>
          <w:rFonts w:hint="eastAsia" w:ascii="宋体" w:hAnsi="宋体" w:cs="宋体"/>
          <w:color w:val="auto"/>
          <w:szCs w:val="24"/>
          <w:highlight w:val="none"/>
          <w:u w:val="single"/>
          <w:lang w:val="en-US" w:eastAsia="zh-CN" w:bidi="ar"/>
        </w:rPr>
        <w:t xml:space="preserve">                 </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12"/>
        </w:numPr>
        <w:ind w:firstLine="480"/>
        <w:rPr>
          <w:rFonts w:hint="eastAsia" w:ascii="宋体" w:hAnsi="宋体" w:cs="宋体"/>
          <w:color w:val="auto"/>
          <w:highlight w:val="none"/>
          <w:lang w:eastAsia="zh-CN" w:bidi="ar"/>
        </w:rPr>
      </w:pPr>
      <w:r>
        <w:rPr>
          <w:rFonts w:hint="eastAsia" w:ascii="宋体" w:hAnsi="宋体" w:cs="宋体"/>
          <w:color w:val="auto"/>
          <w:szCs w:val="24"/>
          <w:highlight w:val="none"/>
          <w:u w:val="single"/>
          <w:lang w:val="en-US" w:eastAsia="zh-CN" w:bidi="ar"/>
        </w:rPr>
        <w:t xml:space="preserve">           </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12"/>
        </w:numPr>
        <w:ind w:firstLine="480"/>
        <w:rPr>
          <w:rFonts w:hint="eastAsia" w:ascii="宋体" w:hAnsi="宋体" w:cs="宋体"/>
          <w:color w:val="auto"/>
          <w:highlight w:val="none"/>
          <w:lang w:eastAsia="zh-CN" w:bidi="ar"/>
        </w:rPr>
      </w:pPr>
      <w:r>
        <w:rPr>
          <w:rFonts w:hint="eastAsia" w:ascii="宋体" w:hAnsi="宋体" w:cs="宋体"/>
          <w:color w:val="auto"/>
          <w:szCs w:val="24"/>
          <w:highlight w:val="none"/>
          <w:u w:val="single"/>
          <w:lang w:val="en-US" w:eastAsia="zh-CN" w:bidi="ar"/>
        </w:rPr>
        <w:t xml:space="preserve">                </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12"/>
        </w:numPr>
        <w:ind w:firstLine="480"/>
        <w:rPr>
          <w:rFonts w:hint="eastAsia" w:ascii="宋体" w:hAnsi="宋体" w:cs="宋体"/>
          <w:color w:val="auto"/>
          <w:highlight w:val="none"/>
          <w:lang w:eastAsia="zh-CN" w:bidi="ar"/>
        </w:rPr>
      </w:pPr>
      <w:r>
        <w:rPr>
          <w:rFonts w:hint="eastAsia" w:ascii="宋体" w:hAnsi="宋体" w:cs="宋体"/>
          <w:color w:val="auto"/>
          <w:szCs w:val="24"/>
          <w:highlight w:val="none"/>
          <w:u w:val="single"/>
          <w:lang w:val="en-US" w:eastAsia="zh-CN" w:bidi="ar"/>
        </w:rPr>
        <w:t xml:space="preserve">                </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pStyle w:val="935"/>
        <w:ind w:firstLine="480"/>
        <w:spacing w:before="120" w:beforeAutospacing="0" w:after="120" w:afterAutospacing="0"/>
        <w:rPr>
          <w:rFonts w:hint="eastAsia"/>
          <w:color w:val="auto"/>
          <w:highlight w:val="none"/>
          <w:lang w:val="en-US" w:eastAsia="zh-CN"/>
        </w:rPr>
      </w:pPr>
      <w:r>
        <w:rPr>
          <w:rFonts w:hint="eastAsia"/>
          <w:color w:val="auto"/>
          <w:highlight w:val="none"/>
          <w:lang w:val="en-US" w:eastAsia="zh-CN"/>
        </w:rPr>
        <w:t xml:space="preserve">.......</w:t>
      </w:r>
      <w:r/>
    </w:p>
    <w:p>
      <w:pPr>
        <w:pStyle w:val="935"/>
        <w:ind w:firstLine="480"/>
        <w:spacing w:before="120" w:beforeAutospacing="0" w:after="120" w:afterAutospacing="0"/>
        <w:rPr>
          <w:rFonts w:hint="eastAsia"/>
          <w:color w:val="auto"/>
          <w:highlight w:val="none"/>
          <w:lang w:eastAsia="zh-CN"/>
        </w:rPr>
      </w:pPr>
      <w:r>
        <w:rPr>
          <w:rFonts w:hint="eastAsia"/>
          <w:color w:val="auto"/>
          <w:highlight w:val="none"/>
          <w:lang w:eastAsia="zh-CN"/>
        </w:rPr>
        <w:t xml:space="preserve">以上企业，不属于大企业的分支机构，不存在控股股东为大企业的情形，也不存在与大企业的负责人为同一人的情形。</w:t>
      </w:r>
      <w:r/>
    </w:p>
    <w:p>
      <w:pPr>
        <w:pStyle w:val="935"/>
        <w:ind w:firstLine="480"/>
        <w:spacing w:before="120" w:beforeAutospacing="0" w:after="120" w:afterAutospacing="0"/>
        <w:rPr>
          <w:rFonts w:hint="eastAsia"/>
          <w:color w:val="auto"/>
          <w:highlight w:val="none"/>
          <w:lang w:eastAsia="zh-CN"/>
        </w:rPr>
      </w:pPr>
      <w:r>
        <w:rPr>
          <w:rFonts w:hint="eastAsia"/>
          <w:color w:val="auto"/>
          <w:highlight w:val="none"/>
          <w:lang w:eastAsia="zh-CN"/>
        </w:rPr>
        <w:t xml:space="preserve">　　本企业对上述声明内容的真实性负责。如有虚假，将依法承担相应责任。</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4800"/>
        <w:jc w:val="both"/>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0"/>
        <w:jc w:val="both"/>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日　　　　　　期：</w:t>
      </w:r>
      <w:r/>
    </w:p>
    <w:p>
      <w:pPr>
        <w:ind w:firstLine="480"/>
        <w:jc w:val="both"/>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480"/>
        <w:jc w:val="both"/>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0"/>
        <w:jc w:val="both"/>
        <w:widowControl w:val="o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82"/>
        <w:jc w:val="both"/>
        <w:widowControl w:val="o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2"/>
        <w:jc w:val="both"/>
        <w:widowControl w:val="off"/>
        <w:rPr>
          <w:rFonts w:ascii="Times New Roman" w:hAnsi="Times New Roman"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hint="eastAsia" w:ascii="Times New Roman" w:hAnsi="Times New Roman" w:cs="Times New Roman"/>
          <w:b/>
          <w:bCs/>
          <w:color w:val="auto"/>
          <w:szCs w:val="24"/>
          <w:highlight w:val="none"/>
          <w:lang w:eastAsia="zh-CN"/>
        </w:rPr>
        <w:t xml:space="preserve">从业人员、营业收入、资产总额填报上一年度数据，无上一年度数据的新成立企业可不填报。</w:t>
      </w:r>
      <w:r/>
    </w:p>
    <w:p>
      <w:pPr>
        <w:ind w:firstLine="482"/>
        <w:jc w:val="both"/>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4.在货物采购项目中，供应商提供的货物既有中小企业制造货物，也有大型企业制造货物的，不享受本办法规定的中小企业扶持政策。</w:t>
      </w:r>
      <w:bookmarkEnd w:id="35"/>
      <w:r/>
      <w:r/>
    </w:p>
    <w:p>
      <w:pPr>
        <w:ind w:firstLine="482"/>
        <w:jc w:val="both"/>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而且要和报价明细表等的相关内容相互保持一致。漏填标的、填写的制造商名称与报价明细表不一致、未按采购标的逐项声明等情形，可能会导致《中小企业声明函》被作无效处理，由此带来的后果由供应商自行承担。</w:t>
      </w:r>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ascii="宋体" w:hAnsi="宋体" w:cs="宋体"/>
          <w:b/>
          <w:color w:val="auto"/>
          <w:szCs w:val="24"/>
          <w:highlight w:val="none"/>
          <w:lang w:eastAsia="zh-CN"/>
        </w:rPr>
        <w:br w:type="page" w:clear="all"/>
      </w:r>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（八）残疾人福利性单位声明函（格式）：</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日  期：</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before="240"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0"/>
        <w:spacing w:line="240" w:lineRule="auto"/>
        <w:rPr>
          <w:rFonts w:hint="eastAsia" w:ascii="宋体" w:hAnsi="宋体" w:cs="宋体"/>
          <w:bCs/>
          <w:color w:val="auto"/>
          <w:szCs w:val="24"/>
          <w:highlight w:val="none"/>
          <w:lang w:eastAsia="zh-CN"/>
        </w:rPr>
      </w:pPr>
      <w:r>
        <w:rPr>
          <w:rFonts w:ascii="宋体" w:hAnsi="宋体" w:cs="宋体"/>
          <w:bCs/>
          <w:color w:val="auto"/>
          <w:szCs w:val="24"/>
          <w:highlight w:val="none"/>
          <w:lang w:eastAsia="zh-CN"/>
        </w:rPr>
        <w:br w:type="page" w:clear="all"/>
      </w:r>
      <w:r/>
    </w:p>
    <w:p>
      <w:pPr>
        <w:ind w:firstLine="0"/>
        <w:spacing w:line="240" w:lineRule="auto"/>
        <w:rPr>
          <w:rFonts w:hint="eastAsia"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（九） 服务承诺（格式）：</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center"/>
        <w:widowControl w:val="off"/>
        <w:rPr>
          <w:rFonts w:ascii="Times New Roman" w:hAnsi="Times New Roman" w:cs="Times New Roman"/>
          <w:color w:val="auto"/>
          <w:sz w:val="36"/>
          <w:szCs w:val="24"/>
          <w:highlight w:val="none"/>
          <w:lang w:eastAsia="zh-CN"/>
        </w:rPr>
      </w:pPr>
      <w:r>
        <w:rPr>
          <w:rFonts w:ascii="Times New Roman" w:hAnsi="Times New Roman" w:cs="Times New Roman"/>
          <w:b/>
          <w:bCs/>
          <w:color w:val="auto"/>
          <w:sz w:val="28"/>
          <w:szCs w:val="28"/>
          <w:highlight w:val="none"/>
          <w:lang w:eastAsia="zh-CN"/>
        </w:rPr>
        <w:t xml:space="preserve">服务承诺</w:t>
      </w:r>
      <w:r/>
    </w:p>
    <w:p>
      <w:pPr>
        <w:ind w:firstLine="0"/>
        <w:jc w:val="both"/>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供应商</w:t>
      </w:r>
      <w:r>
        <w:rPr>
          <w:rFonts w:ascii="Times New Roman" w:hAnsi="Times New Roman" w:cs="Times New Roman"/>
          <w:b/>
          <w:bCs/>
          <w:color w:val="auto"/>
          <w:szCs w:val="24"/>
          <w:highlight w:val="none"/>
          <w:lang w:eastAsia="zh-CN"/>
        </w:rPr>
        <w:t xml:space="preserve">名称</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盖章</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采购编号：</w:t>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tabs>
          <w:tab w:val="left" w:pos="1418" w:leader="none"/>
        </w:tabs>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 xml:space="preserve">内容要求：</w:t>
      </w:r>
      <w:r/>
    </w:p>
    <w:p>
      <w:pPr>
        <w:ind w:firstLine="480"/>
        <w:jc w:val="both"/>
        <w:widowControl w:val="off"/>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须针对本</w:t>
      </w:r>
      <w:r>
        <w:rPr>
          <w:rFonts w:hint="eastAsia" w:ascii="Times New Roman" w:hAnsi="Times New Roman" w:cs="Times New Roman"/>
          <w:color w:val="auto"/>
          <w:szCs w:val="24"/>
          <w:highlight w:val="none"/>
          <w:lang w:eastAsia="zh-CN"/>
        </w:rPr>
        <w:t xml:space="preserve">招标</w:t>
      </w:r>
      <w:r>
        <w:rPr>
          <w:rFonts w:ascii="Times New Roman" w:hAnsi="Times New Roman" w:cs="Times New Roman"/>
          <w:color w:val="auto"/>
          <w:szCs w:val="24"/>
          <w:highlight w:val="none"/>
          <w:lang w:eastAsia="zh-CN"/>
        </w:rPr>
        <w:t xml:space="preserve">文件</w:t>
      </w:r>
      <w:r>
        <w:rPr>
          <w:rFonts w:hint="eastAsia" w:ascii="Times New Roman" w:hAnsi="Times New Roman" w:cs="Times New Roman"/>
          <w:color w:val="auto"/>
          <w:szCs w:val="24"/>
          <w:highlight w:val="none"/>
          <w:lang w:eastAsia="zh-CN"/>
        </w:rPr>
        <w:t xml:space="preserve">做出</w:t>
      </w:r>
      <w:r>
        <w:rPr>
          <w:rFonts w:ascii="Times New Roman" w:hAnsi="Times New Roman" w:cs="Times New Roman"/>
          <w:color w:val="auto"/>
          <w:szCs w:val="24"/>
          <w:highlight w:val="none"/>
          <w:lang w:eastAsia="zh-CN"/>
        </w:rPr>
        <w:t xml:space="preserve">实质性响应</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格式由</w:t>
      </w:r>
      <w:r>
        <w:rPr>
          <w:rFonts w:hint="eastAsia" w:ascii="Times New Roman" w:hAnsi="Times New Roman"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自定</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w:t>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法定代表人或</w:t>
      </w:r>
      <w:r>
        <w:rPr>
          <w:rFonts w:hint="eastAsia" w:ascii="Times New Roman" w:hAnsi="Times New Roman" w:cs="Times New Roman"/>
          <w:b/>
          <w:bCs/>
          <w:color w:val="auto"/>
          <w:szCs w:val="24"/>
          <w:highlight w:val="none"/>
          <w:lang w:eastAsia="zh-CN"/>
        </w:rPr>
        <w:t xml:space="preserve">授权委托人</w:t>
      </w:r>
      <w:r>
        <w:rPr>
          <w:rFonts w:ascii="Times New Roman" w:hAnsi="Times New Roman" w:cs="Times New Roman"/>
          <w:b/>
          <w:bCs/>
          <w:color w:val="auto"/>
          <w:szCs w:val="24"/>
          <w:highlight w:val="none"/>
          <w:lang w:eastAsia="zh-CN"/>
        </w:rPr>
        <w:t xml:space="preserve">签字或盖章：</w:t>
      </w:r>
      <w:r/>
    </w:p>
    <w:p>
      <w:pPr>
        <w:ind w:firstLine="0"/>
        <w:jc w:val="right"/>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日期：</w:t>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firstLine="0"/>
        <w:spacing w:line="240" w:lineRule="auto"/>
        <w:rPr>
          <w:rFonts w:hint="eastAsia" w:ascii="宋体" w:hAnsi="宋体" w:cs="宋体"/>
          <w:color w:val="auto"/>
          <w:sz w:val="21"/>
          <w:szCs w:val="20"/>
          <w:highlight w:val="none"/>
          <w:lang w:eastAsia="zh-CN"/>
        </w:rPr>
      </w:pPr>
      <w:r>
        <w:rPr>
          <w:rFonts w:ascii="宋体" w:hAnsi="宋体" w:cs="宋体"/>
          <w:color w:val="auto"/>
          <w:sz w:val="21"/>
          <w:szCs w:val="20"/>
          <w:highlight w:val="none"/>
          <w:lang w:eastAsia="zh-CN"/>
        </w:rPr>
        <w:br w:type="page" w:clear="all"/>
      </w:r>
      <w:r/>
    </w:p>
    <w:p>
      <w:pPr>
        <w:ind w:right="34" w:firstLine="0"/>
        <w:widowControl w:val="off"/>
        <w:rPr>
          <w:rFonts w:hint="eastAsia" w:ascii="宋体" w:hAnsi="宋体" w:cs="宋体"/>
          <w:color w:val="auto"/>
          <w:sz w:val="21"/>
          <w:szCs w:val="20"/>
          <w:highlight w:val="none"/>
          <w:lang w:eastAsia="zh-CN"/>
        </w:rPr>
      </w:pPr>
      <w:r>
        <w:rPr>
          <w:rFonts w:hint="eastAsia" w:ascii="宋体" w:hAnsi="宋体" w:cs="宋体"/>
          <w:b/>
          <w:color w:val="auto"/>
          <w:szCs w:val="24"/>
          <w:highlight w:val="none"/>
          <w:lang w:eastAsia="zh-CN"/>
        </w:rPr>
        <w:t xml:space="preserve">（十） 商务偏离表（格式）：</w:t>
      </w:r>
      <w:r/>
    </w:p>
    <w:p>
      <w:pPr>
        <w:ind w:firstLine="0"/>
        <w:jc w:val="center"/>
        <w:spacing w:line="240" w:lineRule="auto"/>
        <w:widowControl w:val="off"/>
        <w:rPr>
          <w:rFonts w:hint="eastAsia" w:ascii="等线" w:hAnsi="等线" w:eastAsia="等线"/>
          <w:color w:val="auto"/>
          <w:sz w:val="28"/>
          <w:szCs w:val="28"/>
          <w:highlight w:val="none"/>
          <w:lang w:eastAsia="zh-CN"/>
        </w:rPr>
      </w:pPr>
      <w:r>
        <w:rPr>
          <w:rFonts w:hint="eastAsia" w:ascii="等线" w:hAnsi="等线" w:eastAsia="等线"/>
          <w:color w:val="auto"/>
          <w:sz w:val="28"/>
          <w:szCs w:val="28"/>
          <w:highlight w:val="none"/>
          <w:lang w:eastAsia="zh-CN"/>
        </w:rPr>
        <w:t xml:space="preserve">商务偏离表</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p>
      <w:pPr>
        <w:ind w:firstLine="0"/>
        <w:jc w:val="both"/>
        <w:spacing w:line="400" w:lineRule="exact"/>
        <w:widowControl w:val="off"/>
        <w:rPr>
          <w:rFonts w:hint="eastAsia" w:ascii="宋体" w:hAnsi="宋体" w:eastAsia="等线"/>
          <w:bCs/>
          <w:color w:val="auto"/>
          <w:sz w:val="21"/>
          <w:highlight w:val="none"/>
          <w:lang w:eastAsia="zh-CN"/>
        </w:rPr>
      </w:pP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r/>
    </w:p>
    <w:tbl>
      <w:tblPr>
        <w:tblStyle w:val="911"/>
        <w:tblW w:w="9957" w:type="dxa"/>
        <w:tblInd w:w="20" w:type="dxa"/>
        <w:tblLayout w:type="fixed"/>
        <w:tblCellMar>
          <w:left w:w="0" w:type="dxa"/>
          <w:top w:w="0" w:type="dxa"/>
          <w:right w:w="0" w:type="dxa"/>
          <w:bottom w:w="0" w:type="dxa"/>
        </w:tblCellMar>
        <w:tblLook w:val="04A0" w:firstRow="1" w:lastRow="0" w:firstColumn="1" w:lastColumn="0" w:noHBand="0" w:noVBand="1"/>
      </w:tblPr>
      <w:tblGrid>
        <w:gridCol w:w="2005"/>
        <w:gridCol w:w="2600"/>
        <w:gridCol w:w="2600"/>
        <w:gridCol w:w="2752"/>
      </w:tblGrid>
      <w:tr>
        <w:trPr>
          <w:cantSplit/>
          <w:trHeight w:val="62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采购要求</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偏离说明</w:t>
            </w:r>
            <w:r/>
          </w:p>
        </w:tc>
      </w:tr>
      <w:tr>
        <w:trPr>
          <w:cantSplit/>
          <w:trHeight w:val="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both"/>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r>
    </w:tbl>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b/>
          <w:bCs/>
          <w:color w:val="auto"/>
          <w:sz w:val="21"/>
          <w:highlight w:val="none"/>
          <w:lang w:eastAsia="zh-CN"/>
        </w:rPr>
      </w:pPr>
      <w:r>
        <w:rPr>
          <w:rFonts w:hint="eastAsia" w:ascii="等线" w:hAnsi="等线" w:eastAsia="等线"/>
          <w:b/>
          <w:bCs/>
          <w:color w:val="auto"/>
          <w:sz w:val="21"/>
          <w:highlight w:val="none"/>
          <w:lang w:eastAsia="zh-CN"/>
        </w:rPr>
        <w:t xml:space="preserve">法定代表人或法定代表人授权代表签字或盖章：</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注：（1）本表不得删除；</w:t>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   （2）如有商务偏离项，请于本表中列明偏离内容，如需要可自行延长。</w:t>
      </w:r>
      <w:r/>
    </w:p>
    <w:p>
      <w:pPr>
        <w:ind w:firstLine="566"/>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（3）“偏离说明”项下应按下列规定填写：优于的，填写“正偏离”；符合的，填写“无偏离”；低于的，填写“负偏离”</w:t>
      </w:r>
      <w:r>
        <w:rPr>
          <w:rFonts w:hint="eastAsia" w:ascii="宋体" w:hAnsi="宋体"/>
          <w:color w:val="auto"/>
          <w:sz w:val="21"/>
          <w:highlight w:val="none"/>
          <w:lang w:eastAsia="zh-CN"/>
        </w:rPr>
        <w:t xml:space="preserve">。</w:t>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right="34" w:firstLine="0"/>
        <w:widowControl w:val="off"/>
        <w:rPr>
          <w:rFonts w:hint="eastAsia" w:ascii="宋体" w:hAnsi="宋体" w:cs="宋体"/>
          <w:color w:val="auto"/>
          <w:sz w:val="21"/>
          <w:szCs w:val="20"/>
          <w:highlight w:val="none"/>
          <w:lang w:eastAsia="zh-CN"/>
        </w:rPr>
      </w:pPr>
      <w:r>
        <w:rPr>
          <w:rFonts w:hint="eastAsia" w:ascii="宋体" w:hAnsi="宋体" w:cs="宋体"/>
          <w:b/>
          <w:color w:val="auto"/>
          <w:szCs w:val="24"/>
          <w:highlight w:val="none"/>
          <w:lang w:eastAsia="zh-CN"/>
        </w:rPr>
        <w:t xml:space="preserve">（十一） 技术规格偏离表（格式）：</w:t>
      </w:r>
      <w:r/>
    </w:p>
    <w:p>
      <w:pPr>
        <w:ind w:firstLine="0"/>
        <w:jc w:val="center"/>
        <w:spacing w:line="240" w:lineRule="auto"/>
        <w:widowControl w:val="off"/>
        <w:rPr>
          <w:rFonts w:hint="eastAsia" w:ascii="等线" w:hAnsi="等线" w:eastAsia="等线"/>
          <w:color w:val="auto"/>
          <w:sz w:val="28"/>
          <w:szCs w:val="28"/>
          <w:highlight w:val="none"/>
          <w:lang w:eastAsia="zh-CN"/>
        </w:rPr>
      </w:pPr>
      <w:r>
        <w:rPr>
          <w:rFonts w:hint="eastAsia" w:ascii="等线" w:hAnsi="等线" w:eastAsia="等线"/>
          <w:color w:val="auto"/>
          <w:sz w:val="28"/>
          <w:szCs w:val="28"/>
          <w:highlight w:val="none"/>
          <w:lang w:eastAsia="zh-CN"/>
        </w:rPr>
        <w:t xml:space="preserve">技术规格偏离表</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p>
      <w:pPr>
        <w:ind w:firstLine="0"/>
        <w:jc w:val="both"/>
        <w:spacing w:line="400" w:lineRule="exact"/>
        <w:widowControl w:val="off"/>
        <w:rPr>
          <w:rFonts w:hint="eastAsia" w:ascii="宋体" w:hAnsi="宋体" w:eastAsia="等线"/>
          <w:bCs/>
          <w:color w:val="auto"/>
          <w:sz w:val="21"/>
          <w:highlight w:val="none"/>
          <w:lang w:eastAsia="zh-CN"/>
        </w:rPr>
      </w:pP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r/>
    </w:p>
    <w:tbl>
      <w:tblPr>
        <w:tblStyle w:val="911"/>
        <w:tblW w:w="9957" w:type="dxa"/>
        <w:tblInd w:w="20" w:type="dxa"/>
        <w:tblLayout w:type="fixed"/>
        <w:tblCellMar>
          <w:left w:w="0" w:type="dxa"/>
          <w:top w:w="0" w:type="dxa"/>
          <w:right w:w="0" w:type="dxa"/>
          <w:bottom w:w="0" w:type="dxa"/>
        </w:tblCellMar>
        <w:tblLook w:val="04A0" w:firstRow="1" w:lastRow="0" w:firstColumn="1" w:lastColumn="0" w:noHBand="0" w:noVBand="1"/>
      </w:tblPr>
      <w:tblGrid>
        <w:gridCol w:w="2005"/>
        <w:gridCol w:w="2600"/>
        <w:gridCol w:w="2600"/>
        <w:gridCol w:w="2752"/>
      </w:tblGrid>
      <w:tr>
        <w:trPr>
          <w:cantSplit/>
          <w:trHeight w:val="62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参数要求</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偏离说明</w:t>
            </w:r>
            <w:r/>
          </w:p>
        </w:tc>
      </w:tr>
      <w:tr>
        <w:trPr>
          <w:cantSplit/>
          <w:trHeight w:val="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both"/>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r>
    </w:tbl>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b/>
          <w:bCs/>
          <w:color w:val="auto"/>
          <w:sz w:val="21"/>
          <w:highlight w:val="none"/>
          <w:lang w:eastAsia="zh-CN"/>
        </w:rPr>
      </w:pPr>
      <w:r>
        <w:rPr>
          <w:rFonts w:hint="eastAsia" w:ascii="等线" w:hAnsi="等线" w:eastAsia="等线"/>
          <w:b/>
          <w:bCs/>
          <w:color w:val="auto"/>
          <w:sz w:val="21"/>
          <w:highlight w:val="none"/>
          <w:lang w:eastAsia="zh-CN"/>
        </w:rPr>
        <w:t xml:space="preserve">法定代表人或法定代表人授权代表签字或盖章：</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注：（1）本表不得删除；</w:t>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   （2）如有技术参数偏离项，请于本表中列明偏离内容，如需要可自行延长。</w:t>
      </w:r>
      <w:r/>
    </w:p>
    <w:p>
      <w:pPr>
        <w:ind w:firstLine="566"/>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（3）“偏离说明”项下应按下列规定填写：优于的，填写“正偏离”；符合的，填写“无偏离”；低于的，填写“负偏离”</w:t>
      </w:r>
      <w:r>
        <w:rPr>
          <w:rFonts w:hint="eastAsia" w:ascii="宋体" w:hAnsi="宋体"/>
          <w:color w:val="auto"/>
          <w:sz w:val="21"/>
          <w:highlight w:val="none"/>
          <w:lang w:eastAsia="zh-CN"/>
        </w:rPr>
        <w:t xml:space="preserve">。</w:t>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right="34" w:firstLine="0"/>
        <w:widowControl w:val="off"/>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（十二）关于符合本国产品标准的声明函（格式）：</w:t>
      </w:r>
      <w:r/>
    </w:p>
    <w:p>
      <w:pPr>
        <w:ind w:firstLine="560"/>
        <w:jc w:val="center"/>
        <w:spacing w:line="240" w:lineRule="auto"/>
        <w:widowControl w:val="off"/>
        <w:rPr>
          <w:rFonts w:hint="eastAsia"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关于符合本国产品标准的声明函</w:t>
      </w:r>
      <w:r/>
    </w:p>
    <w:p>
      <w:pPr>
        <w:pStyle w:val="935"/>
        <w:ind w:firstLine="480"/>
        <w:spacing w:before="13" w:beforeAutospacing="0" w:after="13" w:afterAutospacing="0"/>
        <w:shd w:val="clear" w:color="auto" w:fill="ffffff"/>
        <w:rPr>
          <w:rFonts w:hint="eastAsia"/>
          <w:bCs/>
          <w:color w:val="auto"/>
          <w:highlight w:val="none"/>
          <w:lang w:eastAsia="zh-CN"/>
        </w:rPr>
      </w:pPr>
      <w:r>
        <w:rPr>
          <w:rFonts w:hint="eastAsia"/>
          <w:bCs/>
          <w:color w:val="auto"/>
          <w:highlight w:val="none"/>
          <w:lang w:eastAsia="zh-CN"/>
        </w:rPr>
      </w:r>
      <w:r/>
    </w:p>
    <w:p>
      <w:pPr>
        <w:pStyle w:val="935"/>
        <w:ind w:firstLine="480"/>
        <w:spacing w:before="13" w:beforeAutospacing="0" w:after="13" w:afterAutospacing="0"/>
        <w:shd w:val="clear" w:color="auto" w:fill="ffffff"/>
        <w:rPr>
          <w:rFonts w:hint="eastAsia"/>
          <w:bCs/>
          <w:color w:val="auto"/>
          <w:highlight w:val="none"/>
          <w:lang w:eastAsia="zh-CN"/>
        </w:rPr>
      </w:pPr>
      <w:r>
        <w:rPr>
          <w:rFonts w:hint="eastAsia"/>
          <w:bCs/>
          <w:color w:val="auto"/>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5"/>
        <w:ind w:firstLine="480"/>
        <w:spacing w:before="13" w:beforeAutospacing="0" w:after="13" w:afterAutospacing="0"/>
        <w:shd w:val="clear" w:color="auto" w:fill="ffffff"/>
        <w:rPr>
          <w:rFonts w:hint="eastAsia"/>
          <w:bCs/>
          <w:color w:val="auto"/>
          <w:highlight w:val="none"/>
          <w:lang w:eastAsia="zh-CN"/>
        </w:rPr>
      </w:pPr>
      <w:r>
        <w:rPr>
          <w:rFonts w:hint="eastAsia"/>
          <w:bCs/>
          <w:color w:val="auto"/>
          <w:highlight w:val="none"/>
          <w:lang w:eastAsia="zh-CN"/>
        </w:rPr>
        <w:t xml:space="preserve">1.（产品名称1）¹，生产厂为（厂名）²，厂址为（生产厂址）。（产品名称1）的中国境内生产的组件成本占比≥（规定比例）³。（产品名称1）的（关键组件）⁴在中国境内生产。（产品名称1）的（关键工序）⁵在中国境内完成。</w:t>
      </w:r>
      <w:r/>
    </w:p>
    <w:p>
      <w:pPr>
        <w:pStyle w:val="935"/>
        <w:ind w:firstLine="480"/>
        <w:spacing w:before="13" w:beforeAutospacing="0" w:after="13" w:afterAutospacing="0"/>
        <w:shd w:val="clear" w:color="auto" w:fill="ffffff"/>
        <w:rPr>
          <w:rFonts w:hint="eastAsia"/>
          <w:bCs/>
          <w:color w:val="auto"/>
          <w:highlight w:val="none"/>
          <w:lang w:eastAsia="zh-CN"/>
        </w:rPr>
      </w:pPr>
      <w:r>
        <w:rPr>
          <w:rFonts w:hint="eastAsia"/>
          <w:bCs/>
          <w:color w:val="auto"/>
          <w:highlight w:val="none"/>
          <w:lang w:eastAsia="zh-CN"/>
        </w:rPr>
        <w:t xml:space="preserve">2.（产品名称2），生产厂为（厂名），厂址为（生产厂址）。（产品名称2）的中国境内生产的组件成本占比≥（规定比例）。（产品名称2）的（关键组件）在中国境内生产。（产品名称2）的（关键工序）在中国境内完成。</w:t>
      </w:r>
      <w:r/>
    </w:p>
    <w:p>
      <w:pPr>
        <w:pStyle w:val="935"/>
        <w:ind w:firstLine="480"/>
        <w:spacing w:before="13" w:beforeAutospacing="0" w:after="13" w:afterAutospacing="0"/>
        <w:shd w:val="clear" w:color="auto" w:fill="ffffff"/>
        <w:rPr>
          <w:rFonts w:hint="eastAsia"/>
          <w:bCs/>
          <w:color w:val="auto"/>
          <w:highlight w:val="none"/>
          <w:lang w:eastAsia="zh-CN"/>
        </w:rPr>
      </w:pPr>
      <w:r>
        <w:rPr>
          <w:rFonts w:hint="eastAsia"/>
          <w:bCs/>
          <w:color w:val="auto"/>
          <w:highlight w:val="none"/>
          <w:lang w:eastAsia="zh-CN"/>
        </w:rPr>
        <w:t xml:space="preserve">……</w:t>
      </w:r>
      <w:r/>
    </w:p>
    <w:p>
      <w:pPr>
        <w:pStyle w:val="935"/>
        <w:ind w:firstLine="480"/>
        <w:spacing w:before="13" w:beforeAutospacing="0" w:after="13" w:afterAutospacing="0"/>
        <w:shd w:val="clear" w:color="auto" w:fill="ffffff"/>
        <w:rPr>
          <w:rFonts w:hint="eastAsia"/>
          <w:bCs/>
          <w:color w:val="auto"/>
          <w:highlight w:val="none"/>
          <w:lang w:eastAsia="zh-CN"/>
        </w:rPr>
      </w:pPr>
      <w:r>
        <w:rPr>
          <w:rFonts w:hint="eastAsia"/>
          <w:bCs/>
          <w:color w:val="auto"/>
          <w:highlight w:val="none"/>
          <w:lang w:eastAsia="zh-CN"/>
        </w:rPr>
        <w:t xml:space="preserve">本公司（单位）对上述声明内容的真实性负责。如有虚假，愿承担相应法律责任。</w:t>
      </w:r>
      <w:r/>
    </w:p>
    <w:p>
      <w:pPr>
        <w:pStyle w:val="935"/>
        <w:ind w:firstLine="480"/>
        <w:jc w:val="right"/>
        <w:spacing w:before="13" w:beforeAutospacing="0" w:after="13" w:afterAutospacing="0"/>
        <w:shd w:val="clear" w:color="auto" w:fill="ffffff"/>
        <w:rPr>
          <w:rFonts w:hint="eastAsia"/>
          <w:bCs/>
          <w:color w:val="auto"/>
          <w:highlight w:val="none"/>
          <w:lang w:eastAsia="zh-CN"/>
        </w:rPr>
      </w:pPr>
      <w:r>
        <w:rPr>
          <w:rFonts w:hint="eastAsia"/>
          <w:bCs/>
          <w:color w:val="auto"/>
          <w:highlight w:val="none"/>
          <w:lang w:eastAsia="zh-CN"/>
        </w:rPr>
        <w:t xml:space="preserve">公司（单位）名称（盖章）：      </w:t>
      </w:r>
      <w:r/>
    </w:p>
    <w:p>
      <w:pPr>
        <w:pStyle w:val="935"/>
        <w:ind w:firstLine="480"/>
        <w:jc w:val="right"/>
        <w:spacing w:before="13" w:beforeAutospacing="0" w:after="13" w:afterAutospacing="0"/>
        <w:shd w:val="clear" w:color="auto" w:fill="ffffff"/>
        <w:rPr>
          <w:rFonts w:hint="eastAsia"/>
          <w:bCs/>
          <w:color w:val="auto"/>
          <w:highlight w:val="none"/>
          <w:lang w:eastAsia="zh-CN"/>
        </w:rPr>
      </w:pPr>
      <w:r>
        <w:rPr>
          <w:rFonts w:hint="eastAsia"/>
          <w:bCs/>
          <w:color w:val="auto"/>
          <w:highlight w:val="none"/>
          <w:lang w:eastAsia="zh-CN"/>
        </w:rPr>
        <w:t xml:space="preserve">日期：　　　　　年　　月　日</w:t>
      </w:r>
      <w:r/>
    </w:p>
    <w:p>
      <w:pPr>
        <w:ind w:firstLine="480"/>
        <w:tabs>
          <w:tab w:val="center" w:pos="4870" w:leader="none"/>
        </w:tabs>
        <w:rPr>
          <w:rFonts w:hint="eastAsia" w:ascii="宋体" w:hAnsi="宋体" w:cs="宋体"/>
          <w:bCs/>
          <w:color w:val="auto"/>
          <w:highlight w:val="none"/>
        </w:rPr>
        <w:outlineLvl w:val="0"/>
      </w:pPr>
      <w:r>
        <w:rPr>
          <w:rFonts w:hint="eastAsia" w:ascii="宋体" w:hAnsi="宋体" w:cs="宋体"/>
          <w:bCs/>
          <w:color w:val="auto"/>
          <w:highlight w:val="none"/>
        </w:rPr>
      </w:r>
      <w:r/>
    </w:p>
    <w:p>
      <w:pPr>
        <w:ind w:firstLine="480"/>
        <w:tabs>
          <w:tab w:val="center" w:pos="4870" w:leader="none"/>
        </w:tabs>
        <w:rPr>
          <w:rFonts w:hint="eastAsia" w:ascii="宋体" w:hAnsi="宋体" w:cs="宋体"/>
          <w:bCs/>
          <w:color w:val="auto"/>
          <w:highlight w:val="none"/>
        </w:rPr>
        <w:outlineLvl w:val="0"/>
      </w:pPr>
      <w:r>
        <w:rPr>
          <w:rFonts w:hint="eastAsia" w:ascii="宋体" w:hAnsi="宋体" w:cs="宋体"/>
          <w:bCs/>
          <w:color w:val="auto"/>
          <w:highlight w:val="none"/>
        </w:rPr>
      </w:r>
      <w:r/>
    </w:p>
    <w:p>
      <w:pPr>
        <w:ind w:firstLine="480"/>
        <w:tabs>
          <w:tab w:val="center" w:pos="4870" w:leader="none"/>
        </w:tabs>
        <w:rPr>
          <w:rFonts w:hint="eastAsia" w:ascii="宋体" w:hAnsi="宋体" w:cs="宋体"/>
          <w:bCs/>
          <w:color w:val="auto"/>
          <w:highlight w:val="none"/>
        </w:rPr>
        <w:outlineLvl w:val="0"/>
      </w:pPr>
      <w:r>
        <w:rPr>
          <w:rFonts w:hint="eastAsia" w:ascii="宋体" w:hAnsi="宋体" w:cs="宋体"/>
          <w:bCs/>
          <w:color w:val="auto"/>
          <w:highlight w:val="none"/>
        </w:rPr>
      </w:r>
      <w:r/>
    </w:p>
    <w:p>
      <w:pPr>
        <w:ind w:firstLine="480"/>
        <w:tabs>
          <w:tab w:val="center" w:pos="4870" w:leader="none"/>
        </w:tabs>
        <w:rPr>
          <w:rFonts w:hint="eastAsia" w:ascii="宋体" w:hAnsi="宋体" w:cs="宋体"/>
          <w:bCs/>
          <w:color w:val="auto"/>
          <w:highlight w:val="none"/>
        </w:rPr>
        <w:outlineLvl w:val="0"/>
      </w:pPr>
      <w:r>
        <w:rPr>
          <w:rFonts w:hint="eastAsia" w:ascii="宋体" w:hAnsi="宋体" w:cs="宋体"/>
          <w:bCs/>
          <w:color w:val="auto"/>
          <w:highlight w:val="none"/>
        </w:rPr>
      </w:r>
      <w:r/>
    </w:p>
    <w:p>
      <w:pPr>
        <w:pStyle w:val="917"/>
        <w:ind w:left="1880" w:hanging="440"/>
        <w:spacing w:before="100" w:beforeAutospacing="1" w:after="100" w:afterAutospacing="1"/>
        <w:widowControl/>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注：</w:t>
      </w:r>
      <w:r/>
    </w:p>
    <w:p>
      <w:pPr>
        <w:pStyle w:val="917"/>
        <w:ind w:left="1880" w:hanging="440"/>
        <w:spacing w:before="100" w:beforeAutospacing="1" w:after="100" w:afterAutospacing="1"/>
        <w:widowControl/>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1.产品如有型号，请在“产品名称”栏一并填写。</w:t>
      </w:r>
      <w:r/>
    </w:p>
    <w:p>
      <w:pPr>
        <w:pStyle w:val="917"/>
        <w:ind w:left="1880" w:hanging="440"/>
        <w:spacing w:before="100" w:beforeAutospacing="1" w:after="100" w:afterAutospacing="1"/>
        <w:widowControl/>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2.生产厂名与厂址应与生产厂营业执照载明的相关信息保持一致。</w:t>
      </w:r>
      <w:r/>
    </w:p>
    <w:p>
      <w:pPr>
        <w:pStyle w:val="917"/>
        <w:ind w:left="1880" w:hanging="440"/>
        <w:spacing w:before="100" w:beforeAutospacing="1" w:after="100" w:afterAutospacing="1"/>
        <w:widowControl/>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3.该产品的中国境内生产的组件成本占比相关要求实施前，“规定比例”栏可不填，下同。</w:t>
      </w:r>
      <w:r/>
    </w:p>
    <w:p>
      <w:pPr>
        <w:pStyle w:val="917"/>
        <w:ind w:left="1440"/>
        <w:spacing w:before="100" w:beforeAutospacing="1" w:after="100" w:afterAutospacing="1"/>
        <w:widowControl/>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（在分产品确定的中国境内生产组件成本占比要求正式实施前，只要产品符合“在中华人民共和国关境内完成制造、加工或组装”的基本条件，即可视同为本国产品，无需填写具体的比例数值）</w:t>
      </w:r>
      <w:r/>
    </w:p>
    <w:p>
      <w:pPr>
        <w:pStyle w:val="917"/>
        <w:ind w:left="1880" w:hanging="440"/>
        <w:spacing w:before="100" w:beforeAutospacing="1" w:after="100" w:afterAutospacing="1"/>
        <w:widowControl/>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4.该产品的关键组件要求实施前，“关键组件”栏可不填，下同。</w:t>
      </w:r>
      <w:r/>
    </w:p>
    <w:p>
      <w:pPr>
        <w:pStyle w:val="917"/>
        <w:ind w:left="1880" w:hanging="440"/>
        <w:spacing w:before="100" w:beforeAutospacing="1" w:after="100" w:afterAutospacing="1"/>
        <w:widowControl/>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5.该产品的关键工序要求实施前，“关键工序”栏可不填，下同。</w:t>
      </w:r>
      <w:r/>
    </w:p>
    <w:p>
      <w:pPr>
        <w:numPr>
          <w:ilvl w:val="255"/>
          <w:numId w:val="0"/>
        </w:numPr>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rPr>
        <w:t xml:space="preserve">（十三）</w:t>
      </w:r>
      <w:r>
        <w:rPr>
          <w:rFonts w:hint="eastAsia" w:ascii="宋体" w:hAnsi="宋体" w:cs="宋体"/>
          <w:b/>
          <w:color w:val="auto"/>
          <w:szCs w:val="24"/>
          <w:highlight w:val="none"/>
          <w:lang w:eastAsia="zh-CN" w:bidi="ar"/>
        </w:rPr>
        <w:t xml:space="preserve">供应商情况表（格式）：</w:t>
      </w:r>
      <w:r/>
    </w:p>
    <w:p>
      <w:pPr>
        <w:numPr>
          <w:ilvl w:val="255"/>
          <w:numId w:val="0"/>
        </w:numPr>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r>
      <w:r/>
    </w:p>
    <w:p>
      <w:pPr>
        <w:numPr>
          <w:ilvl w:val="255"/>
          <w:numId w:val="0"/>
        </w:numPr>
        <w:jc w:val="center"/>
        <w:shd w:val="clear" w:color="auto" w:fill="ffffff"/>
        <w:rPr>
          <w:rFonts w:hint="eastAsia" w:ascii="黑体" w:hAnsi="黑体" w:eastAsia="黑体" w:cs="黑体"/>
          <w:color w:val="auto"/>
          <w:sz w:val="28"/>
          <w:szCs w:val="28"/>
          <w:highlight w:val="none"/>
          <w:shd w:val="clear" w:color="auto" w:fill="ffffff"/>
          <w:lang w:eastAsia="zh-CN" w:bidi="ar"/>
        </w:rPr>
      </w:pPr>
      <w:r>
        <w:rPr>
          <w:rFonts w:hint="eastAsia" w:ascii="黑体" w:hAnsi="黑体" w:eastAsia="黑体" w:cs="黑体"/>
          <w:color w:val="auto"/>
          <w:sz w:val="28"/>
          <w:szCs w:val="28"/>
          <w:highlight w:val="none"/>
          <w:shd w:val="clear" w:color="auto" w:fill="ffffff"/>
          <w:lang w:eastAsia="zh-CN" w:bidi="ar"/>
        </w:rPr>
        <w:t xml:space="preserve">供应商情况表</w:t>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tbl>
      <w:tblPr>
        <w:tblStyle w:val="9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9"/>
        <w:gridCol w:w="2700"/>
        <w:gridCol w:w="1960"/>
        <w:gridCol w:w="1889"/>
      </w:tblGrid>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法定代表人</w:t>
            </w:r>
            <w:r/>
          </w:p>
        </w:tc>
        <w:tc>
          <w:tcPr>
            <w:tcW w:w="270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成立日期</w:t>
            </w:r>
            <w:r/>
          </w:p>
        </w:tc>
        <w:tc>
          <w:tcPr>
            <w:tcW w:w="188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企业地址</w:t>
            </w:r>
            <w:r/>
          </w:p>
        </w:tc>
        <w:tc>
          <w:tcPr>
            <w:tcW w:w="270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注册资本</w:t>
            </w:r>
            <w:r/>
          </w:p>
        </w:tc>
        <w:tc>
          <w:tcPr>
            <w:tcW w:w="188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经营范围</w:t>
            </w:r>
            <w:r/>
          </w:p>
        </w:tc>
        <w:tc>
          <w:tcPr>
            <w:gridSpan w:val="3"/>
            <w:tcW w:w="654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开户行</w:t>
            </w:r>
            <w:r/>
          </w:p>
        </w:tc>
        <w:tc>
          <w:tcPr>
            <w:tcW w:w="270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银行账号</w:t>
            </w:r>
            <w:r/>
          </w:p>
        </w:tc>
        <w:tc>
          <w:tcPr>
            <w:tcW w:w="188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资产总计</w:t>
            </w:r>
            <w:r/>
          </w:p>
        </w:tc>
        <w:tc>
          <w:tcPr>
            <w:tcW w:w="2700" w:type="dxa"/>
            <w:vAlign w:val="center"/>
            <w:textDirection w:val="lrTb"/>
            <w:noWrap w:val="false"/>
          </w:tcPr>
          <w:p>
            <w:pPr>
              <w:ind w:firstLine="96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总资产</w:t>
            </w:r>
            <w:r/>
          </w:p>
        </w:tc>
        <w:tc>
          <w:tcPr>
            <w:tcW w:w="1889" w:type="dxa"/>
            <w:vAlign w:val="center"/>
            <w:textDirection w:val="lrTb"/>
            <w:noWrap w:val="false"/>
          </w:tcPr>
          <w:p>
            <w:pPr>
              <w:ind w:firstLine="96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股东权益</w:t>
            </w:r>
            <w:r/>
          </w:p>
        </w:tc>
        <w:tc>
          <w:tcPr>
            <w:tcW w:w="2700" w:type="dxa"/>
            <w:vAlign w:val="center"/>
            <w:textDirection w:val="lrTb"/>
            <w:noWrap w:val="false"/>
          </w:tcPr>
          <w:p>
            <w:pPr>
              <w:ind w:firstLine="96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主营收入</w:t>
            </w:r>
            <w:r/>
          </w:p>
        </w:tc>
        <w:tc>
          <w:tcPr>
            <w:tcW w:w="188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2025年  万元</w:t>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实现利润</w:t>
            </w:r>
            <w:r/>
          </w:p>
        </w:tc>
        <w:tc>
          <w:tcPr>
            <w:tcW w:w="270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2025年   万元</w:t>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社保缴纳人数</w:t>
            </w:r>
            <w:r/>
          </w:p>
        </w:tc>
        <w:tc>
          <w:tcPr>
            <w:tcW w:w="188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经营面积</w:t>
            </w:r>
            <w:r/>
          </w:p>
        </w:tc>
        <w:tc>
          <w:tcPr>
            <w:tcW w:w="2700" w:type="dxa"/>
            <w:vAlign w:val="center"/>
            <w:textDirection w:val="lrTb"/>
            <w:noWrap w:val="false"/>
          </w:tcPr>
          <w:p>
            <w:pPr>
              <w:ind w:firstLine="96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平方米</w:t>
            </w:r>
            <w:r/>
          </w:p>
        </w:tc>
        <w:tc>
          <w:tcPr>
            <w:tcW w:w="1960"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其中：</w:t>
            </w:r>
            <w:r/>
          </w:p>
        </w:tc>
        <w:tc>
          <w:tcPr>
            <w:tcW w:w="188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自有面积</w:t>
            </w:r>
            <w:r/>
          </w:p>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承租面积</w:t>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单位建立及内设机构情况</w:t>
            </w:r>
            <w:r/>
          </w:p>
        </w:tc>
        <w:tc>
          <w:tcPr>
            <w:gridSpan w:val="3"/>
            <w:tcW w:w="654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单位优势及特长</w:t>
            </w:r>
            <w:r/>
          </w:p>
        </w:tc>
        <w:tc>
          <w:tcPr>
            <w:gridSpan w:val="3"/>
            <w:tcW w:w="654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近三年来完成或正在履行的重大合同情况</w:t>
            </w:r>
            <w:r/>
          </w:p>
        </w:tc>
        <w:tc>
          <w:tcPr>
            <w:gridSpan w:val="3"/>
            <w:tcW w:w="654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最近2年内在经营过程中受到何种奖励或处分</w:t>
            </w:r>
            <w:r/>
          </w:p>
        </w:tc>
        <w:tc>
          <w:tcPr>
            <w:gridSpan w:val="3"/>
            <w:tcW w:w="654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（包括财政、工商、税务、物价、技监部门稽查情况及结果）</w:t>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最近3年内有无因售假、售劣或是其他原因被消费者投诉或起诉的情况及说明</w:t>
            </w:r>
            <w:r/>
          </w:p>
        </w:tc>
        <w:tc>
          <w:tcPr>
            <w:gridSpan w:val="3"/>
            <w:tcW w:w="654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（包括解决方式和结果）</w:t>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参加政府采购活动前三年内，在经营活动中有无重大违法记录情况及说明</w:t>
            </w:r>
            <w:r/>
          </w:p>
        </w:tc>
        <w:tc>
          <w:tcPr>
            <w:gridSpan w:val="3"/>
            <w:tcW w:w="654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获得技术认证的工程师及简介</w:t>
            </w:r>
            <w:r/>
          </w:p>
        </w:tc>
        <w:tc>
          <w:tcPr>
            <w:gridSpan w:val="3"/>
            <w:tcW w:w="654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其他需要说明的情况</w:t>
            </w:r>
            <w:r/>
          </w:p>
        </w:tc>
        <w:tc>
          <w:tcPr>
            <w:gridSpan w:val="3"/>
            <w:tcW w:w="6549" w:type="dxa"/>
            <w:vAlign w:val="center"/>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bl>
    <w:p>
      <w:pPr>
        <w:ind w:firstLine="0"/>
        <w:spacing w:line="240" w:lineRule="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p>
      <w:pPr>
        <w:ind w:firstLine="0"/>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t xml:space="preserve">（十四）</w:t>
      </w:r>
      <w:r>
        <w:rPr>
          <w:rFonts w:hint="eastAsia" w:ascii="宋体" w:hAnsi="宋体" w:cs="宋体"/>
          <w:b/>
          <w:color w:val="auto"/>
          <w:szCs w:val="24"/>
          <w:highlight w:val="none"/>
          <w:lang w:eastAsia="zh-CN"/>
        </w:rPr>
        <w:t xml:space="preserve">供应商近年来已完成类似业绩一览表</w:t>
      </w:r>
      <w:r>
        <w:rPr>
          <w:rFonts w:hint="eastAsia" w:ascii="宋体" w:hAnsi="宋体" w:cs="宋体"/>
          <w:b/>
          <w:color w:val="auto"/>
          <w:szCs w:val="24"/>
          <w:highlight w:val="none"/>
          <w:lang w:eastAsia="zh-CN" w:bidi="ar"/>
        </w:rPr>
        <w:t xml:space="preserve">（格式）：</w:t>
      </w:r>
      <w:r/>
    </w:p>
    <w:p>
      <w:pPr>
        <w:numPr>
          <w:ilvl w:val="255"/>
          <w:numId w:val="0"/>
        </w:numPr>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r>
      <w:r/>
    </w:p>
    <w:p>
      <w:pPr>
        <w:numPr>
          <w:ilvl w:val="255"/>
          <w:numId w:val="0"/>
        </w:numPr>
        <w:jc w:val="center"/>
        <w:spacing w:line="240" w:lineRule="auto"/>
        <w:widowControl w:val="off"/>
        <w:rPr>
          <w:rFonts w:hint="eastAsia" w:ascii="黑体" w:hAnsi="黑体" w:eastAsia="黑体" w:cs="黑体"/>
          <w:b/>
          <w:color w:val="auto"/>
          <w:sz w:val="28"/>
          <w:szCs w:val="28"/>
          <w:highlight w:val="none"/>
          <w:lang w:eastAsia="zh-CN"/>
        </w:rPr>
      </w:pPr>
      <w:r>
        <w:rPr>
          <w:rFonts w:hint="eastAsia" w:ascii="黑体" w:hAnsi="黑体" w:eastAsia="黑体" w:cs="黑体"/>
          <w:b/>
          <w:color w:val="auto"/>
          <w:sz w:val="28"/>
          <w:szCs w:val="28"/>
          <w:highlight w:val="none"/>
          <w:lang w:eastAsia="zh-CN"/>
        </w:rPr>
        <w:t xml:space="preserve">供应商近年已完成类似业绩一览表</w:t>
      </w:r>
      <w:r/>
    </w:p>
    <w:p>
      <w:pPr>
        <w:numPr>
          <w:ilvl w:val="255"/>
          <w:numId w:val="0"/>
        </w:numPr>
        <w:jc w:val="center"/>
        <w:spacing w:line="240" w:lineRule="auto"/>
        <w:widowControl w:val="off"/>
        <w:rPr>
          <w:rFonts w:hint="eastAsia" w:ascii="黑体" w:hAnsi="黑体" w:eastAsia="黑体" w:cs="黑体"/>
          <w:b/>
          <w:color w:val="auto"/>
          <w:sz w:val="28"/>
          <w:szCs w:val="28"/>
          <w:highlight w:val="none"/>
          <w:lang w:eastAsia="zh-CN"/>
        </w:rPr>
      </w:pPr>
      <w:r>
        <w:rPr>
          <w:rFonts w:hint="eastAsia" w:ascii="黑体" w:hAnsi="黑体" w:eastAsia="黑体" w:cs="黑体"/>
          <w:b/>
          <w:color w:val="auto"/>
          <w:sz w:val="28"/>
          <w:szCs w:val="28"/>
          <w:highlight w:val="none"/>
          <w:lang w:eastAsia="zh-CN"/>
        </w:rPr>
      </w:r>
      <w:r/>
    </w:p>
    <w:p>
      <w:pPr>
        <w:numPr>
          <w:ilvl w:val="255"/>
          <w:numId w:val="0"/>
        </w:numPr>
        <w:shd w:val="clear" w:color="auto" w:fill="ffffff"/>
        <w:rPr>
          <w:rFonts w:hint="eastAsia" w:ascii="宋体" w:hAnsi="宋体" w:cs="宋体"/>
          <w:color w:val="auto"/>
          <w:szCs w:val="24"/>
          <w:highlight w:val="none"/>
          <w:shd w:val="clear" w:color="auto" w:fill="ffffff"/>
          <w:lang w:eastAsia="zh-CN" w:bidi="ar"/>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p>
    <w:tbl>
      <w:tblPr>
        <w:tblStyle w:val="9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1689"/>
        <w:gridCol w:w="1690"/>
        <w:gridCol w:w="1690"/>
        <w:gridCol w:w="1690"/>
        <w:gridCol w:w="1690"/>
      </w:tblGrid>
      <w:tr>
        <w:trPr/>
        <w:tc>
          <w:tcPr>
            <w:tcW w:w="1689" w:type="dxa"/>
            <w:vAlign w:val="center"/>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序号</w:t>
            </w:r>
            <w:r/>
          </w:p>
        </w:tc>
        <w:tc>
          <w:tcPr>
            <w:tcW w:w="1689" w:type="dxa"/>
            <w:vAlign w:val="center"/>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项目名称</w:t>
            </w:r>
            <w:r/>
          </w:p>
        </w:tc>
        <w:tc>
          <w:tcPr>
            <w:tcW w:w="1690" w:type="dxa"/>
            <w:vAlign w:val="center"/>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采购人</w:t>
            </w:r>
            <w:r/>
          </w:p>
        </w:tc>
        <w:tc>
          <w:tcPr>
            <w:tcW w:w="1690" w:type="dxa"/>
            <w:vAlign w:val="center"/>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合同金额</w:t>
            </w:r>
            <w:r/>
          </w:p>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690" w:type="dxa"/>
            <w:vAlign w:val="center"/>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合同签订日期</w:t>
            </w:r>
            <w:r/>
          </w:p>
        </w:tc>
        <w:tc>
          <w:tcPr>
            <w:tcW w:w="1690" w:type="dxa"/>
            <w:vAlign w:val="center"/>
            <w:textDirection w:val="lrTb"/>
            <w:noWrap w:val="false"/>
          </w:tcPr>
          <w:p>
            <w:pPr>
              <w:ind w:firstLine="0"/>
              <w:jc w:val="center"/>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概况</w:t>
            </w:r>
            <w:r/>
          </w:p>
        </w:tc>
      </w:tr>
      <w:tr>
        <w:trPr/>
        <w:tc>
          <w:tcPr>
            <w:tcW w:w="1689"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1</w:t>
            </w:r>
            <w:r/>
          </w:p>
        </w:tc>
        <w:tc>
          <w:tcPr>
            <w:tcW w:w="1689"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w:t>
            </w:r>
            <w:r/>
          </w:p>
        </w:tc>
        <w:tc>
          <w:tcPr>
            <w:tcW w:w="1689"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3</w:t>
            </w:r>
            <w:r/>
          </w:p>
        </w:tc>
        <w:tc>
          <w:tcPr>
            <w:tcW w:w="1689"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4</w:t>
            </w:r>
            <w:r/>
          </w:p>
        </w:tc>
        <w:tc>
          <w:tcPr>
            <w:tcW w:w="1689"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5</w:t>
            </w:r>
            <w:r/>
          </w:p>
        </w:tc>
        <w:tc>
          <w:tcPr>
            <w:tcW w:w="1689"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tc>
      </w:tr>
    </w:tbl>
    <w:p>
      <w:pPr>
        <w:ind w:firstLine="0"/>
        <w:jc w:val="both"/>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（十五）技术方案（详见评分标准）</w:t>
      </w:r>
      <w:r/>
    </w:p>
    <w:p>
      <w:pPr>
        <w:ind w:firstLine="0"/>
        <w:spacing w:line="240" w:lineRule="auto"/>
        <w:widowControl w:val="off"/>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992" w:bottom="1440" w:left="992" w:header="847"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汉仪书宋二S">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Yu Gothic">
    <w:panose1 w:val="020B0400000000000000"/>
  </w:font>
  <w:font w:name="Segoe UI">
    <w:panose1 w:val="020B0502040204020203"/>
  </w:font>
  <w:font w:name="Calibri">
    <w:panose1 w:val="020F0502020204030204"/>
  </w:font>
  <w:font w:name="等线">
    <w:panose1 w:val="02010600030101010101"/>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4"/>
                            <w:ind w:firstLine="360"/>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ind w:firstLine="360"/>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3076452"/>
      <w:rPr/>
    </w:sdtPr>
    <w:sdtContent>
      <w:p>
        <w:pPr>
          <w:pStyle w:val="924"/>
          <w:ind w:firstLine="360"/>
          <w:jc w:val="center"/>
        </w:pPr>
        <w:r>
          <w:fldChar w:fldCharType="begin"/>
        </w:r>
        <w:r>
          <w:instrText xml:space="preserve">PAGE   \* MERGEFORMAT</w:instrText>
        </w:r>
        <w:r>
          <w:fldChar w:fldCharType="separate"/>
        </w:r>
        <w:r>
          <w:rPr>
            <w:lang w:val="zh-CN" w:eastAsia="zh-CN"/>
          </w:rPr>
          <w:t xml:space="preserve">57</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left"/>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default="1">
    <w:name w:val="Normal"/>
    <w:next w:val="902"/>
    <w:uiPriority w:val="0"/>
    <w:qFormat/>
    <w:pPr>
      <w:ind w:firstLine="200"/>
      <w:spacing w:line="360" w:lineRule="auto"/>
    </w:pPr>
    <w:rPr>
      <w:rFonts w:hint="default" w:ascii="Arial" w:hAnsi="Arial" w:eastAsia="宋体" w:cs="Arial"/>
      <w:color w:val="000000"/>
      <w:sz w:val="24"/>
      <w:szCs w:val="21"/>
      <w:lang w:val="en-US" w:eastAsia="en-US" w:bidi="ar-SA"/>
    </w:rPr>
  </w:style>
  <w:style w:type="paragraph" w:styleId="901">
    <w:name w:val="Heading 1"/>
    <w:basedOn w:val="900"/>
    <w:next w:val="900"/>
    <w:link w:val="1092"/>
    <w:uiPriority w:val="9"/>
    <w:qFormat/>
    <w:pPr>
      <w:ind w:firstLine="0"/>
      <w:jc w:val="center"/>
      <w:keepLines/>
      <w:keepNext/>
      <w:spacing w:line="240" w:lineRule="auto"/>
      <w:outlineLvl w:val="0"/>
    </w:pPr>
    <w:rPr>
      <w:rFonts w:eastAsia="黑体"/>
      <w:b/>
      <w:bCs/>
      <w:sz w:val="36"/>
      <w:szCs w:val="44"/>
    </w:rPr>
  </w:style>
  <w:style w:type="paragraph" w:styleId="902">
    <w:name w:val="Heading 2"/>
    <w:basedOn w:val="900"/>
    <w:next w:val="900"/>
    <w:link w:val="1095"/>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903">
    <w:name w:val="Heading 3"/>
    <w:basedOn w:val="900"/>
    <w:next w:val="900"/>
    <w:link w:val="1096"/>
    <w:uiPriority w:val="9"/>
    <w:unhideWhenUsed/>
    <w:qFormat/>
    <w:pPr>
      <w:ind w:firstLine="0"/>
      <w:keepLines/>
      <w:keepNext/>
      <w:spacing w:line="240" w:lineRule="auto"/>
      <w:outlineLvl w:val="2"/>
    </w:pPr>
    <w:rPr>
      <w:bCs/>
      <w:sz w:val="32"/>
      <w:szCs w:val="32"/>
    </w:rPr>
  </w:style>
  <w:style w:type="paragraph" w:styleId="904">
    <w:name w:val="Heading 4"/>
    <w:basedOn w:val="900"/>
    <w:next w:val="900"/>
    <w:link w:val="1097"/>
    <w:uiPriority w:val="9"/>
    <w:unhideWhenUsed/>
    <w:qFormat/>
    <w:pPr>
      <w:ind w:firstLine="0"/>
      <w:keepLines/>
      <w:keepNext/>
      <w:spacing w:before="120"/>
      <w:outlineLvl w:val="3"/>
    </w:pPr>
    <w:rPr>
      <w:rFonts w:asciiTheme="majorHAnsi" w:hAnsiTheme="majorHAnsi" w:cstheme="majorBidi"/>
      <w:b/>
      <w:bCs/>
      <w:sz w:val="28"/>
      <w:szCs w:val="28"/>
    </w:rPr>
  </w:style>
  <w:style w:type="paragraph" w:styleId="905">
    <w:name w:val="Heading 5"/>
    <w:basedOn w:val="900"/>
    <w:next w:val="900"/>
    <w:link w:val="949"/>
    <w:uiPriority w:val="9"/>
    <w:unhideWhenUsed/>
    <w:qFormat/>
    <w:pPr>
      <w:keepLines/>
      <w:keepNext/>
      <w:spacing w:before="320" w:after="200"/>
      <w:outlineLvl w:val="4"/>
    </w:pPr>
    <w:rPr>
      <w:rFonts w:ascii="Arial" w:hAnsi="Arial" w:eastAsia="Arial" w:cs="Arial"/>
      <w:b/>
      <w:bCs/>
      <w:sz w:val="24"/>
      <w:szCs w:val="24"/>
    </w:rPr>
  </w:style>
  <w:style w:type="paragraph" w:styleId="906">
    <w:name w:val="Heading 6"/>
    <w:basedOn w:val="900"/>
    <w:next w:val="900"/>
    <w:link w:val="950"/>
    <w:uiPriority w:val="9"/>
    <w:unhideWhenUsed/>
    <w:qFormat/>
    <w:pPr>
      <w:keepLines/>
      <w:keepNext/>
      <w:spacing w:before="320" w:after="200"/>
      <w:outlineLvl w:val="5"/>
    </w:pPr>
    <w:rPr>
      <w:rFonts w:ascii="Arial" w:hAnsi="Arial" w:eastAsia="Arial" w:cs="Arial"/>
      <w:b/>
      <w:bCs/>
      <w:sz w:val="22"/>
      <w:szCs w:val="22"/>
    </w:rPr>
  </w:style>
  <w:style w:type="paragraph" w:styleId="907">
    <w:name w:val="Heading 7"/>
    <w:basedOn w:val="900"/>
    <w:next w:val="900"/>
    <w:link w:val="951"/>
    <w:uiPriority w:val="9"/>
    <w:unhideWhenUsed/>
    <w:qFormat/>
    <w:pPr>
      <w:keepLines/>
      <w:keepNext/>
      <w:spacing w:before="320" w:after="200"/>
      <w:outlineLvl w:val="6"/>
    </w:pPr>
    <w:rPr>
      <w:rFonts w:ascii="Arial" w:hAnsi="Arial" w:eastAsia="Arial" w:cs="Arial"/>
      <w:b/>
      <w:bCs/>
      <w:i/>
      <w:iCs/>
      <w:sz w:val="22"/>
      <w:szCs w:val="22"/>
    </w:rPr>
  </w:style>
  <w:style w:type="paragraph" w:styleId="908">
    <w:name w:val="Heading 8"/>
    <w:basedOn w:val="900"/>
    <w:next w:val="900"/>
    <w:link w:val="952"/>
    <w:uiPriority w:val="9"/>
    <w:unhideWhenUsed/>
    <w:qFormat/>
    <w:pPr>
      <w:keepLines/>
      <w:keepNext/>
      <w:spacing w:before="320" w:after="200"/>
      <w:outlineLvl w:val="7"/>
    </w:pPr>
    <w:rPr>
      <w:rFonts w:ascii="Arial" w:hAnsi="Arial" w:eastAsia="Arial" w:cs="Arial"/>
      <w:i/>
      <w:iCs/>
      <w:sz w:val="22"/>
      <w:szCs w:val="22"/>
    </w:rPr>
  </w:style>
  <w:style w:type="paragraph" w:styleId="909">
    <w:name w:val="Heading 9"/>
    <w:basedOn w:val="900"/>
    <w:next w:val="900"/>
    <w:link w:val="953"/>
    <w:uiPriority w:val="9"/>
    <w:unhideWhenUsed/>
    <w:qFormat/>
    <w:pPr>
      <w:keepLines/>
      <w:keepNext/>
      <w:spacing w:before="320" w:after="200"/>
      <w:outlineLvl w:val="8"/>
    </w:pPr>
    <w:rPr>
      <w:rFonts w:ascii="Arial" w:hAnsi="Arial" w:eastAsia="Arial" w:cs="Arial"/>
      <w:i/>
      <w:iCs/>
      <w:sz w:val="21"/>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toc 7"/>
    <w:basedOn w:val="900"/>
    <w:next w:val="900"/>
    <w:uiPriority w:val="39"/>
    <w:unhideWhenUsed/>
    <w:pPr>
      <w:ind w:left="1701" w:right="0" w:firstLine="0"/>
      <w:spacing w:after="57"/>
    </w:pPr>
  </w:style>
  <w:style w:type="paragraph" w:styleId="913">
    <w:name w:val="Caption"/>
    <w:basedOn w:val="900"/>
    <w:next w:val="90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14">
    <w:name w:val="annotation text"/>
    <w:basedOn w:val="900"/>
    <w:link w:val="1110"/>
    <w:uiPriority w:val="99"/>
    <w:semiHidden/>
    <w:unhideWhenUsed/>
    <w:qFormat/>
  </w:style>
  <w:style w:type="paragraph" w:styleId="915">
    <w:name w:val="Body Text"/>
    <w:basedOn w:val="900"/>
    <w:next w:val="900"/>
    <w:link w:val="1094"/>
    <w:uiPriority w:val="0"/>
    <w:semiHidden/>
    <w:qFormat/>
    <w:pPr>
      <w:ind w:firstLine="0"/>
      <w:spacing w:line="240" w:lineRule="auto"/>
    </w:pPr>
    <w:rPr>
      <w:rFonts w:eastAsia="Arial"/>
      <w:sz w:val="21"/>
    </w:rPr>
  </w:style>
  <w:style w:type="paragraph" w:styleId="916">
    <w:name w:val="Body Text Indent"/>
    <w:basedOn w:val="900"/>
    <w:link w:val="1100"/>
    <w:uiPriority w:val="99"/>
    <w:semiHidden/>
    <w:unhideWhenUsed/>
    <w:qFormat/>
    <w:pPr>
      <w:ind w:left="420"/>
      <w:spacing w:after="120"/>
    </w:pPr>
  </w:style>
  <w:style w:type="paragraph" w:styleId="917">
    <w:name w:val="index 4"/>
    <w:basedOn w:val="900"/>
    <w:next w:val="900"/>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918">
    <w:name w:val="toc 5"/>
    <w:basedOn w:val="900"/>
    <w:next w:val="900"/>
    <w:uiPriority w:val="39"/>
    <w:unhideWhenUsed/>
    <w:pPr>
      <w:ind w:left="1134" w:right="0" w:firstLine="0"/>
      <w:spacing w:after="57"/>
    </w:pPr>
  </w:style>
  <w:style w:type="paragraph" w:styleId="919">
    <w:name w:val="toc 3"/>
    <w:basedOn w:val="900"/>
    <w:next w:val="900"/>
    <w:uiPriority w:val="39"/>
    <w:unhideWhenUsed/>
    <w:qFormat/>
    <w:pPr>
      <w:ind w:left="840"/>
    </w:pPr>
  </w:style>
  <w:style w:type="paragraph" w:styleId="920">
    <w:name w:val="Plain Text"/>
    <w:basedOn w:val="900"/>
    <w:link w:val="1101"/>
    <w:uiPriority w:val="0"/>
    <w:qFormat/>
    <w:pPr>
      <w:ind w:firstLine="0"/>
      <w:jc w:val="both"/>
      <w:spacing w:line="240" w:lineRule="auto"/>
      <w:widowControl w:val="off"/>
    </w:pPr>
    <w:rPr>
      <w:rFonts w:ascii="宋体" w:hAnsi="Courier New" w:cs="Courier New"/>
      <w:color w:val="161616"/>
      <w:sz w:val="21"/>
      <w:lang w:eastAsia="zh-CN"/>
    </w:rPr>
  </w:style>
  <w:style w:type="paragraph" w:styleId="921">
    <w:name w:val="toc 8"/>
    <w:basedOn w:val="900"/>
    <w:next w:val="900"/>
    <w:uiPriority w:val="39"/>
    <w:unhideWhenUsed/>
    <w:pPr>
      <w:ind w:left="1984" w:right="0" w:firstLine="0"/>
      <w:spacing w:after="57"/>
    </w:pPr>
  </w:style>
  <w:style w:type="paragraph" w:styleId="922">
    <w:name w:val="endnote text"/>
    <w:basedOn w:val="900"/>
    <w:link w:val="1088"/>
    <w:uiPriority w:val="99"/>
    <w:semiHidden/>
    <w:unhideWhenUsed/>
    <w:pPr>
      <w:spacing w:after="0" w:line="240" w:lineRule="auto"/>
    </w:pPr>
    <w:rPr>
      <w:sz w:val="20"/>
    </w:rPr>
  </w:style>
  <w:style w:type="paragraph" w:styleId="923">
    <w:name w:val="Balloon Text"/>
    <w:basedOn w:val="900"/>
    <w:link w:val="1105"/>
    <w:uiPriority w:val="99"/>
    <w:semiHidden/>
    <w:unhideWhenUsed/>
    <w:qFormat/>
    <w:pPr>
      <w:spacing w:line="240" w:lineRule="auto"/>
    </w:pPr>
    <w:rPr>
      <w:sz w:val="18"/>
      <w:szCs w:val="18"/>
    </w:rPr>
  </w:style>
  <w:style w:type="paragraph" w:styleId="924">
    <w:name w:val="Footer"/>
    <w:basedOn w:val="900"/>
    <w:next w:val="925"/>
    <w:link w:val="1091"/>
    <w:uiPriority w:val="99"/>
    <w:unhideWhenUsed/>
    <w:qFormat/>
    <w:pPr>
      <w:tabs>
        <w:tab w:val="center" w:pos="4153" w:leader="none"/>
        <w:tab w:val="right" w:pos="8306" w:leader="none"/>
      </w:tabs>
    </w:pPr>
    <w:rPr>
      <w:sz w:val="18"/>
      <w:szCs w:val="18"/>
    </w:rPr>
  </w:style>
  <w:style w:type="paragraph" w:styleId="925">
    <w:name w:val="Intense Quote"/>
    <w:basedOn w:val="900"/>
    <w:next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26">
    <w:name w:val="Header"/>
    <w:basedOn w:val="900"/>
    <w:link w:val="1090"/>
    <w:uiPriority w:val="99"/>
    <w:unhideWhenUsed/>
    <w:qFormat/>
    <w:pPr>
      <w:jc w:val="center"/>
      <w:tabs>
        <w:tab w:val="center" w:pos="4153" w:leader="none"/>
        <w:tab w:val="right" w:pos="8306" w:leader="none"/>
      </w:tabs>
    </w:pPr>
    <w:rPr>
      <w:sz w:val="18"/>
      <w:szCs w:val="18"/>
    </w:rPr>
  </w:style>
  <w:style w:type="paragraph" w:styleId="927">
    <w:name w:val="toc 1"/>
    <w:basedOn w:val="900"/>
    <w:next w:val="900"/>
    <w:uiPriority w:val="39"/>
    <w:unhideWhenUsed/>
    <w:qFormat/>
    <w:pPr>
      <w:ind w:firstLine="0"/>
      <w:tabs>
        <w:tab w:val="right" w:pos="8890" w:leader="dot"/>
      </w:tabs>
    </w:pPr>
  </w:style>
  <w:style w:type="paragraph" w:styleId="928">
    <w:name w:val="toc 4"/>
    <w:basedOn w:val="900"/>
    <w:next w:val="900"/>
    <w:uiPriority w:val="39"/>
    <w:unhideWhenUsed/>
    <w:pPr>
      <w:ind w:left="850" w:right="0" w:firstLine="0"/>
      <w:spacing w:after="57"/>
    </w:pPr>
  </w:style>
  <w:style w:type="paragraph" w:styleId="929">
    <w:name w:val="Subtitle"/>
    <w:basedOn w:val="900"/>
    <w:next w:val="900"/>
    <w:link w:val="955"/>
    <w:uiPriority w:val="11"/>
    <w:qFormat/>
    <w:pPr>
      <w:spacing w:before="200" w:after="200"/>
    </w:pPr>
    <w:rPr>
      <w:sz w:val="24"/>
      <w:szCs w:val="24"/>
    </w:rPr>
  </w:style>
  <w:style w:type="paragraph" w:styleId="930">
    <w:name w:val="footnote text"/>
    <w:basedOn w:val="900"/>
    <w:link w:val="1087"/>
    <w:uiPriority w:val="99"/>
    <w:semiHidden/>
    <w:unhideWhenUsed/>
    <w:pPr>
      <w:spacing w:after="40" w:line="240" w:lineRule="auto"/>
    </w:pPr>
    <w:rPr>
      <w:sz w:val="18"/>
    </w:rPr>
  </w:style>
  <w:style w:type="paragraph" w:styleId="931">
    <w:name w:val="toc 6"/>
    <w:basedOn w:val="900"/>
    <w:next w:val="900"/>
    <w:uiPriority w:val="39"/>
    <w:unhideWhenUsed/>
    <w:pPr>
      <w:ind w:left="1417" w:right="0" w:firstLine="0"/>
      <w:spacing w:after="57"/>
    </w:pPr>
  </w:style>
  <w:style w:type="paragraph" w:styleId="932">
    <w:name w:val="table of figures"/>
    <w:basedOn w:val="900"/>
    <w:next w:val="900"/>
    <w:uiPriority w:val="99"/>
    <w:unhideWhenUsed/>
    <w:pPr>
      <w:spacing w:after="0" w:afterAutospacing="0"/>
    </w:pPr>
  </w:style>
  <w:style w:type="paragraph" w:styleId="933">
    <w:name w:val="toc 2"/>
    <w:basedOn w:val="900"/>
    <w:next w:val="900"/>
    <w:uiPriority w:val="39"/>
    <w:unhideWhenUsed/>
    <w:qFormat/>
    <w:pPr>
      <w:ind w:left="420"/>
    </w:pPr>
  </w:style>
  <w:style w:type="paragraph" w:styleId="934">
    <w:name w:val="toc 9"/>
    <w:basedOn w:val="900"/>
    <w:next w:val="900"/>
    <w:uiPriority w:val="39"/>
    <w:unhideWhenUsed/>
    <w:pPr>
      <w:ind w:left="2268" w:right="0" w:firstLine="0"/>
      <w:spacing w:after="57"/>
    </w:pPr>
  </w:style>
  <w:style w:type="paragraph" w:styleId="935">
    <w:name w:val="Normal (Web)"/>
    <w:basedOn w:val="900"/>
    <w:uiPriority w:val="99"/>
    <w:qFormat/>
    <w:pPr>
      <w:spacing w:before="100" w:beforeAutospacing="1" w:after="100" w:afterAutospacing="1"/>
    </w:pPr>
    <w:rPr>
      <w:rFonts w:ascii="宋体" w:hAnsi="宋体" w:cs="宋体"/>
      <w:szCs w:val="24"/>
    </w:rPr>
  </w:style>
  <w:style w:type="paragraph" w:styleId="936">
    <w:name w:val="Title"/>
    <w:basedOn w:val="900"/>
    <w:next w:val="900"/>
    <w:link w:val="954"/>
    <w:uiPriority w:val="10"/>
    <w:qFormat/>
    <w:pPr>
      <w:contextualSpacing/>
      <w:spacing w:before="300" w:after="200"/>
    </w:pPr>
    <w:rPr>
      <w:sz w:val="48"/>
      <w:szCs w:val="48"/>
    </w:rPr>
  </w:style>
  <w:style w:type="paragraph" w:styleId="937">
    <w:name w:val="annotation subject"/>
    <w:basedOn w:val="914"/>
    <w:next w:val="914"/>
    <w:link w:val="1111"/>
    <w:uiPriority w:val="99"/>
    <w:semiHidden/>
    <w:unhideWhenUsed/>
    <w:qFormat/>
    <w:rPr>
      <w:b/>
      <w:bCs/>
    </w:rPr>
  </w:style>
  <w:style w:type="paragraph" w:styleId="938">
    <w:name w:val="Body Text First Indent"/>
    <w:basedOn w:val="915"/>
    <w:uiPriority w:val="0"/>
    <w:qFormat/>
    <w:pPr>
      <w:ind w:firstLine="420"/>
    </w:pPr>
    <w:rPr>
      <w:sz w:val="30"/>
    </w:rPr>
  </w:style>
  <w:style w:type="table" w:styleId="939">
    <w:name w:val="Table Grid"/>
    <w:basedOn w:val="9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0">
    <w:name w:val="Strong"/>
    <w:basedOn w:val="910"/>
    <w:uiPriority w:val="22"/>
    <w:qFormat/>
    <w:rPr>
      <w:b/>
    </w:rPr>
  </w:style>
  <w:style w:type="character" w:styleId="941">
    <w:name w:val="endnote reference"/>
    <w:basedOn w:val="910"/>
    <w:uiPriority w:val="99"/>
    <w:semiHidden/>
    <w:unhideWhenUsed/>
    <w:rPr>
      <w:vertAlign w:val="superscript"/>
    </w:rPr>
  </w:style>
  <w:style w:type="character" w:styleId="942">
    <w:name w:val="Hyperlink"/>
    <w:basedOn w:val="910"/>
    <w:uiPriority w:val="99"/>
    <w:unhideWhenUsed/>
    <w:qFormat/>
    <w:rPr>
      <w:color w:val="0563c1" w:themeColor="hyperlink"/>
      <w:u w:val="single"/>
      <w14:textFill>
        <w14:solidFill>
          <w14:schemeClr w14:val="hlink"/>
        </w14:solidFill>
      </w14:textFill>
    </w:rPr>
  </w:style>
  <w:style w:type="character" w:styleId="943">
    <w:name w:val="annotation reference"/>
    <w:basedOn w:val="910"/>
    <w:uiPriority w:val="99"/>
    <w:semiHidden/>
    <w:unhideWhenUsed/>
    <w:qFormat/>
    <w:rPr>
      <w:sz w:val="21"/>
      <w:szCs w:val="21"/>
    </w:rPr>
  </w:style>
  <w:style w:type="character" w:styleId="944">
    <w:name w:val="footnote reference"/>
    <w:basedOn w:val="910"/>
    <w:uiPriority w:val="99"/>
    <w:unhideWhenUsed/>
    <w:rPr>
      <w:vertAlign w:val="superscript"/>
    </w:rPr>
  </w:style>
  <w:style w:type="character" w:styleId="945" w:customStyle="1">
    <w:name w:val="Heading 1 Char"/>
    <w:basedOn w:val="910"/>
    <w:uiPriority w:val="9"/>
    <w:rPr>
      <w:rFonts w:ascii="Arial" w:hAnsi="Arial" w:eastAsia="Arial" w:cs="Arial"/>
      <w:sz w:val="40"/>
      <w:szCs w:val="40"/>
    </w:rPr>
  </w:style>
  <w:style w:type="character" w:styleId="946" w:customStyle="1">
    <w:name w:val="Heading 2 Char"/>
    <w:basedOn w:val="910"/>
    <w:uiPriority w:val="9"/>
    <w:rPr>
      <w:rFonts w:ascii="Arial" w:hAnsi="Arial" w:eastAsia="Arial" w:cs="Arial"/>
      <w:sz w:val="34"/>
    </w:rPr>
  </w:style>
  <w:style w:type="character" w:styleId="947" w:customStyle="1">
    <w:name w:val="Heading 3 Char"/>
    <w:basedOn w:val="910"/>
    <w:uiPriority w:val="9"/>
    <w:rPr>
      <w:rFonts w:ascii="Arial" w:hAnsi="Arial" w:eastAsia="Arial" w:cs="Arial"/>
      <w:sz w:val="30"/>
      <w:szCs w:val="30"/>
    </w:rPr>
  </w:style>
  <w:style w:type="character" w:styleId="948" w:customStyle="1">
    <w:name w:val="Heading 4 Char"/>
    <w:basedOn w:val="910"/>
    <w:uiPriority w:val="9"/>
    <w:rPr>
      <w:rFonts w:ascii="Arial" w:hAnsi="Arial" w:eastAsia="Arial" w:cs="Arial"/>
      <w:b/>
      <w:bCs/>
      <w:sz w:val="26"/>
      <w:szCs w:val="26"/>
    </w:rPr>
  </w:style>
  <w:style w:type="character" w:styleId="949" w:customStyle="1">
    <w:name w:val="Heading 5 Char"/>
    <w:basedOn w:val="910"/>
    <w:link w:val="905"/>
    <w:uiPriority w:val="9"/>
    <w:rPr>
      <w:rFonts w:ascii="Arial" w:hAnsi="Arial" w:eastAsia="Arial" w:cs="Arial"/>
      <w:b/>
      <w:bCs/>
      <w:sz w:val="24"/>
      <w:szCs w:val="24"/>
    </w:rPr>
  </w:style>
  <w:style w:type="character" w:styleId="950" w:customStyle="1">
    <w:name w:val="Heading 6 Char"/>
    <w:basedOn w:val="910"/>
    <w:link w:val="906"/>
    <w:uiPriority w:val="9"/>
    <w:rPr>
      <w:rFonts w:ascii="Arial" w:hAnsi="Arial" w:eastAsia="Arial" w:cs="Arial"/>
      <w:b/>
      <w:bCs/>
      <w:sz w:val="22"/>
      <w:szCs w:val="22"/>
    </w:rPr>
  </w:style>
  <w:style w:type="character" w:styleId="951" w:customStyle="1">
    <w:name w:val="Heading 7 Char"/>
    <w:basedOn w:val="910"/>
    <w:link w:val="907"/>
    <w:uiPriority w:val="9"/>
    <w:rPr>
      <w:rFonts w:ascii="Arial" w:hAnsi="Arial" w:eastAsia="Arial" w:cs="Arial"/>
      <w:b/>
      <w:bCs/>
      <w:i/>
      <w:iCs/>
      <w:sz w:val="22"/>
      <w:szCs w:val="22"/>
    </w:rPr>
  </w:style>
  <w:style w:type="character" w:styleId="952" w:customStyle="1">
    <w:name w:val="Heading 8 Char"/>
    <w:basedOn w:val="910"/>
    <w:link w:val="908"/>
    <w:uiPriority w:val="9"/>
    <w:rPr>
      <w:rFonts w:ascii="Arial" w:hAnsi="Arial" w:eastAsia="Arial" w:cs="Arial"/>
      <w:i/>
      <w:iCs/>
      <w:sz w:val="22"/>
      <w:szCs w:val="22"/>
    </w:rPr>
  </w:style>
  <w:style w:type="character" w:styleId="953" w:customStyle="1">
    <w:name w:val="Heading 9 Char"/>
    <w:basedOn w:val="910"/>
    <w:link w:val="909"/>
    <w:uiPriority w:val="9"/>
    <w:rPr>
      <w:rFonts w:ascii="Arial" w:hAnsi="Arial" w:eastAsia="Arial" w:cs="Arial"/>
      <w:i/>
      <w:iCs/>
      <w:sz w:val="21"/>
      <w:szCs w:val="21"/>
    </w:rPr>
  </w:style>
  <w:style w:type="character" w:styleId="954" w:customStyle="1">
    <w:name w:val="Title Char"/>
    <w:basedOn w:val="910"/>
    <w:link w:val="936"/>
    <w:uiPriority w:val="10"/>
    <w:rPr>
      <w:sz w:val="48"/>
      <w:szCs w:val="48"/>
    </w:rPr>
  </w:style>
  <w:style w:type="character" w:styleId="955" w:customStyle="1">
    <w:name w:val="Subtitle Char"/>
    <w:basedOn w:val="910"/>
    <w:link w:val="929"/>
    <w:uiPriority w:val="11"/>
    <w:rPr>
      <w:sz w:val="24"/>
      <w:szCs w:val="24"/>
    </w:rPr>
  </w:style>
  <w:style w:type="paragraph" w:styleId="956">
    <w:name w:val="Quote"/>
    <w:basedOn w:val="900"/>
    <w:next w:val="900"/>
    <w:link w:val="957"/>
    <w:uiPriority w:val="29"/>
    <w:qFormat/>
    <w:pPr>
      <w:ind w:left="720" w:right="720"/>
    </w:pPr>
    <w:rPr>
      <w:i/>
    </w:rPr>
  </w:style>
  <w:style w:type="character" w:styleId="957" w:customStyle="1">
    <w:name w:val="Quote Char"/>
    <w:link w:val="956"/>
    <w:uiPriority w:val="29"/>
    <w:rPr>
      <w:i/>
    </w:rPr>
  </w:style>
  <w:style w:type="character" w:styleId="958" w:customStyle="1">
    <w:name w:val="Intense Quote Char"/>
    <w:uiPriority w:val="30"/>
    <w:rPr>
      <w:i/>
    </w:rPr>
  </w:style>
  <w:style w:type="character" w:styleId="959" w:customStyle="1">
    <w:name w:val="Header Char"/>
    <w:basedOn w:val="910"/>
    <w:uiPriority w:val="99"/>
  </w:style>
  <w:style w:type="character" w:styleId="960" w:customStyle="1">
    <w:name w:val="Footer Char"/>
    <w:basedOn w:val="910"/>
    <w:uiPriority w:val="99"/>
  </w:style>
  <w:style w:type="character" w:styleId="961" w:customStyle="1">
    <w:name w:val="Caption Char"/>
    <w:uiPriority w:val="99"/>
  </w:style>
  <w:style w:type="table" w:styleId="962" w:customStyle="1">
    <w:name w:val="Table Grid Light"/>
    <w:basedOn w:val="91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3" w:customStyle="1">
    <w:name w:val="Plain Table 1"/>
    <w:basedOn w:val="91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Plain Table 2"/>
    <w:basedOn w:val="91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Plain Table 3"/>
    <w:basedOn w:val="91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6" w:customStyle="1">
    <w:name w:val="Plain Table 4"/>
    <w:basedOn w:val="91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7" w:customStyle="1">
    <w:name w:val="Plain Table 5"/>
    <w:basedOn w:val="91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8" w:customStyle="1">
    <w:name w:val="Grid Table 1 Light"/>
    <w:basedOn w:val="91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1"/>
    <w:basedOn w:val="911"/>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2"/>
    <w:basedOn w:val="911"/>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3"/>
    <w:basedOn w:val="911"/>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4"/>
    <w:basedOn w:val="911"/>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5"/>
    <w:basedOn w:val="911"/>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6"/>
    <w:basedOn w:val="911"/>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5" w:customStyle="1">
    <w:name w:val="Grid Table 2"/>
    <w:basedOn w:val="91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6" w:customStyle="1">
    <w:name w:val="Grid Table 2 - Accent 1"/>
    <w:basedOn w:val="911"/>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77" w:customStyle="1">
    <w:name w:val="Grid Table 2 - Accent 2"/>
    <w:basedOn w:val="911"/>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78" w:customStyle="1">
    <w:name w:val="Grid Table 2 - Accent 3"/>
    <w:basedOn w:val="911"/>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9" w:customStyle="1">
    <w:name w:val="Grid Table 2 - Accent 4"/>
    <w:basedOn w:val="911"/>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0" w:customStyle="1">
    <w:name w:val="Grid Table 2 - Accent 5"/>
    <w:basedOn w:val="911"/>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81" w:customStyle="1">
    <w:name w:val="Grid Table 2 - Accent 6"/>
    <w:basedOn w:val="911"/>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2" w:customStyle="1">
    <w:name w:val="Grid Table 3"/>
    <w:basedOn w:val="91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1"/>
    <w:basedOn w:val="911"/>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2"/>
    <w:basedOn w:val="911"/>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3"/>
    <w:basedOn w:val="911"/>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4"/>
    <w:basedOn w:val="911"/>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5"/>
    <w:basedOn w:val="911"/>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6"/>
    <w:basedOn w:val="911"/>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4"/>
    <w:basedOn w:val="91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0" w:customStyle="1">
    <w:name w:val="Grid Table 4 - Accent 1"/>
    <w:basedOn w:val="911"/>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91" w:customStyle="1">
    <w:name w:val="Grid Table 4 - Accent 2"/>
    <w:basedOn w:val="911"/>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2" w:customStyle="1">
    <w:name w:val="Grid Table 4 - Accent 3"/>
    <w:basedOn w:val="911"/>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3" w:customStyle="1">
    <w:name w:val="Grid Table 4 - Accent 4"/>
    <w:basedOn w:val="911"/>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4" w:customStyle="1">
    <w:name w:val="Grid Table 4 - Accent 5"/>
    <w:basedOn w:val="911"/>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95" w:customStyle="1">
    <w:name w:val="Grid Table 4 - Accent 6"/>
    <w:basedOn w:val="911"/>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6" w:customStyle="1">
    <w:name w:val="Grid Table 5 Dark"/>
    <w:basedOn w:val="9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7" w:customStyle="1">
    <w:name w:val="Grid Table 5 Dark- Accent 1"/>
    <w:basedOn w:val="9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98" w:customStyle="1">
    <w:name w:val="Grid Table 5 Dark - Accent 2"/>
    <w:basedOn w:val="9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9" w:customStyle="1">
    <w:name w:val="Grid Table 5 Dark - Accent 3"/>
    <w:basedOn w:val="9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0" w:customStyle="1">
    <w:name w:val="Grid Table 5 Dark- Accent 4"/>
    <w:basedOn w:val="9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1" w:customStyle="1">
    <w:name w:val="Grid Table 5 Dark - Accent 5"/>
    <w:basedOn w:val="9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02" w:customStyle="1">
    <w:name w:val="Grid Table 5 Dark - Accent 6"/>
    <w:basedOn w:val="9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3" w:customStyle="1">
    <w:name w:val="Grid Table 6 Colorful"/>
    <w:basedOn w:val="91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4" w:customStyle="1">
    <w:name w:val="Grid Table 6 Colorful - Accent 1"/>
    <w:basedOn w:val="911"/>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1005" w:customStyle="1">
    <w:name w:val="Grid Table 6 Colorful - Accent 2"/>
    <w:basedOn w:val="911"/>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6" w:customStyle="1">
    <w:name w:val="Grid Table 6 Colorful - Accent 3"/>
    <w:basedOn w:val="911"/>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07" w:customStyle="1">
    <w:name w:val="Grid Table 6 Colorful - Accent 4"/>
    <w:basedOn w:val="911"/>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08" w:customStyle="1">
    <w:name w:val="Grid Table 6 Colorful - Accent 5"/>
    <w:basedOn w:val="911"/>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09" w:customStyle="1">
    <w:name w:val="Grid Table 6 Colorful - Accent 6"/>
    <w:basedOn w:val="911"/>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0" w:customStyle="1">
    <w:name w:val="Grid Table 7 Colorful"/>
    <w:basedOn w:val="91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Grid Table 7 Colorful - Accent 1"/>
    <w:basedOn w:val="911"/>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12" w:customStyle="1">
    <w:name w:val="Grid Table 7 Colorful - Accent 2"/>
    <w:basedOn w:val="911"/>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3" w:customStyle="1">
    <w:name w:val="Grid Table 7 Colorful - Accent 3"/>
    <w:basedOn w:val="911"/>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4" w:customStyle="1">
    <w:name w:val="Grid Table 7 Colorful - Accent 4"/>
    <w:basedOn w:val="911"/>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5" w:customStyle="1">
    <w:name w:val="Grid Table 7 Colorful - Accent 5"/>
    <w:basedOn w:val="911"/>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16" w:customStyle="1">
    <w:name w:val="Grid Table 7 Colorful - Accent 6"/>
    <w:basedOn w:val="911"/>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7" w:customStyle="1">
    <w:name w:val="List Table 1 Light"/>
    <w:basedOn w:val="91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8" w:customStyle="1">
    <w:name w:val="List Table 1 Light - Accent 1"/>
    <w:basedOn w:val="911"/>
    <w:uiPriority w:val="99"/>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19" w:customStyle="1">
    <w:name w:val="List Table 1 Light - Accent 2"/>
    <w:basedOn w:val="911"/>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0" w:customStyle="1">
    <w:name w:val="List Table 1 Light - Accent 3"/>
    <w:basedOn w:val="911"/>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1" w:customStyle="1">
    <w:name w:val="List Table 1 Light - Accent 4"/>
    <w:basedOn w:val="911"/>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2" w:customStyle="1">
    <w:name w:val="List Table 1 Light - Accent 5"/>
    <w:basedOn w:val="911"/>
    <w:uiPriority w:val="99"/>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23" w:customStyle="1">
    <w:name w:val="List Table 1 Light - Accent 6"/>
    <w:basedOn w:val="911"/>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4" w:customStyle="1">
    <w:name w:val="List Table 2"/>
    <w:basedOn w:val="91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5" w:customStyle="1">
    <w:name w:val="List Table 2 - Accent 1"/>
    <w:basedOn w:val="911"/>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26" w:customStyle="1">
    <w:name w:val="List Table 2 - Accent 2"/>
    <w:basedOn w:val="911"/>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7" w:customStyle="1">
    <w:name w:val="List Table 2 - Accent 3"/>
    <w:basedOn w:val="911"/>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8" w:customStyle="1">
    <w:name w:val="List Table 2 - Accent 4"/>
    <w:basedOn w:val="911"/>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29" w:customStyle="1">
    <w:name w:val="List Table 2 - Accent 5"/>
    <w:basedOn w:val="911"/>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0" w:customStyle="1">
    <w:name w:val="List Table 2 - Accent 6"/>
    <w:basedOn w:val="911"/>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1" w:customStyle="1">
    <w:name w:val="List Table 3"/>
    <w:basedOn w:val="91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2" w:customStyle="1">
    <w:name w:val="List Table 3 - Accent 1"/>
    <w:basedOn w:val="911"/>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3" w:customStyle="1">
    <w:name w:val="List Table 3 - Accent 2"/>
    <w:basedOn w:val="911"/>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4" w:customStyle="1">
    <w:name w:val="List Table 3 - Accent 3"/>
    <w:basedOn w:val="911"/>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5" w:customStyle="1">
    <w:name w:val="List Table 3 - Accent 4"/>
    <w:basedOn w:val="911"/>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6" w:customStyle="1">
    <w:name w:val="List Table 3 - Accent 5"/>
    <w:basedOn w:val="911"/>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37" w:customStyle="1">
    <w:name w:val="List Table 3 - Accent 6"/>
    <w:basedOn w:val="911"/>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8" w:customStyle="1">
    <w:name w:val="List Table 4"/>
    <w:basedOn w:val="91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4 - Accent 1"/>
    <w:basedOn w:val="911"/>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0" w:customStyle="1">
    <w:name w:val="List Table 4 - Accent 2"/>
    <w:basedOn w:val="911"/>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1" w:customStyle="1">
    <w:name w:val="List Table 4 - Accent 3"/>
    <w:basedOn w:val="911"/>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2" w:customStyle="1">
    <w:name w:val="List Table 4 - Accent 4"/>
    <w:basedOn w:val="911"/>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3" w:customStyle="1">
    <w:name w:val="List Table 4 - Accent 5"/>
    <w:basedOn w:val="911"/>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44" w:customStyle="1">
    <w:name w:val="List Table 4 - Accent 6"/>
    <w:basedOn w:val="911"/>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5" w:customStyle="1">
    <w:name w:val="List Table 5 Dark"/>
    <w:basedOn w:val="91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1"/>
    <w:basedOn w:val="911"/>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2"/>
    <w:basedOn w:val="911"/>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3"/>
    <w:basedOn w:val="911"/>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4"/>
    <w:basedOn w:val="911"/>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5"/>
    <w:basedOn w:val="911"/>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6"/>
    <w:basedOn w:val="911"/>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6 Colorful"/>
    <w:basedOn w:val="91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3" w:customStyle="1">
    <w:name w:val="List Table 6 Colorful - Accent 1"/>
    <w:basedOn w:val="911"/>
    <w:uiPriority w:val="99"/>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54" w:customStyle="1">
    <w:name w:val="List Table 6 Colorful - Accent 2"/>
    <w:basedOn w:val="911"/>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5" w:customStyle="1">
    <w:name w:val="List Table 6 Colorful - Accent 3"/>
    <w:basedOn w:val="911"/>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6" w:customStyle="1">
    <w:name w:val="List Table 6 Colorful - Accent 4"/>
    <w:basedOn w:val="911"/>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57" w:customStyle="1">
    <w:name w:val="List Table 6 Colorful - Accent 5"/>
    <w:basedOn w:val="911"/>
    <w:uiPriority w:val="99"/>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58" w:customStyle="1">
    <w:name w:val="List Table 6 Colorful - Accent 6"/>
    <w:basedOn w:val="911"/>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59" w:customStyle="1">
    <w:name w:val="List Table 7 Colorful"/>
    <w:basedOn w:val="91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0" w:customStyle="1">
    <w:name w:val="List Table 7 Colorful - Accent 1"/>
    <w:basedOn w:val="911"/>
    <w:uiPriority w:val="99"/>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61" w:customStyle="1">
    <w:name w:val="List Table 7 Colorful - Accent 2"/>
    <w:basedOn w:val="911"/>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2" w:customStyle="1">
    <w:name w:val="List Table 7 Colorful - Accent 3"/>
    <w:basedOn w:val="911"/>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3" w:customStyle="1">
    <w:name w:val="List Table 7 Colorful - Accent 4"/>
    <w:basedOn w:val="911"/>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4" w:customStyle="1">
    <w:name w:val="List Table 7 Colorful - Accent 5"/>
    <w:basedOn w:val="911"/>
    <w:uiPriority w:val="99"/>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65" w:customStyle="1">
    <w:name w:val="List Table 7 Colorful - Accent 6"/>
    <w:basedOn w:val="911"/>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6" w:customStyle="1">
    <w:name w:val="Lined - Accent"/>
    <w:basedOn w:val="9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Lined - Accent 1"/>
    <w:basedOn w:val="9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8" w:customStyle="1">
    <w:name w:val="Lined - Accent 2"/>
    <w:basedOn w:val="9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9" w:customStyle="1">
    <w:name w:val="Lined - Accent 3"/>
    <w:basedOn w:val="9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0" w:customStyle="1">
    <w:name w:val="Lined - Accent 4"/>
    <w:basedOn w:val="9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1" w:customStyle="1">
    <w:name w:val="Lined - Accent 5"/>
    <w:basedOn w:val="9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2" w:customStyle="1">
    <w:name w:val="Lined - Accent 6"/>
    <w:basedOn w:val="9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3" w:customStyle="1">
    <w:name w:val="Bordered &amp; Lined - Accent"/>
    <w:basedOn w:val="91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Bordered &amp; Lined - Accent 1"/>
    <w:basedOn w:val="911"/>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5" w:customStyle="1">
    <w:name w:val="Bordered &amp; Lined - Accent 2"/>
    <w:basedOn w:val="911"/>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6" w:customStyle="1">
    <w:name w:val="Bordered &amp; Lined - Accent 3"/>
    <w:basedOn w:val="911"/>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7" w:customStyle="1">
    <w:name w:val="Bordered &amp; Lined - Accent 4"/>
    <w:basedOn w:val="911"/>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8" w:customStyle="1">
    <w:name w:val="Bordered &amp; Lined - Accent 5"/>
    <w:basedOn w:val="911"/>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9" w:customStyle="1">
    <w:name w:val="Bordered &amp; Lined - Accent 6"/>
    <w:basedOn w:val="911"/>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0" w:customStyle="1">
    <w:name w:val="Bordered"/>
    <w:basedOn w:val="91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1" w:customStyle="1">
    <w:name w:val="Bordered - Accent 1"/>
    <w:basedOn w:val="911"/>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82" w:customStyle="1">
    <w:name w:val="Bordered - Accent 2"/>
    <w:basedOn w:val="911"/>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3" w:customStyle="1">
    <w:name w:val="Bordered - Accent 3"/>
    <w:basedOn w:val="911"/>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4" w:customStyle="1">
    <w:name w:val="Bordered - Accent 4"/>
    <w:basedOn w:val="911"/>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5" w:customStyle="1">
    <w:name w:val="Bordered - Accent 5"/>
    <w:basedOn w:val="911"/>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86" w:customStyle="1">
    <w:name w:val="Bordered - Accent 6"/>
    <w:basedOn w:val="911"/>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7" w:customStyle="1">
    <w:name w:val="Footnote Text Char"/>
    <w:link w:val="930"/>
    <w:uiPriority w:val="99"/>
    <w:rPr>
      <w:sz w:val="18"/>
    </w:rPr>
  </w:style>
  <w:style w:type="character" w:styleId="1088" w:customStyle="1">
    <w:name w:val="Endnote Text Char"/>
    <w:link w:val="922"/>
    <w:uiPriority w:val="99"/>
    <w:rPr>
      <w:sz w:val="20"/>
    </w:rPr>
  </w:style>
  <w:style w:type="paragraph" w:styleId="1089" w:customStyle="1">
    <w:name w:val="TOC Heading"/>
    <w:uiPriority w:val="39"/>
    <w:unhideWhenUsed/>
    <w:rPr>
      <w:rFonts w:hint="default" w:ascii="Times New Roman" w:hAnsi="Times New Roman" w:eastAsia="宋体" w:cs="Times New Roman"/>
    </w:rPr>
  </w:style>
  <w:style w:type="character" w:styleId="1090" w:customStyle="1">
    <w:name w:val="页眉 字符1"/>
    <w:basedOn w:val="910"/>
    <w:link w:val="926"/>
    <w:uiPriority w:val="99"/>
    <w:qFormat/>
    <w:rPr>
      <w:sz w:val="18"/>
      <w:szCs w:val="18"/>
    </w:rPr>
  </w:style>
  <w:style w:type="character" w:styleId="1091" w:customStyle="1">
    <w:name w:val="页脚 字符"/>
    <w:basedOn w:val="910"/>
    <w:link w:val="924"/>
    <w:uiPriority w:val="99"/>
    <w:qFormat/>
    <w:rPr>
      <w:sz w:val="18"/>
      <w:szCs w:val="18"/>
    </w:rPr>
  </w:style>
  <w:style w:type="character" w:styleId="1092" w:customStyle="1">
    <w:name w:val="标题 1 字符"/>
    <w:basedOn w:val="910"/>
    <w:link w:val="901"/>
    <w:uiPriority w:val="9"/>
    <w:qFormat/>
    <w:rPr>
      <w:rFonts w:ascii="Arial" w:hAnsi="Arial" w:eastAsia="黑体" w:cs="Arial"/>
      <w:b/>
      <w:bCs/>
      <w:color w:val="000000"/>
      <w:sz w:val="36"/>
      <w:szCs w:val="44"/>
      <w:lang w:eastAsia="en-US"/>
    </w:rPr>
  </w:style>
  <w:style w:type="paragraph" w:styleId="1093">
    <w:name w:val="List Paragraph"/>
    <w:basedOn w:val="900"/>
    <w:uiPriority w:val="0"/>
    <w:qFormat/>
    <w:pPr>
      <w:ind w:left="360" w:firstLine="0"/>
      <w:jc w:val="center"/>
    </w:pPr>
  </w:style>
  <w:style w:type="character" w:styleId="1094" w:customStyle="1">
    <w:name w:val="正文文本 字符"/>
    <w:basedOn w:val="910"/>
    <w:link w:val="915"/>
    <w:uiPriority w:val="0"/>
    <w:semiHidden/>
    <w:qFormat/>
    <w:rPr>
      <w:rFonts w:ascii="Arial" w:hAnsi="Arial" w:eastAsia="Arial" w:cs="Arial"/>
      <w:color w:val="000000"/>
      <w:szCs w:val="21"/>
      <w:lang w:eastAsia="en-US"/>
    </w:rPr>
  </w:style>
  <w:style w:type="character" w:styleId="1095" w:customStyle="1">
    <w:name w:val="标题 2 字符"/>
    <w:basedOn w:val="910"/>
    <w:link w:val="902"/>
    <w:uiPriority w:val="9"/>
    <w:qFormat/>
    <w:rPr>
      <w:rFonts w:eastAsia="宋体" w:asciiTheme="majorHAnsi" w:hAnsiTheme="majorHAnsi" w:cstheme="majorBidi"/>
      <w:b/>
      <w:bCs/>
      <w:color w:val="000000"/>
      <w:sz w:val="32"/>
      <w:szCs w:val="32"/>
      <w:lang w:eastAsia="en-US"/>
    </w:rPr>
  </w:style>
  <w:style w:type="character" w:styleId="1096" w:customStyle="1">
    <w:name w:val="标题 3 字符"/>
    <w:basedOn w:val="910"/>
    <w:link w:val="903"/>
    <w:uiPriority w:val="9"/>
    <w:qFormat/>
    <w:rPr>
      <w:rFonts w:ascii="Arial" w:hAnsi="Arial" w:eastAsia="宋体" w:cs="Arial"/>
      <w:bCs/>
      <w:color w:val="000000"/>
      <w:sz w:val="32"/>
      <w:szCs w:val="32"/>
      <w:lang w:eastAsia="en-US"/>
    </w:rPr>
  </w:style>
  <w:style w:type="character" w:styleId="1097" w:customStyle="1">
    <w:name w:val="标题 4 字符"/>
    <w:basedOn w:val="910"/>
    <w:link w:val="904"/>
    <w:uiPriority w:val="9"/>
    <w:qFormat/>
    <w:rPr>
      <w:rFonts w:eastAsia="宋体" w:asciiTheme="majorHAnsi" w:hAnsiTheme="majorHAnsi" w:cstheme="majorBidi"/>
      <w:b/>
      <w:bCs/>
      <w:color w:val="000000"/>
      <w:sz w:val="28"/>
      <w:szCs w:val="28"/>
      <w:lang w:eastAsia="en-US"/>
    </w:rPr>
  </w:style>
  <w:style w:type="table" w:styleId="1098" w:customStyle="1">
    <w:name w:val="Table Normal"/>
    <w:uiPriority w:val="0"/>
    <w:semiHidden/>
    <w:unhideWhenUsed/>
    <w:qFormat/>
    <w:tblPr>
      <w:tblCellMar>
        <w:left w:w="0" w:type="dxa"/>
        <w:top w:w="0" w:type="dxa"/>
        <w:right w:w="0" w:type="dxa"/>
        <w:bottom w:w="0" w:type="dxa"/>
      </w:tblCellMar>
    </w:tblPr>
  </w:style>
  <w:style w:type="paragraph" w:styleId="1099" w:customStyle="1">
    <w:name w:val="Table Text"/>
    <w:basedOn w:val="900"/>
    <w:uiPriority w:val="0"/>
    <w:semiHidden/>
    <w:qFormat/>
    <w:pPr>
      <w:ind w:firstLine="0"/>
      <w:spacing w:line="240" w:lineRule="auto"/>
    </w:pPr>
    <w:rPr>
      <w:rFonts w:ascii="宋体" w:hAnsi="宋体" w:cs="宋体"/>
      <w:szCs w:val="24"/>
    </w:rPr>
  </w:style>
  <w:style w:type="character" w:styleId="1100" w:customStyle="1">
    <w:name w:val="正文文本缩进 字符"/>
    <w:basedOn w:val="910"/>
    <w:link w:val="916"/>
    <w:uiPriority w:val="99"/>
    <w:semiHidden/>
    <w:qFormat/>
    <w:rPr>
      <w:rFonts w:ascii="Arial" w:hAnsi="Arial" w:eastAsia="宋体" w:cs="Arial"/>
      <w:color w:val="000000"/>
      <w:sz w:val="24"/>
      <w:szCs w:val="21"/>
      <w:lang w:eastAsia="en-US"/>
    </w:rPr>
  </w:style>
  <w:style w:type="character" w:styleId="1101" w:customStyle="1">
    <w:name w:val="纯文本 字符"/>
    <w:basedOn w:val="910"/>
    <w:link w:val="920"/>
    <w:uiPriority w:val="0"/>
    <w:qFormat/>
    <w:rPr>
      <w:rFonts w:ascii="宋体" w:hAnsi="Courier New" w:eastAsia="宋体" w:cs="Courier New"/>
      <w:color w:val="161616"/>
      <w:szCs w:val="21"/>
    </w:rPr>
  </w:style>
  <w:style w:type="paragraph" w:styleId="1102" w:customStyle="1">
    <w:name w:val="TOC 标题1"/>
    <w:basedOn w:val="901"/>
    <w:next w:val="900"/>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1103">
    <w:name w:val="No Spacing"/>
    <w:uiPriority w:val="1"/>
    <w:qFormat/>
    <w:pPr>
      <w:ind w:firstLine="200"/>
    </w:pPr>
    <w:rPr>
      <w:rFonts w:hint="default" w:ascii="Arial" w:hAnsi="Arial" w:eastAsia="宋体" w:cs="Arial"/>
      <w:color w:val="000000"/>
      <w:sz w:val="24"/>
      <w:szCs w:val="21"/>
      <w:lang w:val="en-US" w:eastAsia="en-US" w:bidi="ar-SA"/>
    </w:rPr>
  </w:style>
  <w:style w:type="character" w:styleId="1104" w:customStyle="1">
    <w:name w:val="未处理的提及1"/>
    <w:basedOn w:val="910"/>
    <w:uiPriority w:val="99"/>
    <w:semiHidden/>
    <w:unhideWhenUsed/>
    <w:qFormat/>
    <w:rPr>
      <w:color w:val="605e5c"/>
      <w:shd w:val="clear" w:color="auto" w:fill="e1dfdd"/>
    </w:rPr>
  </w:style>
  <w:style w:type="character" w:styleId="1105" w:customStyle="1">
    <w:name w:val="批注框文本 字符"/>
    <w:basedOn w:val="910"/>
    <w:link w:val="923"/>
    <w:uiPriority w:val="99"/>
    <w:semiHidden/>
    <w:qFormat/>
    <w:rPr>
      <w:rFonts w:ascii="Arial" w:hAnsi="Arial" w:eastAsia="宋体" w:cs="Arial"/>
      <w:color w:val="000000"/>
      <w:sz w:val="18"/>
      <w:szCs w:val="18"/>
      <w:lang w:eastAsia="en-US"/>
    </w:rPr>
  </w:style>
  <w:style w:type="paragraph" w:styleId="1106" w:customStyle="1">
    <w:name w:val="页眉1"/>
    <w:basedOn w:val="900"/>
    <w:link w:val="1107"/>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character" w:styleId="1107" w:customStyle="1">
    <w:name w:val="页眉 字符"/>
    <w:link w:val="1106"/>
    <w:uiPriority w:val="99"/>
    <w:qFormat/>
    <w:rPr>
      <w:rFonts w:ascii="等线" w:hAnsi="等线" w:eastAsia="等线" w:cs="Times New Roman"/>
      <w:sz w:val="18"/>
      <w:szCs w:val="18"/>
    </w:rPr>
  </w:style>
  <w:style w:type="paragraph" w:styleId="1108" w:customStyle="1">
    <w:name w:val="修订1"/>
    <w:hidden/>
    <w:uiPriority w:val="99"/>
    <w:unhideWhenUsed/>
    <w:qFormat/>
    <w:rPr>
      <w:rFonts w:hint="default" w:ascii="Arial" w:hAnsi="Arial" w:eastAsia="宋体" w:cs="Arial"/>
      <w:color w:val="000000"/>
      <w:sz w:val="24"/>
      <w:szCs w:val="21"/>
      <w:lang w:val="en-US" w:eastAsia="en-US" w:bidi="ar-SA"/>
    </w:rPr>
  </w:style>
  <w:style w:type="character" w:styleId="1109" w:customStyle="1">
    <w:name w:val="页码11"/>
    <w:basedOn w:val="910"/>
    <w:uiPriority w:val="0"/>
    <w:qFormat/>
    <w:rPr>
      <w:rFonts w:ascii="Arial" w:hAnsi="Arial" w:eastAsia="宋体" w:cs="Arial"/>
      <w:color w:val="000000"/>
      <w:sz w:val="24"/>
      <w:szCs w:val="21"/>
      <w:lang w:val="en-US" w:eastAsia="en-US" w:bidi="ar"/>
    </w:rPr>
  </w:style>
  <w:style w:type="character" w:styleId="1110" w:customStyle="1">
    <w:name w:val="批注文字 字符"/>
    <w:basedOn w:val="910"/>
    <w:link w:val="914"/>
    <w:uiPriority w:val="99"/>
    <w:semiHidden/>
    <w:qFormat/>
    <w:rPr>
      <w:rFonts w:ascii="Arial" w:hAnsi="Arial" w:cs="Arial"/>
      <w:color w:val="000000"/>
      <w:sz w:val="24"/>
      <w:szCs w:val="21"/>
      <w:lang w:eastAsia="en-US"/>
    </w:rPr>
  </w:style>
  <w:style w:type="character" w:styleId="1111" w:customStyle="1">
    <w:name w:val="批注主题 字符"/>
    <w:basedOn w:val="1110"/>
    <w:link w:val="937"/>
    <w:uiPriority w:val="99"/>
    <w:semiHidden/>
    <w:qFormat/>
    <w:rPr>
      <w:rFonts w:ascii="Arial" w:hAnsi="Arial" w:cs="Arial"/>
      <w:b/>
      <w:bCs/>
      <w:color w:val="000000"/>
      <w:sz w:val="24"/>
      <w:szCs w:val="21"/>
      <w:lang w:eastAsia="en-US"/>
    </w:rPr>
  </w:style>
  <w:style w:type="paragraph" w:styleId="1112" w:customStyle="1">
    <w:name w:val="TOC Heading1"/>
    <w:next w:val="900"/>
    <w:uiPriority w:val="0"/>
    <w:qFormat/>
    <w:rPr>
      <w:rFonts w:hint="default" w:ascii="Times New Roman" w:hAnsi="Times New Roman" w:eastAsia="宋体" w:cs="Times New Roman"/>
      <w:sz w:val="32"/>
      <w:lang w:val="en-US" w:eastAsia="zh-CN" w:bidi="ar-SA"/>
    </w:rPr>
  </w:style>
  <w:style w:type="character" w:styleId="1113" w:customStyle="1">
    <w:name w:val="NormalCharacter"/>
    <w:link w:val="1114"/>
    <w:uiPriority w:val="0"/>
    <w:qFormat/>
  </w:style>
  <w:style w:type="paragraph" w:styleId="1114" w:customStyle="1">
    <w:name w:val="UserStyle_4"/>
    <w:basedOn w:val="900"/>
    <w:link w:val="1113"/>
    <w:uiPriority w:val="99"/>
    <w:qFormat/>
  </w:style>
  <w:style w:type="paragraph" w:styleId="1115" w:customStyle="1">
    <w:name w:val="修订2"/>
    <w:hidden/>
    <w:uiPriority w:val="99"/>
    <w:semiHidden/>
    <w:qFormat/>
    <w:rPr>
      <w:rFonts w:hint="default" w:ascii="Arial" w:hAnsi="Arial" w:eastAsia="宋体" w:cs="Arial"/>
      <w:color w:val="000000"/>
      <w:sz w:val="24"/>
      <w:szCs w:val="21"/>
      <w:lang w:val="en-US" w:eastAsia="en-US" w:bidi="ar-SA"/>
    </w:rPr>
  </w:style>
  <w:style w:type="character" w:styleId="1116" w:customStyle="1">
    <w:name w:val="font41"/>
    <w:basedOn w:val="910"/>
    <w:uiPriority w:val="0"/>
    <w:qFormat/>
    <w:rPr>
      <w:rFonts w:hint="eastAsia" w:ascii="宋体" w:hAnsi="宋体" w:eastAsia="宋体" w:cs="宋体"/>
      <w:color w:val="000000"/>
      <w:sz w:val="21"/>
      <w:szCs w:val="21"/>
      <w:u w:val="none"/>
    </w:rPr>
  </w:style>
  <w:style w:type="character" w:styleId="1117" w:customStyle="1">
    <w:name w:val="font112"/>
    <w:basedOn w:val="910"/>
    <w:uiPriority w:val="0"/>
    <w:qFormat/>
    <w:rPr>
      <w:rFonts w:ascii="Calibri" w:hAnsi="Calibri" w:cs="Calibri"/>
      <w:color w:val="000000"/>
      <w:sz w:val="21"/>
      <w:szCs w:val="21"/>
      <w:u w:val="none"/>
    </w:rPr>
  </w:style>
  <w:style w:type="character" w:styleId="1118" w:customStyle="1">
    <w:name w:val="font91"/>
    <w:basedOn w:val="910"/>
    <w:uiPriority w:val="0"/>
    <w:qFormat/>
    <w:rPr>
      <w:rFonts w:hint="eastAsia" w:ascii="宋体" w:hAnsi="宋体" w:eastAsia="宋体" w:cs="宋体"/>
      <w:color w:val="000000"/>
      <w:sz w:val="20"/>
      <w:szCs w:val="20"/>
      <w:u w:val="none"/>
    </w:rPr>
  </w:style>
  <w:style w:type="character" w:styleId="1119" w:customStyle="1">
    <w:name w:val="font101"/>
    <w:basedOn w:val="910"/>
    <w:uiPriority w:val="0"/>
    <w:qFormat/>
    <w:rPr>
      <w:rFonts w:hint="eastAsia" w:ascii="宋体" w:hAnsi="宋体" w:eastAsia="宋体" w:cs="宋体"/>
      <w:color w:val="000000"/>
      <w:sz w:val="20"/>
      <w:szCs w:val="20"/>
      <w:u w:val="none"/>
    </w:rPr>
  </w:style>
  <w:style w:type="character" w:styleId="1120" w:customStyle="1">
    <w:name w:val="font71"/>
    <w:basedOn w:val="910"/>
    <w:uiPriority w:val="0"/>
    <w:qFormat/>
    <w:rPr>
      <w:rFonts w:hint="default" w:ascii="Times New Roman" w:hAnsi="Times New Roman" w:cs="Times New Roman"/>
      <w:color w:val="000000"/>
      <w:sz w:val="24"/>
      <w:szCs w:val="24"/>
      <w:u w:val="none"/>
    </w:rPr>
  </w:style>
  <w:style w:type="character" w:styleId="1121" w:customStyle="1">
    <w:name w:val="font121"/>
    <w:basedOn w:val="910"/>
    <w:uiPriority w:val="0"/>
    <w:qFormat/>
    <w:rPr>
      <w:rFonts w:hint="default" w:ascii="Times New Roman" w:hAnsi="Times New Roman" w:cs="Times New Roman"/>
      <w:color w:val="000000"/>
      <w:sz w:val="22"/>
      <w:szCs w:val="22"/>
      <w:u w:val="none"/>
    </w:rPr>
  </w:style>
  <w:style w:type="character" w:styleId="1122" w:customStyle="1">
    <w:name w:val="font51"/>
    <w:basedOn w:val="910"/>
    <w:uiPriority w:val="0"/>
    <w:qFormat/>
    <w:rPr>
      <w:rFonts w:hint="eastAsia" w:ascii="宋体" w:hAnsi="宋体" w:eastAsia="宋体" w:cs="宋体"/>
      <w:color w:val="000000"/>
      <w:sz w:val="24"/>
      <w:szCs w:val="24"/>
      <w:u w:val="none"/>
    </w:rPr>
  </w:style>
  <w:style w:type="character" w:styleId="1123" w:customStyle="1">
    <w:name w:val="font131"/>
    <w:basedOn w:val="910"/>
    <w:uiPriority w:val="0"/>
    <w:qFormat/>
    <w:rPr>
      <w:rFonts w:hint="eastAsia" w:ascii="宋体" w:hAnsi="宋体" w:eastAsia="宋体" w:cs="宋体"/>
      <w:color w:val="ff0000"/>
      <w:sz w:val="24"/>
      <w:szCs w:val="24"/>
      <w:u w:val="none"/>
    </w:rPr>
  </w:style>
  <w:style w:type="character" w:styleId="1124" w:customStyle="1">
    <w:name w:val="font01"/>
    <w:basedOn w:val="910"/>
    <w:uiPriority w:val="0"/>
    <w:qFormat/>
    <w:rPr>
      <w:rFonts w:hint="eastAsia" w:ascii="宋体" w:hAnsi="宋体" w:eastAsia="宋体" w:cs="宋体"/>
      <w:color w:val="000000"/>
      <w:sz w:val="22"/>
      <w:szCs w:val="22"/>
      <w:u w:val="none"/>
    </w:rPr>
  </w:style>
  <w:style w:type="character" w:styleId="1125" w:customStyle="1">
    <w:name w:val="font11"/>
    <w:basedOn w:val="910"/>
    <w:uiPriority w:val="0"/>
    <w:qFormat/>
    <w:rPr>
      <w:rFonts w:hint="default" w:ascii="Arial" w:hAnsi="Arial" w:cs="Arial"/>
      <w:color w:val="000000"/>
      <w:sz w:val="22"/>
      <w:szCs w:val="22"/>
      <w:u w:val="none"/>
    </w:rPr>
  </w:style>
  <w:style w:type="character" w:styleId="1126" w:customStyle="1">
    <w:name w:val="font61"/>
    <w:basedOn w:val="910"/>
    <w:uiPriority w:val="0"/>
    <w:qFormat/>
    <w:rPr>
      <w:rFonts w:hint="eastAsia" w:ascii="宋体" w:hAnsi="宋体" w:eastAsia="宋体" w:cs="宋体"/>
      <w:color w:val="000000"/>
      <w:sz w:val="22"/>
      <w:szCs w:val="22"/>
      <w:u w:val="none"/>
    </w:rPr>
  </w:style>
  <w:style w:type="character" w:styleId="1127" w:customStyle="1">
    <w:name w:val="font81"/>
    <w:basedOn w:val="910"/>
    <w:uiPriority w:val="0"/>
    <w:qFormat/>
    <w:rPr>
      <w:rFonts w:hint="default" w:ascii="Segoe UI" w:hAnsi="Segoe UI" w:eastAsia="Segoe UI" w:cs="Segoe UI"/>
      <w:color w:val="000000"/>
      <w:sz w:val="24"/>
      <w:szCs w:val="24"/>
      <w:u w:val="none"/>
    </w:rPr>
  </w:style>
  <w:style w:type="character" w:styleId="1128" w:customStyle="1">
    <w:name w:val="font141"/>
    <w:basedOn w:val="910"/>
    <w:uiPriority w:val="0"/>
    <w:qFormat/>
    <w:rPr>
      <w:rFonts w:hint="eastAsia" w:ascii="宋体" w:hAnsi="宋体" w:eastAsia="宋体" w:cs="宋体"/>
      <w:color w:val="ff0000"/>
      <w:sz w:val="22"/>
      <w:szCs w:val="22"/>
      <w:u w:val="none"/>
    </w:rPr>
  </w:style>
  <w:style w:type="character" w:styleId="1129" w:customStyle="1">
    <w:name w:val="font151"/>
    <w:basedOn w:val="910"/>
    <w:uiPriority w:val="0"/>
    <w:qFormat/>
    <w:rPr>
      <w:rFonts w:hint="eastAsia" w:ascii="宋体" w:hAnsi="宋体" w:eastAsia="宋体" w:cs="宋体"/>
      <w:color w:val="ff0000"/>
      <w:sz w:val="21"/>
      <w:szCs w:val="21"/>
      <w:u w:val="none"/>
    </w:rPr>
  </w:style>
  <w:style w:type="character" w:styleId="1130" w:customStyle="1">
    <w:name w:val="font161"/>
    <w:basedOn w:val="910"/>
    <w:uiPriority w:val="0"/>
    <w:qFormat/>
    <w:rPr>
      <w:rFonts w:hint="eastAsia" w:ascii="宋体" w:hAnsi="宋体" w:eastAsia="宋体" w:cs="宋体"/>
      <w:color w:val="000000"/>
      <w:sz w:val="21"/>
      <w:szCs w:val="21"/>
      <w:u w:val="none"/>
    </w:rPr>
  </w:style>
  <w:style w:type="character" w:styleId="1131" w:customStyle="1">
    <w:name w:val="font171"/>
    <w:basedOn w:val="910"/>
    <w:uiPriority w:val="0"/>
    <w:qFormat/>
    <w:rPr>
      <w:rFonts w:hint="eastAsia" w:ascii="宋体" w:hAnsi="宋体" w:eastAsia="宋体" w:cs="宋体"/>
      <w:color w:val="000000"/>
      <w:sz w:val="21"/>
      <w:szCs w:val="21"/>
      <w:u w:val="none"/>
    </w:rPr>
  </w:style>
  <w:style w:type="character" w:styleId="1132" w:customStyle="1">
    <w:name w:val="font181"/>
    <w:basedOn w:val="910"/>
    <w:uiPriority w:val="0"/>
    <w:qFormat/>
    <w:rPr>
      <w:rFonts w:ascii="Yu Gothic" w:hAnsi="Yu Gothic" w:eastAsia="Yu Gothic" w:cs="Yu Gothic"/>
      <w:color w:val="000000"/>
      <w:sz w:val="22"/>
      <w:szCs w:val="22"/>
      <w:u w:val="none"/>
    </w:rPr>
  </w:style>
  <w:style w:type="character" w:styleId="1133" w:customStyle="1">
    <w:name w:val="font31"/>
    <w:basedOn w:val="910"/>
    <w:uiPriority w:val="0"/>
    <w:qFormat/>
    <w:rPr>
      <w:rFonts w:hint="default" w:ascii="Arial" w:hAnsi="Arial" w:cs="Arial"/>
      <w:color w:val="000000"/>
      <w:sz w:val="22"/>
      <w:szCs w:val="22"/>
      <w:u w:val="none"/>
    </w:rPr>
  </w:style>
  <w:style w:type="character" w:styleId="1134" w:customStyle="1">
    <w:name w:val="font12"/>
    <w:basedOn w:val="910"/>
    <w:uiPriority w:val="0"/>
    <w:qFormat/>
    <w:rPr>
      <w:rFonts w:hint="default" w:ascii="Arial" w:hAnsi="Arial" w:cs="Arial"/>
      <w:color w:val="000000"/>
      <w:sz w:val="22"/>
      <w:szCs w:val="22"/>
      <w:u w:val="none"/>
    </w:rPr>
  </w:style>
  <w:style w:type="character" w:styleId="1135" w:customStyle="1">
    <w:name w:val="font122"/>
    <w:basedOn w:val="910"/>
    <w:uiPriority w:val="0"/>
    <w:qFormat/>
    <w:rPr>
      <w:rFonts w:hint="eastAsia" w:ascii="宋体" w:hAnsi="宋体" w:eastAsia="宋体" w:cs="宋体"/>
      <w:color w:val="000000"/>
      <w:sz w:val="24"/>
      <w:szCs w:val="24"/>
      <w:u w:val="none"/>
    </w:rPr>
  </w:style>
  <w:style w:type="character" w:styleId="1136" w:customStyle="1">
    <w:name w:val="font111"/>
    <w:basedOn w:val="910"/>
    <w:uiPriority w:val="0"/>
    <w:qFormat/>
    <w:rPr>
      <w:rFonts w:hint="default" w:ascii="Arial" w:hAnsi="Arial" w:cs="Arial"/>
      <w:color w:val="000000"/>
      <w:sz w:val="21"/>
      <w:szCs w:val="21"/>
      <w:u w:val="none"/>
    </w:rPr>
  </w:style>
  <w:style w:type="table" w:styleId="1137" w:customStyle="1">
    <w:name w:val="网格型6"/>
    <w:basedOn w:val="911"/>
    <w:uiPriority w:val="59"/>
    <w:qFormat/>
    <w:rPr>
      <w:rFonts w:ascii="Calibri" w:hAnsi="Calibr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8" w:customStyle="1">
    <w:name w:val="正文1"/>
    <w:basedOn w:val="900"/>
    <w:uiPriority w:val="3"/>
    <w:qFormat/>
    <w:pPr>
      <w:ind w:firstLine="540"/>
    </w:pPr>
  </w:style>
  <w:style w:type="numbering" w:styleId="127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52827E1-D9F5-4967-A373-583B04F5BFE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杨彦</cp:lastModifiedBy>
  <cp:revision>27</cp:revision>
  <dcterms:created xsi:type="dcterms:W3CDTF">2026-04-07T05:56:00Z</dcterms:created>
  <dcterms:modified xsi:type="dcterms:W3CDTF">2026-09-20T06:51:47Z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51037783E56742B7B5324F878302EBCB_13</vt:lpwstr>
  </property>
  <property fmtid="{D5CDD505-2E9C-101B-9397-08002B2CF9AE}" pid="4" name="KSOTemplateDocerSaveRecord">
    <vt:lpwstr>eyJoZGlkIjoiZWRhODA2NmI1NTQzODlhYWM4YzEwMTc1ZmRmYWRhYTUiLCJ1c2VySWQiOiI4MzQxNzExMjIifQ==</vt:lpwstr>
  </property>
</Properties>
</file>