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56"/>
          <w:szCs w:val="56"/>
          <w:highlight w:val="none"/>
        </w:rPr>
      </w:pPr>
      <w:r>
        <w:rPr>
          <w:rFonts w:ascii="宋体" w:hAnsi="宋体" w:cs="宋体"/>
          <w:b/>
          <w:bCs/>
          <w:sz w:val="56"/>
          <w:szCs w:val="56"/>
          <w:highlight w:val="none"/>
        </w:rPr>
      </w:r>
      <w:r/>
    </w:p>
    <w:p>
      <w:pPr>
        <w:jc w:val="center"/>
        <w:rPr>
          <w:rFonts w:ascii="宋体" w:hAnsi="宋体" w:cs="宋体"/>
          <w:b/>
          <w:bCs/>
          <w:sz w:val="56"/>
          <w:szCs w:val="56"/>
          <w:highlight w:val="none"/>
        </w:rPr>
      </w:pPr>
      <w:r>
        <w:rPr>
          <w:rFonts w:hint="eastAsia" w:ascii="宋体" w:hAnsi="宋体" w:cs="宋体"/>
          <w:b/>
          <w:bCs/>
          <w:sz w:val="56"/>
          <w:szCs w:val="56"/>
          <w:highlight w:val="none"/>
        </w:rPr>
        <w:t xml:space="preserve">南京市高淳人民医院</w:t>
      </w:r>
      <w:r/>
    </w:p>
    <w:p>
      <w:pPr>
        <w:jc w:val="center"/>
        <w:rPr>
          <w:rFonts w:hint="eastAsia" w:ascii="宋体" w:hAnsi="宋体" w:cs="宋体"/>
          <w:b/>
          <w:bCs/>
          <w:sz w:val="56"/>
          <w:szCs w:val="56"/>
          <w:highlight w:val="none"/>
        </w:rPr>
      </w:pPr>
      <w:r>
        <w:rPr>
          <w:rFonts w:hint="eastAsia" w:ascii="宋体" w:hAnsi="宋体" w:cs="宋体"/>
          <w:b/>
          <w:bCs/>
          <w:sz w:val="56"/>
          <w:szCs w:val="56"/>
          <w:highlight w:val="none"/>
          <w:lang w:val="en-US" w:eastAsia="zh-CN"/>
        </w:rPr>
        <w:t xml:space="preserve">高淳区</w:t>
      </w:r>
      <w:r>
        <w:rPr>
          <w:rFonts w:hint="eastAsia" w:ascii="宋体" w:hAnsi="宋体" w:cs="宋体"/>
          <w:b/>
          <w:bCs/>
          <w:sz w:val="56"/>
          <w:szCs w:val="56"/>
          <w:highlight w:val="none"/>
        </w:rPr>
        <w:t xml:space="preserve">心电一张网县乡村一体化</w:t>
      </w:r>
      <w:r/>
    </w:p>
    <w:p>
      <w:pPr>
        <w:jc w:val="center"/>
        <w:rPr>
          <w:rFonts w:ascii="黑体" w:hAnsi="黑体" w:eastAsia="黑体" w:cs="黑体"/>
          <w:b/>
          <w:bCs/>
          <w:sz w:val="48"/>
          <w:szCs w:val="48"/>
          <w:highlight w:val="none"/>
        </w:rPr>
      </w:pPr>
      <w:r>
        <w:rPr>
          <w:rFonts w:hint="eastAsia" w:ascii="宋体" w:hAnsi="宋体" w:cs="宋体"/>
          <w:b/>
          <w:bCs/>
          <w:sz w:val="56"/>
          <w:szCs w:val="56"/>
          <w:highlight w:val="none"/>
        </w:rPr>
        <w:t xml:space="preserve">建设项目 </w:t>
      </w:r>
      <w:r/>
    </w:p>
    <w:p>
      <w:pPr>
        <w:jc w:val="center"/>
        <w:rPr>
          <w:rFonts w:ascii="黑体" w:hAnsi="黑体" w:eastAsia="黑体" w:cs="黑体"/>
          <w:b/>
          <w:bCs/>
          <w:sz w:val="48"/>
          <w:szCs w:val="48"/>
          <w:highlight w:val="none"/>
        </w:rPr>
      </w:pPr>
      <w:r>
        <w:rPr>
          <w:rFonts w:ascii="黑体" w:hAnsi="黑体" w:eastAsia="黑体" w:cs="黑体"/>
          <w:b/>
          <w:bCs/>
          <w:sz w:val="48"/>
          <w:szCs w:val="48"/>
          <w:highlight w:val="none"/>
        </w:rPr>
      </w:r>
      <w:r/>
    </w:p>
    <w:p>
      <w:pPr>
        <w:jc w:val="center"/>
        <w:rPr>
          <w:rFonts w:ascii="黑体" w:hAnsi="黑体" w:eastAsia="黑体" w:cs="黑体"/>
          <w:b/>
          <w:bCs/>
          <w:sz w:val="48"/>
          <w:szCs w:val="48"/>
          <w:highlight w:val="none"/>
        </w:rPr>
      </w:pPr>
      <w:r>
        <w:rPr>
          <w:rFonts w:ascii="黑体" w:hAnsi="黑体" w:eastAsia="黑体" w:cs="黑体"/>
          <w:b/>
          <w:bCs/>
          <w:sz w:val="48"/>
          <w:szCs w:val="48"/>
          <w:highlight w:val="none"/>
        </w:rPr>
      </w:r>
      <w:r/>
    </w:p>
    <w:p>
      <w:pPr>
        <w:jc w:val="center"/>
        <w:rPr>
          <w:rFonts w:ascii="黑体" w:hAnsi="黑体" w:eastAsia="黑体" w:cs="黑体"/>
          <w:b/>
          <w:bCs/>
          <w:sz w:val="48"/>
          <w:szCs w:val="48"/>
          <w:highlight w:val="none"/>
        </w:rPr>
      </w:pPr>
      <w:r>
        <w:rPr>
          <w:rFonts w:ascii="黑体" w:hAnsi="黑体" w:eastAsia="黑体" w:cs="黑体"/>
          <w:b/>
          <w:bCs/>
          <w:sz w:val="48"/>
          <w:szCs w:val="48"/>
          <w:highlight w:val="none"/>
        </w:rPr>
      </w:r>
      <w:r/>
    </w:p>
    <w:p>
      <w:pPr>
        <w:jc w:val="center"/>
        <w:rPr>
          <w:rFonts w:ascii="黑体" w:hAnsi="黑体" w:eastAsia="黑体" w:cs="黑体"/>
          <w:b/>
          <w:bCs/>
          <w:sz w:val="48"/>
          <w:szCs w:val="48"/>
          <w:highlight w:val="none"/>
        </w:rPr>
      </w:pPr>
      <w:r>
        <w:rPr>
          <w:rFonts w:ascii="黑体" w:hAnsi="黑体" w:eastAsia="黑体" w:cs="黑体"/>
          <w:b/>
          <w:bCs/>
          <w:sz w:val="48"/>
          <w:szCs w:val="48"/>
          <w:highlight w:val="none"/>
        </w:rPr>
      </w:r>
      <w:r/>
    </w:p>
    <w:p>
      <w:pPr>
        <w:ind w:left="2100"/>
        <w:jc w:val="left"/>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 xml:space="preserve">项目编号：JSZC-320118-JSHY-G2026-0176</w:t>
      </w:r>
      <w:r/>
    </w:p>
    <w:p>
      <w:pPr>
        <w:rPr>
          <w:rFonts w:ascii="黑体" w:hAnsi="黑体" w:eastAsia="黑体" w:cs="黑体"/>
          <w:b/>
          <w:bCs/>
          <w:sz w:val="32"/>
          <w:szCs w:val="32"/>
          <w:highlight w:val="none"/>
        </w:rPr>
      </w:pPr>
      <w:r>
        <w:rPr>
          <w:rFonts w:ascii="黑体" w:hAnsi="黑体" w:eastAsia="黑体" w:cs="黑体"/>
          <w:b/>
          <w:bCs/>
          <w:sz w:val="32"/>
          <w:szCs w:val="32"/>
          <w:highlight w:val="none"/>
        </w:rPr>
      </w:r>
      <w:r/>
    </w:p>
    <w:p>
      <w:pPr>
        <w:jc w:val="center"/>
        <w:rPr>
          <w:rFonts w:ascii="微软雅黑" w:eastAsia="微软雅黑"/>
          <w:b/>
          <w:sz w:val="18"/>
          <w:szCs w:val="18"/>
          <w:highlight w:val="none"/>
        </w:rPr>
      </w:pPr>
      <w:r>
        <w:rPr>
          <w:rFonts w:ascii="微软雅黑" w:eastAsia="微软雅黑"/>
          <w:b/>
          <w:sz w:val="18"/>
          <w:szCs w:val="18"/>
          <w:highlight w:val="none"/>
        </w:rPr>
      </w:r>
      <w:r/>
    </w:p>
    <w:p>
      <w:pPr>
        <w:jc w:val="center"/>
        <w:rPr>
          <w:rFonts w:ascii="微软雅黑" w:eastAsia="微软雅黑"/>
          <w:b/>
          <w:sz w:val="18"/>
          <w:szCs w:val="18"/>
          <w:highlight w:val="none"/>
        </w:rPr>
      </w:pPr>
      <w:r>
        <w:rPr>
          <w:rFonts w:ascii="微软雅黑" w:eastAsia="微软雅黑"/>
          <w:b/>
          <w:sz w:val="18"/>
          <w:szCs w:val="18"/>
          <w:highlight w:val="none"/>
        </w:rPr>
      </w:r>
      <w:r/>
    </w:p>
    <w:p>
      <w:pPr>
        <w:jc w:val="center"/>
        <w:rPr>
          <w:rFonts w:ascii="微软雅黑" w:eastAsia="微软雅黑"/>
          <w:b/>
          <w:sz w:val="18"/>
          <w:szCs w:val="18"/>
          <w:highlight w:val="none"/>
        </w:rPr>
      </w:pPr>
      <w:r>
        <w:rPr>
          <w:rFonts w:ascii="微软雅黑" w:eastAsia="微软雅黑"/>
          <w:b/>
          <w:sz w:val="18"/>
          <w:szCs w:val="18"/>
          <w:highlight w:val="none"/>
        </w:rPr>
      </w:r>
      <w:r/>
    </w:p>
    <w:p>
      <w:pPr>
        <w:jc w:val="center"/>
        <w:rPr>
          <w:rFonts w:ascii="微软雅黑" w:eastAsia="微软雅黑"/>
          <w:b/>
          <w:sz w:val="18"/>
          <w:szCs w:val="18"/>
          <w:highlight w:val="none"/>
        </w:rPr>
      </w:pPr>
      <w:r>
        <w:rPr>
          <w:rFonts w:ascii="微软雅黑" w:eastAsia="微软雅黑"/>
          <w:b/>
          <w:sz w:val="18"/>
          <w:szCs w:val="18"/>
          <w:highlight w:val="none"/>
        </w:rPr>
      </w:r>
      <w:r/>
    </w:p>
    <w:p>
      <w:pPr>
        <w:jc w:val="center"/>
        <w:rPr>
          <w:rFonts w:ascii="微软雅黑" w:eastAsia="微软雅黑"/>
          <w:b/>
          <w:sz w:val="18"/>
          <w:szCs w:val="18"/>
          <w:highlight w:val="none"/>
        </w:rPr>
      </w:pPr>
      <w:r>
        <w:rPr>
          <w:rFonts w:ascii="微软雅黑" w:eastAsia="微软雅黑"/>
          <w:b/>
          <w:sz w:val="18"/>
          <w:szCs w:val="18"/>
          <w:highlight w:val="none"/>
        </w:rPr>
      </w:r>
      <w:r/>
    </w:p>
    <w:p>
      <w:pPr>
        <w:jc w:val="center"/>
        <w:rPr>
          <w:rFonts w:ascii="黑体" w:eastAsia="黑体"/>
          <w:sz w:val="82"/>
          <w:szCs w:val="72"/>
          <w:highlight w:val="none"/>
        </w:rPr>
      </w:pPr>
      <w:r>
        <w:rPr>
          <w:rFonts w:hint="eastAsia" w:ascii="黑体" w:eastAsia="黑体"/>
          <w:sz w:val="82"/>
          <w:szCs w:val="72"/>
          <w:highlight w:val="none"/>
        </w:rPr>
        <w:t xml:space="preserve">招  标  文  件</w:t>
      </w:r>
      <w:r/>
    </w:p>
    <w:p>
      <w:pPr>
        <w:ind w:firstLine="1980"/>
        <w:jc w:val="left"/>
        <w:spacing w:line="500" w:lineRule="exact"/>
        <w:rPr>
          <w:rFonts w:ascii="华文楷体" w:eastAsia="华文楷体"/>
          <w:sz w:val="36"/>
          <w:szCs w:val="36"/>
          <w:highlight w:val="none"/>
        </w:rPr>
      </w:pPr>
      <w:r>
        <w:rPr>
          <w:rFonts w:ascii="华文楷体" w:eastAsia="华文楷体"/>
          <w:sz w:val="36"/>
          <w:szCs w:val="36"/>
          <w:highlight w:val="none"/>
        </w:rPr>
      </w:r>
      <w:r/>
    </w:p>
    <w:p>
      <w:pPr>
        <w:ind w:firstLine="1980"/>
        <w:jc w:val="left"/>
        <w:spacing w:line="500" w:lineRule="exact"/>
        <w:rPr>
          <w:rFonts w:ascii="华文楷体" w:eastAsia="华文楷体"/>
          <w:sz w:val="36"/>
          <w:szCs w:val="36"/>
          <w:highlight w:val="none"/>
        </w:rPr>
      </w:pPr>
      <w:r>
        <w:rPr>
          <w:rFonts w:ascii="华文楷体" w:eastAsia="华文楷体"/>
          <w:sz w:val="36"/>
          <w:szCs w:val="36"/>
          <w:highlight w:val="none"/>
        </w:rPr>
      </w:r>
      <w:r/>
    </w:p>
    <w:p>
      <w:pPr>
        <w:jc w:val="left"/>
        <w:spacing w:line="500" w:lineRule="exact"/>
        <w:rPr>
          <w:rFonts w:ascii="华文楷体" w:eastAsia="华文楷体"/>
          <w:sz w:val="36"/>
          <w:szCs w:val="36"/>
          <w:highlight w:val="none"/>
        </w:rPr>
      </w:pPr>
      <w:r>
        <w:rPr>
          <w:rFonts w:ascii="华文楷体" w:eastAsia="华文楷体"/>
          <w:sz w:val="36"/>
          <w:szCs w:val="36"/>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tbl>
      <w:tblPr>
        <w:tblStyle w:val="770"/>
        <w:tblW w:w="0" w:type="auto"/>
        <w:jc w:val="center"/>
        <w:tblLayout w:type="fixed"/>
        <w:tblCellMar>
          <w:left w:w="108" w:type="dxa"/>
          <w:top w:w="0" w:type="dxa"/>
          <w:right w:w="108" w:type="dxa"/>
          <w:bottom w:w="0" w:type="dxa"/>
        </w:tblCellMar>
        <w:tblLook w:val="04A0" w:firstRow="1" w:lastRow="0" w:firstColumn="1" w:lastColumn="0" w:noHBand="0" w:noVBand="1"/>
      </w:tblPr>
      <w:tblGrid>
        <w:gridCol w:w="2619"/>
        <w:gridCol w:w="5840"/>
      </w:tblGrid>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rPr>
                <w:rFonts w:ascii="黑体" w:hAnsi="黑体" w:eastAsia="黑体" w:cs="黑体"/>
                <w:b/>
                <w:bCs/>
                <w:sz w:val="32"/>
                <w:szCs w:val="32"/>
                <w:highlight w:val="none"/>
              </w:rPr>
            </w:pPr>
            <w:r>
              <w:rPr>
                <w:rFonts w:hint="eastAsia" w:ascii="黑体" w:hAnsi="黑体" w:eastAsia="黑体" w:cs="黑体"/>
                <w:b/>
                <w:bCs/>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rPr>
                <w:rFonts w:ascii="黑体" w:hAnsi="黑体" w:eastAsia="黑体" w:cs="黑体"/>
                <w:b/>
                <w:bCs/>
                <w:sz w:val="32"/>
                <w:szCs w:val="32"/>
                <w:highlight w:val="none"/>
              </w:rPr>
            </w:pPr>
            <w:r>
              <w:rPr>
                <w:rFonts w:hint="eastAsia" w:ascii="黑体" w:hAnsi="黑体" w:eastAsia="黑体" w:cs="黑体"/>
                <w:b/>
                <w:bCs/>
                <w:sz w:val="32"/>
                <w:szCs w:val="32"/>
                <w:highlight w:val="none"/>
              </w:rPr>
              <w:t xml:space="preserve">南京市高淳人民医院</w:t>
            </w:r>
            <w:r/>
          </w:p>
        </w:tc>
      </w:tr>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rPr>
                <w:rFonts w:ascii="黑体" w:hAnsi="黑体" w:eastAsia="黑体" w:cs="黑体"/>
                <w:b/>
                <w:bCs/>
                <w:sz w:val="32"/>
                <w:szCs w:val="32"/>
                <w:highlight w:val="none"/>
              </w:rPr>
            </w:pPr>
            <w:r>
              <w:rPr>
                <w:rFonts w:hint="eastAsia" w:ascii="黑体" w:hAnsi="黑体" w:eastAsia="黑体" w:cs="黑体"/>
                <w:b/>
                <w:bCs/>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rPr>
                <w:rFonts w:ascii="黑体" w:hAnsi="黑体" w:eastAsia="黑体" w:cs="黑体"/>
                <w:b/>
                <w:bCs/>
                <w:sz w:val="32"/>
                <w:szCs w:val="32"/>
                <w:highlight w:val="none"/>
              </w:rPr>
            </w:pPr>
            <w:r>
              <w:rPr>
                <w:rFonts w:hint="eastAsia" w:ascii="黑体" w:hAnsi="黑体" w:eastAsia="黑体" w:cs="黑体"/>
                <w:b/>
                <w:bCs/>
                <w:sz w:val="32"/>
                <w:szCs w:val="32"/>
                <w:highlight w:val="none"/>
              </w:rPr>
              <w:t xml:space="preserve">江苏弘业国际技术工程有限公司</w:t>
            </w:r>
            <w:r/>
          </w:p>
        </w:tc>
      </w:tr>
      <w:tr>
        <w:trPr>
          <w:jc w:val="center"/>
          <w:trHeight w:val="803"/>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rPr>
                <w:rFonts w:ascii="黑体" w:hAnsi="黑体" w:eastAsia="黑体" w:cs="黑体"/>
                <w:b/>
                <w:bCs/>
                <w:sz w:val="32"/>
                <w:szCs w:val="32"/>
                <w:highlight w:val="none"/>
              </w:rPr>
            </w:pPr>
            <w:r>
              <w:rPr>
                <w:rFonts w:hint="eastAsia" w:ascii="黑体" w:hAnsi="黑体" w:eastAsia="黑体" w:cs="黑体"/>
                <w:b/>
                <w:bCs/>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rPr>
                <w:rFonts w:ascii="黑体" w:hAnsi="黑体" w:eastAsia="黑体" w:cs="黑体"/>
                <w:b/>
                <w:bCs/>
                <w:sz w:val="32"/>
                <w:szCs w:val="32"/>
                <w:highlight w:val="none"/>
              </w:rPr>
            </w:pPr>
            <w:r/>
            <w:bookmarkStart w:id="0" w:name="EB011e21966a4746ceac4488705cfdd813"/>
            <w:r>
              <w:rPr>
                <w:rFonts w:hint="eastAsia" w:ascii="黑体" w:hAnsi="黑体" w:eastAsia="黑体" w:cs="黑体"/>
                <w:b/>
                <w:bCs/>
                <w:sz w:val="32"/>
                <w:szCs w:val="32"/>
                <w:highlight w:val="none"/>
              </w:rPr>
              <w:t xml:space="preserve">2026年0</w:t>
            </w:r>
            <w:r>
              <w:rPr>
                <w:rFonts w:hint="eastAsia" w:ascii="黑体" w:hAnsi="黑体" w:eastAsia="黑体" w:cs="黑体"/>
                <w:b/>
                <w:bCs/>
                <w:sz w:val="32"/>
                <w:szCs w:val="32"/>
                <w:highlight w:val="none"/>
                <w:lang w:val="en-US" w:eastAsia="zh-CN"/>
              </w:rPr>
              <w:t xml:space="preserve">9</w:t>
            </w:r>
            <w:r>
              <w:rPr>
                <w:rFonts w:hint="eastAsia" w:ascii="黑体" w:hAnsi="黑体" w:eastAsia="黑体" w:cs="黑体"/>
                <w:b/>
                <w:bCs/>
                <w:sz w:val="32"/>
                <w:szCs w:val="32"/>
                <w:highlight w:val="none"/>
              </w:rPr>
              <w:t xml:space="preserve">月</w:t>
            </w:r>
            <w:bookmarkEnd w:id="0"/>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8"/>
          <w:szCs w:val="28"/>
          <w:highlight w:val="none"/>
        </w:rPr>
      </w:pPr>
      <w:r>
        <w:rPr>
          <w:sz w:val="28"/>
          <w:szCs w:val="28"/>
          <w:highlight w:val="none"/>
        </w:rPr>
      </w:r>
      <w:r/>
    </w:p>
    <w:p>
      <w:pPr>
        <w:pStyle w:val="836"/>
        <w:tabs>
          <w:tab w:val="left" w:pos="6527" w:leader="none"/>
        </w:tabs>
        <w:rPr>
          <w:rFonts w:ascii="宋体" w:hAnsi="宋体"/>
          <w:b/>
          <w:bCs/>
          <w:sz w:val="28"/>
          <w:szCs w:val="28"/>
          <w:highlight w:val="none"/>
        </w:rPr>
      </w:pPr>
      <w:r/>
      <w:bookmarkStart w:id="1" w:name="EB06f4f849a067447382c5c19bd1747a07"/>
      <w:r>
        <w:rPr>
          <w:rFonts w:hint="eastAsia"/>
          <w:sz w:val="28"/>
          <w:szCs w:val="28"/>
          <w:highlight w:val="none"/>
        </w:rPr>
        <w:t xml:space="preserve"> </w:t>
      </w:r>
      <w:bookmarkEnd w:id="1"/>
      <w:r>
        <w:rPr>
          <w:rFonts w:hint="eastAsia"/>
          <w:sz w:val="28"/>
          <w:szCs w:val="28"/>
          <w:highlight w:val="none"/>
        </w:rPr>
        <w:tab/>
      </w:r>
      <w:r/>
    </w:p>
    <w:p>
      <w:pPr>
        <w:jc w:val="center"/>
        <w:rPr>
          <w:rFonts w:eastAsia="仿宋_GB2312"/>
          <w:sz w:val="28"/>
          <w:szCs w:val="28"/>
          <w:highlight w:val="none"/>
        </w:rPr>
      </w:pPr>
      <w:r>
        <w:rPr>
          <w:rFonts w:ascii="宋体" w:hAnsi="宋体"/>
          <w:b/>
          <w:bCs/>
          <w:sz w:val="28"/>
          <w:szCs w:val="28"/>
          <w:highlight w:val="none"/>
        </w:rPr>
        <w:t xml:space="preserve">目</w:t>
      </w:r>
      <w:r>
        <w:rPr>
          <w:rFonts w:hint="eastAsia" w:ascii="宋体" w:hAnsi="宋体"/>
          <w:b/>
          <w:bCs/>
          <w:sz w:val="28"/>
          <w:szCs w:val="28"/>
          <w:highlight w:val="none"/>
        </w:rPr>
        <w:t xml:space="preserve">  </w:t>
      </w:r>
      <w:r>
        <w:rPr>
          <w:rFonts w:ascii="宋体" w:hAnsi="宋体"/>
          <w:b/>
          <w:bCs/>
          <w:sz w:val="28"/>
          <w:szCs w:val="28"/>
          <w:highlight w:val="none"/>
        </w:rPr>
        <w:t xml:space="preserve">录</w:t>
      </w:r>
      <w:r/>
    </w:p>
    <w:p>
      <w:pPr>
        <w:pStyle w:val="1149"/>
        <w:spacing w:line="440" w:lineRule="exact"/>
        <w:tabs>
          <w:tab w:val="right" w:pos="8844" w:leader="dot"/>
        </w:tabs>
        <w:rPr>
          <w:rFonts w:ascii="宋体" w:hAnsi="宋体" w:cs="宋体"/>
          <w:sz w:val="28"/>
          <w:szCs w:val="28"/>
          <w:highlight w:val="none"/>
        </w:rPr>
      </w:pPr>
      <w:r>
        <w:rPr>
          <w:rFonts w:hint="eastAsia" w:ascii="宋体" w:hAnsi="宋体" w:cs="宋体"/>
          <w:b/>
          <w:sz w:val="28"/>
          <w:szCs w:val="28"/>
          <w:highlight w:val="none"/>
        </w:rPr>
        <w:fldChar w:fldCharType="begin"/>
      </w:r>
      <w:r>
        <w:rPr>
          <w:rFonts w:hint="eastAsia" w:ascii="宋体" w:hAnsi="宋体" w:cs="宋体"/>
          <w:b/>
          <w:sz w:val="28"/>
          <w:szCs w:val="28"/>
          <w:highlight w:val="none"/>
        </w:rPr>
        <w:instrText xml:space="preserve">TOC \o "1-2" \h \u </w:instrText>
      </w:r>
      <w:r>
        <w:rPr>
          <w:rFonts w:hint="eastAsia" w:ascii="宋体" w:hAnsi="宋体" w:cs="宋体"/>
          <w:b/>
          <w:sz w:val="28"/>
          <w:szCs w:val="28"/>
          <w:highlight w:val="none"/>
        </w:rPr>
        <w:fldChar w:fldCharType="separate"/>
      </w:r>
      <w:r>
        <w:rPr>
          <w:highlight w:val="none"/>
        </w:rPr>
        <w:fldChar w:fldCharType="begin"/>
      </w:r>
      <w:r>
        <w:rPr>
          <w:highlight w:val="none"/>
        </w:rPr>
        <w:instrText xml:space="preserve"> HYPERLINK \l "_Toc14268" </w:instrText>
      </w:r>
      <w:r>
        <w:rPr>
          <w:highlight w:val="none"/>
        </w:rPr>
        <w:fldChar w:fldCharType="separate"/>
      </w:r>
      <w:r>
        <w:rPr>
          <w:rFonts w:hint="eastAsia" w:ascii="宋体" w:hAnsi="宋体" w:cs="宋体"/>
          <w:b/>
          <w:sz w:val="28"/>
          <w:szCs w:val="28"/>
          <w:highlight w:val="none"/>
        </w:rPr>
        <w:t xml:space="preserve">第一部分  招标公告</w:t>
      </w:r>
      <w:r>
        <w:rPr>
          <w:rFonts w:hint="eastAsia" w:ascii="宋体" w:hAnsi="宋体" w:cs="宋体"/>
          <w:b/>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_Toc14268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1149"/>
        <w:spacing w:line="440" w:lineRule="exact"/>
        <w:tabs>
          <w:tab w:val="right" w:pos="8844" w:leader="dot"/>
        </w:tabs>
        <w:rPr>
          <w:rFonts w:ascii="宋体" w:hAnsi="宋体" w:cs="宋体"/>
          <w:sz w:val="28"/>
          <w:szCs w:val="28"/>
          <w:highlight w:val="none"/>
        </w:rPr>
      </w:pPr>
      <w:r>
        <w:rPr>
          <w:highlight w:val="none"/>
        </w:rPr>
        <w:fldChar w:fldCharType="begin"/>
      </w:r>
      <w:r>
        <w:rPr>
          <w:highlight w:val="none"/>
        </w:rPr>
        <w:instrText xml:space="preserve"> HYPERLINK \l "_Toc1881" </w:instrText>
      </w:r>
      <w:r>
        <w:rPr>
          <w:highlight w:val="none"/>
        </w:rPr>
        <w:fldChar w:fldCharType="separate"/>
      </w:r>
      <w:r>
        <w:rPr>
          <w:rFonts w:hint="eastAsia" w:ascii="宋体" w:hAnsi="宋体" w:cs="宋体"/>
          <w:b/>
          <w:sz w:val="28"/>
          <w:szCs w:val="28"/>
          <w:highlight w:val="none"/>
        </w:rPr>
        <w:t xml:space="preserve">第二部分  投标人须知</w:t>
      </w:r>
      <w:r>
        <w:rPr>
          <w:rFonts w:hint="eastAsia" w:ascii="宋体" w:hAnsi="宋体" w:cs="宋体"/>
          <w:b/>
          <w:sz w:val="28"/>
          <w:szCs w:val="28"/>
          <w:highlight w:val="none"/>
        </w:rPr>
        <w:tab/>
      </w:r>
      <w:r>
        <w:rPr>
          <w:rFonts w:hint="eastAsia" w:ascii="宋体" w:hAnsi="宋体" w:cs="宋体"/>
          <w:sz w:val="28"/>
          <w:szCs w:val="28"/>
          <w:highlight w:val="none"/>
        </w:rPr>
        <w:t xml:space="preserve">7</w:t>
      </w:r>
      <w:r>
        <w:rPr>
          <w:rFonts w:hint="eastAsia" w:ascii="宋体" w:hAnsi="宋体" w:cs="宋体"/>
          <w:sz w:val="28"/>
          <w:szCs w:val="28"/>
          <w:highlight w:val="none"/>
        </w:rPr>
        <w:fldChar w:fldCharType="end"/>
      </w:r>
      <w:r/>
    </w:p>
    <w:p>
      <w:pPr>
        <w:pStyle w:val="1149"/>
        <w:spacing w:line="440" w:lineRule="exact"/>
        <w:tabs>
          <w:tab w:val="right" w:pos="8844" w:leader="dot"/>
        </w:tabs>
        <w:rPr>
          <w:rFonts w:ascii="宋体" w:hAnsi="宋体" w:cs="宋体"/>
          <w:b/>
          <w:sz w:val="28"/>
          <w:szCs w:val="28"/>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cs="宋体"/>
          <w:b/>
          <w:sz w:val="28"/>
          <w:szCs w:val="28"/>
          <w:highlight w:val="none"/>
        </w:rPr>
        <w:t xml:space="preserve">第三部分  评标方法和标准</w:t>
      </w:r>
      <w:r>
        <w:rPr>
          <w:rFonts w:hint="eastAsia" w:ascii="宋体" w:hAnsi="宋体" w:cs="宋体"/>
          <w:b/>
          <w:sz w:val="28"/>
          <w:szCs w:val="28"/>
          <w:highlight w:val="none"/>
        </w:rPr>
        <w:tab/>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bCs/>
          <w:sz w:val="28"/>
          <w:szCs w:val="28"/>
          <w:highlight w:val="none"/>
        </w:rPr>
        <w:t xml:space="preserve">4</w:t>
      </w:r>
      <w:r/>
    </w:p>
    <w:p>
      <w:pPr>
        <w:pStyle w:val="1149"/>
        <w:spacing w:line="440" w:lineRule="exact"/>
        <w:tabs>
          <w:tab w:val="right" w:pos="8844" w:leader="dot"/>
        </w:tabs>
        <w:rPr>
          <w:rFonts w:ascii="宋体" w:hAnsi="宋体" w:cs="宋体"/>
          <w:sz w:val="28"/>
          <w:szCs w:val="28"/>
          <w:highlight w:val="none"/>
        </w:rPr>
      </w:pPr>
      <w:r>
        <w:rPr>
          <w:highlight w:val="none"/>
        </w:rPr>
        <w:fldChar w:fldCharType="begin"/>
      </w:r>
      <w:r>
        <w:rPr>
          <w:highlight w:val="none"/>
        </w:rPr>
        <w:instrText xml:space="preserve"> HYPERLINK \l "_Toc1505" </w:instrText>
      </w:r>
      <w:r>
        <w:rPr>
          <w:highlight w:val="none"/>
        </w:rPr>
        <w:fldChar w:fldCharType="separate"/>
      </w:r>
      <w:r>
        <w:rPr>
          <w:rFonts w:hint="eastAsia" w:ascii="宋体" w:hAnsi="宋体" w:cs="宋体"/>
          <w:b/>
          <w:sz w:val="28"/>
          <w:szCs w:val="28"/>
          <w:highlight w:val="none"/>
        </w:rPr>
        <w:t xml:space="preserve">第四部分  采购需求</w:t>
      </w:r>
      <w:r>
        <w:rPr>
          <w:rFonts w:hint="eastAsia" w:ascii="宋体" w:hAnsi="宋体" w:cs="宋体"/>
          <w:b/>
          <w:sz w:val="28"/>
          <w:szCs w:val="28"/>
          <w:highlight w:val="none"/>
        </w:rPr>
        <w:tab/>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bCs/>
          <w:sz w:val="28"/>
          <w:szCs w:val="28"/>
          <w:highlight w:val="none"/>
        </w:rPr>
        <w:t xml:space="preserve">9</w:t>
      </w:r>
      <w:r/>
    </w:p>
    <w:p>
      <w:pPr>
        <w:pStyle w:val="1149"/>
        <w:spacing w:line="440" w:lineRule="exact"/>
        <w:tabs>
          <w:tab w:val="right" w:pos="8844" w:leader="dot"/>
        </w:tabs>
        <w:rPr>
          <w:rFonts w:ascii="宋体" w:hAnsi="宋体" w:cs="宋体"/>
          <w:b/>
          <w:sz w:val="28"/>
          <w:szCs w:val="28"/>
          <w:highlight w:val="none"/>
        </w:rPr>
      </w:pPr>
      <w:r>
        <w:rPr>
          <w:highlight w:val="none"/>
        </w:rPr>
        <w:fldChar w:fldCharType="begin"/>
      </w:r>
      <w:r>
        <w:rPr>
          <w:highlight w:val="none"/>
        </w:rPr>
        <w:instrText xml:space="preserve"> HYPERLINK \l "_Toc9306" </w:instrText>
      </w:r>
      <w:r>
        <w:rPr>
          <w:highlight w:val="none"/>
        </w:rPr>
        <w:fldChar w:fldCharType="separate"/>
      </w:r>
      <w:r>
        <w:rPr>
          <w:rFonts w:hint="eastAsia" w:ascii="宋体" w:hAnsi="宋体" w:cs="宋体"/>
          <w:b/>
          <w:sz w:val="28"/>
          <w:szCs w:val="28"/>
          <w:highlight w:val="none"/>
        </w:rPr>
        <w:t xml:space="preserve">第五部分  合同格式及条款</w:t>
      </w:r>
      <w:r>
        <w:rPr>
          <w:rFonts w:hint="eastAsia" w:ascii="宋体" w:hAnsi="宋体" w:cs="宋体"/>
          <w:b/>
          <w:sz w:val="28"/>
          <w:szCs w:val="28"/>
          <w:highlight w:val="none"/>
        </w:rPr>
        <w:tab/>
      </w:r>
      <w:r>
        <w:rPr>
          <w:rFonts w:hint="eastAsia" w:ascii="宋体" w:hAnsi="宋体" w:cs="宋体"/>
          <w:sz w:val="28"/>
          <w:szCs w:val="28"/>
          <w:highlight w:val="none"/>
        </w:rPr>
        <w:t xml:space="preserve">3</w:t>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8</w:t>
      </w:r>
      <w:r/>
    </w:p>
    <w:p>
      <w:pPr>
        <w:pStyle w:val="1149"/>
        <w:spacing w:line="440" w:lineRule="exact"/>
        <w:tabs>
          <w:tab w:val="right" w:pos="8844" w:leader="dot"/>
        </w:tabs>
        <w:rPr>
          <w:rFonts w:ascii="宋体" w:hAnsi="宋体" w:cs="宋体"/>
          <w:b/>
          <w:sz w:val="28"/>
          <w:szCs w:val="28"/>
          <w:highlight w:val="none"/>
        </w:rPr>
      </w:pPr>
      <w:r>
        <w:rPr>
          <w:highlight w:val="none"/>
        </w:rPr>
        <w:fldChar w:fldCharType="begin"/>
      </w:r>
      <w:r>
        <w:rPr>
          <w:highlight w:val="none"/>
        </w:rPr>
        <w:instrText xml:space="preserve"> HYPERLINK \l "_Toc12366" </w:instrText>
      </w:r>
      <w:r>
        <w:rPr>
          <w:highlight w:val="none"/>
        </w:rPr>
        <w:fldChar w:fldCharType="separate"/>
      </w:r>
      <w:r>
        <w:rPr>
          <w:rFonts w:hint="eastAsia" w:ascii="宋体" w:hAnsi="宋体" w:cs="宋体"/>
          <w:b/>
          <w:sz w:val="28"/>
          <w:szCs w:val="28"/>
          <w:highlight w:val="none"/>
        </w:rPr>
        <w:t xml:space="preserve">第六部分  投标文件格式</w:t>
      </w:r>
      <w:r>
        <w:rPr>
          <w:rFonts w:hint="eastAsia" w:ascii="宋体" w:hAnsi="宋体" w:cs="宋体"/>
          <w:b/>
          <w:sz w:val="28"/>
          <w:szCs w:val="28"/>
          <w:highlight w:val="none"/>
        </w:rPr>
        <w:tab/>
      </w:r>
      <w:r>
        <w:rPr>
          <w:rFonts w:hint="eastAsia" w:ascii="宋体" w:hAnsi="宋体" w:cs="宋体"/>
          <w:b/>
          <w:sz w:val="28"/>
          <w:szCs w:val="28"/>
          <w:highlight w:val="none"/>
        </w:rPr>
        <w:fldChar w:fldCharType="end"/>
      </w:r>
      <w:r>
        <w:rPr>
          <w:rFonts w:hint="eastAsia" w:ascii="宋体" w:hAnsi="宋体" w:cs="宋体"/>
          <w:bCs/>
          <w:sz w:val="28"/>
          <w:szCs w:val="28"/>
          <w:highlight w:val="none"/>
        </w:rPr>
        <w:t xml:space="preserve">50</w:t>
      </w:r>
      <w:r/>
    </w:p>
    <w:p>
      <w:pPr>
        <w:pStyle w:val="1196"/>
        <w:ind w:left="420"/>
        <w:spacing w:line="440" w:lineRule="exact"/>
        <w:tabs>
          <w:tab w:val="right" w:pos="8844" w:leader="dot"/>
        </w:tabs>
        <w:rPr>
          <w:rFonts w:ascii="宋体" w:hAnsi="宋体" w:cs="宋体"/>
          <w:sz w:val="28"/>
          <w:szCs w:val="28"/>
          <w:highlight w:val="none"/>
        </w:rPr>
      </w:pPr>
      <w:r>
        <w:rPr>
          <w:rFonts w:ascii="宋体" w:hAnsi="宋体" w:cs="宋体"/>
          <w:sz w:val="28"/>
          <w:szCs w:val="28"/>
          <w:highlight w:val="none"/>
        </w:rPr>
      </w:r>
      <w:r/>
    </w:p>
    <w:p>
      <w:pPr>
        <w:jc w:val="left"/>
        <w:tabs>
          <w:tab w:val="left" w:pos="5655" w:leader="none"/>
        </w:tabs>
        <w:rPr>
          <w:sz w:val="28"/>
          <w:szCs w:val="28"/>
          <w:highlight w:val="none"/>
        </w:rPr>
      </w:pPr>
      <w:r>
        <w:rPr>
          <w:rFonts w:hint="eastAsia"/>
          <w:sz w:val="28"/>
          <w:szCs w:val="28"/>
          <w:highlight w:val="none"/>
        </w:rPr>
        <w:tab/>
      </w:r>
      <w:r/>
    </w:p>
    <w:p>
      <w:pPr>
        <w:jc w:val="center"/>
        <w:keepLines/>
        <w:keepNext/>
        <w:pageBreakBefore/>
        <w:rPr>
          <w:b/>
          <w:sz w:val="32"/>
          <w:highlight w:val="none"/>
        </w:rPr>
        <w:outlineLvl w:val="0"/>
      </w:pPr>
      <w:r>
        <w:rPr>
          <w:rFonts w:hint="eastAsia" w:ascii="宋体" w:hAnsi="宋体" w:cs="宋体"/>
          <w:b/>
          <w:sz w:val="28"/>
          <w:szCs w:val="28"/>
          <w:highlight w:val="none"/>
        </w:rPr>
        <w:fldChar w:fldCharType="end"/>
      </w:r>
      <w:bookmarkStart w:id="2" w:name="_Toc514054470"/>
      <w:r/>
      <w:bookmarkStart w:id="3" w:name="_Toc14268"/>
      <w:r>
        <w:rPr>
          <w:rFonts w:hint="eastAsia"/>
          <w:b/>
          <w:sz w:val="44"/>
          <w:szCs w:val="44"/>
          <w:highlight w:val="none"/>
        </w:rPr>
        <w:t xml:space="preserve">第一部分  招标公告</w:t>
      </w:r>
      <w:bookmarkEnd w:id="2"/>
      <w:r/>
      <w:bookmarkEnd w:id="3"/>
      <w:r/>
      <w:r/>
    </w:p>
    <w:tbl>
      <w:tblPr>
        <w:tblStyle w:val="77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ascii="宋体" w:hAnsi="宋体" w:cs="宋体"/>
                <w:b/>
                <w:sz w:val="24"/>
                <w:szCs w:val="24"/>
                <w:highlight w:val="none"/>
              </w:rPr>
            </w:pPr>
            <w:r>
              <w:rPr>
                <w:rFonts w:hint="eastAsia" w:ascii="宋体" w:hAnsi="宋体" w:cs="宋体"/>
                <w:b/>
                <w:sz w:val="24"/>
                <w:szCs w:val="24"/>
                <w:highlight w:val="none"/>
              </w:rPr>
              <w:t xml:space="preserve">项目概况</w:t>
            </w:r>
            <w:r/>
          </w:p>
          <w:p>
            <w:pPr>
              <w:ind w:firstLine="240"/>
              <w:spacing w:line="360" w:lineRule="auto"/>
              <w:rPr>
                <w:rFonts w:ascii="宋体" w:hAnsi="宋体" w:cs="宋体"/>
                <w:sz w:val="24"/>
                <w:szCs w:val="24"/>
                <w:highlight w:val="none"/>
              </w:rPr>
            </w:pPr>
            <w:r>
              <w:rPr>
                <w:rFonts w:hint="eastAsia" w:ascii="宋体" w:hAnsi="宋体" w:cs="宋体"/>
                <w:sz w:val="24"/>
                <w:szCs w:val="24"/>
                <w:highlight w:val="none"/>
              </w:rPr>
              <w:t xml:space="preserve">南京市高淳人民医院高淳区心电一张网县乡村一体化建设项目的潜在投标人应在</w:t>
            </w:r>
            <w:bookmarkStart w:id="4" w:name="OLE_LINK1"/>
            <w:r>
              <w:rPr>
                <w:rFonts w:hint="eastAsia" w:ascii="宋体" w:hAnsi="宋体" w:cs="宋体"/>
                <w:sz w:val="24"/>
                <w:szCs w:val="24"/>
                <w:highlight w:val="none"/>
              </w:rPr>
              <w:t xml:space="preserve">江苏政府采购网-苏采云平台</w:t>
            </w:r>
            <w:bookmarkEnd w:id="4"/>
            <w:r>
              <w:rPr>
                <w:rFonts w:hint="eastAsia" w:ascii="宋体" w:hAnsi="宋体" w:cs="宋体"/>
                <w:sz w:val="24"/>
                <w:szCs w:val="24"/>
                <w:highlight w:val="none"/>
              </w:rPr>
              <w:t xml:space="preserve">上获取招标文件，并于2026年</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点</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0分（北京时间）前递交投标文件。</w:t>
            </w:r>
            <w:r/>
          </w:p>
        </w:tc>
      </w:tr>
    </w:tbl>
    <w:p>
      <w:pPr>
        <w:pStyle w:val="1226"/>
        <w:ind w:firstLine="480"/>
        <w:spacing w:line="360" w:lineRule="auto"/>
        <w:tabs>
          <w:tab w:val="left" w:pos="1134" w:leader="none"/>
          <w:tab w:val="left" w:pos="5612" w:leader="none"/>
        </w:tabs>
        <w:rPr>
          <w:rFonts w:ascii="宋体" w:hAnsi="宋体" w:cs="宋体"/>
          <w:sz w:val="24"/>
          <w:szCs w:val="24"/>
          <w:highlight w:val="none"/>
        </w:rPr>
        <w:outlineLvl w:val="1"/>
      </w:pPr>
      <w:r/>
      <w:bookmarkStart w:id="5" w:name="_Toc2298"/>
      <w:r>
        <w:rPr>
          <w:rFonts w:hint="eastAsia" w:ascii="宋体" w:hAnsi="宋体" w:cs="宋体"/>
          <w:b/>
          <w:bCs/>
          <w:sz w:val="24"/>
          <w:szCs w:val="24"/>
          <w:highlight w:val="none"/>
        </w:rPr>
        <w:t xml:space="preserve">一、项目基本情况</w:t>
      </w:r>
      <w:bookmarkEnd w:id="5"/>
      <w:r>
        <w:rPr>
          <w:rFonts w:hint="eastAsia" w:ascii="宋体" w:hAnsi="宋体" w:cs="宋体"/>
          <w:sz w:val="24"/>
          <w:szCs w:val="24"/>
          <w:highlight w:val="none"/>
        </w:rPr>
        <w:t xml:space="preserve">  </w:t>
      </w:r>
      <w:r>
        <w:rPr>
          <w:rFonts w:hint="eastAsia" w:ascii="宋体" w:hAnsi="宋体" w:cs="宋体"/>
          <w:sz w:val="24"/>
          <w:szCs w:val="24"/>
          <w:highlight w:val="none"/>
        </w:rPr>
        <w:tab/>
      </w:r>
      <w:r/>
    </w:p>
    <w:p>
      <w:pPr>
        <w:pStyle w:val="1226"/>
        <w:ind w:firstLine="708"/>
        <w:spacing w:line="360" w:lineRule="auto"/>
        <w:tabs>
          <w:tab w:val="left" w:pos="1134" w:leader="none"/>
        </w:tabs>
        <w:rPr>
          <w:rFonts w:ascii="宋体" w:hAnsi="宋体" w:cs="宋体"/>
          <w:sz w:val="24"/>
          <w:szCs w:val="24"/>
          <w:highlight w:val="none"/>
        </w:rPr>
      </w:pPr>
      <w:r/>
      <w:bookmarkStart w:id="6" w:name="OLE_LINK8"/>
      <w:r>
        <w:rPr>
          <w:rFonts w:hint="eastAsia" w:ascii="宋体" w:hAnsi="宋体" w:cs="宋体"/>
          <w:sz w:val="24"/>
          <w:szCs w:val="24"/>
          <w:highlight w:val="none"/>
        </w:rPr>
        <w:t xml:space="preserve">项目编号：</w:t>
      </w:r>
      <w:r>
        <w:rPr>
          <w:rFonts w:hint="eastAsia" w:ascii="宋体" w:hAnsi="宋体" w:cs="宋体"/>
          <w:color w:val="auto"/>
          <w:sz w:val="24"/>
          <w:szCs w:val="24"/>
          <w:highlight w:val="none"/>
        </w:rPr>
        <w:t xml:space="preserve">JSZC-320118-JSHY-G2026-0176</w:t>
      </w:r>
      <w:r/>
    </w:p>
    <w:p>
      <w:pPr>
        <w:pStyle w:val="1226"/>
        <w:ind w:firstLine="708"/>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项目名称：高淳区心电一张网县乡村一体化建设项目 </w:t>
      </w:r>
      <w:r/>
    </w:p>
    <w:p>
      <w:pPr>
        <w:pStyle w:val="1226"/>
        <w:ind w:firstLine="708"/>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预算金额：130.000000万元</w:t>
      </w:r>
      <w:r/>
    </w:p>
    <w:p>
      <w:pPr>
        <w:pStyle w:val="1226"/>
        <w:ind w:firstLine="708"/>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最高限价（如有）：130.000000万元 </w:t>
      </w:r>
      <w:r/>
    </w:p>
    <w:p>
      <w:pPr>
        <w:pStyle w:val="1226"/>
        <w:ind w:firstLine="708"/>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采购需求：</w:t>
      </w:r>
      <w:bookmarkEnd w:id="6"/>
      <w:r/>
      <w:r/>
    </w:p>
    <w:tbl>
      <w:tblPr>
        <w:tblStyle w:val="770"/>
        <w:tblpPr w:horzAnchor="page" w:tblpX="1370" w:vertAnchor="text" w:tblpY="178" w:leftFromText="180" w:topFromText="0" w:rightFromText="180" w:bottomFromText="0"/>
        <w:tblW w:w="4676" w:type="pct"/>
        <w:tblInd w:w="0" w:type="dxa"/>
        <w:tblLayout w:type="autofit"/>
        <w:tblCellMar>
          <w:left w:w="108" w:type="dxa"/>
          <w:top w:w="0" w:type="dxa"/>
          <w:right w:w="108" w:type="dxa"/>
          <w:bottom w:w="0" w:type="dxa"/>
        </w:tblCellMar>
        <w:tblLook w:val="04A0" w:firstRow="1" w:lastRow="0" w:firstColumn="1" w:lastColumn="0" w:noHBand="0" w:noVBand="1"/>
      </w:tblPr>
      <w:tblGrid>
        <w:gridCol w:w="779"/>
        <w:gridCol w:w="4027"/>
        <w:gridCol w:w="1086"/>
        <w:gridCol w:w="1530"/>
        <w:gridCol w:w="1889"/>
      </w:tblGrid>
      <w:tr>
        <w:trPr>
          <w:trHeight w:val="58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包号</w:t>
            </w:r>
            <w:r/>
          </w:p>
        </w:tc>
        <w:tc>
          <w:tcPr>
            <w:tcBorders>
              <w:top w:val="single" w:color="auto" w:sz="4" w:space="0"/>
              <w:left w:val="single" w:color="auto" w:sz="4" w:space="0"/>
              <w:bottom w:val="single" w:color="auto" w:sz="4" w:space="0"/>
              <w:right w:val="single" w:color="auto" w:sz="4" w:space="0"/>
            </w:tcBorders>
            <w:tcW w:w="2161"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预算     </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是否接受进口产品投标</w:t>
            </w:r>
            <w:r/>
          </w:p>
        </w:tc>
      </w:tr>
      <w:tr>
        <w:trPr>
          <w:trHeight w:val="58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2"/>
                <w:highlight w:val="none"/>
              </w:rPr>
              <w:t xml:space="preserve">01</w:t>
            </w:r>
            <w:r/>
          </w:p>
        </w:tc>
        <w:tc>
          <w:tcPr>
            <w:tcBorders>
              <w:top w:val="single" w:color="auto" w:sz="4" w:space="0"/>
              <w:left w:val="single" w:color="auto" w:sz="4" w:space="0"/>
              <w:bottom w:val="single" w:color="auto" w:sz="4" w:space="0"/>
              <w:right w:val="single" w:color="auto" w:sz="4" w:space="0"/>
            </w:tcBorders>
            <w:tcW w:w="2161"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sz w:val="24"/>
                <w:szCs w:val="24"/>
                <w:highlight w:val="none"/>
              </w:rPr>
              <w:t xml:space="preserve">“心电一张网”县乡村一体化建设</w:t>
            </w:r>
            <w:r/>
          </w:p>
        </w:tc>
        <w:tc>
          <w:tcPr>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sz w:val="24"/>
                <w:szCs w:val="24"/>
                <w:highlight w:val="none"/>
              </w:rPr>
              <w:t xml:space="preserve">一项</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2"/>
                <w:highlight w:val="none"/>
              </w:rPr>
              <w:t xml:space="preserve">130万元</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sz w:val="22"/>
                <w:highlight w:val="none"/>
              </w:rPr>
              <w:t xml:space="preserve">否</w:t>
            </w:r>
            <w:r/>
          </w:p>
        </w:tc>
      </w:tr>
    </w:tbl>
    <w:p>
      <w:pPr>
        <w:pStyle w:val="1226"/>
        <w:ind w:firstLine="958"/>
        <w:spacing w:line="360" w:lineRule="auto"/>
        <w:tabs>
          <w:tab w:val="left" w:pos="1134" w:leader="none"/>
        </w:tabs>
        <w:rPr>
          <w:rFonts w:ascii="宋体" w:hAnsi="宋体" w:cs="宋体"/>
          <w:sz w:val="24"/>
          <w:szCs w:val="24"/>
          <w:highlight w:val="none"/>
        </w:rPr>
      </w:pPr>
      <w:r/>
      <w:bookmarkStart w:id="7" w:name="OLE_LINK2"/>
      <w:r>
        <w:rPr>
          <w:rFonts w:hint="eastAsia" w:ascii="宋体" w:hAnsi="宋体" w:cs="宋体"/>
          <w:sz w:val="24"/>
          <w:szCs w:val="24"/>
          <w:highlight w:val="none"/>
        </w:rPr>
        <w:t xml:space="preserve">详见采购文件</w:t>
      </w:r>
      <w:bookmarkEnd w:id="7"/>
      <w:r>
        <w:rPr>
          <w:rFonts w:hint="eastAsia" w:ascii="宋体" w:hAnsi="宋体" w:cs="宋体"/>
          <w:sz w:val="24"/>
          <w:szCs w:val="24"/>
          <w:highlight w:val="none"/>
        </w:rPr>
        <w:t xml:space="preserve">第四部分。</w:t>
      </w:r>
      <w:r/>
    </w:p>
    <w:p>
      <w:pPr>
        <w:pStyle w:val="1226"/>
        <w:ind w:firstLine="960"/>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供货期：合同签订之日起30日内。</w:t>
      </w:r>
      <w:r/>
    </w:p>
    <w:p>
      <w:pPr>
        <w:pStyle w:val="1226"/>
        <w:ind w:firstLine="960"/>
        <w:spacing w:line="360" w:lineRule="auto"/>
        <w:tabs>
          <w:tab w:val="left" w:pos="1134" w:leader="none"/>
        </w:tabs>
        <w:rPr>
          <w:rFonts w:ascii="宋体" w:hAnsi="宋体" w:cs="宋体"/>
          <w:sz w:val="24"/>
          <w:szCs w:val="24"/>
          <w:highlight w:val="none"/>
        </w:rPr>
      </w:pPr>
      <w:r/>
      <w:bookmarkStart w:id="8" w:name="_Toc3038"/>
      <w:r>
        <w:rPr>
          <w:rFonts w:hint="eastAsia" w:ascii="宋体" w:hAnsi="宋体" w:cs="宋体"/>
          <w:sz w:val="24"/>
          <w:szCs w:val="24"/>
          <w:highlight w:val="none"/>
        </w:rPr>
        <w:t xml:space="preserve">本项目（是/否）接受联合体投标：不接受联合体</w:t>
      </w:r>
      <w:r/>
    </w:p>
    <w:p>
      <w:pPr>
        <w:pStyle w:val="1226"/>
        <w:ind w:firstLine="0"/>
        <w:spacing w:line="360" w:lineRule="auto"/>
        <w:tabs>
          <w:tab w:val="left" w:pos="1134" w:leader="none"/>
        </w:tabs>
        <w:rPr>
          <w:rFonts w:ascii="宋体" w:hAnsi="宋体" w:cs="宋体"/>
          <w:b/>
          <w:bCs/>
          <w:sz w:val="24"/>
          <w:szCs w:val="24"/>
          <w:highlight w:val="none"/>
        </w:rPr>
        <w:outlineLvl w:val="1"/>
      </w:pPr>
      <w:r>
        <w:rPr>
          <w:rFonts w:hint="eastAsia" w:ascii="宋体" w:hAnsi="宋体" w:cs="宋体"/>
          <w:b/>
          <w:bCs/>
          <w:sz w:val="24"/>
          <w:szCs w:val="24"/>
          <w:highlight w:val="none"/>
        </w:rPr>
        <w:t xml:space="preserve">二、申请人的资格要求：</w:t>
      </w:r>
      <w:bookmarkEnd w:id="8"/>
      <w:r/>
      <w:r/>
    </w:p>
    <w:p>
      <w:pPr>
        <w:pStyle w:val="1263"/>
        <w:ind w:firstLine="480"/>
        <w:spacing w:line="360" w:lineRule="auto"/>
        <w:rPr>
          <w:rFonts w:ascii="宋体" w:hAnsi="宋体" w:cs="宋体"/>
          <w:sz w:val="24"/>
          <w:szCs w:val="24"/>
          <w:highlight w:val="none"/>
        </w:rPr>
        <w:outlineLvl w:val="2"/>
      </w:pPr>
      <w:r>
        <w:rPr>
          <w:rFonts w:hint="eastAsia" w:ascii="宋体" w:hAnsi="宋体" w:cs="宋体"/>
          <w:sz w:val="24"/>
          <w:szCs w:val="24"/>
          <w:highlight w:val="none"/>
        </w:rPr>
        <w:t xml:space="preserve">1.满足《中华人民共和国政府采购法》第二十二条规定；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1）具有独立承担民事责任的能力（提供法人或者其他组织的营业执照等证明文件；供应商为自然人的，提供其身份证）；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w:t>
      </w:r>
      <w:r>
        <w:rPr>
          <w:rFonts w:hint="eastAsia" w:ascii="宋体" w:hAnsi="宋体" w:cs="宋体"/>
          <w:b/>
          <w:bCs/>
          <w:sz w:val="24"/>
          <w:szCs w:val="24"/>
          <w:highlight w:val="none"/>
        </w:rPr>
        <w:t xml:space="preserve">（</w:t>
      </w:r>
      <w:bookmarkStart w:id="9" w:name="OLE_LINK3"/>
      <w:r>
        <w:rPr>
          <w:rFonts w:hint="eastAsia" w:ascii="宋体" w:hAnsi="宋体" w:cs="宋体"/>
          <w:b/>
          <w:bCs/>
          <w:sz w:val="24"/>
          <w:szCs w:val="24"/>
          <w:highlight w:val="none"/>
        </w:rPr>
        <w:t xml:space="preserve">提供2025年度财务报告，至少包含资产负债表、利润表，或投标截止时间前六个月内银行出具的资信证明，成立不满一年的无须提供</w:t>
      </w:r>
      <w:bookmarkEnd w:id="9"/>
      <w:r>
        <w:rPr>
          <w:rFonts w:hint="eastAsia" w:ascii="宋体" w:hAnsi="宋体" w:cs="宋体"/>
          <w:b/>
          <w:bCs/>
          <w:sz w:val="24"/>
          <w:szCs w:val="24"/>
          <w:highlight w:val="none"/>
        </w:rPr>
        <w:t xml:space="preserve">）</w:t>
      </w:r>
      <w:r>
        <w:rPr>
          <w:rFonts w:hint="eastAsia" w:ascii="宋体" w:hAnsi="宋体" w:cs="宋体"/>
          <w:sz w:val="24"/>
          <w:szCs w:val="24"/>
          <w:highlight w:val="none"/>
          <w:lang w:val="en-US" w:eastAsia="zh-CN"/>
        </w:rPr>
        <w:t xml:space="preserve">或提供</w:t>
      </w:r>
      <w:r>
        <w:rPr>
          <w:rFonts w:hint="eastAsia" w:ascii="宋体" w:hAnsi="宋体" w:cs="宋体"/>
          <w:sz w:val="24"/>
          <w:szCs w:val="24"/>
          <w:highlight w:val="none"/>
        </w:rPr>
        <w:t xml:space="preserve">南京市政府采购供应商信用承诺书</w:t>
      </w:r>
      <w:r>
        <w:rPr>
          <w:rFonts w:hint="eastAsia" w:ascii="宋体" w:hAnsi="宋体" w:cs="宋体"/>
          <w:b/>
          <w:bCs/>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w:t>
      </w:r>
      <w:r>
        <w:rPr>
          <w:rFonts w:hint="eastAsia" w:ascii="宋体" w:hAnsi="宋体" w:cs="宋体"/>
          <w:b/>
          <w:bCs/>
          <w:sz w:val="24"/>
          <w:szCs w:val="24"/>
          <w:highlight w:val="none"/>
        </w:rPr>
        <w:t xml:space="preserve">（供应商根据履行采购项目合同需要，提供履行合同所必需的设备和专业技术能力的声明函或证明材料）；</w:t>
      </w:r>
      <w:r/>
    </w:p>
    <w:p>
      <w:pPr>
        <w:ind w:firstLine="480"/>
        <w:spacing w:line="360" w:lineRule="auto"/>
        <w:rPr>
          <w:rFonts w:ascii="宋体" w:hAnsi="宋体" w:cs="宋体"/>
          <w:b/>
          <w:bCs/>
          <w:sz w:val="24"/>
          <w:szCs w:val="24"/>
          <w:highlight w:val="none"/>
        </w:rPr>
      </w:pPr>
      <w:r>
        <w:rPr>
          <w:rFonts w:hint="eastAsia" w:ascii="宋体" w:hAnsi="宋体" w:cs="宋体"/>
          <w:sz w:val="24"/>
          <w:szCs w:val="24"/>
          <w:highlight w:val="none"/>
        </w:rPr>
        <w:t xml:space="preserve">4）有依法缴纳税收和社会保障资金的良好记录（提供2026年1月至今）中任一月份的依法缴纳税收和社会保险费的相关材料</w:t>
      </w:r>
      <w:r>
        <w:rPr>
          <w:rFonts w:hint="eastAsia" w:ascii="宋体" w:hAnsi="宋体" w:cs="宋体"/>
          <w:b/>
          <w:bCs/>
          <w:sz w:val="24"/>
          <w:szCs w:val="24"/>
          <w:highlight w:val="none"/>
        </w:rPr>
        <w:t xml:space="preserve">（提供相关主管部门证明或银行代扣证明的复印件，根据国家相关政策免缴或迟缴的需提供相关证明材料）</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5）参加政府采购活动前三年内，在经营活动中没有重大违法记录（提供承诺书）；</w:t>
      </w:r>
      <w:r/>
    </w:p>
    <w:p>
      <w:pPr>
        <w:pStyle w:val="836"/>
        <w:ind w:firstLine="72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2.落实政府采购政策满足的资格要求：</w:t>
      </w:r>
      <w:r/>
    </w:p>
    <w:p>
      <w:pPr>
        <w:pStyle w:val="1263"/>
        <w:ind w:firstLine="787"/>
        <w:spacing w:line="360" w:lineRule="auto"/>
        <w:rPr>
          <w:rFonts w:ascii="宋体" w:hAnsi="宋体" w:cs="宋体"/>
          <w:sz w:val="24"/>
          <w:szCs w:val="24"/>
          <w:highlight w:val="none"/>
        </w:rPr>
        <w:outlineLvl w:val="2"/>
      </w:pPr>
      <w:r>
        <w:rPr>
          <w:rFonts w:hint="eastAsia" w:ascii="宋体" w:hAnsi="宋体" w:cs="宋体"/>
          <w:sz w:val="24"/>
          <w:szCs w:val="24"/>
          <w:highlight w:val="none"/>
        </w:rPr>
        <w:t xml:space="preserve">本项目属于货物类采购。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63"/>
        <w:ind w:firstLine="720"/>
        <w:spacing w:line="360" w:lineRule="auto"/>
        <w:rPr>
          <w:rFonts w:ascii="宋体" w:hAnsi="宋体" w:cs="宋体"/>
          <w:sz w:val="24"/>
          <w:szCs w:val="24"/>
          <w:highlight w:val="none"/>
        </w:rPr>
        <w:outlineLvl w:val="2"/>
      </w:pPr>
      <w:r>
        <w:rPr>
          <w:rFonts w:hint="eastAsia" w:ascii="宋体" w:hAnsi="宋体" w:cs="宋体"/>
          <w:sz w:val="24"/>
          <w:szCs w:val="24"/>
          <w:highlight w:val="none"/>
        </w:rPr>
        <w:t xml:space="preserve">3.本项目的特定资格要求：</w:t>
      </w:r>
      <w:r/>
    </w:p>
    <w:p>
      <w:pPr>
        <w:pStyle w:val="1263"/>
        <w:numPr>
          <w:ilvl w:val="0"/>
          <w:numId w:val="6"/>
        </w:numPr>
        <w:ind w:left="0" w:firstLine="480"/>
        <w:spacing w:line="360" w:lineRule="auto"/>
        <w:rPr>
          <w:rFonts w:hint="eastAsia" w:ascii="宋体" w:hAnsi="宋体" w:cs="宋体"/>
          <w:bCs/>
          <w:sz w:val="24"/>
          <w:szCs w:val="24"/>
          <w:highlight w:val="none"/>
        </w:rPr>
      </w:pPr>
      <w:r/>
      <w:bookmarkStart w:id="10" w:name="OLE_LINK4"/>
      <w:r>
        <w:rPr>
          <w:rFonts w:hint="eastAsia" w:ascii="宋体" w:hAnsi="宋体" w:cs="宋体"/>
          <w:bCs/>
          <w:sz w:val="24"/>
          <w:szCs w:val="24"/>
          <w:highlight w:val="none"/>
        </w:rPr>
        <w:t xml:space="preserve">拒绝被“信用中国”（www.creditchina.gov.cn）、“中国政府采购网”(www.ccgp.gov.cn）列入失信被执行人、重大税收违法案件当事人、政府采购严重失信行为的供应商参加投标。</w:t>
      </w:r>
      <w:bookmarkStart w:id="11" w:name="_Toc26697"/>
      <w:r/>
      <w:r/>
    </w:p>
    <w:p>
      <w:pPr>
        <w:pStyle w:val="1263"/>
        <w:numPr>
          <w:ilvl w:val="0"/>
          <w:numId w:val="6"/>
        </w:numPr>
        <w:ind w:left="0" w:firstLine="480"/>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如投标产品为医疗器械：</w:t>
      </w:r>
      <w:r/>
    </w:p>
    <w:p>
      <w:pPr>
        <w:pStyle w:val="1263"/>
        <w:ind w:firstLine="787"/>
        <w:spacing w:line="360" w:lineRule="auto"/>
        <w:rPr>
          <w:rFonts w:hint="eastAsia" w:ascii="宋体" w:hAnsi="宋体" w:cs="宋体"/>
          <w:sz w:val="24"/>
          <w:szCs w:val="24"/>
          <w:highlight w:val="none"/>
          <w:lang w:val="en-US" w:eastAsia="zh-CN"/>
        </w:rPr>
        <w:outlineLvl w:val="2"/>
      </w:pPr>
      <w:r>
        <w:rPr>
          <w:rFonts w:hint="eastAsia" w:ascii="宋体" w:hAnsi="宋体" w:cs="宋体"/>
          <w:sz w:val="24"/>
          <w:szCs w:val="24"/>
          <w:highlight w:val="none"/>
          <w:lang w:val="en-US" w:eastAsia="zh-CN"/>
        </w:rPr>
        <w:t xml:space="preserve">1.1.投标人须提供投标产品的《第一类医疗器械备案凭证》或《医疗器械注册证》（复印件加盖公章）；</w:t>
      </w:r>
      <w:r/>
    </w:p>
    <w:p>
      <w:pPr>
        <w:pStyle w:val="1263"/>
        <w:ind w:firstLine="787"/>
        <w:spacing w:line="360" w:lineRule="auto"/>
        <w:rPr>
          <w:rFonts w:hint="eastAsia" w:ascii="宋体" w:hAnsi="宋体" w:cs="宋体"/>
          <w:sz w:val="24"/>
          <w:szCs w:val="24"/>
          <w:highlight w:val="none"/>
          <w:lang w:val="en-US" w:eastAsia="zh-CN"/>
        </w:rPr>
        <w:outlineLvl w:val="2"/>
      </w:pPr>
      <w:r>
        <w:rPr>
          <w:rFonts w:hint="eastAsia" w:ascii="宋体" w:hAnsi="宋体" w:cs="宋体"/>
          <w:sz w:val="24"/>
          <w:szCs w:val="24"/>
          <w:highlight w:val="none"/>
          <w:lang w:val="en-US" w:eastAsia="zh-CN"/>
        </w:rPr>
        <w:t xml:space="preserve">1.2.投标人为医疗器械经营企业的，须根据投标产品的类别，提供投标人的《医疗器械经营许可证》或《医疗器械经营备案凭证》（复印件加盖公章）；</w:t>
      </w:r>
      <w:r/>
    </w:p>
    <w:p>
      <w:pPr>
        <w:pStyle w:val="1263"/>
        <w:ind w:firstLine="787"/>
        <w:spacing w:line="360" w:lineRule="auto"/>
        <w:rPr>
          <w:rFonts w:hint="eastAsia" w:ascii="宋体" w:hAnsi="宋体" w:cs="宋体"/>
          <w:sz w:val="24"/>
          <w:szCs w:val="24"/>
          <w:highlight w:val="none"/>
          <w:lang w:val="en-US" w:eastAsia="zh-CN"/>
        </w:rPr>
        <w:outlineLvl w:val="2"/>
      </w:pPr>
      <w:r>
        <w:rPr>
          <w:rFonts w:hint="eastAsia" w:ascii="宋体" w:hAnsi="宋体" w:cs="宋体"/>
          <w:sz w:val="24"/>
          <w:szCs w:val="24"/>
          <w:highlight w:val="none"/>
          <w:lang w:val="en-US" w:eastAsia="zh-CN"/>
        </w:rPr>
        <w:t xml:space="preserve">1.3.医疗器械生产企业投标本企业产品的，须提供《第一类医疗器械生产备案凭证》或《医疗器械生产许可证》（复印件加盖公章）</w:t>
      </w:r>
      <w:r/>
    </w:p>
    <w:p>
      <w:pPr>
        <w:pStyle w:val="1263"/>
        <w:numPr>
          <w:ilvl w:val="0"/>
          <w:numId w:val="0"/>
        </w:numPr>
        <w:ind w:firstLine="240"/>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（三）</w:t>
      </w:r>
      <w:r>
        <w:rPr>
          <w:rFonts w:hint="eastAsia" w:ascii="宋体" w:hAnsi="宋体" w:cs="宋体"/>
          <w:bCs/>
          <w:sz w:val="24"/>
          <w:szCs w:val="24"/>
          <w:highlight w:val="none"/>
        </w:rPr>
        <w:t xml:space="preserve">本项目不接受进口产品投标。</w:t>
      </w:r>
      <w:r/>
    </w:p>
    <w:p>
      <w:pPr>
        <w:pStyle w:val="1425"/>
        <w:ind w:firstLine="482"/>
        <w:spacing w:line="360" w:lineRule="auto"/>
        <w:rPr>
          <w:rFonts w:ascii="宋体" w:hAnsi="宋体"/>
          <w:b/>
          <w:bCs/>
          <w:sz w:val="24"/>
          <w:szCs w:val="24"/>
          <w:highlight w:val="none"/>
        </w:rPr>
      </w:pPr>
      <w:r>
        <w:rPr>
          <w:rFonts w:hint="eastAsia" w:ascii="宋体" w:hAnsi="宋体"/>
          <w:b/>
          <w:bCs/>
          <w:sz w:val="24"/>
          <w:szCs w:val="24"/>
          <w:highlight w:val="none"/>
          <w:lang w:val="en-US" w:eastAsia="zh-CN"/>
        </w:rPr>
        <w:t xml:space="preserve">注：</w:t>
      </w:r>
      <w:r>
        <w:rPr>
          <w:rFonts w:hint="eastAsia" w:ascii="宋体" w:hAnsi="宋体"/>
          <w:b/>
          <w:bCs/>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10"/>
      <w:r/>
      <w:r/>
    </w:p>
    <w:p>
      <w:pPr>
        <w:pStyle w:val="1263"/>
        <w:ind w:firstLine="0"/>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三、获取招标文件</w:t>
      </w:r>
      <w:bookmarkEnd w:id="11"/>
      <w:r/>
      <w:r/>
    </w:p>
    <w:p>
      <w:pPr>
        <w:pStyle w:val="1226"/>
        <w:ind w:firstLine="420"/>
        <w:spacing w:line="360" w:lineRule="auto"/>
        <w:tabs>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1、时间：自公告发布之日起5个工作日。</w:t>
      </w:r>
      <w:r/>
    </w:p>
    <w:p>
      <w:pPr>
        <w:pStyle w:val="1226"/>
        <w:ind w:firstLine="420"/>
        <w:spacing w:line="360" w:lineRule="auto"/>
        <w:tabs>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2、地点：“江苏政府采购网”</w:t>
      </w:r>
      <w:r/>
    </w:p>
    <w:p>
      <w:pPr>
        <w:pStyle w:val="1226"/>
        <w:ind w:firstLine="420"/>
        <w:spacing w:line="360" w:lineRule="auto"/>
        <w:tabs>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3、方式：本项目采用网上注册登记方式免费获取。</w:t>
      </w:r>
      <w:r/>
    </w:p>
    <w:p>
      <w:pPr>
        <w:pStyle w:val="1226"/>
        <w:ind w:firstLine="0"/>
        <w:spacing w:line="360" w:lineRule="auto"/>
        <w:tabs>
          <w:tab w:val="left" w:pos="1134" w:leader="none"/>
        </w:tabs>
        <w:rPr>
          <w:rFonts w:ascii="宋体" w:hAnsi="宋体" w:cs="宋体"/>
          <w:b/>
          <w:bCs/>
          <w:szCs w:val="21"/>
          <w:highlight w:val="none"/>
        </w:rPr>
        <w:outlineLvl w:val="1"/>
      </w:pPr>
      <w:r/>
      <w:bookmarkStart w:id="12" w:name="_Toc2291"/>
      <w:r>
        <w:rPr>
          <w:rFonts w:hint="eastAsia" w:ascii="宋体" w:hAnsi="宋体" w:cs="宋体"/>
          <w:b/>
          <w:bCs/>
          <w:szCs w:val="21"/>
          <w:highlight w:val="none"/>
        </w:rPr>
        <w:t xml:space="preserve">四、提交投标文件截止时间、开标时间和地点</w:t>
      </w:r>
      <w:bookmarkEnd w:id="12"/>
      <w:r/>
      <w:r/>
    </w:p>
    <w:p>
      <w:pPr>
        <w:pStyle w:val="1226"/>
        <w:ind w:firstLine="420"/>
        <w:spacing w:line="360" w:lineRule="auto"/>
        <w:tabs>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投标文件截止时间及开标时间：2026年</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30</w:t>
      </w:r>
      <w:r>
        <w:rPr>
          <w:rFonts w:hint="eastAsia" w:ascii="宋体" w:hAnsi="宋体" w:cs="宋体"/>
          <w:bCs/>
          <w:sz w:val="24"/>
          <w:szCs w:val="24"/>
          <w:highlight w:val="none"/>
        </w:rPr>
        <w:t xml:space="preserve">日</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点</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0分（北京时间）</w:t>
      </w:r>
      <w:r/>
    </w:p>
    <w:p>
      <w:pPr>
        <w:pStyle w:val="1226"/>
        <w:ind w:firstLine="420"/>
        <w:spacing w:line="360" w:lineRule="auto"/>
        <w:tabs>
          <w:tab w:val="left" w:pos="1134" w:leader="none"/>
        </w:tabs>
        <w:rPr>
          <w:rFonts w:ascii="宋体" w:hAnsi="宋体" w:cs="宋体"/>
          <w:bCs/>
          <w:sz w:val="24"/>
          <w:szCs w:val="24"/>
          <w:highlight w:val="none"/>
        </w:rPr>
      </w:pPr>
      <w:r>
        <w:rPr>
          <w:rFonts w:hint="eastAsia" w:ascii="宋体" w:hAnsi="宋体" w:cs="宋体"/>
          <w:bCs/>
          <w:sz w:val="24"/>
          <w:szCs w:val="24"/>
          <w:highlight w:val="none"/>
        </w:rPr>
        <w:t xml:space="preserve">地点：“苏采云”政府采购交易系统网上开标大厅。</w:t>
      </w:r>
      <w:r/>
    </w:p>
    <w:p>
      <w:pPr>
        <w:pStyle w:val="1226"/>
        <w:ind w:firstLine="0"/>
        <w:spacing w:line="360" w:lineRule="auto"/>
        <w:tabs>
          <w:tab w:val="left" w:pos="1134" w:leader="none"/>
        </w:tabs>
        <w:rPr>
          <w:rFonts w:ascii="宋体" w:hAnsi="宋体" w:cs="宋体"/>
          <w:b/>
          <w:bCs/>
          <w:szCs w:val="21"/>
          <w:highlight w:val="none"/>
        </w:rPr>
        <w:outlineLvl w:val="1"/>
      </w:pPr>
      <w:r/>
      <w:bookmarkStart w:id="13" w:name="_Toc5544"/>
      <w:r>
        <w:rPr>
          <w:rFonts w:hint="eastAsia" w:ascii="宋体" w:hAnsi="宋体" w:cs="宋体"/>
          <w:b/>
          <w:bCs/>
          <w:szCs w:val="21"/>
          <w:highlight w:val="none"/>
        </w:rPr>
        <w:t xml:space="preserve">五、公告期限</w:t>
      </w:r>
      <w:bookmarkEnd w:id="13"/>
      <w:r/>
      <w:r/>
    </w:p>
    <w:p>
      <w:pPr>
        <w:pStyle w:val="1226"/>
        <w:ind w:firstLine="468"/>
        <w:spacing w:line="360" w:lineRule="auto"/>
        <w:tabs>
          <w:tab w:val="left" w:pos="1276" w:leader="none"/>
        </w:tabs>
        <w:rPr>
          <w:rFonts w:ascii="宋体" w:hAnsi="宋体"/>
          <w:bCs/>
          <w:sz w:val="24"/>
          <w:szCs w:val="24"/>
          <w:highlight w:val="none"/>
        </w:rPr>
      </w:pPr>
      <w:r>
        <w:rPr>
          <w:rFonts w:hint="eastAsia" w:ascii="宋体" w:hAnsi="宋体"/>
          <w:bCs/>
          <w:sz w:val="24"/>
          <w:szCs w:val="24"/>
          <w:highlight w:val="none"/>
        </w:rPr>
        <w:t xml:space="preserve">自本公告发布之日起5个工作日。</w:t>
      </w:r>
      <w:r/>
    </w:p>
    <w:p>
      <w:pPr>
        <w:pStyle w:val="1226"/>
        <w:ind w:firstLine="0"/>
        <w:spacing w:line="360" w:lineRule="auto"/>
        <w:tabs>
          <w:tab w:val="left" w:pos="1134" w:leader="none"/>
        </w:tabs>
        <w:rPr>
          <w:rFonts w:ascii="宋体" w:hAnsi="宋体" w:cs="宋体"/>
          <w:b/>
          <w:bCs/>
          <w:sz w:val="24"/>
          <w:szCs w:val="24"/>
          <w:highlight w:val="none"/>
        </w:rPr>
        <w:outlineLvl w:val="1"/>
      </w:pPr>
      <w:r/>
      <w:bookmarkStart w:id="14" w:name="_Toc12830"/>
      <w:r>
        <w:rPr>
          <w:rFonts w:hint="eastAsia" w:ascii="宋体" w:hAnsi="宋体" w:cs="宋体"/>
          <w:b/>
          <w:bCs/>
          <w:sz w:val="24"/>
          <w:szCs w:val="24"/>
          <w:highlight w:val="none"/>
        </w:rPr>
        <w:t xml:space="preserve">六、其他补充事宜</w:t>
      </w:r>
      <w:bookmarkEnd w:id="14"/>
      <w:r/>
      <w:r/>
    </w:p>
    <w:p>
      <w:pPr>
        <w:spacing w:line="360" w:lineRule="auto"/>
        <w:rPr>
          <w:rFonts w:ascii="宋体" w:hAnsi="宋体" w:cs="宋体"/>
          <w:b/>
          <w:sz w:val="24"/>
          <w:szCs w:val="24"/>
          <w:highlight w:val="none"/>
        </w:rPr>
      </w:pPr>
      <w:r/>
      <w:bookmarkStart w:id="15" w:name="OLE_LINK5"/>
      <w:r/>
      <w:bookmarkStart w:id="16" w:name="_Toc10479"/>
      <w:r>
        <w:rPr>
          <w:rFonts w:hint="eastAsia" w:ascii="宋体" w:hAnsi="宋体"/>
          <w:b/>
          <w:sz w:val="24"/>
          <w:szCs w:val="24"/>
          <w:highlight w:val="none"/>
        </w:rPr>
        <w:t xml:space="preserve">1、</w:t>
      </w:r>
      <w:r>
        <w:rPr>
          <w:rFonts w:hint="eastAsia" w:ascii="宋体" w:hAnsi="宋体" w:cs="宋体"/>
          <w:b/>
          <w:sz w:val="24"/>
          <w:szCs w:val="24"/>
          <w:highlight w:val="none"/>
        </w:rPr>
        <w:t xml:space="preserve">潜在供应商访问政府采购管理交易系统（苏采云）的网络地址和方法：</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（2）“CA数字证书”的获取：供应商需办理CA锁，“苏采云”系统目前仅支持“苏采云”系统下的政务CA，省内各地区办理的“苏采云”系统下的政务CA全省通用。</w:t>
      </w:r>
      <w:r/>
    </w:p>
    <w:p>
      <w:pPr>
        <w:ind w:firstLine="379"/>
        <w:jc w:val="left"/>
        <w:spacing w:line="360" w:lineRule="auto"/>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（3）“CA数字证书”的办理材料以及供应商操作手册详见</w:t>
      </w:r>
      <w:r>
        <w:rPr>
          <w:rFonts w:hint="eastAsia" w:ascii="宋体" w:hAnsi="宋体"/>
          <w:bCs/>
          <w:sz w:val="24"/>
          <w:szCs w:val="24"/>
          <w:highlight w:val="none"/>
          <w:lang w:val="en-US" w:eastAsia="zh-CN"/>
        </w:rPr>
        <w:t xml:space="preserve">苏采云系统</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（4）潜在供应商访问“苏采云”系统的网络地址和方法：“苏采云”系统的网址：http://jszfcg.jsczt.cn/jszc/login。</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（5）采购文件（后缀名为“.kedt”）、供应商操作手册及政府采购客户端工具也可通过“苏采云”系统--已报名项目--报名详情页面内相应链接进行下载。</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（6）招标代理机构（采购代理机构）将数据电文形式的采购文件加载至“苏采云”系统，供潜在供应商下载或者查阅。    </w:t>
      </w:r>
      <w:r/>
    </w:p>
    <w:p>
      <w:pPr>
        <w:ind w:firstLine="379"/>
        <w:jc w:val="left"/>
        <w:spacing w:line="360" w:lineRule="auto"/>
        <w:rPr>
          <w:rFonts w:ascii="宋体" w:hAnsi="宋体"/>
          <w:bCs/>
          <w:sz w:val="24"/>
          <w:szCs w:val="24"/>
          <w:highlight w:val="none"/>
        </w:rPr>
      </w:pPr>
      <w:r>
        <w:rPr>
          <w:rFonts w:hint="eastAsia" w:ascii="宋体" w:hAnsi="宋体"/>
          <w:bCs/>
          <w:sz w:val="24"/>
          <w:szCs w:val="24"/>
          <w:highlight w:val="none"/>
        </w:rPr>
        <w:t xml:space="preserve">（7）苏采云系统使用谷歌浏览器参与不见面开标。</w:t>
      </w:r>
      <w:r/>
    </w:p>
    <w:p>
      <w:pPr>
        <w:ind w:firstLine="420"/>
        <w:spacing w:line="360" w:lineRule="auto"/>
        <w:rPr>
          <w:rFonts w:hint="eastAsia" w:ascii="宋体" w:hAnsi="宋体" w:cs="宋体"/>
          <w:sz w:val="24"/>
          <w:szCs w:val="24"/>
          <w:highlight w:val="none"/>
        </w:rPr>
      </w:pPr>
      <w:r>
        <w:rPr>
          <w:rFonts w:hint="eastAsia" w:ascii="宋体" w:hAnsi="宋体" w:cs="宋体"/>
          <w:b/>
          <w:sz w:val="24"/>
          <w:szCs w:val="24"/>
          <w:highlight w:val="none"/>
        </w:rPr>
        <w:t xml:space="preserve">2.信用承诺</w:t>
      </w:r>
      <w:r>
        <w:rPr>
          <w:rFonts w:hint="eastAsia" w:ascii="宋体" w:hAnsi="宋体" w:cs="宋体"/>
          <w:bCs/>
          <w:sz w:val="24"/>
          <w:szCs w:val="24"/>
          <w:highlight w:val="none"/>
        </w:rPr>
        <w:t xml:space="preserve">：根据《关于在政府采购活动中推行信用承诺制的通知》宁财购通〔2021〕5号规定， 参加南</w:t>
      </w:r>
      <w:r>
        <w:rPr>
          <w:rFonts w:hint="eastAsia" w:ascii="宋体" w:hAnsi="宋体" w:cs="宋体"/>
          <w:sz w:val="24"/>
          <w:szCs w:val="24"/>
          <w:highlight w:val="none"/>
        </w:rPr>
        <w:t xml:space="preserve">京地区政府采购活动的供应商，应以书面形式向采购人或政府采购代理机构作出信用承诺。供应商</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rPr>
        <w:t xml:space="preserve">《南京市政府采购供应商信用承诺书》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详见格式）</w:t>
      </w:r>
      <w:r>
        <w:rPr>
          <w:rFonts w:hint="eastAsia" w:ascii="宋体" w:hAnsi="宋体" w:cs="宋体"/>
          <w:sz w:val="24"/>
          <w:szCs w:val="24"/>
          <w:highlight w:val="none"/>
        </w:rPr>
        <w:t xml:space="preserve">，由</w:t>
      </w:r>
      <w:r>
        <w:rPr>
          <w:rFonts w:hint="eastAsia" w:ascii="宋体" w:hAnsi="宋体" w:cs="宋体"/>
          <w:sz w:val="24"/>
          <w:szCs w:val="24"/>
          <w:highlight w:val="none"/>
          <w:lang w:val="en-US" w:eastAsia="zh-CN"/>
        </w:rPr>
        <w:t xml:space="preserve">法定代表</w:t>
      </w:r>
      <w:r>
        <w:rPr>
          <w:rFonts w:hint="eastAsia" w:ascii="宋体" w:hAnsi="宋体" w:cs="宋体"/>
          <w:sz w:val="24"/>
          <w:szCs w:val="24"/>
          <w:highlight w:val="none"/>
        </w:rPr>
        <w:t xml:space="preserve">人签字并盖单位公章。</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在政府采购资格审查环节，供应商只需提供书面《南京市政府采购供应商信用承诺书》，即可替代以下证明材料：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（1）符合国家相关规定的财务状况报告；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（2）依法缴纳税收的证明材料；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（3）依法缴纳社会保障资金的证明材料；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（4）具备履行政府采购合同所必需的设备和专业技术能力的证明材料；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（5）参加政府采购活动前三年内在经营活动中没有重大违法记录的证明材料；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（6）未被列入失信被执行人、重大税收违法失信主体、政府采购严重违法失信行为记录名单的证明材料。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供应商涉及以下情形的，不适用信用承诺：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（1）供应商被列入严重失信主体名单；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（2）被相关监管部门作出行政处罚且尚在处罚有效期内；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（3）其他法律、行政法规规定的不适用信用承诺的情形。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供应商对信用承诺内容的真实性、合法性、有效性负责。如作出虚假信用承诺，视同为“提供虚假材料谋取中标、成交”的违法行为。</w:t>
      </w:r>
      <w:r/>
    </w:p>
    <w:p>
      <w:pPr>
        <w:numPr>
          <w:ilvl w:val="0"/>
          <w:numId w:val="7"/>
        </w:num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有关本次采购的事项若存在变动或修改，敬请及时关注“江苏政府采购网”发布的信息。</w:t>
      </w:r>
      <w:bookmarkEnd w:id="15"/>
      <w:r/>
      <w:r/>
    </w:p>
    <w:p>
      <w:pPr>
        <w:numPr>
          <w:ilvl w:val="0"/>
          <w:numId w:val="7"/>
        </w:num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本项目不</w:t>
      </w:r>
      <w:r>
        <w:rPr>
          <w:rFonts w:hint="eastAsia" w:ascii="宋体" w:hAnsi="宋体" w:cs="宋体"/>
          <w:b/>
          <w:bCs/>
          <w:color w:val="auto"/>
          <w:sz w:val="24"/>
          <w:szCs w:val="24"/>
          <w:highlight w:val="none"/>
          <w:lang w:val="en-US" w:eastAsia="zh-CN"/>
        </w:rPr>
        <w:t xml:space="preserve">统一</w:t>
      </w:r>
      <w:r>
        <w:rPr>
          <w:rFonts w:hint="eastAsia" w:ascii="宋体" w:hAnsi="宋体" w:eastAsia="宋体" w:cs="宋体"/>
          <w:b/>
          <w:bCs/>
          <w:color w:val="auto"/>
          <w:sz w:val="24"/>
          <w:szCs w:val="24"/>
          <w:highlight w:val="none"/>
          <w:lang w:val="en-US" w:eastAsia="zh-CN"/>
        </w:rPr>
        <w:t xml:space="preserve">组织现场踏勘，投标人可自行进行现场踏勘，以充分了项目情况及任何其他足以影响报价的情况，并承担勘察现场的责任和风险。如需了解现有系统，获取接口文档、对接标准及版本等信息，请与采购代理机构项目联系人联系获取。</w:t>
      </w:r>
      <w:r/>
    </w:p>
    <w:p>
      <w:pPr>
        <w:pStyle w:val="1226"/>
        <w:ind w:firstLine="0"/>
        <w:jc w:val="left"/>
        <w:spacing w:line="360" w:lineRule="auto"/>
        <w:tabs>
          <w:tab w:val="left" w:pos="1276" w:leader="none"/>
        </w:tabs>
        <w:rPr>
          <w:rFonts w:ascii="宋体" w:hAnsi="宋体" w:cs="宋体"/>
          <w:b/>
          <w:bCs/>
          <w:sz w:val="24"/>
          <w:szCs w:val="24"/>
          <w:highlight w:val="none"/>
        </w:rPr>
        <w:outlineLvl w:val="1"/>
      </w:pPr>
      <w:r>
        <w:rPr>
          <w:rFonts w:hint="eastAsia" w:ascii="宋体" w:hAnsi="宋体" w:cs="宋体"/>
          <w:b/>
          <w:bCs/>
          <w:sz w:val="24"/>
          <w:szCs w:val="24"/>
          <w:highlight w:val="none"/>
        </w:rPr>
        <w:t xml:space="preserve">七、对本次招标提出询问，请按以下方式联系。</w:t>
      </w:r>
      <w:bookmarkEnd w:id="16"/>
      <w:r/>
      <w:r/>
    </w:p>
    <w:p>
      <w:pPr>
        <w:pStyle w:val="1226"/>
        <w:ind w:firstLine="560"/>
        <w:spacing w:line="360" w:lineRule="auto"/>
        <w:tabs>
          <w:tab w:val="left" w:pos="1276" w:leader="none"/>
        </w:tabs>
        <w:rPr>
          <w:rFonts w:ascii="宋体" w:hAnsi="宋体" w:cs="宋体"/>
          <w:sz w:val="24"/>
          <w:szCs w:val="24"/>
          <w:highlight w:val="none"/>
        </w:rPr>
      </w:pPr>
      <w:r/>
      <w:bookmarkStart w:id="17" w:name="_Toc25617"/>
      <w:r>
        <w:rPr>
          <w:rFonts w:hint="eastAsia" w:ascii="宋体" w:hAnsi="宋体" w:cs="宋体"/>
          <w:sz w:val="24"/>
          <w:szCs w:val="24"/>
          <w:highlight w:val="none"/>
        </w:rPr>
        <w:t xml:space="preserve">1.采购人信息</w:t>
      </w:r>
      <w:r/>
    </w:p>
    <w:p>
      <w:pPr>
        <w:pStyle w:val="1226"/>
        <w:ind w:firstLine="56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rPr>
        <w:t xml:space="preserve">采购人：南京市高淳人民医院</w:t>
      </w:r>
      <w:r/>
    </w:p>
    <w:p>
      <w:pPr>
        <w:pStyle w:val="1226"/>
        <w:ind w:firstLine="560"/>
        <w:spacing w:line="360" w:lineRule="auto"/>
        <w:tabs>
          <w:tab w:val="left" w:pos="127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cs="宋体"/>
          <w:sz w:val="24"/>
          <w:szCs w:val="24"/>
          <w:highlight w:val="none"/>
          <w:lang w:val="en-US" w:eastAsia="zh-CN"/>
        </w:rPr>
        <w:t xml:space="preserve">南京市高淳区茅山路53号</w:t>
      </w:r>
      <w:r/>
    </w:p>
    <w:p>
      <w:pPr>
        <w:pStyle w:val="1226"/>
        <w:ind w:firstLine="560"/>
        <w:spacing w:line="360" w:lineRule="auto"/>
        <w:tabs>
          <w:tab w:val="left" w:pos="127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val="en-US" w:eastAsia="zh-CN"/>
        </w:rPr>
        <w:t xml:space="preserve">王老师</w:t>
      </w:r>
      <w:r/>
    </w:p>
    <w:p>
      <w:pPr>
        <w:pStyle w:val="1226"/>
        <w:ind w:firstLine="56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shd w:val="clear" w:color="auto" w:fill="ffffff"/>
        </w:rPr>
        <w:t xml:space="preserve">2.采购</w:t>
      </w:r>
      <w:r>
        <w:rPr>
          <w:rFonts w:hint="eastAsia" w:ascii="宋体" w:hAnsi="宋体" w:cs="宋体"/>
          <w:sz w:val="24"/>
          <w:szCs w:val="24"/>
          <w:highlight w:val="none"/>
        </w:rPr>
        <w:t xml:space="preserve">代理机构信息</w:t>
      </w:r>
      <w:r/>
    </w:p>
    <w:p>
      <w:pPr>
        <w:pStyle w:val="1226"/>
        <w:ind w:firstLine="56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rPr>
        <w:t xml:space="preserve">名称：江苏弘业国际技术工程有限公司</w:t>
      </w:r>
      <w:r/>
    </w:p>
    <w:p>
      <w:pPr>
        <w:pStyle w:val="1226"/>
        <w:ind w:firstLine="560"/>
        <w:spacing w:line="360" w:lineRule="auto"/>
        <w:tabs>
          <w:tab w:val="left" w:pos="1276" w:leader="none"/>
        </w:tabs>
        <w:rPr>
          <w:rFonts w:ascii="宋体" w:hAnsi="宋体" w:cs="宋体"/>
          <w:sz w:val="24"/>
          <w:szCs w:val="24"/>
          <w:highlight w:val="none"/>
          <w:shd w:val="clear" w:color="auto" w:fill="ffffff"/>
        </w:rPr>
      </w:pPr>
      <w:r>
        <w:rPr>
          <w:rFonts w:hint="eastAsia" w:ascii="宋体" w:hAnsi="宋体" w:cs="宋体"/>
          <w:sz w:val="24"/>
          <w:szCs w:val="24"/>
          <w:highlight w:val="none"/>
        </w:rPr>
        <w:t xml:space="preserve">地址：南京市中华路50号弘业大厦10楼</w:t>
      </w:r>
      <w:r/>
    </w:p>
    <w:p>
      <w:pPr>
        <w:pStyle w:val="1226"/>
        <w:ind w:firstLine="56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shd w:val="clear" w:color="auto" w:fill="ffffff"/>
        </w:rPr>
        <w:t xml:space="preserve">联系方式：025-52278761   </w:t>
      </w:r>
      <w:r>
        <w:rPr>
          <w:rFonts w:hint="eastAsia" w:ascii="宋体" w:hAnsi="宋体" w:cs="宋体"/>
          <w:sz w:val="24"/>
          <w:szCs w:val="24"/>
          <w:highlight w:val="none"/>
        </w:rPr>
        <w:t xml:space="preserve">传  真：025-52278761</w:t>
      </w:r>
      <w:r/>
    </w:p>
    <w:p>
      <w:pPr>
        <w:pStyle w:val="1226"/>
        <w:ind w:firstLine="560"/>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邮箱：</w:t>
      </w:r>
      <w:r>
        <w:rPr>
          <w:highlight w:val="none"/>
        </w:rPr>
        <w:fldChar w:fldCharType="begin"/>
      </w:r>
      <w:r>
        <w:rPr>
          <w:highlight w:val="none"/>
        </w:rPr>
        <w:instrText xml:space="preserve"> HYPERLINK "mailto:hollyzbzy@artall.com" </w:instrText>
      </w:r>
      <w:r>
        <w:rPr>
          <w:highlight w:val="none"/>
        </w:rPr>
        <w:fldChar w:fldCharType="separate"/>
      </w:r>
      <w:r>
        <w:rPr>
          <w:rFonts w:hint="eastAsia" w:ascii="宋体" w:hAnsi="宋体" w:cs="宋体"/>
          <w:sz w:val="24"/>
          <w:szCs w:val="24"/>
          <w:highlight w:val="none"/>
        </w:rPr>
        <w:t xml:space="preserve">hollyzbzy@artall.com</w:t>
      </w:r>
      <w:r>
        <w:rPr>
          <w:rFonts w:hint="eastAsia" w:ascii="宋体" w:hAnsi="宋体" w:cs="宋体"/>
          <w:sz w:val="24"/>
          <w:szCs w:val="24"/>
          <w:highlight w:val="none"/>
        </w:rPr>
        <w:fldChar w:fldCharType="end"/>
      </w:r>
      <w:r/>
    </w:p>
    <w:p>
      <w:pPr>
        <w:pStyle w:val="1226"/>
        <w:ind w:firstLine="560"/>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shd w:val="clear" w:color="auto" w:fill="ffffff"/>
        </w:rPr>
        <w:t xml:space="preserve">.</w:t>
      </w:r>
      <w:r>
        <w:rPr>
          <w:rFonts w:hint="eastAsia" w:ascii="宋体" w:hAnsi="宋体" w:cs="宋体"/>
          <w:sz w:val="24"/>
          <w:szCs w:val="24"/>
          <w:highlight w:val="none"/>
        </w:rPr>
        <w:t xml:space="preserve">项目联系方式</w:t>
      </w:r>
      <w:r/>
    </w:p>
    <w:p>
      <w:pPr>
        <w:pStyle w:val="1226"/>
        <w:ind w:firstLine="480"/>
        <w:spacing w:line="360" w:lineRule="auto"/>
        <w:tabs>
          <w:tab w:val="left" w:pos="1276" w:leader="none"/>
        </w:tabs>
        <w:rPr>
          <w:rFonts w:ascii="宋体" w:hAnsi="宋体" w:cs="宋体"/>
          <w:sz w:val="24"/>
          <w:szCs w:val="24"/>
          <w:highlight w:val="none"/>
        </w:rPr>
      </w:pPr>
      <w:r>
        <w:rPr>
          <w:rFonts w:hint="eastAsia" w:ascii="宋体" w:hAnsi="宋体" w:cs="宋体"/>
          <w:sz w:val="24"/>
          <w:szCs w:val="24"/>
          <w:highlight w:val="none"/>
        </w:rPr>
        <w:t xml:space="preserve">项目联系人： 茅燕凤  </w:t>
      </w:r>
      <w:r>
        <w:rPr>
          <w:rFonts w:hint="eastAsia" w:ascii="宋体" w:hAnsi="宋体" w:cs="宋体"/>
          <w:sz w:val="24"/>
          <w:szCs w:val="24"/>
          <w:highlight w:val="none"/>
          <w:lang w:val="en-US" w:eastAsia="zh-CN"/>
        </w:rPr>
        <w:t xml:space="preserve">戴婷 </w:t>
      </w:r>
      <w:r>
        <w:rPr>
          <w:rFonts w:hint="eastAsia" w:ascii="宋体" w:hAnsi="宋体" w:cs="宋体"/>
          <w:sz w:val="24"/>
          <w:szCs w:val="24"/>
          <w:highlight w:val="none"/>
        </w:rPr>
        <w:t xml:space="preserve"> 电话：15951603205</w:t>
      </w:r>
      <w:bookmarkEnd w:id="17"/>
      <w:r/>
      <w:r/>
    </w:p>
    <w:p>
      <w:pPr>
        <w:jc w:val="center"/>
        <w:rPr>
          <w:b/>
          <w:sz w:val="44"/>
          <w:szCs w:val="44"/>
          <w:highlight w:val="none"/>
        </w:rPr>
        <w:sectPr>
          <w:footerReference w:type="default" r:id="rId9"/>
          <w:footnotePr/>
          <w:endnotePr/>
          <w:type w:val="nextPage"/>
          <w:pgSz w:w="11906" w:h="16838" w:orient="portrait"/>
          <w:pgMar w:top="1134" w:right="1083" w:bottom="1134" w:left="1083" w:header="851" w:footer="992" w:gutter="0"/>
          <w:cols w:num="1" w:sep="0" w:space="1701" w:equalWidth="1"/>
          <w:docGrid w:linePitch="360"/>
        </w:sectPr>
        <w:outlineLvl w:val="0"/>
      </w:pPr>
      <w:r/>
      <w:bookmarkStart w:id="18" w:name="_Toc1881"/>
      <w:r/>
      <w:r/>
    </w:p>
    <w:p>
      <w:pPr>
        <w:jc w:val="center"/>
        <w:rPr>
          <w:b/>
          <w:sz w:val="44"/>
          <w:szCs w:val="44"/>
          <w:highlight w:val="none"/>
        </w:rPr>
        <w:outlineLvl w:val="0"/>
      </w:pPr>
      <w:r>
        <w:rPr>
          <w:rFonts w:hint="eastAsia"/>
          <w:b/>
          <w:sz w:val="44"/>
          <w:szCs w:val="44"/>
          <w:highlight w:val="none"/>
        </w:rPr>
        <w:t xml:space="preserve">第二部分  投标人须知</w:t>
      </w:r>
      <w:bookmarkEnd w:id="18"/>
      <w:r/>
      <w:r/>
    </w:p>
    <w:p>
      <w:pPr>
        <w:pStyle w:val="980"/>
        <w:jc w:val="center"/>
        <w:keepLines w:val="0"/>
        <w:keepNext w:val="0"/>
        <w:spacing w:before="0" w:after="0" w:line="240" w:lineRule="auto"/>
        <w:rPr>
          <w:highlight w:val="none"/>
        </w:rPr>
      </w:pPr>
      <w:r/>
      <w:bookmarkStart w:id="19" w:name="_Toc17705"/>
      <w:r/>
      <w:bookmarkStart w:id="20" w:name="_Toc514054471"/>
      <w:r>
        <w:rPr>
          <w:rFonts w:hint="eastAsia"/>
          <w:highlight w:val="none"/>
        </w:rPr>
        <w:t xml:space="preserve">投标人须知前附表</w:t>
      </w:r>
      <w:bookmarkEnd w:id="19"/>
      <w:r/>
      <w:bookmarkEnd w:id="20"/>
      <w:r/>
      <w:r/>
    </w:p>
    <w:tbl>
      <w:tblPr>
        <w:tblStyle w:val="77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仿宋_GB2312" w:hAnsi="仿宋" w:eastAsia="仿宋_GB2312"/>
                <w:b/>
                <w:bCs/>
                <w:sz w:val="24"/>
                <w:szCs w:val="24"/>
                <w:highlight w:val="none"/>
              </w:rPr>
            </w:pPr>
            <w:r>
              <w:rPr>
                <w:rFonts w:hint="eastAsia" w:ascii="仿宋_GB2312" w:hAnsi="仿宋" w:eastAsia="仿宋_GB2312"/>
                <w:b/>
                <w:bCs/>
                <w:sz w:val="24"/>
                <w:szCs w:val="24"/>
                <w:highlight w:val="none"/>
              </w:rPr>
              <w:t xml:space="preserve">序号</w:t>
            </w:r>
            <w:r/>
          </w:p>
        </w:tc>
        <w:tc>
          <w:tcPr>
            <w:tcW w:w="2519" w:type="dxa"/>
            <w:vAlign w:val="center"/>
            <w:textDirection w:val="lrTb"/>
            <w:noWrap w:val="false"/>
          </w:tcPr>
          <w:p>
            <w:pPr>
              <w:jc w:val="center"/>
              <w:rPr>
                <w:rFonts w:ascii="仿宋_GB2312" w:hAnsi="仿宋" w:eastAsia="仿宋_GB2312"/>
                <w:b/>
                <w:sz w:val="24"/>
                <w:szCs w:val="24"/>
                <w:highlight w:val="none"/>
              </w:rPr>
            </w:pPr>
            <w:r>
              <w:rPr>
                <w:rFonts w:hint="eastAsia" w:ascii="仿宋_GB2312" w:hAnsi="仿宋" w:eastAsia="仿宋_GB2312"/>
                <w:b/>
                <w:sz w:val="24"/>
                <w:szCs w:val="24"/>
                <w:highlight w:val="none"/>
              </w:rPr>
              <w:t xml:space="preserve">内容</w:t>
            </w:r>
            <w:r/>
          </w:p>
        </w:tc>
        <w:tc>
          <w:tcPr>
            <w:tcW w:w="6297" w:type="dxa"/>
            <w:vAlign w:val="center"/>
            <w:textDirection w:val="lrTb"/>
            <w:noWrap w:val="false"/>
          </w:tcPr>
          <w:p>
            <w:pPr>
              <w:jc w:val="center"/>
              <w:rPr>
                <w:rFonts w:ascii="仿宋_GB2312" w:hAnsi="仿宋" w:eastAsia="仿宋_GB2312"/>
                <w:b/>
                <w:bCs/>
                <w:sz w:val="24"/>
                <w:szCs w:val="24"/>
                <w:highlight w:val="none"/>
              </w:rPr>
            </w:pPr>
            <w:r>
              <w:rPr>
                <w:rFonts w:hint="eastAsia" w:ascii="仿宋_GB2312" w:hAnsi="仿宋" w:eastAsia="仿宋_GB2312"/>
                <w:b/>
                <w:bCs/>
                <w:sz w:val="24"/>
                <w:szCs w:val="24"/>
                <w:highlight w:val="none"/>
              </w:rPr>
              <w:t xml:space="preserve">说明及要求</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特别说明</w:t>
            </w:r>
            <w:r/>
          </w:p>
        </w:tc>
        <w:tc>
          <w:tcPr>
            <w:tcW w:w="6297" w:type="dxa"/>
            <w:vAlign w:val="center"/>
            <w:textDirection w:val="lrTb"/>
            <w:noWrap w:val="false"/>
          </w:tcPr>
          <w:p>
            <w:pPr>
              <w:rPr>
                <w:rFonts w:ascii="宋体" w:hAnsi="宋体" w:cs="宋体"/>
                <w:sz w:val="24"/>
                <w:szCs w:val="24"/>
                <w:highlight w:val="none"/>
              </w:rPr>
            </w:pPr>
            <w:r>
              <w:rPr>
                <w:rFonts w:hint="eastAsia" w:ascii="宋体" w:hAnsi="宋体" w:cs="宋体"/>
                <w:b/>
                <w:bCs/>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投标保证金</w:t>
            </w:r>
            <w:r/>
          </w:p>
        </w:tc>
        <w:tc>
          <w:tcPr>
            <w:tcW w:w="6297"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投标有效期</w:t>
            </w:r>
            <w:r/>
          </w:p>
        </w:tc>
        <w:tc>
          <w:tcPr>
            <w:tcW w:w="6297" w:type="dxa"/>
            <w:vAlign w:val="center"/>
            <w:textDirection w:val="lrTb"/>
            <w:noWrap w:val="false"/>
          </w:tcPr>
          <w:p>
            <w:pPr>
              <w:widowControl/>
              <w:rPr>
                <w:rFonts w:ascii="宋体" w:hAnsi="宋体" w:cs="宋体"/>
                <w:sz w:val="24"/>
                <w:szCs w:val="24"/>
                <w:highlight w:val="none"/>
              </w:rPr>
            </w:pPr>
            <w:r/>
            <w:bookmarkStart w:id="21" w:name="EBd40b5fb42f2944a3b45e579ce3941f02"/>
            <w:r>
              <w:rPr>
                <w:rFonts w:hint="eastAsia" w:ascii="宋体" w:hAnsi="宋体" w:cs="宋体"/>
                <w:sz w:val="24"/>
                <w:szCs w:val="24"/>
                <w:highlight w:val="none"/>
              </w:rPr>
              <w:t xml:space="preserve">90</w:t>
            </w:r>
            <w:bookmarkEnd w:id="21"/>
            <w:r>
              <w:rPr>
                <w:rFonts w:hint="eastAsia" w:ascii="宋体" w:hAnsi="宋体" w:cs="宋体"/>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评标办法</w:t>
            </w:r>
            <w:r/>
          </w:p>
        </w:tc>
        <w:tc>
          <w:tcPr>
            <w:tcW w:w="6297" w:type="dxa"/>
            <w:vAlign w:val="center"/>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综合评分法</w:t>
            </w:r>
            <w:r/>
          </w:p>
          <w:p>
            <w:pPr>
              <w:widowControl/>
              <w:rPr>
                <w:rFonts w:ascii="宋体" w:hAnsi="宋体" w:cs="宋体"/>
                <w:sz w:val="24"/>
                <w:szCs w:val="24"/>
                <w:highlight w:val="none"/>
              </w:rPr>
            </w:pPr>
            <w:r>
              <w:rPr>
                <w:rFonts w:hint="eastAsia" w:ascii="宋体" w:hAnsi="宋体" w:cs="宋体"/>
                <w:sz w:val="24"/>
                <w:szCs w:val="24"/>
                <w:highlight w:val="none"/>
              </w:rPr>
              <w:t xml:space="preserve">具体评标办法详见招标文件第三部分。</w:t>
            </w:r>
            <w:r/>
          </w:p>
          <w:p>
            <w:pPr>
              <w:widowControl/>
              <w:rPr>
                <w:rFonts w:ascii="宋体" w:hAnsi="宋体" w:cs="宋体"/>
                <w:sz w:val="24"/>
                <w:szCs w:val="24"/>
                <w:highlight w:val="none"/>
              </w:rPr>
            </w:pPr>
            <w:r>
              <w:rPr>
                <w:rFonts w:hint="eastAsia" w:ascii="宋体" w:hAnsi="宋体" w:cs="宋体"/>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中标通知书领取</w:t>
            </w:r>
            <w:r/>
          </w:p>
        </w:tc>
        <w:tc>
          <w:tcPr>
            <w:tcW w:w="6297" w:type="dxa"/>
            <w:vAlign w:val="center"/>
            <w:textDirection w:val="lrTb"/>
            <w:noWrap w:val="false"/>
          </w:tcPr>
          <w:p>
            <w:pPr>
              <w:widowControl/>
              <w:rPr>
                <w:rFonts w:ascii="宋体" w:hAnsi="宋体" w:cs="宋体"/>
                <w:sz w:val="24"/>
                <w:szCs w:val="24"/>
                <w:highlight w:val="none"/>
              </w:rPr>
            </w:pPr>
            <w:r>
              <w:rPr>
                <w:rFonts w:hint="eastAsia" w:ascii="宋体" w:hAnsi="宋体" w:cs="宋体"/>
                <w:sz w:val="24"/>
                <w:szCs w:val="24"/>
                <w:highlight w:val="none"/>
              </w:rPr>
              <w:t xml:space="preserve">领取地址：南京市中华路50号弘业大厦10楼</w:t>
            </w:r>
            <w:r/>
          </w:p>
          <w:p>
            <w:pPr>
              <w:widowControl/>
              <w:rPr>
                <w:rFonts w:ascii="宋体" w:hAnsi="宋体" w:cs="宋体"/>
                <w:sz w:val="24"/>
                <w:szCs w:val="24"/>
                <w:highlight w:val="none"/>
              </w:rPr>
            </w:pPr>
            <w:r>
              <w:rPr>
                <w:rFonts w:hint="eastAsia" w:ascii="宋体" w:hAnsi="宋体" w:cs="宋体"/>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6</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中标服务费的收取</w:t>
            </w:r>
            <w:r/>
          </w:p>
        </w:tc>
        <w:tc>
          <w:tcPr>
            <w:tcW w:w="6297" w:type="dxa"/>
            <w:vAlign w:val="center"/>
            <w:textDirection w:val="lrTb"/>
            <w:noWrap w:val="false"/>
          </w:tcPr>
          <w:p>
            <w:pPr>
              <w:pStyle w:val="790"/>
              <w:ind w:left="0" w:right="0"/>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根据采购人与采购代理机构的约定，本项目中标服务费参照按苏政采协【2024】20号</w:t>
            </w:r>
            <w:r>
              <w:rPr>
                <w:rFonts w:hint="eastAsia" w:ascii="宋体" w:hAnsi="宋体" w:eastAsia="宋体" w:cs="宋体"/>
                <w:color w:val="000000"/>
                <w:sz w:val="24"/>
                <w:szCs w:val="24"/>
                <w:highlight w:val="none"/>
                <w:lang w:val="en-US" w:eastAsia="zh-CN"/>
              </w:rPr>
              <w:t xml:space="preserve">的75%</w:t>
            </w:r>
            <w:r>
              <w:rPr>
                <w:rFonts w:hint="eastAsia" w:ascii="宋体" w:hAnsi="宋体" w:eastAsia="宋体" w:cs="宋体"/>
                <w:color w:val="000000"/>
                <w:sz w:val="24"/>
                <w:szCs w:val="24"/>
                <w:highlight w:val="none"/>
              </w:rPr>
              <w:t xml:space="preserve">收取，中标服务费由中标供应商承担并直接支付给采购代理机构，该笔费用已纳入本项目财政批复总预算内，所有投标人须将代理服务费综合测算、全额包含在自身投标总报价中。服务费应在领取中标通知书前缴纳。</w:t>
            </w:r>
            <w:r/>
          </w:p>
          <w:p>
            <w:pPr>
              <w:pStyle w:val="790"/>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账户信息：</w:t>
            </w:r>
            <w:r/>
          </w:p>
          <w:p>
            <w:pPr>
              <w:pStyle w:val="790"/>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户    名：江苏弘业国际技术工程有限公司</w:t>
            </w:r>
            <w:r/>
          </w:p>
          <w:p>
            <w:pPr>
              <w:pStyle w:val="790"/>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开户银行：中国银行南京市中华路支行   </w:t>
            </w:r>
            <w:r/>
          </w:p>
          <w:p>
            <w:pPr>
              <w:pStyle w:val="790"/>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账    号：527460884999</w:t>
            </w:r>
            <w:r/>
          </w:p>
        </w:tc>
      </w:tr>
      <w:tr>
        <w:trPr>
          <w:trHeight w:val="429"/>
        </w:trPr>
        <w:tc>
          <w:tcPr>
            <w:tcW w:w="104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7</w:t>
            </w:r>
            <w:r/>
          </w:p>
        </w:tc>
        <w:tc>
          <w:tcPr>
            <w:tcW w:w="251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履约保证金</w:t>
            </w:r>
            <w:r/>
          </w:p>
        </w:tc>
        <w:tc>
          <w:tcPr>
            <w:tcW w:w="6297" w:type="dxa"/>
            <w:vAlign w:val="center"/>
            <w:textDirection w:val="lrTb"/>
            <w:noWrap w:val="false"/>
          </w:tcPr>
          <w:p>
            <w:pPr>
              <w:rPr>
                <w:highlight w:val="none"/>
              </w:rPr>
            </w:pPr>
            <w:r>
              <w:rPr>
                <w:rFonts w:hint="eastAsia" w:ascii="宋体" w:hAnsi="宋体" w:cs="宋体"/>
                <w:sz w:val="24"/>
                <w:szCs w:val="24"/>
                <w:highlight w:val="none"/>
              </w:rPr>
              <w:t xml:space="preserve">本项目不适用。</w:t>
            </w:r>
            <w:r/>
          </w:p>
        </w:tc>
      </w:tr>
      <w:tr>
        <w:trPr>
          <w:trHeight w:val="518"/>
        </w:trPr>
        <w:tc>
          <w:tcPr>
            <w:tcW w:w="1043" w:type="dxa"/>
            <w:vAlign w:val="center"/>
            <w:vMerge w:val="restart"/>
            <w:textDirection w:val="lrTb"/>
            <w:noWrap w:val="false"/>
          </w:tcPr>
          <w:p>
            <w:pPr>
              <w:jc w:val="center"/>
              <w:rPr>
                <w:rFonts w:ascii="宋体" w:hAnsi="宋体" w:cs="宋体"/>
                <w:sz w:val="24"/>
                <w:szCs w:val="24"/>
                <w:highlight w:val="none"/>
              </w:rPr>
            </w:pPr>
            <w:r/>
            <w:bookmarkStart w:id="22" w:name="_Toc514054472"/>
            <w:r/>
            <w:bookmarkStart w:id="23" w:name="_Toc25522"/>
            <w:r>
              <w:rPr>
                <w:rFonts w:hint="eastAsia" w:ascii="宋体" w:hAnsi="宋体" w:cs="宋体"/>
                <w:sz w:val="24"/>
                <w:szCs w:val="24"/>
                <w:highlight w:val="none"/>
              </w:rPr>
              <w:t xml:space="preserve">8</w:t>
            </w:r>
            <w:r/>
          </w:p>
        </w:tc>
        <w:tc>
          <w:tcPr>
            <w:tcW w:w="2519"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采购标的所属行业</w:t>
            </w:r>
            <w:r/>
          </w:p>
        </w:tc>
        <w:tc>
          <w:tcPr>
            <w:shd w:val="clear" w:color="auto" w:fill="auto"/>
            <w:tcW w:w="6297"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本项目采购标的</w:t>
            </w:r>
            <w:r>
              <w:rPr>
                <w:rFonts w:hint="eastAsia" w:ascii="宋体" w:hAnsi="宋体"/>
                <w:sz w:val="24"/>
                <w:szCs w:val="24"/>
                <w:highlight w:val="none"/>
              </w:rPr>
              <w:t xml:space="preserve">心电图机</w:t>
            </w:r>
            <w:r>
              <w:rPr>
                <w:rFonts w:hint="eastAsia" w:ascii="宋体" w:hAnsi="宋体" w:cs="宋体"/>
                <w:sz w:val="24"/>
                <w:szCs w:val="24"/>
                <w:highlight w:val="none"/>
              </w:rPr>
              <w:t xml:space="preserve">对应的行业主要为</w:t>
            </w:r>
            <w:r>
              <w:rPr>
                <w:rFonts w:hint="eastAsia" w:ascii="宋体" w:hAnsi="宋体" w:cs="宋体"/>
                <w:sz w:val="24"/>
                <w:szCs w:val="24"/>
                <w:highlight w:val="none"/>
                <w:u w:val="single"/>
              </w:rPr>
              <w:t xml:space="preserve">工业 </w:t>
            </w:r>
            <w:r>
              <w:rPr>
                <w:rFonts w:hint="eastAsia" w:ascii="宋体" w:hAnsi="宋体" w:cs="宋体"/>
                <w:sz w:val="24"/>
                <w:szCs w:val="24"/>
                <w:highlight w:val="none"/>
              </w:rPr>
              <w:t xml:space="preserve">。</w:t>
            </w:r>
            <w:r/>
          </w:p>
        </w:tc>
      </w:tr>
      <w:tr>
        <w:trPr>
          <w:trHeight w:val="690"/>
        </w:trPr>
        <w:tc>
          <w:tcPr>
            <w:tcW w:w="1043" w:type="dxa"/>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W w:w="2519" w:type="dxa"/>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shd w:val="clear" w:color="auto" w:fill="auto"/>
            <w:tcW w:w="6297"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本项目采购标的</w:t>
            </w:r>
            <w:r>
              <w:rPr>
                <w:rFonts w:hint="eastAsia" w:ascii="宋体" w:hAnsi="宋体"/>
                <w:sz w:val="24"/>
                <w:szCs w:val="24"/>
                <w:highlight w:val="none"/>
              </w:rPr>
              <w:t xml:space="preserve">区域心电一张网、设备接入、系统集成</w:t>
            </w:r>
            <w:r>
              <w:rPr>
                <w:rFonts w:hint="eastAsia" w:ascii="宋体" w:hAnsi="宋体" w:cs="宋体"/>
                <w:sz w:val="24"/>
                <w:szCs w:val="24"/>
                <w:highlight w:val="none"/>
              </w:rPr>
              <w:t xml:space="preserve">对应的行业主要为</w:t>
            </w:r>
            <w:r>
              <w:rPr>
                <w:rFonts w:hint="eastAsia" w:ascii="宋体" w:hAnsi="宋体" w:cs="宋体"/>
                <w:sz w:val="24"/>
                <w:szCs w:val="24"/>
                <w:highlight w:val="none"/>
                <w:u w:val="single"/>
              </w:rPr>
              <w:t xml:space="preserve">软件和信息技术服务业</w:t>
            </w:r>
            <w:r>
              <w:rPr>
                <w:rFonts w:hint="eastAsia" w:ascii="宋体" w:hAnsi="宋体" w:cs="宋体"/>
                <w:sz w:val="24"/>
                <w:szCs w:val="24"/>
                <w:highlight w:val="none"/>
              </w:rPr>
              <w:t xml:space="preserve">。</w:t>
            </w:r>
            <w:r/>
          </w:p>
        </w:tc>
      </w:tr>
    </w:tbl>
    <w:p>
      <w:pPr>
        <w:pStyle w:val="1383"/>
        <w:spacing w:line="360" w:lineRule="auto"/>
        <w:rPr>
          <w:rFonts w:ascii="宋体" w:hAnsi="宋体" w:eastAsia="宋体" w:cs="宋体"/>
          <w:highlight w:val="none"/>
        </w:rPr>
        <w:outlineLvl w:val="1"/>
      </w:pPr>
      <w:r>
        <w:rPr>
          <w:rFonts w:hint="eastAsia" w:ascii="宋体" w:hAnsi="宋体" w:eastAsia="宋体" w:cs="宋体"/>
          <w:highlight w:val="none"/>
        </w:rPr>
        <w:t xml:space="preserve">一、总 则</w:t>
      </w:r>
      <w:bookmarkEnd w:id="22"/>
      <w:r/>
      <w:bookmarkEnd w:id="23"/>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1、招标方式</w:t>
      </w:r>
      <w:r/>
    </w:p>
    <w:p>
      <w:pPr>
        <w:pStyle w:val="1009"/>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本次招标采取公开招标方式。</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2、合格的投标人</w:t>
      </w:r>
      <w:r/>
    </w:p>
    <w:p>
      <w:pPr>
        <w:ind w:firstLine="480"/>
        <w:spacing w:line="360" w:lineRule="auto"/>
        <w:rPr>
          <w:rFonts w:ascii="宋体" w:hAnsi="宋体" w:cs="宋体"/>
          <w:sz w:val="24"/>
          <w:highlight w:val="none"/>
          <w:shd w:val="clear" w:color="auto" w:fill="ffc000"/>
        </w:rPr>
      </w:pPr>
      <w:r>
        <w:rPr>
          <w:rFonts w:hint="eastAsia" w:ascii="宋体" w:hAnsi="宋体" w:cs="宋体"/>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3、适用法律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本次招标及由本次招标产生的合同受中华人民共和国的相关法律、法规制约和保护。</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4、投标费用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投标人应自行承担所有参加投标有关的费用。</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5、招标文件的约束力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投标人一旦参加本项目投标，即被认为接受了本招标文件的所有条件和规定。</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6、相同品牌产品投标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6.3、非单一产品采购项目，采购人确定核心产品，并在招标文件中载明。多家投标人提供的核心产品品牌全部相同的，按前两款规定处理。</w:t>
      </w:r>
      <w:r/>
    </w:p>
    <w:p>
      <w:pPr>
        <w:pStyle w:val="1383"/>
        <w:spacing w:line="360" w:lineRule="auto"/>
        <w:rPr>
          <w:rFonts w:ascii="宋体" w:hAnsi="宋体" w:eastAsia="宋体" w:cs="宋体"/>
          <w:highlight w:val="none"/>
        </w:rPr>
        <w:outlineLvl w:val="1"/>
      </w:pPr>
      <w:r/>
      <w:bookmarkStart w:id="24" w:name="_Toc514054473"/>
      <w:r/>
      <w:bookmarkStart w:id="25" w:name="_Toc21335"/>
      <w:r>
        <w:rPr>
          <w:rFonts w:hint="eastAsia" w:ascii="宋体" w:hAnsi="宋体" w:eastAsia="宋体" w:cs="宋体"/>
          <w:highlight w:val="none"/>
        </w:rPr>
        <w:t xml:space="preserve">二、招标文件</w:t>
      </w:r>
      <w:bookmarkEnd w:id="24"/>
      <w:r/>
      <w:bookmarkEnd w:id="25"/>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7、招标文件构成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第一部分：招标公告；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第二部分：投标人须知；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第三部分：评标方法和标准；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第四部分：采购需求；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第五部分：合同格式及条款；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第六部分：投标文件格式。</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8、招标文件的澄清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9、招标文件的修改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9.2</w:t>
      </w:r>
      <w:r>
        <w:rPr>
          <w:rFonts w:hint="eastAsia" w:ascii="宋体" w:hAnsi="宋体"/>
          <w:sz w:val="24"/>
          <w:highlight w:val="none"/>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highlight w:val="none"/>
        </w:rPr>
      </w:pPr>
      <w:r>
        <w:rPr>
          <w:rFonts w:hint="eastAsia" w:ascii="宋体" w:hAnsi="宋体" w:cs="宋体"/>
          <w:sz w:val="24"/>
          <w:highlight w:val="none"/>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sz w:val="20"/>
          <w:highlight w:val="none"/>
        </w:rPr>
        <w:t xml:space="preserve"> </w:t>
      </w:r>
      <w:bookmarkEnd w:id="26"/>
      <w:r/>
      <w:bookmarkStart w:id="27" w:name="EBec71fc1696a240c4b620fe1e00b2ce58"/>
      <w:r>
        <w:rPr>
          <w:rFonts w:hint="eastAsia" w:ascii="宋体" w:hAnsi="宋体" w:cs="宋体"/>
          <w:sz w:val="20"/>
          <w:highlight w:val="none"/>
        </w:rPr>
        <w:t xml:space="preserve"> </w:t>
      </w:r>
      <w:bookmarkEnd w:id="27"/>
      <w:r/>
      <w:r/>
    </w:p>
    <w:p>
      <w:pPr>
        <w:pStyle w:val="1383"/>
        <w:spacing w:line="360" w:lineRule="auto"/>
        <w:rPr>
          <w:rFonts w:ascii="宋体" w:hAnsi="宋体" w:eastAsia="宋体" w:cs="宋体"/>
          <w:highlight w:val="none"/>
        </w:rPr>
        <w:outlineLvl w:val="1"/>
      </w:pPr>
      <w:r/>
      <w:bookmarkStart w:id="28" w:name="_Toc514054474"/>
      <w:r/>
      <w:bookmarkStart w:id="29" w:name="_Toc26908"/>
      <w:r>
        <w:rPr>
          <w:rFonts w:hint="eastAsia" w:ascii="宋体" w:hAnsi="宋体" w:eastAsia="宋体" w:cs="宋体"/>
          <w:highlight w:val="none"/>
        </w:rPr>
        <w:t xml:space="preserve">三、投标文件的编制</w:t>
      </w:r>
      <w:bookmarkEnd w:id="28"/>
      <w:r/>
      <w:bookmarkEnd w:id="29"/>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10、投标文件的编制要求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11、投标文件构成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11.1资格证明文件；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11.1.2具有良好的商业信誉和健全的财务会计制度（提供2025年度财务报告，至少包含资产负债表、利润表，或投标截止时间前六个月内银行出具的资信证明，成立不满一年的无须提供）或提供南京市政府采购供应商信用承诺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4"/>
          <w:highlight w:val="none"/>
        </w:rPr>
        <w:t xml:space="preserve">（提供2026年1月至今）</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拒绝被“信用中国”（www.creditchina.gov.cn）、“中国政府采购网”(www.ccgp.gov.cn）列入失信被执行人、重大税收违法案件当事人、政府采购严重失信行为的供应商参加投标。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如投标产品为医疗器械：</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11.1.7.1</w:t>
      </w:r>
      <w:r>
        <w:rPr>
          <w:rFonts w:hint="eastAsia" w:ascii="宋体" w:hAnsi="宋体" w:cs="宋体"/>
          <w:color w:val="auto"/>
          <w:sz w:val="24"/>
          <w:szCs w:val="24"/>
          <w:highlight w:val="none"/>
          <w:lang w:val="en-US" w:eastAsia="zh-CN"/>
        </w:rPr>
        <w:t xml:space="preserve">投标人须提供投标产品的《第一类医疗器械备案凭证》或《医疗器械注册证》（复印件加盖公章）；</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11.1.7.</w:t>
      </w:r>
      <w:r>
        <w:rPr>
          <w:rFonts w:hint="eastAsia" w:ascii="宋体" w:hAnsi="宋体" w:cs="宋体"/>
          <w:color w:val="auto"/>
          <w:sz w:val="24"/>
          <w:szCs w:val="24"/>
          <w:highlight w:val="none"/>
          <w:lang w:val="en-US" w:eastAsia="zh-CN"/>
        </w:rPr>
        <w:t xml:space="preserve">2投标人为医疗器械经营企业的，须根据投标产品的类别，提供投标人的《医疗器械经营许可证》或《医疗器械经营备案凭证》（复印件加盖公章）；</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11.1.7.</w:t>
      </w:r>
      <w:r>
        <w:rPr>
          <w:rFonts w:hint="eastAsia" w:ascii="宋体" w:hAnsi="宋体" w:cs="宋体"/>
          <w:color w:val="auto"/>
          <w:sz w:val="24"/>
          <w:szCs w:val="24"/>
          <w:highlight w:val="none"/>
          <w:lang w:val="en-US" w:eastAsia="zh-CN"/>
        </w:rPr>
        <w:t xml:space="preserve">3医疗器械生产企业投标本企业产品的，须提供《第一类医疗器械生产备案凭证》或《医疗器械生产许可证》（复印件加盖公章）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本项目不接受进口产品投标。</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3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3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11.4.1开标一览表；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11.4.2明细报价表。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11.5技术文件</w:t>
      </w:r>
      <w:r/>
    </w:p>
    <w:p>
      <w:pPr>
        <w:ind w:firstLine="480"/>
        <w:spacing w:line="360" w:lineRule="auto"/>
        <w:rPr>
          <w:rFonts w:ascii="宋体" w:hAnsi="宋体" w:cs="宋体"/>
          <w:sz w:val="24"/>
          <w:highlight w:val="none"/>
        </w:rPr>
      </w:pPr>
      <w:r/>
      <w:bookmarkStart w:id="31" w:name="EB7f6b24a996964930b08d6b290b36e3fd"/>
      <w:r>
        <w:rPr>
          <w:rFonts w:hint="eastAsia" w:ascii="宋体" w:hAnsi="宋体" w:cs="宋体"/>
          <w:sz w:val="24"/>
          <w:highlight w:val="none"/>
        </w:rPr>
        <w:t xml:space="preserve">11.5.1技术响应偏差表</w:t>
      </w:r>
      <w:bookmarkEnd w:id="31"/>
      <w:r>
        <w:rPr>
          <w:rFonts w:hint="eastAsia" w:ascii="宋体" w:hAnsi="宋体" w:cs="宋体"/>
          <w:sz w:val="24"/>
          <w:highlight w:val="none"/>
        </w:rPr>
        <w:t xml:space="preserve">,商务</w:t>
      </w:r>
      <w:r>
        <w:rPr>
          <w:rFonts w:ascii="宋体" w:hAnsi="宋体" w:cs="宋体"/>
          <w:sz w:val="24"/>
          <w:highlight w:val="none"/>
        </w:rPr>
        <w:t xml:space="preserve">响应偏差表。</w:t>
      </w:r>
      <w:r/>
    </w:p>
    <w:p>
      <w:pPr>
        <w:ind w:firstLine="480"/>
        <w:spacing w:line="360" w:lineRule="auto"/>
        <w:rPr>
          <w:rFonts w:ascii="宋体" w:hAnsi="宋体"/>
          <w:bCs/>
          <w:sz w:val="24"/>
          <w:szCs w:val="24"/>
          <w:highlight w:val="none"/>
        </w:rPr>
      </w:pPr>
      <w:r>
        <w:rPr>
          <w:rFonts w:hint="eastAsia" w:ascii="宋体" w:hAnsi="宋体" w:cs="宋体"/>
          <w:sz w:val="24"/>
          <w:highlight w:val="none"/>
        </w:rPr>
        <w:t xml:space="preserve">11.5.2</w:t>
      </w:r>
      <w:r>
        <w:rPr>
          <w:rFonts w:hint="eastAsia" w:ascii="宋体" w:hAnsi="宋体"/>
          <w:bCs/>
          <w:sz w:val="24"/>
          <w:szCs w:val="24"/>
          <w:highlight w:val="none"/>
        </w:rPr>
        <w:t xml:space="preserve">其他技术文件（根据评分点自行提供）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11.6商务文件</w:t>
      </w:r>
      <w:r/>
    </w:p>
    <w:p>
      <w:pPr>
        <w:ind w:firstLine="480"/>
        <w:spacing w:line="360" w:lineRule="auto"/>
        <w:rPr>
          <w:rFonts w:ascii="宋体" w:hAnsi="宋体" w:cs="宋体"/>
          <w:sz w:val="24"/>
          <w:highlight w:val="none"/>
        </w:rPr>
      </w:pPr>
      <w:r/>
      <w:bookmarkStart w:id="32" w:name="EBdc2c24f6358343e896cd43bd6621a619"/>
      <w:r>
        <w:rPr>
          <w:rFonts w:hint="eastAsia" w:ascii="宋体" w:hAnsi="宋体" w:cs="宋体"/>
          <w:sz w:val="24"/>
          <w:highlight w:val="none"/>
        </w:rPr>
        <w:t xml:space="preserve">11.6.1投标人(或供货商、厂商)承担的业绩一览表，提供合同相关资料；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11.6.2其他商务文件。</w:t>
      </w:r>
      <w:bookmarkEnd w:id="32"/>
      <w:r/>
      <w:r/>
    </w:p>
    <w:p>
      <w:pPr>
        <w:numPr>
          <w:ilvl w:val="0"/>
          <w:numId w:val="8"/>
        </w:numPr>
        <w:ind w:firstLine="482"/>
        <w:spacing w:line="360" w:lineRule="auto"/>
        <w:rPr>
          <w:rFonts w:ascii="宋体" w:hAnsi="宋体" w:cs="宋体"/>
          <w:b/>
          <w:sz w:val="24"/>
          <w:highlight w:val="none"/>
        </w:rPr>
      </w:pPr>
      <w:r>
        <w:rPr>
          <w:rFonts w:hint="eastAsia" w:ascii="宋体" w:hAnsi="宋体" w:cs="宋体"/>
          <w:b/>
          <w:sz w:val="24"/>
          <w:highlight w:val="none"/>
        </w:rPr>
        <w:t xml:space="preserve">投标文件构成资料为非中文时应提供中文译版，并以中文为准，否则可视为未提供；</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13、投标报价</w:t>
      </w:r>
      <w:r/>
    </w:p>
    <w:p>
      <w:pPr>
        <w:ind w:firstLine="480"/>
        <w:spacing w:line="360" w:lineRule="auto"/>
        <w:rPr>
          <w:rFonts w:ascii="宋体" w:hAnsi="宋体" w:cs="宋体"/>
          <w:sz w:val="24"/>
          <w:highlight w:val="none"/>
          <w:shd w:val="clear" w:color="auto" w:fill="ffc000"/>
        </w:rPr>
      </w:pPr>
      <w:r>
        <w:rPr>
          <w:rFonts w:hint="eastAsia" w:ascii="宋体" w:hAnsi="宋体" w:cs="宋体"/>
          <w:sz w:val="24"/>
          <w:highlight w:val="none"/>
        </w:rPr>
        <w:t xml:space="preserve">13.1本项目不接受备选的投标方案或有选择的报价，只允许有一个报价。投标报价内容包括：</w:t>
      </w:r>
      <w:bookmarkStart w:id="33" w:name="EB54dd097a55df4796bd5f9b6bdf2ddc40"/>
      <w:r>
        <w:rPr>
          <w:rFonts w:hint="eastAsia" w:ascii="宋体" w:hAnsi="宋体" w:cs="宋体"/>
          <w:sz w:val="24"/>
          <w:highlight w:val="none"/>
        </w:rPr>
        <w:t xml:space="preserve">设备本身、安装调试费、人工费、服务费、税金以及交付使用过程中涉及到的其他一切费用。</w:t>
      </w:r>
      <w:bookmarkEnd w:id="3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13.3报价注意事项：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13.3.1价格一律以人民币计算；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14、投标保证金</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本项目不收取投标保证金。</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15.招标代理服务费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15.1招标代理服务费按发改价格【2011】534号文收取，由中标单位支付给采购代理机构。</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16、投标有效期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16.1在投标人须知前附表规定的投标有效期内，投标人不得要求撤销或者修改其投标文件。 </w:t>
      </w:r>
      <w:r/>
    </w:p>
    <w:p>
      <w:pPr>
        <w:ind w:firstLine="480"/>
        <w:spacing w:line="360" w:lineRule="auto"/>
        <w:rPr>
          <w:rFonts w:ascii="宋体" w:hAnsi="宋体" w:cs="宋体"/>
          <w:highlight w:val="none"/>
        </w:rPr>
      </w:pPr>
      <w:r>
        <w:rPr>
          <w:rFonts w:hint="eastAsia" w:ascii="宋体" w:hAnsi="宋体" w:cs="宋体"/>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highlight w:val="none"/>
        </w:rPr>
        <w:t xml:space="preserve">   </w:t>
      </w:r>
      <w:bookmarkStart w:id="34" w:name="EB12ed6b870f334fa092f7ed1f9a9dbab8"/>
      <w:r>
        <w:rPr>
          <w:rFonts w:hint="eastAsia" w:ascii="宋体" w:hAnsi="宋体" w:cs="宋体"/>
          <w:sz w:val="20"/>
          <w:highlight w:val="none"/>
        </w:rPr>
        <w:t xml:space="preserve"> </w:t>
      </w:r>
      <w:bookmarkEnd w:id="34"/>
      <w:r/>
      <w:bookmarkStart w:id="35" w:name="EB5d36e8077cc64e309c0c0f0cd8a6f496"/>
      <w:r>
        <w:rPr>
          <w:rFonts w:hint="eastAsia" w:ascii="宋体" w:hAnsi="宋体" w:cs="宋体"/>
          <w:sz w:val="20"/>
          <w:highlight w:val="none"/>
        </w:rPr>
        <w:t xml:space="preserve"> </w:t>
      </w:r>
      <w:bookmarkEnd w:id="35"/>
      <w:r/>
      <w:r/>
    </w:p>
    <w:p>
      <w:pPr>
        <w:pStyle w:val="1383"/>
        <w:spacing w:line="360" w:lineRule="auto"/>
        <w:rPr>
          <w:rFonts w:ascii="宋体" w:hAnsi="宋体" w:eastAsia="宋体" w:cs="宋体"/>
          <w:highlight w:val="none"/>
        </w:rPr>
        <w:outlineLvl w:val="1"/>
      </w:pPr>
      <w:r/>
      <w:bookmarkStart w:id="36" w:name="_Toc26211"/>
      <w:r/>
      <w:bookmarkStart w:id="37" w:name="_Toc514054475"/>
      <w:r>
        <w:rPr>
          <w:rFonts w:hint="eastAsia" w:ascii="宋体" w:hAnsi="宋体" w:eastAsia="宋体" w:cs="宋体"/>
          <w:highlight w:val="none"/>
        </w:rPr>
        <w:t xml:space="preserve">四、投标文件的提交</w:t>
      </w:r>
      <w:bookmarkEnd w:id="36"/>
      <w:r/>
      <w:bookmarkEnd w:id="37"/>
      <w:r/>
      <w:r/>
    </w:p>
    <w:p>
      <w:pPr>
        <w:ind w:firstLine="482"/>
        <w:spacing w:line="360" w:lineRule="auto"/>
        <w:rPr>
          <w:rFonts w:ascii="宋体" w:hAnsi="宋体" w:cs="宋体"/>
          <w:b/>
          <w:sz w:val="24"/>
          <w:highlight w:val="none"/>
        </w:rPr>
      </w:pPr>
      <w:r/>
      <w:bookmarkStart w:id="38" w:name="_Toc11452"/>
      <w:r/>
      <w:bookmarkStart w:id="39" w:name="_Toc514054476"/>
      <w:r>
        <w:rPr>
          <w:rFonts w:hint="eastAsia" w:ascii="宋体" w:hAnsi="宋体" w:cs="宋体"/>
          <w:b/>
          <w:sz w:val="24"/>
          <w:highlight w:val="none"/>
        </w:rPr>
        <w:t xml:space="preserve">17.1、投标文件的提交</w:t>
      </w:r>
      <w:r/>
    </w:p>
    <w:p>
      <w:pPr>
        <w:ind w:firstLine="480"/>
        <w:spacing w:line="360" w:lineRule="auto"/>
        <w:rPr>
          <w:rFonts w:ascii="宋体" w:hAnsi="宋体"/>
          <w:sz w:val="24"/>
          <w:highlight w:val="none"/>
        </w:rPr>
      </w:pPr>
      <w:r>
        <w:rPr>
          <w:rFonts w:hint="eastAsia" w:ascii="宋体" w:hAnsi="宋体"/>
          <w:sz w:val="24"/>
          <w:highlight w:val="none"/>
        </w:rPr>
        <w:t xml:space="preserve">17.1.1 电子投标文件的递交</w:t>
      </w:r>
      <w:r/>
    </w:p>
    <w:p>
      <w:pPr>
        <w:ind w:firstLine="480"/>
        <w:spacing w:line="360" w:lineRule="auto"/>
        <w:rPr>
          <w:rFonts w:ascii="宋体" w:hAnsi="宋体"/>
          <w:sz w:val="24"/>
          <w:highlight w:val="none"/>
        </w:rPr>
      </w:pPr>
      <w:r>
        <w:rPr>
          <w:rFonts w:hint="eastAsia" w:ascii="宋体" w:hAnsi="宋体"/>
          <w:sz w:val="24"/>
          <w:highlight w:val="none"/>
        </w:rPr>
        <w:t xml:space="preserve">投标人应当按照《操作手册》规定，在投标截止时间前制作并上传电子投标文件。</w:t>
      </w:r>
      <w:bookmarkStart w:id="40" w:name="_Toc16938542"/>
      <w:r/>
      <w:bookmarkEnd w:id="40"/>
      <w:r/>
      <w:bookmarkStart w:id="41" w:name="_Toc20823298"/>
      <w:r/>
      <w:bookmarkEnd w:id="41"/>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17.2、投标截止时间</w:t>
      </w:r>
      <w:r/>
    </w:p>
    <w:p>
      <w:pPr>
        <w:ind w:firstLine="480"/>
        <w:spacing w:line="360" w:lineRule="auto"/>
        <w:rPr>
          <w:rFonts w:ascii="宋体" w:hAnsi="宋体"/>
          <w:sz w:val="24"/>
          <w:highlight w:val="none"/>
        </w:rPr>
      </w:pPr>
      <w:r>
        <w:rPr>
          <w:rFonts w:hint="eastAsia" w:ascii="宋体" w:hAnsi="宋体"/>
          <w:sz w:val="24"/>
          <w:highlight w:val="none"/>
        </w:rPr>
        <w:t xml:space="preserve">17.2.1投标人上传电子投标文件的时间不得迟于招标公告中规定的投标截止时间。</w:t>
      </w:r>
      <w:r/>
    </w:p>
    <w:p>
      <w:pPr>
        <w:ind w:firstLine="480"/>
        <w:spacing w:line="360" w:lineRule="auto"/>
        <w:rPr>
          <w:rFonts w:ascii="宋体" w:hAnsi="宋体"/>
          <w:sz w:val="24"/>
          <w:highlight w:val="none"/>
        </w:rPr>
      </w:pPr>
      <w:r>
        <w:rPr>
          <w:rFonts w:hint="eastAsia" w:ascii="宋体" w:hAnsi="宋体"/>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highlight w:val="none"/>
        </w:rPr>
      </w:pPr>
      <w:r>
        <w:rPr>
          <w:rFonts w:hint="eastAsia" w:ascii="宋体" w:hAnsi="宋体"/>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17.3、投标文件被拒绝接收的情形</w:t>
      </w:r>
      <w:r/>
    </w:p>
    <w:p>
      <w:pPr>
        <w:ind w:firstLine="480"/>
        <w:spacing w:line="360" w:lineRule="auto"/>
        <w:rPr>
          <w:rFonts w:ascii="宋体" w:hAnsi="宋体" w:cs="宋体"/>
          <w:sz w:val="20"/>
          <w:highlight w:val="none"/>
        </w:rPr>
      </w:pPr>
      <w:r>
        <w:rPr>
          <w:rFonts w:hint="eastAsia" w:ascii="宋体" w:hAnsi="宋体" w:cs="宋体"/>
          <w:sz w:val="24"/>
          <w:highlight w:val="none"/>
        </w:rPr>
        <w:t xml:space="preserve">17.3.1</w:t>
      </w:r>
      <w:bookmarkStart w:id="42" w:name="EB200c38d7a1c345f29b604b38d510a951"/>
      <w:r>
        <w:rPr>
          <w:rFonts w:hint="eastAsia" w:ascii="宋体" w:hAnsi="宋体"/>
          <w:sz w:val="24"/>
          <w:highlight w:val="none"/>
        </w:rPr>
        <w:t xml:space="preserve">采购代理机构拒绝接收在其规定的投标截止时间后上传的任何投标文件。</w:t>
      </w:r>
      <w:r>
        <w:rPr>
          <w:rFonts w:hint="eastAsia" w:ascii="宋体" w:hAnsi="宋体" w:cs="宋体"/>
          <w:sz w:val="20"/>
          <w:highlight w:val="none"/>
        </w:rPr>
        <w:t xml:space="preserve"> </w:t>
      </w:r>
      <w:bookmarkEnd w:id="42"/>
      <w:r/>
      <w:r/>
    </w:p>
    <w:p>
      <w:pPr>
        <w:ind w:firstLine="480"/>
        <w:spacing w:line="360" w:lineRule="auto"/>
        <w:rPr>
          <w:rFonts w:ascii="宋体" w:hAnsi="宋体"/>
          <w:b/>
          <w:bCs/>
          <w:sz w:val="24"/>
          <w:highlight w:val="none"/>
        </w:rPr>
      </w:pPr>
      <w:r/>
      <w:bookmarkStart w:id="43" w:name="_Toc16938544"/>
      <w:r/>
      <w:bookmarkStart w:id="44" w:name="_Toc20823300"/>
      <w:r/>
      <w:bookmarkStart w:id="45" w:name="_Toc513029228"/>
      <w:r>
        <w:rPr>
          <w:rFonts w:hint="eastAsia" w:ascii="宋体" w:hAnsi="宋体"/>
          <w:b/>
          <w:bCs/>
          <w:sz w:val="24"/>
          <w:highlight w:val="none"/>
        </w:rPr>
        <w:t xml:space="preserve">17.4、投标文件的撤回和修改</w:t>
      </w:r>
      <w:bookmarkEnd w:id="43"/>
      <w:r/>
      <w:bookmarkEnd w:id="44"/>
      <w:r/>
      <w:bookmarkEnd w:id="45"/>
      <w:r/>
      <w:r/>
    </w:p>
    <w:p>
      <w:pPr>
        <w:ind w:firstLine="480"/>
        <w:spacing w:line="360" w:lineRule="auto"/>
        <w:rPr>
          <w:rFonts w:ascii="宋体" w:hAnsi="宋体"/>
          <w:sz w:val="24"/>
          <w:highlight w:val="none"/>
        </w:rPr>
      </w:pPr>
      <w:r>
        <w:rPr>
          <w:rFonts w:hint="eastAsia" w:ascii="宋体" w:hAnsi="宋体"/>
          <w:sz w:val="24"/>
          <w:highlight w:val="none"/>
        </w:rPr>
        <w:t xml:space="preserve">17.4.1投标文件的撤回</w:t>
      </w:r>
      <w:r/>
    </w:p>
    <w:p>
      <w:pPr>
        <w:ind w:firstLine="480"/>
        <w:spacing w:line="360" w:lineRule="auto"/>
        <w:rPr>
          <w:rFonts w:ascii="宋体" w:hAnsi="宋体"/>
          <w:sz w:val="24"/>
          <w:highlight w:val="none"/>
        </w:rPr>
      </w:pPr>
      <w:r>
        <w:rPr>
          <w:rFonts w:hint="eastAsia" w:ascii="宋体" w:hAnsi="宋体"/>
          <w:sz w:val="24"/>
          <w:highlight w:val="none"/>
        </w:rPr>
        <w:t xml:space="preserve">17.4.1.1电子投标文件的撤回</w:t>
      </w:r>
      <w:r/>
    </w:p>
    <w:p>
      <w:pPr>
        <w:ind w:firstLine="480"/>
        <w:spacing w:line="360" w:lineRule="auto"/>
        <w:rPr>
          <w:rFonts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360" w:lineRule="auto"/>
        <w:rPr>
          <w:rFonts w:ascii="宋体" w:hAnsi="宋体"/>
          <w:sz w:val="24"/>
          <w:highlight w:val="none"/>
        </w:rPr>
      </w:pPr>
      <w:r>
        <w:rPr>
          <w:rFonts w:hint="eastAsia" w:ascii="宋体" w:hAnsi="宋体"/>
          <w:sz w:val="24"/>
          <w:highlight w:val="none"/>
        </w:rPr>
        <w:t xml:space="preserve">17.4.1.2投标人撤回电子投标文件，则认为其不再参与本项目投标活动。</w:t>
      </w:r>
      <w:r/>
    </w:p>
    <w:p>
      <w:pPr>
        <w:ind w:firstLine="480"/>
        <w:spacing w:line="360" w:lineRule="auto"/>
        <w:rPr>
          <w:rFonts w:ascii="宋体" w:hAnsi="宋体"/>
          <w:sz w:val="24"/>
          <w:highlight w:val="none"/>
        </w:rPr>
      </w:pPr>
      <w:r>
        <w:rPr>
          <w:rFonts w:hint="eastAsia" w:ascii="宋体" w:hAnsi="宋体"/>
          <w:sz w:val="24"/>
          <w:highlight w:val="none"/>
        </w:rPr>
        <w:t xml:space="preserve">17.4.2 投标文件的修改</w:t>
      </w:r>
      <w:r/>
    </w:p>
    <w:p>
      <w:pPr>
        <w:ind w:firstLine="480"/>
        <w:spacing w:line="360" w:lineRule="auto"/>
        <w:rPr>
          <w:rFonts w:ascii="宋体" w:hAnsi="宋体"/>
          <w:sz w:val="24"/>
          <w:highlight w:val="none"/>
        </w:rPr>
      </w:pPr>
      <w:r>
        <w:rPr>
          <w:rFonts w:hint="eastAsia" w:ascii="宋体" w:hAnsi="宋体"/>
          <w:sz w:val="24"/>
          <w:highlight w:val="none"/>
        </w:rPr>
        <w:t xml:space="preserve">17.4.2.1投标人可在投标截止时间前，对其电子投标文件进行修改，具体操作方法见《操作手册》。</w:t>
      </w:r>
      <w:r/>
    </w:p>
    <w:p>
      <w:pPr>
        <w:ind w:firstLine="480"/>
        <w:spacing w:line="360" w:lineRule="auto"/>
        <w:rPr>
          <w:rFonts w:ascii="宋体" w:hAnsi="宋体"/>
          <w:sz w:val="24"/>
          <w:highlight w:val="none"/>
        </w:rPr>
      </w:pPr>
      <w:r>
        <w:rPr>
          <w:rFonts w:hint="eastAsia" w:ascii="宋体" w:hAnsi="宋体"/>
          <w:sz w:val="24"/>
          <w:highlight w:val="none"/>
        </w:rPr>
        <w:t xml:space="preserve">17.4.2.2在投标截止时间之后，投标人不得对其电子投标文件作任何修改。</w:t>
      </w:r>
      <w:r/>
    </w:p>
    <w:p>
      <w:pPr>
        <w:ind w:firstLine="480"/>
        <w:spacing w:line="360" w:lineRule="auto"/>
        <w:rPr>
          <w:rFonts w:ascii="宋体" w:hAnsi="宋体"/>
          <w:sz w:val="24"/>
          <w:highlight w:val="none"/>
        </w:rPr>
      </w:pPr>
      <w:r>
        <w:rPr>
          <w:rFonts w:hint="eastAsia" w:ascii="宋体" w:hAnsi="宋体"/>
          <w:sz w:val="24"/>
          <w:highlight w:val="none"/>
        </w:rPr>
        <w:t xml:space="preserve">17.4.3在投标截止时间至招标文件中规定的投标有效期满之间的这段时间内，投标人不得撤回其投标。</w:t>
      </w:r>
      <w:r/>
    </w:p>
    <w:p>
      <w:pPr>
        <w:pStyle w:val="1383"/>
        <w:spacing w:line="360" w:lineRule="auto"/>
        <w:rPr>
          <w:rFonts w:ascii="宋体" w:hAnsi="宋体" w:eastAsia="宋体" w:cs="宋体"/>
          <w:highlight w:val="none"/>
        </w:rPr>
        <w:outlineLvl w:val="1"/>
      </w:pPr>
      <w:r>
        <w:rPr>
          <w:rFonts w:hint="eastAsia" w:ascii="宋体" w:hAnsi="宋体" w:eastAsia="宋体" w:cs="宋体"/>
          <w:highlight w:val="none"/>
        </w:rPr>
        <w:t xml:space="preserve">五、无效标、投标被拒绝、串通投标认定条款</w:t>
      </w:r>
      <w:bookmarkEnd w:id="38"/>
      <w:r/>
      <w:bookmarkEnd w:id="39"/>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18、以下情形将视为无效投标</w:t>
      </w:r>
      <w:bookmarkStart w:id="46" w:name="EB94942e5430df4fb8a077f3cf7667f212"/>
      <w:r/>
      <w:r/>
    </w:p>
    <w:p>
      <w:pPr>
        <w:ind w:firstLine="480"/>
        <w:spacing w:line="360" w:lineRule="auto"/>
        <w:rPr>
          <w:rFonts w:ascii="宋体" w:hAnsi="宋体"/>
          <w:sz w:val="24"/>
          <w:highlight w:val="none"/>
        </w:rPr>
      </w:pPr>
      <w:r>
        <w:rPr>
          <w:rFonts w:hint="eastAsia" w:ascii="宋体" w:hAnsi="宋体"/>
          <w:sz w:val="24"/>
          <w:highlight w:val="none"/>
        </w:rPr>
        <w:t xml:space="preserve">18.1.1投标人在苏采云系统规定的时间内未成功解密电子投标文件的。</w:t>
      </w:r>
      <w:r/>
    </w:p>
    <w:p>
      <w:pPr>
        <w:ind w:firstLine="480"/>
        <w:spacing w:line="360" w:lineRule="auto"/>
        <w:rPr>
          <w:rFonts w:ascii="宋体" w:hAnsi="宋体"/>
          <w:sz w:val="24"/>
          <w:highlight w:val="none"/>
        </w:rPr>
      </w:pPr>
      <w:r>
        <w:rPr>
          <w:rFonts w:hint="eastAsia" w:ascii="宋体" w:hAnsi="宋体"/>
          <w:sz w:val="24"/>
          <w:highlight w:val="none"/>
        </w:rPr>
        <w:t xml:space="preserve">18.1.2投标人未按照招标文件要求上传电子投标文件的。</w:t>
      </w:r>
      <w:r/>
    </w:p>
    <w:p>
      <w:pPr>
        <w:ind w:firstLine="480"/>
        <w:spacing w:line="360" w:lineRule="auto"/>
        <w:rPr>
          <w:rFonts w:ascii="宋体" w:hAnsi="宋体"/>
          <w:sz w:val="24"/>
          <w:highlight w:val="none"/>
        </w:rPr>
      </w:pPr>
      <w:r>
        <w:rPr>
          <w:rFonts w:hint="eastAsia" w:ascii="宋体" w:hAnsi="宋体"/>
          <w:sz w:val="24"/>
          <w:highlight w:val="none"/>
        </w:rPr>
        <w:t xml:space="preserve">18.1.3同一投标人提交两个（含两个）以上不同的投标报价的。</w:t>
      </w:r>
      <w:r/>
    </w:p>
    <w:p>
      <w:pPr>
        <w:ind w:firstLine="480"/>
        <w:spacing w:line="360" w:lineRule="auto"/>
        <w:rPr>
          <w:rFonts w:ascii="宋体" w:hAnsi="宋体"/>
          <w:sz w:val="24"/>
          <w:highlight w:val="none"/>
        </w:rPr>
      </w:pPr>
      <w:r>
        <w:rPr>
          <w:rFonts w:hint="eastAsia" w:ascii="宋体" w:hAnsi="宋体"/>
          <w:sz w:val="24"/>
          <w:highlight w:val="none"/>
        </w:rPr>
        <w:t xml:space="preserve">18.1.4投标人不具备招标文件中规定资格要求的。</w:t>
      </w:r>
      <w:r/>
    </w:p>
    <w:p>
      <w:pPr>
        <w:ind w:firstLine="480"/>
        <w:spacing w:line="360" w:lineRule="auto"/>
        <w:rPr>
          <w:rFonts w:ascii="宋体" w:hAnsi="宋体"/>
          <w:sz w:val="24"/>
          <w:highlight w:val="none"/>
        </w:rPr>
      </w:pPr>
      <w:r>
        <w:rPr>
          <w:rFonts w:hint="eastAsia" w:ascii="宋体" w:hAnsi="宋体"/>
          <w:sz w:val="24"/>
          <w:highlight w:val="none"/>
        </w:rPr>
        <w:t xml:space="preserve">18.1.5投标人的报价超过了采购预算或最高限价的。</w:t>
      </w:r>
      <w:r/>
    </w:p>
    <w:p>
      <w:pPr>
        <w:ind w:firstLine="480"/>
        <w:spacing w:line="360" w:lineRule="auto"/>
        <w:rPr>
          <w:rFonts w:ascii="宋体" w:hAnsi="宋体"/>
          <w:sz w:val="24"/>
          <w:highlight w:val="none"/>
        </w:rPr>
      </w:pPr>
      <w:r>
        <w:rPr>
          <w:rFonts w:hint="eastAsia" w:ascii="宋体" w:hAnsi="宋体"/>
          <w:sz w:val="24"/>
          <w:highlight w:val="none"/>
        </w:rPr>
        <w:t xml:space="preserve">18.1.6未通过符合性审查的。</w:t>
      </w:r>
      <w:r/>
    </w:p>
    <w:p>
      <w:pPr>
        <w:ind w:firstLine="480"/>
        <w:spacing w:line="360" w:lineRule="auto"/>
        <w:rPr>
          <w:rFonts w:ascii="宋体" w:hAnsi="宋体"/>
          <w:sz w:val="24"/>
          <w:highlight w:val="none"/>
        </w:rPr>
      </w:pPr>
      <w:r>
        <w:rPr>
          <w:rFonts w:hint="eastAsia" w:ascii="宋体" w:hAnsi="宋体"/>
          <w:sz w:val="24"/>
          <w:highlight w:val="none"/>
        </w:rPr>
        <w:t xml:space="preserve">18.1.7不符合招标文件中规定的实质性要求和条件的。</w:t>
      </w:r>
      <w:r/>
    </w:p>
    <w:p>
      <w:pPr>
        <w:ind w:firstLine="480"/>
        <w:spacing w:line="360" w:lineRule="auto"/>
        <w:rPr>
          <w:rFonts w:ascii="宋体" w:hAnsi="宋体"/>
          <w:sz w:val="24"/>
          <w:highlight w:val="none"/>
        </w:rPr>
      </w:pPr>
      <w:r>
        <w:rPr>
          <w:rFonts w:hint="eastAsia" w:ascii="宋体" w:hAnsi="宋体"/>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sz w:val="24"/>
          <w:highlight w:val="none"/>
        </w:rPr>
      </w:pPr>
      <w:r>
        <w:rPr>
          <w:rFonts w:hint="eastAsia" w:ascii="宋体" w:hAnsi="宋体"/>
          <w:sz w:val="24"/>
          <w:highlight w:val="none"/>
        </w:rPr>
        <w:t xml:space="preserve">18.1.9投标文件含有采购人不能接受的附加条件的。</w:t>
      </w:r>
      <w:r/>
    </w:p>
    <w:p>
      <w:pPr>
        <w:ind w:firstLine="480"/>
        <w:spacing w:line="360" w:lineRule="auto"/>
        <w:rPr>
          <w:rFonts w:ascii="宋体" w:hAnsi="宋体"/>
          <w:sz w:val="24"/>
          <w:highlight w:val="none"/>
        </w:rPr>
      </w:pPr>
      <w:r>
        <w:rPr>
          <w:rFonts w:hint="eastAsia" w:ascii="宋体" w:hAnsi="宋体"/>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ascii="宋体" w:hAnsi="宋体"/>
          <w:sz w:val="24"/>
          <w:highlight w:val="none"/>
        </w:rPr>
      </w:pPr>
      <w:r>
        <w:rPr>
          <w:rFonts w:hint="eastAsia" w:ascii="宋体" w:hAnsi="宋体"/>
          <w:sz w:val="24"/>
          <w:highlight w:val="none"/>
        </w:rPr>
        <w:t xml:space="preserve">18.1.11</w:t>
      </w:r>
      <w:r>
        <w:rPr>
          <w:rFonts w:ascii="宋体" w:hAnsi="宋体"/>
          <w:sz w:val="24"/>
          <w:highlight w:val="none"/>
        </w:rPr>
        <w:t xml:space="preserve">本项目采购产品</w:t>
      </w:r>
      <w:r>
        <w:rPr>
          <w:rFonts w:hint="eastAsia" w:ascii="宋体" w:hAnsi="宋体"/>
          <w:sz w:val="24"/>
          <w:highlight w:val="none"/>
        </w:rPr>
        <w:t xml:space="preserve">如</w:t>
      </w:r>
      <w:r>
        <w:rPr>
          <w:rFonts w:ascii="宋体" w:hAnsi="宋体"/>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sz w:val="24"/>
          <w:highlight w:val="none"/>
        </w:rPr>
      </w:pPr>
      <w:r>
        <w:rPr>
          <w:rFonts w:hint="eastAsia" w:ascii="宋体" w:hAnsi="宋体"/>
          <w:sz w:val="24"/>
          <w:highlight w:val="none"/>
        </w:rPr>
        <w:t xml:space="preserve">18.1.12投标文件未按照招标文件要求加盖公章的。</w:t>
      </w:r>
      <w:r/>
    </w:p>
    <w:p>
      <w:pPr>
        <w:ind w:firstLine="480"/>
        <w:spacing w:line="360" w:lineRule="auto"/>
        <w:rPr>
          <w:rFonts w:ascii="宋体" w:hAnsi="宋体" w:cs="宋体"/>
          <w:sz w:val="24"/>
          <w:highlight w:val="none"/>
        </w:rPr>
      </w:pPr>
      <w:r>
        <w:rPr>
          <w:rFonts w:hint="eastAsia" w:ascii="宋体" w:hAnsi="宋体"/>
          <w:sz w:val="24"/>
          <w:highlight w:val="none"/>
        </w:rPr>
        <w:t xml:space="preserve">18.1.13</w:t>
      </w:r>
      <w:r>
        <w:rPr>
          <w:rFonts w:hint="eastAsia" w:ascii="宋体" w:hAnsi="宋体" w:cs="宋体"/>
          <w:sz w:val="24"/>
          <w:highlight w:val="none"/>
        </w:rPr>
        <w:t xml:space="preserve">投标文件含有采购人不能接受的附加条件的；</w:t>
      </w:r>
      <w:r/>
    </w:p>
    <w:p>
      <w:pPr>
        <w:ind w:firstLine="480"/>
        <w:spacing w:line="360" w:lineRule="auto"/>
        <w:rPr>
          <w:rFonts w:ascii="宋体" w:hAnsi="宋体" w:cs="宋体"/>
          <w:sz w:val="24"/>
          <w:highlight w:val="none"/>
        </w:rPr>
      </w:pPr>
      <w:r>
        <w:rPr>
          <w:rFonts w:hint="eastAsia" w:ascii="宋体" w:hAnsi="宋体"/>
          <w:sz w:val="24"/>
          <w:highlight w:val="none"/>
        </w:rPr>
        <w:t xml:space="preserve">18.1.14</w:t>
      </w:r>
      <w:r>
        <w:rPr>
          <w:rFonts w:hint="eastAsia" w:ascii="宋体" w:hAnsi="宋体" w:cs="宋体"/>
          <w:sz w:val="24"/>
          <w:highlight w:val="none"/>
        </w:rPr>
        <w:t xml:space="preserve">投标人有本招标文件规定的恶意串通投标情形的；</w:t>
      </w:r>
      <w:r/>
    </w:p>
    <w:p>
      <w:pPr>
        <w:ind w:firstLine="480"/>
        <w:spacing w:line="360" w:lineRule="auto"/>
        <w:rPr>
          <w:rFonts w:ascii="宋体" w:hAnsi="宋体" w:cs="宋体"/>
          <w:sz w:val="24"/>
          <w:highlight w:val="none"/>
        </w:rPr>
      </w:pPr>
      <w:r>
        <w:rPr>
          <w:rFonts w:hint="eastAsia" w:ascii="宋体" w:hAnsi="宋体"/>
          <w:sz w:val="24"/>
          <w:highlight w:val="none"/>
        </w:rPr>
        <w:t xml:space="preserve">18.1.15</w:t>
      </w:r>
      <w:r>
        <w:rPr>
          <w:rFonts w:hint="eastAsia" w:ascii="宋体" w:hAnsi="宋体" w:cs="宋体"/>
          <w:sz w:val="24"/>
          <w:highlight w:val="none"/>
        </w:rPr>
        <w:t xml:space="preserve">其它评标委员会认为有必要取消的投标；</w:t>
      </w:r>
      <w:r/>
    </w:p>
    <w:p>
      <w:pPr>
        <w:ind w:firstLine="480"/>
        <w:spacing w:line="360" w:lineRule="auto"/>
        <w:rPr>
          <w:rFonts w:ascii="宋体" w:hAnsi="宋体" w:cs="宋体"/>
          <w:sz w:val="24"/>
          <w:highlight w:val="none"/>
        </w:rPr>
      </w:pPr>
      <w:r>
        <w:rPr>
          <w:rFonts w:hint="eastAsia" w:ascii="宋体" w:hAnsi="宋体"/>
          <w:sz w:val="24"/>
          <w:highlight w:val="none"/>
        </w:rPr>
        <w:t xml:space="preserve">18.1.16其他法律、法规及本招标文件规定的属无效投标的情形。</w:t>
      </w:r>
      <w:bookmarkEnd w:id="46"/>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19、以下情形投标将被拒绝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19.1符合专业条件的供应商或者对招标文件作实质响应的供应商不足三家的（20条规定情形除外）；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19.2出现影响采购公正的违法、违规行为的；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19.3因重大变故，采购任务取消的。</w:t>
      </w:r>
      <w:r/>
    </w:p>
    <w:p>
      <w:pPr>
        <w:ind w:firstLine="480"/>
        <w:spacing w:line="360" w:lineRule="auto"/>
        <w:rPr>
          <w:rFonts w:ascii="宋体" w:hAnsi="宋体"/>
          <w:sz w:val="24"/>
          <w:highlight w:val="none"/>
        </w:rPr>
      </w:pPr>
      <w:r>
        <w:rPr>
          <w:rFonts w:hint="eastAsia" w:ascii="宋体" w:hAnsi="宋体"/>
          <w:sz w:val="24"/>
          <w:highlight w:val="none"/>
        </w:rPr>
        <w:t xml:space="preserve">19.4评标委员会认定招标文件存在歧义、重大缺陷导致评审工作无法进行。</w:t>
      </w:r>
      <w:r/>
    </w:p>
    <w:p>
      <w:pPr>
        <w:ind w:firstLine="480"/>
        <w:spacing w:line="360" w:lineRule="auto"/>
        <w:rPr>
          <w:rFonts w:ascii="宋体" w:hAnsi="宋体"/>
          <w:sz w:val="24"/>
          <w:highlight w:val="none"/>
        </w:rPr>
      </w:pPr>
      <w:r>
        <w:rPr>
          <w:rFonts w:hint="eastAsia" w:ascii="宋体" w:hAnsi="宋体"/>
          <w:sz w:val="24"/>
          <w:highlight w:val="none"/>
        </w:rPr>
        <w:t xml:space="preserve">19.5因苏采云系统故障原因造成开标不成功的。</w:t>
      </w:r>
      <w:r/>
    </w:p>
    <w:p>
      <w:pPr>
        <w:ind w:firstLine="480"/>
        <w:spacing w:line="360" w:lineRule="auto"/>
        <w:rPr>
          <w:rFonts w:ascii="宋体" w:hAnsi="宋体"/>
          <w:sz w:val="24"/>
          <w:highlight w:val="none"/>
        </w:rPr>
      </w:pPr>
      <w:r>
        <w:rPr>
          <w:rFonts w:hint="eastAsia" w:ascii="宋体" w:hAnsi="宋体"/>
          <w:sz w:val="24"/>
          <w:highlight w:val="none"/>
        </w:rPr>
        <w:t xml:space="preserve">19.6投标截止时间结束后参加投标的供应商不足三家的处理：</w:t>
      </w:r>
      <w:r/>
    </w:p>
    <w:p>
      <w:pPr>
        <w:ind w:firstLine="480"/>
        <w:spacing w:line="360" w:lineRule="auto"/>
        <w:rPr>
          <w:rFonts w:ascii="宋体" w:hAnsi="宋体"/>
          <w:sz w:val="24"/>
          <w:highlight w:val="none"/>
        </w:rPr>
      </w:pPr>
      <w:r>
        <w:rPr>
          <w:rFonts w:hint="eastAsia" w:ascii="宋体" w:hAnsi="宋体"/>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20、投标人不足三家情形处理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21、凡有以下情形者，一经查实，取消中标候选人资格条款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21.1提供虚假材料谋取中标的；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21.2采取不正当手段诋毁、排挤其他投标人的；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21.3与采购人、其他投标人或者采购代理机构恶意串通的；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21.4向采购人、采购代理机构行贿或者提供其他不正当利益的；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21.5未在规定时间内与采购人签订采购合同的；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21.6法律、法规规定的其它情况。</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22、恶意串通投标的情形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22.1供应商直接或间接从采购人或采购代理机构处获得其他供应商的投标情况，并修改其投标文件；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22.2评审活动开始前供应商直接或间接从采购人或采购代理机构处获得评标委员会组成人员情况；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22.3供应商接受采购人或采购代理机构授意撤换、修改投标文件；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22.4供应商之间协商投标报价、技术方案等投标文件实质性内容；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22.5属于同一集团、协会、商会等组织成员的供应商按照该组织要求协同投标；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22.6供应商之间事先约定由某一特定供应商中标、成交；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22.7供应商之间商定部分供应商放弃投标或者放弃中标、成交；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22.9不同投标人的投标文件由同一单位或者个人编制；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22.10不同投标人委托同一单位或者个人办理投标事宜；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22.11不同投标人的投标文件载明的项目管理成员或者联系人员为同一人；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22.12不同投标人的投标文件异常一致或者投标报价呈规律性差异；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22.13不同投标人的投标文件相互混装；</w:t>
      </w:r>
      <w:r/>
    </w:p>
    <w:p>
      <w:pPr>
        <w:pStyle w:val="1383"/>
        <w:spacing w:line="360" w:lineRule="auto"/>
        <w:rPr>
          <w:rFonts w:ascii="宋体" w:hAnsi="宋体" w:eastAsia="宋体" w:cs="宋体"/>
          <w:highlight w:val="none"/>
        </w:rPr>
        <w:outlineLvl w:val="1"/>
      </w:pPr>
      <w:r/>
      <w:bookmarkStart w:id="47" w:name="_Toc29013"/>
      <w:r/>
      <w:bookmarkStart w:id="48" w:name="_Toc514054477"/>
      <w:r>
        <w:rPr>
          <w:rFonts w:hint="eastAsia" w:ascii="宋体" w:hAnsi="宋体" w:eastAsia="宋体" w:cs="宋体"/>
          <w:highlight w:val="none"/>
        </w:rPr>
        <w:t xml:space="preserve">六、开标、资格审查、评标程序</w:t>
      </w:r>
      <w:bookmarkEnd w:id="47"/>
      <w:r/>
      <w:bookmarkEnd w:id="48"/>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23、开标会议</w:t>
      </w:r>
      <w:r/>
    </w:p>
    <w:p>
      <w:pPr>
        <w:ind w:firstLine="480"/>
        <w:spacing w:line="360" w:lineRule="auto"/>
        <w:rPr>
          <w:rFonts w:ascii="宋体" w:hAnsi="宋体"/>
          <w:sz w:val="24"/>
          <w:highlight w:val="none"/>
        </w:rPr>
      </w:pPr>
      <w:r>
        <w:rPr>
          <w:rFonts w:hint="eastAsia" w:ascii="宋体" w:hAnsi="宋体"/>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sz w:val="24"/>
          <w:highlight w:val="none"/>
        </w:rPr>
      </w:pPr>
      <w:r>
        <w:rPr>
          <w:rFonts w:hint="eastAsia" w:ascii="宋体" w:hAnsi="宋体"/>
          <w:sz w:val="24"/>
          <w:highlight w:val="none"/>
        </w:rPr>
        <w:t xml:space="preserve">23.2开标仪式由采购代理机构组织。苏采云系统将自动对项目进行开标，并宣布各投标人名称和投标价格。</w:t>
      </w:r>
      <w:r/>
    </w:p>
    <w:p>
      <w:pPr>
        <w:ind w:firstLine="480"/>
        <w:spacing w:line="360" w:lineRule="auto"/>
        <w:rPr>
          <w:rFonts w:ascii="宋体" w:hAnsi="宋体"/>
          <w:sz w:val="24"/>
          <w:highlight w:val="none"/>
        </w:rPr>
      </w:pPr>
      <w:r>
        <w:rPr>
          <w:rFonts w:hint="eastAsia" w:ascii="宋体" w:hAnsi="宋体"/>
          <w:sz w:val="24"/>
          <w:highlight w:val="none"/>
        </w:rPr>
        <w:t xml:space="preserve">23.3投标人在开标过程中涉及到的投标文件解密、开标结果确认等工作，应按照《操作手册》规定执行。</w:t>
      </w:r>
      <w:r/>
    </w:p>
    <w:p>
      <w:pPr>
        <w:ind w:firstLine="480"/>
        <w:spacing w:line="360" w:lineRule="auto"/>
        <w:rPr>
          <w:rFonts w:ascii="宋体" w:hAnsi="宋体"/>
          <w:sz w:val="24"/>
          <w:highlight w:val="none"/>
        </w:rPr>
      </w:pPr>
      <w:r>
        <w:rPr>
          <w:rFonts w:hint="eastAsia" w:ascii="宋体" w:hAnsi="宋体"/>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24、资格审查</w:t>
      </w:r>
      <w:r/>
    </w:p>
    <w:p>
      <w:pPr>
        <w:ind w:firstLine="480"/>
        <w:spacing w:line="360" w:lineRule="auto"/>
        <w:rPr>
          <w:rFonts w:ascii="宋体" w:hAnsi="宋体" w:cs="宋体"/>
          <w:sz w:val="24"/>
          <w:highlight w:val="none"/>
        </w:rPr>
      </w:pPr>
      <w:r/>
      <w:bookmarkStart w:id="49" w:name="EBa9c0a2c9e523494487594c65b2a92370"/>
      <w:r>
        <w:rPr>
          <w:rFonts w:hint="eastAsia" w:ascii="宋体" w:hAnsi="宋体" w:cs="宋体"/>
          <w:sz w:val="24"/>
          <w:highlight w:val="none"/>
        </w:rPr>
        <w:t xml:space="preserve">开标结束后，采购人或经采购人委托的采购代理机构依法据招标文件规定对投标人的资格证明文件等进行审查。</w:t>
      </w:r>
      <w:bookmarkEnd w:id="49"/>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25、评标委员会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26、评标原则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“公平、公正、客观、择优”为评标的基本原则，评标委员会将根据这一原则，公正、平等地对待各投标人。</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27、评标过程的保密与公正</w:t>
      </w:r>
      <w:r/>
    </w:p>
    <w:p>
      <w:pPr>
        <w:ind w:firstLine="480"/>
        <w:spacing w:line="360" w:lineRule="auto"/>
        <w:rPr>
          <w:rFonts w:ascii="宋体" w:hAnsi="宋体"/>
          <w:sz w:val="24"/>
          <w:highlight w:val="none"/>
        </w:rPr>
      </w:pPr>
      <w:r>
        <w:rPr>
          <w:rFonts w:hint="eastAsia" w:ascii="宋体" w:hAnsi="宋体"/>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sz w:val="24"/>
          <w:highlight w:val="none"/>
        </w:rPr>
      </w:pPr>
      <w:r>
        <w:rPr>
          <w:rFonts w:hint="eastAsia" w:ascii="宋体" w:hAnsi="宋体"/>
          <w:sz w:val="24"/>
          <w:highlight w:val="none"/>
        </w:rPr>
        <w:t xml:space="preserve">27.2在评标过程中，投标人不得以任何行为影响评标过程，否则其投标文件将被作为无效投标文件。</w:t>
      </w:r>
      <w:r/>
    </w:p>
    <w:p>
      <w:pPr>
        <w:ind w:firstLine="480"/>
        <w:spacing w:line="360" w:lineRule="auto"/>
        <w:rPr>
          <w:rFonts w:ascii="宋体" w:hAnsi="宋体"/>
          <w:sz w:val="24"/>
          <w:highlight w:val="none"/>
        </w:rPr>
      </w:pPr>
      <w:r>
        <w:rPr>
          <w:rFonts w:hint="eastAsia" w:ascii="宋体" w:hAnsi="宋体"/>
          <w:sz w:val="24"/>
          <w:highlight w:val="none"/>
        </w:rPr>
        <w:t xml:space="preserve">27.3采购代理机构和评标委员会不向未中标的投标人解释未中标原因，也不公布评标过程中的相关细节。</w:t>
      </w:r>
      <w:r/>
    </w:p>
    <w:p>
      <w:pPr>
        <w:ind w:firstLine="480"/>
        <w:spacing w:line="360" w:lineRule="auto"/>
        <w:rPr>
          <w:highlight w:val="none"/>
        </w:rPr>
      </w:pPr>
      <w:r>
        <w:rPr>
          <w:rFonts w:hint="eastAsia" w:ascii="宋体" w:hAnsi="宋体"/>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28、评标程序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0" w:name="EB48e5ba2667fe4390bf237677a47020dd"/>
      <w:r>
        <w:rPr>
          <w:rFonts w:hint="eastAsia" w:ascii="宋体" w:hAnsi="宋体" w:cs="宋体"/>
          <w:sz w:val="24"/>
          <w:highlight w:val="none"/>
        </w:rPr>
        <w:t xml:space="preserve">所谓重大偏离是指投标人投标文件中所述设备质量、技术规格、数量、交货期和服务等明显不能满足招标文件要求。</w:t>
      </w:r>
      <w:bookmarkEnd w:id="50"/>
      <w:r>
        <w:rPr>
          <w:rFonts w:hint="eastAsia" w:ascii="宋体" w:hAnsi="宋体" w:cs="宋体"/>
          <w:sz w:val="24"/>
          <w:highlight w:val="none"/>
        </w:rPr>
        <w:t xml:space="preserve">重大偏离的认定须经评标委员会三分之二以上同意。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28.2澄清有关问题。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评标委员会并非对每个投标人都做澄清要求。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28.2.3接到评委会澄清、说明和补正要求的投标人如未按规定做出澄清、说明和补正，其风险由投标人自行承担。</w:t>
      </w:r>
      <w:r/>
    </w:p>
    <w:p>
      <w:pPr>
        <w:ind w:firstLine="600"/>
        <w:spacing w:line="360" w:lineRule="auto"/>
        <w:rPr>
          <w:rFonts w:ascii="宋体" w:hAnsi="宋体" w:cs="宋体"/>
          <w:sz w:val="24"/>
          <w:highlight w:val="none"/>
        </w:rPr>
      </w:pPr>
      <w:r>
        <w:rPr>
          <w:rFonts w:hint="eastAsia" w:ascii="宋体" w:hAnsi="宋体" w:cs="宋体"/>
          <w:sz w:val="24"/>
          <w:highlight w:val="none"/>
        </w:rPr>
        <w:t xml:space="preserve">28.2.4投标文件报价出现前后不一致的，除招标文件另有规定外，按照下列规定修正：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①投标文件中开标一览表（报价表）内容与投标文件中相应内容不一致的，以开标一览表（报价表）为准；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②大写金额和小写金额不一致的，以大写金额为准；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③单价金额小数点或者百分比有明显错位的，以开标一览表的总价为准，并修改单价；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④总价金额与按单价汇总金额不一致的，以单价金额计算结果为准。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28.5推荐中标候选人。评标委员会按照招标文件中规定的评标方法和标准推荐中标候选人。</w:t>
      </w:r>
      <w:bookmarkStart w:id="51" w:name="EB66024636071342209da8bda483232040"/>
      <w:r>
        <w:rPr>
          <w:rFonts w:hint="eastAsia" w:ascii="宋体" w:hAnsi="宋体" w:cs="宋体"/>
          <w:sz w:val="24"/>
          <w:highlight w:val="none"/>
        </w:rPr>
        <w:t xml:space="preserve"> </w:t>
      </w:r>
      <w:bookmarkEnd w:id="51"/>
      <w:r/>
      <w:r/>
    </w:p>
    <w:p>
      <w:pPr>
        <w:numPr>
          <w:ilvl w:val="0"/>
          <w:numId w:val="9"/>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政府采购政策功能落实</w:t>
      </w:r>
      <w:r/>
    </w:p>
    <w:p>
      <w:pPr>
        <w:ind w:firstLine="480"/>
        <w:spacing w:line="500" w:lineRule="exact"/>
        <w:rPr>
          <w:rFonts w:ascii="宋体" w:hAnsi="宋体" w:cs="宋体"/>
          <w:sz w:val="24"/>
          <w:szCs w:val="24"/>
          <w:highlight w:val="none"/>
        </w:rPr>
      </w:pPr>
      <w:r/>
      <w:bookmarkStart w:id="52" w:name="EBd9bc59d5f2ed4fb8a64ee2e373d8cc72"/>
      <w:r>
        <w:rPr>
          <w:rFonts w:hint="eastAsia" w:ascii="宋体" w:hAnsi="宋体" w:cs="宋体"/>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（2）在工程采购项目中，工程由中小企业承建，即工程施工单位为中小企业；</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52"/>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29.8进口产品政策</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（2）允许进口产品参加的，满足需求的国内产品可以参加。</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29.12涉及</w:t>
      </w:r>
      <w:r>
        <w:rPr>
          <w:rFonts w:hint="eastAsia" w:ascii="宋体" w:hAnsi="宋体" w:cs="宋体"/>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29.14创新产品采购</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29.15 网络产品、市场准入类产品采购</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29.15.1本项目</w:t>
      </w:r>
      <w:r>
        <w:rPr>
          <w:rFonts w:hint="eastAsia" w:ascii="宋体" w:hAnsi="宋体" w:cs="宋体"/>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29.16落实《关于在全省政府采购领域推行电子履约保函（保险）的通知》（苏财购〔2023〕150号）。</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29.17政府采购中实施本国产品标准及相关政策：</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29.17.1.本项目对采购本国产品给予政策支持。</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29.18根据财库〔2026〕2号文件，评审委员会启动异常低价投标审查的情形和具体要求，包括：</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（一）1.投标报价低于全部通过符合性审查供应商投标报价平均值50%的，即投标报价&lt;全部通过符合性审查供应商投标报价平均值×50%；</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2.投标报价低于通过符合性审查的次低报价供应商投标报价50%的，即投标报价&lt;通过符合性审查的次低报价供应商投标报价×50%；</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3.投标报价低于采购项目最高限价45%的，即投标报价&lt;采购项目最高限价×45%；</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4.评审委员会基于专业判断，认为供应商报价过低，有可能影响产品质量或者不能诚信履约的其他情形。</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ascii="宋体" w:hAnsi="宋体" w:cs="宋体"/>
          <w:sz w:val="24"/>
          <w:szCs w:val="24"/>
          <w:highlight w:val="none"/>
        </w:rPr>
      </w:pPr>
      <w:r>
        <w:rPr>
          <w:rFonts w:hint="eastAsia" w:ascii="宋体" w:hAnsi="宋体" w:cs="宋体"/>
          <w:sz w:val="24"/>
          <w:szCs w:val="24"/>
          <w:highlight w:val="none"/>
        </w:rPr>
        <w:t xml:space="preserve">29.19未按要求提供相关材料的，不享受相关政策。</w:t>
      </w:r>
      <w:r/>
    </w:p>
    <w:p>
      <w:pPr>
        <w:ind w:firstLine="240"/>
        <w:spacing w:line="500" w:lineRule="exact"/>
        <w:rPr>
          <w:rFonts w:ascii="宋体" w:hAnsi="宋体" w:cs="宋体"/>
          <w:sz w:val="24"/>
          <w:highlight w:val="none"/>
        </w:rPr>
      </w:pPr>
      <w:r>
        <w:rPr>
          <w:rFonts w:hint="eastAsia" w:ascii="宋体" w:hAnsi="宋体" w:cs="宋体"/>
          <w:sz w:val="24"/>
          <w:szCs w:val="24"/>
          <w:highlight w:val="none"/>
        </w:rPr>
        <w:t xml:space="preserve">29.20在本项目政府采购活动过程中，如果所执行的标准有更新的，按照最新标准执行。</w:t>
      </w:r>
      <w:r/>
    </w:p>
    <w:p>
      <w:pPr>
        <w:pStyle w:val="1383"/>
        <w:spacing w:line="360" w:lineRule="auto"/>
        <w:rPr>
          <w:rFonts w:ascii="宋体" w:hAnsi="宋体" w:eastAsia="宋体" w:cs="宋体"/>
          <w:highlight w:val="none"/>
        </w:rPr>
        <w:outlineLvl w:val="1"/>
      </w:pPr>
      <w:r/>
      <w:bookmarkStart w:id="53" w:name="_Toc514054478"/>
      <w:r/>
      <w:bookmarkStart w:id="54" w:name="_Toc9744"/>
      <w:r/>
      <w:bookmarkStart w:id="55" w:name="_Toc81493168"/>
      <w:r/>
      <w:bookmarkStart w:id="56" w:name="EBf6bd108017b14bde8ec3ea4804c87c27"/>
      <w:r>
        <w:rPr>
          <w:rFonts w:hint="eastAsia" w:ascii="宋体" w:hAnsi="宋体" w:eastAsia="宋体" w:cs="宋体"/>
          <w:highlight w:val="none"/>
        </w:rPr>
        <w:t xml:space="preserve">七、中标及合同签订</w:t>
      </w:r>
      <w:bookmarkEnd w:id="53"/>
      <w:r/>
      <w:bookmarkEnd w:id="54"/>
      <w:r/>
      <w:bookmarkEnd w:id="55"/>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30、标后审查</w:t>
      </w:r>
      <w:r/>
    </w:p>
    <w:p>
      <w:pPr>
        <w:ind w:firstLine="480"/>
        <w:spacing w:line="360" w:lineRule="auto"/>
        <w:rPr>
          <w:rFonts w:ascii="宋体" w:hAnsi="宋体" w:cs="宋体"/>
          <w:sz w:val="24"/>
          <w:highlight w:val="none"/>
        </w:rPr>
      </w:pPr>
      <w:r/>
      <w:bookmarkStart w:id="57" w:name="EB17cdacdfdd1244abbb73389fe0bfffe7"/>
      <w:r>
        <w:rPr>
          <w:rFonts w:hint="eastAsia" w:ascii="宋体" w:hAnsi="宋体" w:cs="宋体"/>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31、确定中标人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31.3采购人不得通过对样品进行检测、对供应商进行考察等方式改变评审结果。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32、中标通知书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32.1中标结果在财政部门指定信息媒体上发布公告，招标代理机构将向中标人发出中标通知书。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32.2中标人应及时到招标代理机构领取中标通知书，中标通知书是签订合同的依据和组成部分。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33、签订合同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34、履约保证金</w:t>
      </w:r>
      <w:r/>
    </w:p>
    <w:p>
      <w:pPr>
        <w:ind w:firstLine="480"/>
        <w:spacing w:line="360" w:lineRule="auto"/>
        <w:rPr>
          <w:rFonts w:ascii="宋体" w:hAnsi="宋体" w:cs="宋体"/>
          <w:sz w:val="24"/>
          <w:szCs w:val="24"/>
          <w:highlight w:val="none"/>
        </w:rPr>
      </w:pPr>
      <w:r/>
      <w:bookmarkStart w:id="58" w:name="EB3094b551b51c42ca93e0255d679fb06f"/>
      <w:r>
        <w:rPr>
          <w:rFonts w:hint="eastAsia" w:ascii="宋体" w:hAnsi="宋体" w:cs="宋体"/>
          <w:sz w:val="24"/>
          <w:szCs w:val="24"/>
          <w:highlight w:val="none"/>
        </w:rPr>
        <w:t xml:space="preserve">见前附表。 </w:t>
      </w:r>
      <w:bookmarkEnd w:id="58"/>
      <w:r/>
      <w:bookmarkStart w:id="59" w:name="EB0d6067c6e00d44b1ad5603550c455e87"/>
      <w:r>
        <w:rPr>
          <w:rFonts w:hint="eastAsia" w:ascii="宋体" w:hAnsi="宋体" w:cs="宋体"/>
          <w:sz w:val="24"/>
          <w:szCs w:val="24"/>
          <w:highlight w:val="none"/>
        </w:rPr>
        <w:t xml:space="preserve"> </w:t>
      </w:r>
      <w:bookmarkEnd w:id="59"/>
      <w:r/>
      <w:r/>
    </w:p>
    <w:p>
      <w:pPr>
        <w:pStyle w:val="1383"/>
        <w:spacing w:line="360" w:lineRule="auto"/>
        <w:rPr>
          <w:rFonts w:ascii="宋体" w:hAnsi="宋体" w:eastAsia="宋体" w:cs="宋体"/>
          <w:highlight w:val="none"/>
        </w:rPr>
        <w:outlineLvl w:val="1"/>
      </w:pPr>
      <w:r/>
      <w:bookmarkStart w:id="60" w:name="_Toc81493169"/>
      <w:r/>
      <w:bookmarkStart w:id="61" w:name="_Toc25599"/>
      <w:r/>
      <w:bookmarkStart w:id="62" w:name="_Toc514054479"/>
      <w:r>
        <w:rPr>
          <w:rFonts w:hint="eastAsia" w:ascii="宋体" w:hAnsi="宋体" w:eastAsia="宋体" w:cs="宋体"/>
          <w:highlight w:val="none"/>
        </w:rPr>
        <w:t xml:space="preserve">八、验收及付款</w:t>
      </w:r>
      <w:bookmarkEnd w:id="60"/>
      <w:r/>
      <w:bookmarkEnd w:id="61"/>
      <w:r/>
      <w:bookmarkEnd w:id="62"/>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35、验收</w:t>
      </w:r>
      <w:r/>
    </w:p>
    <w:p>
      <w:pPr>
        <w:ind w:firstLine="480"/>
        <w:spacing w:line="440" w:lineRule="exact"/>
        <w:rPr>
          <w:rFonts w:hint="eastAsia" w:ascii="宋体" w:hAnsi="宋体" w:cs="宋体"/>
          <w:sz w:val="24"/>
          <w:szCs w:val="24"/>
          <w:highlight w:val="none"/>
        </w:rPr>
      </w:pPr>
      <w:r/>
      <w:bookmarkStart w:id="63" w:name="EBbbb2492ed6b84c9193a6bb6f72a512f3"/>
      <w:r>
        <w:rPr>
          <w:rFonts w:hint="eastAsia" w:ascii="宋体" w:hAnsi="宋体" w:cs="宋体"/>
          <w:sz w:val="24"/>
          <w:szCs w:val="24"/>
          <w:highlight w:val="none"/>
          <w:lang w:val="en-US" w:eastAsia="zh-CN"/>
        </w:rPr>
        <w:t xml:space="preserve">35.1</w:t>
      </w:r>
      <w:bookmarkEnd w:id="63"/>
      <w:r>
        <w:rPr>
          <w:rFonts w:hint="eastAsia" w:ascii="宋体" w:hAnsi="宋体" w:cs="宋体"/>
          <w:sz w:val="24"/>
          <w:szCs w:val="24"/>
          <w:highlight w:val="none"/>
        </w:rPr>
        <w:t xml:space="preserve">验收标准：按采购要求进行验收。</w:t>
      </w:r>
      <w:r/>
    </w:p>
    <w:p>
      <w:pPr>
        <w:ind w:firstLine="480"/>
        <w:spacing w:line="360"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36、付款</w:t>
      </w:r>
      <w:r/>
    </w:p>
    <w:p>
      <w:pPr>
        <w:ind w:firstLine="480"/>
        <w:spacing w:line="360" w:lineRule="auto"/>
        <w:rPr>
          <w:rFonts w:ascii="宋体" w:hAnsi="宋体" w:cs="宋体"/>
          <w:sz w:val="24"/>
          <w:highlight w:val="none"/>
        </w:rPr>
      </w:pPr>
      <w:r/>
      <w:bookmarkStart w:id="64" w:name="EBf0da31fab3a04ad0893de83144a87b34"/>
      <w:r>
        <w:rPr>
          <w:rFonts w:hint="eastAsia" w:ascii="宋体" w:hAnsi="宋体" w:cs="宋体"/>
          <w:sz w:val="24"/>
          <w:highlight w:val="none"/>
        </w:rPr>
        <w:t xml:space="preserve">36.1</w:t>
      </w:r>
      <w:bookmarkEnd w:id="64"/>
      <w:r>
        <w:rPr>
          <w:rFonts w:hint="eastAsia" w:ascii="宋体" w:hAnsi="宋体" w:cs="宋体"/>
          <w:sz w:val="24"/>
          <w:highlight w:val="none"/>
        </w:rPr>
        <w:t xml:space="preserve"> 采购人按招标文件要求办理采购款支付手续。</w:t>
      </w:r>
      <w:r/>
    </w:p>
    <w:p>
      <w:pPr>
        <w:pStyle w:val="1383"/>
        <w:spacing w:line="360" w:lineRule="auto"/>
        <w:rPr>
          <w:rFonts w:ascii="宋体" w:hAnsi="宋体" w:eastAsia="宋体" w:cs="宋体"/>
          <w:highlight w:val="none"/>
        </w:rPr>
        <w:outlineLvl w:val="1"/>
      </w:pPr>
      <w:r/>
      <w:bookmarkStart w:id="65" w:name="_Toc10945"/>
      <w:r/>
      <w:bookmarkStart w:id="66" w:name="_Toc514054480"/>
      <w:r/>
      <w:bookmarkStart w:id="67" w:name="_Toc81493170"/>
      <w:r>
        <w:rPr>
          <w:rFonts w:hint="eastAsia" w:ascii="宋体" w:hAnsi="宋体" w:eastAsia="宋体" w:cs="宋体"/>
          <w:highlight w:val="none"/>
        </w:rPr>
        <w:t xml:space="preserve">九、质疑与投诉</w:t>
      </w:r>
      <w:bookmarkEnd w:id="65"/>
      <w:r/>
      <w:bookmarkEnd w:id="66"/>
      <w:r/>
      <w:bookmarkEnd w:id="67"/>
      <w:r/>
      <w:r/>
    </w:p>
    <w:p>
      <w:pPr>
        <w:ind w:firstLine="422"/>
        <w:spacing w:line="360" w:lineRule="auto"/>
        <w:rPr>
          <w:rFonts w:ascii="宋体" w:hAnsi="宋体" w:cs="宋体"/>
          <w:b/>
          <w:highlight w:val="none"/>
        </w:rPr>
      </w:pPr>
      <w:r>
        <w:rPr>
          <w:rFonts w:hint="eastAsia" w:ascii="宋体" w:hAnsi="宋体" w:cs="宋体"/>
          <w:b/>
          <w:highlight w:val="none"/>
        </w:rPr>
        <w:t xml:space="preserve">37、质疑与投诉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37.2供应商应知其权益受到损害之日，是指：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（1）对本项目采购文件提出质疑的，采购文件公告期限届满之日；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（2）对本项目采购过程提出质疑的，为各采购程序环节结束之日；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（3）对本项目中标或者成交结果提出质疑的，为中标或者成交结果公告期限届满之日。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37.4供应商提出质疑应当提交质疑函和必要的证明材料。质疑函的必备内容：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（1）供应商的姓名或者名称、地址、邮编、联系人及联系电话；</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（2）质疑项目的名称、编号；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（3）具体、明确的质疑事项和质疑事项相关的请求；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（4）事实依据；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（5）必要的法律依据；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（6）提出质疑的日期；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37.5以联合体形式参加政府采购活动的，其质疑应当由组成联合体的所有供应商共同提出。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37.9供应商捏造事实、提供虚假材料或者以非法手段取得证明材料进行投诉的，由财政部门列入不良行为记录名单，禁止其1至3年内参加政府采购活动。 </w:t>
      </w:r>
      <w:bookmarkEnd w:id="56"/>
      <w:r/>
      <w:r/>
    </w:p>
    <w:p>
      <w:pPr>
        <w:pStyle w:val="1383"/>
        <w:spacing w:line="360" w:lineRule="auto"/>
        <w:rPr>
          <w:rFonts w:ascii="宋体" w:hAnsi="宋体" w:eastAsia="宋体" w:cs="宋体"/>
          <w:highlight w:val="none"/>
        </w:rPr>
        <w:outlineLvl w:val="1"/>
      </w:pPr>
      <w:r/>
      <w:bookmarkStart w:id="68" w:name="_Toc479757207"/>
      <w:r/>
      <w:bookmarkStart w:id="69" w:name="_Toc20823314"/>
      <w:r/>
      <w:bookmarkStart w:id="70" w:name="_Toc120614221"/>
      <w:r/>
      <w:bookmarkStart w:id="71" w:name="_Toc16938558"/>
      <w:r/>
      <w:bookmarkStart w:id="72" w:name="_Toc513029242"/>
      <w:r>
        <w:rPr>
          <w:rFonts w:hint="eastAsia" w:ascii="宋体" w:hAnsi="宋体" w:eastAsia="宋体" w:cs="宋体"/>
          <w:highlight w:val="none"/>
        </w:rPr>
        <w:t xml:space="preserve">十、政府采购履约资金扶持政策</w:t>
      </w:r>
      <w:bookmarkEnd w:id="68"/>
      <w:r/>
      <w:bookmarkEnd w:id="69"/>
      <w:r/>
      <w:bookmarkEnd w:id="70"/>
      <w:r/>
      <w:bookmarkEnd w:id="71"/>
      <w:r/>
      <w:bookmarkEnd w:id="72"/>
      <w:r/>
      <w:r/>
    </w:p>
    <w:p>
      <w:pPr>
        <w:pStyle w:val="998"/>
        <w:spacing w:line="360" w:lineRule="auto"/>
        <w:rPr>
          <w:rFonts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360" w:lineRule="auto"/>
        <w:rPr>
          <w:rFonts w:ascii="宋体" w:hAnsi="宋体"/>
          <w:sz w:val="24"/>
          <w:highlight w:val="none"/>
        </w:rPr>
      </w:pPr>
      <w:r>
        <w:rPr>
          <w:rFonts w:hint="eastAsia" w:ascii="宋体" w:hAnsi="宋体"/>
          <w:sz w:val="24"/>
          <w:highlight w:val="none"/>
        </w:rPr>
        <w:t xml:space="preserve"> </w:t>
      </w:r>
      <w:r/>
    </w:p>
    <w:p>
      <w:pPr>
        <w:jc w:val="center"/>
        <w:rPr>
          <w:b/>
          <w:sz w:val="44"/>
          <w:szCs w:val="44"/>
          <w:highlight w:val="none"/>
        </w:rPr>
        <w:outlineLvl w:val="0"/>
      </w:pPr>
      <w:r>
        <w:rPr>
          <w:rFonts w:hint="eastAsia"/>
          <w:b/>
          <w:sz w:val="44"/>
          <w:szCs w:val="44"/>
          <w:highlight w:val="none"/>
        </w:rPr>
        <w:br w:type="page" w:clear="all"/>
      </w:r>
      <w:bookmarkStart w:id="73" w:name="_Toc22015"/>
      <w:r>
        <w:rPr>
          <w:rFonts w:hint="eastAsia"/>
          <w:b/>
          <w:sz w:val="44"/>
          <w:szCs w:val="44"/>
          <w:highlight w:val="none"/>
        </w:rPr>
        <w:t xml:space="preserve">第三部分  </w:t>
      </w:r>
      <w:bookmarkEnd w:id="73"/>
      <w:r>
        <w:rPr>
          <w:rFonts w:hint="eastAsia"/>
          <w:b/>
          <w:sz w:val="44"/>
          <w:szCs w:val="44"/>
          <w:highlight w:val="none"/>
        </w:rPr>
        <w:t xml:space="preserve">评标方法和标准</w:t>
      </w:r>
      <w:r/>
    </w:p>
    <w:p>
      <w:pPr>
        <w:ind w:firstLine="643"/>
        <w:spacing w:before="156" w:after="156"/>
        <w:rPr>
          <w:b/>
          <w:sz w:val="32"/>
          <w:szCs w:val="32"/>
          <w:highlight w:val="none"/>
        </w:rPr>
        <w:outlineLvl w:val="1"/>
      </w:pPr>
      <w:r/>
      <w:bookmarkStart w:id="74" w:name="_Toc4647"/>
      <w:r/>
      <w:bookmarkStart w:id="75" w:name="_Toc24217_WPSOffice_Level2"/>
      <w:r>
        <w:rPr>
          <w:rFonts w:hint="eastAsia"/>
          <w:b/>
          <w:sz w:val="32"/>
          <w:szCs w:val="32"/>
          <w:highlight w:val="none"/>
        </w:rPr>
        <w:t xml:space="preserve">一、资格审查</w:t>
      </w:r>
      <w:bookmarkEnd w:id="74"/>
      <w:r/>
      <w:bookmarkEnd w:id="75"/>
      <w:r/>
      <w:r/>
    </w:p>
    <w:p>
      <w:pPr>
        <w:ind w:firstLine="420"/>
        <w:spacing w:line="300" w:lineRule="auto"/>
        <w:rPr>
          <w:rFonts w:ascii="宋体" w:hAnsi="宋体" w:cs="宋体"/>
          <w:sz w:val="24"/>
          <w:highlight w:val="none"/>
        </w:rPr>
      </w:pPr>
      <w:r>
        <w:rPr>
          <w:rFonts w:hint="eastAsia" w:ascii="宋体" w:hAnsi="宋体" w:cs="宋体"/>
          <w:sz w:val="24"/>
          <w:highlight w:val="none"/>
        </w:rPr>
        <w:t xml:space="preserve">采购人按照下列指标对各投标人的资格进行审查，未通过审查的为无效标，不参与评标。</w:t>
      </w:r>
      <w:r/>
    </w:p>
    <w:tbl>
      <w:tblPr>
        <w:tblStyle w:val="770"/>
        <w:tblW w:w="990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730"/>
        <w:gridCol w:w="4173"/>
      </w:tblGrid>
      <w:tr>
        <w:trPr/>
        <w:tc>
          <w:tcPr>
            <w:tcW w:w="5730" w:type="dxa"/>
            <w:vAlign w:val="center"/>
            <w:textDirection w:val="lrTb"/>
            <w:noWrap w:val="false"/>
          </w:tcPr>
          <w:p>
            <w:pPr>
              <w:ind w:firstLine="420"/>
              <w:spacing w:line="300" w:lineRule="auto"/>
              <w:rPr>
                <w:rFonts w:ascii="宋体" w:hAnsi="宋体" w:cs="宋体"/>
                <w:b/>
                <w:bCs/>
                <w:sz w:val="24"/>
                <w:highlight w:val="none"/>
              </w:rPr>
            </w:pPr>
            <w:r>
              <w:rPr>
                <w:rFonts w:hint="eastAsia" w:ascii="宋体" w:hAnsi="宋体" w:cs="宋体"/>
                <w:b/>
                <w:bCs/>
                <w:sz w:val="24"/>
                <w:highlight w:val="none"/>
              </w:rPr>
              <w:t xml:space="preserve">资格审查因素</w:t>
            </w:r>
            <w:r/>
          </w:p>
        </w:tc>
        <w:tc>
          <w:tcPr>
            <w:tcW w:w="4173" w:type="dxa"/>
            <w:vAlign w:val="center"/>
            <w:textDirection w:val="lrTb"/>
            <w:noWrap w:val="false"/>
          </w:tcPr>
          <w:p>
            <w:pPr>
              <w:ind w:firstLine="420"/>
              <w:spacing w:line="300" w:lineRule="auto"/>
              <w:rPr>
                <w:rFonts w:ascii="宋体" w:hAnsi="宋体" w:cs="宋体"/>
                <w:b/>
                <w:bCs/>
                <w:sz w:val="24"/>
                <w:highlight w:val="none"/>
              </w:rPr>
            </w:pPr>
            <w:r>
              <w:rPr>
                <w:rFonts w:hint="eastAsia" w:ascii="宋体" w:hAnsi="宋体" w:cs="宋体"/>
                <w:b/>
                <w:bCs/>
                <w:sz w:val="24"/>
                <w:highlight w:val="none"/>
              </w:rPr>
              <w:t xml:space="preserve">审查标准</w:t>
            </w:r>
            <w:r/>
          </w:p>
        </w:tc>
      </w:tr>
      <w:tr>
        <w:trPr>
          <w:trHeight w:val="288"/>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具有独立承担民事责任的能力</w:t>
            </w:r>
            <w:r/>
          </w:p>
        </w:tc>
        <w:tc>
          <w:tcPr>
            <w:tcW w:w="4173" w:type="dxa"/>
            <w:vAlign w:val="center"/>
            <w:vMerge w:val="restart"/>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符合招标文件第11条“投标文件构成”的要求</w:t>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具有良好的商业信誉和健全的财务会计制度</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具有履行合同所必需的设备和专业技术能力</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有依法缴纳税收和社会保障资金的良好记录</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rHeight w:val="312"/>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无重大违法行为声明</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rHeight w:val="287"/>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法律、行政法规规定的其他条件</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rHeight w:val="90"/>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信用信息</w:t>
            </w:r>
            <w:r/>
          </w:p>
        </w:tc>
        <w:tc>
          <w:tcPr>
            <w:tcW w:w="4173" w:type="dxa"/>
            <w:vAlign w:val="center"/>
            <w:vMerge w:val="continue"/>
            <w:textDirection w:val="lrTb"/>
            <w:noWrap w:val="false"/>
          </w:tcPr>
          <w:p>
            <w:pPr>
              <w:ind w:firstLine="420"/>
              <w:spacing w:line="300" w:lineRule="auto"/>
              <w:rPr>
                <w:rFonts w:ascii="宋体" w:hAnsi="宋体" w:cs="宋体"/>
                <w:sz w:val="24"/>
                <w:highlight w:val="none"/>
              </w:rPr>
            </w:pPr>
            <w:r>
              <w:rPr>
                <w:rFonts w:ascii="宋体" w:hAnsi="宋体" w:cs="宋体"/>
                <w:sz w:val="24"/>
                <w:highlight w:val="none"/>
              </w:rPr>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投标人的关联性要求</w:t>
            </w:r>
            <w:r/>
          </w:p>
        </w:tc>
        <w:tc>
          <w:tcPr>
            <w:tcW w:w="4173"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r>
        <w:trPr>
          <w:trHeight w:val="90"/>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未提供进口产品（不允许采购进口产品时适用）</w:t>
            </w:r>
            <w:r/>
          </w:p>
        </w:tc>
        <w:tc>
          <w:tcPr>
            <w:tcW w:w="4173"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符合联合体规定</w:t>
            </w:r>
            <w:r/>
          </w:p>
        </w:tc>
        <w:tc>
          <w:tcPr>
            <w:tcW w:w="4173"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r>
        <w:trPr/>
        <w:tc>
          <w:tcPr>
            <w:tcW w:w="573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特定资格要求</w:t>
            </w:r>
            <w:r/>
          </w:p>
        </w:tc>
        <w:tc>
          <w:tcPr>
            <w:tcW w:w="4173"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bl>
    <w:p>
      <w:pPr>
        <w:ind w:firstLine="643"/>
        <w:spacing w:before="156" w:after="156" w:line="300" w:lineRule="auto"/>
        <w:rPr>
          <w:b/>
          <w:sz w:val="32"/>
          <w:szCs w:val="32"/>
          <w:highlight w:val="none"/>
        </w:rPr>
        <w:outlineLvl w:val="1"/>
      </w:pPr>
      <w:r>
        <w:rPr>
          <w:rFonts w:hint="eastAsia"/>
          <w:b/>
          <w:sz w:val="32"/>
          <w:szCs w:val="32"/>
          <w:highlight w:val="none"/>
        </w:rPr>
        <w:t xml:space="preserve">二、符合性审查</w:t>
      </w:r>
      <w:r/>
    </w:p>
    <w:p>
      <w:pPr>
        <w:ind w:firstLine="420"/>
        <w:spacing w:line="300" w:lineRule="auto"/>
        <w:rPr>
          <w:rFonts w:ascii="宋体" w:hAnsi="宋体" w:cs="宋体"/>
          <w:sz w:val="24"/>
          <w:highlight w:val="none"/>
        </w:rPr>
      </w:pPr>
      <w:r>
        <w:rPr>
          <w:rFonts w:hint="eastAsia" w:ascii="宋体" w:hAnsi="宋体" w:cs="宋体"/>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00" w:lineRule="auto"/>
        <w:rPr>
          <w:rFonts w:ascii="宋体" w:hAnsi="宋体" w:cs="宋体"/>
          <w:sz w:val="24"/>
          <w:highlight w:val="none"/>
        </w:rPr>
      </w:pPr>
      <w:r>
        <w:rPr>
          <w:rFonts w:hint="eastAsia" w:ascii="宋体" w:hAnsi="宋体" w:cs="宋体"/>
          <w:sz w:val="24"/>
          <w:highlight w:val="none"/>
        </w:rPr>
        <w:t xml:space="preserve">未通过审查的为无效标，不再参与评审。</w:t>
      </w:r>
      <w:r/>
    </w:p>
    <w:tbl>
      <w:tblPr>
        <w:tblStyle w:val="770"/>
        <w:tblW w:w="9917"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337"/>
        <w:gridCol w:w="4580"/>
      </w:tblGrid>
      <w:tr>
        <w:trPr/>
        <w:tc>
          <w:tcPr>
            <w:tcW w:w="5337" w:type="dxa"/>
            <w:vAlign w:val="center"/>
            <w:textDirection w:val="lrTb"/>
            <w:noWrap w:val="false"/>
          </w:tcPr>
          <w:p>
            <w:pPr>
              <w:ind w:firstLine="420"/>
              <w:spacing w:line="300" w:lineRule="auto"/>
              <w:rPr>
                <w:rFonts w:ascii="宋体" w:hAnsi="宋体" w:cs="宋体"/>
                <w:b/>
                <w:bCs/>
                <w:sz w:val="24"/>
                <w:highlight w:val="none"/>
              </w:rPr>
            </w:pPr>
            <w:r>
              <w:rPr>
                <w:rFonts w:hint="eastAsia" w:ascii="宋体" w:hAnsi="宋体" w:cs="宋体"/>
                <w:b/>
                <w:bCs/>
                <w:sz w:val="24"/>
                <w:highlight w:val="none"/>
              </w:rPr>
              <w:t xml:space="preserve">符合性审查因素</w:t>
            </w:r>
            <w:r/>
          </w:p>
        </w:tc>
        <w:tc>
          <w:tcPr>
            <w:tcW w:w="4580" w:type="dxa"/>
            <w:vAlign w:val="center"/>
            <w:textDirection w:val="lrTb"/>
            <w:noWrap w:val="false"/>
          </w:tcPr>
          <w:p>
            <w:pPr>
              <w:ind w:firstLine="420"/>
              <w:spacing w:line="300" w:lineRule="auto"/>
              <w:rPr>
                <w:rFonts w:ascii="宋体" w:hAnsi="宋体" w:cs="宋体"/>
                <w:b/>
                <w:bCs/>
                <w:sz w:val="24"/>
                <w:highlight w:val="none"/>
              </w:rPr>
            </w:pPr>
            <w:r>
              <w:rPr>
                <w:rFonts w:hint="eastAsia" w:ascii="宋体" w:hAnsi="宋体" w:cs="宋体"/>
                <w:b/>
                <w:bCs/>
                <w:sz w:val="24"/>
                <w:highlight w:val="none"/>
              </w:rPr>
              <w:t xml:space="preserve">审查标准</w:t>
            </w:r>
            <w:r/>
          </w:p>
        </w:tc>
      </w:tr>
      <w:tr>
        <w:trPr>
          <w:trHeight w:val="90"/>
        </w:trPr>
        <w:tc>
          <w:tcPr>
            <w:tcW w:w="5337"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投标函</w:t>
            </w:r>
            <w:r/>
          </w:p>
        </w:tc>
        <w:tc>
          <w:tcPr>
            <w:tcW w:w="458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符合招标文件的要求</w:t>
            </w:r>
            <w:r/>
          </w:p>
        </w:tc>
      </w:tr>
      <w:tr>
        <w:trPr>
          <w:trHeight w:val="287"/>
        </w:trPr>
        <w:tc>
          <w:tcPr>
            <w:tcW w:w="5337"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法定代表人身份证明或授权委托书</w:t>
            </w:r>
            <w:r/>
          </w:p>
        </w:tc>
        <w:tc>
          <w:tcPr>
            <w:tcW w:w="458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符合招标文件的要求</w:t>
            </w:r>
            <w:r/>
          </w:p>
        </w:tc>
      </w:tr>
      <w:tr>
        <w:trPr>
          <w:trHeight w:val="287"/>
        </w:trPr>
        <w:tc>
          <w:tcPr>
            <w:tcW w:w="5337"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签署和盖章符合要求</w:t>
            </w:r>
            <w:r/>
          </w:p>
        </w:tc>
        <w:tc>
          <w:tcPr>
            <w:tcW w:w="458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r>
        <w:trPr/>
        <w:tc>
          <w:tcPr>
            <w:tcW w:w="5337"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开标一览表及投标报价 </w:t>
            </w:r>
            <w:r/>
          </w:p>
        </w:tc>
        <w:tc>
          <w:tcPr>
            <w:tcW w:w="458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格式、填写要求符合招标文件规定（报价未超过预算或最高限价）</w:t>
            </w:r>
            <w:r/>
          </w:p>
        </w:tc>
      </w:tr>
      <w:tr>
        <w:trPr/>
        <w:tc>
          <w:tcPr>
            <w:tcW w:w="5337"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投标文件对招标文件的实质性条款的响应性</w:t>
            </w:r>
            <w:r/>
          </w:p>
        </w:tc>
        <w:tc>
          <w:tcPr>
            <w:tcW w:w="4580" w:type="dxa"/>
            <w:vAlign w:val="center"/>
            <w:textDirection w:val="lrTb"/>
            <w:noWrap w:val="false"/>
          </w:tcPr>
          <w:p>
            <w:pPr>
              <w:ind w:firstLine="420"/>
              <w:spacing w:line="300" w:lineRule="auto"/>
              <w:rPr>
                <w:rFonts w:ascii="宋体" w:hAnsi="宋体" w:cs="宋体"/>
                <w:sz w:val="24"/>
                <w:highlight w:val="none"/>
              </w:rPr>
            </w:pPr>
            <w:r>
              <w:rPr>
                <w:rFonts w:hint="eastAsia" w:ascii="宋体" w:hAnsi="宋体" w:cs="宋体"/>
                <w:sz w:val="24"/>
                <w:highlight w:val="none"/>
              </w:rPr>
              <w:t xml:space="preserve">符合招标文件规定</w:t>
            </w:r>
            <w:r/>
          </w:p>
        </w:tc>
      </w:tr>
    </w:tbl>
    <w:p>
      <w:pPr>
        <w:spacing w:line="300" w:lineRule="auto"/>
        <w:rPr>
          <w:rFonts w:ascii="宋体" w:hAnsi="宋体" w:cs="宋体"/>
          <w:b/>
          <w:sz w:val="32"/>
          <w:szCs w:val="32"/>
          <w:highlight w:val="none"/>
        </w:rPr>
        <w:outlineLvl w:val="1"/>
      </w:pPr>
      <w:r/>
      <w:bookmarkStart w:id="76" w:name="_Toc11959"/>
      <w:r>
        <w:rPr>
          <w:rFonts w:hint="eastAsia" w:ascii="宋体" w:hAnsi="宋体" w:cs="宋体"/>
          <w:b/>
          <w:sz w:val="32"/>
          <w:szCs w:val="32"/>
          <w:highlight w:val="none"/>
        </w:rPr>
        <w:t xml:space="preserve">三、评分办法—综合评分法</w:t>
      </w:r>
      <w:bookmarkEnd w:id="76"/>
      <w:r/>
      <w:r/>
    </w:p>
    <w:p>
      <w:pPr>
        <w:ind w:firstLine="480"/>
        <w:jc w:val="left"/>
        <w:spacing w:line="300" w:lineRule="auto"/>
        <w:rPr>
          <w:rFonts w:ascii="宋体" w:hAnsi="宋体" w:cs="宋体"/>
          <w:sz w:val="24"/>
          <w:highlight w:val="none"/>
        </w:rPr>
      </w:pPr>
      <w:r>
        <w:rPr>
          <w:rFonts w:hint="eastAsia" w:ascii="宋体" w:hAnsi="宋体" w:cs="宋体"/>
          <w:sz w:val="24"/>
          <w:highlight w:val="none"/>
        </w:rPr>
        <w:t xml:space="preserve">1、评标办法：本项目采用综合评分办法，评标委员会严格按照招标文件规定的评分标准和要求，对各投标文件进行综合评审，按评审后得分由高到低顺序对投标人进行排序。按综合得分由高到低依次推荐第1名、第2名、第3名为中标候选人。</w:t>
      </w:r>
      <w:r/>
    </w:p>
    <w:p>
      <w:pPr>
        <w:ind w:firstLine="480"/>
        <w:jc w:val="left"/>
        <w:spacing w:line="300" w:lineRule="auto"/>
        <w:rPr>
          <w:rFonts w:ascii="宋体" w:hAnsi="宋体" w:cs="宋体"/>
          <w:sz w:val="24"/>
          <w:highlight w:val="none"/>
        </w:rPr>
      </w:pPr>
      <w:r>
        <w:rPr>
          <w:rFonts w:hint="eastAsia" w:ascii="宋体" w:hAnsi="宋体" w:cs="宋体"/>
          <w:sz w:val="24"/>
          <w:highlight w:val="none"/>
        </w:rPr>
        <w:t xml:space="preserve">评标委员会依据综合打分结果进行排序，综合得分相同的，技术部分得分高者排名优先；技术部分得分相同的，业绩得分高者排名优先。</w:t>
      </w:r>
      <w:r/>
    </w:p>
    <w:p>
      <w:pPr>
        <w:ind w:firstLine="480"/>
        <w:jc w:val="left"/>
        <w:spacing w:line="300" w:lineRule="auto"/>
        <w:rPr>
          <w:rFonts w:ascii="宋体" w:hAnsi="宋体" w:cs="宋体"/>
          <w:sz w:val="24"/>
          <w:highlight w:val="none"/>
        </w:rPr>
      </w:pPr>
      <w:r>
        <w:rPr>
          <w:rFonts w:hint="eastAsia" w:ascii="宋体" w:hAnsi="宋体" w:cs="宋体"/>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00" w:lineRule="auto"/>
        <w:rPr>
          <w:rFonts w:ascii="宋体" w:hAnsi="宋体" w:cs="宋体"/>
          <w:sz w:val="24"/>
          <w:highlight w:val="none"/>
        </w:rPr>
      </w:pPr>
      <w:r>
        <w:rPr>
          <w:rFonts w:hint="eastAsia" w:ascii="宋体" w:hAnsi="宋体" w:cs="宋体"/>
          <w:sz w:val="24"/>
          <w:highlight w:val="none"/>
        </w:rPr>
        <w:t xml:space="preserve">综合评分保留至小数点后两位。 </w:t>
      </w:r>
      <w:r/>
    </w:p>
    <w:p>
      <w:pPr>
        <w:numPr>
          <w:ilvl w:val="0"/>
          <w:numId w:val="10"/>
        </w:numPr>
        <w:ind w:firstLine="480"/>
        <w:jc w:val="left"/>
        <w:spacing w:line="300" w:lineRule="auto"/>
        <w:rPr>
          <w:rFonts w:ascii="宋体" w:hAnsi="宋体" w:cs="宋体"/>
          <w:sz w:val="24"/>
          <w:highlight w:val="none"/>
        </w:rPr>
      </w:pPr>
      <w:r>
        <w:rPr>
          <w:rFonts w:hint="eastAsia" w:ascii="宋体" w:hAnsi="宋体" w:cs="宋体"/>
          <w:sz w:val="24"/>
          <w:highlight w:val="none"/>
        </w:rPr>
        <w:t xml:space="preserve">详细评审。评标委员会按照招标文件规定的评分标准，对各投标文件进行详细评审打分。评标委员会组长对各评审专家的打分情况进行复核无误后汇总，形成评审报告。</w:t>
      </w:r>
      <w:r/>
    </w:p>
    <w:tbl>
      <w:tblPr>
        <w:tblStyle w:val="770"/>
        <w:tblW w:w="51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880"/>
        <w:gridCol w:w="859"/>
        <w:gridCol w:w="7081"/>
        <w:gridCol w:w="725"/>
      </w:tblGrid>
      <w:tr>
        <w:trPr>
          <w:jc w:val="center"/>
          <w:trHeight w:val="499"/>
        </w:trPr>
        <w:tc>
          <w:tcPr>
            <w:tcW w:w="700" w:type="dxa"/>
            <w:vAlign w:val="center"/>
            <w:textDirection w:val="lrTb"/>
            <w:noWrap w:val="false"/>
          </w:tcPr>
          <w:p>
            <w:pPr>
              <w:jc w:val="center"/>
              <w:spacing w:line="240" w:lineRule="exact"/>
              <w:widowControl/>
              <w:rPr>
                <w:rFonts w:ascii="宋体" w:hAnsi="宋体" w:cs="宋体"/>
                <w:b/>
                <w:bCs/>
                <w:szCs w:val="21"/>
                <w:highlight w:val="none"/>
              </w:rPr>
            </w:pPr>
            <w:r>
              <w:rPr>
                <w:rFonts w:hint="eastAsia" w:ascii="宋体" w:hAnsi="宋体" w:cs="宋体"/>
                <w:b/>
                <w:bCs/>
                <w:szCs w:val="21"/>
                <w:highlight w:val="none"/>
              </w:rPr>
              <w:t xml:space="preserve">类别</w:t>
            </w:r>
            <w:r/>
          </w:p>
        </w:tc>
        <w:tc>
          <w:tcPr>
            <w:tcW w:w="880" w:type="dxa"/>
            <w:vAlign w:val="center"/>
            <w:textDirection w:val="lrTb"/>
            <w:noWrap w:val="false"/>
          </w:tcPr>
          <w:p>
            <w:pPr>
              <w:jc w:val="center"/>
              <w:spacing w:line="240" w:lineRule="exact"/>
              <w:widowControl/>
              <w:rPr>
                <w:rFonts w:ascii="宋体" w:hAnsi="宋体" w:cs="宋体"/>
                <w:b/>
                <w:bCs/>
                <w:szCs w:val="21"/>
                <w:highlight w:val="none"/>
              </w:rPr>
            </w:pPr>
            <w:r>
              <w:rPr>
                <w:rFonts w:hint="eastAsia" w:ascii="宋体" w:hAnsi="宋体" w:cs="宋体"/>
                <w:b/>
                <w:bCs/>
                <w:szCs w:val="21"/>
                <w:highlight w:val="none"/>
              </w:rPr>
              <w:t xml:space="preserve">项目</w:t>
            </w:r>
            <w:r/>
          </w:p>
        </w:tc>
        <w:tc>
          <w:tcPr>
            <w:gridSpan w:val="2"/>
            <w:tcW w:w="7940" w:type="dxa"/>
            <w:vAlign w:val="center"/>
            <w:textDirection w:val="lrTb"/>
            <w:noWrap w:val="false"/>
          </w:tcPr>
          <w:p>
            <w:pPr>
              <w:jc w:val="center"/>
              <w:spacing w:line="240" w:lineRule="exact"/>
              <w:widowControl/>
              <w:rPr>
                <w:rFonts w:ascii="宋体" w:hAnsi="宋体" w:cs="宋体"/>
                <w:b/>
                <w:bCs/>
                <w:szCs w:val="21"/>
                <w:highlight w:val="none"/>
              </w:rPr>
            </w:pPr>
            <w:r>
              <w:rPr>
                <w:rFonts w:hint="eastAsia" w:ascii="宋体" w:hAnsi="宋体" w:cs="宋体"/>
                <w:b/>
                <w:bCs/>
                <w:szCs w:val="21"/>
                <w:highlight w:val="none"/>
              </w:rPr>
              <w:t xml:space="preserve">评分依据</w:t>
            </w:r>
            <w:r/>
          </w:p>
        </w:tc>
        <w:tc>
          <w:tcPr>
            <w:tcW w:w="725" w:type="dxa"/>
            <w:vAlign w:val="center"/>
            <w:textDirection w:val="lrTb"/>
            <w:noWrap w:val="false"/>
          </w:tcPr>
          <w:p>
            <w:pPr>
              <w:jc w:val="center"/>
              <w:spacing w:line="240" w:lineRule="exact"/>
              <w:widowControl/>
              <w:rPr>
                <w:rFonts w:ascii="宋体" w:hAnsi="宋体" w:cs="宋体"/>
                <w:b/>
                <w:bCs/>
                <w:szCs w:val="21"/>
                <w:highlight w:val="none"/>
              </w:rPr>
            </w:pPr>
            <w:r>
              <w:rPr>
                <w:rFonts w:hint="eastAsia" w:ascii="宋体" w:hAnsi="宋体" w:cs="宋体"/>
                <w:b/>
                <w:bCs/>
                <w:szCs w:val="21"/>
                <w:highlight w:val="none"/>
              </w:rPr>
              <w:t xml:space="preserve">分值</w:t>
            </w:r>
            <w:r/>
          </w:p>
        </w:tc>
      </w:tr>
      <w:tr>
        <w:trPr>
          <w:jc w:val="center"/>
          <w:trHeight w:val="1168"/>
        </w:trPr>
        <w:tc>
          <w:tcPr>
            <w:tcW w:w="700"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szCs w:val="21"/>
                <w:highlight w:val="none"/>
              </w:rPr>
              <w:t xml:space="preserve">1</w:t>
            </w:r>
            <w:r/>
          </w:p>
        </w:tc>
        <w:tc>
          <w:tcPr>
            <w:tcW w:w="88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价格分</w:t>
            </w:r>
            <w:r/>
          </w:p>
        </w:tc>
        <w:tc>
          <w:tcPr>
            <w:gridSpan w:val="2"/>
            <w:tcW w:w="7940" w:type="dxa"/>
            <w:vAlign w:val="center"/>
            <w:textDirection w:val="lrTb"/>
            <w:noWrap w:val="false"/>
          </w:tcPr>
          <w:p>
            <w:pPr>
              <w:spacing w:line="30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（价格分采用低价优先法计算，即满足招标文件要求且投标价格最低的投标报价为评标基准价，其他供应商的价格分按照下列公式计算：</w:t>
            </w:r>
            <w:r/>
          </w:p>
          <w:p>
            <w:pPr>
              <w:spacing w:line="300" w:lineRule="auto"/>
              <w:widowControl/>
              <w:rPr>
                <w:rFonts w:ascii="宋体" w:hAnsi="宋体" w:cs="宋体"/>
                <w:szCs w:val="21"/>
                <w:highlight w:val="none"/>
              </w:rPr>
            </w:pPr>
            <w:r>
              <w:rPr>
                <w:rFonts w:hint="eastAsia" w:ascii="宋体" w:hAnsi="宋体" w:cs="宋体"/>
                <w:color w:val="000000"/>
                <w:szCs w:val="21"/>
                <w:highlight w:val="none"/>
                <w:lang w:bidi="ar"/>
              </w:rPr>
              <w:t xml:space="preserve">价格分=（评标基准价/投标报价）×30（小数点保留两位））</w:t>
            </w:r>
            <w:r/>
          </w:p>
        </w:tc>
        <w:tc>
          <w:tcPr>
            <w:tcW w:w="725" w:type="dxa"/>
            <w:vAlign w:val="center"/>
            <w:textDirection w:val="lrTb"/>
            <w:noWrap w:val="false"/>
          </w:tcPr>
          <w:p>
            <w:pPr>
              <w:jc w:val="center"/>
              <w:spacing w:line="360" w:lineRule="exact"/>
              <w:widowControl/>
              <w:rPr>
                <w:rFonts w:ascii="宋体" w:hAnsi="宋体" w:cs="宋体"/>
                <w:szCs w:val="21"/>
                <w:highlight w:val="none"/>
              </w:rPr>
            </w:pPr>
            <w:r>
              <w:rPr>
                <w:rFonts w:hint="eastAsia" w:ascii="宋体" w:hAnsi="宋体" w:cs="宋体"/>
                <w:szCs w:val="21"/>
                <w:highlight w:val="none"/>
              </w:rPr>
              <w:t xml:space="preserve">30</w:t>
            </w:r>
            <w:r/>
          </w:p>
        </w:tc>
      </w:tr>
      <w:tr>
        <w:trPr>
          <w:jc w:val="center"/>
          <w:trHeight w:val="687"/>
        </w:trPr>
        <w:tc>
          <w:tcPr>
            <w:tcW w:w="700" w:type="dxa"/>
            <w:vAlign w:val="center"/>
            <w:vMerge w:val="restart"/>
            <w:textDirection w:val="lrTb"/>
            <w:noWrap w:val="false"/>
          </w:tcPr>
          <w:p>
            <w:pPr>
              <w:jc w:val="center"/>
              <w:spacing w:line="240" w:lineRule="exact"/>
              <w:widowControl/>
              <w:rPr>
                <w:rFonts w:ascii="宋体" w:hAnsi="宋体" w:cs="宋体"/>
                <w:szCs w:val="21"/>
                <w:highlight w:val="none"/>
              </w:rPr>
            </w:pPr>
            <w:r>
              <w:rPr>
                <w:rFonts w:hint="eastAsia" w:ascii="宋体" w:hAnsi="宋体" w:cs="宋体"/>
                <w:szCs w:val="21"/>
                <w:highlight w:val="none"/>
              </w:rPr>
              <w:t xml:space="preserve">2</w:t>
            </w:r>
            <w:r/>
          </w:p>
        </w:tc>
        <w:tc>
          <w:tcPr>
            <w:tcW w:w="880" w:type="dxa"/>
            <w:vAlign w:val="center"/>
            <w:vMerge w:val="restart"/>
            <w:textDirection w:val="lrTb"/>
            <w:noWrap w:val="false"/>
          </w:tcPr>
          <w:p>
            <w:pPr>
              <w:jc w:val="center"/>
              <w:spacing w:line="360" w:lineRule="exact"/>
              <w:widowControl/>
              <w:rPr>
                <w:rFonts w:ascii="宋体" w:hAnsi="宋体" w:cs="宋体"/>
                <w:szCs w:val="21"/>
                <w:highlight w:val="none"/>
              </w:rPr>
            </w:pPr>
            <w:r>
              <w:rPr>
                <w:rFonts w:hint="eastAsia" w:ascii="宋体" w:hAnsi="宋体" w:cs="宋体"/>
                <w:szCs w:val="21"/>
                <w:highlight w:val="none"/>
              </w:rPr>
              <w:t xml:space="preserve">商务部分</w:t>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供应商资质</w:t>
            </w:r>
            <w:r/>
          </w:p>
        </w:tc>
        <w:tc>
          <w:tcPr>
            <w:tcW w:w="7081" w:type="dxa"/>
            <w:vAlign w:val="center"/>
            <w:textDirection w:val="lrTb"/>
            <w:noWrap w:val="false"/>
          </w:tcPr>
          <w:p>
            <w:pPr>
              <w:spacing w:line="30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1、投标人具备信息技术服务认证证书的得2分；</w:t>
            </w:r>
            <w:r/>
          </w:p>
          <w:p>
            <w:pPr>
              <w:jc w:val="left"/>
              <w:spacing w:line="360" w:lineRule="auto"/>
              <w:widowControl/>
              <w:rPr>
                <w:rFonts w:ascii="宋体" w:hAnsi="宋体" w:cs="宋体"/>
                <w:color w:val="000000"/>
                <w:szCs w:val="21"/>
                <w:highlight w:val="none"/>
                <w:lang w:bidi="ar"/>
              </w:rPr>
            </w:pPr>
            <w:r>
              <w:rPr>
                <w:rFonts w:hint="eastAsia" w:ascii="宋体" w:hAnsi="宋体" w:cs="宋体"/>
                <w:szCs w:val="21"/>
                <w:highlight w:val="none"/>
              </w:rPr>
              <w:t xml:space="preserve">2、投标人具备</w:t>
            </w:r>
            <w:r>
              <w:rPr>
                <w:rFonts w:ascii="宋体" w:hAnsi="宋体" w:cs="宋体"/>
                <w:szCs w:val="21"/>
                <w:highlight w:val="none"/>
              </w:rPr>
              <w:t xml:space="preserve">信息安全管理体系认证</w:t>
            </w:r>
            <w:r>
              <w:rPr>
                <w:rFonts w:hint="eastAsia" w:ascii="宋体" w:hAnsi="宋体" w:cs="宋体"/>
                <w:szCs w:val="21"/>
                <w:highlight w:val="none"/>
              </w:rPr>
              <w:t xml:space="preserve">证书的得2分；</w:t>
            </w:r>
            <w:r/>
          </w:p>
        </w:tc>
        <w:tc>
          <w:tcPr>
            <w:tcW w:w="725"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4</w:t>
            </w:r>
            <w:r/>
          </w:p>
        </w:tc>
      </w:tr>
      <w:tr>
        <w:trPr>
          <w:jc w:val="center"/>
          <w:trHeight w:val="608"/>
        </w:trPr>
        <w:tc>
          <w:tcPr>
            <w:tcW w:w="700" w:type="dxa"/>
            <w:vAlign w:val="center"/>
            <w:vMerge w:val="continue"/>
            <w:textDirection w:val="lrTb"/>
            <w:noWrap w:val="false"/>
          </w:tcPr>
          <w:p>
            <w:pPr>
              <w:jc w:val="center"/>
              <w:spacing w:line="24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业绩</w:t>
            </w:r>
            <w:r/>
          </w:p>
        </w:tc>
        <w:tc>
          <w:tcPr>
            <w:tcW w:w="7081" w:type="dxa"/>
            <w:vAlign w:val="center"/>
            <w:textDirection w:val="lrTb"/>
            <w:noWrap w:val="false"/>
          </w:tcPr>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投标人提供2023年1月1日以来（以合同签订时间为准）类似项目业绩，提供1个得1分，本项最多得2分。</w:t>
            </w:r>
            <w:r/>
          </w:p>
          <w:p>
            <w:pPr>
              <w:jc w:val="left"/>
              <w:spacing w:line="360" w:lineRule="exact"/>
              <w:widowControl/>
              <w:rPr>
                <w:rFonts w:ascii="宋体" w:hAnsi="宋体" w:cs="宋体"/>
                <w:color w:val="000000"/>
                <w:szCs w:val="21"/>
                <w:highlight w:val="none"/>
              </w:rPr>
            </w:pPr>
            <w:r>
              <w:rPr>
                <w:rFonts w:hint="eastAsia" w:ascii="宋体" w:hAnsi="宋体" w:cs="宋体"/>
                <w:szCs w:val="21"/>
                <w:highlight w:val="none"/>
              </w:rPr>
              <w:t xml:space="preserve">注：1.须提供合同及合同项下任一结算发票扫描件以及对应发票在国家税务总局全国增值税发票查验平台（https://inv-veri.chinatax.gov.cn/）查验结果截图；2.合同必须能够体现签订或签约时间，合同主要内容、标的及发票信息清晰可见，否则视为未提供，合同原件备查。</w:t>
            </w:r>
            <w:r/>
          </w:p>
        </w:tc>
        <w:tc>
          <w:tcPr>
            <w:tcW w:w="725"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2</w:t>
            </w:r>
            <w:r/>
          </w:p>
        </w:tc>
      </w:tr>
      <w:tr>
        <w:trPr>
          <w:jc w:val="center"/>
          <w:trHeight w:val="544"/>
        </w:trPr>
        <w:tc>
          <w:tcPr>
            <w:tcW w:w="700" w:type="dxa"/>
            <w:vAlign w:val="center"/>
            <w:vMerge w:val="continue"/>
            <w:textDirection w:val="lrTb"/>
            <w:noWrap w:val="false"/>
          </w:tcPr>
          <w:p>
            <w:pPr>
              <w:jc w:val="center"/>
              <w:spacing w:line="24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人员配置</w:t>
            </w:r>
            <w:r/>
          </w:p>
        </w:tc>
        <w:tc>
          <w:tcPr>
            <w:tcW w:w="7081" w:type="dxa"/>
            <w:vAlign w:val="center"/>
            <w:textDirection w:val="lrTb"/>
            <w:noWrap w:val="false"/>
          </w:tcPr>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1、拟参与本项目的项目经理具有：信息系统项目管理师证书，ITSS-IT服务工程师（高级）证书每提供一项得0.5分，本项最高得1分。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2、拟参与本项目的技术负责人具有：软件设计师，IT服务工程师，每提供一项得0.5分，本项最高得1分。</w:t>
            </w:r>
            <w:r/>
          </w:p>
          <w:p>
            <w:pPr>
              <w:jc w:val="left"/>
              <w:spacing w:line="360" w:lineRule="exact"/>
              <w:widowControl/>
              <w:rPr>
                <w:rFonts w:ascii="宋体" w:hAnsi="宋体" w:cs="宋体"/>
                <w:szCs w:val="21"/>
                <w:highlight w:val="none"/>
              </w:rPr>
            </w:pPr>
            <w:r>
              <w:rPr>
                <w:rFonts w:hint="eastAsia" w:ascii="宋体" w:hAnsi="宋体" w:cs="宋体"/>
                <w:szCs w:val="21"/>
                <w:highlight w:val="none"/>
              </w:rPr>
              <w:t xml:space="preserve">3、拟参与本项目的团队成员具有：信息系统项目管理师证书，软件设计师证书，高级工程师证书，网络工程师证书，每提供一项得0.5分，本项最高得2分。一人持多证不重复计分。</w:t>
            </w:r>
            <w:r>
              <w:rPr>
                <w:rFonts w:hint="eastAsia" w:ascii="宋体" w:hAnsi="宋体" w:cs="宋体"/>
                <w:szCs w:val="21"/>
                <w:highlight w:val="none"/>
              </w:rPr>
              <w:br/>
            </w:r>
            <w:r>
              <w:rPr>
                <w:rFonts w:hint="eastAsia" w:ascii="宋体" w:hAnsi="宋体" w:cs="宋体"/>
                <w:szCs w:val="21"/>
                <w:highlight w:val="none"/>
              </w:rPr>
              <w:t xml:space="preserve">（提供上述人员证书复印件及投标人为其缴纳的 2025 年7月以来任意一个月的社保证明，未提供不得分）</w:t>
            </w:r>
            <w:r/>
          </w:p>
        </w:tc>
        <w:tc>
          <w:tcPr>
            <w:tcW w:w="725" w:type="dxa"/>
            <w:vAlign w:val="center"/>
            <w:textDirection w:val="lrTb"/>
            <w:noWrap w:val="false"/>
          </w:tcPr>
          <w:p>
            <w:pPr>
              <w:pStyle w:val="1429"/>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4</w:t>
            </w:r>
            <w:r/>
          </w:p>
        </w:tc>
      </w:tr>
      <w:tr>
        <w:trPr>
          <w:jc w:val="center"/>
          <w:trHeight w:val="544"/>
        </w:trPr>
        <w:tc>
          <w:tcPr>
            <w:tcW w:w="700" w:type="dxa"/>
            <w:vAlign w:val="center"/>
            <w:vMerge w:val="continue"/>
            <w:textDirection w:val="lrTb"/>
            <w:noWrap w:val="false"/>
          </w:tcPr>
          <w:p>
            <w:pPr>
              <w:jc w:val="center"/>
              <w:spacing w:line="24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设备保修期</w:t>
            </w:r>
            <w:r/>
          </w:p>
        </w:tc>
        <w:tc>
          <w:tcPr>
            <w:tcW w:w="7081" w:type="dxa"/>
            <w:vAlign w:val="center"/>
            <w:textDirection w:val="lrTb"/>
            <w:noWrap w:val="false"/>
          </w:tcPr>
          <w:p>
            <w:pPr>
              <w:jc w:val="left"/>
              <w:spacing w:line="360" w:lineRule="exact"/>
              <w:widowControl/>
              <w:rPr>
                <w:rFonts w:hint="eastAsia" w:ascii="宋体" w:hAnsi="宋体" w:cs="宋体"/>
                <w:color w:val="auto"/>
                <w:szCs w:val="21"/>
                <w:highlight w:val="none"/>
              </w:rPr>
            </w:pPr>
            <w:r>
              <w:rPr>
                <w:rFonts w:hint="eastAsia" w:eastAsia="宋体"/>
                <w:color w:val="auto"/>
                <w:highlight w:val="none"/>
                <w:lang w:val="en-US" w:eastAsia="zh-CN"/>
              </w:rPr>
              <w:t xml:space="preserve">投标人</w:t>
            </w:r>
            <w:r>
              <w:rPr>
                <w:rFonts w:hint="default" w:eastAsia="宋体"/>
                <w:color w:val="auto"/>
                <w:highlight w:val="none"/>
                <w:lang w:val="en-US" w:eastAsia="zh-CN"/>
              </w:rPr>
              <w:t xml:space="preserve">承诺的免费</w:t>
            </w:r>
            <w:r>
              <w:rPr>
                <w:rFonts w:hint="eastAsia" w:eastAsia="宋体"/>
                <w:color w:val="auto"/>
                <w:highlight w:val="none"/>
                <w:lang w:val="en-US" w:eastAsia="zh-CN"/>
              </w:rPr>
              <w:t xml:space="preserve">保修</w:t>
            </w:r>
            <w:r>
              <w:rPr>
                <w:rFonts w:hint="default" w:eastAsia="宋体"/>
                <w:color w:val="auto"/>
                <w:highlight w:val="none"/>
                <w:lang w:val="en-US" w:eastAsia="zh-CN"/>
              </w:rPr>
              <w:t xml:space="preserve">期超出招标文件基础</w:t>
            </w:r>
            <w:r>
              <w:rPr>
                <w:rFonts w:hint="eastAsia" w:eastAsia="宋体"/>
                <w:color w:val="auto"/>
                <w:highlight w:val="none"/>
                <w:lang w:val="en-US" w:eastAsia="zh-CN"/>
              </w:rPr>
              <w:t xml:space="preserve">（2年）</w:t>
            </w:r>
            <w:r>
              <w:rPr>
                <w:rFonts w:hint="default" w:eastAsia="宋体"/>
                <w:color w:val="auto"/>
                <w:highlight w:val="none"/>
                <w:lang w:val="en-US" w:eastAsia="zh-CN"/>
              </w:rPr>
              <w:t xml:space="preserve">要求的部分，每延长一年可加</w:t>
            </w:r>
            <w:r>
              <w:rPr>
                <w:rFonts w:hint="eastAsia" w:eastAsia="宋体"/>
                <w:color w:val="auto"/>
                <w:highlight w:val="none"/>
                <w:lang w:val="en-US" w:eastAsia="zh-CN"/>
              </w:rPr>
              <w:t xml:space="preserve">1</w:t>
            </w:r>
            <w:r>
              <w:rPr>
                <w:rFonts w:hint="default" w:eastAsia="宋体"/>
                <w:color w:val="auto"/>
                <w:highlight w:val="none"/>
                <w:lang w:val="en-US" w:eastAsia="zh-CN"/>
              </w:rPr>
              <w:t xml:space="preserve">分，最高加</w:t>
            </w:r>
            <w:r>
              <w:rPr>
                <w:rFonts w:hint="eastAsia" w:eastAsia="宋体"/>
                <w:color w:val="auto"/>
                <w:highlight w:val="none"/>
                <w:lang w:val="en-US" w:eastAsia="zh-CN"/>
              </w:rPr>
              <w:t xml:space="preserve">3</w:t>
            </w:r>
            <w:r>
              <w:rPr>
                <w:rFonts w:hint="default" w:eastAsia="宋体"/>
                <w:color w:val="auto"/>
                <w:highlight w:val="none"/>
                <w:lang w:val="en-US" w:eastAsia="zh-CN"/>
              </w:rPr>
              <w:t xml:space="preserve">分</w:t>
            </w:r>
            <w:r>
              <w:rPr>
                <w:rFonts w:hint="eastAsia" w:eastAsia="宋体"/>
                <w:color w:val="auto"/>
                <w:highlight w:val="none"/>
                <w:lang w:val="en-US" w:eastAsia="zh-CN"/>
              </w:rPr>
              <w:t xml:space="preserve">，需提供</w:t>
            </w:r>
            <w:r>
              <w:rPr>
                <w:rFonts w:hint="default" w:eastAsia="宋体"/>
                <w:color w:val="auto"/>
                <w:highlight w:val="none"/>
                <w:lang w:val="en-US" w:eastAsia="zh-CN"/>
              </w:rPr>
              <w:t xml:space="preserve">免费</w:t>
            </w:r>
            <w:r>
              <w:rPr>
                <w:rFonts w:hint="eastAsia" w:eastAsia="宋体"/>
                <w:color w:val="auto"/>
                <w:highlight w:val="none"/>
                <w:lang w:val="en-US" w:eastAsia="zh-CN"/>
              </w:rPr>
              <w:t xml:space="preserve">保修</w:t>
            </w:r>
            <w:r>
              <w:rPr>
                <w:rFonts w:hint="default" w:eastAsia="宋体"/>
                <w:color w:val="auto"/>
                <w:highlight w:val="none"/>
                <w:lang w:val="en-US" w:eastAsia="zh-CN"/>
              </w:rPr>
              <w:t xml:space="preserve">期延长</w:t>
            </w:r>
            <w:r>
              <w:rPr>
                <w:rFonts w:hint="eastAsia" w:eastAsia="宋体"/>
                <w:color w:val="auto"/>
                <w:highlight w:val="none"/>
                <w:lang w:val="en-US" w:eastAsia="zh-CN"/>
              </w:rPr>
              <w:t xml:space="preserve">承诺函</w:t>
            </w:r>
            <w:r>
              <w:rPr>
                <w:rFonts w:hint="eastAsia"/>
                <w:color w:val="auto"/>
                <w:highlight w:val="none"/>
                <w:lang w:val="en-US" w:eastAsia="zh-CN"/>
              </w:rPr>
              <w:t xml:space="preserve">加盖公章</w:t>
            </w:r>
            <w:r>
              <w:rPr>
                <w:rFonts w:hint="default" w:eastAsia="宋体"/>
                <w:color w:val="auto"/>
                <w:highlight w:val="none"/>
                <w:lang w:val="en-US" w:eastAsia="zh-CN"/>
              </w:rPr>
              <w:t xml:space="preserve">。</w:t>
            </w:r>
            <w:r/>
          </w:p>
        </w:tc>
        <w:tc>
          <w:tcPr>
            <w:tcW w:w="725" w:type="dxa"/>
            <w:vAlign w:val="center"/>
            <w:textDirection w:val="lrTb"/>
            <w:noWrap w:val="false"/>
          </w:tcPr>
          <w:p>
            <w:pPr>
              <w:pStyle w:val="1429"/>
              <w:ind w:firstLine="0"/>
              <w:jc w:val="center"/>
              <w:spacing w:line="360" w:lineRule="exact"/>
              <w:rPr>
                <w:rFonts w:hint="eastAsia" w:ascii="宋体" w:hAnsi="宋体" w:eastAsia="微软雅黑"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jc w:val="center"/>
          <w:trHeight w:val="544"/>
        </w:trPr>
        <w:tc>
          <w:tcPr>
            <w:tcW w:w="700" w:type="dxa"/>
            <w:vAlign w:val="center"/>
            <w:vMerge w:val="restart"/>
            <w:textDirection w:val="lrTb"/>
            <w:noWrap w:val="false"/>
          </w:tcPr>
          <w:p>
            <w:pPr>
              <w:jc w:val="center"/>
              <w:spacing w:line="240" w:lineRule="exact"/>
              <w:widowControl/>
              <w:rPr>
                <w:rFonts w:ascii="宋体" w:hAnsi="宋体" w:cs="宋体"/>
                <w:szCs w:val="21"/>
                <w:highlight w:val="none"/>
              </w:rPr>
            </w:pPr>
            <w:r>
              <w:rPr>
                <w:rFonts w:hint="eastAsia" w:ascii="宋体" w:hAnsi="宋体" w:cs="宋体"/>
                <w:szCs w:val="21"/>
                <w:highlight w:val="none"/>
              </w:rPr>
              <w:t xml:space="preserve">3</w:t>
            </w:r>
            <w:r/>
          </w:p>
        </w:tc>
        <w:tc>
          <w:tcPr>
            <w:tcW w:w="880" w:type="dxa"/>
            <w:vAlign w:val="center"/>
            <w:vMerge w:val="restart"/>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技术部分</w:t>
            </w:r>
            <w:r/>
          </w:p>
        </w:tc>
        <w:tc>
          <w:tcPr>
            <w:tcW w:w="859"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投标人技术响应情况</w:t>
            </w:r>
            <w:r/>
          </w:p>
        </w:tc>
        <w:tc>
          <w:tcPr>
            <w:tcW w:w="7081"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针对招标文件项目技术标准和要求响应结果打分：全部满足招标要求的得满</w:t>
            </w:r>
            <w:r>
              <w:rPr>
                <w:rFonts w:hint="eastAsia" w:ascii="宋体" w:hAnsi="宋体" w:cs="宋体"/>
                <w:color w:val="auto"/>
                <w:szCs w:val="21"/>
                <w:highlight w:val="none"/>
                <w:lang w:val="en-US" w:eastAsia="zh-CN"/>
              </w:rPr>
              <w:t xml:space="preserve">37</w:t>
            </w:r>
            <w:r>
              <w:rPr>
                <w:rFonts w:hint="eastAsia" w:ascii="宋体" w:hAnsi="宋体" w:cs="宋体"/>
                <w:color w:val="auto"/>
                <w:szCs w:val="21"/>
                <w:highlight w:val="none"/>
              </w:rPr>
              <w:t xml:space="preserve">分；招标文件中标注“▲”的内容为重要参数，每有一项负偏离扣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分，如招标文件“▲”项要求提供相应证明材料的，</w:t>
            </w:r>
            <w:r>
              <w:rPr>
                <w:rFonts w:hint="eastAsia" w:ascii="宋体" w:hAnsi="宋体" w:cs="宋体"/>
                <w:b/>
                <w:bCs/>
                <w:color w:val="auto"/>
                <w:szCs w:val="21"/>
                <w:highlight w:val="none"/>
              </w:rPr>
              <w:t xml:space="preserve">出具的证明材料须加盖投标单位公章，未提供视为负偏离。</w:t>
            </w:r>
            <w:r>
              <w:rPr>
                <w:rFonts w:hint="eastAsia" w:ascii="宋体" w:hAnsi="宋体" w:cs="宋体"/>
                <w:color w:val="auto"/>
                <w:szCs w:val="21"/>
                <w:highlight w:val="none"/>
              </w:rPr>
              <w:t xml:space="preserve">其他非重要参数负偏离的，则每项扣0.2分，扣完为止。</w:t>
            </w:r>
            <w:r/>
          </w:p>
          <w:p>
            <w:pPr>
              <w:jc w:val="left"/>
              <w:spacing w:line="360" w:lineRule="exact"/>
              <w:widowControl/>
              <w:rPr>
                <w:rFonts w:cs="宋体"/>
                <w:color w:val="auto"/>
                <w:szCs w:val="21"/>
                <w:highlight w:val="none"/>
              </w:rPr>
            </w:pPr>
            <w:r>
              <w:rPr>
                <w:rFonts w:hint="eastAsia" w:ascii="宋体" w:hAnsi="宋体" w:cs="宋体"/>
                <w:color w:val="auto"/>
                <w:szCs w:val="21"/>
                <w:highlight w:val="none"/>
              </w:rPr>
              <w:t xml:space="preserve">注：未按要求提供证明材料或缺项漏项视为负偏离。（投标人需在“偏离表”中如实逐项填列所投产品的参数及服务承诺，如招标文件要求提供相应证明材料的，应在偏离表中注明证明材料所在投标文件的页码位置，否则评标委员会有权做负偏离处理）</w:t>
            </w:r>
            <w:r/>
          </w:p>
        </w:tc>
        <w:tc>
          <w:tcPr>
            <w:tcW w:w="725" w:type="dxa"/>
            <w:vAlign w:val="center"/>
            <w:textDirection w:val="lrTb"/>
            <w:noWrap w:val="false"/>
          </w:tcPr>
          <w:p>
            <w:pPr>
              <w:pStyle w:val="1429"/>
              <w:ind w:firstLine="0"/>
              <w:jc w:val="center"/>
              <w:spacing w:line="360" w:lineRule="exact"/>
              <w:rPr>
                <w:rFonts w:hint="default" w:ascii="宋体" w:hAnsi="宋体" w:eastAsia="微软雅黑" w:cs="宋体"/>
                <w:color w:val="auto"/>
                <w:szCs w:val="21"/>
                <w:highlight w:val="none"/>
                <w:lang w:val="en-US" w:eastAsia="zh-CN"/>
              </w:rPr>
            </w:pPr>
            <w:r>
              <w:rPr>
                <w:rFonts w:hint="eastAsia" w:ascii="宋体" w:hAnsi="宋体" w:cs="宋体"/>
                <w:color w:val="auto"/>
                <w:szCs w:val="21"/>
                <w:highlight w:val="none"/>
                <w:lang w:val="en-US" w:eastAsia="zh-CN"/>
              </w:rPr>
              <w:t xml:space="preserve">37</w:t>
            </w:r>
            <w:r/>
          </w:p>
        </w:tc>
      </w:tr>
      <w:tr>
        <w:trPr>
          <w:jc w:val="center"/>
          <w:trHeight w:val="1022"/>
        </w:trPr>
        <w:tc>
          <w:tcPr>
            <w:tcW w:w="70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 w:val="22"/>
                <w:highlight w:val="none"/>
                <w:lang w:bidi="ar"/>
              </w:rPr>
              <w:t xml:space="preserve">项目认识方案</w:t>
            </w:r>
            <w:r/>
          </w:p>
        </w:tc>
        <w:tc>
          <w:tcPr>
            <w:tcW w:w="7081" w:type="dxa"/>
            <w:vAlign w:val="center"/>
            <w:textDirection w:val="lrTb"/>
            <w:noWrap w:val="false"/>
          </w:tcPr>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rPr>
              <w:t xml:space="preserve">根据投标人提供的针对本项目的项目认识方案进行综合评分，包括</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项目背景的认识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现状和存在问题认识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项目建设的切入点和路径合理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以上每项内容请逐条阐述，每项1分，共3分。</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（1）上述每项内容完整全面、认识充分、完全符合采购需求的，得1分；</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（2）上述每项内容基本完整、认识较充分、基本符合采购需求的，得0.5分;</w:t>
            </w:r>
            <w:r/>
          </w:p>
          <w:p>
            <w:pPr>
              <w:jc w:val="left"/>
              <w:spacing w:line="360" w:lineRule="exact"/>
              <w:widowControl/>
              <w:rPr>
                <w:rFonts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（3）上述每项内容不完整、不符合采购需求或未提供的,不得分。</w:t>
            </w:r>
            <w:r/>
          </w:p>
        </w:tc>
        <w:tc>
          <w:tcPr>
            <w:tcW w:w="725" w:type="dxa"/>
            <w:vAlign w:val="center"/>
            <w:textDirection w:val="lrTb"/>
            <w:noWrap w:val="false"/>
          </w:tcPr>
          <w:p>
            <w:pPr>
              <w:pStyle w:val="1429"/>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3</w:t>
            </w:r>
            <w:r/>
          </w:p>
        </w:tc>
      </w:tr>
      <w:tr>
        <w:trPr>
          <w:jc w:val="center"/>
          <w:trHeight w:val="544"/>
        </w:trPr>
        <w:tc>
          <w:tcPr>
            <w:tcW w:w="70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项目建设方案</w:t>
            </w:r>
            <w:r/>
          </w:p>
        </w:tc>
        <w:tc>
          <w:tcPr>
            <w:tcW w:w="7081" w:type="dxa"/>
            <w:vAlign w:val="center"/>
            <w:textDirection w:val="lrTb"/>
            <w:noWrap w:val="false"/>
          </w:tcPr>
          <w:p>
            <w:pPr>
              <w:jc w:val="left"/>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根据投标人提供针对本项目的项目建设方案进行综合评分，包括</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进度计划方案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项目管理方案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项目风险评估及控制方案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以上每项建设内容请逐条阐述，每项1分，共3分。</w:t>
            </w:r>
            <w:r/>
          </w:p>
          <w:p>
            <w:pPr>
              <w:numPr>
                <w:ilvl w:val="0"/>
                <w:numId w:val="11"/>
              </w:numPr>
              <w:jc w:val="left"/>
              <w:spacing w:line="36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上述每项建设内容描述详细、具体、明确，对关键内容表述清晰完整，实施路径清晰可行，可操作性强，</w:t>
            </w:r>
            <w:r>
              <w:rPr>
                <w:rFonts w:hint="eastAsia" w:ascii="宋体" w:hAnsi="宋体" w:cs="宋体"/>
                <w:color w:val="auto"/>
                <w:szCs w:val="21"/>
                <w:highlight w:val="none"/>
                <w:lang w:val="en-US" w:eastAsia="zh-CN"/>
              </w:rPr>
              <w:t xml:space="preserve">能够充分保障</w:t>
            </w:r>
            <w:r>
              <w:rPr>
                <w:rFonts w:hint="eastAsia" w:ascii="宋体" w:hAnsi="宋体" w:eastAsia="宋体" w:cs="宋体"/>
                <w:color w:val="auto"/>
                <w:szCs w:val="21"/>
                <w:highlight w:val="none"/>
                <w:lang w:val="en-US" w:eastAsia="zh-CN"/>
              </w:rPr>
              <w:t xml:space="preserve">项目实施的，得1分；</w:t>
            </w:r>
            <w:r/>
          </w:p>
          <w:p>
            <w:pPr>
              <w:numPr>
                <w:ilvl w:val="0"/>
                <w:numId w:val="11"/>
              </w:numPr>
              <w:jc w:val="left"/>
              <w:spacing w:line="36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上述每项建设内容基本完整、基本合理、具备一定可行性的，得0.5分;</w:t>
            </w:r>
            <w:r/>
          </w:p>
          <w:p>
            <w:pPr>
              <w:jc w:val="left"/>
              <w:spacing w:line="360" w:lineRule="exact"/>
              <w:widowControl/>
              <w:rPr>
                <w:rFonts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（3）上述每项建设内容不合理、不可行或未提供的，不得分。</w:t>
            </w:r>
            <w:r/>
          </w:p>
        </w:tc>
        <w:tc>
          <w:tcPr>
            <w:tcW w:w="725" w:type="dxa"/>
            <w:vAlign w:val="center"/>
            <w:textDirection w:val="lrTb"/>
            <w:noWrap w:val="false"/>
          </w:tcPr>
          <w:p>
            <w:pPr>
              <w:pStyle w:val="1429"/>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3</w:t>
            </w:r>
            <w:r/>
          </w:p>
        </w:tc>
      </w:tr>
      <w:tr>
        <w:trPr>
          <w:jc w:val="center"/>
          <w:trHeight w:val="544"/>
        </w:trPr>
        <w:tc>
          <w:tcPr>
            <w:tcW w:w="70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实施验收方案</w:t>
            </w:r>
            <w:r/>
          </w:p>
        </w:tc>
        <w:tc>
          <w:tcPr>
            <w:tcW w:w="7081" w:type="dxa"/>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根据投标人提供的针对本项目的项目验收方案进行综合评分，包括</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项目验收方法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项目验收的前置条件</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验收步骤</w:t>
            </w:r>
            <w:r>
              <w:rPr>
                <w:rFonts w:hint="eastAsia" w:ascii="宋体" w:hAnsi="宋体" w:cs="宋体"/>
                <w:color w:val="auto"/>
                <w:szCs w:val="21"/>
                <w:highlight w:val="none"/>
                <w:lang w:val="en-US" w:eastAsia="zh-CN"/>
              </w:rPr>
              <w:t xml:space="preserve">和</w:t>
            </w:r>
            <w:r>
              <w:rPr>
                <w:rFonts w:hint="eastAsia" w:ascii="宋体" w:hAnsi="宋体" w:cs="宋体"/>
                <w:color w:val="auto"/>
                <w:szCs w:val="21"/>
                <w:highlight w:val="none"/>
              </w:rPr>
              <w:t xml:space="preserve">依据</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以上每项验收内容请逐条阐述，每项1分，共3分。</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上述每项验收内容详细、具体、明确，对关键内容表述清晰完整，实施路径清晰可行，可操作性强，能够充分保障项目实施的，得1分； </w:t>
            </w:r>
            <w:r>
              <w:rPr>
                <w:rFonts w:hint="eastAsia" w:ascii="宋体" w:hAnsi="宋体" w:cs="宋体"/>
                <w:color w:val="auto"/>
                <w:szCs w:val="21"/>
                <w:highlight w:val="none"/>
              </w:rPr>
              <w:t xml:space="preserve"> </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上述每项</w:t>
            </w:r>
            <w:r>
              <w:rPr>
                <w:rFonts w:hint="eastAsia" w:ascii="宋体" w:hAnsi="宋体" w:cs="宋体"/>
                <w:color w:val="auto"/>
                <w:szCs w:val="21"/>
                <w:highlight w:val="none"/>
              </w:rPr>
              <w:t xml:space="preserve">验收内容</w:t>
            </w:r>
            <w:r>
              <w:rPr>
                <w:rFonts w:hint="eastAsia" w:ascii="宋体" w:hAnsi="宋体" w:eastAsia="宋体" w:cs="宋体"/>
                <w:color w:val="auto"/>
                <w:szCs w:val="21"/>
                <w:highlight w:val="none"/>
                <w:lang w:val="en-US" w:eastAsia="zh-CN"/>
              </w:rPr>
              <w:t xml:space="preserve">基本完整、基本合理、具备一定可行性的</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述每项</w:t>
            </w:r>
            <w:r>
              <w:rPr>
                <w:rFonts w:hint="eastAsia" w:ascii="宋体" w:hAnsi="宋体" w:cs="宋体"/>
                <w:color w:val="auto"/>
                <w:szCs w:val="21"/>
                <w:highlight w:val="none"/>
              </w:rPr>
              <w:t xml:space="preserve">验收</w:t>
            </w:r>
            <w:r>
              <w:rPr>
                <w:rFonts w:hint="eastAsia" w:ascii="宋体" w:hAnsi="宋体" w:eastAsia="宋体" w:cs="宋体"/>
                <w:color w:val="auto"/>
                <w:szCs w:val="21"/>
                <w:highlight w:val="none"/>
                <w:lang w:val="en-US" w:eastAsia="zh-CN"/>
              </w:rPr>
              <w:t xml:space="preserve">内容不合理、不可行或未提供的，不得分。</w:t>
            </w:r>
            <w:r/>
          </w:p>
        </w:tc>
        <w:tc>
          <w:tcPr>
            <w:tcW w:w="725" w:type="dxa"/>
            <w:vAlign w:val="center"/>
            <w:textDirection w:val="lrTb"/>
            <w:noWrap w:val="false"/>
          </w:tcPr>
          <w:p>
            <w:pPr>
              <w:pStyle w:val="1429"/>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3</w:t>
            </w:r>
            <w:r/>
          </w:p>
        </w:tc>
      </w:tr>
      <w:tr>
        <w:trPr>
          <w:jc w:val="center"/>
          <w:trHeight w:val="544"/>
        </w:trPr>
        <w:tc>
          <w:tcPr>
            <w:tcW w:w="70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培训售后服务方案</w:t>
            </w:r>
            <w:r/>
          </w:p>
        </w:tc>
        <w:tc>
          <w:tcPr>
            <w:tcW w:w="7081"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根据投标人提供</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针对本项目的售后服务方案进行综合评分，包括</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售后服务响应机制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售后应急预案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培训方案：</w:t>
            </w:r>
            <w:r>
              <w:rPr>
                <w:rFonts w:hint="eastAsia" w:ascii="宋体" w:hAnsi="宋体" w:eastAsia="宋体" w:cs="宋体"/>
                <w:color w:val="auto"/>
                <w:szCs w:val="21"/>
                <w:highlight w:val="none"/>
                <w:lang w:val="en-US" w:eastAsia="zh-CN"/>
              </w:rPr>
              <w:t xml:space="preserve">以上每项</w:t>
            </w:r>
            <w:r>
              <w:rPr>
                <w:rFonts w:hint="eastAsia" w:ascii="宋体" w:hAnsi="宋体" w:cs="宋体"/>
                <w:color w:val="auto"/>
                <w:szCs w:val="21"/>
                <w:highlight w:val="none"/>
                <w:lang w:val="en-US" w:eastAsia="zh-CN"/>
              </w:rPr>
              <w:t xml:space="preserve">售后服务</w:t>
            </w:r>
            <w:r>
              <w:rPr>
                <w:rFonts w:hint="eastAsia" w:ascii="宋体" w:hAnsi="宋体" w:eastAsia="宋体" w:cs="宋体"/>
                <w:color w:val="auto"/>
                <w:szCs w:val="21"/>
                <w:highlight w:val="none"/>
                <w:lang w:val="en-US" w:eastAsia="zh-CN"/>
              </w:rPr>
              <w:t xml:space="preserve">内容请逐条阐述，每项1分，共3分。</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上述每项内容详细、具体、明确，响应机制完善，充分保障采购人售后服务要求的</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  </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上述每项</w:t>
            </w:r>
            <w:r>
              <w:rPr>
                <w:rFonts w:hint="eastAsia" w:ascii="宋体" w:hAnsi="宋体" w:cs="宋体"/>
                <w:color w:val="auto"/>
                <w:szCs w:val="21"/>
                <w:highlight w:val="none"/>
              </w:rPr>
              <w:t xml:space="preserve">内容</w:t>
            </w:r>
            <w:r>
              <w:rPr>
                <w:rFonts w:hint="eastAsia" w:ascii="宋体" w:hAnsi="宋体" w:eastAsia="宋体" w:cs="宋体"/>
                <w:color w:val="auto"/>
                <w:szCs w:val="21"/>
                <w:highlight w:val="none"/>
                <w:lang w:val="en-US" w:eastAsia="zh-CN"/>
              </w:rPr>
              <w:t xml:space="preserve">基本完整、基本合理、具备一定可行性的</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述每项内容不合理、不可行或未提供的，不得分。</w:t>
            </w:r>
            <w:r/>
          </w:p>
        </w:tc>
        <w:tc>
          <w:tcPr>
            <w:tcW w:w="725" w:type="dxa"/>
            <w:vAlign w:val="center"/>
            <w:textDirection w:val="lrTb"/>
            <w:noWrap w:val="false"/>
          </w:tcPr>
          <w:p>
            <w:pPr>
              <w:pStyle w:val="1429"/>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3</w:t>
            </w:r>
            <w:r/>
          </w:p>
        </w:tc>
      </w:tr>
      <w:tr>
        <w:trPr>
          <w:jc w:val="center"/>
          <w:trHeight w:val="544"/>
        </w:trPr>
        <w:tc>
          <w:tcPr>
            <w:tcW w:w="70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80" w:type="dxa"/>
            <w:vAlign w:val="center"/>
            <w:vMerge w:val="continue"/>
            <w:textDirection w:val="lrTb"/>
            <w:noWrap w:val="false"/>
          </w:tcPr>
          <w:p>
            <w:pPr>
              <w:jc w:val="center"/>
              <w:spacing w:line="360" w:lineRule="exact"/>
              <w:widowControl/>
              <w:rPr>
                <w:rFonts w:ascii="宋体" w:hAnsi="宋体" w:cs="宋体"/>
                <w:szCs w:val="21"/>
                <w:highlight w:val="none"/>
              </w:rPr>
            </w:pPr>
            <w:r>
              <w:rPr>
                <w:rFonts w:ascii="宋体" w:hAnsi="宋体" w:cs="宋体"/>
                <w:szCs w:val="21"/>
                <w:highlight w:val="none"/>
              </w:rPr>
            </w:r>
            <w:r/>
          </w:p>
        </w:tc>
        <w:tc>
          <w:tcPr>
            <w:tcW w:w="859"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视频演示</w:t>
            </w:r>
            <w:r/>
          </w:p>
        </w:tc>
        <w:tc>
          <w:tcPr>
            <w:tcW w:w="7081" w:type="dxa"/>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投标人需要进行真实环境的演示，未提供视频演示的该项不得分。视频演示时间控制在10分钟之内。</w:t>
            </w:r>
            <w:r>
              <w:rPr>
                <w:rFonts w:hint="eastAsia" w:ascii="宋体" w:hAnsi="宋体" w:cs="宋体"/>
                <w:color w:val="auto"/>
                <w:szCs w:val="21"/>
                <w:highlight w:val="none"/>
                <w:lang w:val="en-US" w:eastAsia="zh-CN"/>
              </w:rPr>
              <w:t xml:space="preserve">演示内容包括：1、展示快递诊断；2、</w:t>
            </w:r>
            <w:r>
              <w:rPr>
                <w:rFonts w:hint="eastAsia" w:ascii="宋体" w:hAnsi="宋体" w:cs="宋体"/>
                <w:color w:val="auto"/>
                <w:szCs w:val="21"/>
                <w:highlight w:val="none"/>
              </w:rPr>
              <w:t xml:space="preserve">起搏器识别功能演示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p波识别功能演示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分段纠错功演示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评委</w:t>
            </w:r>
            <w:r>
              <w:rPr>
                <w:rFonts w:hint="eastAsia" w:ascii="宋体" w:hAnsi="宋体" w:cs="宋体"/>
                <w:color w:val="auto"/>
                <w:szCs w:val="21"/>
                <w:highlight w:val="none"/>
              </w:rPr>
              <w:t xml:space="preserve">根据各投标人的演示情况从完整性、符合性、可操作性、等方面进行综合评价。各功能完全符合项目要求，每个得2分，最多得8分；各功能不完全符合项目要求，得0分。</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静息心电分析功能演示：</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快速诊断：图谱概览和图谱特征标记：心电图机采集时长超过常规10秒一屏无法完全展示全部波形的情况下，支持提供概览图查看心电图异常，并在图谱上标记异常波形位置和异常类型，点击后可以自动定位到异常波形并将波形高亮显示。</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动态心电分析功能演示：</w:t>
            </w:r>
            <w:r/>
          </w:p>
          <w:p>
            <w:pPr>
              <w:numPr>
                <w:ilvl w:val="0"/>
                <w:numId w:val="12"/>
              </w:num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起搏器识别功能演示：针对佩戴起搏器的患者，系统能够自动分析起搏器品牌、起搏器模式、特殊功能运作、心房心室阈值检测、模式转换、安全起搏等。</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rPr>
              <w:t xml:space="preserve">（3）p波识别功能演示：系统能够可以精准识别P波等心房波形，准确区分和识别房性心律失常、室性心律失常、房室阻滞、室内阻滞等各类心电异常现象。</w:t>
            </w:r>
            <w:r/>
          </w:p>
          <w:p>
            <w:pPr>
              <w:jc w:val="left"/>
              <w:spacing w:line="360" w:lineRule="exact"/>
              <w:widowControl/>
              <w:rPr>
                <w:color w:val="auto"/>
                <w:highlight w:val="none"/>
              </w:rPr>
            </w:pPr>
            <w:r>
              <w:rPr>
                <w:rFonts w:hint="eastAsia" w:ascii="宋体" w:hAnsi="宋体" w:cs="宋体"/>
                <w:color w:val="auto"/>
                <w:szCs w:val="21"/>
                <w:highlight w:val="none"/>
              </w:rPr>
              <w:t xml:space="preserve">（4）分段纠错功演示：针对导联线佩戴错误引发的心电信号采集异常、波形失真图谱，系统支持一键纠正，保障图谱质量；同时适配 “诊断前半段正常、后半段因佩戴错误出现异常” 的特殊场景，支持分段纠错，仅对后半段失真图谱进行精准修正。</w:t>
            </w:r>
            <w:r/>
          </w:p>
        </w:tc>
        <w:tc>
          <w:tcPr>
            <w:tcW w:w="725" w:type="dxa"/>
            <w:vAlign w:val="center"/>
            <w:textDirection w:val="lrTb"/>
            <w:noWrap w:val="false"/>
          </w:tcPr>
          <w:p>
            <w:pPr>
              <w:pStyle w:val="1429"/>
              <w:ind w:firstLine="0"/>
              <w:jc w:val="center"/>
              <w:spacing w:line="360" w:lineRule="exact"/>
              <w:rPr>
                <w:rFonts w:ascii="宋体" w:hAnsi="宋体" w:cs="宋体"/>
                <w:szCs w:val="21"/>
                <w:highlight w:val="none"/>
              </w:rPr>
            </w:pPr>
            <w:r>
              <w:rPr>
                <w:rFonts w:hint="eastAsia" w:ascii="宋体" w:hAnsi="宋体" w:cs="宋体"/>
                <w:szCs w:val="21"/>
                <w:highlight w:val="none"/>
              </w:rPr>
              <w:t xml:space="preserve">8</w:t>
            </w:r>
            <w:r/>
          </w:p>
        </w:tc>
      </w:tr>
    </w:tbl>
    <w:p>
      <w:pPr>
        <w:pStyle w:val="775"/>
        <w:rPr>
          <w:b/>
          <w:bCs/>
          <w:color w:val="auto"/>
          <w:highlight w:val="none"/>
        </w:rPr>
      </w:pPr>
      <w:r>
        <w:rPr>
          <w:b/>
          <w:bCs/>
          <w:color w:val="auto"/>
          <w:highlight w:val="none"/>
        </w:rPr>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3、评标结果。评标委员会按照本办法规定推荐中标候选人，并形成评标报告。</w:t>
      </w:r>
      <w:r/>
    </w:p>
    <w:p>
      <w:pPr>
        <w:ind w:right="-10" w:firstLine="80"/>
        <w:spacing w:line="360" w:lineRule="auto"/>
        <w:rPr>
          <w:rFonts w:ascii="宋体" w:hAnsi="宋体" w:cs="宋体"/>
          <w:sz w:val="4"/>
          <w:szCs w:val="2"/>
          <w:highlight w:val="none"/>
        </w:rPr>
      </w:pPr>
      <w:r>
        <w:rPr>
          <w:rFonts w:ascii="宋体" w:hAnsi="宋体" w:cs="宋体"/>
          <w:sz w:val="4"/>
          <w:szCs w:val="2"/>
          <w:highlight w:val="none"/>
        </w:rPr>
      </w:r>
      <w:r/>
    </w:p>
    <w:p>
      <w:pPr>
        <w:ind w:right="-10" w:firstLine="480"/>
        <w:spacing w:line="400" w:lineRule="exact"/>
        <w:rPr>
          <w:rFonts w:ascii="宋体" w:hAnsi="宋体" w:cs="宋体"/>
          <w:sz w:val="24"/>
          <w:highlight w:val="none"/>
        </w:rPr>
      </w:pPr>
      <w:r>
        <w:rPr>
          <w:rFonts w:hint="eastAsia" w:ascii="宋体" w:hAnsi="宋体" w:cs="宋体"/>
          <w:sz w:val="24"/>
          <w:highlight w:val="none"/>
        </w:rPr>
        <w:t xml:space="preserve">说明：</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1.小微型企业价格扣除</w:t>
      </w:r>
      <w:r/>
    </w:p>
    <w:p>
      <w:pPr>
        <w:pStyle w:val="1284"/>
        <w:ind w:firstLine="360"/>
        <w:spacing w:line="400" w:lineRule="exact"/>
        <w:rPr>
          <w:rFonts w:hAnsi="宋体"/>
          <w:sz w:val="24"/>
          <w:szCs w:val="24"/>
          <w:highlight w:val="none"/>
        </w:rPr>
      </w:pPr>
      <w:r>
        <w:rPr>
          <w:rFonts w:hint="eastAsia" w:hAnsi="宋体"/>
          <w:sz w:val="24"/>
          <w:szCs w:val="24"/>
          <w:highlight w:val="none"/>
        </w:rPr>
        <w:t xml:space="preserve">（1）本项目对小型和微型企业产品给予10%的扣除价格，用扣除后的价格参与评审。</w:t>
      </w:r>
      <w:r/>
    </w:p>
    <w:p>
      <w:pPr>
        <w:pStyle w:val="1284"/>
        <w:ind w:firstLine="360"/>
        <w:spacing w:line="400" w:lineRule="exact"/>
        <w:rPr>
          <w:rFonts w:hAnsi="宋体"/>
          <w:sz w:val="24"/>
          <w:szCs w:val="24"/>
          <w:highlight w:val="none"/>
        </w:rPr>
      </w:pPr>
      <w:r>
        <w:rPr>
          <w:rFonts w:hint="eastAsia" w:hAnsi="宋体"/>
          <w:sz w:val="24"/>
          <w:szCs w:val="24"/>
          <w:highlight w:val="none"/>
        </w:rPr>
        <w:t xml:space="preserve">（2）供应商需按照采购文件的要求提供相应的《企业声明函》。</w:t>
      </w:r>
      <w:r/>
    </w:p>
    <w:p>
      <w:pPr>
        <w:pStyle w:val="1284"/>
        <w:ind w:firstLine="360"/>
        <w:spacing w:line="400" w:lineRule="exact"/>
        <w:rPr>
          <w:rFonts w:hAnsi="宋体"/>
          <w:sz w:val="24"/>
          <w:szCs w:val="24"/>
          <w:highlight w:val="none"/>
        </w:rPr>
      </w:pPr>
      <w:r>
        <w:rPr>
          <w:rFonts w:hint="eastAsia" w:hAnsi="宋体"/>
          <w:sz w:val="24"/>
          <w:szCs w:val="24"/>
          <w:highlight w:val="none"/>
        </w:rPr>
        <w:t xml:space="preserve">（3）企业标准请参照《关于印发中小企业划型标准规定的通知》（工信部联企业[2011]300号）文件规定自行填写。</w:t>
      </w:r>
      <w:r/>
    </w:p>
    <w:p>
      <w:pPr>
        <w:pStyle w:val="1284"/>
        <w:ind w:firstLine="361"/>
        <w:spacing w:line="400" w:lineRule="exact"/>
        <w:rPr>
          <w:rFonts w:hAnsi="宋体"/>
          <w:b/>
          <w:bCs/>
          <w:sz w:val="24"/>
          <w:szCs w:val="24"/>
          <w:highlight w:val="none"/>
        </w:rPr>
      </w:pPr>
      <w:r>
        <w:rPr>
          <w:rFonts w:hint="eastAsia" w:hAnsi="宋体"/>
          <w:b/>
          <w:bCs/>
          <w:sz w:val="24"/>
          <w:szCs w:val="24"/>
          <w:highlight w:val="none"/>
        </w:rPr>
        <w:t xml:space="preserve">（4）在货物采购项目中，供应商提供的货物既有中小企业制造货物，也有大型企业制造货物的，不享受本办法规定的中小企业扶持政策。</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2.残疾人福利单位价格扣除</w:t>
      </w:r>
      <w:r/>
    </w:p>
    <w:p>
      <w:pPr>
        <w:pStyle w:val="1284"/>
        <w:ind w:left="120" w:firstLine="360"/>
        <w:spacing w:line="400" w:lineRule="exact"/>
        <w:rPr>
          <w:rFonts w:hAnsi="宋体"/>
          <w:sz w:val="24"/>
          <w:szCs w:val="24"/>
          <w:highlight w:val="none"/>
        </w:rPr>
      </w:pPr>
      <w:r>
        <w:rPr>
          <w:rFonts w:hint="eastAsia" w:hAnsi="宋体"/>
          <w:sz w:val="24"/>
          <w:szCs w:val="24"/>
          <w:highlight w:val="none"/>
        </w:rPr>
        <w:t xml:space="preserve">（1）本项目对残疾人福利性单位视同小型、微型企业，给予10%的价格扣除，用扣除后的价格参与评审。</w:t>
      </w:r>
      <w:r/>
    </w:p>
    <w:p>
      <w:pPr>
        <w:pStyle w:val="1284"/>
        <w:ind w:left="120" w:firstLine="360"/>
        <w:spacing w:line="400" w:lineRule="exact"/>
        <w:rPr>
          <w:rFonts w:hAnsi="宋体"/>
          <w:sz w:val="24"/>
          <w:szCs w:val="24"/>
          <w:highlight w:val="none"/>
        </w:rPr>
      </w:pPr>
      <w:r>
        <w:rPr>
          <w:rFonts w:hint="eastAsia" w:hAnsi="宋体"/>
          <w:sz w:val="24"/>
          <w:szCs w:val="24"/>
          <w:highlight w:val="none"/>
        </w:rPr>
        <w:t xml:space="preserve">（2）残疾人福利单位需提供《残疾人福利性单位声明函》。</w:t>
      </w:r>
      <w:r/>
    </w:p>
    <w:p>
      <w:pPr>
        <w:pStyle w:val="1284"/>
        <w:ind w:left="120" w:firstLine="360"/>
        <w:spacing w:line="400" w:lineRule="exact"/>
        <w:rPr>
          <w:rFonts w:hAnsi="宋体"/>
          <w:sz w:val="24"/>
          <w:szCs w:val="24"/>
          <w:highlight w:val="none"/>
        </w:rPr>
      </w:pPr>
      <w:r>
        <w:rPr>
          <w:rFonts w:hint="eastAsia" w:hAnsi="宋体"/>
          <w:sz w:val="24"/>
          <w:szCs w:val="24"/>
          <w:highlight w:val="none"/>
        </w:rPr>
        <w:t xml:space="preserve">（3）残疾人福利单位标准请参照《关于促进残疾人就业政府采购政策的通知》（财库〔2017〕141号）。</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3.监狱和戒毒企业价格扣除</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（1）本项目对监狱和戒毒企业（简称监狱企业）视同小型、微型企业，给予10%的价格扣除，用扣除后的价格参与评审。</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（3）监狱企业标准请参照《关于政府采购支持监狱企业发展有关问题的通知》（财库[2014]68号）。</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3.节能环保产品价格扣除</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（2）投标人须提供：</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① 国家认可的节能/环境标志产品认证证书；</w:t>
      </w:r>
      <w:r/>
    </w:p>
    <w:p>
      <w:pPr>
        <w:pStyle w:val="1284"/>
        <w:ind w:firstLine="480"/>
        <w:spacing w:line="400" w:lineRule="exact"/>
        <w:rPr>
          <w:rFonts w:hAnsi="宋体"/>
          <w:sz w:val="24"/>
          <w:szCs w:val="24"/>
          <w:highlight w:val="none"/>
        </w:rPr>
      </w:pPr>
      <w:r>
        <w:rPr>
          <w:rFonts w:hint="eastAsia" w:hAnsi="宋体"/>
          <w:sz w:val="24"/>
          <w:szCs w:val="24"/>
          <w:highlight w:val="none"/>
        </w:rPr>
        <w:t xml:space="preserve">② 产品在最新政府采购清单中的截图或官方查询结果。</w:t>
      </w:r>
      <w:r/>
    </w:p>
    <w:p>
      <w:pPr>
        <w:ind w:firstLine="420"/>
        <w:spacing w:line="360" w:lineRule="auto"/>
        <w:rPr>
          <w:rFonts w:ascii="宋体" w:hAnsi="宋体"/>
          <w:sz w:val="24"/>
          <w:szCs w:val="24"/>
          <w:highlight w:val="none"/>
        </w:rPr>
      </w:pPr>
      <w:r>
        <w:rPr>
          <w:rFonts w:hint="eastAsia" w:ascii="宋体" w:hAnsi="宋体"/>
          <w:sz w:val="24"/>
          <w:szCs w:val="24"/>
          <w:highlight w:val="none"/>
        </w:rPr>
        <w:t xml:space="preserve">4.采购本国产品的支持政策</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4.1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4.2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4.3 供应商需按照招标文件的要求提供《关于符合本国产品标准的声明函》（以下简称《声明函》），如不提供将不享受本国产品价格评审优惠。</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4.4 供应商需在《声明函》中逐一、准确填写产品名称、厂名、生产厂址三项信息（《声明函》中用横线</w:t>
      </w:r>
      <w:r>
        <w:rPr>
          <w:rFonts w:hint="eastAsia" w:ascii="宋体" w:hAnsi="宋体"/>
          <w:strike/>
          <w:sz w:val="24"/>
          <w:szCs w:val="24"/>
          <w:highlight w:val="none"/>
        </w:rPr>
        <w:t xml:space="preserve">     </w:t>
      </w:r>
      <w:r>
        <w:rPr>
          <w:rFonts w:hint="eastAsia" w:ascii="宋体" w:hAnsi="宋体"/>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ascii="宋体" w:hAnsi="宋体"/>
          <w:sz w:val="24"/>
          <w:szCs w:val="24"/>
          <w:highlight w:val="none"/>
        </w:rPr>
      </w:pPr>
      <w:r>
        <w:rPr>
          <w:rFonts w:hint="eastAsia" w:ascii="宋体" w:hAnsi="宋体"/>
          <w:sz w:val="24"/>
          <w:szCs w:val="24"/>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84"/>
        <w:ind w:firstLine="480"/>
        <w:spacing w:line="400" w:lineRule="exact"/>
        <w:rPr>
          <w:rFonts w:hAnsi="宋体"/>
          <w:sz w:val="24"/>
          <w:szCs w:val="24"/>
          <w:highlight w:val="none"/>
        </w:rPr>
      </w:pPr>
      <w:r>
        <w:rPr>
          <w:rFonts w:hAnsi="宋体"/>
          <w:sz w:val="24"/>
          <w:szCs w:val="24"/>
          <w:highlight w:val="none"/>
        </w:rPr>
      </w:r>
      <w:r/>
    </w:p>
    <w:p>
      <w:pPr>
        <w:jc w:val="center"/>
        <w:rPr>
          <w:b/>
          <w:sz w:val="44"/>
          <w:szCs w:val="44"/>
          <w:highlight w:val="none"/>
        </w:rPr>
        <w:outlineLvl w:val="0"/>
      </w:pPr>
      <w:r/>
      <w:bookmarkStart w:id="77" w:name="EBae7807b0bcbc478ea1f502c8f1955356"/>
      <w:r/>
      <w:bookmarkEnd w:id="77"/>
      <w:r/>
      <w:bookmarkStart w:id="78" w:name="_Toc514054481"/>
      <w:r>
        <w:rPr>
          <w:rFonts w:hint="eastAsia"/>
          <w:b/>
          <w:sz w:val="44"/>
          <w:szCs w:val="44"/>
          <w:highlight w:val="none"/>
        </w:rPr>
        <w:br w:type="page" w:clear="all"/>
      </w:r>
      <w:bookmarkStart w:id="79" w:name="_Toc1505"/>
      <w:r>
        <w:rPr>
          <w:rFonts w:hint="eastAsia"/>
          <w:b/>
          <w:sz w:val="44"/>
          <w:szCs w:val="44"/>
          <w:highlight w:val="none"/>
        </w:rPr>
        <w:t xml:space="preserve"> 第四部分 采购需求</w:t>
      </w:r>
      <w:bookmarkEnd w:id="78"/>
      <w:r/>
      <w:bookmarkEnd w:id="79"/>
      <w:r/>
      <w:bookmarkStart w:id="80" w:name="_Toc9306"/>
      <w:r/>
      <w:bookmarkStart w:id="81" w:name="_Toc514054482"/>
      <w:r/>
      <w:r/>
    </w:p>
    <w:p>
      <w:pPr>
        <w:jc w:val="left"/>
        <w:rPr>
          <w:rFonts w:ascii="宋体" w:hAnsi="宋体" w:cs="宋体"/>
          <w:b/>
          <w:sz w:val="24"/>
          <w:szCs w:val="24"/>
          <w:highlight w:val="none"/>
        </w:rPr>
        <w:outlineLvl w:val="1"/>
      </w:pPr>
      <w:r>
        <w:rPr>
          <w:rFonts w:hint="eastAsia" w:ascii="宋体" w:hAnsi="宋体"/>
          <w:b/>
          <w:bCs/>
          <w:sz w:val="24"/>
          <w:szCs w:val="24"/>
          <w:highlight w:val="none"/>
          <w14:ligatures w14:val="standardContextual"/>
        </w:rPr>
        <w:t xml:space="preserve">一、</w:t>
      </w:r>
      <w:r>
        <w:rPr>
          <w:rFonts w:hint="eastAsia" w:ascii="宋体" w:hAnsi="宋体" w:cs="宋体"/>
          <w:b/>
          <w:sz w:val="24"/>
          <w:szCs w:val="24"/>
          <w:highlight w:val="none"/>
        </w:rPr>
        <w:t xml:space="preserve">采购清单</w:t>
      </w:r>
      <w:r/>
    </w:p>
    <w:p>
      <w:pPr>
        <w:jc w:val="left"/>
        <w:rPr>
          <w:rFonts w:ascii="宋体" w:hAnsi="宋体" w:cs="宋体"/>
          <w:b/>
          <w:sz w:val="24"/>
          <w:szCs w:val="24"/>
          <w:highlight w:val="none"/>
        </w:rPr>
        <w:outlineLvl w:val="1"/>
      </w:pPr>
      <w:r>
        <w:rPr>
          <w:rFonts w:ascii="宋体" w:hAnsi="宋体" w:cs="宋体"/>
          <w:b/>
          <w:sz w:val="24"/>
          <w:szCs w:val="24"/>
          <w:highlight w:val="none"/>
        </w:rPr>
      </w:r>
      <w:r/>
    </w:p>
    <w:p>
      <w:pPr>
        <w:ind w:firstLine="482"/>
        <w:jc w:val="left"/>
        <w:rPr>
          <w:rFonts w:hint="eastAsia" w:asciiTheme="minorEastAsia" w:hAnsiTheme="minorEastAsia" w:eastAsiaTheme="minorEastAsia" w:cstheme="minorEastAsia"/>
          <w:b/>
          <w:sz w:val="20"/>
          <w:szCs w:val="20"/>
          <w:highlight w:val="none"/>
        </w:rPr>
        <w:outlineLvl w:val="1"/>
      </w:pPr>
      <w:r>
        <w:rPr>
          <w:rFonts w:hint="eastAsia" w:asciiTheme="minorEastAsia" w:hAnsiTheme="minorEastAsia" w:eastAsiaTheme="minorEastAsia" w:cstheme="minorEastAsia"/>
          <w:b/>
          <w:sz w:val="20"/>
          <w:szCs w:val="20"/>
          <w:highlight w:val="none"/>
        </w:rPr>
        <w:t xml:space="preserve">硬件采购清单</w:t>
      </w:r>
      <w:r/>
    </w:p>
    <w:tbl>
      <w:tblPr>
        <w:tblStyle w:val="770"/>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6511"/>
        <w:gridCol w:w="1154"/>
        <w:gridCol w:w="941"/>
      </w:tblGrid>
      <w:tr>
        <w:trPr>
          <w:jc w:val="center"/>
          <w:trHeight w:val="465"/>
        </w:trPr>
        <w:tc>
          <w:tcPr>
            <w:tcW w:w="1008"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序号</w:t>
            </w:r>
            <w:r/>
          </w:p>
        </w:tc>
        <w:tc>
          <w:tcPr>
            <w:tcW w:w="651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货物名称</w:t>
            </w:r>
            <w:r/>
          </w:p>
        </w:tc>
        <w:tc>
          <w:tcPr>
            <w:tcW w:w="1154"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数量</w:t>
            </w:r>
            <w:r/>
          </w:p>
        </w:tc>
        <w:tc>
          <w:tcPr>
            <w:tcW w:w="94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单位</w:t>
            </w:r>
            <w:r/>
          </w:p>
        </w:tc>
      </w:tr>
      <w:tr>
        <w:trPr>
          <w:jc w:val="center"/>
          <w:trHeight w:val="623"/>
        </w:trPr>
        <w:tc>
          <w:tcPr>
            <w:tcW w:w="1008"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1</w:t>
            </w:r>
            <w:r/>
          </w:p>
        </w:tc>
        <w:tc>
          <w:tcPr>
            <w:tcW w:w="6511" w:type="dxa"/>
            <w:vAlign w:val="center"/>
            <w:textDirection w:val="lrTb"/>
            <w:noWrap w:val="false"/>
          </w:tcPr>
          <w:p>
            <w:pPr>
              <w:jc w:val="left"/>
              <w:rPr>
                <w:rFonts w:hint="eastAsia" w:asciiTheme="minorEastAsia" w:hAnsiTheme="minorEastAsia" w:eastAsiaTheme="minorEastAsia" w:cstheme="minorEastAsia"/>
                <w:sz w:val="20"/>
                <w:szCs w:val="20"/>
                <w:highlight w:val="none"/>
                <w:lang w:eastAsia="zh-CN"/>
              </w:rPr>
            </w:pPr>
            <w:r>
              <w:rPr>
                <w:rFonts w:hint="eastAsia" w:asciiTheme="minorEastAsia" w:hAnsiTheme="minorEastAsia" w:eastAsiaTheme="minorEastAsia" w:cstheme="minorEastAsia"/>
                <w:sz w:val="20"/>
                <w:szCs w:val="20"/>
                <w:highlight w:val="none"/>
              </w:rPr>
              <w:t xml:space="preserve">全数字多道心电图机（临床诊断的医疗电子仪器）</w:t>
            </w:r>
            <w:r>
              <w:rPr>
                <w:rFonts w:hint="eastAsia" w:asciiTheme="minorEastAsia" w:hAnsiTheme="minorEastAsia" w:eastAsiaTheme="minorEastAsia" w:cstheme="minorEastAsia"/>
                <w:sz w:val="20"/>
                <w:szCs w:val="20"/>
                <w:highlight w:val="none"/>
                <w:lang w:val="en-US" w:eastAsia="zh-CN"/>
              </w:rPr>
              <w:t xml:space="preserve">     </w:t>
            </w:r>
            <w:r>
              <w:rPr>
                <w:rFonts w:hint="eastAsia" w:asciiTheme="minorEastAsia" w:hAnsiTheme="minorEastAsia" w:eastAsiaTheme="minorEastAsia" w:cstheme="minorEastAsia"/>
                <w:sz w:val="20"/>
                <w:szCs w:val="20"/>
                <w:highlight w:val="none"/>
                <w:lang w:eastAsia="zh-CN"/>
              </w:rPr>
              <w:t xml:space="preserve">（</w:t>
            </w:r>
            <w:r>
              <w:rPr>
                <w:rFonts w:hint="eastAsia" w:asciiTheme="minorEastAsia" w:hAnsiTheme="minorEastAsia" w:eastAsiaTheme="minorEastAsia" w:cstheme="minorEastAsia"/>
                <w:sz w:val="20"/>
                <w:szCs w:val="20"/>
                <w:highlight w:val="none"/>
                <w:lang w:val="en-US" w:eastAsia="zh-CN"/>
              </w:rPr>
              <w:t xml:space="preserve">核心产品</w:t>
            </w:r>
            <w:r>
              <w:rPr>
                <w:rFonts w:hint="eastAsia" w:asciiTheme="minorEastAsia" w:hAnsiTheme="minorEastAsia" w:eastAsiaTheme="minorEastAsia" w:cstheme="minorEastAsia"/>
                <w:sz w:val="20"/>
                <w:szCs w:val="20"/>
                <w:highlight w:val="none"/>
                <w:lang w:eastAsia="zh-CN"/>
              </w:rPr>
              <w:t xml:space="preserve">）</w:t>
            </w:r>
            <w:r/>
          </w:p>
        </w:tc>
        <w:tc>
          <w:tcPr>
            <w:tcW w:w="1154"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118</w:t>
            </w:r>
            <w:r/>
          </w:p>
        </w:tc>
        <w:tc>
          <w:tcPr>
            <w:tcW w:w="94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套</w:t>
            </w:r>
            <w:r/>
          </w:p>
        </w:tc>
      </w:tr>
      <w:tr>
        <w:trPr>
          <w:jc w:val="center"/>
          <w:trHeight w:val="623"/>
        </w:trPr>
        <w:tc>
          <w:tcPr>
            <w:tcW w:w="1008"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2</w:t>
            </w:r>
            <w:r/>
          </w:p>
        </w:tc>
        <w:tc>
          <w:tcPr>
            <w:tcW w:w="6511"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数字式心电图机推车专用款（临床诊断的医疗电子仪器）</w:t>
            </w:r>
            <w:r/>
          </w:p>
        </w:tc>
        <w:tc>
          <w:tcPr>
            <w:tcW w:w="1154"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3</w:t>
            </w:r>
            <w:r/>
          </w:p>
        </w:tc>
        <w:tc>
          <w:tcPr>
            <w:tcW w:w="94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台</w:t>
            </w:r>
            <w:r/>
          </w:p>
        </w:tc>
      </w:tr>
      <w:tr>
        <w:trPr>
          <w:jc w:val="center"/>
          <w:trHeight w:val="623"/>
        </w:trPr>
        <w:tc>
          <w:tcPr>
            <w:tcW w:w="1008"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3</w:t>
            </w:r>
            <w:r/>
          </w:p>
        </w:tc>
        <w:tc>
          <w:tcPr>
            <w:tcW w:w="6511"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专用推车</w:t>
            </w:r>
            <w:r/>
          </w:p>
        </w:tc>
        <w:tc>
          <w:tcPr>
            <w:tcW w:w="1154"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3</w:t>
            </w:r>
            <w:r/>
          </w:p>
        </w:tc>
        <w:tc>
          <w:tcPr>
            <w:tcW w:w="94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台</w:t>
            </w:r>
            <w:r/>
          </w:p>
        </w:tc>
      </w:tr>
      <w:tr>
        <w:trPr>
          <w:jc w:val="center"/>
          <w:trHeight w:val="623"/>
        </w:trPr>
        <w:tc>
          <w:tcPr>
            <w:tcW w:w="1008"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4</w:t>
            </w:r>
            <w:r/>
          </w:p>
        </w:tc>
        <w:tc>
          <w:tcPr>
            <w:tcW w:w="6511"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显示大屏</w:t>
            </w:r>
            <w:r/>
          </w:p>
        </w:tc>
        <w:tc>
          <w:tcPr>
            <w:tcW w:w="1154"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2</w:t>
            </w:r>
            <w:r/>
          </w:p>
        </w:tc>
        <w:tc>
          <w:tcPr>
            <w:tcW w:w="94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台</w:t>
            </w:r>
            <w:r/>
          </w:p>
        </w:tc>
      </w:tr>
    </w:tbl>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p>
      <w:pPr>
        <w:ind w:firstLine="482"/>
        <w:jc w:val="left"/>
        <w:spacing w:line="360" w:lineRule="auto"/>
        <w:rPr>
          <w:rFonts w:hint="eastAsia" w:asciiTheme="minorEastAsia" w:hAnsiTheme="minorEastAsia" w:eastAsiaTheme="minorEastAsia" w:cstheme="minorEastAsia"/>
          <w:b/>
          <w:sz w:val="20"/>
          <w:szCs w:val="20"/>
          <w:highlight w:val="none"/>
        </w:rPr>
        <w:outlineLvl w:val="1"/>
      </w:pPr>
      <w:r>
        <w:rPr>
          <w:rFonts w:hint="eastAsia" w:asciiTheme="minorEastAsia" w:hAnsiTheme="minorEastAsia" w:eastAsiaTheme="minorEastAsia" w:cstheme="minorEastAsia"/>
          <w:b/>
          <w:sz w:val="20"/>
          <w:szCs w:val="20"/>
          <w:highlight w:val="none"/>
        </w:rPr>
        <w:t xml:space="preserve">软件采购清单</w:t>
      </w:r>
      <w:r/>
    </w:p>
    <w:tbl>
      <w:tblPr>
        <w:tblStyle w:val="770"/>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329"/>
        <w:gridCol w:w="4158"/>
        <w:gridCol w:w="1142"/>
        <w:gridCol w:w="975"/>
      </w:tblGrid>
      <w:tr>
        <w:trPr>
          <w:jc w:val="center"/>
          <w:trHeight w:val="478"/>
        </w:trPr>
        <w:tc>
          <w:tcPr>
            <w:tcW w:w="1011" w:type="dxa"/>
            <w:vAlign w:val="center"/>
            <w:textDirection w:val="lrTb"/>
            <w:noWrap w:val="false"/>
          </w:tcPr>
          <w:p>
            <w:pPr>
              <w:jc w:val="center"/>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序号</w:t>
            </w:r>
            <w:r/>
          </w:p>
        </w:tc>
        <w:tc>
          <w:tcPr>
            <w:gridSpan w:val="2"/>
            <w:tcW w:w="6487" w:type="dxa"/>
            <w:vAlign w:val="center"/>
            <w:textDirection w:val="lrTb"/>
            <w:noWrap w:val="false"/>
          </w:tcPr>
          <w:p>
            <w:pPr>
              <w:jc w:val="center"/>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货物名称</w:t>
            </w:r>
            <w:r/>
          </w:p>
        </w:tc>
        <w:tc>
          <w:tcPr>
            <w:tcW w:w="1142" w:type="dxa"/>
            <w:vAlign w:val="center"/>
            <w:textDirection w:val="lrTb"/>
            <w:noWrap w:val="false"/>
          </w:tcPr>
          <w:p>
            <w:pPr>
              <w:jc w:val="center"/>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数量</w:t>
            </w:r>
            <w:r/>
          </w:p>
        </w:tc>
        <w:tc>
          <w:tcPr>
            <w:tcW w:w="975" w:type="dxa"/>
            <w:vAlign w:val="center"/>
            <w:textDirection w:val="lrTb"/>
            <w:noWrap w:val="false"/>
          </w:tcPr>
          <w:p>
            <w:pPr>
              <w:jc w:val="center"/>
              <w:rPr>
                <w:rFonts w:hint="eastAsia" w:asciiTheme="minorEastAsia" w:hAnsiTheme="minorEastAsia" w:eastAsiaTheme="minorEastAsia" w:cstheme="minorEastAsia"/>
                <w:b/>
                <w:sz w:val="20"/>
                <w:szCs w:val="20"/>
                <w:highlight w:val="none"/>
              </w:rPr>
            </w:pPr>
            <w:r>
              <w:rPr>
                <w:rFonts w:hint="eastAsia" w:asciiTheme="minorEastAsia" w:hAnsiTheme="minorEastAsia" w:eastAsiaTheme="minorEastAsia" w:cstheme="minorEastAsia"/>
                <w:b/>
                <w:sz w:val="20"/>
                <w:szCs w:val="20"/>
                <w:highlight w:val="none"/>
              </w:rPr>
              <w:t xml:space="preserve">单位</w:t>
            </w:r>
            <w:r/>
          </w:p>
        </w:tc>
      </w:tr>
      <w:tr>
        <w:trPr>
          <w:jc w:val="center"/>
          <w:trHeight w:val="478"/>
        </w:trPr>
        <w:tc>
          <w:tcPr>
            <w:tcW w:w="101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1</w:t>
            </w:r>
            <w:r/>
          </w:p>
        </w:tc>
        <w:tc>
          <w:tcPr>
            <w:tcW w:w="2329" w:type="dxa"/>
            <w:vAlign w:val="center"/>
            <w:vMerge w:val="restart"/>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区域心电一张网</w:t>
            </w:r>
            <w:r/>
          </w:p>
        </w:tc>
        <w:tc>
          <w:tcPr>
            <w:tcW w:w="4158"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平台基础服务</w:t>
            </w:r>
            <w:r/>
          </w:p>
        </w:tc>
        <w:tc>
          <w:tcPr>
            <w:tcW w:w="1142" w:type="dxa"/>
            <w:vAlign w:val="center"/>
            <w:vMerge w:val="restart"/>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1</w:t>
            </w:r>
            <w:r/>
          </w:p>
        </w:tc>
        <w:tc>
          <w:tcPr>
            <w:tcW w:w="975" w:type="dxa"/>
            <w:vAlign w:val="center"/>
            <w:vMerge w:val="restart"/>
            <w:textDirection w:val="lrTb"/>
            <w:noWrap w:val="false"/>
          </w:tcPr>
          <w:p>
            <w:pPr>
              <w:jc w:val="center"/>
              <w:tabs>
                <w:tab w:val="left" w:pos="720" w:leader="none"/>
              </w:tabs>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p>
            <w:pPr>
              <w:jc w:val="center"/>
              <w:tabs>
                <w:tab w:val="left" w:pos="720" w:leader="none"/>
              </w:tabs>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套</w:t>
            </w:r>
            <w:r/>
          </w:p>
        </w:tc>
      </w:tr>
      <w:tr>
        <w:trPr>
          <w:jc w:val="center"/>
          <w:trHeight w:val="478"/>
        </w:trPr>
        <w:tc>
          <w:tcPr>
            <w:tcW w:w="101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2</w:t>
            </w:r>
            <w:r/>
          </w:p>
        </w:tc>
        <w:tc>
          <w:tcPr>
            <w:tcW w:w="2329"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4158"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心电检查管理</w:t>
            </w:r>
            <w:r/>
          </w:p>
        </w:tc>
        <w:tc>
          <w:tcPr>
            <w:tcW w:w="1142"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975" w:type="dxa"/>
            <w:vAlign w:val="center"/>
            <w:vMerge w:val="continue"/>
            <w:textDirection w:val="lrTb"/>
            <w:noWrap w:val="false"/>
          </w:tcPr>
          <w:p>
            <w:pPr>
              <w:jc w:val="center"/>
              <w:tabs>
                <w:tab w:val="left" w:pos="720" w:leader="none"/>
              </w:tabs>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r>
      <w:tr>
        <w:trPr>
          <w:jc w:val="center"/>
          <w:trHeight w:val="478"/>
        </w:trPr>
        <w:tc>
          <w:tcPr>
            <w:tcW w:w="101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3</w:t>
            </w:r>
            <w:r/>
          </w:p>
        </w:tc>
        <w:tc>
          <w:tcPr>
            <w:tcW w:w="2329"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4158"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心电医生工作站</w:t>
            </w:r>
            <w:r/>
          </w:p>
        </w:tc>
        <w:tc>
          <w:tcPr>
            <w:tcW w:w="1142"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975" w:type="dxa"/>
            <w:vAlign w:val="center"/>
            <w:vMerge w:val="continue"/>
            <w:textDirection w:val="lrTb"/>
            <w:noWrap w:val="false"/>
          </w:tcPr>
          <w:p>
            <w:pPr>
              <w:jc w:val="center"/>
              <w:tabs>
                <w:tab w:val="left" w:pos="720" w:leader="none"/>
              </w:tabs>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r>
      <w:tr>
        <w:trPr>
          <w:jc w:val="center"/>
          <w:trHeight w:val="478"/>
        </w:trPr>
        <w:tc>
          <w:tcPr>
            <w:tcW w:w="101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4</w:t>
            </w:r>
            <w:r/>
          </w:p>
        </w:tc>
        <w:tc>
          <w:tcPr>
            <w:tcW w:w="2329"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4158"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移动会诊</w:t>
            </w:r>
            <w:r/>
          </w:p>
        </w:tc>
        <w:tc>
          <w:tcPr>
            <w:tcW w:w="1142"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975" w:type="dxa"/>
            <w:vAlign w:val="center"/>
            <w:vMerge w:val="continue"/>
            <w:textDirection w:val="lrTb"/>
            <w:noWrap w:val="false"/>
          </w:tcPr>
          <w:p>
            <w:pPr>
              <w:jc w:val="center"/>
              <w:tabs>
                <w:tab w:val="left" w:pos="720" w:leader="none"/>
              </w:tabs>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r>
      <w:tr>
        <w:trPr>
          <w:jc w:val="center"/>
          <w:trHeight w:val="478"/>
        </w:trPr>
        <w:tc>
          <w:tcPr>
            <w:tcW w:w="101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5</w:t>
            </w:r>
            <w:r/>
          </w:p>
        </w:tc>
        <w:tc>
          <w:tcPr>
            <w:tcW w:w="2329"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4158"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临床WEB端调阅</w:t>
            </w:r>
            <w:r/>
          </w:p>
        </w:tc>
        <w:tc>
          <w:tcPr>
            <w:tcW w:w="1142"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975" w:type="dxa"/>
            <w:vAlign w:val="center"/>
            <w:vMerge w:val="continue"/>
            <w:textDirection w:val="lrTb"/>
            <w:noWrap w:val="false"/>
          </w:tcPr>
          <w:p>
            <w:pPr>
              <w:jc w:val="center"/>
              <w:tabs>
                <w:tab w:val="left" w:pos="720" w:leader="none"/>
              </w:tabs>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r>
      <w:tr>
        <w:trPr>
          <w:jc w:val="center"/>
          <w:trHeight w:val="478"/>
        </w:trPr>
        <w:tc>
          <w:tcPr>
            <w:tcW w:w="101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6</w:t>
            </w:r>
            <w:r/>
          </w:p>
        </w:tc>
        <w:tc>
          <w:tcPr>
            <w:tcW w:w="2329"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4158"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心电AI智能分析</w:t>
            </w:r>
            <w:r/>
          </w:p>
        </w:tc>
        <w:tc>
          <w:tcPr>
            <w:tcW w:w="1142"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975" w:type="dxa"/>
            <w:vAlign w:val="center"/>
            <w:vMerge w:val="continue"/>
            <w:textDirection w:val="lrTb"/>
            <w:noWrap w:val="false"/>
          </w:tcPr>
          <w:p>
            <w:pPr>
              <w:jc w:val="center"/>
              <w:tabs>
                <w:tab w:val="left" w:pos="720" w:leader="none"/>
              </w:tabs>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r>
      <w:tr>
        <w:trPr>
          <w:jc w:val="center"/>
          <w:trHeight w:val="478"/>
        </w:trPr>
        <w:tc>
          <w:tcPr>
            <w:tcW w:w="101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7</w:t>
            </w:r>
            <w:r/>
          </w:p>
        </w:tc>
        <w:tc>
          <w:tcPr>
            <w:tcW w:w="2329"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4158"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数据统计与质控管理</w:t>
            </w:r>
            <w:r/>
          </w:p>
        </w:tc>
        <w:tc>
          <w:tcPr>
            <w:tcW w:w="1142" w:type="dxa"/>
            <w:vAlign w:val="center"/>
            <w:vMerge w:val="continue"/>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c>
          <w:tcPr>
            <w:tcW w:w="975" w:type="dxa"/>
            <w:vAlign w:val="center"/>
            <w:vMerge w:val="continue"/>
            <w:textDirection w:val="lrTb"/>
            <w:noWrap w:val="false"/>
          </w:tcPr>
          <w:p>
            <w:pPr>
              <w:jc w:val="center"/>
              <w:tabs>
                <w:tab w:val="left" w:pos="720" w:leader="none"/>
              </w:tabs>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r>
            <w:r/>
          </w:p>
        </w:tc>
      </w:tr>
      <w:tr>
        <w:trPr>
          <w:jc w:val="center"/>
          <w:trHeight w:val="478"/>
        </w:trPr>
        <w:tc>
          <w:tcPr>
            <w:tcW w:w="101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8</w:t>
            </w:r>
            <w:r/>
          </w:p>
        </w:tc>
        <w:tc>
          <w:tcPr>
            <w:tcW w:w="2329"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设备接入</w:t>
            </w:r>
            <w:r/>
          </w:p>
        </w:tc>
        <w:tc>
          <w:tcPr>
            <w:tcW w:w="4158"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心电设备接入</w:t>
            </w:r>
            <w:r/>
          </w:p>
        </w:tc>
        <w:tc>
          <w:tcPr>
            <w:tcW w:w="1142"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144</w:t>
            </w:r>
            <w:r/>
          </w:p>
        </w:tc>
        <w:tc>
          <w:tcPr>
            <w:tcW w:w="975" w:type="dxa"/>
            <w:vAlign w:val="center"/>
            <w:textDirection w:val="lrTb"/>
            <w:noWrap w:val="false"/>
          </w:tcPr>
          <w:p>
            <w:pPr>
              <w:jc w:val="center"/>
              <w:tabs>
                <w:tab w:val="left" w:pos="720" w:leader="none"/>
              </w:tabs>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台</w:t>
            </w:r>
            <w:r/>
          </w:p>
        </w:tc>
      </w:tr>
      <w:tr>
        <w:trPr>
          <w:jc w:val="center"/>
          <w:trHeight w:val="478"/>
        </w:trPr>
        <w:tc>
          <w:tcPr>
            <w:tcW w:w="1011"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9</w:t>
            </w:r>
            <w:r/>
          </w:p>
        </w:tc>
        <w:tc>
          <w:tcPr>
            <w:tcW w:w="2329"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系统集成</w:t>
            </w:r>
            <w:r/>
          </w:p>
        </w:tc>
        <w:tc>
          <w:tcPr>
            <w:tcW w:w="4158" w:type="dxa"/>
            <w:vAlign w:val="center"/>
            <w:textDirection w:val="lrTb"/>
            <w:noWrap w:val="false"/>
          </w:tcPr>
          <w:p>
            <w:pPr>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基于HIS系统</w:t>
            </w:r>
            <w:r/>
          </w:p>
        </w:tc>
        <w:tc>
          <w:tcPr>
            <w:tcW w:w="1142" w:type="dxa"/>
            <w:vAlign w:val="center"/>
            <w:textDirection w:val="lrTb"/>
            <w:noWrap w:val="false"/>
          </w:tcPr>
          <w:p>
            <w:pPr>
              <w:jc w:val="center"/>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1</w:t>
            </w:r>
            <w:r/>
          </w:p>
        </w:tc>
        <w:tc>
          <w:tcPr>
            <w:tcW w:w="975" w:type="dxa"/>
            <w:vAlign w:val="center"/>
            <w:textDirection w:val="lrTb"/>
            <w:noWrap w:val="false"/>
          </w:tcPr>
          <w:p>
            <w:pPr>
              <w:jc w:val="center"/>
              <w:tabs>
                <w:tab w:val="left" w:pos="720" w:leader="none"/>
              </w:tabs>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个</w:t>
            </w:r>
            <w:r/>
          </w:p>
        </w:tc>
      </w:tr>
    </w:tbl>
    <w:p>
      <w:pPr>
        <w:jc w:val="left"/>
        <w:spacing w:line="360" w:lineRule="auto"/>
        <w:rPr>
          <w:rFonts w:hint="eastAsia" w:asciiTheme="minorEastAsia" w:hAnsiTheme="minorEastAsia" w:eastAsiaTheme="minorEastAsia" w:cstheme="minorEastAsia"/>
          <w:b/>
          <w:sz w:val="20"/>
          <w:szCs w:val="20"/>
          <w:highlight w:val="none"/>
        </w:rPr>
        <w:outlineLvl w:val="1"/>
      </w:pPr>
      <w:r>
        <w:rPr>
          <w:rFonts w:hint="eastAsia" w:asciiTheme="minorEastAsia" w:hAnsiTheme="minorEastAsia" w:eastAsiaTheme="minorEastAsia" w:cstheme="minorEastAsia"/>
          <w:b/>
          <w:sz w:val="20"/>
          <w:szCs w:val="20"/>
          <w:highlight w:val="none"/>
        </w:rPr>
      </w:r>
      <w:r/>
    </w:p>
    <w:p>
      <w:pPr>
        <w:ind w:firstLine="400"/>
        <w:pageBreakBefore w:val="0"/>
        <w:spacing w:line="360" w:lineRule="auto"/>
        <w:widowControl/>
        <w:rPr>
          <w:rFonts w:hint="eastAsia"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 xml:space="preserve">项目建设要求：</w:t>
      </w:r>
      <w:r/>
    </w:p>
    <w:p>
      <w:pPr>
        <w:ind w:firstLine="400"/>
        <w:pageBreakBefore w:val="0"/>
        <w:spacing w:line="360" w:lineRule="auto"/>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 xml:space="preserve">1、构建</w:t>
      </w:r>
      <w:r>
        <w:rPr>
          <w:rFonts w:hint="eastAsia" w:asciiTheme="minorEastAsia" w:hAnsiTheme="minorEastAsia" w:eastAsiaTheme="minorEastAsia" w:cstheme="minorEastAsia"/>
          <w:color w:val="auto"/>
          <w:sz w:val="20"/>
          <w:szCs w:val="20"/>
          <w:highlight w:val="none"/>
        </w:rPr>
        <w:t xml:space="preserve">三级协同诊断架构</w:t>
      </w:r>
      <w:r>
        <w:rPr>
          <w:rFonts w:hint="eastAsia" w:asciiTheme="minorEastAsia" w:hAnsiTheme="minorEastAsia" w:eastAsiaTheme="minorEastAsia" w:cstheme="minorEastAsia"/>
          <w:color w:val="auto"/>
          <w:sz w:val="20"/>
          <w:szCs w:val="20"/>
          <w:highlight w:val="none"/>
          <w:lang w:eastAsia="zh-CN"/>
        </w:rPr>
        <w:t xml:space="preserve">，</w:t>
      </w:r>
      <w:r>
        <w:rPr>
          <w:rFonts w:hint="eastAsia" w:asciiTheme="minorEastAsia" w:hAnsiTheme="minorEastAsia" w:eastAsiaTheme="minorEastAsia" w:cstheme="minorEastAsia"/>
          <w:color w:val="auto"/>
          <w:sz w:val="20"/>
          <w:szCs w:val="20"/>
          <w:highlight w:val="none"/>
        </w:rPr>
        <w:t xml:space="preserve">明确“</w:t>
      </w:r>
      <w:r>
        <w:rPr>
          <w:rFonts w:hint="eastAsia" w:asciiTheme="minorEastAsia" w:hAnsiTheme="minorEastAsia" w:eastAsiaTheme="minorEastAsia" w:cstheme="minorEastAsia"/>
          <w:color w:val="auto"/>
          <w:sz w:val="20"/>
          <w:szCs w:val="20"/>
          <w:highlight w:val="none"/>
          <w:lang w:val="en-US" w:eastAsia="zh-CN"/>
        </w:rPr>
        <w:t xml:space="preserve">高淳区</w:t>
      </w:r>
      <w:r>
        <w:rPr>
          <w:rFonts w:hint="eastAsia" w:asciiTheme="minorEastAsia" w:hAnsiTheme="minorEastAsia" w:eastAsiaTheme="minorEastAsia" w:cstheme="minorEastAsia"/>
          <w:color w:val="auto"/>
          <w:sz w:val="20"/>
          <w:szCs w:val="20"/>
          <w:highlight w:val="none"/>
        </w:rPr>
        <w:t xml:space="preserve">人民医院区域诊断中心—乡（社区卫生服务中心）—村（卫生室）”三级心电协同架构，规定心电数据采集、上传、集中判读、报告回传、危急值闭环处置的流程节点与责任主体。</w:t>
      </w:r>
      <w:r/>
    </w:p>
    <w:p>
      <w:pPr>
        <w:ind w:firstLine="400"/>
        <w:pageBreakBefore w:val="0"/>
        <w:spacing w:line="360" w:lineRule="auto"/>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2.流转时限要求：</w:t>
      </w:r>
      <w:r/>
    </w:p>
    <w:p>
      <w:pPr>
        <w:pStyle w:val="773"/>
        <w:numPr>
          <w:ilvl w:val="0"/>
          <w:numId w:val="0"/>
        </w:numPr>
        <w:ind w:firstLine="400"/>
        <w:pageBreakBefore w:val="0"/>
        <w:spacing w:line="360" w:lineRule="auto"/>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（1）常规心电图：自基层采集完成并上传至区域诊断中心起，诊断报告回传基层不超过</w:t>
      </w:r>
      <w:r>
        <w:rPr>
          <w:rFonts w:hint="eastAsia" w:asciiTheme="minorEastAsia" w:hAnsiTheme="minorEastAsia" w:eastAsiaTheme="minorEastAsia" w:cstheme="minorEastAsia"/>
          <w:color w:val="auto"/>
          <w:sz w:val="20"/>
          <w:szCs w:val="20"/>
          <w:highlight w:val="none"/>
          <w:lang w:val="en-US" w:eastAsia="zh-CN"/>
        </w:rPr>
        <w:t xml:space="preserve">30分钟</w:t>
      </w:r>
      <w:r>
        <w:rPr>
          <w:rFonts w:hint="eastAsia" w:asciiTheme="minorEastAsia" w:hAnsiTheme="minorEastAsia" w:eastAsiaTheme="minorEastAsia" w:cstheme="minorEastAsia"/>
          <w:color w:val="auto"/>
          <w:sz w:val="20"/>
          <w:szCs w:val="20"/>
          <w:highlight w:val="none"/>
        </w:rPr>
        <w:t xml:space="preserve">；</w:t>
      </w:r>
      <w:r/>
    </w:p>
    <w:p>
      <w:pPr>
        <w:pStyle w:val="773"/>
        <w:numPr>
          <w:ilvl w:val="0"/>
          <w:numId w:val="0"/>
        </w:numPr>
        <w:ind w:firstLine="400"/>
        <w:pageBreakBefore w:val="0"/>
        <w:spacing w:line="360" w:lineRule="auto"/>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（2）</w:t>
      </w:r>
      <w:r>
        <w:rPr>
          <w:rFonts w:hint="eastAsia" w:asciiTheme="minorEastAsia" w:hAnsiTheme="minorEastAsia" w:eastAsiaTheme="minorEastAsia" w:cstheme="minorEastAsia"/>
          <w:color w:val="auto"/>
          <w:sz w:val="20"/>
          <w:szCs w:val="20"/>
          <w:highlight w:val="none"/>
          <w:lang w:val="en-US" w:eastAsia="zh-CN"/>
        </w:rPr>
        <w:t xml:space="preserve">急诊/</w:t>
      </w:r>
      <w:r>
        <w:rPr>
          <w:rFonts w:hint="eastAsia" w:asciiTheme="minorEastAsia" w:hAnsiTheme="minorEastAsia" w:eastAsiaTheme="minorEastAsia" w:cstheme="minorEastAsia"/>
          <w:color w:val="auto"/>
          <w:sz w:val="20"/>
          <w:szCs w:val="20"/>
          <w:highlight w:val="none"/>
        </w:rPr>
        <w:t xml:space="preserve">加急/胸痛患者：系统自动标记加急，优先处理，报告回传不超过</w:t>
      </w:r>
      <w:r>
        <w:rPr>
          <w:rFonts w:hint="eastAsia" w:asciiTheme="minorEastAsia" w:hAnsiTheme="minorEastAsia" w:eastAsiaTheme="minorEastAsia" w:cstheme="minorEastAsia"/>
          <w:color w:val="auto"/>
          <w:sz w:val="20"/>
          <w:szCs w:val="20"/>
          <w:highlight w:val="none"/>
          <w:lang w:val="en-US" w:eastAsia="zh-CN"/>
        </w:rPr>
        <w:t xml:space="preserve">10</w:t>
      </w:r>
      <w:r>
        <w:rPr>
          <w:rFonts w:hint="eastAsia" w:asciiTheme="minorEastAsia" w:hAnsiTheme="minorEastAsia" w:eastAsiaTheme="minorEastAsia" w:cstheme="minorEastAsia"/>
          <w:color w:val="auto"/>
          <w:sz w:val="20"/>
          <w:szCs w:val="20"/>
          <w:highlight w:val="none"/>
        </w:rPr>
        <w:t xml:space="preserve">分钟；</w:t>
      </w:r>
      <w:r/>
    </w:p>
    <w:p>
      <w:pPr>
        <w:pStyle w:val="773"/>
        <w:numPr>
          <w:ilvl w:val="0"/>
          <w:numId w:val="0"/>
        </w:numPr>
        <w:ind w:firstLine="400"/>
        <w:pageBreakBefore w:val="0"/>
        <w:spacing w:line="360" w:lineRule="auto"/>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（3）危急值：系统自动识别后即时以弹窗、语音及微信推送指定专家，专家确认及回执形成闭环，自识别到通知专家不超过</w:t>
      </w:r>
      <w:r>
        <w:rPr>
          <w:rFonts w:hint="eastAsia" w:asciiTheme="minorEastAsia" w:hAnsiTheme="minorEastAsia" w:eastAsiaTheme="minorEastAsia" w:cstheme="minorEastAsia"/>
          <w:color w:val="auto"/>
          <w:sz w:val="20"/>
          <w:szCs w:val="20"/>
          <w:highlight w:val="none"/>
          <w:lang w:val="en-US" w:eastAsia="zh-CN"/>
        </w:rPr>
        <w:t xml:space="preserve">10</w:t>
      </w:r>
      <w:r>
        <w:rPr>
          <w:rFonts w:hint="eastAsia" w:asciiTheme="minorEastAsia" w:hAnsiTheme="minorEastAsia" w:eastAsiaTheme="minorEastAsia" w:cstheme="minorEastAsia"/>
          <w:color w:val="auto"/>
          <w:sz w:val="20"/>
          <w:szCs w:val="20"/>
          <w:highlight w:val="none"/>
        </w:rPr>
        <w:t xml:space="preserve">分钟，并全程留痕可查。</w:t>
      </w:r>
      <w:r/>
    </w:p>
    <w:p>
      <w:pPr>
        <w:ind w:firstLine="400"/>
        <w:pageBreakBefore w:val="0"/>
        <w:spacing w:line="360" w:lineRule="auto"/>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3.权限与数据隔离：按县、乡、村分级授权，医生仅可查看本组及未分组报告；隐私患者须指定专门的采集与诊断医生，患者信息以脱敏形式展示。</w:t>
      </w:r>
      <w:r/>
    </w:p>
    <w:p>
      <w:pPr>
        <w:jc w:val="left"/>
        <w:rPr>
          <w:rFonts w:ascii="宋体" w:hAnsi="宋体" w:cs="宋体"/>
          <w:b/>
          <w:color w:val="auto"/>
          <w:sz w:val="24"/>
          <w:szCs w:val="24"/>
          <w:highlight w:val="none"/>
        </w:rPr>
        <w:outlineLvl w:val="1"/>
      </w:pPr>
      <w:r>
        <w:rPr>
          <w:rFonts w:ascii="宋体" w:hAnsi="宋体" w:cs="宋体"/>
          <w:b/>
          <w:color w:val="auto"/>
          <w:sz w:val="24"/>
          <w:szCs w:val="24"/>
          <w:highlight w:val="none"/>
        </w:rPr>
      </w:r>
      <w:r/>
    </w:p>
    <w:p>
      <w:pPr>
        <w:jc w:val="left"/>
        <w:rPr>
          <w:rFonts w:ascii="宋体" w:hAnsi="宋体" w:cs="宋体"/>
          <w:b/>
          <w:color w:val="auto"/>
          <w:szCs w:val="28"/>
          <w:highlight w:val="none"/>
        </w:rPr>
        <w:outlineLvl w:val="1"/>
      </w:pPr>
      <w:r>
        <w:rPr>
          <w:rFonts w:ascii="宋体" w:hAnsi="宋体" w:cs="宋体"/>
          <w:b/>
          <w:color w:val="auto"/>
          <w:szCs w:val="28"/>
          <w:highlight w:val="none"/>
        </w:rPr>
      </w:r>
      <w:r/>
    </w:p>
    <w:p>
      <w:pPr>
        <w:spacing w:line="360" w:lineRule="auto"/>
        <w:rPr>
          <w:rFonts w:ascii="宋体" w:hAnsi="宋体"/>
          <w:color w:val="auto"/>
          <w:sz w:val="24"/>
          <w:szCs w:val="24"/>
          <w:highlight w:val="none"/>
          <w14:ligatures w14:val="standardContextual"/>
        </w:rPr>
      </w:pPr>
      <w:r>
        <w:rPr>
          <w:rFonts w:ascii="宋体" w:hAnsi="宋体"/>
          <w:color w:val="auto"/>
          <w:sz w:val="24"/>
          <w:szCs w:val="24"/>
          <w:highlight w:val="none"/>
          <w14:ligatures w14:val="standardContextual"/>
        </w:rPr>
      </w:r>
      <w:r/>
    </w:p>
    <w:p>
      <w:pPr>
        <w:jc w:val="left"/>
        <w:widowControl/>
        <w:rPr>
          <w:rFonts w:ascii="宋体" w:hAnsi="宋体"/>
          <w:b/>
          <w:bCs/>
          <w:color w:val="auto"/>
          <w:sz w:val="32"/>
          <w:szCs w:val="32"/>
          <w:highlight w:val="none"/>
          <w14:ligatures w14:val="standardContextual"/>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b/>
          <w:bCs/>
          <w:color w:val="auto"/>
          <w:sz w:val="32"/>
          <w:szCs w:val="32"/>
          <w:highlight w:val="none"/>
          <w14:ligatures w14:val="standardContextual"/>
        </w:rPr>
        <w:br w:type="page" w:clear="all"/>
      </w:r>
      <w:r/>
    </w:p>
    <w:p>
      <w:pPr>
        <w:rPr>
          <w:highlight w:val="none"/>
        </w:rPr>
      </w:pPr>
      <w:r>
        <w:rPr>
          <w:rFonts w:hint="eastAsia"/>
          <w:highlight w:val="none"/>
        </w:rPr>
        <w:t xml:space="preserve">一、硬件部分系统要求</w:t>
      </w:r>
      <w:r/>
    </w:p>
    <w:p>
      <w:pPr>
        <w:rPr>
          <w:highlight w:val="none"/>
        </w:rPr>
      </w:pPr>
      <w:r>
        <w:rPr>
          <w:highlight w:val="none"/>
        </w:rPr>
      </w:r>
      <w:r/>
    </w:p>
    <w:tbl>
      <w:tblPr>
        <w:tblStyle w:val="770"/>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164"/>
        <w:gridCol w:w="8161"/>
      </w:tblGrid>
      <w:tr>
        <w:trPr>
          <w:trHeight w:val="463"/>
        </w:trPr>
        <w:tc>
          <w:tcPr>
            <w:tcW w:w="318" w:type="pct"/>
            <w:vAlign w:val="center"/>
            <w:textDirection w:val="lrTb"/>
            <w:noWrap w:val="false"/>
          </w:tcPr>
          <w:p>
            <w:pPr>
              <w:jc w:val="center"/>
              <w:keepLines w:val="0"/>
              <w:keepNext w:val="0"/>
              <w:pageBreakBefore w:val="0"/>
              <w:spacing w:line="300" w:lineRule="exact"/>
              <w:widowControl/>
              <w:rPr>
                <w:rFonts w:ascii="宋体" w:hAnsi="宋体"/>
                <w:b/>
                <w:bCs/>
                <w:color w:val="auto"/>
                <w:sz w:val="20"/>
                <w:szCs w:val="20"/>
                <w:highlight w:val="none"/>
              </w:rPr>
            </w:pPr>
            <w:r>
              <w:rPr>
                <w:rFonts w:ascii="宋体" w:hAnsi="宋体"/>
                <w:b/>
                <w:bCs/>
                <w:color w:val="auto"/>
                <w:sz w:val="20"/>
                <w:szCs w:val="20"/>
                <w:highlight w:val="none"/>
              </w:rPr>
              <w:t xml:space="preserve">编号</w:t>
            </w:r>
            <w:r/>
          </w:p>
        </w:tc>
        <w:tc>
          <w:tcPr>
            <w:tcW w:w="584" w:type="pct"/>
            <w:vAlign w:val="center"/>
            <w:textDirection w:val="lrTb"/>
            <w:noWrap w:val="false"/>
          </w:tcPr>
          <w:p>
            <w:pPr>
              <w:jc w:val="center"/>
              <w:keepLines w:val="0"/>
              <w:keepNext w:val="0"/>
              <w:pageBreakBefore w:val="0"/>
              <w:spacing w:line="300" w:lineRule="exact"/>
              <w:widowControl/>
              <w:rPr>
                <w:rFonts w:ascii="宋体" w:hAnsi="宋体"/>
                <w:b/>
                <w:bCs/>
                <w:color w:val="auto"/>
                <w:sz w:val="20"/>
                <w:szCs w:val="20"/>
                <w:highlight w:val="none"/>
              </w:rPr>
            </w:pPr>
            <w:r>
              <w:rPr>
                <w:rFonts w:hint="eastAsia" w:ascii="宋体" w:hAnsi="宋体"/>
                <w:b/>
                <w:bCs/>
                <w:color w:val="auto"/>
                <w:sz w:val="20"/>
                <w:szCs w:val="20"/>
                <w:highlight w:val="none"/>
              </w:rPr>
              <w:t xml:space="preserve">产品</w:t>
            </w:r>
            <w:r/>
          </w:p>
        </w:tc>
        <w:tc>
          <w:tcPr>
            <w:tcW w:w="4096" w:type="pct"/>
            <w:vAlign w:val="center"/>
            <w:textDirection w:val="lrTb"/>
            <w:noWrap w:val="false"/>
          </w:tcPr>
          <w:p>
            <w:pPr>
              <w:jc w:val="center"/>
              <w:keepLines w:val="0"/>
              <w:keepNext w:val="0"/>
              <w:pageBreakBefore w:val="0"/>
              <w:spacing w:line="300" w:lineRule="exact"/>
              <w:widowControl/>
              <w:rPr>
                <w:rFonts w:ascii="宋体" w:hAnsi="宋体"/>
                <w:b/>
                <w:bCs/>
                <w:color w:val="auto"/>
                <w:sz w:val="20"/>
                <w:szCs w:val="20"/>
                <w:highlight w:val="none"/>
              </w:rPr>
            </w:pPr>
            <w:r>
              <w:rPr>
                <w:rFonts w:hint="eastAsia" w:ascii="宋体" w:hAnsi="宋体"/>
                <w:b/>
                <w:bCs/>
                <w:color w:val="auto"/>
                <w:sz w:val="20"/>
                <w:szCs w:val="20"/>
                <w:highlight w:val="none"/>
              </w:rPr>
              <w:t xml:space="preserve">功能描述</w:t>
            </w:r>
            <w:r/>
          </w:p>
        </w:tc>
      </w:tr>
      <w:tr>
        <w:trPr>
          <w:trHeight w:val="271"/>
        </w:trPr>
        <w:tc>
          <w:tcPr>
            <w:tcW w:w="318" w:type="pct"/>
            <w:vAlign w:val="center"/>
            <w:textDirection w:val="lrTb"/>
            <w:noWrap w:val="false"/>
          </w:tcPr>
          <w:p>
            <w:pPr>
              <w:pStyle w:val="1213"/>
              <w:numPr>
                <w:ilvl w:val="0"/>
                <w:numId w:val="13"/>
              </w:numPr>
              <w:ind w:left="0" w:firstLine="0"/>
              <w:jc w:val="center"/>
              <w:keepLines w:val="0"/>
              <w:keepNext w:val="0"/>
              <w:pageBreakBefore w:val="0"/>
              <w:spacing w:line="300" w:lineRule="exact"/>
              <w:rPr>
                <w:rFonts w:ascii="宋体" w:hAnsi="宋体"/>
                <w:color w:val="auto"/>
                <w:sz w:val="20"/>
                <w:szCs w:val="20"/>
                <w:highlight w:val="none"/>
              </w:rPr>
            </w:pPr>
            <w:r>
              <w:rPr>
                <w:rFonts w:ascii="宋体" w:hAnsi="宋体"/>
                <w:color w:val="auto"/>
                <w:sz w:val="20"/>
                <w:szCs w:val="20"/>
                <w:highlight w:val="none"/>
              </w:rPr>
            </w:r>
            <w:r/>
          </w:p>
        </w:tc>
        <w:tc>
          <w:tcPr>
            <w:tcW w:w="584" w:type="pct"/>
            <w:vAlign w:val="center"/>
            <w:textDirection w:val="lrTb"/>
            <w:noWrap w:val="false"/>
          </w:tcPr>
          <w:p>
            <w:pPr>
              <w:jc w:val="center"/>
              <w:keepLines w:val="0"/>
              <w:keepNext w:val="0"/>
              <w:pageBreakBefore w:val="0"/>
              <w:spacing w:line="300" w:lineRule="exact"/>
              <w:rPr>
                <w:rFonts w:ascii="宋体" w:hAnsi="宋体"/>
                <w:color w:val="auto"/>
                <w:sz w:val="20"/>
                <w:szCs w:val="20"/>
                <w:highlight w:val="none"/>
              </w:rPr>
            </w:pPr>
            <w:r>
              <w:rPr>
                <w:rFonts w:hint="eastAsia"/>
                <w:color w:val="auto"/>
                <w:sz w:val="20"/>
                <w:szCs w:val="20"/>
                <w:highlight w:val="none"/>
              </w:rPr>
              <w:t xml:space="preserve">全数字多道心电图机</w:t>
            </w:r>
            <w:r/>
          </w:p>
        </w:tc>
        <w:tc>
          <w:tcPr>
            <w:tcW w:w="4096" w:type="pct"/>
            <w:textDirection w:val="lrTb"/>
            <w:noWrap w:val="false"/>
          </w:tcPr>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val="en-US" w:eastAsia="zh-CN"/>
              </w:rPr>
              <w:t xml:space="preserve">1</w:t>
            </w:r>
            <w:r>
              <w:rPr>
                <w:rFonts w:hint="eastAsia" w:asciiTheme="minorEastAsia" w:hAnsiTheme="minorEastAsia" w:cstheme="minorEastAsia"/>
                <w:color w:val="auto"/>
                <w:sz w:val="20"/>
                <w:szCs w:val="20"/>
                <w:highlight w:val="none"/>
                <w:lang w:val="en-US" w:eastAsia="zh-CN"/>
              </w:rPr>
              <w:t xml:space="preserve">、设备为全数字多道心电图机，</w:t>
            </w:r>
            <w:r>
              <w:rPr>
                <w:rFonts w:hint="eastAsia" w:asciiTheme="minorEastAsia" w:hAnsiTheme="minorEastAsia" w:eastAsiaTheme="minorEastAsia" w:cstheme="minorEastAsia"/>
                <w:color w:val="auto"/>
                <w:sz w:val="20"/>
                <w:szCs w:val="20"/>
                <w:highlight w:val="none"/>
              </w:rPr>
              <w:t xml:space="preserve">支持标准12导心电图采集，适用于对人体心电信号的采集、显示、处理功能，供临床诊断；不接受心电采集盒模式。【提供医疗器械注册证首页及设备外观图片证明】</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2、</w:t>
            </w:r>
            <w:r>
              <w:rPr>
                <w:rFonts w:hint="eastAsia" w:asciiTheme="minorEastAsia" w:hAnsiTheme="minorEastAsia" w:eastAsiaTheme="minorEastAsia" w:cstheme="minorEastAsia"/>
                <w:color w:val="auto"/>
                <w:sz w:val="20"/>
                <w:szCs w:val="20"/>
                <w:highlight w:val="none"/>
              </w:rPr>
              <w:t xml:space="preserve">主机轻巧便携，产品重量≤1.5kg；</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3、</w:t>
            </w:r>
            <w:r>
              <w:rPr>
                <w:rFonts w:hint="eastAsia" w:asciiTheme="minorEastAsia" w:hAnsiTheme="minorEastAsia" w:eastAsiaTheme="minorEastAsia" w:cstheme="minorEastAsia"/>
                <w:color w:val="auto"/>
                <w:sz w:val="20"/>
                <w:szCs w:val="20"/>
                <w:highlight w:val="none"/>
              </w:rPr>
              <w:t xml:space="preserve">内置可充电锂电池，连续工作时间≥</w:t>
            </w:r>
            <w:r>
              <w:rPr>
                <w:rFonts w:hint="eastAsia" w:asciiTheme="minorEastAsia" w:hAnsiTheme="minorEastAsia" w:eastAsiaTheme="minorEastAsia" w:cstheme="minorEastAsia"/>
                <w:color w:val="auto"/>
                <w:sz w:val="20"/>
                <w:szCs w:val="20"/>
                <w:highlight w:val="none"/>
                <w:lang w:val="en-US" w:eastAsia="zh-CN"/>
              </w:rPr>
              <w:t xml:space="preserve">8</w:t>
            </w:r>
            <w:r>
              <w:rPr>
                <w:rFonts w:hint="eastAsia" w:asciiTheme="minorEastAsia" w:hAnsiTheme="minorEastAsia" w:eastAsiaTheme="minorEastAsia" w:cstheme="minorEastAsia"/>
                <w:color w:val="auto"/>
                <w:sz w:val="20"/>
                <w:szCs w:val="20"/>
                <w:highlight w:val="none"/>
              </w:rPr>
              <w:t xml:space="preserve">小时无记录测量；</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4、</w:t>
            </w:r>
            <w:r>
              <w:rPr>
                <w:rFonts w:hint="eastAsia" w:asciiTheme="minorEastAsia" w:hAnsiTheme="minorEastAsia" w:eastAsiaTheme="minorEastAsia" w:cstheme="minorEastAsia"/>
                <w:color w:val="auto"/>
                <w:sz w:val="20"/>
                <w:szCs w:val="20"/>
                <w:highlight w:val="none"/>
              </w:rPr>
              <w:t xml:space="preserve">频率响应范围：</w:t>
            </w:r>
            <w:r>
              <w:rPr>
                <w:rFonts w:hint="eastAsia" w:asciiTheme="minorEastAsia" w:hAnsiTheme="minorEastAsia" w:eastAsiaTheme="minorEastAsia" w:cstheme="minorEastAsia"/>
                <w:color w:val="auto"/>
                <w:sz w:val="20"/>
                <w:szCs w:val="20"/>
                <w:highlight w:val="none"/>
                <w:lang w:val="en-US" w:eastAsia="zh-CN"/>
              </w:rPr>
              <w:t xml:space="preserve">下限≤</w:t>
            </w:r>
            <w:r>
              <w:rPr>
                <w:rFonts w:hint="eastAsia" w:asciiTheme="minorEastAsia" w:hAnsiTheme="minorEastAsia" w:eastAsiaTheme="minorEastAsia" w:cstheme="minorEastAsia"/>
                <w:color w:val="auto"/>
                <w:sz w:val="20"/>
                <w:szCs w:val="20"/>
                <w:highlight w:val="none"/>
              </w:rPr>
              <w:t xml:space="preserve">0.0</w:t>
            </w:r>
            <w:r>
              <w:rPr>
                <w:rFonts w:hint="eastAsia" w:asciiTheme="minorEastAsia" w:hAnsiTheme="minorEastAsia" w:eastAsiaTheme="minorEastAsia" w:cstheme="minorEastAsia"/>
                <w:color w:val="auto"/>
                <w:sz w:val="20"/>
                <w:szCs w:val="20"/>
                <w:highlight w:val="none"/>
                <w:lang w:val="en-US" w:eastAsia="zh-CN"/>
              </w:rPr>
              <w:t xml:space="preserve">5</w:t>
            </w:r>
            <w:r>
              <w:rPr>
                <w:rFonts w:hint="eastAsia" w:asciiTheme="minorEastAsia" w:hAnsiTheme="minorEastAsia" w:eastAsiaTheme="minorEastAsia" w:cstheme="minorEastAsia"/>
                <w:color w:val="auto"/>
                <w:sz w:val="20"/>
                <w:szCs w:val="20"/>
                <w:highlight w:val="none"/>
              </w:rPr>
              <w:t xml:space="preserve">Hz </w:t>
            </w:r>
            <w:r>
              <w:rPr>
                <w:rFonts w:hint="eastAsia" w:asciiTheme="minorEastAsia" w:hAnsiTheme="minorEastAsia" w:eastAsiaTheme="minorEastAsia" w:cstheme="minorEastAsia"/>
                <w:color w:val="auto"/>
                <w:sz w:val="20"/>
                <w:szCs w:val="20"/>
                <w:highlight w:val="none"/>
                <w:lang w:eastAsia="zh-CN"/>
              </w:rPr>
              <w:t xml:space="preserve">、</w:t>
            </w:r>
            <w:r>
              <w:rPr>
                <w:rFonts w:hint="eastAsia" w:asciiTheme="minorEastAsia" w:hAnsiTheme="minorEastAsia" w:eastAsiaTheme="minorEastAsia" w:cstheme="minorEastAsia"/>
                <w:color w:val="auto"/>
                <w:sz w:val="20"/>
                <w:szCs w:val="20"/>
                <w:highlight w:val="none"/>
                <w:lang w:val="en-US" w:eastAsia="zh-CN"/>
              </w:rPr>
              <w:t xml:space="preserve">上限≥35</w:t>
            </w:r>
            <w:r>
              <w:rPr>
                <w:rFonts w:hint="eastAsia" w:asciiTheme="minorEastAsia" w:hAnsiTheme="minorEastAsia" w:eastAsiaTheme="minorEastAsia" w:cstheme="minorEastAsia"/>
                <w:color w:val="auto"/>
                <w:sz w:val="20"/>
                <w:szCs w:val="20"/>
                <w:highlight w:val="none"/>
              </w:rPr>
              <w:t xml:space="preserve">0Hz；</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5、最大</w:t>
            </w:r>
            <w:r>
              <w:rPr>
                <w:rFonts w:hint="eastAsia" w:asciiTheme="minorEastAsia" w:hAnsiTheme="minorEastAsia" w:eastAsiaTheme="minorEastAsia" w:cstheme="minorEastAsia"/>
                <w:color w:val="auto"/>
                <w:sz w:val="20"/>
                <w:szCs w:val="20"/>
                <w:highlight w:val="none"/>
              </w:rPr>
              <w:t xml:space="preserve">采样率：</w:t>
            </w:r>
            <w:r>
              <w:rPr>
                <w:rFonts w:hint="eastAsia" w:asciiTheme="minorEastAsia" w:hAnsiTheme="minorEastAsia" w:cstheme="minorEastAsia"/>
                <w:color w:val="auto"/>
                <w:sz w:val="20"/>
                <w:szCs w:val="20"/>
                <w:highlight w:val="none"/>
                <w:lang w:val="en-US" w:eastAsia="zh-CN"/>
              </w:rPr>
              <w:t xml:space="preserve">≥</w:t>
            </w:r>
            <w:r>
              <w:rPr>
                <w:rFonts w:hint="eastAsia" w:asciiTheme="minorEastAsia" w:hAnsiTheme="minorEastAsia" w:eastAsiaTheme="minorEastAsia" w:cstheme="minorEastAsia"/>
                <w:color w:val="auto"/>
                <w:sz w:val="20"/>
                <w:szCs w:val="20"/>
                <w:highlight w:val="none"/>
                <w:lang w:val="en-US" w:eastAsia="zh-CN"/>
              </w:rPr>
              <w:t xml:space="preserve">8</w:t>
            </w:r>
            <w:r>
              <w:rPr>
                <w:rFonts w:hint="eastAsia" w:asciiTheme="minorEastAsia" w:hAnsiTheme="minorEastAsia" w:eastAsiaTheme="minorEastAsia" w:cstheme="minorEastAsia"/>
                <w:color w:val="auto"/>
                <w:sz w:val="20"/>
                <w:szCs w:val="20"/>
                <w:highlight w:val="none"/>
              </w:rPr>
              <w:t xml:space="preserve">000Hz；</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6、</w:t>
            </w:r>
            <w:r>
              <w:rPr>
                <w:rFonts w:hint="eastAsia" w:asciiTheme="minorEastAsia" w:hAnsiTheme="minorEastAsia" w:eastAsiaTheme="minorEastAsia" w:cstheme="minorEastAsia"/>
                <w:color w:val="auto"/>
                <w:sz w:val="20"/>
                <w:szCs w:val="20"/>
                <w:highlight w:val="none"/>
              </w:rPr>
              <w:t xml:space="preserve">输入阻抗：≥100MΩ（10Hz）；</w:t>
            </w:r>
            <w:r/>
          </w:p>
          <w:p>
            <w:pPr>
              <w:keepLines w:val="0"/>
              <w:keepNext w:val="0"/>
              <w:pageBreakBefore w:val="0"/>
              <w:spacing w:line="300" w:lineRule="exact"/>
              <w:rPr>
                <w:rFonts w:hint="eastAsia" w:asciiTheme="minorEastAsia" w:hAnsiTheme="minorEastAsia" w:cstheme="minorEastAsia"/>
                <w:color w:val="auto"/>
                <w:sz w:val="20"/>
                <w:szCs w:val="20"/>
                <w:highlight w:val="none"/>
                <w:lang w:eastAsia="zh-CN"/>
              </w:rPr>
            </w:pPr>
            <w:r>
              <w:rPr>
                <w:rFonts w:hint="eastAsia" w:asciiTheme="minorEastAsia" w:hAnsiTheme="minorEastAsia" w:cstheme="minorEastAsia"/>
                <w:color w:val="auto"/>
                <w:sz w:val="20"/>
                <w:szCs w:val="20"/>
                <w:highlight w:val="none"/>
                <w:lang w:val="en-US" w:eastAsia="zh-CN"/>
              </w:rPr>
              <w:t xml:space="preserve">7、</w:t>
            </w:r>
            <w:r>
              <w:rPr>
                <w:rFonts w:hint="eastAsia" w:asciiTheme="minorEastAsia" w:hAnsiTheme="minorEastAsia" w:eastAsiaTheme="minorEastAsia" w:cstheme="minorEastAsia"/>
                <w:color w:val="auto"/>
                <w:sz w:val="20"/>
                <w:szCs w:val="20"/>
                <w:highlight w:val="none"/>
              </w:rPr>
              <w:t xml:space="preserve">内部噪声：≤12.5µVp-p</w:t>
            </w:r>
            <w:r>
              <w:rPr>
                <w:rFonts w:hint="eastAsia" w:asciiTheme="minorEastAsia" w:hAnsiTheme="minorEastAsia" w:cstheme="minorEastAsia"/>
                <w:color w:val="auto"/>
                <w:sz w:val="20"/>
                <w:szCs w:val="20"/>
                <w:highlight w:val="none"/>
                <w:lang w:eastAsia="zh-CN"/>
              </w:rPr>
              <w:t xml:space="preserve">；</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8、</w:t>
            </w:r>
            <w:r>
              <w:rPr>
                <w:rFonts w:hint="eastAsia" w:asciiTheme="minorEastAsia" w:hAnsiTheme="minorEastAsia" w:eastAsiaTheme="minorEastAsia" w:cstheme="minorEastAsia"/>
                <w:color w:val="auto"/>
                <w:sz w:val="20"/>
                <w:szCs w:val="20"/>
                <w:highlight w:val="none"/>
              </w:rPr>
              <w:t xml:space="preserve">共模抑制比： ≥1</w:t>
            </w:r>
            <w:r>
              <w:rPr>
                <w:rFonts w:hint="eastAsia" w:asciiTheme="minorEastAsia" w:hAnsiTheme="minorEastAsia" w:cstheme="minorEastAsia"/>
                <w:color w:val="auto"/>
                <w:sz w:val="20"/>
                <w:szCs w:val="20"/>
                <w:highlight w:val="none"/>
                <w:lang w:val="en-US" w:eastAsia="zh-CN"/>
              </w:rPr>
              <w:t xml:space="preserve">25</w:t>
            </w:r>
            <w:r>
              <w:rPr>
                <w:rFonts w:hint="eastAsia" w:asciiTheme="minorEastAsia" w:hAnsiTheme="minorEastAsia" w:eastAsiaTheme="minorEastAsia" w:cstheme="minorEastAsia"/>
                <w:color w:val="auto"/>
                <w:sz w:val="20"/>
                <w:szCs w:val="20"/>
                <w:highlight w:val="none"/>
              </w:rPr>
              <w:t xml:space="preserve">dB；</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9、</w:t>
            </w:r>
            <w:r>
              <w:rPr>
                <w:rFonts w:hint="eastAsia" w:asciiTheme="minorEastAsia" w:hAnsiTheme="minorEastAsia" w:eastAsiaTheme="minorEastAsia" w:cstheme="minorEastAsia"/>
                <w:color w:val="auto"/>
                <w:sz w:val="20"/>
                <w:szCs w:val="20"/>
                <w:highlight w:val="none"/>
              </w:rPr>
              <w:t xml:space="preserve">灵敏度选择：具备多档选择；</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10、</w:t>
            </w:r>
            <w:r>
              <w:rPr>
                <w:rFonts w:hint="eastAsia" w:asciiTheme="minorEastAsia" w:hAnsiTheme="minorEastAsia" w:eastAsiaTheme="minorEastAsia" w:cstheme="minorEastAsia"/>
                <w:color w:val="auto"/>
                <w:sz w:val="20"/>
                <w:szCs w:val="20"/>
                <w:highlight w:val="none"/>
              </w:rPr>
              <w:t xml:space="preserve">除颤防护：承受除颤放电，无数据丢失和损坏；</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11、</w:t>
            </w:r>
            <w:r>
              <w:rPr>
                <w:rFonts w:hint="eastAsia" w:asciiTheme="minorEastAsia" w:hAnsiTheme="minorEastAsia" w:eastAsiaTheme="minorEastAsia" w:cstheme="minorEastAsia"/>
                <w:color w:val="auto"/>
                <w:sz w:val="20"/>
                <w:szCs w:val="20"/>
                <w:highlight w:val="none"/>
              </w:rPr>
              <w:t xml:space="preserve">内置存储器支持存储≥1000 份心电图报告（非扩展存储）；</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12、</w:t>
            </w:r>
            <w:r>
              <w:rPr>
                <w:rFonts w:hint="eastAsia" w:asciiTheme="minorEastAsia" w:hAnsiTheme="minorEastAsia" w:eastAsiaTheme="minorEastAsia" w:cstheme="minorEastAsia"/>
                <w:color w:val="auto"/>
                <w:sz w:val="20"/>
                <w:szCs w:val="20"/>
                <w:highlight w:val="none"/>
              </w:rPr>
              <w:t xml:space="preserve">内置高分辨率热敏式点阵打印机；</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13、</w:t>
            </w:r>
            <w:r>
              <w:rPr>
                <w:rFonts w:hint="eastAsia" w:asciiTheme="minorEastAsia" w:hAnsiTheme="minorEastAsia" w:eastAsiaTheme="minorEastAsia" w:cstheme="minorEastAsia"/>
                <w:color w:val="auto"/>
                <w:sz w:val="20"/>
                <w:szCs w:val="20"/>
                <w:highlight w:val="none"/>
              </w:rPr>
              <w:t xml:space="preserve">支持一维码/二维码条码扫描仪，可快速录入病人信息；</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14、</w:t>
            </w:r>
            <w:r>
              <w:rPr>
                <w:rFonts w:hint="eastAsia" w:asciiTheme="minorEastAsia" w:hAnsiTheme="minorEastAsia" w:eastAsiaTheme="minorEastAsia" w:cstheme="minorEastAsia"/>
                <w:color w:val="auto"/>
                <w:sz w:val="20"/>
                <w:szCs w:val="20"/>
                <w:highlight w:val="none"/>
              </w:rPr>
              <w:t xml:space="preserve">具有关机延迟功能：自第一次低电量提示后，有</w:t>
            </w:r>
            <w:r>
              <w:rPr>
                <w:rFonts w:hint="eastAsia" w:asciiTheme="minorEastAsia" w:hAnsiTheme="minorEastAsia" w:eastAsiaTheme="minorEastAsia" w:cstheme="minorEastAsia"/>
                <w:color w:val="auto"/>
                <w:sz w:val="20"/>
                <w:szCs w:val="20"/>
                <w:highlight w:val="none"/>
                <w:lang w:val="en-US" w:eastAsia="zh-CN"/>
              </w:rPr>
              <w:t xml:space="preserve">≥3</w:t>
            </w:r>
            <w:r>
              <w:rPr>
                <w:rFonts w:hint="eastAsia" w:asciiTheme="minorEastAsia" w:hAnsiTheme="minorEastAsia" w:eastAsiaTheme="minorEastAsia" w:cstheme="minorEastAsia"/>
                <w:color w:val="auto"/>
                <w:sz w:val="20"/>
                <w:szCs w:val="20"/>
                <w:highlight w:val="none"/>
              </w:rPr>
              <w:t xml:space="preserve">分钟的关机延迟时间；</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15、</w:t>
            </w:r>
            <w:r>
              <w:rPr>
                <w:rFonts w:hint="eastAsia" w:asciiTheme="minorEastAsia" w:hAnsiTheme="minorEastAsia" w:eastAsiaTheme="minorEastAsia" w:cstheme="minorEastAsia"/>
                <w:color w:val="auto"/>
                <w:sz w:val="20"/>
                <w:szCs w:val="20"/>
                <w:highlight w:val="none"/>
              </w:rPr>
              <w:t xml:space="preserve">外部接口：USB接口，网络接口；</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16、</w:t>
            </w:r>
            <w:r>
              <w:rPr>
                <w:rFonts w:hint="eastAsia" w:asciiTheme="minorEastAsia" w:hAnsiTheme="minorEastAsia" w:eastAsiaTheme="minorEastAsia" w:cstheme="minorEastAsia"/>
                <w:color w:val="auto"/>
                <w:sz w:val="20"/>
                <w:szCs w:val="20"/>
                <w:highlight w:val="none"/>
              </w:rPr>
              <w:t xml:space="preserve">具备无线WIFI模块；</w:t>
            </w:r>
            <w:r/>
          </w:p>
          <w:p>
            <w:pPr>
              <w:pStyle w:val="1213"/>
              <w:numPr>
                <w:ilvl w:val="0"/>
                <w:numId w:val="0"/>
              </w:numPr>
              <w:keepLines w:val="0"/>
              <w:keepNext w:val="0"/>
              <w:pageBreakBefore w:val="0"/>
              <w:spacing w:line="300" w:lineRule="exact"/>
              <w:rPr>
                <w:rFonts w:ascii="宋体" w:hAnsi="宋体"/>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17、</w:t>
            </w:r>
            <w:r>
              <w:rPr>
                <w:rFonts w:hint="eastAsia" w:asciiTheme="minorEastAsia" w:hAnsiTheme="minorEastAsia" w:eastAsiaTheme="minorEastAsia" w:cstheme="minorEastAsia"/>
                <w:color w:val="auto"/>
                <w:sz w:val="20"/>
                <w:szCs w:val="20"/>
                <w:highlight w:val="none"/>
              </w:rPr>
              <w:t xml:space="preserve">具备HL7/DICOM/FTP标准协议，满足心电网络系统联网需求；</w:t>
            </w:r>
            <w:r/>
          </w:p>
        </w:tc>
      </w:tr>
      <w:tr>
        <w:trPr>
          <w:trHeight w:val="271"/>
        </w:trPr>
        <w:tc>
          <w:tcPr>
            <w:tcW w:w="318" w:type="pct"/>
            <w:vAlign w:val="center"/>
            <w:textDirection w:val="lrTb"/>
            <w:noWrap w:val="false"/>
          </w:tcPr>
          <w:p>
            <w:pPr>
              <w:pStyle w:val="1213"/>
              <w:ind w:firstLine="0"/>
              <w:keepLines w:val="0"/>
              <w:keepNext w:val="0"/>
              <w:pageBreakBefore w:val="0"/>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2</w:t>
            </w:r>
            <w:r/>
          </w:p>
        </w:tc>
        <w:tc>
          <w:tcPr>
            <w:tcW w:w="584" w:type="pct"/>
            <w:vAlign w:val="center"/>
            <w:textDirection w:val="lrTb"/>
            <w:noWrap w:val="false"/>
          </w:tcPr>
          <w:p>
            <w:pPr>
              <w:jc w:val="center"/>
              <w:keepLines w:val="0"/>
              <w:keepNext w:val="0"/>
              <w:pageBreakBefore w:val="0"/>
              <w:spacing w:line="300" w:lineRule="exact"/>
              <w:rPr>
                <w:rFonts w:ascii="宋体" w:hAnsi="宋体"/>
                <w:color w:val="auto"/>
                <w:sz w:val="20"/>
                <w:szCs w:val="20"/>
                <w:highlight w:val="none"/>
              </w:rPr>
            </w:pPr>
            <w:r>
              <w:rPr>
                <w:rFonts w:hint="eastAsia"/>
                <w:color w:val="auto"/>
                <w:sz w:val="20"/>
                <w:szCs w:val="20"/>
                <w:highlight w:val="none"/>
              </w:rPr>
              <w:t xml:space="preserve">数字式心电图机</w:t>
            </w:r>
            <w:r>
              <w:rPr>
                <w:rFonts w:hint="eastAsia" w:ascii="宋体" w:hAnsi="宋体"/>
                <w:color w:val="auto"/>
                <w:sz w:val="20"/>
                <w:szCs w:val="20"/>
                <w:highlight w:val="none"/>
              </w:rPr>
              <w:t xml:space="preserve">推车款</w:t>
            </w:r>
            <w:r/>
          </w:p>
        </w:tc>
        <w:tc>
          <w:tcPr>
            <w:tcW w:w="4096" w:type="pct"/>
            <w:textDirection w:val="lrTb"/>
            <w:noWrap w:val="false"/>
          </w:tcPr>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w:t>
            </w:r>
            <w:r>
              <w:rPr>
                <w:rFonts w:hint="eastAsia" w:asciiTheme="minorEastAsia" w:hAnsiTheme="minorEastAsia" w:eastAsiaTheme="minorEastAsia" w:cstheme="minorEastAsia"/>
                <w:color w:val="auto"/>
                <w:sz w:val="20"/>
                <w:szCs w:val="20"/>
                <w:highlight w:val="none"/>
              </w:rPr>
              <w:t xml:space="preserve">设备为12导数字式心电图机，支持12导心电图同步采集；适用于对人体心电信号的测量、采集、显示、处理和记录患者心电信号，供临床诊断；设备本身具备＞10英寸的显示屏，不接受心电采集盒模式。【提供医疗器械注册证首页及设备外观图片证明】</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2、</w:t>
            </w:r>
            <w:r>
              <w:rPr>
                <w:rFonts w:hint="eastAsia" w:asciiTheme="minorEastAsia" w:hAnsiTheme="minorEastAsia" w:eastAsiaTheme="minorEastAsia" w:cstheme="minorEastAsia"/>
                <w:color w:val="auto"/>
                <w:sz w:val="20"/>
                <w:szCs w:val="20"/>
                <w:highlight w:val="none"/>
              </w:rPr>
              <w:t xml:space="preserve">主机轻巧便携，产品重量≤1.5kg；</w:t>
            </w:r>
            <w:r/>
          </w:p>
          <w:p>
            <w:pPr>
              <w:keepLines w:val="0"/>
              <w:keepNext w:val="0"/>
              <w:pageBreakBefore w:val="0"/>
              <w:spacing w:line="300" w:lineRule="exact"/>
              <w:rPr>
                <w:rFonts w:hint="eastAsia" w:asciiTheme="minorEastAsia" w:hAnsiTheme="minorEastAsia" w:cstheme="minorEastAsia"/>
                <w:color w:val="auto"/>
                <w:sz w:val="20"/>
                <w:szCs w:val="20"/>
                <w:highlight w:val="none"/>
                <w:lang w:val="en-US" w:eastAsia="zh-CN"/>
              </w:rPr>
            </w:pPr>
            <w:r>
              <w:rPr>
                <w:rFonts w:hint="eastAsia" w:asciiTheme="minorEastAsia" w:hAnsiTheme="minorEastAsia" w:cstheme="minorEastAsia"/>
                <w:color w:val="auto"/>
                <w:sz w:val="20"/>
                <w:szCs w:val="20"/>
                <w:highlight w:val="none"/>
                <w:lang w:val="en-US" w:eastAsia="zh-CN"/>
              </w:rPr>
              <w:t xml:space="preserve">3、最长工作时间，≥10小时</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4、</w:t>
            </w:r>
            <w:r>
              <w:rPr>
                <w:rFonts w:hint="eastAsia" w:asciiTheme="minorEastAsia" w:hAnsiTheme="minorEastAsia" w:eastAsiaTheme="minorEastAsia" w:cstheme="minorEastAsia"/>
                <w:color w:val="auto"/>
                <w:sz w:val="20"/>
                <w:szCs w:val="20"/>
                <w:highlight w:val="none"/>
              </w:rPr>
              <w:t xml:space="preserve">频响范围：0.01Hz~350Hz（-30%～+10%）</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5、</w:t>
            </w:r>
            <w:r>
              <w:rPr>
                <w:rFonts w:hint="eastAsia" w:asciiTheme="minorEastAsia" w:hAnsiTheme="minorEastAsia" w:eastAsiaTheme="minorEastAsia" w:cstheme="minorEastAsia"/>
                <w:color w:val="auto"/>
                <w:sz w:val="20"/>
                <w:szCs w:val="20"/>
                <w:highlight w:val="none"/>
              </w:rPr>
              <w:t xml:space="preserve">采样率：</w:t>
            </w:r>
            <w:r>
              <w:rPr>
                <w:rFonts w:hint="eastAsia" w:asciiTheme="minorEastAsia" w:hAnsiTheme="minorEastAsia" w:cstheme="minorEastAsia"/>
                <w:color w:val="auto"/>
                <w:sz w:val="20"/>
                <w:szCs w:val="20"/>
                <w:highlight w:val="none"/>
                <w:lang w:val="en-US" w:eastAsia="zh-CN"/>
              </w:rPr>
              <w:t xml:space="preserve">1000Hz——32</w:t>
            </w:r>
            <w:r>
              <w:rPr>
                <w:rFonts w:hint="eastAsia" w:asciiTheme="minorEastAsia" w:hAnsiTheme="minorEastAsia" w:eastAsiaTheme="minorEastAsia" w:cstheme="minorEastAsia"/>
                <w:color w:val="auto"/>
                <w:sz w:val="20"/>
                <w:szCs w:val="20"/>
                <w:highlight w:val="none"/>
              </w:rPr>
              <w:t xml:space="preserve">000Hz；</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6、</w:t>
            </w:r>
            <w:r>
              <w:rPr>
                <w:rFonts w:hint="eastAsia" w:asciiTheme="minorEastAsia" w:hAnsiTheme="minorEastAsia" w:eastAsiaTheme="minorEastAsia" w:cstheme="minorEastAsia"/>
                <w:color w:val="auto"/>
                <w:sz w:val="20"/>
                <w:szCs w:val="20"/>
                <w:highlight w:val="none"/>
              </w:rPr>
              <w:t xml:space="preserve">输入阻抗：≥100MΩ（10Hz）；</w:t>
            </w:r>
            <w:r/>
          </w:p>
          <w:p>
            <w:pPr>
              <w:keepLines w:val="0"/>
              <w:keepNext w:val="0"/>
              <w:pageBreakBefore w:val="0"/>
              <w:spacing w:line="300" w:lineRule="exact"/>
              <w:rPr>
                <w:rFonts w:hint="eastAsia" w:asciiTheme="minorEastAsia" w:hAnsiTheme="minorEastAsia" w:cstheme="minorEastAsia"/>
                <w:color w:val="auto"/>
                <w:sz w:val="20"/>
                <w:szCs w:val="20"/>
                <w:highlight w:val="none"/>
                <w:lang w:eastAsia="zh-CN"/>
              </w:rPr>
            </w:pPr>
            <w:r>
              <w:rPr>
                <w:rFonts w:hint="eastAsia" w:asciiTheme="minorEastAsia" w:hAnsiTheme="minorEastAsia" w:cstheme="minorEastAsia"/>
                <w:color w:val="auto"/>
                <w:sz w:val="20"/>
                <w:szCs w:val="20"/>
                <w:highlight w:val="none"/>
                <w:lang w:val="en-US" w:eastAsia="zh-CN"/>
              </w:rPr>
              <w:t xml:space="preserve">7、</w:t>
            </w:r>
            <w:r>
              <w:rPr>
                <w:rFonts w:hint="eastAsia" w:asciiTheme="minorEastAsia" w:hAnsiTheme="minorEastAsia" w:eastAsiaTheme="minorEastAsia" w:cstheme="minorEastAsia"/>
                <w:color w:val="auto"/>
                <w:sz w:val="20"/>
                <w:szCs w:val="20"/>
                <w:highlight w:val="none"/>
              </w:rPr>
              <w:t xml:space="preserve">内部噪声：≤1</w:t>
            </w:r>
            <w:r>
              <w:rPr>
                <w:rFonts w:hint="eastAsia" w:asciiTheme="minorEastAsia" w:hAnsiTheme="minorEastAsia" w:cstheme="minorEastAsia"/>
                <w:color w:val="auto"/>
                <w:sz w:val="20"/>
                <w:szCs w:val="20"/>
                <w:highlight w:val="none"/>
                <w:lang w:val="en-US" w:eastAsia="zh-CN"/>
              </w:rPr>
              <w:t xml:space="preserve">2.5</w:t>
            </w:r>
            <w:r>
              <w:rPr>
                <w:rFonts w:hint="eastAsia" w:asciiTheme="minorEastAsia" w:hAnsiTheme="minorEastAsia" w:eastAsiaTheme="minorEastAsia" w:cstheme="minorEastAsia"/>
                <w:color w:val="auto"/>
                <w:sz w:val="20"/>
                <w:szCs w:val="20"/>
                <w:highlight w:val="none"/>
              </w:rPr>
              <w:t xml:space="preserve">µVp-p</w:t>
            </w:r>
            <w:r>
              <w:rPr>
                <w:rFonts w:hint="eastAsia" w:asciiTheme="minorEastAsia" w:hAnsiTheme="minorEastAsia" w:cstheme="minorEastAsia"/>
                <w:color w:val="auto"/>
                <w:sz w:val="20"/>
                <w:szCs w:val="20"/>
                <w:highlight w:val="none"/>
                <w:lang w:eastAsia="zh-CN"/>
              </w:rPr>
              <w:t xml:space="preserve">；</w:t>
            </w:r>
            <w:r/>
          </w:p>
          <w:p>
            <w:pPr>
              <w:keepLines w:val="0"/>
              <w:keepNext w:val="0"/>
              <w:pageBreakBefore w:val="0"/>
              <w:spacing w:line="300" w:lineRule="exact"/>
              <w:rPr>
                <w:rFonts w:hint="eastAsia" w:asciiTheme="minorEastAsia" w:hAnsiTheme="minorEastAsia" w:cstheme="minorEastAsia"/>
                <w:color w:val="auto"/>
                <w:sz w:val="20"/>
                <w:szCs w:val="20"/>
                <w:highlight w:val="none"/>
                <w:lang w:eastAsia="zh-CN"/>
              </w:rPr>
            </w:pPr>
            <w:r>
              <w:rPr>
                <w:rFonts w:hint="eastAsia" w:asciiTheme="minorEastAsia" w:hAnsiTheme="minorEastAsia" w:cstheme="minorEastAsia"/>
                <w:color w:val="auto"/>
                <w:sz w:val="20"/>
                <w:szCs w:val="20"/>
                <w:highlight w:val="none"/>
                <w:lang w:val="en-US" w:eastAsia="zh-CN"/>
              </w:rPr>
              <w:t xml:space="preserve">8、</w:t>
            </w:r>
            <w:r>
              <w:rPr>
                <w:rFonts w:hint="eastAsia" w:asciiTheme="minorEastAsia" w:hAnsiTheme="minorEastAsia" w:eastAsiaTheme="minorEastAsia" w:cstheme="minorEastAsia"/>
                <w:color w:val="auto"/>
                <w:sz w:val="20"/>
                <w:szCs w:val="20"/>
                <w:highlight w:val="none"/>
              </w:rPr>
              <w:t xml:space="preserve">共模抑制比：≥125dB</w:t>
            </w:r>
            <w:r>
              <w:rPr>
                <w:rFonts w:hint="eastAsia" w:asciiTheme="minorEastAsia" w:hAnsiTheme="minorEastAsia" w:cstheme="minorEastAsia"/>
                <w:color w:val="auto"/>
                <w:sz w:val="20"/>
                <w:szCs w:val="20"/>
                <w:highlight w:val="none"/>
                <w:lang w:eastAsia="zh-CN"/>
              </w:rPr>
              <w:t xml:space="preserve">；</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9、</w:t>
            </w:r>
            <w:r>
              <w:rPr>
                <w:rFonts w:hint="eastAsia" w:asciiTheme="minorEastAsia" w:hAnsiTheme="minorEastAsia" w:eastAsiaTheme="minorEastAsia" w:cstheme="minorEastAsia"/>
                <w:color w:val="auto"/>
                <w:sz w:val="20"/>
                <w:szCs w:val="20"/>
                <w:highlight w:val="none"/>
              </w:rPr>
              <w:t xml:space="preserve">增益要求：2.5mm/mV、5mm/mV、10mm/mV、20mm/mV，增益准确度±1%。</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10、</w:t>
            </w:r>
            <w:r>
              <w:rPr>
                <w:rFonts w:hint="eastAsia" w:asciiTheme="minorEastAsia" w:hAnsiTheme="minorEastAsia" w:eastAsiaTheme="minorEastAsia" w:cstheme="minorEastAsia"/>
                <w:color w:val="auto"/>
                <w:sz w:val="20"/>
                <w:szCs w:val="20"/>
                <w:highlight w:val="none"/>
              </w:rPr>
              <w:t xml:space="preserve">除颤防护：承受除颤放电，无数据丢失和损坏；</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11、</w:t>
            </w:r>
            <w:r>
              <w:rPr>
                <w:rFonts w:hint="eastAsia" w:asciiTheme="minorEastAsia" w:hAnsiTheme="minorEastAsia" w:eastAsiaTheme="minorEastAsia" w:cstheme="minorEastAsia"/>
                <w:color w:val="auto"/>
                <w:sz w:val="20"/>
                <w:szCs w:val="20"/>
                <w:highlight w:val="none"/>
              </w:rPr>
              <w:t xml:space="preserve">具有在有起搏器脉冲的情况下显示心电图的能力，具备全导联起搏检测，准确识别起搏信号。</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12、</w:t>
            </w:r>
            <w:r>
              <w:rPr>
                <w:rFonts w:hint="eastAsia" w:asciiTheme="minorEastAsia" w:hAnsiTheme="minorEastAsia" w:eastAsiaTheme="minorEastAsia" w:cstheme="minorEastAsia"/>
                <w:color w:val="auto"/>
                <w:sz w:val="20"/>
                <w:szCs w:val="20"/>
                <w:highlight w:val="none"/>
              </w:rPr>
              <w:t xml:space="preserve">心电图机支持批量下载预约记录功能，支持从心电网络系统获取预约的受检查者信息下发至心电图机并支持待检查列表显示，列表应包含检查姓名、性别、年龄等信息。【提供界面截图及医疗器械注册证相关证明材料】</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13、</w:t>
            </w:r>
            <w:r>
              <w:rPr>
                <w:rFonts w:hint="eastAsia" w:asciiTheme="minorEastAsia" w:hAnsiTheme="minorEastAsia" w:eastAsiaTheme="minorEastAsia" w:cstheme="minorEastAsia"/>
                <w:color w:val="auto"/>
                <w:sz w:val="20"/>
                <w:szCs w:val="20"/>
                <w:highlight w:val="none"/>
              </w:rPr>
              <w:t xml:space="preserve">检查管理：具有加采新报告、上传数据、重新上传、加急、加采图谱、重采图谱、编辑删除查询、同步、批量上传心电图功能。【提供界面截图及医疗器械注册证相关证明材料】</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14、</w:t>
            </w:r>
            <w:r>
              <w:rPr>
                <w:rFonts w:hint="eastAsia" w:asciiTheme="minorEastAsia" w:hAnsiTheme="minorEastAsia" w:eastAsiaTheme="minorEastAsia" w:cstheme="minorEastAsia"/>
                <w:color w:val="auto"/>
                <w:sz w:val="20"/>
                <w:szCs w:val="20"/>
                <w:highlight w:val="none"/>
              </w:rPr>
              <w:t xml:space="preserve">心电图机支持导联脱落、伪差、左右手接反、无法识别、心律失常波形的自动检测和提示功能。</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15、</w:t>
            </w:r>
            <w:r>
              <w:rPr>
                <w:rFonts w:hint="eastAsia" w:asciiTheme="minorEastAsia" w:hAnsiTheme="minorEastAsia" w:eastAsiaTheme="minorEastAsia" w:cstheme="minorEastAsia"/>
                <w:color w:val="auto"/>
                <w:sz w:val="20"/>
                <w:szCs w:val="20"/>
                <w:highlight w:val="none"/>
              </w:rPr>
              <w:t xml:space="preserve">支持消息实时提醒功能，如危急报告提醒、诊断退回提醒、导联纠错提醒、诊断完成提醒。</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16、</w:t>
            </w:r>
            <w:r>
              <w:rPr>
                <w:rFonts w:hint="eastAsia" w:asciiTheme="minorEastAsia" w:hAnsiTheme="minorEastAsia" w:eastAsiaTheme="minorEastAsia" w:cstheme="minorEastAsia"/>
                <w:color w:val="auto"/>
                <w:sz w:val="20"/>
                <w:szCs w:val="20"/>
                <w:highlight w:val="none"/>
              </w:rPr>
              <w:t xml:space="preserve">QTc参数测量：内置</w:t>
            </w:r>
            <w:r>
              <w:rPr>
                <w:rFonts w:hint="eastAsia" w:asciiTheme="minorEastAsia" w:hAnsiTheme="minorEastAsia" w:eastAsiaTheme="minorEastAsia" w:cstheme="minorEastAsia"/>
                <w:color w:val="auto"/>
                <w:sz w:val="20"/>
                <w:szCs w:val="20"/>
                <w:highlight w:val="none"/>
                <w:lang w:val="en-US" w:eastAsia="zh-CN"/>
              </w:rPr>
              <w:t xml:space="preserve">3</w:t>
            </w:r>
            <w:r>
              <w:rPr>
                <w:rFonts w:hint="eastAsia" w:asciiTheme="minorEastAsia" w:hAnsiTheme="minorEastAsia" w:eastAsiaTheme="minorEastAsia" w:cstheme="minorEastAsia"/>
                <w:color w:val="auto"/>
                <w:sz w:val="20"/>
                <w:szCs w:val="20"/>
                <w:highlight w:val="none"/>
              </w:rPr>
              <w:t xml:space="preserve">种以上测量算法，QTc计算方法可通过系统设置调阅并设置。</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17、</w:t>
            </w:r>
            <w:r>
              <w:rPr>
                <w:rFonts w:hint="eastAsia" w:asciiTheme="minorEastAsia" w:hAnsiTheme="minorEastAsia" w:eastAsiaTheme="minorEastAsia" w:cstheme="minorEastAsia"/>
                <w:color w:val="auto"/>
                <w:sz w:val="20"/>
                <w:szCs w:val="20"/>
                <w:highlight w:val="none"/>
              </w:rPr>
              <w:t xml:space="preserve">图谱采集具备自动记录功能，设置菜单中可设置图谱最小采集时长为10秒、20秒、30秒、1分钟、5分钟、10分钟、20分钟、30分钟或者10-1800秒中的任意时长。</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18、</w:t>
            </w:r>
            <w:r>
              <w:rPr>
                <w:rFonts w:hint="eastAsia" w:asciiTheme="minorEastAsia" w:hAnsiTheme="minorEastAsia" w:eastAsiaTheme="minorEastAsia" w:cstheme="minorEastAsia"/>
                <w:color w:val="auto"/>
                <w:sz w:val="20"/>
                <w:szCs w:val="20"/>
                <w:highlight w:val="none"/>
              </w:rPr>
              <w:t xml:space="preserve">支持急性心肌梗塞等异常心电图的自动识别，并以弹窗或语音提醒方式提醒医患人员优先诊断。【提供心肌梗死预警相关软件著作权证书复印件证明】</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 xml:space="preserve">记录测值包括：心率、电轴、P波时限、QRS时限、Q-T间期、P-R间期、QTc、T波、Rv5、Sv1等。</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19、</w:t>
            </w:r>
            <w:r>
              <w:rPr>
                <w:rFonts w:hint="eastAsia" w:asciiTheme="minorEastAsia" w:hAnsiTheme="minorEastAsia" w:eastAsiaTheme="minorEastAsia" w:cstheme="minorEastAsia"/>
                <w:color w:val="auto"/>
                <w:sz w:val="20"/>
                <w:szCs w:val="20"/>
                <w:highlight w:val="none"/>
              </w:rPr>
              <w:t xml:space="preserve">具备二维码导出图谱功能【提供界</w:t>
            </w:r>
            <w:bookmarkStart w:id="153" w:name="_GoBack"/>
            <w:r/>
            <w:bookmarkEnd w:id="153"/>
            <w:r>
              <w:rPr>
                <w:rFonts w:hint="eastAsia" w:asciiTheme="minorEastAsia" w:hAnsiTheme="minorEastAsia" w:eastAsiaTheme="minorEastAsia" w:cstheme="minorEastAsia"/>
                <w:color w:val="auto"/>
                <w:sz w:val="20"/>
                <w:szCs w:val="20"/>
                <w:highlight w:val="none"/>
              </w:rPr>
              <w:t xml:space="preserve">面截图及医疗器械注册证相关证明材料】</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20、</w:t>
            </w:r>
            <w:r>
              <w:rPr>
                <w:rFonts w:hint="eastAsia" w:asciiTheme="minorEastAsia" w:hAnsiTheme="minorEastAsia" w:eastAsiaTheme="minorEastAsia" w:cstheme="minorEastAsia"/>
                <w:color w:val="auto"/>
                <w:sz w:val="20"/>
                <w:szCs w:val="20"/>
                <w:highlight w:val="none"/>
              </w:rPr>
              <w:t xml:space="preserve">心电图机支持本地报告进行同屏对比【提供医疗器械注册证相关证明材料】</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21、</w:t>
            </w:r>
            <w:r>
              <w:rPr>
                <w:rFonts w:hint="eastAsia" w:asciiTheme="minorEastAsia" w:hAnsiTheme="minorEastAsia" w:eastAsiaTheme="minorEastAsia" w:cstheme="minorEastAsia"/>
                <w:color w:val="auto"/>
                <w:sz w:val="20"/>
                <w:szCs w:val="20"/>
                <w:highlight w:val="none"/>
              </w:rPr>
              <w:t xml:space="preserve">心电图机具备报告分享功能。【提供界面截图及医疗器械注册证相关证明材料】</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22、</w:t>
            </w:r>
            <w:r>
              <w:rPr>
                <w:rFonts w:hint="eastAsia" w:asciiTheme="minorEastAsia" w:hAnsiTheme="minorEastAsia" w:eastAsiaTheme="minorEastAsia" w:cstheme="minorEastAsia"/>
                <w:color w:val="auto"/>
                <w:sz w:val="20"/>
                <w:szCs w:val="20"/>
                <w:highlight w:val="none"/>
              </w:rPr>
              <w:t xml:space="preserve">存储量：支持</w:t>
            </w:r>
            <w:r>
              <w:rPr>
                <w:rFonts w:hint="eastAsia" w:asciiTheme="minorEastAsia" w:hAnsiTheme="minorEastAsia" w:eastAsiaTheme="minorEastAsia" w:cstheme="minorEastAsia"/>
                <w:color w:val="auto"/>
                <w:sz w:val="20"/>
                <w:szCs w:val="20"/>
                <w:highlight w:val="none"/>
                <w:lang w:val="en-US" w:eastAsia="zh-CN"/>
              </w:rPr>
              <w:t xml:space="preserve">≥</w:t>
            </w:r>
            <w:r>
              <w:rPr>
                <w:rFonts w:hint="eastAsia" w:asciiTheme="minorEastAsia" w:hAnsiTheme="minorEastAsia" w:eastAsiaTheme="minorEastAsia" w:cstheme="minorEastAsia"/>
                <w:color w:val="auto"/>
                <w:sz w:val="20"/>
                <w:szCs w:val="20"/>
                <w:highlight w:val="none"/>
              </w:rPr>
              <w:t xml:space="preserve">10000份心电数据存储</w:t>
            </w:r>
            <w:r/>
          </w:p>
          <w:p>
            <w:pPr>
              <w:keepLines w:val="0"/>
              <w:keepNext w:val="0"/>
              <w:pageBreakBefore w:val="0"/>
              <w:spacing w:line="300" w:lineRule="exact"/>
              <w:rPr>
                <w:rFonts w:hint="eastAsia" w:asciiTheme="minorEastAsia" w:hAnsiTheme="minorEastAsia" w:eastAsiaTheme="minorEastAsia" w:cstheme="minorEastAsia"/>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23、</w:t>
            </w:r>
            <w:r>
              <w:rPr>
                <w:rFonts w:hint="eastAsia" w:asciiTheme="minorEastAsia" w:hAnsiTheme="minorEastAsia" w:eastAsiaTheme="minorEastAsia" w:cstheme="minorEastAsia"/>
                <w:color w:val="auto"/>
                <w:sz w:val="20"/>
                <w:szCs w:val="20"/>
                <w:highlight w:val="none"/>
              </w:rPr>
              <w:t xml:space="preserve">数据传输功能：具有有线（LAN口）、内置无线WiFi、4G功能，支持将心电波形及受检者信息传输至心电系统。</w:t>
            </w:r>
            <w:r/>
          </w:p>
          <w:p>
            <w:pPr>
              <w:keepLines w:val="0"/>
              <w:keepNext w:val="0"/>
              <w:pageBreakBefore w:val="0"/>
              <w:spacing w:line="300" w:lineRule="exact"/>
              <w:rPr>
                <w:rFonts w:ascii="宋体" w:hAnsi="宋体"/>
                <w:color w:val="auto"/>
                <w:sz w:val="20"/>
                <w:szCs w:val="20"/>
                <w:highlight w:val="none"/>
              </w:rPr>
            </w:pPr>
            <w:r>
              <w:rPr>
                <w:rFonts w:hint="eastAsia" w:asciiTheme="minorEastAsia" w:hAnsiTheme="minorEastAsia" w:cstheme="minorEastAsia"/>
                <w:color w:val="auto"/>
                <w:sz w:val="20"/>
                <w:szCs w:val="20"/>
                <w:highlight w:val="none"/>
                <w:lang w:val="en-US" w:eastAsia="zh-CN"/>
              </w:rPr>
              <w:t xml:space="preserve">24</w:t>
            </w:r>
            <w:r>
              <w:rPr>
                <w:rFonts w:hint="eastAsia" w:asciiTheme="minorEastAsia" w:hAnsiTheme="minorEastAsia" w:eastAsiaTheme="minorEastAsia" w:cstheme="minorEastAsia"/>
                <w:color w:val="auto"/>
                <w:sz w:val="20"/>
                <w:szCs w:val="20"/>
                <w:highlight w:val="none"/>
                <w:lang w:val="en-US" w:eastAsia="zh-CN"/>
              </w:rPr>
              <w:t xml:space="preserve">、每台心电图机需配置一台专用推车。</w:t>
            </w:r>
            <w:r/>
          </w:p>
        </w:tc>
      </w:tr>
      <w:tr>
        <w:trPr>
          <w:trHeight w:val="271"/>
        </w:trPr>
        <w:tc>
          <w:tcPr>
            <w:tcW w:w="318" w:type="pct"/>
            <w:vAlign w:val="center"/>
            <w:textDirection w:val="lrTb"/>
            <w:noWrap w:val="false"/>
          </w:tcPr>
          <w:p>
            <w:pPr>
              <w:pStyle w:val="1213"/>
              <w:ind w:firstLine="0"/>
              <w:keepLines w:val="0"/>
              <w:keepNext w:val="0"/>
              <w:pageBreakBefore w:val="0"/>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3</w:t>
            </w:r>
            <w:r/>
          </w:p>
        </w:tc>
        <w:tc>
          <w:tcPr>
            <w:tcW w:w="584" w:type="pct"/>
            <w:vAlign w:val="center"/>
            <w:textDirection w:val="lrTb"/>
            <w:noWrap w:val="false"/>
          </w:tcPr>
          <w:p>
            <w:pPr>
              <w:jc w:val="center"/>
              <w:keepLines w:val="0"/>
              <w:keepNext w:val="0"/>
              <w:pageBreakBefore w:val="0"/>
              <w:spacing w:line="300" w:lineRule="exact"/>
              <w:rPr>
                <w:b/>
                <w:bCs/>
                <w:color w:val="auto"/>
                <w:sz w:val="20"/>
                <w:szCs w:val="20"/>
                <w:highlight w:val="none"/>
              </w:rPr>
            </w:pPr>
            <w:r>
              <w:rPr>
                <w:rFonts w:hint="eastAsia"/>
                <w:color w:val="auto"/>
                <w:sz w:val="20"/>
                <w:szCs w:val="20"/>
                <w:highlight w:val="none"/>
              </w:rPr>
              <w:t xml:space="preserve">专用推车</w:t>
            </w:r>
            <w:r/>
          </w:p>
        </w:tc>
        <w:tc>
          <w:tcPr>
            <w:tcW w:w="4096" w:type="pct"/>
            <w:vAlign w:val="center"/>
            <w:textDirection w:val="lrTb"/>
            <w:noWrap w:val="false"/>
          </w:tcPr>
          <w:p>
            <w:pPr>
              <w:pStyle w:val="1213"/>
              <w:numPr>
                <w:ilvl w:val="0"/>
                <w:numId w:val="14"/>
              </w:numPr>
              <w:jc w:val="left"/>
              <w:keepLines w:val="0"/>
              <w:keepNext w:val="0"/>
              <w:pageBreakBefore w:val="0"/>
              <w:spacing w:line="300" w:lineRule="exact"/>
              <w:widowControl/>
              <w:rPr>
                <w:color w:val="auto"/>
                <w:sz w:val="20"/>
                <w:szCs w:val="20"/>
                <w:highlight w:val="none"/>
              </w:rPr>
            </w:pPr>
            <w:r>
              <w:rPr>
                <w:rFonts w:hint="eastAsia"/>
                <w:color w:val="auto"/>
                <w:sz w:val="20"/>
                <w:szCs w:val="20"/>
                <w:highlight w:val="none"/>
              </w:rPr>
              <w:t xml:space="preserve">推车由</w:t>
            </w:r>
            <w:r>
              <w:rPr>
                <w:color w:val="auto"/>
                <w:sz w:val="20"/>
                <w:szCs w:val="20"/>
                <w:highlight w:val="none"/>
              </w:rPr>
              <w:t xml:space="preserve">车轮、底座、金属连杆、车篓、金属平台、推手</w:t>
            </w:r>
            <w:r>
              <w:rPr>
                <w:rFonts w:hint="eastAsia"/>
                <w:color w:val="auto"/>
                <w:sz w:val="20"/>
                <w:szCs w:val="20"/>
                <w:highlight w:val="none"/>
              </w:rPr>
              <w:t xml:space="preserve">组成；</w:t>
            </w:r>
            <w:r/>
          </w:p>
          <w:p>
            <w:pPr>
              <w:pStyle w:val="1213"/>
              <w:numPr>
                <w:ilvl w:val="0"/>
                <w:numId w:val="14"/>
              </w:numPr>
              <w:jc w:val="left"/>
              <w:keepLines w:val="0"/>
              <w:keepNext w:val="0"/>
              <w:pageBreakBefore w:val="0"/>
              <w:spacing w:line="300" w:lineRule="exact"/>
              <w:widowControl/>
              <w:rPr>
                <w:color w:val="auto"/>
                <w:sz w:val="20"/>
                <w:szCs w:val="20"/>
                <w:highlight w:val="none"/>
              </w:rPr>
            </w:pPr>
            <w:r>
              <w:rPr>
                <w:rFonts w:hint="eastAsia"/>
                <w:color w:val="auto"/>
                <w:sz w:val="20"/>
                <w:szCs w:val="20"/>
                <w:highlight w:val="none"/>
              </w:rPr>
              <w:t xml:space="preserve">具备</w:t>
            </w:r>
            <w:r>
              <w:rPr>
                <w:color w:val="auto"/>
                <w:sz w:val="20"/>
                <w:szCs w:val="20"/>
                <w:highlight w:val="none"/>
              </w:rPr>
              <w:t xml:space="preserve">万向轮，每个车轮都带有自刹车功能</w:t>
            </w:r>
            <w:r>
              <w:rPr>
                <w:rFonts w:hint="eastAsia"/>
                <w:color w:val="auto"/>
                <w:sz w:val="20"/>
                <w:szCs w:val="20"/>
                <w:highlight w:val="none"/>
              </w:rPr>
              <w:t xml:space="preserve">；</w:t>
            </w:r>
            <w:r/>
          </w:p>
        </w:tc>
      </w:tr>
      <w:tr>
        <w:trPr>
          <w:trHeight w:val="271"/>
        </w:trPr>
        <w:tc>
          <w:tcPr>
            <w:tcW w:w="318" w:type="pct"/>
            <w:vAlign w:val="center"/>
            <w:textDirection w:val="lrTb"/>
            <w:noWrap w:val="false"/>
          </w:tcPr>
          <w:p>
            <w:pPr>
              <w:pStyle w:val="1213"/>
              <w:ind w:firstLine="0"/>
              <w:keepLines w:val="0"/>
              <w:keepNext w:val="0"/>
              <w:pageBreakBefore w:val="0"/>
              <w:spacing w:line="300" w:lineRule="exact"/>
              <w:rPr>
                <w:rFonts w:hint="eastAsia" w:ascii="宋体" w:hAnsi="宋体" w:eastAsia="宋体"/>
                <w:color w:val="auto"/>
                <w:sz w:val="20"/>
                <w:szCs w:val="20"/>
                <w:highlight w:val="none"/>
                <w:lang w:eastAsia="zh-CN"/>
              </w:rPr>
            </w:pPr>
            <w:r>
              <w:rPr>
                <w:rFonts w:hint="eastAsia" w:ascii="宋体" w:hAnsi="宋体"/>
                <w:color w:val="auto"/>
                <w:sz w:val="20"/>
                <w:szCs w:val="20"/>
                <w:highlight w:val="none"/>
                <w:lang w:val="en-US" w:eastAsia="zh-CN"/>
              </w:rPr>
              <w:t xml:space="preserve">4</w:t>
            </w:r>
            <w:r/>
          </w:p>
        </w:tc>
        <w:tc>
          <w:tcPr>
            <w:tcW w:w="584" w:type="pct"/>
            <w:vAlign w:val="center"/>
            <w:textDirection w:val="lrTb"/>
            <w:noWrap w:val="false"/>
          </w:tcPr>
          <w:p>
            <w:pPr>
              <w:jc w:val="center"/>
              <w:keepLines w:val="0"/>
              <w:keepNext w:val="0"/>
              <w:pageBreakBefore w:val="0"/>
              <w:spacing w:line="300" w:lineRule="exact"/>
              <w:rPr>
                <w:b/>
                <w:bCs/>
                <w:color w:val="auto"/>
                <w:sz w:val="20"/>
                <w:szCs w:val="20"/>
                <w:highlight w:val="none"/>
              </w:rPr>
            </w:pPr>
            <w:r>
              <w:rPr>
                <w:rFonts w:hint="eastAsia"/>
                <w:color w:val="auto"/>
                <w:sz w:val="20"/>
                <w:szCs w:val="20"/>
                <w:highlight w:val="none"/>
              </w:rPr>
              <w:t xml:space="preserve">显示大屏</w:t>
            </w:r>
            <w:r/>
          </w:p>
        </w:tc>
        <w:tc>
          <w:tcPr>
            <w:tcW w:w="4096" w:type="pct"/>
            <w:vAlign w:val="center"/>
            <w:textDirection w:val="lrTb"/>
            <w:noWrap w:val="false"/>
          </w:tcPr>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lang w:val="en-US" w:eastAsia="zh-CN"/>
              </w:rPr>
              <w:t xml:space="preserve">1、</w:t>
            </w:r>
            <w:r>
              <w:rPr>
                <w:rFonts w:hint="eastAsia"/>
                <w:color w:val="auto"/>
                <w:sz w:val="20"/>
                <w:szCs w:val="20"/>
                <w:highlight w:val="none"/>
              </w:rPr>
              <w:t xml:space="preserve">屏幕尺寸：65英寸，满足多人同时观看需求，如会诊室或培训室。</w:t>
            </w:r>
            <w:r/>
          </w:p>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lang w:val="en-US" w:eastAsia="zh-CN"/>
              </w:rPr>
              <w:t xml:space="preserve">2、</w:t>
            </w:r>
            <w:r>
              <w:rPr>
                <w:rFonts w:hint="eastAsia"/>
                <w:color w:val="auto"/>
                <w:sz w:val="20"/>
                <w:szCs w:val="20"/>
                <w:highlight w:val="none"/>
              </w:rPr>
              <w:t xml:space="preserve">分辨率：</w:t>
            </w:r>
            <w:r>
              <w:rPr>
                <w:rFonts w:hint="eastAsia"/>
                <w:color w:val="auto"/>
                <w:sz w:val="20"/>
                <w:szCs w:val="20"/>
                <w:highlight w:val="none"/>
                <w:lang w:val="en-US" w:eastAsia="zh-CN"/>
              </w:rPr>
              <w:t xml:space="preserve">不低于</w:t>
            </w:r>
            <w:r>
              <w:rPr>
                <w:rFonts w:hint="eastAsia"/>
                <w:color w:val="auto"/>
                <w:sz w:val="20"/>
                <w:szCs w:val="20"/>
                <w:highlight w:val="none"/>
              </w:rPr>
              <w:t xml:space="preserve">4K超高清（3840×2160），确保心电图波形细节清晰可辨，避免像素化影响诊断。</w:t>
            </w:r>
            <w:r/>
          </w:p>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lang w:val="en-US" w:eastAsia="zh-CN"/>
              </w:rPr>
              <w:t xml:space="preserve">3、</w:t>
            </w:r>
            <w:r>
              <w:rPr>
                <w:rFonts w:hint="eastAsia"/>
                <w:color w:val="auto"/>
                <w:sz w:val="20"/>
                <w:szCs w:val="20"/>
                <w:highlight w:val="none"/>
              </w:rPr>
              <w:t xml:space="preserve">操作系统：Android 9 系统。</w:t>
            </w:r>
            <w:r/>
          </w:p>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lang w:val="en-US" w:eastAsia="zh-CN"/>
              </w:rPr>
              <w:t xml:space="preserve">4、</w:t>
            </w:r>
            <w:r>
              <w:rPr>
                <w:rFonts w:hint="eastAsia"/>
                <w:color w:val="auto"/>
                <w:sz w:val="20"/>
                <w:szCs w:val="20"/>
                <w:highlight w:val="none"/>
              </w:rPr>
              <w:t xml:space="preserve">处理器与内存：A35*4核，GPU:Mali-G31 MP2 双核，内存：2GB容量。</w:t>
            </w:r>
            <w:r/>
          </w:p>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rPr>
              <w:t xml:space="preserve">5、存储容量：32GB容量。</w:t>
            </w:r>
            <w:r/>
          </w:p>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lang w:val="en-US" w:eastAsia="zh-CN"/>
              </w:rPr>
              <w:t xml:space="preserve">6、</w:t>
            </w:r>
            <w:r>
              <w:rPr>
                <w:rFonts w:hint="eastAsia"/>
                <w:color w:val="auto"/>
                <w:sz w:val="20"/>
                <w:szCs w:val="20"/>
                <w:highlight w:val="none"/>
              </w:rPr>
              <w:t xml:space="preserve">接口配置：</w:t>
            </w:r>
            <w:r/>
          </w:p>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lang w:eastAsia="zh-CN"/>
              </w:rPr>
              <w:t xml:space="preserve">（</w:t>
            </w:r>
            <w:r>
              <w:rPr>
                <w:rFonts w:hint="eastAsia"/>
                <w:color w:val="auto"/>
                <w:sz w:val="20"/>
                <w:szCs w:val="20"/>
                <w:highlight w:val="none"/>
                <w:lang w:val="en-US" w:eastAsia="zh-CN"/>
              </w:rPr>
              <w:t xml:space="preserve">1）</w:t>
            </w:r>
            <w:r>
              <w:rPr>
                <w:rFonts w:hint="eastAsia"/>
                <w:color w:val="auto"/>
                <w:sz w:val="20"/>
                <w:szCs w:val="20"/>
                <w:highlight w:val="none"/>
              </w:rPr>
              <w:t xml:space="preserve">HDMI 2.0及以上接口×2，用于连接心电图机、电脑或网络盒子；</w:t>
            </w:r>
            <w:r/>
          </w:p>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lang w:eastAsia="zh-CN"/>
              </w:rPr>
              <w:t xml:space="preserve">（</w:t>
            </w:r>
            <w:r>
              <w:rPr>
                <w:rFonts w:hint="eastAsia"/>
                <w:color w:val="auto"/>
                <w:sz w:val="20"/>
                <w:szCs w:val="20"/>
                <w:highlight w:val="none"/>
                <w:lang w:val="en-US" w:eastAsia="zh-CN"/>
              </w:rPr>
              <w:t xml:space="preserve">2）</w:t>
            </w:r>
            <w:r>
              <w:rPr>
                <w:rFonts w:hint="eastAsia"/>
                <w:color w:val="auto"/>
                <w:sz w:val="20"/>
                <w:szCs w:val="20"/>
                <w:highlight w:val="none"/>
              </w:rPr>
              <w:t xml:space="preserve">USB 3.0接口×2，支持外接键盘、鼠标或U盘传输数据；</w:t>
            </w:r>
            <w:r/>
          </w:p>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lang w:eastAsia="zh-CN"/>
              </w:rPr>
              <w:t xml:space="preserve">（</w:t>
            </w:r>
            <w:r>
              <w:rPr>
                <w:rFonts w:hint="eastAsia"/>
                <w:color w:val="auto"/>
                <w:sz w:val="20"/>
                <w:szCs w:val="20"/>
                <w:highlight w:val="none"/>
                <w:lang w:val="en-US" w:eastAsia="zh-CN"/>
              </w:rPr>
              <w:t xml:space="preserve">3）</w:t>
            </w:r>
            <w:r>
              <w:rPr>
                <w:rFonts w:hint="eastAsia"/>
                <w:color w:val="auto"/>
                <w:sz w:val="20"/>
                <w:szCs w:val="20"/>
                <w:highlight w:val="none"/>
              </w:rPr>
              <w:t xml:space="preserve">RJ45网口，便于接入医院内网系统，保障数据安全与稳定传输；</w:t>
            </w:r>
            <w:r/>
          </w:p>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lang w:val="en-US" w:eastAsia="zh-CN"/>
              </w:rPr>
              <w:t xml:space="preserve">7、</w:t>
            </w:r>
            <w:r>
              <w:rPr>
                <w:rFonts w:hint="eastAsia"/>
                <w:color w:val="auto"/>
                <w:sz w:val="20"/>
                <w:szCs w:val="20"/>
                <w:highlight w:val="none"/>
              </w:rPr>
              <w:t xml:space="preserve">亮度与对比度：亮度≥</w:t>
            </w:r>
            <w:r>
              <w:rPr>
                <w:rFonts w:hint="eastAsia"/>
                <w:color w:val="auto"/>
                <w:sz w:val="20"/>
                <w:szCs w:val="20"/>
                <w:highlight w:val="none"/>
                <w:lang w:val="en-US" w:eastAsia="zh-CN"/>
              </w:rPr>
              <w:t xml:space="preserve">2</w:t>
            </w:r>
            <w:r>
              <w:rPr>
                <w:rFonts w:hint="eastAsia"/>
                <w:color w:val="auto"/>
                <w:sz w:val="20"/>
                <w:szCs w:val="20"/>
                <w:highlight w:val="none"/>
              </w:rPr>
              <w:t xml:space="preserve">00nit，对比度≥</w:t>
            </w:r>
            <w:r>
              <w:rPr>
                <w:rFonts w:hint="eastAsia"/>
                <w:color w:val="auto"/>
                <w:sz w:val="20"/>
                <w:szCs w:val="20"/>
                <w:highlight w:val="none"/>
                <w:lang w:val="en-US" w:eastAsia="zh-CN"/>
              </w:rPr>
              <w:t xml:space="preserve">12</w:t>
            </w:r>
            <w:r>
              <w:rPr>
                <w:rFonts w:hint="eastAsia"/>
                <w:color w:val="auto"/>
                <w:sz w:val="20"/>
                <w:szCs w:val="20"/>
                <w:highlight w:val="none"/>
              </w:rPr>
              <w:t xml:space="preserve">00:1，确保在诊室强光环境下图像清晰可读，无拖影、无眩光。</w:t>
            </w:r>
            <w:r/>
          </w:p>
          <w:p>
            <w:pPr>
              <w:pStyle w:val="1213"/>
              <w:numPr>
                <w:ilvl w:val="0"/>
                <w:numId w:val="0"/>
              </w:numPr>
              <w:jc w:val="left"/>
              <w:keepLines w:val="0"/>
              <w:keepNext w:val="0"/>
              <w:pageBreakBefore w:val="0"/>
              <w:spacing w:line="300" w:lineRule="exact"/>
              <w:widowControl/>
              <w:rPr>
                <w:rFonts w:hint="eastAsia"/>
                <w:color w:val="auto"/>
                <w:sz w:val="20"/>
                <w:szCs w:val="20"/>
                <w:highlight w:val="none"/>
              </w:rPr>
            </w:pPr>
            <w:r>
              <w:rPr>
                <w:rFonts w:hint="eastAsia"/>
                <w:color w:val="auto"/>
                <w:sz w:val="20"/>
                <w:szCs w:val="20"/>
                <w:highlight w:val="none"/>
                <w:lang w:val="en-US" w:eastAsia="zh-CN"/>
              </w:rPr>
              <w:t xml:space="preserve">8、</w:t>
            </w:r>
            <w:r>
              <w:rPr>
                <w:rFonts w:hint="eastAsia"/>
                <w:color w:val="auto"/>
                <w:sz w:val="20"/>
                <w:szCs w:val="20"/>
                <w:highlight w:val="none"/>
              </w:rPr>
              <w:t xml:space="preserve">刷新率：</w:t>
            </w:r>
            <w:r>
              <w:rPr>
                <w:rFonts w:hint="eastAsia"/>
                <w:color w:val="auto"/>
                <w:sz w:val="20"/>
                <w:szCs w:val="20"/>
                <w:highlight w:val="none"/>
                <w:lang w:val="en-US" w:eastAsia="zh-CN"/>
              </w:rPr>
              <w:t xml:space="preserve">≥</w:t>
            </w:r>
            <w:r>
              <w:rPr>
                <w:rFonts w:hint="eastAsia"/>
                <w:color w:val="auto"/>
                <w:sz w:val="20"/>
                <w:szCs w:val="20"/>
                <w:highlight w:val="none"/>
              </w:rPr>
              <w:t xml:space="preserve">60Hz及以上，若用于动态心电图波形实时显示。</w:t>
            </w:r>
            <w:r/>
          </w:p>
          <w:p>
            <w:pPr>
              <w:pStyle w:val="1213"/>
              <w:numPr>
                <w:ilvl w:val="0"/>
                <w:numId w:val="0"/>
              </w:numPr>
              <w:jc w:val="left"/>
              <w:keepLines w:val="0"/>
              <w:keepNext w:val="0"/>
              <w:pageBreakBefore w:val="0"/>
              <w:spacing w:line="300" w:lineRule="exact"/>
              <w:widowControl/>
              <w:rPr>
                <w:color w:val="auto"/>
                <w:sz w:val="20"/>
                <w:szCs w:val="20"/>
                <w:highlight w:val="none"/>
              </w:rPr>
            </w:pPr>
            <w:r>
              <w:rPr>
                <w:rFonts w:hint="eastAsia"/>
                <w:color w:val="auto"/>
                <w:sz w:val="20"/>
                <w:szCs w:val="20"/>
                <w:highlight w:val="none"/>
                <w:lang w:val="en-US" w:eastAsia="zh-CN"/>
              </w:rPr>
              <w:t xml:space="preserve">9、</w:t>
            </w:r>
            <w:r>
              <w:rPr>
                <w:rFonts w:hint="eastAsia"/>
                <w:color w:val="auto"/>
                <w:sz w:val="20"/>
                <w:szCs w:val="20"/>
                <w:highlight w:val="none"/>
              </w:rPr>
              <w:t xml:space="preserve">安装方式：支持壁挂或移动推车</w:t>
            </w:r>
            <w:r>
              <w:rPr>
                <w:rFonts w:hint="eastAsia"/>
                <w:color w:val="auto"/>
                <w:sz w:val="20"/>
                <w:szCs w:val="20"/>
                <w:highlight w:val="none"/>
                <w:lang w:val="en-US" w:eastAsia="zh-CN"/>
              </w:rPr>
              <w:t xml:space="preserve">式</w:t>
            </w:r>
            <w:r>
              <w:rPr>
                <w:rFonts w:hint="eastAsia"/>
                <w:color w:val="auto"/>
                <w:sz w:val="20"/>
                <w:szCs w:val="20"/>
                <w:highlight w:val="none"/>
              </w:rPr>
              <w:t xml:space="preserve">。</w:t>
            </w:r>
            <w:r/>
          </w:p>
        </w:tc>
      </w:tr>
    </w:tbl>
    <w:p>
      <w:pPr>
        <w:rPr>
          <w:highlight w:val="none"/>
        </w:rPr>
      </w:pPr>
      <w:r>
        <w:rPr>
          <w:highlight w:val="none"/>
        </w:rPr>
      </w:r>
      <w:r/>
    </w:p>
    <w:p>
      <w:pPr>
        <w:rPr>
          <w:highlight w:val="none"/>
        </w:rPr>
      </w:pPr>
      <w:r>
        <w:rPr>
          <w:rFonts w:hint="eastAsia"/>
          <w:highlight w:val="none"/>
        </w:rPr>
        <w:t xml:space="preserve">二、软件部分系统要求</w:t>
      </w:r>
      <w:r/>
    </w:p>
    <w:p>
      <w:pPr>
        <w:rPr>
          <w:highlight w:val="none"/>
        </w:rPr>
      </w:pPr>
      <w:r>
        <w:rPr>
          <w:highlight w:val="none"/>
        </w:rPr>
      </w:r>
      <w:r/>
    </w:p>
    <w:tbl>
      <w:tblPr>
        <w:tblStyle w:val="77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174"/>
        <w:gridCol w:w="8149"/>
      </w:tblGrid>
      <w:tr>
        <w:trPr>
          <w:trHeight w:val="463"/>
        </w:trPr>
        <w:tc>
          <w:tcPr>
            <w:tcW w:w="314" w:type="pct"/>
            <w:vAlign w:val="center"/>
            <w:textDirection w:val="lrTb"/>
            <w:noWrap w:val="false"/>
          </w:tcPr>
          <w:p>
            <w:pPr>
              <w:jc w:val="center"/>
              <w:spacing w:line="300" w:lineRule="exact"/>
              <w:widowControl/>
              <w:rPr>
                <w:rFonts w:ascii="宋体" w:hAnsi="宋体"/>
                <w:b/>
                <w:bCs/>
                <w:sz w:val="20"/>
                <w:szCs w:val="20"/>
                <w:highlight w:val="none"/>
              </w:rPr>
            </w:pPr>
            <w:r>
              <w:rPr>
                <w:rFonts w:ascii="宋体" w:hAnsi="宋体"/>
                <w:b/>
                <w:bCs/>
                <w:sz w:val="20"/>
                <w:szCs w:val="20"/>
                <w:highlight w:val="none"/>
              </w:rPr>
              <w:t xml:space="preserve">编号</w:t>
            </w:r>
            <w:r/>
          </w:p>
        </w:tc>
        <w:tc>
          <w:tcPr>
            <w:tcW w:w="590" w:type="pct"/>
            <w:vAlign w:val="center"/>
            <w:textDirection w:val="lrTb"/>
            <w:noWrap w:val="false"/>
          </w:tcPr>
          <w:p>
            <w:pPr>
              <w:jc w:val="center"/>
              <w:spacing w:line="300" w:lineRule="exact"/>
              <w:widowControl/>
              <w:rPr>
                <w:rFonts w:ascii="宋体" w:hAnsi="宋体"/>
                <w:b/>
                <w:bCs/>
                <w:sz w:val="20"/>
                <w:szCs w:val="20"/>
                <w:highlight w:val="none"/>
              </w:rPr>
            </w:pPr>
            <w:r>
              <w:rPr>
                <w:rFonts w:hint="eastAsia" w:ascii="宋体" w:hAnsi="宋体"/>
                <w:b/>
                <w:bCs/>
                <w:sz w:val="20"/>
                <w:szCs w:val="20"/>
                <w:highlight w:val="none"/>
              </w:rPr>
              <w:t xml:space="preserve">模块</w:t>
            </w:r>
            <w:r/>
          </w:p>
        </w:tc>
        <w:tc>
          <w:tcPr>
            <w:tcW w:w="4094" w:type="pct"/>
            <w:vAlign w:val="center"/>
            <w:textDirection w:val="lrTb"/>
            <w:noWrap w:val="false"/>
          </w:tcPr>
          <w:p>
            <w:pPr>
              <w:jc w:val="center"/>
              <w:spacing w:line="300" w:lineRule="exact"/>
              <w:widowControl/>
              <w:rPr>
                <w:rFonts w:ascii="宋体" w:hAnsi="宋体"/>
                <w:b/>
                <w:bCs/>
                <w:sz w:val="20"/>
                <w:szCs w:val="20"/>
                <w:highlight w:val="none"/>
              </w:rPr>
            </w:pPr>
            <w:r>
              <w:rPr>
                <w:rFonts w:hint="eastAsia" w:ascii="宋体" w:hAnsi="宋体"/>
                <w:b/>
                <w:bCs/>
                <w:sz w:val="20"/>
                <w:szCs w:val="20"/>
                <w:highlight w:val="none"/>
              </w:rPr>
              <w:t xml:space="preserve">功能描述</w:t>
            </w:r>
            <w:r/>
          </w:p>
        </w:tc>
      </w:tr>
      <w:tr>
        <w:trPr>
          <w:trHeight w:val="271"/>
        </w:trPr>
        <w:tc>
          <w:tcPr>
            <w:tcW w:w="314" w:type="pct"/>
            <w:vAlign w:val="center"/>
            <w:textDirection w:val="lrTb"/>
            <w:noWrap w:val="false"/>
          </w:tcPr>
          <w:p>
            <w:pPr>
              <w:pStyle w:val="1213"/>
              <w:numPr>
                <w:ilvl w:val="0"/>
                <w:numId w:val="15"/>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sz w:val="20"/>
                <w:szCs w:val="20"/>
                <w:highlight w:val="none"/>
              </w:rPr>
            </w:pPr>
            <w:r>
              <w:rPr>
                <w:rFonts w:hint="eastAsia" w:ascii="宋体" w:hAnsi="宋体"/>
                <w:sz w:val="20"/>
                <w:szCs w:val="20"/>
                <w:highlight w:val="none"/>
              </w:rPr>
              <w:t xml:space="preserve">整体需求</w:t>
            </w:r>
            <w:r/>
          </w:p>
        </w:tc>
        <w:tc>
          <w:tcPr>
            <w:tcW w:w="4094" w:type="pct"/>
            <w:textDirection w:val="lrTb"/>
            <w:noWrap w:val="false"/>
          </w:tcPr>
          <w:p>
            <w:pPr>
              <w:pStyle w:val="1213"/>
              <w:numPr>
                <w:ilvl w:val="0"/>
                <w:numId w:val="16"/>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系统建设遵循先进性、 实用性、安全性、开放性与标准化等原则，保证系统建设维护使用的低成本、可靠性、易用性和易于维护，并要求系统具有良好的扩展性。</w:t>
            </w:r>
            <w:r/>
          </w:p>
          <w:p>
            <w:pPr>
              <w:pStyle w:val="1213"/>
              <w:numPr>
                <w:ilvl w:val="0"/>
                <w:numId w:val="16"/>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采用统一、规范的数据存储传输规范，以解决区域内不同厂家、型号心电设备数据的兼容性问题。实现区域内心电数据共享与协同。</w:t>
            </w:r>
            <w:r/>
          </w:p>
          <w:p>
            <w:pPr>
              <w:pStyle w:val="1213"/>
              <w:numPr>
                <w:ilvl w:val="0"/>
                <w:numId w:val="16"/>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支持区域远程心电会诊。基层医院与诊断中心医院的心电会诊，全面提高区域范围的心电诊断质量和服务水平。</w:t>
            </w:r>
            <w:r/>
          </w:p>
          <w:p>
            <w:pPr>
              <w:pStyle w:val="1213"/>
              <w:numPr>
                <w:ilvl w:val="0"/>
                <w:numId w:val="16"/>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支持区域心电质控及监管。区域内心电检查质量监控和基层医院心电报告质量监控，统计分析区域心电检查结果，对区域内流行病或突发事件有效监控。</w:t>
            </w:r>
            <w:r/>
          </w:p>
          <w:p>
            <w:pPr>
              <w:pStyle w:val="1213"/>
              <w:numPr>
                <w:ilvl w:val="0"/>
                <w:numId w:val="16"/>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建立科研资料库，由于心电图实现信息化管理，心电图的各种分类、心电图的查询、调阅和统计都变得非常方便，利用这些资源，有利于科室人员培训、研究创新、量化管理等工作开展。</w:t>
            </w:r>
            <w:r/>
          </w:p>
          <w:p>
            <w:pPr>
              <w:pStyle w:val="1213"/>
              <w:numPr>
                <w:ilvl w:val="0"/>
                <w:numId w:val="16"/>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心电管理质控平台，通过心电网络系统规范化心电检查流程，通过统计分析为心电质控提供相应数据支持。</w:t>
            </w:r>
            <w:r/>
          </w:p>
          <w:p>
            <w:pPr>
              <w:pStyle w:val="1213"/>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▲系统有经过IHE数字心电诊断系统集成模式和功能角色的专项测试，可以满足与医疗卫生机构信息系统和设备之间的信息互联、互通、集成共享的要求。【提供通过测试的证明文件】。</w:t>
            </w:r>
            <w:r/>
          </w:p>
          <w:p>
            <w:pPr>
              <w:pStyle w:val="1213"/>
              <w:numPr>
                <w:ilvl w:val="0"/>
                <w:numId w:val="16"/>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系统安全应符合《信息安全技术 网络安全等级保护基本要求》（GB/T22239-2019）国家标准，达到信息系统安全等级保护（三级）要求。【提供信息系统安全等级保护（三级）备案证明】</w:t>
            </w:r>
            <w:r/>
          </w:p>
        </w:tc>
      </w:tr>
      <w:tr>
        <w:trPr>
          <w:trHeight w:val="85"/>
        </w:trPr>
        <w:tc>
          <w:tcPr>
            <w:tcW w:w="314" w:type="pct"/>
            <w:vAlign w:val="center"/>
            <w:textDirection w:val="lrTb"/>
            <w:noWrap w:val="false"/>
          </w:tcPr>
          <w:p>
            <w:pPr>
              <w:pStyle w:val="1213"/>
              <w:numPr>
                <w:ilvl w:val="0"/>
                <w:numId w:val="15"/>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sz w:val="20"/>
                <w:szCs w:val="20"/>
                <w:highlight w:val="none"/>
              </w:rPr>
            </w:pPr>
            <w:r>
              <w:rPr>
                <w:rFonts w:hint="eastAsia" w:ascii="宋体" w:hAnsi="宋体"/>
                <w:sz w:val="20"/>
                <w:szCs w:val="20"/>
                <w:highlight w:val="none"/>
              </w:rPr>
              <w:t xml:space="preserve">平台基础服务</w:t>
            </w:r>
            <w:r/>
          </w:p>
        </w:tc>
        <w:tc>
          <w:tcPr>
            <w:tcW w:w="4094" w:type="pct"/>
            <w:textDirection w:val="lrTb"/>
            <w:noWrap w:val="false"/>
          </w:tcPr>
          <w:p>
            <w:pPr>
              <w:pStyle w:val="1213"/>
              <w:numPr>
                <w:ilvl w:val="0"/>
                <w:numId w:val="17"/>
              </w:numPr>
              <w:ind w:left="0" w:firstLine="0"/>
              <w:spacing w:line="300" w:lineRule="exact"/>
              <w:rPr>
                <w:rFonts w:ascii="宋体" w:hAnsi="宋体"/>
                <w:color w:val="ff0000"/>
                <w:sz w:val="20"/>
                <w:szCs w:val="20"/>
                <w:highlight w:val="none"/>
              </w:rPr>
            </w:pPr>
            <w:r>
              <w:rPr>
                <w:rFonts w:hint="eastAsia" w:ascii="宋体" w:hAnsi="宋体"/>
                <w:color w:val="ff0000"/>
                <w:sz w:val="20"/>
                <w:szCs w:val="20"/>
                <w:highlight w:val="none"/>
              </w:rPr>
              <w:t xml:space="preserve">系统各服务模块既支持独立部署也支持集中部署，能有效应对医院高并发的业务场景。</w:t>
            </w:r>
            <w:r/>
          </w:p>
          <w:p>
            <w:pPr>
              <w:pStyle w:val="1213"/>
              <w:numPr>
                <w:ilvl w:val="0"/>
                <w:numId w:val="17"/>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数据库兼容性强，支持SQL Server、Mysql等多种主流数据库。</w:t>
            </w:r>
            <w:r/>
          </w:p>
          <w:p>
            <w:pPr>
              <w:pStyle w:val="1213"/>
              <w:numPr>
                <w:ilvl w:val="0"/>
                <w:numId w:val="17"/>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▲系统需兼容C/S与B/S混合运行模式，并配备专用客户端软件，允许用户在离线环境下登录操作。（须提供界面截图作为证明）</w:t>
            </w:r>
            <w:r/>
          </w:p>
          <w:p>
            <w:pPr>
              <w:pStyle w:val="1213"/>
              <w:numPr>
                <w:ilvl w:val="0"/>
                <w:numId w:val="17"/>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系统实行业务与管理分离机制，提供独立的医生工作站用于处理心电检查、诊断及数据分析等临床业务；同时提供独立的管理后台，对人员、设备等基础数据进行统一管控。</w:t>
            </w:r>
            <w:r/>
          </w:p>
          <w:p>
            <w:pPr>
              <w:pStyle w:val="1213"/>
              <w:numPr>
                <w:ilvl w:val="0"/>
                <w:numId w:val="17"/>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▲心电系统支持适配国产操作系统及数据库，符合信创环境的部署标准。（须提供医疗器械注册相关证明）</w:t>
            </w:r>
            <w:r/>
          </w:p>
          <w:p>
            <w:pPr>
              <w:pStyle w:val="1213"/>
              <w:numPr>
                <w:ilvl w:val="0"/>
                <w:numId w:val="17"/>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系统提供完善的接口服务，支持与第三方信息平台对接，可通过视图、存储过程、Webservice、DICOM、HL7等多种技术方式实现接口功能。</w:t>
            </w:r>
            <w:r/>
          </w:p>
          <w:p>
            <w:pPr>
              <w:pStyle w:val="1213"/>
              <w:numPr>
                <w:ilvl w:val="0"/>
                <w:numId w:val="17"/>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系统具备自动校时功能，支持与医院时间服务器同步，确保证联网心电图机与工作站的时间保持一致。</w:t>
            </w:r>
            <w:r/>
          </w:p>
          <w:p>
            <w:pPr>
              <w:pStyle w:val="1213"/>
              <w:numPr>
                <w:ilvl w:val="0"/>
                <w:numId w:val="17"/>
              </w:numPr>
              <w:ind w:left="0" w:firstLine="0"/>
              <w:spacing w:line="300" w:lineRule="exact"/>
              <w:rPr>
                <w:rFonts w:ascii="宋体" w:hAnsi="宋体"/>
                <w:sz w:val="20"/>
                <w:szCs w:val="20"/>
                <w:highlight w:val="none"/>
              </w:rPr>
            </w:pPr>
            <w:r>
              <w:rPr>
                <w:rFonts w:hint="eastAsia" w:ascii="宋体" w:hAnsi="宋体"/>
                <w:sz w:val="20"/>
                <w:szCs w:val="20"/>
                <w:highlight w:val="none"/>
              </w:rPr>
              <w:t xml:space="preserve">系统应实现对心电数据采集、传输、诊断及归档的全流程追踪管理，详细记录每份心电报告的生成过程，为功能调试、故障排查与定位提供坚实的技术支撑与保障。（须提供心电业务分析及运维监管系统相关软件著作权证明）</w:t>
            </w:r>
            <w:r/>
          </w:p>
        </w:tc>
      </w:tr>
      <w:tr>
        <w:trPr>
          <w:trHeight w:val="85"/>
        </w:trPr>
        <w:tc>
          <w:tcPr>
            <w:tcW w:w="314" w:type="pct"/>
            <w:vAlign w:val="center"/>
            <w:textDirection w:val="lrTb"/>
            <w:noWrap w:val="false"/>
          </w:tcPr>
          <w:p>
            <w:pPr>
              <w:pStyle w:val="1213"/>
              <w:numPr>
                <w:ilvl w:val="0"/>
                <w:numId w:val="15"/>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cs="宋体"/>
                <w:sz w:val="20"/>
                <w:szCs w:val="20"/>
                <w:highlight w:val="none"/>
              </w:rPr>
            </w:pPr>
            <w:r>
              <w:rPr>
                <w:rFonts w:hint="eastAsia" w:ascii="宋体" w:hAnsi="宋体"/>
                <w:sz w:val="20"/>
                <w:szCs w:val="20"/>
                <w:highlight w:val="none"/>
              </w:rPr>
              <w:t xml:space="preserve">心电检查管理</w:t>
            </w:r>
            <w:r/>
          </w:p>
        </w:tc>
        <w:tc>
          <w:tcPr>
            <w:tcW w:w="4094" w:type="pct"/>
            <w:textDirection w:val="lrTb"/>
            <w:noWrap w:val="false"/>
          </w:tcPr>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充分利用现有设备，系统需支持连接医院现有不同品牌与型号的心电图设备完成受检者的心电检查。</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在创建检查信息时，允许将患者标记为“加急”或“隐私”状态。（须提供医疗器械注册相关证明）</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通过勾选加急选项，即可将该预约调整为加急状态；</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若勾选隐私患者选项，患者信息将以脱敏形式展示，并支持指定专门的采集与诊断医生；</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支持配置检查模式，可选常规十二导、常规十五导、常规十八导、心向量、心率变异、QT离散度、频谱心电、阿托品等。 </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支持手动创建、扫码、读卡、输入卡号、下载预约记录等多种方式获取受检者信息。</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支持离线状态下为受检者检查。</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支持采集质量检测，在心电检查过程中实时提醒采集质量是否合格，伪差、导联脱落、左右手接反等实时提醒。（须提供相关实时提醒功能证明）</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支持图谱采集完成后预览，支持加采、重采功能；支持为严重病人申请加急诊断，加急的报告列表有加急的状态标记。</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为适应“先采集后开单”的临床场景，系统须具备数据关联功能：支持直接采集心电数据，待采集完成后再新建患者信息并关联图谱；亦支持采集完成后选择预约列表中未检查的数据进行关联操作。（须提供医疗器械注册相关证明）</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列表支持展示报告各阶段的处理状态，并提供报告打印状态的查询功能。</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采集结束后系统自动进行危急值分析，分析结果类型涵盖危急、阳性、正常、采集不良及未分析。（须提供界面截图证明）</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具备离线采集能力，支持在无网络环境下为受检者进行心电图数据采集，须提供承诺函。</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支持针对重症患者发起加急诊断申请，报告列表中会相应标记加急状态。</w:t>
            </w:r>
            <w:r/>
          </w:p>
          <w:p>
            <w:pPr>
              <w:pStyle w:val="1213"/>
              <w:numPr>
                <w:ilvl w:val="0"/>
                <w:numId w:val="18"/>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系统具备报告流程管理功能，支持通过时间轴查看报告流转过程中的所有节点详情。（须提供医疗器械注册相关证明）</w:t>
            </w:r>
            <w:r/>
          </w:p>
        </w:tc>
      </w:tr>
      <w:tr>
        <w:trPr>
          <w:trHeight w:val="85"/>
        </w:trPr>
        <w:tc>
          <w:tcPr>
            <w:tcW w:w="314" w:type="pct"/>
            <w:vAlign w:val="center"/>
            <w:textDirection w:val="lrTb"/>
            <w:noWrap w:val="false"/>
          </w:tcPr>
          <w:p>
            <w:pPr>
              <w:pStyle w:val="1213"/>
              <w:numPr>
                <w:ilvl w:val="0"/>
                <w:numId w:val="15"/>
              </w:numPr>
              <w:ind w:left="0" w:firstLine="0"/>
              <w:jc w:val="center"/>
              <w:spacing w:line="300" w:lineRule="exact"/>
              <w:rPr>
                <w:rFonts w:ascii="宋体" w:hAnsi="宋体"/>
                <w:sz w:val="20"/>
                <w:szCs w:val="20"/>
                <w:highlight w:val="none"/>
              </w:rPr>
            </w:pPr>
            <w:r>
              <w:rPr>
                <w:rFonts w:ascii="宋体" w:hAnsi="宋体"/>
                <w:sz w:val="20"/>
                <w:szCs w:val="20"/>
                <w:highlight w:val="none"/>
              </w:rPr>
            </w:r>
            <w:r/>
          </w:p>
        </w:tc>
        <w:tc>
          <w:tcPr>
            <w:tcW w:w="590" w:type="pct"/>
            <w:vAlign w:val="center"/>
            <w:textDirection w:val="lrTb"/>
            <w:noWrap w:val="false"/>
          </w:tcPr>
          <w:p>
            <w:pPr>
              <w:jc w:val="left"/>
              <w:spacing w:line="300" w:lineRule="exact"/>
              <w:rPr>
                <w:rFonts w:ascii="宋体" w:hAnsi="宋体" w:cs="宋体"/>
                <w:sz w:val="20"/>
                <w:szCs w:val="20"/>
                <w:highlight w:val="none"/>
              </w:rPr>
            </w:pPr>
            <w:r>
              <w:rPr>
                <w:rFonts w:hint="eastAsia" w:ascii="宋体" w:hAnsi="宋体"/>
                <w:sz w:val="20"/>
                <w:szCs w:val="20"/>
                <w:highlight w:val="none"/>
              </w:rPr>
              <w:t xml:space="preserve">心电医生工作站</w:t>
            </w:r>
            <w:r/>
          </w:p>
        </w:tc>
        <w:tc>
          <w:tcPr>
            <w:tcW w:w="4094" w:type="pct"/>
            <w:textDirection w:val="lrTb"/>
            <w:noWrap w:val="false"/>
          </w:tcPr>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为满足医院业务发展需要，医生工作站须提供静息心电、动态心电、动态血压综合分析功能：一套软件即可以进行静息心电、动态心电、动态血压三种检查的分析会诊工作，支持具有对应检查特点的专业分析工具。【提供功能界面截图及静息动态心电血压综合分析系统自主知识产权证明】</w:t>
            </w:r>
            <w:r/>
          </w:p>
          <w:p>
            <w:pPr>
              <w:pStyle w:val="1213"/>
              <w:ind w:firstLine="442"/>
              <w:jc w:val="left"/>
              <w:spacing w:line="300" w:lineRule="exact"/>
              <w:widowControl/>
              <w:rPr>
                <w:rFonts w:ascii="宋体" w:hAnsi="宋体"/>
                <w:b/>
                <w:bCs/>
                <w:sz w:val="20"/>
                <w:szCs w:val="20"/>
                <w:highlight w:val="none"/>
              </w:rPr>
            </w:pPr>
            <w:r>
              <w:rPr>
                <w:rFonts w:hint="eastAsia" w:ascii="宋体" w:hAnsi="宋体"/>
                <w:b/>
                <w:bCs/>
                <w:sz w:val="20"/>
                <w:szCs w:val="20"/>
                <w:highlight w:val="none"/>
              </w:rPr>
              <w:t xml:space="preserve">静息心电分析：</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报告列表具备自定义功能，支持对显示字段及其排列顺序进行配置；对于加急报告，能够显示特定的状态图标；列表中可展示报告的危急值等级标识，并能标记已诊断报告的打印状态。</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提供多途径的报告查询功能，支持按待处理、处理中、已处理等状态分类查看，并直观展示各状态的报告数量；同时支持依据分组、科室、时间、受检者信息、来源及诊断结论等条件进行快速检索。</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支持设定分组规则，将心电报告智能分配给指定医生；医生仅能查看本组及未分组报告，无法查阅其他组数据，以此实现工作量的动态平衡与数据隔离，从而提升工作效率。</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具备灵活的诊断权限配置功能，简单报告可直接提交，疑难报告可申请上级医师审核；允许医生修改个人诊断结论，并设有报告复审机制，由审核医师对所有诊断报告进行复核。</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系统支持设置审核模式，在此模式下，诊断医生出具的报告必须经过审核流程方可正式发布。</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为提高医生工作效率，系统支持沉浸式看报告模式，可同屏显示报告列表和看图界面。可直接在看图页中查看列表数据，无需在列表页和详情页中来回切换。</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系统支持进入快速诊断模式，诊断完成一份报告直接打开下一份报告，不需要返回列表选择报告。(提供医疗注册相关证明)。</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支持支持全屏查看图谱；支持导联布局、走速、增益、滤波调整等操作；能对波形原始数据无损高清缩放。</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支持心搏放大功能，通过心搏放大查看某个心搏，调整波形形态识别后重新发送测值。</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具有切换Cabrera或Wilson导联的功能。</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支持电子标尺功能，测量幅值与压差。可测量“电压”、“间期”及“心率”值。</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可以选择不同的布局，支持12导、15导、18导，包含N*1、6*2、6*2+1、3*4、3*4+1、3*4+3、6*2+3*1、6*2+3*1+1、6*3、6*3+1、6*3+3等导联布局。</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支持对采集的心电图数据滤波，支持基线滤波、低通滤波、工频滤波选项。</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系统具备并行分规功能，</w:t>
            </w:r>
            <w:r>
              <w:rPr>
                <w:rFonts w:hint="eastAsia" w:ascii="宋体" w:hAnsi="宋体" w:cs="宋体"/>
                <w:color w:val="000000"/>
                <w:sz w:val="20"/>
                <w:szCs w:val="20"/>
                <w:highlight w:val="none"/>
              </w:rPr>
              <w:t xml:space="preserve">可以指定一个特定的长度作为测量单位，计算被测量波形的倍数关系。</w:t>
            </w:r>
            <w:r>
              <w:rPr>
                <w:rFonts w:hint="eastAsia" w:ascii="宋体" w:hAnsi="宋体"/>
                <w:sz w:val="20"/>
                <w:szCs w:val="20"/>
                <w:highlight w:val="none"/>
              </w:rPr>
              <w:t xml:space="preserve">通过并行分规可以快速定位心拍与心拍直接的关系。</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支持诊断医生对不符合要求的图谱进行退回、加采、重采等操作；支持退回加采/重采报告加注原因。</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▲具有特征标记功能，支持在心电图波形区域的异常位置做标记，并能够通过辅助分析自动打上特征标记，在辅助分析词库中可以通过词条直接连接到特征标记。(提供医疗注册相关证明)。</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可将普通常规12导心电图机做的右位心、右胸、后壁、自定义的心电图数据进行导联名称重命名。</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支持组合导联功能：</w:t>
            </w:r>
            <w:r>
              <w:rPr>
                <w:rFonts w:hint="eastAsia" w:ascii="宋体" w:hAnsi="宋体" w:cs="宋体"/>
                <w:color w:val="000000"/>
                <w:sz w:val="20"/>
                <w:szCs w:val="20"/>
                <w:highlight w:val="none"/>
              </w:rPr>
              <w:t xml:space="preserve">可将多份心电图谱数据组合成一份图谱，并提取任意数据的任意导联数据。</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快速15导/18导：可将两份图谱进行组合，生成一份15/18导的报告。</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提供典型病例收藏功能，支持医生自定义收藏分类，为医生后期培训和进行科研提供素材。</w:t>
            </w:r>
            <w:r>
              <w:rPr>
                <w:rFonts w:hint="eastAsia" w:ascii="宋体" w:hAnsi="宋体" w:cs="宋体"/>
                <w:color w:val="000000"/>
                <w:sz w:val="20"/>
                <w:szCs w:val="20"/>
                <w:highlight w:val="none"/>
              </w:rPr>
              <w:t xml:space="preserve">可根据收藏分类、收藏范围、诊断结论查询收藏的报告数据。</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支持导联纠错功能，在肢体导联接反或胸导联接错的情况下，可以通过软件直接修正，无需重新采集。</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支持漏诊提示，对心电图因显示分辨率问题导致的可能被疏忽的细节异常进行提示，防止造成漏诊。</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支持图谱对比功能。支持查看该受检者所有历史报告。支持将该受检者历史报告加入对比。支持根据卡号、性别、检查机构检索其他报告加入对比。支持将</w:t>
            </w:r>
            <w:r>
              <w:rPr>
                <w:rFonts w:ascii="宋体" w:hAnsi="宋体"/>
                <w:sz w:val="20"/>
                <w:szCs w:val="20"/>
                <w:highlight w:val="none"/>
              </w:rPr>
              <w:t xml:space="preserve">5份</w:t>
            </w:r>
            <w:r>
              <w:rPr>
                <w:rFonts w:hint="eastAsia" w:ascii="宋体" w:hAnsi="宋体"/>
                <w:sz w:val="20"/>
                <w:szCs w:val="20"/>
                <w:highlight w:val="none"/>
              </w:rPr>
              <w:t xml:space="preserve">及</w:t>
            </w:r>
            <w:r>
              <w:rPr>
                <w:rFonts w:ascii="宋体" w:hAnsi="宋体"/>
                <w:sz w:val="20"/>
                <w:szCs w:val="20"/>
                <w:highlight w:val="none"/>
              </w:rPr>
              <w:t xml:space="preserve">以上历史报告加入对比，可引用对比报告的诊断结论。</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支持叠加波分析，可对所有导联心搏进行叠加趋势分析。</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可以手动添加心搏和删除心搏。</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可以通过导联开关，只勾选需要显示的导联。</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支持胸痛加急功能，诊断界面有胸痛加急按钮，点击之后有胸痛加急的提示弹窗并可将检查完成消息推送到手机微信端。</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支持系统测值和机构测值管理，支持维护测值范围，可以根据年龄段、性别、附加条件，配置测值范围、测值描述、颜色。</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w:t>
            </w:r>
            <w:r>
              <w:rPr>
                <w:rFonts w:hint="eastAsia" w:ascii="宋体" w:hAnsi="宋体" w:cs="宋体"/>
                <w:color w:val="000000"/>
                <w:sz w:val="20"/>
                <w:szCs w:val="20"/>
                <w:highlight w:val="none"/>
              </w:rPr>
              <w:t xml:space="preserve">提供标准的心电图诊断词条，在报告编辑过程中支持词条中文或者拼音模糊查询及词条与测值的联动。支持二级、三级词库。支持自定义新增编辑词条、词条类别，以及调整顺序和词条规则。</w:t>
            </w:r>
            <w:r>
              <w:rPr>
                <w:rFonts w:hint="eastAsia" w:ascii="宋体" w:hAnsi="宋体"/>
                <w:sz w:val="20"/>
                <w:szCs w:val="20"/>
                <w:highlight w:val="none"/>
              </w:rPr>
              <w:t xml:space="preserve"> (提供心电专家智库系统相关软件著作权证明)</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支持系统词库和机构词库管理，支持新建、修改和删除词库词条，新建检查项目类别。支持修改词条的内容、规则和在列表中的显示顺序。</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支持诊断</w:t>
            </w:r>
            <w:r>
              <w:rPr>
                <w:rFonts w:ascii="宋体" w:hAnsi="宋体"/>
                <w:sz w:val="20"/>
                <w:szCs w:val="20"/>
                <w:highlight w:val="none"/>
              </w:rPr>
              <w:t xml:space="preserve">术语异常提醒功能：诊断老师在提交诊断时系统自动检测，当识别出疑似错字</w:t>
            </w:r>
            <w:r>
              <w:rPr>
                <w:rFonts w:hint="eastAsia" w:ascii="宋体" w:hAnsi="宋体"/>
                <w:sz w:val="20"/>
                <w:szCs w:val="20"/>
                <w:highlight w:val="none"/>
              </w:rPr>
              <w:t xml:space="preserve">、</w:t>
            </w:r>
            <w:r>
              <w:rPr>
                <w:rFonts w:ascii="宋体" w:hAnsi="宋体"/>
                <w:sz w:val="20"/>
                <w:szCs w:val="20"/>
                <w:highlight w:val="none"/>
              </w:rPr>
              <w:t xml:space="preserve">漏字</w:t>
            </w:r>
            <w:r>
              <w:rPr>
                <w:rFonts w:hint="eastAsia" w:ascii="宋体" w:hAnsi="宋体"/>
                <w:sz w:val="20"/>
                <w:szCs w:val="20"/>
                <w:highlight w:val="none"/>
              </w:rPr>
              <w:t xml:space="preserve">、</w:t>
            </w:r>
            <w:r>
              <w:rPr>
                <w:rFonts w:ascii="宋体" w:hAnsi="宋体"/>
                <w:sz w:val="20"/>
                <w:szCs w:val="20"/>
                <w:highlight w:val="none"/>
              </w:rPr>
              <w:t xml:space="preserve">不合理用语</w:t>
            </w:r>
            <w:r>
              <w:rPr>
                <w:rFonts w:hint="eastAsia" w:ascii="宋体" w:hAnsi="宋体"/>
                <w:sz w:val="20"/>
                <w:szCs w:val="20"/>
                <w:highlight w:val="none"/>
              </w:rPr>
              <w:t xml:space="preserve">情况会</w:t>
            </w:r>
            <w:r>
              <w:rPr>
                <w:rFonts w:ascii="宋体" w:hAnsi="宋体"/>
                <w:sz w:val="20"/>
                <w:szCs w:val="20"/>
                <w:highlight w:val="none"/>
              </w:rPr>
              <w:t xml:space="preserve">给出</w:t>
            </w:r>
            <w:r>
              <w:rPr>
                <w:rFonts w:hint="eastAsia" w:ascii="宋体" w:hAnsi="宋体"/>
                <w:sz w:val="20"/>
                <w:szCs w:val="20"/>
                <w:highlight w:val="none"/>
              </w:rPr>
              <w:t xml:space="preserve">智能</w:t>
            </w:r>
            <w:r>
              <w:rPr>
                <w:rFonts w:ascii="宋体" w:hAnsi="宋体"/>
                <w:sz w:val="20"/>
                <w:szCs w:val="20"/>
                <w:highlight w:val="none"/>
              </w:rPr>
              <w:t xml:space="preserve">提醒</w:t>
            </w:r>
            <w:r>
              <w:rPr>
                <w:rFonts w:hint="eastAsia" w:ascii="宋体" w:hAnsi="宋体"/>
                <w:sz w:val="20"/>
                <w:szCs w:val="20"/>
                <w:highlight w:val="none"/>
              </w:rPr>
              <w:t xml:space="preserve">。</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内涵质控功能：设置互斥词条，避免出现明显互斥的诊断结论，造成常识性错误；设置禁用词，用于医院或医学要求避免的诊断结论；设置测值上下限，避免手误输入不合理测值打印出去，触发以上规则，需要弹窗提醒医生修改正确后再提交。</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支持报告锁定功能：限制报告已完成诊断，超过可修改时间后，不允许诊断医生再修改诊断结论。</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支持心向量、心率变异、QT离散度、频谱心电、心室晚电位、高频心电、心率震荡、心电事件、阿托品试验、梯形图等项目功能。</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支持阿托品等药物试验功能，可显示药物试验条件下的数据、绘制心率变化曲线以及导联波形。</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支持导出pdf、jpg图片、心电xml格式原始数据。可以将图谱全部或者指定的心电图范围，另存为bmp图片。支持导出120s及以上PDF报告。</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可以将图谱和报告关联。支持创建新报告关联、复制当前报告、关联选中的报告。</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具有典型图功能，可以添加、删除典型图，可以通过典型图跳转到对应心搏位置。</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支持心电自动诊断技术，对心电报告进行自动化分析和诊断，辅助诊断医生进行报告诊断，提高诊断效率和质量。</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w:t>
            </w:r>
            <w:r>
              <w:rPr>
                <w:rFonts w:hint="eastAsia" w:ascii="宋体" w:hAnsi="宋体" w:cs="宋体"/>
                <w:color w:val="000000"/>
                <w:sz w:val="20"/>
                <w:szCs w:val="20"/>
                <w:highlight w:val="none"/>
              </w:rPr>
              <w:t xml:space="preserve">支持危急值上报。检查医生收到危急值上报提醒，检查医生确认后，诊断医生可以收到回执信息，并且在系统中可以查看危急值上报整个流程的时间线。</w:t>
            </w:r>
            <w:r>
              <w:rPr>
                <w:rFonts w:hint="eastAsia" w:ascii="宋体" w:hAnsi="宋体"/>
                <w:sz w:val="20"/>
                <w:szCs w:val="20"/>
                <w:highlight w:val="none"/>
              </w:rPr>
              <w:t xml:space="preserve">(提供医疗注册相关证明)。</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客户端、</w:t>
            </w:r>
            <w:r>
              <w:rPr>
                <w:rFonts w:ascii="宋体" w:hAnsi="宋体"/>
                <w:sz w:val="20"/>
                <w:szCs w:val="20"/>
                <w:highlight w:val="none"/>
              </w:rPr>
              <w:t xml:space="preserve">Web端、移动端支持自动诊断分析结论，可手动选择是否引用自动诊断结论。</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支持在诊断界面将心电图原始数据生成二维码，并通过手机端微信小程序进行扫码查看、诊断和分享。</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cs="宋体"/>
                <w:color w:val="000000"/>
                <w:sz w:val="20"/>
                <w:szCs w:val="20"/>
                <w:highlight w:val="none"/>
              </w:rPr>
              <w:t xml:space="preserve">可以通过二维码或者复制访问路径，将报告分享给其他医生协助诊断。</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为保护受检者信息安全，报告分享支持脱敏显示。</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支持修改系统名称及系统logo，实现个性化订制。</w:t>
            </w:r>
            <w:r/>
          </w:p>
          <w:p>
            <w:pPr>
              <w:pStyle w:val="1213"/>
              <w:ind w:firstLine="400"/>
              <w:jc w:val="left"/>
              <w:spacing w:line="300" w:lineRule="exact"/>
              <w:widowControl/>
              <w:rPr>
                <w:rFonts w:ascii="宋体" w:hAnsi="宋体"/>
                <w:sz w:val="20"/>
                <w:szCs w:val="20"/>
                <w:highlight w:val="none"/>
              </w:rPr>
            </w:pPr>
            <w:r>
              <w:rPr>
                <w:rFonts w:ascii="宋体" w:hAnsi="宋体"/>
                <w:sz w:val="20"/>
                <w:szCs w:val="20"/>
                <w:highlight w:val="none"/>
              </w:rPr>
            </w:r>
            <w:r/>
          </w:p>
          <w:p>
            <w:pPr>
              <w:pStyle w:val="1213"/>
              <w:ind w:firstLine="442"/>
              <w:jc w:val="left"/>
              <w:spacing w:line="300" w:lineRule="exact"/>
              <w:widowControl/>
              <w:rPr>
                <w:rFonts w:ascii="宋体" w:hAnsi="宋体"/>
                <w:b/>
                <w:bCs/>
                <w:sz w:val="20"/>
                <w:szCs w:val="20"/>
                <w:highlight w:val="none"/>
              </w:rPr>
            </w:pPr>
            <w:r>
              <w:rPr>
                <w:rFonts w:hint="eastAsia" w:ascii="宋体" w:hAnsi="宋体"/>
                <w:b/>
                <w:bCs/>
                <w:sz w:val="20"/>
                <w:szCs w:val="20"/>
                <w:highlight w:val="none"/>
              </w:rPr>
              <w:t xml:space="preserve">动态心电分析：</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软件具有自动分析功能；自动分析功能自动识别心搏类型包括正常（N）、房早（S）、室早（V）、房颤（Af）、起搏（P）和伪差（X）；用户可以手动标记和修改心搏； 【提供医疗器械注册相关证明】</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提供多种动态分析工具：K线图、栅栏图、直方图、诊断图、散点图、组合散点图、诊断图、波形全览图等功能。全览图可通览整个采集期间的心电图谱，异常波形用颜色标记；可提供</w:t>
            </w:r>
            <w:r>
              <w:rPr>
                <w:rFonts w:ascii="宋体" w:hAnsi="宋体"/>
                <w:sz w:val="20"/>
                <w:szCs w:val="20"/>
                <w:highlight w:val="none"/>
              </w:rPr>
              <w:t xml:space="preserve">24</w:t>
            </w:r>
            <w:r>
              <w:rPr>
                <w:rFonts w:hint="eastAsia" w:ascii="宋体" w:hAnsi="宋体"/>
                <w:sz w:val="20"/>
                <w:szCs w:val="20"/>
                <w:highlight w:val="none"/>
              </w:rPr>
              <w:t xml:space="preserve">小时心率及心搏分类情况的诊断图；直方图可支持心率、</w:t>
            </w:r>
            <w:r>
              <w:rPr>
                <w:rFonts w:ascii="宋体" w:hAnsi="宋体"/>
                <w:sz w:val="20"/>
                <w:szCs w:val="20"/>
                <w:highlight w:val="none"/>
              </w:rPr>
              <w:t xml:space="preserve">RR</w:t>
            </w:r>
            <w:r>
              <w:rPr>
                <w:rFonts w:hint="eastAsia" w:ascii="宋体" w:hAnsi="宋体"/>
                <w:sz w:val="20"/>
                <w:szCs w:val="20"/>
                <w:highlight w:val="none"/>
              </w:rPr>
              <w:t xml:space="preserve">间期、</w:t>
            </w:r>
            <w:r>
              <w:rPr>
                <w:rFonts w:ascii="宋体" w:hAnsi="宋体"/>
                <w:sz w:val="20"/>
                <w:szCs w:val="20"/>
                <w:highlight w:val="none"/>
              </w:rPr>
              <w:t xml:space="preserve">RR</w:t>
            </w:r>
            <w:r>
              <w:rPr>
                <w:rFonts w:hint="eastAsia" w:ascii="宋体" w:hAnsi="宋体"/>
                <w:sz w:val="20"/>
                <w:szCs w:val="20"/>
                <w:highlight w:val="none"/>
              </w:rPr>
              <w:t xml:space="preserve">间期比直方图；具备LORENZE散点图和差值散点图分析。</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w:t>
            </w:r>
            <w:r>
              <w:rPr>
                <w:rFonts w:ascii="宋体" w:hAnsi="宋体"/>
                <w:sz w:val="20"/>
                <w:szCs w:val="20"/>
                <w:highlight w:val="none"/>
              </w:rPr>
              <w:t xml:space="preserve">P</w:t>
            </w:r>
            <w:r>
              <w:rPr>
                <w:rFonts w:hint="eastAsia" w:ascii="宋体" w:hAnsi="宋体"/>
                <w:sz w:val="20"/>
                <w:szCs w:val="20"/>
                <w:highlight w:val="none"/>
              </w:rPr>
              <w:t xml:space="preserve">波反混淆快速区分</w:t>
            </w:r>
            <w:r>
              <w:rPr>
                <w:rFonts w:ascii="宋体" w:hAnsi="宋体"/>
                <w:sz w:val="20"/>
                <w:szCs w:val="20"/>
                <w:highlight w:val="none"/>
              </w:rPr>
              <w:t xml:space="preserve">P</w:t>
            </w:r>
            <w:r>
              <w:rPr>
                <w:rFonts w:hint="eastAsia" w:ascii="宋体" w:hAnsi="宋体"/>
                <w:sz w:val="20"/>
                <w:szCs w:val="20"/>
                <w:highlight w:val="none"/>
              </w:rPr>
              <w:t xml:space="preserve">波形态差异心搏；</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支持不同心搏分类模板整体叠加反混淆，快速定位异常心博；</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动态心电支持模板分析，并可按照提前量、代偿间隙、</w:t>
            </w:r>
            <w:r>
              <w:rPr>
                <w:rFonts w:ascii="宋体" w:hAnsi="宋体"/>
                <w:sz w:val="20"/>
                <w:szCs w:val="20"/>
                <w:highlight w:val="none"/>
              </w:rPr>
              <w:t xml:space="preserve">QRS</w:t>
            </w:r>
            <w:r>
              <w:rPr>
                <w:rFonts w:hint="eastAsia" w:ascii="宋体" w:hAnsi="宋体"/>
                <w:sz w:val="20"/>
                <w:szCs w:val="20"/>
                <w:highlight w:val="none"/>
              </w:rPr>
              <w:t xml:space="preserve">面积、宽度等方式排序；</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支持导联纠错功能；</w:t>
            </w:r>
            <w:r/>
          </w:p>
          <w:p>
            <w:pPr>
              <w:pStyle w:val="1213"/>
              <w:numPr>
                <w:ilvl w:val="0"/>
                <w:numId w:val="19"/>
              </w:numPr>
              <w:ind w:left="0" w:firstLine="0"/>
              <w:spacing w:line="300" w:lineRule="exact"/>
              <w:widowControl/>
              <w:rPr>
                <w:rFonts w:ascii="宋体" w:hAnsi="宋体"/>
                <w:sz w:val="20"/>
                <w:szCs w:val="20"/>
                <w:highlight w:val="none"/>
              </w:rPr>
            </w:pPr>
            <w:r>
              <w:rPr>
                <w:rFonts w:ascii="宋体" w:hAnsi="宋体"/>
                <w:sz w:val="20"/>
                <w:szCs w:val="20"/>
                <w:highlight w:val="none"/>
              </w:rPr>
              <w:t xml:space="preserve">具有全导联起搏检测功能</w:t>
            </w:r>
            <w:r>
              <w:rPr>
                <w:rFonts w:hint="eastAsia" w:ascii="宋体" w:hAnsi="宋体"/>
                <w:sz w:val="20"/>
                <w:szCs w:val="20"/>
                <w:highlight w:val="none"/>
              </w:rPr>
              <w:t xml:space="preserve">；起搏器分析模块可用于起搏钉分析，快速定位异常起搏钉；【提供医疗器械注册相关证明】</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提供并行分规测量工具；提供放大镜工具；</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支持心律失常</w:t>
            </w:r>
            <w:r>
              <w:rPr>
                <w:rFonts w:ascii="宋体" w:hAnsi="宋体"/>
                <w:sz w:val="20"/>
                <w:szCs w:val="20"/>
                <w:highlight w:val="none"/>
              </w:rPr>
              <w:t xml:space="preserve">AI</w:t>
            </w:r>
            <w:r>
              <w:rPr>
                <w:rFonts w:hint="eastAsia" w:ascii="宋体" w:hAnsi="宋体"/>
                <w:sz w:val="20"/>
                <w:szCs w:val="20"/>
                <w:highlight w:val="none"/>
              </w:rPr>
              <w:t xml:space="preserve">分析，自动分析心电图数据识别并标记心搏；</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提供PR间期趋势图功能；</w:t>
            </w:r>
            <w:r>
              <w:rPr>
                <w:rFonts w:ascii="宋体" w:hAnsi="宋体"/>
                <w:sz w:val="20"/>
                <w:szCs w:val="20"/>
                <w:highlight w:val="none"/>
              </w:rPr>
              <w:t xml:space="preserve"> </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w:t>
            </w:r>
            <w:r>
              <w:rPr>
                <w:rFonts w:ascii="宋体" w:hAnsi="宋体"/>
                <w:sz w:val="20"/>
                <w:szCs w:val="20"/>
                <w:highlight w:val="none"/>
              </w:rPr>
              <w:t xml:space="preserve">ST</w:t>
            </w:r>
            <w:r>
              <w:rPr>
                <w:rFonts w:hint="eastAsia" w:ascii="宋体" w:hAnsi="宋体"/>
                <w:sz w:val="20"/>
                <w:szCs w:val="20"/>
                <w:highlight w:val="none"/>
              </w:rPr>
              <w:t xml:space="preserve">段扫描和参数编辑，可调整任意导联抬高压低参数；</w:t>
            </w:r>
            <w:r/>
          </w:p>
          <w:p>
            <w:pPr>
              <w:pStyle w:val="1213"/>
              <w:numPr>
                <w:ilvl w:val="0"/>
                <w:numId w:val="19"/>
              </w:numPr>
              <w:ind w:left="0" w:firstLine="0"/>
              <w:spacing w:line="300" w:lineRule="exact"/>
              <w:widowControl/>
              <w:rPr>
                <w:rFonts w:ascii="宋体" w:hAnsi="宋体"/>
                <w:sz w:val="20"/>
                <w:szCs w:val="20"/>
                <w:highlight w:val="none"/>
              </w:rPr>
            </w:pPr>
            <w:r>
              <w:rPr>
                <w:rFonts w:ascii="宋体" w:hAnsi="宋体"/>
                <w:sz w:val="20"/>
                <w:szCs w:val="20"/>
                <w:highlight w:val="none"/>
              </w:rPr>
              <w:t xml:space="preserve">▲</w:t>
            </w:r>
            <w:r>
              <w:rPr>
                <w:rFonts w:hint="eastAsia" w:ascii="宋体" w:hAnsi="宋体"/>
                <w:sz w:val="20"/>
                <w:szCs w:val="20"/>
                <w:highlight w:val="none"/>
              </w:rPr>
              <w:t xml:space="preserve">支持快速筛查房颤和自动分析房颤功能，根据不同房颤识别强度识别阵发性房颤的功能，快速批量编辑阵发性房颤；【提供医疗器械注册相关证明】</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支持全局撤销，方便医生误操作后可快速恢复至上一步；</w:t>
            </w:r>
            <w:r>
              <w:rPr>
                <w:rFonts w:ascii="宋体" w:hAnsi="宋体"/>
                <w:sz w:val="20"/>
                <w:szCs w:val="20"/>
                <w:highlight w:val="none"/>
              </w:rPr>
              <w:t xml:space="preserve"> </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支持事件删除和修改，可对事件进行统计和波形展示；</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支持HRV分析、T波电交替、心率减速力、心率震荡、QTc间期散点图、睡眠呼吸暂停等高级分析功能。【提供医疗器械注册相关证明】</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支持统计表格、结论模板、诊断结论、预览打印报告功能。</w:t>
            </w:r>
            <w:r/>
          </w:p>
          <w:p>
            <w:pPr>
              <w:pStyle w:val="1213"/>
              <w:ind w:firstLine="0"/>
              <w:jc w:val="left"/>
              <w:spacing w:line="300" w:lineRule="exact"/>
              <w:widowControl/>
              <w:rPr>
                <w:rFonts w:ascii="宋体" w:hAnsi="宋体"/>
                <w:sz w:val="20"/>
                <w:szCs w:val="20"/>
                <w:highlight w:val="none"/>
              </w:rPr>
            </w:pPr>
            <w:r>
              <w:rPr>
                <w:rFonts w:ascii="宋体" w:hAnsi="宋体"/>
                <w:sz w:val="20"/>
                <w:szCs w:val="20"/>
                <w:highlight w:val="none"/>
              </w:rPr>
            </w:r>
            <w:r/>
          </w:p>
          <w:p>
            <w:pPr>
              <w:pStyle w:val="1213"/>
              <w:ind w:firstLine="442"/>
              <w:jc w:val="left"/>
              <w:spacing w:line="300" w:lineRule="exact"/>
              <w:widowControl/>
              <w:rPr>
                <w:rFonts w:ascii="宋体" w:hAnsi="宋体"/>
                <w:b/>
                <w:bCs/>
                <w:sz w:val="20"/>
                <w:szCs w:val="20"/>
                <w:highlight w:val="none"/>
              </w:rPr>
            </w:pPr>
            <w:r>
              <w:rPr>
                <w:rFonts w:hint="eastAsia" w:ascii="宋体" w:hAnsi="宋体"/>
                <w:b/>
                <w:bCs/>
                <w:sz w:val="20"/>
                <w:szCs w:val="20"/>
                <w:highlight w:val="none"/>
              </w:rPr>
              <w:t xml:space="preserve">动态血压分析：</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数据管理功能：可进行动态血压数据的查询、诊断、备份、还原、删除功能；</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提供血压脉搏波形图显示，辅助医生进行二次诊断；</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提供多种图标辅助分析工具，包括趋势图、关联图、直方图、饼图、K线图等； </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提供血压变异系数、夜间血压下降比、血压负荷、晨峰血压等分析指标；</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提供血压负荷、昼夜节律、动态动脉硬化指数等自动分析结论；</w:t>
            </w:r>
            <w:r/>
          </w:p>
          <w:p>
            <w:pPr>
              <w:pStyle w:val="1213"/>
              <w:numPr>
                <w:ilvl w:val="0"/>
                <w:numId w:val="19"/>
              </w:numPr>
              <w:ind w:left="0" w:firstLine="0"/>
              <w:spacing w:line="300" w:lineRule="exact"/>
              <w:widowControl/>
              <w:rPr>
                <w:rFonts w:ascii="宋体" w:hAnsi="宋体"/>
                <w:sz w:val="20"/>
                <w:szCs w:val="20"/>
                <w:highlight w:val="none"/>
              </w:rPr>
            </w:pPr>
            <w:r>
              <w:rPr>
                <w:rFonts w:hint="eastAsia" w:ascii="宋体" w:hAnsi="宋体"/>
                <w:sz w:val="20"/>
                <w:szCs w:val="20"/>
                <w:highlight w:val="none"/>
              </w:rPr>
              <w:t xml:space="preserve">支持PDF报告打印，自定义报告模板，彩色打印等功能；</w:t>
            </w:r>
            <w:r/>
          </w:p>
        </w:tc>
      </w:tr>
      <w:tr>
        <w:trPr>
          <w:trHeight w:val="85"/>
        </w:trPr>
        <w:tc>
          <w:tcPr>
            <w:tcW w:w="314" w:type="pct"/>
            <w:vAlign w:val="center"/>
            <w:textDirection w:val="lrTb"/>
            <w:noWrap w:val="false"/>
          </w:tcPr>
          <w:p>
            <w:pPr>
              <w:pStyle w:val="1213"/>
              <w:numPr>
                <w:ilvl w:val="0"/>
                <w:numId w:val="15"/>
              </w:numPr>
              <w:ind w:left="0" w:firstLine="0"/>
              <w:jc w:val="center"/>
              <w:spacing w:line="300" w:lineRule="exact"/>
              <w:rPr>
                <w:rFonts w:ascii="宋体" w:hAnsi="宋体"/>
                <w:color w:val="auto"/>
                <w:sz w:val="20"/>
                <w:szCs w:val="20"/>
                <w:highlight w:val="none"/>
              </w:rPr>
            </w:pPr>
            <w:r>
              <w:rPr>
                <w:rFonts w:ascii="宋体" w:hAnsi="宋体"/>
                <w:color w:val="auto"/>
                <w:sz w:val="20"/>
                <w:szCs w:val="20"/>
                <w:highlight w:val="none"/>
              </w:rPr>
            </w:r>
            <w:r/>
          </w:p>
        </w:tc>
        <w:tc>
          <w:tcPr>
            <w:tcW w:w="590" w:type="pct"/>
            <w:vAlign w:val="center"/>
            <w:textDirection w:val="lrTb"/>
            <w:noWrap w:val="false"/>
          </w:tcPr>
          <w:p>
            <w:pPr>
              <w:pStyle w:val="1213"/>
              <w:ind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移动会诊</w:t>
            </w:r>
            <w:r/>
          </w:p>
        </w:tc>
        <w:tc>
          <w:tcPr>
            <w:tcW w:w="4094" w:type="pct"/>
            <w:textDirection w:val="lrTb"/>
            <w:noWrap w:val="false"/>
          </w:tcPr>
          <w:p>
            <w:pPr>
              <w:pStyle w:val="1213"/>
              <w:numPr>
                <w:ilvl w:val="0"/>
                <w:numId w:val="20"/>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移动会诊支持手机端H5的方式实现原始心电图数据的查看，满足出差、居家等不同场景下的远程会诊需求。</w:t>
            </w:r>
            <w:r/>
          </w:p>
          <w:p>
            <w:pPr>
              <w:pStyle w:val="1213"/>
              <w:numPr>
                <w:ilvl w:val="0"/>
                <w:numId w:val="20"/>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支持手机端报告任务列表刷新功能，可实时查看待处理报告的数量。支持报告编辑功能，提供标准的心电图诊断词条选择或者手动输入诊断词条，辅助医生快速的进行报告编辑。</w:t>
            </w:r>
            <w:r/>
          </w:p>
          <w:p>
            <w:pPr>
              <w:pStyle w:val="1213"/>
              <w:numPr>
                <w:ilvl w:val="0"/>
                <w:numId w:val="20"/>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支持手机端浏览器访问登录功能；支持记录最近一次登录用户。</w:t>
            </w:r>
            <w:r/>
          </w:p>
          <w:p>
            <w:pPr>
              <w:pStyle w:val="1213"/>
              <w:numPr>
                <w:ilvl w:val="0"/>
                <w:numId w:val="20"/>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支持报告列表功能、支持多份心电图切换功能、支持报告编辑功能；支持通过扫描二维码的方式连接服务器地址，免去繁杂的网址输入过程，防止服务器地址外泄，提高系统安全性。</w:t>
            </w:r>
            <w:r/>
          </w:p>
          <w:p>
            <w:pPr>
              <w:pStyle w:val="1213"/>
              <w:numPr>
                <w:ilvl w:val="0"/>
                <w:numId w:val="20"/>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系统支持将心电数据通过网络分享到微信群或者专家的微信，寻求技术指导或典型数据分享。会诊专家可在微信端查看原始心电数据，支持走速、增益的调整，支持导联布局的切换，支持心电波形的滤波。</w:t>
            </w:r>
            <w:r/>
          </w:p>
          <w:p>
            <w:pPr>
              <w:pStyle w:val="1213"/>
              <w:numPr>
                <w:ilvl w:val="0"/>
                <w:numId w:val="20"/>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支持iPad智能终端移动诊断功能。方便医生值班时使用。</w:t>
            </w:r>
            <w:r>
              <w:rPr>
                <w:rFonts w:ascii="宋体" w:hAnsi="宋体"/>
                <w:color w:val="auto"/>
                <w:sz w:val="20"/>
                <w:szCs w:val="20"/>
                <w:highlight w:val="none"/>
              </w:rPr>
              <w:t xml:space="preserve">(提供医疗器械注册相关证明)</w:t>
            </w:r>
            <w:r/>
          </w:p>
        </w:tc>
      </w:tr>
      <w:tr>
        <w:trPr>
          <w:trHeight w:val="85"/>
        </w:trPr>
        <w:tc>
          <w:tcPr>
            <w:tcW w:w="314" w:type="pct"/>
            <w:vAlign w:val="center"/>
            <w:textDirection w:val="lrTb"/>
            <w:noWrap w:val="false"/>
          </w:tcPr>
          <w:p>
            <w:pPr>
              <w:pStyle w:val="1213"/>
              <w:numPr>
                <w:ilvl w:val="0"/>
                <w:numId w:val="15"/>
              </w:numPr>
              <w:ind w:left="0" w:firstLine="0"/>
              <w:jc w:val="center"/>
              <w:spacing w:line="300" w:lineRule="exact"/>
              <w:rPr>
                <w:rFonts w:ascii="宋体" w:hAnsi="宋体"/>
                <w:color w:val="auto"/>
                <w:sz w:val="20"/>
                <w:szCs w:val="20"/>
                <w:highlight w:val="none"/>
              </w:rPr>
            </w:pPr>
            <w:r>
              <w:rPr>
                <w:rFonts w:ascii="宋体" w:hAnsi="宋体"/>
                <w:color w:val="auto"/>
                <w:sz w:val="20"/>
                <w:szCs w:val="20"/>
                <w:highlight w:val="none"/>
              </w:rPr>
            </w:r>
            <w:r/>
          </w:p>
        </w:tc>
        <w:tc>
          <w:tcPr>
            <w:tcW w:w="590" w:type="pct"/>
            <w:vAlign w:val="center"/>
            <w:textDirection w:val="lrTb"/>
            <w:noWrap w:val="false"/>
          </w:tcPr>
          <w:p>
            <w:pPr>
              <w:jc w:val="left"/>
              <w:spacing w:line="300" w:lineRule="exact"/>
              <w:rPr>
                <w:rFonts w:ascii="宋体" w:hAnsi="宋体" w:cs="宋体"/>
                <w:color w:val="auto"/>
                <w:sz w:val="20"/>
                <w:szCs w:val="20"/>
                <w:highlight w:val="none"/>
              </w:rPr>
            </w:pPr>
            <w:r>
              <w:rPr>
                <w:rFonts w:hint="eastAsia" w:ascii="宋体" w:hAnsi="宋体"/>
                <w:color w:val="auto"/>
                <w:sz w:val="20"/>
                <w:szCs w:val="20"/>
                <w:highlight w:val="none"/>
              </w:rPr>
              <w:t xml:space="preserve">临床WEB端调阅</w:t>
            </w:r>
            <w:r/>
          </w:p>
        </w:tc>
        <w:tc>
          <w:tcPr>
            <w:tcW w:w="4094" w:type="pct"/>
            <w:textDirection w:val="lrTb"/>
            <w:noWrap w:val="false"/>
          </w:tcPr>
          <w:p>
            <w:pPr>
              <w:pStyle w:val="1213"/>
              <w:numPr>
                <w:ilvl w:val="0"/>
                <w:numId w:val="21"/>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支持在</w:t>
            </w:r>
            <w:r>
              <w:rPr>
                <w:rFonts w:ascii="宋体" w:hAnsi="宋体"/>
                <w:color w:val="auto"/>
                <w:sz w:val="20"/>
                <w:szCs w:val="20"/>
                <w:highlight w:val="none"/>
              </w:rPr>
              <w:t xml:space="preserve">Web端</w:t>
            </w:r>
            <w:r>
              <w:rPr>
                <w:rFonts w:hint="eastAsia" w:ascii="宋体" w:hAnsi="宋体"/>
                <w:color w:val="auto"/>
                <w:sz w:val="20"/>
                <w:szCs w:val="20"/>
                <w:highlight w:val="none"/>
              </w:rPr>
              <w:t xml:space="preserve">查看、</w:t>
            </w:r>
            <w:r>
              <w:rPr>
                <w:rFonts w:ascii="宋体" w:hAnsi="宋体"/>
                <w:color w:val="auto"/>
                <w:sz w:val="20"/>
                <w:szCs w:val="20"/>
                <w:highlight w:val="none"/>
              </w:rPr>
              <w:t xml:space="preserve">诊断、发布</w:t>
            </w:r>
            <w:r>
              <w:rPr>
                <w:rFonts w:hint="eastAsia" w:ascii="宋体" w:hAnsi="宋体"/>
                <w:color w:val="auto"/>
                <w:sz w:val="20"/>
                <w:szCs w:val="20"/>
                <w:highlight w:val="none"/>
              </w:rPr>
              <w:t xml:space="preserve">心电图报告。满足不同场景的业务需求。</w:t>
            </w:r>
            <w:r/>
          </w:p>
          <w:p>
            <w:pPr>
              <w:pStyle w:val="1213"/>
              <w:numPr>
                <w:ilvl w:val="0"/>
                <w:numId w:val="21"/>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支持根据报告完成状态待诊断、已诊断查看报告，并且直观看出待诊断的报告数量。</w:t>
            </w:r>
            <w:r/>
          </w:p>
          <w:p>
            <w:pPr>
              <w:pStyle w:val="1213"/>
              <w:numPr>
                <w:ilvl w:val="0"/>
                <w:numId w:val="21"/>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支持通过检查科室、受检者来源、检查时间、受检者标识、受检者姓名快速检索报告。</w:t>
            </w:r>
            <w:r/>
          </w:p>
          <w:p>
            <w:pPr>
              <w:pStyle w:val="1213"/>
              <w:numPr>
                <w:ilvl w:val="0"/>
                <w:numId w:val="21"/>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支持产生新报告到达即时提醒功能。当检查端采集的病历发送过来时，web端自动弹出提示窗口并语音提醒，提示医生有新报告到达。</w:t>
            </w:r>
            <w:r/>
          </w:p>
          <w:p>
            <w:pPr>
              <w:pStyle w:val="1213"/>
              <w:numPr>
                <w:ilvl w:val="0"/>
                <w:numId w:val="21"/>
              </w:numPr>
              <w:ind w:left="0" w:firstLine="0"/>
              <w:spacing w:line="300" w:lineRule="exact"/>
              <w:widowControl/>
              <w:rPr>
                <w:rFonts w:ascii="宋体" w:hAnsi="宋体"/>
                <w:color w:val="auto"/>
                <w:sz w:val="20"/>
                <w:szCs w:val="20"/>
                <w:highlight w:val="none"/>
              </w:rPr>
            </w:pPr>
            <w:r>
              <w:rPr>
                <w:rFonts w:ascii="宋体" w:hAnsi="宋体"/>
                <w:color w:val="auto"/>
                <w:sz w:val="20"/>
                <w:szCs w:val="20"/>
                <w:highlight w:val="none"/>
              </w:rPr>
              <w:t xml:space="preserve">Web终端可查看原始数据，支持调整导联布局、增益、走速；支持心电波形的滤波，包括肌电滤波、工频滤波、高频滤波；提供标准的心电图诊断</w:t>
            </w:r>
            <w:r>
              <w:rPr>
                <w:rFonts w:hint="eastAsia" w:ascii="宋体" w:hAnsi="宋体"/>
                <w:color w:val="auto"/>
                <w:sz w:val="20"/>
                <w:szCs w:val="20"/>
                <w:highlight w:val="none"/>
              </w:rPr>
              <w:t xml:space="preserve">词条选择或者手动输入</w:t>
            </w:r>
            <w:r>
              <w:rPr>
                <w:rFonts w:ascii="宋体" w:hAnsi="宋体"/>
                <w:color w:val="auto"/>
                <w:sz w:val="20"/>
                <w:szCs w:val="20"/>
                <w:highlight w:val="none"/>
              </w:rPr>
              <w:t xml:space="preserve">；支持修改受检者部分信息；支持全院数据共享。</w:t>
            </w:r>
            <w:r/>
          </w:p>
        </w:tc>
      </w:tr>
      <w:tr>
        <w:trPr>
          <w:trHeight w:val="597"/>
        </w:trPr>
        <w:tc>
          <w:tcPr>
            <w:tcW w:w="314" w:type="pct"/>
            <w:vAlign w:val="center"/>
            <w:textDirection w:val="lrTb"/>
            <w:noWrap w:val="false"/>
          </w:tcPr>
          <w:p>
            <w:pPr>
              <w:pStyle w:val="1213"/>
              <w:numPr>
                <w:ilvl w:val="0"/>
                <w:numId w:val="15"/>
              </w:numPr>
              <w:ind w:left="0" w:firstLine="0"/>
              <w:jc w:val="center"/>
              <w:spacing w:line="300" w:lineRule="exact"/>
              <w:rPr>
                <w:rFonts w:ascii="宋体" w:hAnsi="宋体"/>
                <w:color w:val="auto"/>
                <w:sz w:val="20"/>
                <w:szCs w:val="20"/>
                <w:highlight w:val="none"/>
              </w:rPr>
            </w:pPr>
            <w:r>
              <w:rPr>
                <w:rFonts w:ascii="宋体" w:hAnsi="宋体"/>
                <w:color w:val="auto"/>
                <w:sz w:val="20"/>
                <w:szCs w:val="20"/>
                <w:highlight w:val="none"/>
              </w:rPr>
            </w:r>
            <w:r/>
          </w:p>
        </w:tc>
        <w:tc>
          <w:tcPr>
            <w:tcW w:w="590" w:type="pct"/>
            <w:vAlign w:val="center"/>
            <w:textDirection w:val="lrTb"/>
            <w:noWrap w:val="false"/>
          </w:tcPr>
          <w:p>
            <w:pPr>
              <w:jc w:val="left"/>
              <w:spacing w:line="300" w:lineRule="exact"/>
              <w:rPr>
                <w:rFonts w:ascii="宋体" w:hAnsi="宋体" w:cs="宋体"/>
                <w:color w:val="auto"/>
                <w:sz w:val="20"/>
                <w:szCs w:val="20"/>
                <w:highlight w:val="none"/>
              </w:rPr>
            </w:pPr>
            <w:r>
              <w:rPr>
                <w:rFonts w:hint="eastAsia" w:ascii="宋体" w:hAnsi="宋体"/>
                <w:color w:val="auto"/>
                <w:sz w:val="20"/>
                <w:szCs w:val="20"/>
                <w:highlight w:val="none"/>
              </w:rPr>
              <w:t xml:space="preserve">心电AI智能分析</w:t>
            </w:r>
            <w:r/>
          </w:p>
        </w:tc>
        <w:tc>
          <w:tcPr>
            <w:tcW w:w="4094" w:type="pct"/>
            <w:textDirection w:val="lrTb"/>
            <w:noWrap w:val="false"/>
          </w:tcPr>
          <w:p>
            <w:pPr>
              <w:pStyle w:val="1213"/>
              <w:numPr>
                <w:ilvl w:val="0"/>
                <w:numId w:val="22"/>
              </w:numPr>
              <w:ind w:firstLine="0"/>
              <w:jc w:val="left"/>
              <w:spacing w:line="300" w:lineRule="exact"/>
              <w:widowControl/>
              <w:rPr>
                <w:rFonts w:ascii="宋体" w:hAnsi="宋体"/>
                <w:color w:val="auto"/>
                <w:sz w:val="20"/>
                <w:szCs w:val="20"/>
                <w:highlight w:val="none"/>
              </w:rPr>
            </w:pPr>
            <w:r>
              <w:rPr>
                <w:rFonts w:ascii="宋体" w:hAnsi="宋体"/>
                <w:color w:val="auto"/>
                <w:sz w:val="20"/>
                <w:szCs w:val="20"/>
                <w:highlight w:val="none"/>
              </w:rPr>
              <w:t xml:space="preserve">通过</w:t>
            </w:r>
            <w:r>
              <w:rPr>
                <w:rFonts w:hint="eastAsia" w:ascii="宋体" w:hAnsi="宋体"/>
                <w:color w:val="auto"/>
                <w:sz w:val="20"/>
                <w:szCs w:val="20"/>
                <w:highlight w:val="none"/>
              </w:rPr>
              <w:t xml:space="preserve">AI</w:t>
            </w:r>
            <w:r>
              <w:rPr>
                <w:rFonts w:ascii="宋体" w:hAnsi="宋体"/>
                <w:color w:val="auto"/>
                <w:sz w:val="20"/>
                <w:szCs w:val="20"/>
                <w:highlight w:val="none"/>
              </w:rPr>
              <w:t xml:space="preserve">智能分析技术与心电业务的深度融合，将人工智能分析技术应用在心电图采集、诊断、预警、质控等业务场景。</w:t>
            </w:r>
            <w:r>
              <w:rPr>
                <w:rFonts w:ascii="宋体" w:hAnsi="宋体"/>
                <w:color w:val="auto"/>
                <w:sz w:val="20"/>
                <w:szCs w:val="20"/>
                <w:highlight w:val="none"/>
              </w:rPr>
              <w:br/>
            </w:r>
            <w:r>
              <w:rPr>
                <w:rFonts w:ascii="宋体" w:hAnsi="宋体"/>
                <w:color w:val="auto"/>
                <w:sz w:val="20"/>
                <w:szCs w:val="20"/>
                <w:highlight w:val="none"/>
              </w:rPr>
              <w:t xml:space="preserve">2）具备深度学习心电分析模块，支持成人心律失常、心肌梗塞、ST-T异常、房室肥大等四大类异常心电图的自动识别。</w:t>
            </w:r>
            <w:r>
              <w:rPr>
                <w:rFonts w:ascii="宋体" w:hAnsi="宋体"/>
                <w:color w:val="auto"/>
                <w:sz w:val="20"/>
                <w:szCs w:val="20"/>
                <w:highlight w:val="none"/>
              </w:rPr>
              <w:br/>
            </w:r>
            <w:r>
              <w:rPr>
                <w:rFonts w:ascii="宋体" w:hAnsi="宋体"/>
                <w:color w:val="auto"/>
                <w:sz w:val="20"/>
                <w:szCs w:val="20"/>
                <w:highlight w:val="none"/>
              </w:rPr>
              <w:t xml:space="preserve">3）支持包括窦性心律、房性心律、室上性心动过速、心房颤动、心房扑动、停搏、起搏心律、短PR间期、预激综合征、传导阻滞等心律失常异常心电图的自动识别功能。</w:t>
            </w:r>
            <w:r>
              <w:rPr>
                <w:rFonts w:ascii="宋体" w:hAnsi="宋体"/>
                <w:color w:val="auto"/>
                <w:sz w:val="20"/>
                <w:szCs w:val="20"/>
                <w:highlight w:val="none"/>
              </w:rPr>
              <w:br/>
            </w:r>
            <w:r>
              <w:rPr>
                <w:rFonts w:ascii="宋体" w:hAnsi="宋体"/>
                <w:color w:val="auto"/>
                <w:sz w:val="20"/>
                <w:szCs w:val="20"/>
                <w:highlight w:val="none"/>
              </w:rPr>
              <w:t xml:space="preserve">4）支持急性心肌梗塞和陈旧性心肌梗塞等心肌梗塞异常心电图的自动识别。</w:t>
            </w:r>
            <w:r>
              <w:rPr>
                <w:rFonts w:ascii="宋体" w:hAnsi="宋体"/>
                <w:color w:val="auto"/>
                <w:sz w:val="20"/>
                <w:szCs w:val="20"/>
                <w:highlight w:val="none"/>
              </w:rPr>
              <w:br/>
            </w:r>
            <w:r>
              <w:rPr>
                <w:rFonts w:ascii="宋体" w:hAnsi="宋体"/>
                <w:color w:val="auto"/>
                <w:sz w:val="20"/>
                <w:szCs w:val="20"/>
                <w:highlight w:val="none"/>
              </w:rPr>
              <w:t xml:space="preserve">5）支持ST压低、ST抬高、T波异常、ST_T改变、QTc间期等ST-T异常心电图的自动识别。准确定位ST-T改变，协助医生快速定位心肌缺血、急性梗死等心电事件。</w:t>
            </w:r>
            <w:r/>
          </w:p>
          <w:p>
            <w:pPr>
              <w:pStyle w:val="1213"/>
              <w:numPr>
                <w:ilvl w:val="0"/>
                <w:numId w:val="0"/>
              </w:numPr>
              <w:jc w:val="left"/>
              <w:spacing w:line="300" w:lineRule="exact"/>
              <w:widowControl/>
              <w:rPr>
                <w:rFonts w:ascii="宋体" w:hAnsi="宋体"/>
                <w:color w:val="auto"/>
                <w:sz w:val="20"/>
                <w:szCs w:val="20"/>
                <w:highlight w:val="none"/>
              </w:rPr>
            </w:pPr>
            <w:r>
              <w:rPr>
                <w:rFonts w:ascii="宋体" w:hAnsi="宋体"/>
                <w:color w:val="auto"/>
                <w:sz w:val="20"/>
                <w:szCs w:val="20"/>
                <w:highlight w:val="none"/>
              </w:rPr>
              <w:t xml:space="preserve">6）支持右室肥大、左室肥大、右房增大、左房增大等房室肥大异常心电图的自动识别。</w:t>
            </w:r>
            <w:r>
              <w:rPr>
                <w:rFonts w:ascii="宋体" w:hAnsi="宋体"/>
                <w:color w:val="auto"/>
                <w:sz w:val="20"/>
                <w:szCs w:val="20"/>
                <w:highlight w:val="none"/>
              </w:rPr>
              <w:br/>
            </w:r>
            <w:r>
              <w:rPr>
                <w:rFonts w:ascii="宋体" w:hAnsi="宋体"/>
                <w:color w:val="auto"/>
                <w:sz w:val="20"/>
                <w:szCs w:val="20"/>
                <w:highlight w:val="none"/>
              </w:rPr>
              <w:t xml:space="preserve">7）AI可自动识别心电图的采集质量，如是否有左右手接反、伪差、导联脱落、起搏信号等情况；</w:t>
            </w:r>
            <w:r>
              <w:rPr>
                <w:rFonts w:ascii="宋体" w:hAnsi="宋体"/>
                <w:color w:val="auto"/>
                <w:sz w:val="20"/>
                <w:szCs w:val="20"/>
                <w:highlight w:val="none"/>
              </w:rPr>
              <w:br/>
            </w:r>
            <w:r>
              <w:rPr>
                <w:rFonts w:ascii="宋体" w:hAnsi="宋体"/>
                <w:color w:val="auto"/>
                <w:sz w:val="20"/>
                <w:szCs w:val="20"/>
                <w:highlight w:val="none"/>
              </w:rPr>
              <w:t xml:space="preserve">8）支持识别特定类型病人并提醒采集人员补充完善临床信息，如患者是否佩戴了起搏器，从源头上规避影响诊断的重采问题；</w:t>
            </w:r>
            <w:r>
              <w:rPr>
                <w:rFonts w:ascii="宋体" w:hAnsi="宋体"/>
                <w:color w:val="auto"/>
                <w:sz w:val="20"/>
                <w:szCs w:val="20"/>
                <w:highlight w:val="none"/>
              </w:rPr>
              <w:br/>
            </w:r>
            <w:r>
              <w:rPr>
                <w:rFonts w:ascii="宋体" w:hAnsi="宋体"/>
                <w:color w:val="auto"/>
                <w:sz w:val="20"/>
                <w:szCs w:val="20"/>
                <w:highlight w:val="none"/>
              </w:rPr>
              <w:t xml:space="preserve">9）支持以消息弹窗和语音提醒的方式提醒诊断医生危急值数据，支持急性心肌梗塞、严重过速型心律失常、严重过缓型心律失常等类型。并支持危急数据通过微信推送给指定专家，精准判读，缩短患者救治时间。</w:t>
            </w:r>
            <w:r>
              <w:rPr>
                <w:rFonts w:ascii="宋体" w:hAnsi="宋体"/>
                <w:color w:val="auto"/>
                <w:sz w:val="20"/>
                <w:szCs w:val="20"/>
                <w:highlight w:val="none"/>
              </w:rPr>
              <w:br/>
            </w:r>
            <w:r>
              <w:rPr>
                <w:rFonts w:ascii="宋体" w:hAnsi="宋体"/>
                <w:color w:val="auto"/>
                <w:sz w:val="20"/>
                <w:szCs w:val="20"/>
                <w:highlight w:val="none"/>
              </w:rPr>
              <w:t xml:space="preserve">10）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r>
              <w:rPr>
                <w:rFonts w:ascii="宋体" w:hAnsi="宋体"/>
                <w:color w:val="auto"/>
                <w:sz w:val="20"/>
                <w:szCs w:val="20"/>
                <w:highlight w:val="none"/>
              </w:rPr>
              <w:br/>
            </w:r>
            <w:r>
              <w:rPr>
                <w:rFonts w:ascii="宋体" w:hAnsi="宋体"/>
                <w:color w:val="auto"/>
                <w:sz w:val="20"/>
                <w:szCs w:val="20"/>
                <w:highlight w:val="none"/>
              </w:rPr>
              <w:t xml:space="preserve">11）特征标记：AI诊断后，点击AI特征标记可跳转到对应波形位置，标记诊断依据</w:t>
            </w:r>
            <w:r>
              <w:rPr>
                <w:rFonts w:hint="eastAsia" w:ascii="宋体" w:hAnsi="宋体"/>
                <w:color w:val="auto"/>
                <w:sz w:val="20"/>
                <w:szCs w:val="20"/>
                <w:highlight w:val="none"/>
              </w:rPr>
              <w:t xml:space="preserve">，</w:t>
            </w:r>
            <w:r>
              <w:rPr>
                <w:rFonts w:ascii="宋体" w:hAnsi="宋体"/>
                <w:color w:val="auto"/>
                <w:sz w:val="20"/>
                <w:szCs w:val="20"/>
                <w:highlight w:val="none"/>
              </w:rPr>
              <w:t xml:space="preserve">支持急性心梗等疾病类型心电波形特征的标记。</w:t>
            </w:r>
            <w:r>
              <w:rPr>
                <w:rFonts w:ascii="宋体" w:hAnsi="宋体"/>
                <w:color w:val="auto"/>
                <w:sz w:val="20"/>
                <w:szCs w:val="20"/>
                <w:highlight w:val="none"/>
              </w:rPr>
              <w:br/>
            </w:r>
            <w:r>
              <w:rPr>
                <w:rFonts w:ascii="宋体" w:hAnsi="宋体"/>
                <w:color w:val="auto"/>
                <w:sz w:val="20"/>
                <w:szCs w:val="20"/>
                <w:highlight w:val="none"/>
              </w:rPr>
              <w:t xml:space="preserve">12）起搏信号智能标识：通过AI帮助医生快速识别出微弱的起搏信号，避免漏诊误诊。</w:t>
            </w:r>
            <w:r/>
          </w:p>
          <w:p>
            <w:pPr>
              <w:pStyle w:val="1213"/>
              <w:ind w:firstLine="0"/>
              <w:jc w:val="left"/>
              <w:spacing w:line="300" w:lineRule="exact"/>
              <w:widowControl/>
              <w:rPr>
                <w:rFonts w:hint="eastAsia" w:ascii="宋体" w:hAnsi="宋体"/>
                <w:color w:val="auto"/>
                <w:sz w:val="20"/>
                <w:szCs w:val="20"/>
                <w:highlight w:val="none"/>
              </w:rPr>
            </w:pPr>
            <w:r>
              <w:rPr>
                <w:rFonts w:hint="eastAsia" w:ascii="宋体" w:hAnsi="宋体"/>
                <w:color w:val="auto"/>
                <w:sz w:val="20"/>
                <w:szCs w:val="20"/>
                <w:highlight w:val="none"/>
              </w:rPr>
              <w:t xml:space="preserve">13） 提供智能体开发平台，提供模型管理、知识库构建等全套工具。</w:t>
            </w:r>
            <w:r/>
          </w:p>
          <w:p>
            <w:pPr>
              <w:pStyle w:val="1213"/>
              <w:ind w:firstLine="0"/>
              <w:jc w:val="left"/>
              <w:spacing w:line="300" w:lineRule="exact"/>
              <w:widowControl/>
              <w:rPr>
                <w:rFonts w:hint="eastAsia" w:ascii="宋体" w:hAnsi="宋体"/>
                <w:color w:val="auto"/>
                <w:sz w:val="20"/>
                <w:szCs w:val="20"/>
                <w:highlight w:val="none"/>
              </w:rPr>
            </w:pPr>
            <w:r>
              <w:rPr>
                <w:rFonts w:hint="eastAsia" w:ascii="宋体" w:hAnsi="宋体"/>
                <w:color w:val="auto"/>
                <w:sz w:val="20"/>
                <w:szCs w:val="20"/>
                <w:highlight w:val="none"/>
              </w:rPr>
              <w:t xml:space="preserve">14） 模型管理功能支持用户导入外部模型（如LLM、Embedding、Rerank），配置推理URL并启用服务。</w:t>
            </w:r>
            <w:r/>
          </w:p>
          <w:p>
            <w:pPr>
              <w:pStyle w:val="1213"/>
              <w:ind w:firstLine="0"/>
              <w:jc w:val="left"/>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15） 提供从知识库创建→文档解析→向量化→检索→精排的全流程知识管理能力。</w:t>
            </w:r>
            <w:r/>
          </w:p>
        </w:tc>
      </w:tr>
      <w:tr>
        <w:trPr>
          <w:trHeight w:val="898"/>
        </w:trPr>
        <w:tc>
          <w:tcPr>
            <w:tcW w:w="314" w:type="pct"/>
            <w:vAlign w:val="center"/>
            <w:textDirection w:val="lrTb"/>
            <w:noWrap w:val="false"/>
          </w:tcPr>
          <w:p>
            <w:pPr>
              <w:pStyle w:val="1213"/>
              <w:numPr>
                <w:ilvl w:val="0"/>
                <w:numId w:val="15"/>
              </w:numPr>
              <w:ind w:left="0" w:firstLine="0"/>
              <w:jc w:val="center"/>
              <w:spacing w:line="300" w:lineRule="exact"/>
              <w:rPr>
                <w:rFonts w:ascii="宋体" w:hAnsi="宋体"/>
                <w:color w:val="auto"/>
                <w:sz w:val="20"/>
                <w:szCs w:val="20"/>
                <w:highlight w:val="none"/>
              </w:rPr>
            </w:pPr>
            <w:r>
              <w:rPr>
                <w:rFonts w:ascii="宋体" w:hAnsi="宋体"/>
                <w:color w:val="auto"/>
                <w:sz w:val="20"/>
                <w:szCs w:val="20"/>
                <w:highlight w:val="none"/>
              </w:rPr>
            </w:r>
            <w:r/>
          </w:p>
        </w:tc>
        <w:tc>
          <w:tcPr>
            <w:tcW w:w="590" w:type="pct"/>
            <w:vAlign w:val="center"/>
            <w:textDirection w:val="lrTb"/>
            <w:noWrap w:val="false"/>
          </w:tcPr>
          <w:p>
            <w:pPr>
              <w:jc w:val="left"/>
              <w:spacing w:line="300" w:lineRule="exact"/>
              <w:rPr>
                <w:rFonts w:ascii="宋体" w:hAnsi="宋体" w:cs="宋体"/>
                <w:color w:val="auto"/>
                <w:sz w:val="20"/>
                <w:szCs w:val="20"/>
                <w:highlight w:val="none"/>
              </w:rPr>
            </w:pPr>
            <w:r>
              <w:rPr>
                <w:rFonts w:hint="eastAsia" w:ascii="宋体" w:hAnsi="宋体"/>
                <w:color w:val="auto"/>
                <w:sz w:val="20"/>
                <w:szCs w:val="20"/>
                <w:highlight w:val="none"/>
              </w:rPr>
              <w:t xml:space="preserve">数据统计与展示</w:t>
            </w:r>
            <w:r/>
          </w:p>
        </w:tc>
        <w:tc>
          <w:tcPr>
            <w:tcW w:w="4094" w:type="pct"/>
            <w:textDirection w:val="lrTb"/>
            <w:noWrap w:val="false"/>
          </w:tcPr>
          <w:p>
            <w:pPr>
              <w:pStyle w:val="1213"/>
              <w:numPr>
                <w:ilvl w:val="0"/>
                <w:numId w:val="23"/>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支持GIS技术，展示区域内的诊断资源和检查量分布。利用大数据可视化系统，通过对医院心电检查、诊断、资源分布等数据的分析挖掘，为院内的业务开展和资源分配提供数据支撑。</w:t>
            </w:r>
            <w:r/>
          </w:p>
          <w:p>
            <w:pPr>
              <w:pStyle w:val="1213"/>
              <w:numPr>
                <w:ilvl w:val="0"/>
                <w:numId w:val="23"/>
              </w:numPr>
              <w:ind w:left="0" w:firstLine="0"/>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支持按机构、部门、医生统计检查量，支持导出为excel。</w:t>
            </w:r>
            <w:r/>
          </w:p>
          <w:p>
            <w:pPr>
              <w:pStyle w:val="1213"/>
              <w:numPr>
                <w:ilvl w:val="0"/>
                <w:numId w:val="23"/>
              </w:numPr>
              <w:ind w:left="0" w:firstLine="0"/>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可以根据医生统计报告总诊断量、院内报告诊断量、会诊报告诊断量。支持根据时间范围，查询数据，并可以导出为excel。</w:t>
            </w:r>
            <w:r/>
          </w:p>
          <w:p>
            <w:pPr>
              <w:pStyle w:val="1213"/>
              <w:numPr>
                <w:ilvl w:val="0"/>
                <w:numId w:val="23"/>
              </w:numPr>
              <w:ind w:left="0" w:firstLine="0"/>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可以根据来源门诊、住院、急诊、体检、未分类，统计报告诊断量。支持根据时间范围查询数据，并可以导出为excel。</w:t>
            </w:r>
            <w:r/>
          </w:p>
          <w:p>
            <w:pPr>
              <w:pStyle w:val="1213"/>
              <w:numPr>
                <w:ilvl w:val="0"/>
                <w:numId w:val="23"/>
              </w:numPr>
              <w:ind w:left="0" w:firstLine="0"/>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基于平台建设，成立心电质控中心，组建质控团队，支持从采集质量、病人信息完整度、诊断报告质量、报告规范、诊断时效、疑难病例、危急值数据等不同维度建立心电质控指标，对心电检查诊断业务进行全面的质控分析。</w:t>
            </w:r>
            <w:r/>
          </w:p>
          <w:p>
            <w:pPr>
              <w:pStyle w:val="1213"/>
              <w:numPr>
                <w:ilvl w:val="0"/>
                <w:numId w:val="23"/>
              </w:numPr>
              <w:ind w:left="0" w:firstLine="0"/>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▲支持新建质控任务，支持按照多维度筛选质控数据，指定质控报告数量，支持选择质控专家和反馈对象设置。</w:t>
            </w:r>
            <w:r>
              <w:rPr>
                <w:rFonts w:ascii="宋体" w:hAnsi="宋体"/>
                <w:color w:val="auto"/>
                <w:sz w:val="20"/>
                <w:szCs w:val="20"/>
                <w:highlight w:val="none"/>
              </w:rPr>
              <w:t xml:space="preserve">(提供医疗器械注册相关证明)</w:t>
            </w:r>
            <w:r/>
          </w:p>
          <w:p>
            <w:pPr>
              <w:pStyle w:val="1213"/>
              <w:numPr>
                <w:ilvl w:val="0"/>
                <w:numId w:val="23"/>
              </w:numPr>
              <w:ind w:left="0" w:firstLine="0"/>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支持通过心电人工智能进行质控分析，评估诊断医生和诊断组的诊断质量，进一步明确后续的培训方向和提高培训效果。(提供心电人工智能质控</w:t>
            </w:r>
            <w:r>
              <w:rPr>
                <w:rFonts w:hint="eastAsia" w:ascii="宋体" w:hAnsi="宋体"/>
                <w:color w:val="auto"/>
                <w:sz w:val="20"/>
                <w:szCs w:val="20"/>
                <w:highlight w:val="none"/>
                <w:lang w:val="en-US" w:eastAsia="zh-CN"/>
              </w:rPr>
              <w:t xml:space="preserve">分析</w:t>
            </w:r>
            <w:r>
              <w:rPr>
                <w:rFonts w:hint="eastAsia" w:ascii="宋体" w:hAnsi="宋体"/>
                <w:color w:val="auto"/>
                <w:sz w:val="20"/>
                <w:szCs w:val="20"/>
                <w:highlight w:val="none"/>
              </w:rPr>
              <w:t xml:space="preserve">相关软件著作权证明)</w:t>
            </w:r>
            <w:r/>
          </w:p>
        </w:tc>
      </w:tr>
      <w:tr>
        <w:trPr>
          <w:trHeight w:val="85"/>
        </w:trPr>
        <w:tc>
          <w:tcPr>
            <w:tcW w:w="314" w:type="pct"/>
            <w:vAlign w:val="center"/>
            <w:textDirection w:val="lrTb"/>
            <w:noWrap w:val="false"/>
          </w:tcPr>
          <w:p>
            <w:pPr>
              <w:pStyle w:val="1213"/>
              <w:numPr>
                <w:ilvl w:val="0"/>
                <w:numId w:val="15"/>
              </w:numPr>
              <w:ind w:left="0" w:firstLine="0"/>
              <w:jc w:val="center"/>
              <w:spacing w:line="300" w:lineRule="exact"/>
              <w:rPr>
                <w:rFonts w:ascii="宋体" w:hAnsi="宋体"/>
                <w:color w:val="auto"/>
                <w:sz w:val="20"/>
                <w:szCs w:val="20"/>
                <w:highlight w:val="none"/>
              </w:rPr>
            </w:pPr>
            <w:r>
              <w:rPr>
                <w:rFonts w:ascii="宋体" w:hAnsi="宋体"/>
                <w:color w:val="auto"/>
                <w:sz w:val="20"/>
                <w:szCs w:val="20"/>
                <w:highlight w:val="none"/>
              </w:rPr>
            </w:r>
            <w:r/>
          </w:p>
        </w:tc>
        <w:tc>
          <w:tcPr>
            <w:tcW w:w="590" w:type="pct"/>
            <w:vAlign w:val="center"/>
            <w:textDirection w:val="lrTb"/>
            <w:noWrap w:val="false"/>
          </w:tcPr>
          <w:p>
            <w:pPr>
              <w:jc w:val="left"/>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心电设备接入</w:t>
            </w:r>
            <w:r/>
          </w:p>
        </w:tc>
        <w:tc>
          <w:tcPr>
            <w:tcW w:w="4094" w:type="pct"/>
            <w:textDirection w:val="lrTb"/>
            <w:noWrap w:val="false"/>
          </w:tcPr>
          <w:p>
            <w:pPr>
              <w:pStyle w:val="1213"/>
              <w:numPr>
                <w:ilvl w:val="0"/>
                <w:numId w:val="24"/>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为充分利用现有设备，系统须兼容不同品牌与型号的心电图机、采集盒以及其他监测设备，支持解析hl7、scp、dat、fda-xml、anb、ecg、eco、dicom等第三方心电图机数据格式并以统一的格式进行存储。</w:t>
            </w:r>
            <w:r/>
          </w:p>
          <w:p>
            <w:pPr>
              <w:pStyle w:val="1213"/>
              <w:numPr>
                <w:ilvl w:val="0"/>
                <w:numId w:val="24"/>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支持连接医院现有不同品牌与型号的心电图设备，支持采集原始数据，不能以截屏、拷贝、拍照等方式获取数据，并以标准的数据格式存储，实现心电数据分析，支持接入心电图设备的数据归档和管理。</w:t>
            </w:r>
            <w:r/>
          </w:p>
          <w:p>
            <w:pPr>
              <w:pStyle w:val="1213"/>
              <w:numPr>
                <w:ilvl w:val="0"/>
                <w:numId w:val="24"/>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系统支持连接第三方心电图机完成受检者的心电检查。</w:t>
            </w:r>
            <w:r/>
          </w:p>
          <w:p>
            <w:pPr>
              <w:pStyle w:val="1213"/>
              <w:numPr>
                <w:ilvl w:val="0"/>
                <w:numId w:val="24"/>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支持针对门诊（固定检查）、病房（移动检查）等不同的检查场景，按照所接设备类型，可以提供不同的设备接入和改造方案。满足不同场景下的设备接入和采集需求。</w:t>
            </w:r>
            <w:r/>
          </w:p>
          <w:p>
            <w:pPr>
              <w:pStyle w:val="1213"/>
              <w:numPr>
                <w:ilvl w:val="0"/>
                <w:numId w:val="24"/>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具备网络传输功能的心电图机，数据采集完成后可通过无线或有线方式直接发送至心电中心服务器，由诊断中心进行集中诊断。</w:t>
            </w:r>
            <w:r/>
          </w:p>
          <w:p>
            <w:pPr>
              <w:pStyle w:val="1213"/>
              <w:numPr>
                <w:ilvl w:val="0"/>
                <w:numId w:val="24"/>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支持对不具备网络传输功能的心电图机进行数字化改造，可兼容不同品牌型号的心电图机、采集盒以及其他检查设备。</w:t>
            </w:r>
            <w:r/>
          </w:p>
          <w:p>
            <w:pPr>
              <w:pStyle w:val="1213"/>
              <w:numPr>
                <w:ilvl w:val="0"/>
                <w:numId w:val="24"/>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移动场景下，支持第三方心电图机先离线采集再集中上传，无需借助PC、平板等即可通过网络直传诊断中心。</w:t>
            </w:r>
            <w:r/>
          </w:p>
          <w:p>
            <w:pPr>
              <w:pStyle w:val="1213"/>
              <w:numPr>
                <w:ilvl w:val="0"/>
                <w:numId w:val="24"/>
              </w:numPr>
              <w:ind w:left="0" w:firstLine="0"/>
              <w:spacing w:line="300" w:lineRule="exact"/>
              <w:widowControl/>
              <w:rPr>
                <w:rFonts w:ascii="宋体" w:hAnsi="宋体"/>
                <w:color w:val="auto"/>
                <w:sz w:val="20"/>
                <w:szCs w:val="20"/>
                <w:highlight w:val="none"/>
              </w:rPr>
            </w:pPr>
            <w:r>
              <w:rPr>
                <w:rFonts w:hint="eastAsia" w:ascii="宋体" w:hAnsi="宋体"/>
                <w:color w:val="auto"/>
                <w:sz w:val="20"/>
                <w:szCs w:val="20"/>
                <w:highlight w:val="none"/>
              </w:rPr>
              <w:t xml:space="preserve">固定场景下，支持将现有心电设备直接连接电脑来实现心电数据接收，支持手动创建、扫码、读卡、输入卡号、下载预约记录等多种方式获取检查信息。</w:t>
            </w:r>
            <w:r/>
          </w:p>
        </w:tc>
      </w:tr>
      <w:tr>
        <w:trPr>
          <w:trHeight w:val="85"/>
        </w:trPr>
        <w:tc>
          <w:tcPr>
            <w:tcW w:w="314" w:type="pct"/>
            <w:vAlign w:val="center"/>
            <w:textDirection w:val="lrTb"/>
            <w:noWrap w:val="false"/>
          </w:tcPr>
          <w:p>
            <w:pPr>
              <w:pStyle w:val="1213"/>
              <w:numPr>
                <w:ilvl w:val="0"/>
                <w:numId w:val="15"/>
              </w:numPr>
              <w:ind w:left="0" w:firstLine="0"/>
              <w:jc w:val="center"/>
              <w:spacing w:line="300" w:lineRule="exact"/>
              <w:rPr>
                <w:rFonts w:ascii="宋体" w:hAnsi="宋体"/>
                <w:color w:val="auto"/>
                <w:sz w:val="20"/>
                <w:szCs w:val="20"/>
                <w:highlight w:val="none"/>
              </w:rPr>
            </w:pPr>
            <w:r>
              <w:rPr>
                <w:rFonts w:ascii="宋体" w:hAnsi="宋体"/>
                <w:color w:val="auto"/>
                <w:sz w:val="20"/>
                <w:szCs w:val="20"/>
                <w:highlight w:val="none"/>
              </w:rPr>
            </w:r>
            <w:r/>
          </w:p>
        </w:tc>
        <w:tc>
          <w:tcPr>
            <w:tcW w:w="590" w:type="pct"/>
            <w:vAlign w:val="center"/>
            <w:textDirection w:val="lrTb"/>
            <w:noWrap w:val="false"/>
          </w:tcPr>
          <w:p>
            <w:pPr>
              <w:jc w:val="left"/>
              <w:spacing w:line="300" w:lineRule="exact"/>
              <w:rPr>
                <w:rFonts w:ascii="宋体" w:hAnsi="宋体"/>
                <w:color w:val="auto"/>
                <w:sz w:val="20"/>
                <w:szCs w:val="20"/>
                <w:highlight w:val="none"/>
              </w:rPr>
            </w:pPr>
            <w:r>
              <w:rPr>
                <w:rFonts w:hint="eastAsia" w:ascii="宋体" w:hAnsi="宋体"/>
                <w:color w:val="auto"/>
                <w:sz w:val="20"/>
                <w:szCs w:val="20"/>
                <w:highlight w:val="none"/>
              </w:rPr>
              <w:t xml:space="preserve">系统集成</w:t>
            </w:r>
            <w:r/>
          </w:p>
        </w:tc>
        <w:tc>
          <w:tcPr>
            <w:tcW w:w="4094" w:type="pct"/>
            <w:textDirection w:val="lrTb"/>
            <w:noWrap w:val="false"/>
          </w:tcPr>
          <w:p>
            <w:pPr>
              <w:pStyle w:val="1213"/>
              <w:numPr>
                <w:ilvl w:val="0"/>
                <w:numId w:val="25"/>
              </w:numPr>
              <w:ind w:left="0" w:firstLine="0"/>
              <w:spacing w:line="300" w:lineRule="exact"/>
              <w:widowControl/>
              <w:rPr>
                <w:rFonts w:hint="eastAsia" w:ascii="宋体" w:hAnsi="宋体" w:eastAsia="宋体" w:cs="Times New Roman"/>
                <w:color w:val="auto"/>
                <w:sz w:val="20"/>
                <w:szCs w:val="20"/>
                <w:highlight w:val="none"/>
              </w:rPr>
            </w:pPr>
            <w:r>
              <w:rPr>
                <w:rFonts w:hint="eastAsia" w:ascii="宋体" w:hAnsi="宋体"/>
                <w:color w:val="auto"/>
                <w:sz w:val="20"/>
                <w:szCs w:val="20"/>
                <w:highlight w:val="none"/>
              </w:rPr>
              <w:t xml:space="preserve">支持与医院相关系统对接，可对接系统中自动获取检查患者基本信息、交费信息、诊断信息、检查要求等</w:t>
            </w:r>
            <w:r>
              <w:rPr>
                <w:rFonts w:hint="eastAsia" w:ascii="宋体" w:hAnsi="宋体" w:eastAsia="宋体" w:cs="Times New Roman"/>
                <w:color w:val="auto"/>
                <w:sz w:val="20"/>
                <w:szCs w:val="20"/>
                <w:highlight w:val="none"/>
              </w:rPr>
              <w:t xml:space="preserve">。【提供通用接口管理系统自主知识产权证明】</w:t>
            </w:r>
            <w:r/>
          </w:p>
          <w:p>
            <w:pPr>
              <w:pStyle w:val="1213"/>
              <w:numPr>
                <w:ilvl w:val="0"/>
                <w:numId w:val="25"/>
              </w:numPr>
              <w:ind w:left="0" w:firstLine="0"/>
              <w:spacing w:line="300" w:lineRule="exact"/>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支持医院与第三方信息系统(HIS、PACS、集成平台等)心电图相关的信息(检查申请单、检查状态回写、报告状态回写、结论回写)交互。</w:t>
            </w:r>
            <w:r/>
          </w:p>
          <w:p>
            <w:pPr>
              <w:pStyle w:val="1213"/>
              <w:numPr>
                <w:ilvl w:val="0"/>
                <w:numId w:val="25"/>
              </w:numPr>
              <w:ind w:left="0" w:firstLine="0"/>
              <w:spacing w:line="300" w:lineRule="exact"/>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支持第三方系统调阅心电图报告，可浏览并打印心电图报告。</w:t>
            </w:r>
            <w:r/>
          </w:p>
          <w:p>
            <w:pPr>
              <w:pStyle w:val="1213"/>
              <w:numPr>
                <w:ilvl w:val="0"/>
                <w:numId w:val="25"/>
              </w:numPr>
              <w:ind w:left="0" w:firstLine="0"/>
              <w:spacing w:line="300" w:lineRule="exact"/>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等级保护：系统安全应符合《信息安全技术网络安全等级保护基本要求》（GB/T22239-2019），达到信息系统安全等级保护（三级）要求。</w:t>
            </w:r>
            <w:r/>
          </w:p>
          <w:p>
            <w:pPr>
              <w:pStyle w:val="1213"/>
              <w:numPr>
                <w:ilvl w:val="0"/>
                <w:numId w:val="25"/>
              </w:numPr>
              <w:ind w:left="0" w:firstLine="0"/>
              <w:spacing w:line="300" w:lineRule="exact"/>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数据脱敏：患者隐私信息在展示、分享、调阅环节须脱敏处理；隐私患者相关信息仅限指定专人可见。</w:t>
            </w:r>
            <w:r/>
          </w:p>
          <w:p>
            <w:pPr>
              <w:pStyle w:val="1213"/>
              <w:numPr>
                <w:ilvl w:val="0"/>
                <w:numId w:val="25"/>
              </w:numPr>
              <w:ind w:left="0" w:firstLine="0"/>
              <w:spacing w:line="300" w:lineRule="exact"/>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数据留存：心电原始数据及诊断报告留存不少于</w:t>
            </w:r>
            <w:r>
              <w:rPr>
                <w:rFonts w:hint="eastAsia" w:ascii="宋体" w:hAnsi="宋体" w:eastAsia="宋体" w:cs="Times New Roman"/>
                <w:color w:val="auto"/>
                <w:sz w:val="20"/>
                <w:szCs w:val="20"/>
                <w:highlight w:val="none"/>
                <w:lang w:val="en-US" w:eastAsia="zh-CN"/>
              </w:rPr>
              <w:t xml:space="preserve">15</w:t>
            </w:r>
            <w:r>
              <w:rPr>
                <w:rFonts w:hint="eastAsia" w:ascii="宋体" w:hAnsi="宋体" w:eastAsia="宋体" w:cs="Times New Roman"/>
                <w:color w:val="auto"/>
                <w:sz w:val="20"/>
                <w:szCs w:val="20"/>
                <w:highlight w:val="none"/>
              </w:rPr>
              <w:t xml:space="preserve">年，支持按患者、时间、机构等条件查询、调阅、导出与统计。</w:t>
            </w:r>
            <w:r/>
          </w:p>
          <w:p>
            <w:pPr>
              <w:pStyle w:val="1213"/>
              <w:numPr>
                <w:ilvl w:val="0"/>
                <w:numId w:val="25"/>
              </w:numPr>
              <w:ind w:left="0" w:firstLine="0"/>
              <w:spacing w:line="300" w:lineRule="exact"/>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个人信息保护：遵循《中华人民共和国个人信息保护法》，坚持最小必要、告知同意、去标识化原则，不得超范围收集、使用患者信息。</w:t>
            </w:r>
            <w:r/>
          </w:p>
          <w:p>
            <w:pPr>
              <w:pStyle w:val="1213"/>
              <w:numPr>
                <w:ilvl w:val="0"/>
                <w:numId w:val="25"/>
              </w:numPr>
              <w:ind w:left="0" w:firstLine="0"/>
              <w:spacing w:line="300" w:lineRule="exact"/>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传输与存储安全：数据传输采用加密通道，存储加密保存，访问实行最小权限与审计。</w:t>
            </w:r>
            <w:r/>
          </w:p>
          <w:p>
            <w:pPr>
              <w:pStyle w:val="1213"/>
              <w:numPr>
                <w:ilvl w:val="0"/>
                <w:numId w:val="25"/>
              </w:numPr>
              <w:ind w:left="0" w:firstLine="0"/>
              <w:spacing w:line="300" w:lineRule="exact"/>
              <w:widowControl/>
              <w:rPr>
                <w:rFonts w:ascii="宋体" w:hAnsi="宋体"/>
                <w:color w:val="auto"/>
                <w:sz w:val="20"/>
                <w:szCs w:val="20"/>
                <w:highlight w:val="none"/>
              </w:rPr>
            </w:pPr>
            <w:r>
              <w:rPr>
                <w:rFonts w:hint="eastAsia" w:ascii="宋体" w:hAnsi="宋体" w:eastAsia="宋体" w:cs="Times New Roman"/>
                <w:color w:val="auto"/>
                <w:sz w:val="20"/>
                <w:szCs w:val="20"/>
                <w:highlight w:val="none"/>
              </w:rPr>
              <w:t xml:space="preserve">安全事件与追责：明确数据安全事件的监测、报告、处置与责任界定机制，发生数据泄露、损毁等情形按合同及法律法规追究责任。</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0"/>
        </w:numPr>
        <w:jc w:val="left"/>
        <w:keepLines/>
        <w:keepNext/>
        <w:spacing w:line="360" w:lineRule="auto"/>
        <w:rPr>
          <w:rFonts w:ascii="宋体" w:hAnsi="宋体"/>
          <w:b/>
          <w:bCs/>
          <w:color w:val="auto"/>
          <w:sz w:val="32"/>
          <w:szCs w:val="32"/>
          <w:highlight w:val="none"/>
          <w14:ligatures w14:val="standardContextual"/>
        </w:rPr>
        <w:outlineLvl w:val="1"/>
      </w:pPr>
      <w:r/>
      <w:bookmarkStart w:id="82" w:name="_Toc186207370"/>
      <w:r>
        <w:rPr>
          <w:rFonts w:hint="eastAsia" w:ascii="宋体" w:hAnsi="宋体"/>
          <w:b/>
          <w:bCs/>
          <w:color w:val="auto"/>
          <w:sz w:val="32"/>
          <w:szCs w:val="32"/>
          <w:highlight w:val="none"/>
          <w:lang w:val="en-US" w:eastAsia="zh-CN"/>
          <w14:ligatures w14:val="standardContextual"/>
        </w:rPr>
        <w:t xml:space="preserve">★二、</w:t>
      </w:r>
      <w:r>
        <w:rPr>
          <w:rFonts w:hint="eastAsia" w:ascii="宋体" w:hAnsi="宋体"/>
          <w:b/>
          <w:bCs/>
          <w:color w:val="auto"/>
          <w:sz w:val="32"/>
          <w:szCs w:val="32"/>
          <w:highlight w:val="none"/>
          <w14:ligatures w14:val="standardContextual"/>
        </w:rPr>
        <w:t xml:space="preserve">商务要求</w:t>
      </w:r>
      <w:bookmarkEnd w:id="82"/>
      <w:r/>
      <w:r/>
    </w:p>
    <w:p>
      <w:pPr>
        <w:ind w:firstLine="210"/>
        <w:jc w:val="left"/>
        <w:keepLines/>
        <w:keepNext/>
        <w:spacing w:line="360" w:lineRule="auto"/>
        <w:rPr>
          <w:rFonts w:ascii="宋体" w:hAnsi="宋体" w:cs="宋体"/>
          <w:bCs/>
          <w:color w:val="auto"/>
          <w:highlight w:val="none"/>
        </w:rPr>
        <w:outlineLvl w:val="1"/>
      </w:pPr>
      <w:r>
        <w:rPr>
          <w:rFonts w:hint="eastAsia" w:ascii="宋体" w:hAnsi="宋体" w:cs="宋体"/>
          <w:bCs/>
          <w:color w:val="auto"/>
          <w:highlight w:val="none"/>
        </w:rPr>
        <w:t xml:space="preserve">1、交货期：均要求合同签订生效后30天内</w:t>
      </w:r>
      <w:r/>
    </w:p>
    <w:p>
      <w:pPr>
        <w:ind w:firstLine="210"/>
        <w:jc w:val="left"/>
        <w:spacing w:line="360" w:lineRule="auto"/>
        <w:widowControl/>
        <w:rPr>
          <w:rFonts w:ascii="宋体" w:hAnsi="宋体" w:cs="宋体"/>
          <w:bCs/>
          <w:color w:val="auto"/>
          <w:highlight w:val="none"/>
        </w:rPr>
      </w:pPr>
      <w:r>
        <w:rPr>
          <w:rFonts w:hint="eastAsia" w:ascii="宋体" w:hAnsi="宋体" w:cs="宋体"/>
          <w:bCs/>
          <w:color w:val="auto"/>
          <w:highlight w:val="none"/>
        </w:rPr>
        <w:t xml:space="preserve">2、保修期：设备免费保修</w:t>
      </w:r>
      <w:r>
        <w:rPr>
          <w:rFonts w:hint="eastAsia" w:ascii="宋体" w:hAnsi="宋体" w:cs="宋体"/>
          <w:bCs/>
          <w:color w:val="auto"/>
          <w:highlight w:val="none"/>
          <w:lang w:val="en-US" w:eastAsia="zh-CN"/>
        </w:rPr>
        <w:t xml:space="preserve">2</w:t>
      </w:r>
      <w:r>
        <w:rPr>
          <w:rFonts w:hint="eastAsia" w:ascii="宋体" w:hAnsi="宋体" w:cs="宋体"/>
          <w:bCs/>
          <w:color w:val="auto"/>
          <w:highlight w:val="none"/>
        </w:rPr>
        <w:t xml:space="preserve">年</w:t>
      </w:r>
      <w:r/>
    </w:p>
    <w:p>
      <w:pPr>
        <w:ind w:firstLine="210"/>
        <w:jc w:val="left"/>
        <w:spacing w:line="360" w:lineRule="auto"/>
        <w:widowControl/>
        <w:rPr>
          <w:rFonts w:ascii="宋体" w:hAnsi="宋体" w:cs="宋体"/>
          <w:bCs/>
          <w:color w:val="auto"/>
          <w:highlight w:val="none"/>
        </w:rPr>
      </w:pPr>
      <w:r>
        <w:rPr>
          <w:rFonts w:hint="eastAsia" w:ascii="宋体" w:hAnsi="宋体" w:cs="宋体"/>
          <w:bCs/>
          <w:color w:val="auto"/>
          <w:highlight w:val="none"/>
        </w:rPr>
        <w:t xml:space="preserve">3、售后服务承诺：</w:t>
      </w:r>
      <w:r/>
    </w:p>
    <w:p>
      <w:pPr>
        <w:jc w:val="left"/>
        <w:spacing w:line="440" w:lineRule="exact"/>
        <w:widowControl/>
        <w:rPr>
          <w:rFonts w:ascii="宋体" w:hAnsi="宋体" w:cs="宋体"/>
          <w:bCs/>
          <w:color w:val="auto"/>
          <w:highlight w:val="none"/>
        </w:rPr>
      </w:pPr>
      <w:r>
        <w:rPr>
          <w:rFonts w:hint="eastAsia" w:ascii="宋体" w:hAnsi="宋体" w:cs="宋体"/>
          <w:bCs/>
          <w:color w:val="auto"/>
          <w:highlight w:val="none"/>
        </w:rPr>
        <w:t xml:space="preserve">（1）在保修期内，如有损坏或质量不合格者，卖方应及时给予修复和更换，其修理和更换应免费。正常修理周期和修理期间需提供免费备品，保障医院使用。</w:t>
      </w:r>
      <w:r/>
    </w:p>
    <w:p>
      <w:pPr>
        <w:jc w:val="left"/>
        <w:spacing w:line="440" w:lineRule="exact"/>
        <w:widowControl/>
        <w:rPr>
          <w:rFonts w:ascii="宋体" w:hAnsi="宋体" w:cs="宋体"/>
          <w:bCs/>
          <w:color w:val="auto"/>
          <w:highlight w:val="none"/>
        </w:rPr>
      </w:pPr>
      <w:r>
        <w:rPr>
          <w:rFonts w:hint="eastAsia" w:ascii="宋体" w:hAnsi="宋体" w:cs="宋体"/>
          <w:bCs/>
          <w:color w:val="auto"/>
          <w:highlight w:val="none"/>
        </w:rPr>
        <w:t xml:space="preserve">（2）在保修期外，卖方为仪器提供终身维修服务，维修问题出现时，按技术参数服务要求相应条款处理。</w:t>
      </w:r>
      <w:r/>
    </w:p>
    <w:p>
      <w:pPr>
        <w:jc w:val="left"/>
        <w:spacing w:line="440" w:lineRule="exact"/>
        <w:widowControl/>
        <w:rPr>
          <w:rFonts w:ascii="宋体" w:hAnsi="宋体" w:cs="宋体"/>
          <w:bCs/>
          <w:color w:val="auto"/>
          <w:highlight w:val="none"/>
        </w:rPr>
      </w:pPr>
      <w:r>
        <w:rPr>
          <w:rFonts w:hint="eastAsia" w:ascii="宋体" w:hAnsi="宋体" w:cs="宋体"/>
          <w:bCs/>
          <w:color w:val="auto"/>
          <w:highlight w:val="none"/>
        </w:rPr>
        <w:t xml:space="preserve">（3）承诺在硬件条件允许的情况下，免费升级</w:t>
      </w:r>
      <w:r>
        <w:rPr>
          <w:rFonts w:hint="eastAsia" w:ascii="宋体" w:hAnsi="宋体" w:cs="宋体"/>
          <w:bCs/>
          <w:color w:val="auto"/>
          <w:highlight w:val="none"/>
          <w:lang w:val="en-US" w:eastAsia="zh-CN"/>
        </w:rPr>
        <w:t xml:space="preserve">硬件中的</w:t>
      </w:r>
      <w:r>
        <w:rPr>
          <w:rFonts w:hint="eastAsia" w:ascii="宋体" w:hAnsi="宋体" w:cs="宋体"/>
          <w:bCs/>
          <w:color w:val="auto"/>
          <w:highlight w:val="none"/>
        </w:rPr>
        <w:t xml:space="preserve">软件</w:t>
      </w:r>
      <w:r>
        <w:rPr>
          <w:rFonts w:hint="eastAsia" w:ascii="宋体" w:hAnsi="宋体" w:cs="宋体"/>
          <w:bCs/>
          <w:color w:val="auto"/>
          <w:highlight w:val="none"/>
          <w:lang w:val="en-US" w:eastAsia="zh-CN"/>
        </w:rPr>
        <w:t xml:space="preserve">模块</w:t>
      </w:r>
      <w:r>
        <w:rPr>
          <w:rFonts w:hint="eastAsia" w:ascii="宋体" w:hAnsi="宋体" w:cs="宋体"/>
          <w:bCs/>
          <w:color w:val="auto"/>
          <w:highlight w:val="none"/>
        </w:rPr>
        <w:t xml:space="preserve">，并对新软件的功能免费培训。要求供货厂家在中国设立固定维修站，并配备专业维修工程师，提供及时有效的售后服务并配合包括所有附件在内的安装、调试和验收。</w:t>
      </w:r>
      <w:r/>
    </w:p>
    <w:p>
      <w:pPr>
        <w:jc w:val="left"/>
        <w:spacing w:line="440" w:lineRule="exact"/>
        <w:widowControl/>
        <w:rPr>
          <w:rFonts w:ascii="宋体" w:hAnsi="宋体" w:cs="宋体"/>
          <w:bCs/>
          <w:color w:val="auto"/>
          <w:highlight w:val="none"/>
        </w:rPr>
      </w:pPr>
      <w:r>
        <w:rPr>
          <w:rFonts w:hint="eastAsia" w:ascii="宋体" w:hAnsi="宋体" w:cs="宋体"/>
          <w:bCs/>
          <w:color w:val="auto"/>
          <w:highlight w:val="none"/>
        </w:rPr>
        <w:t xml:space="preserve">（4）</w:t>
      </w:r>
      <w:r>
        <w:rPr>
          <w:rFonts w:hint="eastAsia" w:ascii="宋体" w:hAnsi="宋体" w:cs="宋体"/>
          <w:bCs/>
          <w:color w:val="auto"/>
          <w:highlight w:val="none"/>
          <w:lang w:val="en-US" w:eastAsia="zh-CN"/>
        </w:rPr>
        <w:t xml:space="preserve">在</w:t>
      </w:r>
      <w:r>
        <w:rPr>
          <w:rFonts w:hint="eastAsia" w:ascii="宋体" w:hAnsi="宋体" w:cs="宋体"/>
          <w:bCs/>
          <w:color w:val="auto"/>
          <w:highlight w:val="none"/>
        </w:rPr>
        <w:t xml:space="preserve">保修期</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投标产品</w:t>
      </w:r>
      <w:r>
        <w:rPr>
          <w:rFonts w:hint="eastAsia"/>
          <w:color w:val="auto"/>
          <w:highlight w:val="none"/>
          <w:lang w:val="en-US" w:eastAsia="zh-CN"/>
        </w:rPr>
        <w:t xml:space="preserve">免费提供功能模块升级及应用咨询和技术帮助</w:t>
      </w:r>
      <w:r>
        <w:rPr>
          <w:rFonts w:hint="eastAsia" w:ascii="宋体" w:hAnsi="宋体" w:cs="宋体"/>
          <w:bCs/>
          <w:color w:val="auto"/>
          <w:highlight w:val="none"/>
        </w:rPr>
        <w:t xml:space="preserve">。</w:t>
      </w:r>
      <w:r/>
    </w:p>
    <w:p>
      <w:pPr>
        <w:jc w:val="left"/>
        <w:spacing w:line="440" w:lineRule="exact"/>
        <w:widowControl/>
        <w:rPr>
          <w:rFonts w:hint="eastAsia" w:ascii="宋体" w:hAnsi="宋体" w:cs="宋体"/>
          <w:bCs/>
          <w:color w:val="auto"/>
          <w:highlight w:val="none"/>
        </w:rPr>
      </w:pPr>
      <w:r>
        <w:rPr>
          <w:rFonts w:hint="eastAsia" w:ascii="宋体" w:hAnsi="宋体" w:cs="宋体"/>
          <w:bCs/>
          <w:color w:val="auto"/>
          <w:highlight w:val="none"/>
        </w:rPr>
        <w:t xml:space="preserve">培训：负责对采购人、最终用户的操作、维修人员在项目所在地进行业务培训，请投标人自报可以提供业务培训的人数及天数，并应达到能熟练操作并能排除常见故障的标准；</w:t>
      </w:r>
      <w:r/>
    </w:p>
    <w:p>
      <w:pPr>
        <w:jc w:val="left"/>
        <w:spacing w:line="440" w:lineRule="exact"/>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（5）后期设备接入接口费不得高于3000元/台</w:t>
      </w:r>
      <w:r/>
    </w:p>
    <w:p>
      <w:pPr>
        <w:jc w:val="left"/>
        <w:spacing w:line="440" w:lineRule="exact"/>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4、交货地点：采购人指定医疗机构，南京市高淳人民医院医共体8家社区服务中心、18家村卫生室、高淳区精神病防治院</w:t>
      </w:r>
      <w:r/>
    </w:p>
    <w:p>
      <w:pPr>
        <w:jc w:val="left"/>
        <w:spacing w:line="440" w:lineRule="exact"/>
        <w:widowControl/>
        <w:rPr>
          <w:rFonts w:hint="eastAsia" w:ascii="宋体" w:hAnsi="宋体" w:eastAsia="宋体" w:cs="宋体"/>
          <w:bCs/>
          <w:highlight w:val="none"/>
        </w:rPr>
      </w:pPr>
      <w:r>
        <w:rPr>
          <w:rFonts w:hint="eastAsia" w:ascii="宋体" w:hAnsi="宋体" w:eastAsia="宋体" w:cs="宋体"/>
          <w:bCs/>
          <w:highlight w:val="none"/>
        </w:rPr>
        <w:t xml:space="preserve">5、设备安装调试：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r/>
    </w:p>
    <w:p>
      <w:pPr>
        <w:jc w:val="left"/>
        <w:spacing w:line="440" w:lineRule="exact"/>
        <w:widowControl/>
        <w:rPr>
          <w:rFonts w:hint="eastAsia" w:eastAsia="宋体"/>
          <w:highlight w:val="none"/>
          <w:lang w:val="en-US" w:eastAsia="zh-CN"/>
        </w:rPr>
      </w:pPr>
      <w:r>
        <w:rPr>
          <w:rFonts w:hint="eastAsia" w:ascii="宋体" w:hAnsi="宋体" w:eastAsia="宋体" w:cs="宋体"/>
          <w:bCs/>
          <w:highlight w:val="none"/>
          <w:lang w:val="en-US" w:eastAsia="zh-CN"/>
        </w:rPr>
        <w:t xml:space="preserve">6、</w:t>
      </w:r>
      <w:r>
        <w:rPr>
          <w:rFonts w:hint="eastAsia" w:ascii="宋体" w:hAnsi="宋体" w:eastAsia="宋体" w:cs="宋体"/>
          <w:bCs/>
          <w:highlight w:val="none"/>
        </w:rPr>
        <w:t xml:space="preserve">验收标准：设备安装后，需方按国家标准及厂方标准进行质量验收。中标人应向采购人提供详细的验收标准、验收手册。中标人在验收时需提供所投设备生产厂家盖章的在投标文件响应的全部技术参数的证明文件，并按国家制造和安装的标准要求检测验收，如无法提供，采购人有权拒绝验收，并向中标人索取因投标方造成废标、延误装机等相关经济损失。当双方对验收标准有争议时，可委托双方一致认可的国家相关权威检测中心进行检测，费用由中标人承担，只有在设备完全正常运转和买方确认后，设备的安装工作才能认为已全部完成。</w:t>
      </w:r>
      <w:r/>
    </w:p>
    <w:p>
      <w:pPr>
        <w:jc w:val="left"/>
        <w:spacing w:line="440" w:lineRule="exact"/>
        <w:widowControl/>
        <w:rPr>
          <w:rFonts w:hint="eastAsia" w:ascii="宋体" w:hAnsi="宋体" w:eastAsia="宋体" w:cs="宋体"/>
          <w:bCs/>
          <w:highlight w:val="none"/>
        </w:rPr>
      </w:pPr>
      <w:r>
        <w:rPr>
          <w:rFonts w:hint="eastAsia" w:ascii="宋体" w:hAnsi="宋体" w:cs="宋体"/>
          <w:bCs/>
          <w:highlight w:val="none"/>
          <w:lang w:val="en-US" w:eastAsia="zh-CN"/>
        </w:rPr>
        <w:t xml:space="preserve">7</w:t>
      </w:r>
      <w:r>
        <w:rPr>
          <w:rFonts w:hint="eastAsia" w:ascii="宋体" w:hAnsi="宋体" w:eastAsia="宋体" w:cs="宋体"/>
          <w:bCs/>
          <w:highlight w:val="none"/>
        </w:rPr>
        <w:t xml:space="preserve">、付款方式：合同签订后预付40%，到货安装调试经甲方验收合格并提供原厂保修函后,并且乙方开具符合国家规定的发票后付40%，正常使用60日后无息支付20%。</w:t>
      </w:r>
      <w:r/>
    </w:p>
    <w:p>
      <w:pPr>
        <w:jc w:val="left"/>
        <w:spacing w:line="440" w:lineRule="exact"/>
        <w:widowControl/>
        <w:rPr>
          <w:rFonts w:ascii="宋体" w:hAnsi="宋体" w:cs="宋体"/>
          <w:bCs/>
          <w:highlight w:val="none"/>
        </w:rPr>
      </w:pPr>
      <w:r>
        <w:rPr>
          <w:rFonts w:ascii="宋体" w:hAnsi="宋体" w:cs="宋体"/>
          <w:bCs/>
          <w:highlight w:val="none"/>
        </w:rPr>
      </w:r>
      <w:r/>
    </w:p>
    <w:p>
      <w:pPr>
        <w:ind w:firstLine="420"/>
        <w:spacing w:line="400" w:lineRule="exact"/>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b/>
          <w:sz w:val="24"/>
          <w:szCs w:val="24"/>
          <w:highlight w:val="none"/>
          <w14:ligatures w14:val="standardContextual"/>
        </w:rPr>
      </w:pPr>
      <w:r>
        <w:rPr>
          <w:rFonts w:ascii="宋体" w:hAnsi="宋体"/>
          <w:b/>
          <w:sz w:val="24"/>
          <w:szCs w:val="24"/>
          <w:highlight w:val="none"/>
          <w14:ligatures w14:val="standardContextual"/>
        </w:rPr>
      </w:r>
      <w:r/>
    </w:p>
    <w:p>
      <w:pPr>
        <w:ind w:firstLine="883"/>
        <w:jc w:val="center"/>
        <w:spacing w:line="360" w:lineRule="auto"/>
        <w:rPr>
          <w:rFonts w:ascii="Calibri"/>
          <w:b/>
          <w:sz w:val="44"/>
          <w:szCs w:val="44"/>
          <w:highlight w:val="none"/>
        </w:rPr>
        <w:outlineLvl w:val="0"/>
      </w:pPr>
      <w:r>
        <w:rPr>
          <w:rFonts w:hint="eastAsia" w:ascii="Calibri"/>
          <w:b/>
          <w:sz w:val="44"/>
          <w:szCs w:val="44"/>
          <w:highlight w:val="none"/>
        </w:rPr>
        <w:t xml:space="preserve">第五部分  合同格式及条款</w:t>
      </w:r>
      <w:bookmarkEnd w:id="80"/>
      <w:r/>
      <w:bookmarkEnd w:id="81"/>
      <w:r/>
      <w:r/>
    </w:p>
    <w:p>
      <w:pPr>
        <w:ind w:firstLine="643"/>
        <w:jc w:val="center"/>
        <w:spacing w:line="360" w:lineRule="auto"/>
        <w:rPr>
          <w:rFonts w:ascii="仿宋" w:hAnsi="仿宋" w:eastAsia="仿宋"/>
          <w:b/>
          <w:sz w:val="36"/>
          <w:szCs w:val="32"/>
          <w:highlight w:val="none"/>
          <w14:ligatures w14:val="standardContextual"/>
        </w:rPr>
      </w:pPr>
      <w:r/>
      <w:bookmarkStart w:id="83" w:name="_Toc6085"/>
      <w:r>
        <w:rPr>
          <w:rFonts w:hint="eastAsia" w:ascii="仿宋" w:hAnsi="仿宋" w:eastAsia="仿宋"/>
          <w:b/>
          <w:sz w:val="36"/>
          <w:szCs w:val="32"/>
          <w:highlight w:val="none"/>
          <w14:ligatures w14:val="standardContextual"/>
        </w:rPr>
        <w:t xml:space="preserve">（参考格式</w:t>
      </w:r>
      <w:r>
        <w:rPr>
          <w:rFonts w:hint="eastAsia" w:ascii="仿宋" w:hAnsi="仿宋" w:eastAsia="仿宋"/>
          <w:sz w:val="36"/>
          <w:szCs w:val="32"/>
          <w:highlight w:val="none"/>
          <w:vertAlign w:val="superscript"/>
          <w14:ligatures w14:val="standardContextual"/>
        </w:rPr>
        <w:footnoteReference w:id="2"/>
      </w:r>
      <w:r>
        <w:rPr>
          <w:rFonts w:hint="eastAsia" w:ascii="仿宋" w:hAnsi="仿宋" w:eastAsia="仿宋"/>
          <w:b/>
          <w:sz w:val="36"/>
          <w:szCs w:val="32"/>
          <w:highlight w:val="none"/>
          <w14:ligatures w14:val="standardContextual"/>
        </w:rPr>
        <w:t xml:space="preserve">）</w:t>
      </w:r>
      <w:bookmarkEnd w:id="83"/>
      <w:r/>
      <w:r/>
    </w:p>
    <w:p>
      <w:pPr>
        <w:ind w:firstLine="480"/>
        <w:jc w:val="center"/>
        <w:rPr>
          <w:rFonts w:ascii="宋体" w:hAnsi="宋体" w:cs="宋体"/>
          <w:sz w:val="24"/>
          <w:szCs w:val="24"/>
          <w:highlight w:val="none"/>
          <w:shd w:val="clear" w:color="auto" w:fill="ffffff"/>
          <w:lang w:bidi="ar"/>
        </w:rPr>
      </w:pPr>
      <w:r/>
      <w:bookmarkStart w:id="84" w:name="_Toc6397"/>
      <w:r/>
      <w:bookmarkStart w:id="85" w:name="_Toc9956_WPSOffice_Level2"/>
      <w:r/>
      <w:bookmarkStart w:id="86" w:name="_Toc9730_WPSOffice_Level2"/>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ascii="宋体" w:hAnsi="宋体" w:cs="宋体"/>
          <w:sz w:val="24"/>
          <w:szCs w:val="24"/>
          <w:highlight w:val="none"/>
          <w:shd w:val="clear" w:color="auto" w:fill="ffffff"/>
          <w:lang w:bidi="ar"/>
        </w:rPr>
      </w:pPr>
      <w:r>
        <w:rPr>
          <w:rFonts w:ascii="宋体" w:hAnsi="宋体" w:cs="宋体"/>
          <w:sz w:val="24"/>
          <w:szCs w:val="24"/>
          <w:highlight w:val="none"/>
          <w:shd w:val="clear" w:color="auto" w:fill="ffffff"/>
          <w:lang w:bidi="ar"/>
        </w:rPr>
      </w:r>
      <w:r/>
    </w:p>
    <w:p>
      <w:pPr>
        <w:ind w:firstLine="480"/>
        <w:jc w:val="center"/>
        <w:rPr>
          <w:rFonts w:eastAsia="黑体"/>
          <w:sz w:val="52"/>
          <w:szCs w:val="24"/>
          <w:highlight w:val="none"/>
          <w:lang w:bidi="en-US"/>
        </w:rPr>
      </w:pPr>
      <w:r>
        <w:rPr>
          <w:rFonts w:hint="eastAsia" w:ascii="宋体" w:hAnsi="宋体" w:cs="宋体"/>
          <w:sz w:val="24"/>
          <w:szCs w:val="24"/>
          <w:highlight w:val="none"/>
          <w:shd w:val="clear" w:color="auto" w:fill="ffffff"/>
          <w:lang w:bidi="ar"/>
        </w:rPr>
        <w:t xml:space="preserve"> </w:t>
      </w:r>
      <w:bookmarkEnd w:id="84"/>
      <w:r/>
      <w:bookmarkEnd w:id="85"/>
      <w:r>
        <w:rPr>
          <w:rFonts w:hint="eastAsia" w:eastAsia="黑体" w:cs="黑体"/>
          <w:sz w:val="52"/>
          <w:szCs w:val="24"/>
          <w:highlight w:val="none"/>
          <w:lang w:bidi="en-US"/>
        </w:rPr>
        <w:t xml:space="preserve">南京市政府采购合同</w:t>
      </w:r>
      <w:r/>
    </w:p>
    <w:p>
      <w:pPr>
        <w:ind w:firstLine="1807"/>
        <w:jc w:val="left"/>
        <w:rPr>
          <w:rFonts w:ascii="黑体" w:eastAsia="黑体" w:cs="黑体"/>
          <w:b/>
          <w:sz w:val="36"/>
          <w:szCs w:val="24"/>
          <w:highlight w:val="none"/>
          <w:lang w:bidi="en-US"/>
        </w:rPr>
      </w:pPr>
      <w:r>
        <w:rPr>
          <w:rFonts w:ascii="黑体" w:eastAsia="黑体" w:cs="黑体"/>
          <w:b/>
          <w:sz w:val="36"/>
          <w:szCs w:val="24"/>
          <w:highlight w:val="none"/>
          <w:lang w:bidi="en-US"/>
        </w:rPr>
      </w:r>
      <w:r/>
    </w:p>
    <w:p>
      <w:pPr>
        <w:ind w:firstLine="1807"/>
        <w:jc w:val="left"/>
        <w:rPr>
          <w:rFonts w:ascii="黑体" w:eastAsia="黑体" w:cs="黑体"/>
          <w:b/>
          <w:sz w:val="36"/>
          <w:szCs w:val="24"/>
          <w:highlight w:val="none"/>
          <w:lang w:bidi="en-US"/>
        </w:rPr>
      </w:pPr>
      <w:r>
        <w:rPr>
          <w:rFonts w:ascii="黑体" w:eastAsia="黑体" w:cs="黑体"/>
          <w:b/>
          <w:sz w:val="36"/>
          <w:szCs w:val="24"/>
          <w:highlight w:val="none"/>
          <w:lang w:bidi="en-US"/>
        </w:rPr>
      </w:r>
      <w:r/>
    </w:p>
    <w:p>
      <w:pPr>
        <w:ind w:firstLine="1918"/>
        <w:jc w:val="left"/>
        <w:rPr>
          <w:rFonts w:ascii="黑体" w:eastAsia="黑体" w:cs="黑体"/>
          <w:b/>
          <w:sz w:val="36"/>
          <w:szCs w:val="24"/>
          <w:highlight w:val="none"/>
          <w:lang w:bidi="en-US"/>
        </w:rPr>
      </w:pPr>
      <w:r>
        <w:rPr>
          <w:rFonts w:hint="eastAsia" w:ascii="黑体" w:eastAsia="黑体" w:cs="黑体"/>
          <w:b/>
          <w:sz w:val="36"/>
          <w:szCs w:val="24"/>
          <w:highlight w:val="none"/>
          <w:lang w:bidi="en-US"/>
        </w:rPr>
        <w:t xml:space="preserve">合同编号 ：</w:t>
      </w:r>
      <w:r>
        <w:rPr>
          <w:rFonts w:hint="eastAsia" w:ascii="黑体" w:eastAsia="黑体" w:cs="黑体"/>
          <w:b/>
          <w:sz w:val="36"/>
          <w:szCs w:val="24"/>
          <w:highlight w:val="none"/>
          <w:u w:val="single"/>
          <w:lang w:bidi="en-US"/>
        </w:rPr>
        <w:t xml:space="preserve">                    </w:t>
      </w:r>
      <w:r/>
    </w:p>
    <w:p>
      <w:pPr>
        <w:ind w:firstLine="1918"/>
        <w:jc w:val="left"/>
        <w:rPr>
          <w:rFonts w:ascii="黑体" w:eastAsia="黑体" w:cs="黑体"/>
          <w:b/>
          <w:sz w:val="36"/>
          <w:szCs w:val="24"/>
          <w:highlight w:val="none"/>
          <w:u w:val="single"/>
          <w:lang w:bidi="en-US"/>
        </w:rPr>
      </w:pPr>
      <w:r>
        <w:rPr>
          <w:rFonts w:hint="eastAsia" w:ascii="黑体" w:eastAsia="黑体" w:cs="黑体"/>
          <w:b/>
          <w:sz w:val="36"/>
          <w:szCs w:val="24"/>
          <w:highlight w:val="none"/>
          <w:lang w:bidi="en-US"/>
        </w:rPr>
        <w:t xml:space="preserve">项目名称 ：</w:t>
      </w:r>
      <w:r>
        <w:rPr>
          <w:rFonts w:hint="eastAsia" w:ascii="黑体" w:eastAsia="黑体" w:cs="黑体"/>
          <w:b/>
          <w:sz w:val="36"/>
          <w:szCs w:val="24"/>
          <w:highlight w:val="none"/>
          <w:u w:val="single"/>
          <w:lang w:bidi="en-US"/>
        </w:rPr>
        <w:t xml:space="preserve">                    </w:t>
      </w:r>
      <w:r/>
    </w:p>
    <w:p>
      <w:pPr>
        <w:ind w:firstLine="1918"/>
        <w:jc w:val="left"/>
        <w:rPr>
          <w:rFonts w:ascii="黑体" w:eastAsia="黑体" w:cs="黑体"/>
          <w:b/>
          <w:sz w:val="36"/>
          <w:szCs w:val="24"/>
          <w:highlight w:val="none"/>
          <w:u w:val="single"/>
          <w:lang w:bidi="en-US"/>
        </w:rPr>
      </w:pPr>
      <w:r>
        <w:rPr>
          <w:rFonts w:hint="eastAsia" w:ascii="黑体" w:eastAsia="黑体" w:cs="黑体"/>
          <w:b/>
          <w:sz w:val="36"/>
          <w:szCs w:val="24"/>
          <w:highlight w:val="none"/>
          <w:lang w:bidi="en-US"/>
        </w:rPr>
        <w:t xml:space="preserve">采购人 ：</w:t>
      </w:r>
      <w:r>
        <w:rPr>
          <w:rFonts w:hint="eastAsia" w:ascii="黑体" w:eastAsia="黑体" w:cs="黑体"/>
          <w:b/>
          <w:sz w:val="36"/>
          <w:szCs w:val="24"/>
          <w:highlight w:val="none"/>
          <w:u w:val="single"/>
          <w:lang w:bidi="en-US"/>
        </w:rPr>
        <w:t xml:space="preserve">                    </w:t>
      </w:r>
      <w:r/>
    </w:p>
    <w:p>
      <w:pPr>
        <w:ind w:firstLine="1916"/>
        <w:jc w:val="left"/>
        <w:rPr>
          <w:rFonts w:ascii="黑体" w:eastAsia="黑体" w:cs="黑体"/>
          <w:b/>
          <w:sz w:val="36"/>
          <w:szCs w:val="24"/>
          <w:highlight w:val="none"/>
          <w:lang w:bidi="en-US"/>
        </w:rPr>
      </w:pPr>
      <w:r>
        <w:rPr>
          <w:rFonts w:hint="eastAsia" w:ascii="黑体" w:eastAsia="黑体" w:cs="黑体"/>
          <w:b/>
          <w:sz w:val="36"/>
          <w:szCs w:val="24"/>
          <w:highlight w:val="none"/>
          <w:lang w:bidi="en-US"/>
        </w:rPr>
        <w:t xml:space="preserve">供应商 ：</w:t>
      </w:r>
      <w:r>
        <w:rPr>
          <w:rFonts w:hint="eastAsia" w:ascii="黑体" w:eastAsia="黑体" w:cs="黑体"/>
          <w:b/>
          <w:sz w:val="36"/>
          <w:szCs w:val="24"/>
          <w:highlight w:val="none"/>
          <w:u w:val="single"/>
          <w:lang w:bidi="en-US"/>
        </w:rPr>
        <w:t xml:space="preserve">                    </w:t>
      </w:r>
      <w:r/>
    </w:p>
    <w:p>
      <w:pPr>
        <w:ind w:firstLine="1807"/>
        <w:jc w:val="left"/>
        <w:spacing w:line="360" w:lineRule="auto"/>
        <w:rPr>
          <w:rFonts w:ascii="宋体" w:hAnsi="宋体" w:cs="宋体"/>
          <w:sz w:val="24"/>
          <w:szCs w:val="24"/>
          <w:highlight w:val="none"/>
        </w:rPr>
      </w:pPr>
      <w:r>
        <w:rPr>
          <w:rFonts w:hint="eastAsia" w:ascii="黑体" w:eastAsia="黑体" w:cs="黑体"/>
          <w:b/>
          <w:sz w:val="36"/>
          <w:szCs w:val="24"/>
          <w:highlight w:val="none"/>
          <w:lang w:bidi="en-US"/>
        </w:rPr>
        <w:t xml:space="preserve">签订日期 ：  </w:t>
      </w:r>
      <w:r>
        <w:rPr>
          <w:rFonts w:hint="eastAsia" w:ascii="黑体" w:hAnsi="Calibri" w:eastAsia="黑体" w:cs="黑体"/>
          <w:b/>
          <w:sz w:val="36"/>
          <w:szCs w:val="24"/>
          <w:highlight w:val="none"/>
          <w:u w:val="single"/>
        </w:rPr>
        <w:t xml:space="preserve">                  </w:t>
      </w:r>
      <w:r/>
    </w:p>
    <w:p>
      <w:pPr>
        <w:rPr>
          <w:highlight w:val="none"/>
        </w:rPr>
      </w:pPr>
      <w:r>
        <w:rPr>
          <w:highlight w:val="none"/>
        </w:rPr>
        <w:br w:type="page" w:clear="all"/>
      </w:r>
      <w:r/>
    </w:p>
    <w:tbl>
      <w:tblPr>
        <w:tblStyle w:val="77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采购人（以下称甲方）：</w:t>
            </w:r>
            <w:r/>
          </w:p>
        </w:tc>
        <w:tc>
          <w:tcPr>
            <w:tcW w:w="4643" w:type="dxa"/>
            <w:textDirection w:val="lrTb"/>
            <w:noWrap w:val="false"/>
          </w:tcPr>
          <w:p>
            <w:pPr>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投标人：（以下称乙方）</w:t>
            </w:r>
            <w:r/>
          </w:p>
        </w:tc>
      </w:tr>
      <w:tr>
        <w:trPr/>
        <w:tc>
          <w:tcPr>
            <w:tcW w:w="4643" w:type="dxa"/>
            <w:textDirection w:val="lrTb"/>
            <w:noWrap w:val="false"/>
          </w:tcPr>
          <w:p>
            <w:pPr>
              <w:jc w:val="left"/>
              <w:spacing w:line="360" w:lineRule="auto"/>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住所地：</w:t>
            </w:r>
            <w:r/>
          </w:p>
        </w:tc>
        <w:tc>
          <w:tcPr>
            <w:tcW w:w="4643" w:type="dxa"/>
            <w:textDirection w:val="lrTb"/>
            <w:noWrap w:val="false"/>
          </w:tcPr>
          <w:p>
            <w:pPr>
              <w:jc w:val="left"/>
              <w:spacing w:line="360" w:lineRule="auto"/>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住所地：</w:t>
            </w:r>
            <w:r/>
          </w:p>
        </w:tc>
      </w:tr>
    </w:tbl>
    <w:p>
      <w:pPr>
        <w:ind w:firstLine="420"/>
        <w:jc w:val="left"/>
        <w:spacing w:line="360" w:lineRule="auto"/>
        <w:rPr>
          <w:rFonts w:ascii="宋体" w:hAnsi="宋体" w:cs="宋体"/>
          <w:sz w:val="24"/>
          <w:szCs w:val="24"/>
          <w:highlight w:val="none"/>
          <w:lang w:eastAsia="en-US" w:bidi="en-US"/>
        </w:rPr>
      </w:pPr>
      <w:r>
        <w:rPr>
          <w:rFonts w:ascii="宋体" w:hAnsi="宋体" w:cs="宋体"/>
          <w:sz w:val="24"/>
          <w:szCs w:val="24"/>
          <w:highlight w:val="none"/>
          <w:lang w:eastAsia="en-US" w:bidi="en-US"/>
        </w:rPr>
      </w:r>
      <w:r/>
    </w:p>
    <w:p>
      <w:pPr>
        <w:ind w:firstLine="420"/>
        <w:jc w:val="left"/>
        <w:spacing w:line="360" w:lineRule="auto"/>
        <w:widowControl/>
        <w:rPr>
          <w:rFonts w:ascii="宋体" w:hAnsi="宋体" w:cs="宋体"/>
          <w:sz w:val="24"/>
          <w:szCs w:val="24"/>
          <w:highlight w:val="none"/>
          <w:lang w:bidi="en-US"/>
        </w:rPr>
      </w:pPr>
      <w:r>
        <w:rPr>
          <w:rFonts w:hint="eastAsia" w:ascii="宋体" w:hAnsi="宋体" w:cs="宋体"/>
          <w:sz w:val="24"/>
          <w:szCs w:val="24"/>
          <w:highlight w:val="none"/>
          <w:lang w:bidi="en-US"/>
        </w:rPr>
        <w:t xml:space="preserve">根据《中华人民共和国政府采购法》、《中华人民共和国民法典》等法律法规的规定，甲乙双方按照江苏正诺的招标结果签订本合同。</w:t>
      </w:r>
      <w:r/>
    </w:p>
    <w:p>
      <w:pPr>
        <w:ind w:firstLine="422"/>
        <w:jc w:val="left"/>
        <w:spacing w:line="360" w:lineRule="auto"/>
        <w:rPr>
          <w:rFonts w:ascii="宋体" w:hAnsi="宋体" w:cs="宋体"/>
          <w:sz w:val="24"/>
          <w:szCs w:val="24"/>
          <w:highlight w:val="none"/>
          <w:u w:val="single"/>
          <w:lang w:bidi="en-US"/>
        </w:rPr>
      </w:pPr>
      <w:r>
        <w:rPr>
          <w:rFonts w:hint="eastAsia" w:ascii="宋体" w:hAnsi="宋体" w:cs="宋体"/>
          <w:sz w:val="24"/>
          <w:szCs w:val="24"/>
          <w:highlight w:val="none"/>
          <w:lang w:bidi="en-US"/>
        </w:rPr>
        <w:t xml:space="preserve">第一条 合同标的 乙方根据甲方要求提供下列服务：</w:t>
      </w:r>
      <w:r>
        <w:rPr>
          <w:rFonts w:hint="eastAsia" w:ascii="宋体" w:hAnsi="宋体" w:cs="宋体"/>
          <w:sz w:val="24"/>
          <w:szCs w:val="24"/>
          <w:highlight w:val="none"/>
          <w:u w:val="single"/>
          <w:lang w:bidi="en-US"/>
        </w:rPr>
        <w:t xml:space="preserve">                                  </w:t>
      </w:r>
      <w:r/>
    </w:p>
    <w:p>
      <w:pPr>
        <w:ind w:firstLine="422"/>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服务内容详见乙方响应性文件等。</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第二条 合同总价款 本合同项下服务总价款为___________（大写）人民币，分项价款在“分项报价表”中有明确规定。</w:t>
      </w:r>
      <w:r/>
    </w:p>
    <w:p>
      <w:pPr>
        <w:ind w:firstLine="480"/>
        <w:jc w:val="left"/>
        <w:spacing w:line="360" w:lineRule="auto"/>
        <w:rPr>
          <w:rFonts w:ascii="宋体" w:hAnsi="宋体" w:cs="宋体"/>
          <w:sz w:val="24"/>
          <w:szCs w:val="24"/>
          <w:highlight w:val="none"/>
          <w:lang w:bidi="en-US"/>
        </w:rPr>
      </w:pPr>
      <w:r>
        <w:rPr>
          <w:rFonts w:hint="eastAsia" w:ascii="宋体" w:hAnsi="宋体" w:cs="宋体"/>
          <w:bCs/>
          <w:sz w:val="24"/>
          <w:szCs w:val="24"/>
          <w:highlight w:val="none"/>
          <w:lang w:bidi="en-US"/>
        </w:rPr>
        <w:t xml:space="preserve">第三条 组成本合同的有关文件</w:t>
      </w:r>
      <w:r>
        <w:rPr>
          <w:rFonts w:hint="eastAsia" w:ascii="宋体" w:hAnsi="宋体" w:cs="宋体"/>
          <w:sz w:val="24"/>
          <w:szCs w:val="24"/>
          <w:highlight w:val="none"/>
          <w:lang w:bidi="en-US"/>
        </w:rPr>
        <w:t xml:space="preserve">  </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u w:val="single"/>
          <w:lang w:bidi="en-US"/>
        </w:rPr>
        <w:t xml:space="preserve">           </w:t>
      </w:r>
      <w:r>
        <w:rPr>
          <w:rFonts w:hint="eastAsia" w:ascii="宋体" w:hAnsi="宋体" w:cs="宋体"/>
          <w:sz w:val="24"/>
          <w:szCs w:val="24"/>
          <w:highlight w:val="none"/>
          <w:lang w:bidi="en-US"/>
        </w:rPr>
        <w:t xml:space="preserve">号招标文件和有关附件是本合同不可分割的组成部分，与本合同具有同等法律效力。</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第四条 权利保证</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乙方应保证为甲方提供货物和服务任何一部分时不受第三方提出侵犯其专利权、版权、商标权或其他权利的起诉。一旦出现侵权，乙方应承担全部责任。</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第五条 技术培训</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1、乙方须对甲方的操作、维护人员进行培训。并提供详细的培训计划，包括培训内容、培训时间等。</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2、乙方提供的负责培训的人员应具备同类项目丰富的实施经验。</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3、培训内容至少应包括:设备的原理、构成和功能的描述;常见故障的处理或排除:各部件(设备)的检查、调整和维护。</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第六条 质量保证及售后服务</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1、乙方应按竞争性协商文件规定的货物性能、技术要求、质量标准向甲方提供未经使用的全新产品。</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2、乙方提供的货物在质保期内因货物本身的质量问题发生故障,乙方在接到甲方设备故障通知的 24小时内派工程师到达现场，如一时无法修复的设备，必要时乙方应提供备用机供甲方使用。</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3、在质保期内,乙方应对货物出现的质量及安全问题负责处理解决并承担一切费用。</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4、设备质保期</w:t>
      </w:r>
      <w:r>
        <w:rPr>
          <w:rFonts w:hint="eastAsia" w:ascii="宋体" w:hAnsi="宋体" w:cs="宋体"/>
          <w:sz w:val="24"/>
          <w:szCs w:val="24"/>
          <w:highlight w:val="none"/>
          <w:u w:val="single"/>
          <w:lang w:bidi="en-US"/>
        </w:rPr>
        <w:t xml:space="preserve">一</w:t>
      </w:r>
      <w:r>
        <w:rPr>
          <w:rFonts w:hint="eastAsia" w:ascii="宋体" w:hAnsi="宋体" w:cs="宋体"/>
          <w:sz w:val="24"/>
          <w:szCs w:val="24"/>
          <w:highlight w:val="none"/>
          <w:lang w:bidi="en-US"/>
        </w:rPr>
        <w:t xml:space="preserve">年,质保期内乙方免费提供技术支持、软件升级及相关维护服务。</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5、乙方在华东地区有相应的售后服务机构,建有完善的售后服务体系和技术服务团队，并向甲方如实提供相关信息。</w:t>
      </w:r>
      <w:r/>
    </w:p>
    <w:p>
      <w:pPr>
        <w:ind w:firstLine="420"/>
        <w:jc w:val="left"/>
        <w:spacing w:line="360" w:lineRule="auto"/>
        <w:rPr>
          <w:rFonts w:ascii="宋体" w:hAnsi="宋体" w:cs="宋体"/>
          <w:bCs/>
          <w:sz w:val="24"/>
          <w:szCs w:val="24"/>
          <w:highlight w:val="none"/>
          <w:lang w:bidi="en-US"/>
        </w:rPr>
      </w:pPr>
      <w:r>
        <w:rPr>
          <w:rFonts w:hint="eastAsia" w:ascii="宋体" w:hAnsi="宋体" w:cs="宋体"/>
          <w:sz w:val="24"/>
          <w:szCs w:val="24"/>
          <w:highlight w:val="none"/>
          <w:lang w:bidi="en-US"/>
        </w:rPr>
        <w:t xml:space="preserve"> </w:t>
      </w:r>
      <w:r>
        <w:rPr>
          <w:rFonts w:hint="eastAsia" w:ascii="宋体" w:hAnsi="宋体" w:cs="宋体"/>
          <w:bCs/>
          <w:sz w:val="24"/>
          <w:szCs w:val="24"/>
          <w:highlight w:val="none"/>
          <w:lang w:bidi="en-US"/>
        </w:rPr>
        <w:t xml:space="preserve">第七条 交付使用和验收</w:t>
      </w:r>
      <w:r/>
    </w:p>
    <w:p>
      <w:pPr>
        <w:ind w:firstLine="420"/>
        <w:jc w:val="left"/>
        <w:spacing w:line="360" w:lineRule="auto"/>
        <w:rPr>
          <w:rFonts w:ascii="宋体" w:hAnsi="宋体" w:cs="宋体"/>
          <w:sz w:val="24"/>
          <w:szCs w:val="24"/>
          <w:highlight w:val="none"/>
          <w:u w:val="single"/>
          <w:lang w:bidi="en-US"/>
        </w:rPr>
      </w:pPr>
      <w:r>
        <w:rPr>
          <w:rFonts w:hint="eastAsia" w:ascii="宋体" w:hAnsi="宋体" w:cs="宋体"/>
          <w:sz w:val="24"/>
          <w:szCs w:val="24"/>
          <w:highlight w:val="none"/>
          <w:lang w:bidi="en-US"/>
        </w:rPr>
        <w:t xml:space="preserve">1、乙方应当在合同签订后60天内完成采购文件规定的项目并交付甲方使用。采购文件有约定的，从其约定。</w:t>
      </w:r>
      <w:r/>
    </w:p>
    <w:p>
      <w:pPr>
        <w:ind w:firstLine="420"/>
        <w:jc w:val="left"/>
        <w:spacing w:line="360" w:lineRule="auto"/>
        <w:rPr>
          <w:rFonts w:ascii="宋体" w:hAnsi="宋体" w:cs="宋体"/>
          <w:i/>
          <w:sz w:val="24"/>
          <w:szCs w:val="24"/>
          <w:highlight w:val="none"/>
          <w:lang w:bidi="en-US"/>
        </w:rPr>
      </w:pPr>
      <w:r>
        <w:rPr>
          <w:rFonts w:hint="eastAsia" w:ascii="宋体" w:hAnsi="宋体" w:cs="宋体"/>
          <w:sz w:val="24"/>
          <w:szCs w:val="24"/>
          <w:highlight w:val="none"/>
          <w:lang w:bidi="en-US"/>
        </w:rPr>
        <w:t xml:space="preserve">2、甲方自行组织或视情邀请相关专家或国家认可的质量检测机构参加验收，并通过环保等部门验收、审批和发放相关许可合格证书，乙方提供的服务不符合采购文件和合同规定的，甲方有权拒收，并承担验收费用等。</w:t>
      </w:r>
      <w:r/>
    </w:p>
    <w:p>
      <w:pPr>
        <w:ind w:firstLine="420"/>
        <w:jc w:val="left"/>
        <w:spacing w:line="360" w:lineRule="auto"/>
        <w:rPr>
          <w:rFonts w:ascii="宋体" w:hAnsi="宋体" w:cs="宋体"/>
          <w:bCs/>
          <w:i/>
          <w:sz w:val="24"/>
          <w:szCs w:val="24"/>
          <w:highlight w:val="none"/>
          <w:lang w:bidi="en-US"/>
        </w:rPr>
      </w:pPr>
      <w:r>
        <w:rPr>
          <w:rFonts w:hint="eastAsia" w:ascii="宋体" w:hAnsi="宋体" w:cs="宋体"/>
          <w:bCs/>
          <w:sz w:val="24"/>
          <w:szCs w:val="24"/>
          <w:highlight w:val="none"/>
          <w:lang w:bidi="en-US"/>
        </w:rPr>
        <w:t xml:space="preserve">第八条 合同款支付</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1、本合同项下所有款项均以人民币支付。</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2、本合同项下的采购资金由甲方自行支付，乙方向甲方开具发票。</w:t>
      </w:r>
      <w:r/>
    </w:p>
    <w:p>
      <w:pPr>
        <w:ind w:firstLine="24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 第九条  履约保证金</w:t>
      </w:r>
      <w:r/>
    </w:p>
    <w:p>
      <w:pPr>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   本项目不设置履约保证金。</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第十条 违约责任</w:t>
      </w:r>
      <w:r>
        <w:rPr>
          <w:rFonts w:hint="eastAsia" w:ascii="宋体" w:hAnsi="宋体" w:cs="宋体"/>
          <w:bCs/>
          <w:sz w:val="24"/>
          <w:szCs w:val="24"/>
          <w:highlight w:val="none"/>
          <w:lang w:bidi="en-US"/>
        </w:rPr>
        <w:tab/>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1、甲方无正当理由拒绝验收或拒付款的，甲方向乙方偿付合同总价的5%违约金。</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2、甲方未按合同规定的期限向乙方支付合同款的，每逾期1天甲方向乙方偿付欠款总额的5‰滞纳金，但累计滞纳金总额不超过欠款总额的5%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3、</w:t>
      </w:r>
      <w:r>
        <w:rPr>
          <w:rFonts w:hint="eastAsia" w:ascii="宋体" w:hAnsi="宋体" w:cs="宋体"/>
          <w:color w:val="ff0000"/>
          <w:sz w:val="24"/>
          <w:szCs w:val="24"/>
          <w:highlight w:val="none"/>
          <w:lang w:bidi="en-US"/>
        </w:rPr>
        <w:t xml:space="preserve">如</w:t>
      </w:r>
      <w:r>
        <w:rPr>
          <w:rFonts w:hint="eastAsia" w:ascii="宋体" w:hAnsi="宋体" w:cs="宋体"/>
          <w:color w:val="ff0000"/>
          <w:sz w:val="24"/>
          <w:szCs w:val="24"/>
          <w:highlight w:val="none"/>
          <w:lang w:val="en-US" w:eastAsia="zh-CN" w:bidi="en-US"/>
        </w:rPr>
        <w:t xml:space="preserve">因</w:t>
      </w:r>
      <w:r>
        <w:rPr>
          <w:rFonts w:hint="eastAsia" w:ascii="宋体" w:hAnsi="宋体" w:cs="宋体"/>
          <w:color w:val="ff0000"/>
          <w:sz w:val="24"/>
          <w:szCs w:val="24"/>
          <w:highlight w:val="none"/>
          <w:lang w:bidi="en-US"/>
        </w:rPr>
        <w:t xml:space="preserve">乙方</w:t>
      </w:r>
      <w:r>
        <w:rPr>
          <w:rFonts w:hint="eastAsia" w:ascii="宋体" w:hAnsi="宋体" w:cs="宋体"/>
          <w:color w:val="ff0000"/>
          <w:sz w:val="24"/>
          <w:szCs w:val="24"/>
          <w:highlight w:val="none"/>
          <w:lang w:val="en-US" w:eastAsia="zh-CN" w:bidi="en-US"/>
        </w:rPr>
        <w:t xml:space="preserve">自身原因造成</w:t>
      </w:r>
      <w:r>
        <w:rPr>
          <w:rFonts w:hint="eastAsia" w:ascii="宋体" w:hAnsi="宋体" w:cs="宋体"/>
          <w:color w:val="ff0000"/>
          <w:sz w:val="24"/>
          <w:szCs w:val="24"/>
          <w:highlight w:val="none"/>
          <w:lang w:bidi="en-US"/>
        </w:rPr>
        <w:t xml:space="preserve">不能按期交付服务的</w:t>
      </w:r>
      <w:r>
        <w:rPr>
          <w:rFonts w:hint="eastAsia" w:ascii="宋体" w:hAnsi="宋体" w:cs="宋体"/>
          <w:sz w:val="24"/>
          <w:szCs w:val="24"/>
          <w:highlight w:val="none"/>
          <w:lang w:bidi="en-US"/>
        </w:rPr>
        <w:t xml:space="preserve">，乙方应向甲方支付合同总价5%的违约金。</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4、</w:t>
      </w:r>
      <w:r>
        <w:rPr>
          <w:rFonts w:hint="eastAsia" w:ascii="宋体" w:hAnsi="宋体" w:cs="宋体"/>
          <w:color w:val="ff0000"/>
          <w:sz w:val="24"/>
          <w:szCs w:val="24"/>
          <w:highlight w:val="none"/>
          <w:lang w:bidi="en-US"/>
        </w:rPr>
        <w:t xml:space="preserve">乙方</w:t>
      </w:r>
      <w:r>
        <w:rPr>
          <w:rFonts w:hint="eastAsia" w:ascii="宋体" w:hAnsi="宋体" w:cs="宋体"/>
          <w:color w:val="ff0000"/>
          <w:sz w:val="24"/>
          <w:szCs w:val="24"/>
          <w:highlight w:val="none"/>
          <w:lang w:val="en-US" w:eastAsia="zh-CN" w:bidi="en-US"/>
        </w:rPr>
        <w:t xml:space="preserve">自身原因造成</w:t>
      </w:r>
      <w:r>
        <w:rPr>
          <w:rFonts w:hint="eastAsia" w:ascii="宋体" w:hAnsi="宋体" w:cs="宋体"/>
          <w:color w:val="ff0000"/>
          <w:sz w:val="24"/>
          <w:szCs w:val="24"/>
          <w:highlight w:val="none"/>
          <w:lang w:bidi="en-US"/>
        </w:rPr>
        <w:t xml:space="preserve">逾期交付的</w:t>
      </w:r>
      <w:r>
        <w:rPr>
          <w:rFonts w:hint="eastAsia" w:ascii="宋体" w:hAnsi="宋体" w:cs="宋体"/>
          <w:sz w:val="24"/>
          <w:szCs w:val="24"/>
          <w:highlight w:val="none"/>
          <w:lang w:bidi="en-US"/>
        </w:rPr>
        <w:t xml:space="preserve">，每逾期1天，乙方向甲方偿付合同总额的5‰的滞纳金</w:t>
      </w:r>
      <w:r>
        <w:rPr>
          <w:rFonts w:hint="eastAsia" w:ascii="宋体" w:hAnsi="宋体" w:cs="宋体"/>
          <w:sz w:val="24"/>
          <w:szCs w:val="24"/>
          <w:highlight w:val="none"/>
          <w:lang w:eastAsia="zh-CN" w:bidi="en-US"/>
        </w:rPr>
        <w:t xml:space="preserve">，</w:t>
      </w:r>
      <w:r>
        <w:rPr>
          <w:rFonts w:hint="eastAsia" w:ascii="宋体" w:hAnsi="宋体" w:cs="宋体"/>
          <w:sz w:val="24"/>
          <w:szCs w:val="24"/>
          <w:highlight w:val="none"/>
          <w:lang w:bidi="en-US"/>
        </w:rPr>
        <w:t xml:space="preserve">但累计滞纳金总额不超过欠款总额的5%。如乙方逾期交付达10天，甲方有权解除合同，解除合同的通知自到达乙方时生效。乙方逾期交付的，今后参加政府采购信誉将受到影响。</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cs="宋体"/>
          <w:sz w:val="24"/>
          <w:szCs w:val="24"/>
          <w:highlight w:val="none"/>
          <w:lang w:bidi="en-US"/>
        </w:rPr>
      </w:pPr>
      <w:r>
        <w:rPr>
          <w:rFonts w:hint="eastAsia" w:ascii="宋体" w:hAnsi="宋体" w:cs="宋体"/>
          <w:sz w:val="24"/>
          <w:szCs w:val="24"/>
          <w:highlight w:val="none"/>
          <w:lang w:bidi="en-US"/>
        </w:rPr>
        <w:t xml:space="preserve">6、乙方虚假承诺，或经权威部门检测提供的货物和服务不能满足采购文件要求，或是由于乙方的过错造成合同无法继续履行的，应向甲方支付不少于合同总价</w:t>
      </w:r>
      <w:r>
        <w:rPr>
          <w:rFonts w:hint="eastAsia" w:ascii="宋体" w:hAnsi="宋体" w:cs="宋体"/>
          <w:color w:val="ff0000"/>
          <w:sz w:val="24"/>
          <w:szCs w:val="24"/>
          <w:highlight w:val="none"/>
          <w:lang w:val="en-US" w:eastAsia="zh-CN" w:bidi="en-US"/>
        </w:rPr>
        <w:t xml:space="preserve">1</w:t>
      </w:r>
      <w:r>
        <w:rPr>
          <w:rFonts w:hint="eastAsia" w:ascii="宋体" w:hAnsi="宋体" w:cs="宋体"/>
          <w:color w:val="ff0000"/>
          <w:sz w:val="24"/>
          <w:szCs w:val="24"/>
          <w:highlight w:val="none"/>
          <w:lang w:bidi="en-US"/>
        </w:rPr>
        <w:t xml:space="preserve">0%</w:t>
      </w:r>
      <w:r>
        <w:rPr>
          <w:rFonts w:hint="eastAsia" w:ascii="宋体" w:hAnsi="宋体" w:cs="宋体"/>
          <w:sz w:val="24"/>
          <w:szCs w:val="24"/>
          <w:highlight w:val="none"/>
          <w:lang w:bidi="en-US"/>
        </w:rPr>
        <w:t xml:space="preserve">赔偿金。</w:t>
      </w:r>
      <w:r/>
    </w:p>
    <w:p>
      <w:pPr>
        <w:ind w:firstLine="420"/>
        <w:jc w:val="left"/>
        <w:spacing w:line="360" w:lineRule="auto"/>
        <w:rPr>
          <w:color w:val="ff0000"/>
          <w:highlight w:val="none"/>
        </w:rPr>
      </w:pPr>
      <w:r>
        <w:rPr>
          <w:rFonts w:hint="eastAsia" w:ascii="宋体" w:hAnsi="宋体" w:cs="宋体"/>
          <w:color w:val="ff0000"/>
          <w:sz w:val="24"/>
          <w:szCs w:val="24"/>
          <w:highlight w:val="none"/>
          <w:lang w:val="en-US" w:eastAsia="zh-CN" w:bidi="en-US"/>
        </w:rPr>
        <w:t xml:space="preserve">7、</w:t>
      </w:r>
      <w:r>
        <w:rPr>
          <w:rFonts w:ascii="宋体" w:hAnsi="宋体" w:eastAsia="宋体" w:cs="宋体"/>
          <w:color w:val="ff0000"/>
          <w:sz w:val="24"/>
          <w:szCs w:val="24"/>
          <w:highlight w:val="none"/>
        </w:rPr>
        <w:t xml:space="preserve">因甲方</w:t>
      </w:r>
      <w:r>
        <w:rPr>
          <w:rFonts w:hint="eastAsia" w:ascii="宋体" w:hAnsi="宋体" w:cs="宋体"/>
          <w:color w:val="ff0000"/>
          <w:sz w:val="24"/>
          <w:szCs w:val="24"/>
          <w:highlight w:val="none"/>
          <w:lang w:val="en-US" w:eastAsia="zh-CN"/>
        </w:rPr>
        <w:t xml:space="preserve">技术</w:t>
      </w:r>
      <w:r>
        <w:rPr>
          <w:rFonts w:ascii="宋体" w:hAnsi="宋体" w:eastAsia="宋体" w:cs="宋体"/>
          <w:color w:val="ff0000"/>
          <w:sz w:val="24"/>
          <w:szCs w:val="24"/>
          <w:highlight w:val="none"/>
        </w:rPr>
        <w:t xml:space="preserve">、对接、配合、需求变更、第三方对接等甲方原因造成项目延期的，</w:t>
      </w:r>
      <w:r>
        <w:rPr>
          <w:rStyle w:val="793"/>
          <w:rFonts w:ascii="宋体" w:hAnsi="宋体" w:eastAsia="宋体" w:cs="宋体"/>
          <w:color w:val="ff0000"/>
          <w:sz w:val="24"/>
          <w:szCs w:val="24"/>
          <w:highlight w:val="none"/>
        </w:rPr>
        <w:t xml:space="preserve">乙方全部免责、工期自动顺延、不承担任何逾期违约责任，所有损失由甲方承担</w:t>
      </w:r>
      <w:r>
        <w:rPr>
          <w:rFonts w:ascii="宋体" w:hAnsi="宋体" w:eastAsia="宋体" w:cs="宋体"/>
          <w:color w:val="ff0000"/>
          <w:sz w:val="24"/>
          <w:szCs w:val="24"/>
          <w:highlight w:val="none"/>
        </w:rPr>
        <w:t xml:space="preserve">。</w:t>
      </w:r>
      <w:r/>
    </w:p>
    <w:p>
      <w:pPr>
        <w:ind w:firstLine="420"/>
        <w:jc w:val="left"/>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 xml:space="preserve">第十一条：</w:t>
      </w:r>
      <w:r>
        <w:rPr>
          <w:rFonts w:hint="eastAsia" w:ascii="宋体" w:hAnsi="宋体" w:eastAsia="宋体" w:cs="宋体"/>
          <w:sz w:val="24"/>
          <w:szCs w:val="24"/>
          <w:highlight w:val="none"/>
          <w:lang w:bidi="en-US"/>
        </w:rPr>
        <w:t xml:space="preserve">运维及合规责任边界</w:t>
      </w:r>
      <w:r/>
    </w:p>
    <w:p>
      <w:pPr>
        <w:ind w:firstLine="420"/>
        <w:jc w:val="left"/>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1.甲方（采购人）责任：提供项目所需的网络与硬件环境，协调基层医疗机构配合实施，组织验收与培训，按合同约定支付款项，并履行数据安全监管职责。</w:t>
      </w:r>
      <w:r/>
    </w:p>
    <w:p>
      <w:pPr>
        <w:ind w:firstLine="420"/>
        <w:jc w:val="left"/>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2.乙方（中标人）责任：</w:t>
      </w:r>
      <w:r/>
    </w:p>
    <w:p>
      <w:pPr>
        <w:ind w:firstLine="420"/>
        <w:jc w:val="left"/>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（1）负责系统部署、集成、培训及质保期内外运维保障；</w:t>
      </w:r>
      <w:r/>
    </w:p>
    <w:p>
      <w:pPr>
        <w:ind w:firstLine="420"/>
        <w:jc w:val="left"/>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（2）提供7×24小时运维响应，故障</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小时内响应、</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小时内到场（远程可解决的不受到场时限限制）；</w:t>
      </w:r>
      <w:r/>
    </w:p>
    <w:p>
      <w:pPr>
        <w:ind w:firstLine="420"/>
        <w:jc w:val="left"/>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（3）保障系统安全合规运行，配合等级保护测评、商用密码应用安全性评估及审计检查；</w:t>
      </w:r>
      <w:r/>
    </w:p>
    <w:p>
      <w:pPr>
        <w:ind w:firstLine="420"/>
        <w:jc w:val="left"/>
        <w:spacing w:line="36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（4）承担因系统缺陷、配置错误或运维不当导致的数据泄露、服务中断等后果及相应赔偿责任。</w:t>
      </w:r>
      <w:r/>
    </w:p>
    <w:p>
      <w:pPr>
        <w:ind w:firstLine="420"/>
        <w:jc w:val="left"/>
        <w:spacing w:line="360" w:lineRule="auto"/>
        <w:rPr>
          <w:rFonts w:hint="default" w:eastAsia="宋体"/>
          <w:color w:val="ff0000"/>
          <w:highlight w:val="none"/>
          <w:lang w:val="en-US" w:eastAsia="zh-CN"/>
        </w:rPr>
      </w:pPr>
      <w:r>
        <w:rPr>
          <w:rFonts w:hint="eastAsia" w:ascii="宋体" w:hAnsi="宋体" w:eastAsia="宋体" w:cs="宋体"/>
          <w:sz w:val="24"/>
          <w:szCs w:val="24"/>
          <w:highlight w:val="none"/>
          <w:lang w:bidi="en-US"/>
        </w:rPr>
        <w:t xml:space="preserve">3.数据安全责任边界：双方在数据采集、传输、存储、使用、共享、销毁各环节的安全保护义务与责任，依《中华人民共和国个人信息保护法》《医疗卫生机构网络安全管理办法》及本合同约定执行；因一方过错造成数据安全事件的，由过错方承担相应责任。</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w:t>
      </w:r>
      <w:r>
        <w:rPr>
          <w:rFonts w:hint="eastAsia" w:ascii="宋体" w:hAnsi="宋体" w:cs="宋体"/>
          <w:bCs/>
          <w:sz w:val="24"/>
          <w:szCs w:val="24"/>
          <w:highlight w:val="none"/>
          <w:lang w:val="en-US" w:eastAsia="zh-CN" w:bidi="en-US"/>
        </w:rPr>
        <w:t xml:space="preserve">二</w:t>
      </w:r>
      <w:r>
        <w:rPr>
          <w:rFonts w:hint="eastAsia" w:ascii="宋体" w:hAnsi="宋体" w:cs="宋体"/>
          <w:bCs/>
          <w:sz w:val="24"/>
          <w:szCs w:val="24"/>
          <w:highlight w:val="none"/>
          <w:lang w:bidi="en-US"/>
        </w:rPr>
        <w:t xml:space="preserve">条 合同的变更和终止</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1、除《政府采购法》第50条第二款规定的情形外，本合同一经签订，甲乙双方不得擅自变更、中止或终止合同。</w:t>
      </w:r>
      <w:r/>
    </w:p>
    <w:p>
      <w:pPr>
        <w:ind w:firstLine="48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2、除发生法律规定的不能预见、不能避免并不能克服的客观情况外，甲乙双方不得放弃或拒绝履行合同。乙方放弃或拒绝履行合同，保证金不予退还，在三年内不得参加南京市的政府采购活动。</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w:t>
      </w:r>
      <w:r>
        <w:rPr>
          <w:rFonts w:hint="eastAsia" w:ascii="宋体" w:hAnsi="宋体" w:cs="宋体"/>
          <w:bCs/>
          <w:sz w:val="24"/>
          <w:szCs w:val="24"/>
          <w:highlight w:val="none"/>
          <w:lang w:val="en-US" w:eastAsia="zh-CN" w:bidi="en-US"/>
        </w:rPr>
        <w:t xml:space="preserve">三</w:t>
      </w:r>
      <w:r>
        <w:rPr>
          <w:rFonts w:hint="eastAsia" w:ascii="宋体" w:hAnsi="宋体" w:cs="宋体"/>
          <w:bCs/>
          <w:sz w:val="24"/>
          <w:szCs w:val="24"/>
          <w:highlight w:val="none"/>
          <w:lang w:bidi="en-US"/>
        </w:rPr>
        <w:t xml:space="preserve">条 合同的转让</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乙方不得擅自部分或全部转让其应履行的合同义务。</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w:t>
      </w:r>
      <w:r>
        <w:rPr>
          <w:rFonts w:hint="eastAsia" w:ascii="宋体" w:hAnsi="宋体" w:cs="宋体"/>
          <w:bCs/>
          <w:sz w:val="24"/>
          <w:szCs w:val="24"/>
          <w:highlight w:val="none"/>
          <w:lang w:val="en-US" w:eastAsia="zh-CN" w:bidi="en-US"/>
        </w:rPr>
        <w:t xml:space="preserve">四</w:t>
      </w:r>
      <w:r>
        <w:rPr>
          <w:rFonts w:hint="eastAsia" w:ascii="宋体" w:hAnsi="宋体" w:cs="宋体"/>
          <w:bCs/>
          <w:sz w:val="24"/>
          <w:szCs w:val="24"/>
          <w:highlight w:val="none"/>
          <w:lang w:bidi="en-US"/>
        </w:rPr>
        <w:t xml:space="preserve">条 争议的解决</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1.因服务的质量问题发生争议的，应当邀请国家认可的质量检测机构对服务质量进行鉴 定。符合标准的，鉴定费由甲方承担；不符合标准的，鉴定费由乙方承担。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2.因履行本合同引起的或与本合同有关的争议，甲、乙双方应首先通过友好协商解决，如 果协商不能解决争议，则采取以下第（ ）种方式解决争议：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（1）向甲方所在地有管辖权的人民法院提起诉讼；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（2）向南京仲裁委员会按其仲裁规则申请仲裁。 如没有约定，默认采取第 2 种方式解决争议。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3.仲裁期间本合同应继续履行。 </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w:t>
      </w:r>
      <w:r>
        <w:rPr>
          <w:rFonts w:hint="eastAsia" w:ascii="宋体" w:hAnsi="宋体" w:cs="宋体"/>
          <w:bCs/>
          <w:sz w:val="24"/>
          <w:szCs w:val="24"/>
          <w:highlight w:val="none"/>
          <w:lang w:val="en-US" w:eastAsia="zh-CN" w:bidi="en-US"/>
        </w:rPr>
        <w:t xml:space="preserve">五</w:t>
      </w:r>
      <w:r>
        <w:rPr>
          <w:rFonts w:hint="eastAsia" w:ascii="宋体" w:hAnsi="宋体" w:cs="宋体"/>
          <w:bCs/>
          <w:sz w:val="24"/>
          <w:szCs w:val="24"/>
          <w:highlight w:val="none"/>
          <w:lang w:bidi="en-US"/>
        </w:rPr>
        <w:t xml:space="preserve">条 诚实信用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乙方应诚实信用，严格按照采购文件要求和承诺履行合同，不向甲方进行商业贿赂或者提供不正当利益。</w:t>
      </w:r>
      <w:r/>
    </w:p>
    <w:p>
      <w:pPr>
        <w:ind w:firstLine="420"/>
        <w:jc w:val="left"/>
        <w:spacing w:line="360" w:lineRule="auto"/>
        <w:rPr>
          <w:rFonts w:ascii="宋体" w:hAnsi="宋体" w:cs="宋体"/>
          <w:bCs/>
          <w:sz w:val="24"/>
          <w:szCs w:val="24"/>
          <w:highlight w:val="none"/>
          <w:lang w:bidi="en-US"/>
        </w:rPr>
      </w:pPr>
      <w:r>
        <w:rPr>
          <w:rFonts w:hint="eastAsia" w:ascii="宋体" w:hAnsi="宋体" w:cs="宋体"/>
          <w:bCs/>
          <w:sz w:val="24"/>
          <w:szCs w:val="24"/>
          <w:highlight w:val="none"/>
          <w:lang w:bidi="en-US"/>
        </w:rPr>
        <w:t xml:space="preserve">第十</w:t>
      </w:r>
      <w:r>
        <w:rPr>
          <w:rFonts w:hint="eastAsia" w:ascii="宋体" w:hAnsi="宋体" w:cs="宋体"/>
          <w:bCs/>
          <w:sz w:val="24"/>
          <w:szCs w:val="24"/>
          <w:highlight w:val="none"/>
          <w:lang w:val="en-US" w:eastAsia="zh-CN" w:bidi="en-US"/>
        </w:rPr>
        <w:t xml:space="preserve">六</w:t>
      </w:r>
      <w:r>
        <w:rPr>
          <w:rFonts w:hint="eastAsia" w:ascii="宋体" w:hAnsi="宋体" w:cs="宋体"/>
          <w:bCs/>
          <w:sz w:val="24"/>
          <w:szCs w:val="24"/>
          <w:highlight w:val="none"/>
          <w:lang w:bidi="en-US"/>
        </w:rPr>
        <w:t xml:space="preserve">条 合同生效及其他</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1、本合同自签订之日起生效。</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2、本合同一式四份，甲乙双方各执二份。 </w:t>
      </w:r>
      <w:r/>
    </w:p>
    <w:p>
      <w:pPr>
        <w:ind w:firstLine="420"/>
        <w:jc w:val="left"/>
        <w:spacing w:line="360" w:lineRule="auto"/>
        <w:rPr>
          <w:rFonts w:ascii="宋体" w:hAnsi="宋体" w:cs="宋体"/>
          <w:sz w:val="24"/>
          <w:szCs w:val="24"/>
          <w:highlight w:val="none"/>
          <w:lang w:bidi="en-US"/>
        </w:rPr>
      </w:pPr>
      <w:r>
        <w:rPr>
          <w:rFonts w:hint="eastAsia" w:ascii="宋体" w:hAnsi="宋体" w:cs="宋体"/>
          <w:sz w:val="24"/>
          <w:szCs w:val="24"/>
          <w:highlight w:val="none"/>
          <w:lang w:bidi="en-US"/>
        </w:rPr>
        <w:t xml:space="preserve">3、本合同应按照中华人民共和国的现行法律进行解释。</w:t>
      </w:r>
      <w:r/>
    </w:p>
    <w:tbl>
      <w:tblPr>
        <w:tblStyle w:val="77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widowControl/>
              <w:rPr>
                <w:rFonts w:ascii="宋体" w:hAnsi="宋体" w:cs="宋体"/>
                <w:sz w:val="24"/>
                <w:szCs w:val="24"/>
                <w:highlight w:val="none"/>
                <w:lang w:bidi="en-US"/>
              </w:rPr>
            </w:pPr>
            <w:r>
              <w:rPr>
                <w:rFonts w:hint="eastAsia" w:ascii="宋体" w:hAnsi="宋体" w:cs="宋体"/>
                <w:sz w:val="24"/>
                <w:szCs w:val="24"/>
                <w:highlight w:val="none"/>
                <w:lang w:bidi="en-US"/>
              </w:rPr>
              <w:t xml:space="preserve">甲方（甲方）：（盖章）</w:t>
            </w:r>
            <w:r/>
          </w:p>
        </w:tc>
        <w:tc>
          <w:tcPr>
            <w:tcW w:w="4643" w:type="dxa"/>
            <w:textDirection w:val="lrTb"/>
            <w:noWrap w:val="false"/>
          </w:tcPr>
          <w:p>
            <w:pPr>
              <w:jc w:val="left"/>
              <w:spacing w:line="360" w:lineRule="auto"/>
              <w:widowControl/>
              <w:rPr>
                <w:rFonts w:ascii="宋体" w:hAnsi="宋体" w:cs="宋体"/>
                <w:sz w:val="24"/>
                <w:szCs w:val="24"/>
                <w:highlight w:val="none"/>
                <w:lang w:bidi="en-US"/>
              </w:rPr>
            </w:pPr>
            <w:r>
              <w:rPr>
                <w:rFonts w:hint="eastAsia" w:ascii="宋体" w:hAnsi="宋体" w:cs="宋体"/>
                <w:sz w:val="24"/>
                <w:szCs w:val="24"/>
                <w:highlight w:val="none"/>
                <w:lang w:bidi="en-US"/>
              </w:rPr>
              <w:t xml:space="preserve">乙方（投标人）：（盖章）</w:t>
            </w:r>
            <w:r/>
          </w:p>
        </w:tc>
      </w:tr>
      <w:tr>
        <w:trPr/>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代表人：</w:t>
            </w:r>
            <w:r/>
          </w:p>
        </w:tc>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代表人：</w:t>
            </w:r>
            <w:r/>
          </w:p>
        </w:tc>
      </w:tr>
      <w:tr>
        <w:trPr/>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电    话：</w:t>
            </w:r>
            <w:r/>
          </w:p>
        </w:tc>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电    话：</w:t>
            </w:r>
            <w:r/>
          </w:p>
        </w:tc>
      </w:tr>
      <w:tr>
        <w:trPr/>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开户银行：</w:t>
            </w:r>
            <w:r/>
          </w:p>
        </w:tc>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开户银行：</w:t>
            </w:r>
            <w:r/>
          </w:p>
        </w:tc>
      </w:tr>
      <w:tr>
        <w:trPr/>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帐    号：</w:t>
            </w:r>
            <w:r/>
          </w:p>
        </w:tc>
        <w:tc>
          <w:tcPr>
            <w:tcW w:w="4643" w:type="dxa"/>
            <w:textDirection w:val="lrTb"/>
            <w:noWrap w:val="false"/>
          </w:tcPr>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帐    号：</w:t>
            </w:r>
            <w:r/>
          </w:p>
        </w:tc>
      </w:tr>
    </w:tbl>
    <w:p>
      <w:pPr>
        <w:jc w:val="left"/>
        <w:spacing w:line="360" w:lineRule="auto"/>
        <w:widowControl/>
        <w:rPr>
          <w:rFonts w:ascii="宋体" w:hAnsi="宋体" w:cs="宋体"/>
          <w:sz w:val="24"/>
          <w:szCs w:val="24"/>
          <w:highlight w:val="none"/>
          <w:lang w:eastAsia="en-US" w:bidi="en-US"/>
        </w:rPr>
      </w:pPr>
      <w:r>
        <w:rPr>
          <w:rFonts w:hint="eastAsia" w:ascii="宋体" w:hAnsi="宋体" w:cs="宋体"/>
          <w:sz w:val="24"/>
          <w:szCs w:val="24"/>
          <w:highlight w:val="none"/>
          <w:lang w:eastAsia="en-US" w:bidi="en-US"/>
        </w:rPr>
        <w:t xml:space="preserve">                                                          年  月  日</w:t>
      </w:r>
      <w:bookmarkEnd w:id="86"/>
      <w:r/>
    </w:p>
    <w:p>
      <w:pPr>
        <w:jc w:val="left"/>
        <w:rPr>
          <w:rFonts w:eastAsia="Times New Roman"/>
          <w:sz w:val="24"/>
          <w:szCs w:val="24"/>
          <w:highlight w:val="none"/>
          <w:lang w:eastAsia="en-US" w:bidi="en-US"/>
        </w:rPr>
      </w:pPr>
      <w:r>
        <w:rPr>
          <w:rFonts w:eastAsia="Times New Roman"/>
          <w:sz w:val="24"/>
          <w:szCs w:val="24"/>
          <w:highlight w:val="none"/>
          <w:lang w:eastAsia="en-US" w:bidi="en-US"/>
        </w:rPr>
      </w:r>
      <w:r/>
    </w:p>
    <w:p>
      <w:pPr>
        <w:spacing w:line="200" w:lineRule="exact"/>
        <w:rPr>
          <w:rFonts w:ascii="宋体" w:hAnsi="宋体" w:cs="宋体"/>
          <w:sz w:val="24"/>
          <w:szCs w:val="24"/>
          <w:highlight w:val="none"/>
          <w14:ligatures w14:val="standardContextual"/>
        </w:rPr>
      </w:pPr>
      <w:r>
        <w:rPr>
          <w:rFonts w:ascii="宋体" w:hAnsi="宋体" w:cs="宋体"/>
          <w:sz w:val="24"/>
          <w:szCs w:val="24"/>
          <w:highlight w:val="none"/>
          <w14:ligatures w14:val="standardContextual"/>
        </w:rPr>
      </w:r>
      <w:r/>
    </w:p>
    <w:p>
      <w:pPr>
        <w:jc w:val="center"/>
        <w:keepLines/>
        <w:keepNext/>
        <w:pageBreakBefore/>
        <w:rPr>
          <w:b/>
          <w:sz w:val="44"/>
          <w:szCs w:val="44"/>
          <w:highlight w:val="none"/>
        </w:rPr>
        <w:outlineLvl w:val="0"/>
      </w:pPr>
      <w:r/>
      <w:bookmarkStart w:id="87" w:name="_Toc12366"/>
      <w:r/>
      <w:bookmarkStart w:id="88" w:name="_Toc514054483"/>
      <w:r>
        <w:rPr>
          <w:rFonts w:hint="eastAsia"/>
          <w:b/>
          <w:sz w:val="44"/>
          <w:szCs w:val="44"/>
          <w:highlight w:val="none"/>
        </w:rPr>
        <w:t xml:space="preserve">第六部分  投标文件格式</w:t>
      </w:r>
      <w:bookmarkEnd w:id="87"/>
      <w:r/>
      <w:bookmarkEnd w:id="88"/>
      <w:r/>
      <w:r/>
    </w:p>
    <w:p>
      <w:pPr>
        <w:rPr>
          <w:highlight w:val="none"/>
        </w:rPr>
      </w:pPr>
      <w:r>
        <w:rPr>
          <w:highlight w:val="none"/>
        </w:rPr>
      </w:r>
      <w:r/>
    </w:p>
    <w:p>
      <w:pPr>
        <w:pStyle w:val="1274"/>
        <w:ind w:firstLine="321"/>
        <w:jc w:val="center"/>
        <w:rPr>
          <w:highlight w:val="none"/>
        </w:rPr>
        <w:outlineLvl w:val="1"/>
      </w:pPr>
      <w:r/>
      <w:bookmarkStart w:id="89" w:name="_Toc514054484"/>
      <w:r/>
      <w:bookmarkStart w:id="90" w:name="_Toc26779"/>
      <w:r>
        <w:rPr>
          <w:highlight w:val="none"/>
        </w:rPr>
        <w:t xml:space="preserve">封面</w:t>
      </w:r>
      <w:bookmarkEnd w:id="89"/>
      <w:r/>
      <w:bookmarkEnd w:id="90"/>
      <w:r/>
      <w:r/>
    </w:p>
    <w:p>
      <w:pPr>
        <w:pStyle w:val="1139"/>
        <w:jc w:val="left"/>
        <w:rPr>
          <w:rFonts w:ascii="黑体" w:eastAsia="黑体" w:cs="黑体"/>
          <w:sz w:val="32"/>
          <w:szCs w:val="32"/>
          <w:highlight w:val="none"/>
        </w:rPr>
      </w:pPr>
      <w:r>
        <w:rPr>
          <w:rFonts w:ascii="黑体" w:eastAsia="黑体" w:cs="黑体"/>
          <w:sz w:val="32"/>
          <w:szCs w:val="32"/>
          <w:highlight w:val="none"/>
        </w:rPr>
      </w:r>
      <w:r/>
    </w:p>
    <w:p>
      <w:pPr>
        <w:pStyle w:val="1139"/>
        <w:jc w:val="left"/>
        <w:rPr>
          <w:rFonts w:ascii="黑体" w:eastAsia="黑体" w:cs="黑体"/>
          <w:sz w:val="32"/>
          <w:szCs w:val="32"/>
          <w:highlight w:val="none"/>
        </w:rPr>
      </w:pPr>
      <w:r>
        <w:rPr>
          <w:rFonts w:ascii="黑体" w:eastAsia="黑体" w:cs="黑体"/>
          <w:sz w:val="32"/>
          <w:szCs w:val="32"/>
          <w:highlight w:val="none"/>
        </w:rPr>
      </w:r>
      <w:r/>
    </w:p>
    <w:p>
      <w:pPr>
        <w:pStyle w:val="1139"/>
        <w:jc w:val="left"/>
        <w:rPr>
          <w:rFonts w:ascii="黑体" w:eastAsia="黑体" w:cs="黑体"/>
          <w:sz w:val="32"/>
          <w:szCs w:val="32"/>
          <w:highlight w:val="none"/>
        </w:rPr>
      </w:pPr>
      <w:r>
        <w:rPr>
          <w:rFonts w:ascii="黑体" w:eastAsia="黑体" w:cs="黑体"/>
          <w:sz w:val="32"/>
          <w:szCs w:val="32"/>
          <w:highlight w:val="none"/>
        </w:rPr>
      </w:r>
      <w:r/>
    </w:p>
    <w:p>
      <w:pPr>
        <w:pStyle w:val="1139"/>
        <w:jc w:val="center"/>
        <w:rPr>
          <w:rFonts w:ascii="黑体" w:eastAsia="黑体" w:cs="黑体"/>
          <w:sz w:val="52"/>
          <w:szCs w:val="52"/>
          <w:highlight w:val="none"/>
        </w:rPr>
      </w:pPr>
      <w:r>
        <w:rPr>
          <w:rFonts w:ascii="黑体" w:eastAsia="黑体" w:cs="黑体"/>
          <w:sz w:val="52"/>
          <w:szCs w:val="52"/>
          <w:highlight w:val="none"/>
        </w:rPr>
      </w:r>
      <w:r/>
    </w:p>
    <w:p>
      <w:pPr>
        <w:pStyle w:val="1139"/>
        <w:jc w:val="center"/>
        <w:rPr>
          <w:rFonts w:ascii="黑体" w:eastAsia="黑体" w:cs="黑体"/>
          <w:sz w:val="28"/>
          <w:szCs w:val="28"/>
          <w:highlight w:val="none"/>
        </w:rPr>
      </w:pPr>
      <w:r>
        <w:rPr>
          <w:rFonts w:hint="eastAsia" w:ascii="黑体" w:eastAsia="黑体" w:cs="黑体"/>
          <w:sz w:val="72"/>
          <w:szCs w:val="72"/>
          <w:highlight w:val="none"/>
        </w:rPr>
        <w:t xml:space="preserve">投</w:t>
      </w:r>
      <w:r>
        <w:rPr>
          <w:rFonts w:ascii="黑体" w:eastAsia="黑体" w:cs="黑体"/>
          <w:sz w:val="72"/>
          <w:szCs w:val="72"/>
          <w:highlight w:val="none"/>
        </w:rPr>
        <w:t xml:space="preserve"> </w:t>
      </w:r>
      <w:r>
        <w:rPr>
          <w:rFonts w:hint="eastAsia" w:ascii="黑体" w:eastAsia="黑体" w:cs="黑体"/>
          <w:sz w:val="72"/>
          <w:szCs w:val="72"/>
          <w:highlight w:val="none"/>
        </w:rPr>
        <w:t xml:space="preserve">标</w:t>
      </w:r>
      <w:r>
        <w:rPr>
          <w:rFonts w:ascii="黑体" w:eastAsia="黑体" w:cs="黑体"/>
          <w:sz w:val="72"/>
          <w:szCs w:val="72"/>
          <w:highlight w:val="none"/>
        </w:rPr>
        <w:t xml:space="preserve"> </w:t>
      </w:r>
      <w:r>
        <w:rPr>
          <w:rFonts w:hint="eastAsia" w:ascii="黑体" w:eastAsia="黑体" w:cs="黑体"/>
          <w:sz w:val="72"/>
          <w:szCs w:val="72"/>
          <w:highlight w:val="none"/>
        </w:rPr>
        <w:t xml:space="preserve">文</w:t>
      </w:r>
      <w:r>
        <w:rPr>
          <w:rFonts w:ascii="黑体" w:eastAsia="黑体" w:cs="黑体"/>
          <w:sz w:val="72"/>
          <w:szCs w:val="72"/>
          <w:highlight w:val="none"/>
        </w:rPr>
        <w:t xml:space="preserve"> </w:t>
      </w:r>
      <w:r>
        <w:rPr>
          <w:rFonts w:hint="eastAsia" w:ascii="黑体" w:eastAsia="黑体" w:cs="黑体"/>
          <w:sz w:val="72"/>
          <w:szCs w:val="72"/>
          <w:highlight w:val="none"/>
        </w:rPr>
        <w:t xml:space="preserve">件</w:t>
      </w:r>
      <w:r/>
    </w:p>
    <w:p>
      <w:pPr>
        <w:pStyle w:val="1139"/>
        <w:jc w:val="left"/>
        <w:rPr>
          <w:rFonts w:ascii="黑体" w:eastAsia="黑体" w:cs="黑体"/>
          <w:sz w:val="28"/>
          <w:szCs w:val="28"/>
          <w:highlight w:val="none"/>
        </w:rPr>
      </w:pPr>
      <w:r>
        <w:rPr>
          <w:rFonts w:ascii="黑体" w:eastAsia="黑体" w:cs="黑体"/>
          <w:sz w:val="28"/>
          <w:szCs w:val="28"/>
          <w:highlight w:val="none"/>
        </w:rPr>
      </w:r>
      <w:r/>
    </w:p>
    <w:p>
      <w:pPr>
        <w:pStyle w:val="1139"/>
        <w:jc w:val="left"/>
        <w:rPr>
          <w:rFonts w:ascii="黑体" w:eastAsia="黑体" w:cs="黑体"/>
          <w:sz w:val="28"/>
          <w:szCs w:val="28"/>
          <w:highlight w:val="none"/>
        </w:rPr>
      </w:pPr>
      <w:r>
        <w:rPr>
          <w:rFonts w:ascii="黑体" w:eastAsia="黑体" w:cs="黑体"/>
          <w:sz w:val="28"/>
          <w:szCs w:val="28"/>
          <w:highlight w:val="none"/>
        </w:rPr>
      </w:r>
      <w:r/>
    </w:p>
    <w:p>
      <w:pPr>
        <w:pStyle w:val="1139"/>
        <w:jc w:val="left"/>
        <w:rPr>
          <w:rFonts w:ascii="黑体" w:eastAsia="黑体" w:cs="黑体"/>
          <w:sz w:val="28"/>
          <w:szCs w:val="28"/>
          <w:highlight w:val="none"/>
        </w:rPr>
      </w:pPr>
      <w:r>
        <w:rPr>
          <w:rFonts w:ascii="黑体" w:eastAsia="黑体" w:cs="黑体"/>
          <w:sz w:val="28"/>
          <w:szCs w:val="28"/>
          <w:highlight w:val="none"/>
        </w:rPr>
      </w:r>
      <w:r/>
    </w:p>
    <w:p>
      <w:pPr>
        <w:pStyle w:val="1139"/>
        <w:jc w:val="left"/>
        <w:rPr>
          <w:rFonts w:ascii="黑体" w:eastAsia="黑体" w:cs="黑体"/>
          <w:sz w:val="28"/>
          <w:szCs w:val="28"/>
          <w:highlight w:val="none"/>
        </w:rPr>
      </w:pPr>
      <w:r>
        <w:rPr>
          <w:rFonts w:ascii="黑体" w:eastAsia="黑体" w:cs="黑体"/>
          <w:sz w:val="28"/>
          <w:szCs w:val="28"/>
          <w:highlight w:val="none"/>
        </w:rPr>
      </w:r>
      <w:r/>
    </w:p>
    <w:p>
      <w:pPr>
        <w:pStyle w:val="1139"/>
        <w:jc w:val="left"/>
        <w:rPr>
          <w:rFonts w:ascii="黑体" w:eastAsia="黑体" w:cs="黑体"/>
          <w:sz w:val="28"/>
          <w:szCs w:val="28"/>
          <w:highlight w:val="none"/>
        </w:rPr>
      </w:pPr>
      <w:r>
        <w:rPr>
          <w:rFonts w:ascii="黑体" w:eastAsia="黑体" w:cs="黑体"/>
          <w:sz w:val="28"/>
          <w:szCs w:val="28"/>
          <w:highlight w:val="none"/>
        </w:rPr>
      </w:r>
      <w:r/>
    </w:p>
    <w:p>
      <w:pPr>
        <w:pStyle w:val="1044"/>
        <w:ind w:firstLine="723"/>
        <w:jc w:val="both"/>
        <w:rPr>
          <w:highlight w:val="none"/>
        </w:rPr>
      </w:pPr>
      <w:r>
        <w:rPr>
          <w:rFonts w:hint="eastAsia"/>
          <w:b/>
          <w:sz w:val="36"/>
          <w:szCs w:val="36"/>
          <w:highlight w:val="none"/>
        </w:rPr>
        <w:t xml:space="preserve">项目 名 称：</w:t>
      </w:r>
      <w:r>
        <w:rPr>
          <w:rFonts w:hint="eastAsia"/>
          <w:b/>
          <w:sz w:val="36"/>
          <w:szCs w:val="36"/>
          <w:highlight w:val="none"/>
          <w:u w:val="single"/>
        </w:rPr>
        <w:t xml:space="preserve">               </w:t>
      </w:r>
      <w:r/>
    </w:p>
    <w:p>
      <w:pPr>
        <w:pStyle w:val="1044"/>
        <w:ind w:firstLine="723"/>
        <w:jc w:val="both"/>
        <w:rPr>
          <w:highlight w:val="none"/>
        </w:rPr>
      </w:pPr>
      <w:r>
        <w:rPr>
          <w:rFonts w:hint="eastAsia"/>
          <w:b/>
          <w:sz w:val="36"/>
          <w:szCs w:val="36"/>
          <w:highlight w:val="none"/>
        </w:rPr>
        <w:t xml:space="preserve">项目 编 号：</w:t>
      </w:r>
      <w:r>
        <w:rPr>
          <w:rFonts w:hint="eastAsia"/>
          <w:b/>
          <w:sz w:val="36"/>
          <w:szCs w:val="36"/>
          <w:highlight w:val="none"/>
          <w:u w:val="single"/>
        </w:rPr>
        <w:t xml:space="preserve">               </w:t>
      </w:r>
      <w:r/>
    </w:p>
    <w:p>
      <w:pPr>
        <w:pStyle w:val="1044"/>
        <w:ind w:firstLine="723"/>
        <w:jc w:val="both"/>
        <w:rPr>
          <w:highlight w:val="none"/>
        </w:rPr>
      </w:pPr>
      <w:r>
        <w:rPr>
          <w:rFonts w:hint="eastAsia"/>
          <w:b/>
          <w:sz w:val="36"/>
          <w:szCs w:val="36"/>
          <w:highlight w:val="none"/>
        </w:rPr>
        <w:t xml:space="preserve">投标人名称 ：</w:t>
      </w:r>
      <w:r>
        <w:rPr>
          <w:rFonts w:hint="eastAsia"/>
          <w:b/>
          <w:sz w:val="36"/>
          <w:szCs w:val="36"/>
          <w:highlight w:val="none"/>
          <w:u w:val="single"/>
        </w:rPr>
        <w:t xml:space="preserve">（加盖CA电子公章）        </w:t>
      </w:r>
      <w:r/>
    </w:p>
    <w:p>
      <w:pPr>
        <w:pStyle w:val="1044"/>
        <w:ind w:firstLine="723"/>
        <w:jc w:val="both"/>
        <w:rPr>
          <w:highlight w:val="none"/>
        </w:rPr>
      </w:pPr>
      <w:r>
        <w:rPr>
          <w:rFonts w:hint="eastAsia"/>
          <w:b/>
          <w:sz w:val="36"/>
          <w:szCs w:val="36"/>
          <w:highlight w:val="none"/>
        </w:rPr>
        <w:t xml:space="preserve">日   期 ：</w:t>
      </w:r>
      <w:r>
        <w:rPr>
          <w:rFonts w:hint="eastAsia"/>
          <w:b/>
          <w:sz w:val="36"/>
          <w:szCs w:val="36"/>
          <w:highlight w:val="none"/>
          <w:u w:val="single"/>
        </w:rPr>
        <w:t xml:space="preserve">                     </w:t>
      </w:r>
      <w:r/>
    </w:p>
    <w:p>
      <w:pPr>
        <w:pStyle w:val="1044"/>
        <w:spacing w:line="0" w:lineRule="atLeast"/>
        <w:rPr>
          <w:highlight w:val="none"/>
        </w:rPr>
      </w:pPr>
      <w:r>
        <w:rPr>
          <w:highlight w:val="none"/>
        </w:rPr>
        <w:t xml:space="preserve"> </w:t>
      </w:r>
      <w:r/>
    </w:p>
    <w:p>
      <w:pPr>
        <w:pStyle w:val="1044"/>
        <w:jc w:val="both"/>
        <w:spacing w:line="0" w:lineRule="atLeast"/>
        <w:rPr>
          <w:highlight w:val="none"/>
        </w:rPr>
      </w:pPr>
      <w:r>
        <w:rPr>
          <w:highlight w:val="none"/>
        </w:rPr>
        <w:t xml:space="preserve"> </w:t>
      </w:r>
      <w:r/>
    </w:p>
    <w:p>
      <w:pPr>
        <w:rPr>
          <w:highlight w:val="none"/>
        </w:rPr>
      </w:pPr>
      <w:r>
        <w:rPr>
          <w:highlight w:val="none"/>
        </w:rPr>
      </w:r>
      <w:r/>
    </w:p>
    <w:p>
      <w:pPr>
        <w:pStyle w:val="1286"/>
        <w:jc w:val="center"/>
        <w:rPr>
          <w:highlight w:val="none"/>
        </w:rPr>
        <w:outlineLvl w:val="1"/>
      </w:pPr>
      <w:r>
        <w:rPr>
          <w:highlight w:val="none"/>
        </w:rPr>
        <w:br w:type="page" w:clear="all"/>
      </w:r>
      <w:bookmarkStart w:id="91" w:name="_Toc11482"/>
      <w:r/>
      <w:bookmarkStart w:id="92" w:name="_Toc514054485"/>
      <w:r>
        <w:rPr>
          <w:highlight w:val="none"/>
        </w:rPr>
        <w:t xml:space="preserve">目录</w:t>
      </w:r>
      <w:bookmarkEnd w:id="91"/>
      <w:r/>
      <w:bookmarkEnd w:id="92"/>
      <w:r/>
      <w:r/>
    </w:p>
    <w:p>
      <w:pPr>
        <w:pStyle w:val="1155"/>
        <w:spacing w:after="100" w:afterAutospacing="1"/>
        <w:rPr>
          <w:highlight w:val="none"/>
        </w:rPr>
      </w:pPr>
      <w:r>
        <w:rPr>
          <w:rFonts w:ascii="宋体" w:hAnsi="宋体" w:eastAsia="宋体" w:cs="宋体"/>
          <w:highlight w:val="none"/>
        </w:rPr>
        <w:t xml:space="preserve">一、投标人基本情况</w:t>
      </w:r>
      <w:r/>
    </w:p>
    <w:p>
      <w:pPr>
        <w:pStyle w:val="1155"/>
        <w:spacing w:after="100" w:afterAutospacing="1"/>
        <w:rPr>
          <w:highlight w:val="none"/>
        </w:rPr>
      </w:pPr>
      <w:r>
        <w:rPr>
          <w:rFonts w:ascii="宋体" w:hAnsi="宋体" w:eastAsia="宋体" w:cs="宋体"/>
          <w:highlight w:val="none"/>
        </w:rPr>
        <w:t xml:space="preserve">二、投标人资质</w:t>
      </w:r>
      <w:r/>
    </w:p>
    <w:p>
      <w:pPr>
        <w:pStyle w:val="1155"/>
        <w:spacing w:after="100" w:afterAutospacing="1"/>
        <w:rPr>
          <w:highlight w:val="none"/>
        </w:rPr>
      </w:pPr>
      <w:r>
        <w:rPr>
          <w:rFonts w:ascii="宋体" w:hAnsi="宋体" w:eastAsia="宋体" w:cs="宋体"/>
          <w:highlight w:val="none"/>
        </w:rPr>
        <w:t xml:space="preserve">三、</w:t>
      </w:r>
      <w:r>
        <w:rPr>
          <w:rFonts w:hint="eastAsia" w:ascii="宋体" w:hAnsi="宋体" w:eastAsia="宋体" w:cs="宋体"/>
          <w:highlight w:val="none"/>
        </w:rPr>
        <w:t xml:space="preserve">投标人具有良好的商业信誉和健全的财务会计制度</w:t>
      </w:r>
      <w:r/>
    </w:p>
    <w:p>
      <w:pPr>
        <w:pStyle w:val="1155"/>
        <w:spacing w:after="100" w:afterAutospacing="1"/>
        <w:rPr>
          <w:highlight w:val="none"/>
        </w:rPr>
      </w:pPr>
      <w:r>
        <w:rPr>
          <w:rFonts w:ascii="宋体" w:hAnsi="宋体" w:eastAsia="宋体" w:cs="宋体"/>
          <w:highlight w:val="none"/>
        </w:rPr>
        <w:t xml:space="preserve">四、</w:t>
      </w:r>
      <w:r>
        <w:rPr>
          <w:rFonts w:hint="eastAsia" w:ascii="宋体" w:hAnsi="宋体" w:cs="Arial"/>
          <w:bCs/>
          <w:highlight w:val="none"/>
        </w:rPr>
        <w:t xml:space="preserve">具有履行合同所必需的设备和专业技术能力</w:t>
      </w:r>
      <w:r/>
    </w:p>
    <w:p>
      <w:pPr>
        <w:pStyle w:val="1155"/>
        <w:spacing w:after="100" w:afterAutospacing="1"/>
        <w:rPr>
          <w:rFonts w:ascii="宋体" w:hAnsi="宋体" w:cs="Arial"/>
          <w:bCs/>
          <w:highlight w:val="none"/>
        </w:rPr>
      </w:pPr>
      <w:r>
        <w:rPr>
          <w:rFonts w:ascii="宋体" w:hAnsi="宋体" w:eastAsia="宋体" w:cs="宋体"/>
          <w:highlight w:val="none"/>
        </w:rPr>
        <w:t xml:space="preserve">五、</w:t>
      </w:r>
      <w:r>
        <w:rPr>
          <w:rFonts w:hint="eastAsia" w:ascii="宋体" w:hAnsi="宋体" w:cs="Arial"/>
          <w:bCs/>
          <w:highlight w:val="none"/>
        </w:rPr>
        <w:t xml:space="preserve">有依法缴纳税收和社会保障资金的良好记录</w:t>
      </w:r>
      <w:r/>
    </w:p>
    <w:p>
      <w:pPr>
        <w:pStyle w:val="1155"/>
        <w:spacing w:after="100" w:afterAutospacing="1"/>
        <w:rPr>
          <w:rFonts w:ascii="宋体" w:hAnsi="宋体" w:eastAsia="宋体" w:cs="宋体"/>
          <w:highlight w:val="none"/>
        </w:rPr>
      </w:pPr>
      <w:r>
        <w:rPr>
          <w:rFonts w:ascii="宋体" w:hAnsi="宋体" w:eastAsia="宋体" w:cs="宋体"/>
          <w:highlight w:val="none"/>
        </w:rPr>
        <w:t xml:space="preserve">六、无重大违法行为声明</w:t>
      </w:r>
      <w:r/>
    </w:p>
    <w:p>
      <w:pPr>
        <w:pStyle w:val="1155"/>
        <w:spacing w:after="100" w:afterAutospacing="1"/>
        <w:rPr>
          <w:rFonts w:ascii="宋体" w:hAnsi="宋体" w:eastAsia="宋体" w:cs="宋体"/>
          <w:highlight w:val="none"/>
        </w:rPr>
      </w:pPr>
      <w:r>
        <w:rPr>
          <w:rFonts w:hint="eastAsia" w:ascii="宋体" w:hAnsi="宋体" w:eastAsia="宋体" w:cs="宋体"/>
          <w:highlight w:val="none"/>
          <w:lang w:val="en-US" w:eastAsia="zh-CN"/>
        </w:rPr>
        <w:t xml:space="preserve">七、南京市政府采购供应商信用承诺书</w:t>
      </w:r>
      <w:r/>
    </w:p>
    <w:p>
      <w:pPr>
        <w:pStyle w:val="1155"/>
        <w:spacing w:after="100" w:afterAutospacing="1"/>
        <w:rPr>
          <w:highlight w:val="none"/>
        </w:rPr>
      </w:pPr>
      <w:r>
        <w:rPr>
          <w:rFonts w:hint="eastAsia" w:ascii="宋体" w:hAnsi="宋体" w:eastAsia="宋体" w:cs="宋体"/>
          <w:highlight w:val="none"/>
          <w:lang w:val="en-US" w:eastAsia="zh-CN"/>
        </w:rPr>
        <w:t xml:space="preserve">八</w:t>
      </w:r>
      <w:r>
        <w:rPr>
          <w:rFonts w:ascii="宋体" w:hAnsi="宋体" w:eastAsia="宋体" w:cs="宋体"/>
          <w:highlight w:val="none"/>
        </w:rPr>
        <w:t xml:space="preserve">、投标函</w:t>
      </w:r>
      <w:r/>
    </w:p>
    <w:p>
      <w:pPr>
        <w:pStyle w:val="1155"/>
        <w:spacing w:after="100" w:afterAutospacing="1"/>
        <w:rPr>
          <w:highlight w:val="none"/>
        </w:rPr>
      </w:pPr>
      <w:r>
        <w:rPr>
          <w:rFonts w:hint="eastAsia" w:ascii="宋体" w:hAnsi="宋体" w:eastAsia="宋体" w:cs="宋体"/>
          <w:highlight w:val="none"/>
          <w:lang w:val="en-US" w:eastAsia="zh-CN"/>
        </w:rPr>
        <w:t xml:space="preserve">九</w:t>
      </w:r>
      <w:r>
        <w:rPr>
          <w:rFonts w:ascii="宋体" w:hAnsi="宋体" w:eastAsia="宋体" w:cs="宋体"/>
          <w:highlight w:val="none"/>
        </w:rPr>
        <w:t xml:space="preserve">、法定代表人身份证明或授权委托书</w:t>
      </w:r>
      <w:r/>
    </w:p>
    <w:p>
      <w:pPr>
        <w:pStyle w:val="1155"/>
        <w:spacing w:after="100" w:afterAutospacing="1"/>
        <w:rPr>
          <w:highlight w:val="none"/>
        </w:rPr>
      </w:pPr>
      <w:r>
        <w:rPr>
          <w:rFonts w:hint="eastAsia" w:ascii="宋体" w:hAnsi="宋体" w:eastAsia="宋体" w:cs="宋体"/>
          <w:highlight w:val="none"/>
          <w:lang w:val="en-US" w:eastAsia="zh-CN"/>
        </w:rPr>
        <w:t xml:space="preserve">十</w:t>
      </w:r>
      <w:r>
        <w:rPr>
          <w:rFonts w:ascii="宋体" w:hAnsi="宋体" w:eastAsia="宋体" w:cs="宋体"/>
          <w:highlight w:val="none"/>
        </w:rPr>
        <w:t xml:space="preserve">、开标一览表</w:t>
      </w:r>
      <w:r/>
    </w:p>
    <w:p>
      <w:pPr>
        <w:pStyle w:val="1155"/>
        <w:spacing w:after="100" w:afterAutospacing="1"/>
        <w:rPr>
          <w:highlight w:val="none"/>
        </w:rPr>
      </w:pPr>
      <w:r>
        <w:rPr>
          <w:rFonts w:ascii="宋体" w:hAnsi="宋体" w:eastAsia="宋体" w:cs="宋体"/>
          <w:highlight w:val="none"/>
        </w:rPr>
        <w:t xml:space="preserve">十</w:t>
      </w:r>
      <w:r>
        <w:rPr>
          <w:rFonts w:hint="eastAsia" w:ascii="宋体" w:hAnsi="宋体" w:eastAsia="宋体" w:cs="宋体"/>
          <w:highlight w:val="none"/>
          <w:lang w:val="en-US" w:eastAsia="zh-CN"/>
        </w:rPr>
        <w:t xml:space="preserve">一</w:t>
      </w:r>
      <w:r>
        <w:rPr>
          <w:rFonts w:ascii="宋体" w:hAnsi="宋体" w:eastAsia="宋体" w:cs="宋体"/>
          <w:highlight w:val="none"/>
        </w:rPr>
        <w:t xml:space="preserve">、明细报价表</w:t>
      </w:r>
      <w:r/>
    </w:p>
    <w:p>
      <w:pPr>
        <w:pStyle w:val="1155"/>
        <w:spacing w:after="100" w:afterAutospacing="1"/>
        <w:rPr>
          <w:highlight w:val="none"/>
        </w:rPr>
      </w:pPr>
      <w:r>
        <w:rPr>
          <w:rFonts w:ascii="宋体" w:hAnsi="宋体" w:eastAsia="宋体" w:cs="宋体"/>
          <w:highlight w:val="none"/>
        </w:rPr>
        <w:t xml:space="preserve">十</w:t>
      </w:r>
      <w:r>
        <w:rPr>
          <w:rFonts w:hint="eastAsia" w:ascii="宋体" w:hAnsi="宋体" w:eastAsia="宋体" w:cs="宋体"/>
          <w:highlight w:val="none"/>
          <w:lang w:val="en-US" w:eastAsia="zh-CN"/>
        </w:rPr>
        <w:t xml:space="preserve">二</w:t>
      </w:r>
      <w:r>
        <w:rPr>
          <w:rFonts w:ascii="宋体" w:hAnsi="宋体" w:eastAsia="宋体" w:cs="宋体"/>
          <w:highlight w:val="none"/>
        </w:rPr>
        <w:t xml:space="preserve">、中小企业声明函</w:t>
      </w:r>
      <w:r/>
    </w:p>
    <w:p>
      <w:pPr>
        <w:pStyle w:val="1155"/>
        <w:spacing w:after="100" w:afterAutospacing="1"/>
        <w:rPr>
          <w:highlight w:val="none"/>
        </w:rPr>
      </w:pPr>
      <w:r>
        <w:rPr>
          <w:rFonts w:ascii="宋体" w:hAnsi="宋体" w:eastAsia="宋体" w:cs="宋体"/>
          <w:highlight w:val="none"/>
        </w:rPr>
        <w:t xml:space="preserve">十</w:t>
      </w:r>
      <w:r>
        <w:rPr>
          <w:rFonts w:hint="eastAsia" w:ascii="宋体" w:hAnsi="宋体" w:eastAsia="宋体" w:cs="宋体"/>
          <w:highlight w:val="none"/>
          <w:lang w:val="en-US" w:eastAsia="zh-CN"/>
        </w:rPr>
        <w:t xml:space="preserve">三</w:t>
      </w:r>
      <w:r>
        <w:rPr>
          <w:rFonts w:ascii="宋体" w:hAnsi="宋体" w:eastAsia="宋体" w:cs="宋体"/>
          <w:highlight w:val="none"/>
        </w:rPr>
        <w:t xml:space="preserve">、响应偏差表</w:t>
      </w:r>
      <w:r/>
    </w:p>
    <w:p>
      <w:pPr>
        <w:pStyle w:val="1155"/>
        <w:spacing w:after="100" w:afterAutospacing="1"/>
        <w:rPr>
          <w:highlight w:val="none"/>
        </w:rPr>
      </w:pPr>
      <w:r>
        <w:rPr>
          <w:rFonts w:ascii="宋体" w:hAnsi="宋体" w:eastAsia="宋体" w:cs="宋体"/>
          <w:highlight w:val="none"/>
        </w:rPr>
        <w:t xml:space="preserve">十</w:t>
      </w:r>
      <w:r>
        <w:rPr>
          <w:rFonts w:hint="eastAsia" w:ascii="宋体" w:hAnsi="宋体" w:eastAsia="宋体" w:cs="宋体"/>
          <w:highlight w:val="none"/>
          <w:lang w:val="en-US" w:eastAsia="zh-CN"/>
        </w:rPr>
        <w:t xml:space="preserve">四</w:t>
      </w:r>
      <w:r>
        <w:rPr>
          <w:rFonts w:ascii="宋体" w:hAnsi="宋体" w:eastAsia="宋体" w:cs="宋体"/>
          <w:highlight w:val="none"/>
        </w:rPr>
        <w:t xml:space="preserve">、所投产品技术资料或样本等</w:t>
      </w:r>
      <w:r/>
    </w:p>
    <w:p>
      <w:pPr>
        <w:pStyle w:val="1155"/>
        <w:spacing w:after="100" w:afterAutospacing="1"/>
        <w:rPr>
          <w:highlight w:val="none"/>
        </w:rPr>
      </w:pPr>
      <w:r>
        <w:rPr>
          <w:rFonts w:ascii="宋体" w:hAnsi="宋体" w:eastAsia="宋体" w:cs="宋体"/>
          <w:highlight w:val="none"/>
        </w:rPr>
        <w:t xml:space="preserve">十</w:t>
      </w:r>
      <w:r>
        <w:rPr>
          <w:rFonts w:hint="eastAsia" w:ascii="宋体" w:hAnsi="宋体" w:eastAsia="宋体" w:cs="宋体"/>
          <w:highlight w:val="none"/>
          <w:lang w:val="en-US" w:eastAsia="zh-CN"/>
        </w:rPr>
        <w:t xml:space="preserve">五</w:t>
      </w:r>
      <w:r>
        <w:rPr>
          <w:rFonts w:ascii="宋体" w:hAnsi="宋体" w:eastAsia="宋体" w:cs="宋体"/>
          <w:highlight w:val="none"/>
        </w:rPr>
        <w:t xml:space="preserve">、主要部件、辅材明细表</w:t>
      </w:r>
      <w:r/>
    </w:p>
    <w:p>
      <w:pPr>
        <w:pStyle w:val="1155"/>
        <w:spacing w:after="100" w:afterAutospacing="1"/>
        <w:rPr>
          <w:highlight w:val="none"/>
        </w:rPr>
      </w:pPr>
      <w:r>
        <w:rPr>
          <w:rFonts w:ascii="宋体" w:hAnsi="宋体" w:eastAsia="宋体" w:cs="宋体"/>
          <w:highlight w:val="none"/>
        </w:rPr>
        <w:t xml:space="preserve">十</w:t>
      </w:r>
      <w:r>
        <w:rPr>
          <w:rFonts w:hint="eastAsia" w:ascii="宋体" w:hAnsi="宋体" w:eastAsia="宋体" w:cs="宋体"/>
          <w:highlight w:val="none"/>
          <w:lang w:val="en-US" w:eastAsia="zh-CN"/>
        </w:rPr>
        <w:t xml:space="preserve">六</w:t>
      </w:r>
      <w:r>
        <w:rPr>
          <w:rFonts w:ascii="宋体" w:hAnsi="宋体" w:eastAsia="宋体" w:cs="宋体"/>
          <w:highlight w:val="none"/>
        </w:rPr>
        <w:t xml:space="preserve">、</w:t>
      </w:r>
      <w:bookmarkStart w:id="93" w:name="_Toc21060_WPSOffice_Level2"/>
      <w:r>
        <w:rPr>
          <w:rFonts w:hint="eastAsia" w:ascii="宋体" w:hAnsi="宋体" w:eastAsia="宋体" w:cs="宋体"/>
          <w:highlight w:val="none"/>
        </w:rPr>
        <w:t xml:space="preserve">服务</w:t>
      </w:r>
      <w:r>
        <w:rPr>
          <w:rFonts w:ascii="宋体" w:hAnsi="宋体" w:eastAsia="宋体" w:cs="宋体"/>
          <w:highlight w:val="none"/>
        </w:rPr>
        <w:t xml:space="preserve">方案</w:t>
      </w:r>
      <w:bookmarkEnd w:id="93"/>
      <w:r/>
      <w:r/>
    </w:p>
    <w:p>
      <w:pPr>
        <w:pStyle w:val="1155"/>
        <w:spacing w:after="100" w:afterAutospacing="1"/>
        <w:rPr>
          <w:rFonts w:ascii="宋体" w:hAnsi="宋体" w:eastAsia="宋体" w:cs="宋体"/>
          <w:highlight w:val="none"/>
        </w:rPr>
      </w:pPr>
      <w:r>
        <w:rPr>
          <w:rFonts w:ascii="宋体" w:hAnsi="宋体" w:eastAsia="宋体" w:cs="宋体"/>
          <w:highlight w:val="none"/>
        </w:rPr>
        <w:t xml:space="preserve">十</w:t>
      </w:r>
      <w:r>
        <w:rPr>
          <w:rFonts w:hint="eastAsia" w:ascii="宋体" w:hAnsi="宋体" w:eastAsia="宋体" w:cs="宋体"/>
          <w:highlight w:val="none"/>
          <w:lang w:val="en-US" w:eastAsia="zh-CN"/>
        </w:rPr>
        <w:t xml:space="preserve">七</w:t>
      </w:r>
      <w:r>
        <w:rPr>
          <w:rFonts w:ascii="宋体" w:hAnsi="宋体" w:eastAsia="宋体" w:cs="宋体"/>
          <w:highlight w:val="none"/>
        </w:rPr>
        <w:t xml:space="preserve">、项目业绩一览表</w:t>
      </w:r>
      <w:r/>
    </w:p>
    <w:p>
      <w:pPr>
        <w:pStyle w:val="1301"/>
        <w:rPr>
          <w:rFonts w:ascii="宋体" w:hAnsi="宋体" w:eastAsia="宋体" w:cs="宋体"/>
          <w:b w:val="0"/>
          <w:sz w:val="24"/>
          <w:highlight w:val="none"/>
        </w:rPr>
        <w:outlineLvl w:val="1"/>
      </w:pPr>
      <w:r>
        <w:rPr>
          <w:rFonts w:hint="eastAsia" w:ascii="宋体" w:hAnsi="宋体" w:eastAsia="宋体" w:cs="宋体"/>
          <w:b w:val="0"/>
          <w:sz w:val="24"/>
          <w:highlight w:val="none"/>
        </w:rPr>
        <w:t xml:space="preserve">十</w:t>
      </w:r>
      <w:r>
        <w:rPr>
          <w:rFonts w:hint="eastAsia" w:ascii="宋体" w:hAnsi="宋体" w:eastAsia="宋体" w:cs="宋体"/>
          <w:b w:val="0"/>
          <w:sz w:val="24"/>
          <w:highlight w:val="none"/>
          <w:lang w:val="en-US" w:eastAsia="zh-CN"/>
        </w:rPr>
        <w:t xml:space="preserve">八</w:t>
      </w:r>
      <w:r>
        <w:rPr>
          <w:rFonts w:hint="eastAsia" w:ascii="宋体" w:hAnsi="宋体" w:eastAsia="宋体" w:cs="宋体"/>
          <w:b w:val="0"/>
          <w:sz w:val="24"/>
          <w:highlight w:val="none"/>
        </w:rPr>
        <w:t xml:space="preserve">、关于符合本国产品标准的声明函（采购包号：如有）</w:t>
      </w:r>
      <w:r/>
    </w:p>
    <w:p>
      <w:pPr>
        <w:pStyle w:val="1301"/>
        <w:rPr>
          <w:rFonts w:ascii="宋体" w:hAnsi="宋体" w:eastAsia="宋体" w:cs="宋体"/>
          <w:b w:val="0"/>
          <w:sz w:val="24"/>
          <w:highlight w:val="none"/>
        </w:rPr>
        <w:outlineLvl w:val="1"/>
      </w:pPr>
      <w:r>
        <w:rPr>
          <w:rFonts w:ascii="宋体" w:hAnsi="宋体" w:eastAsia="宋体" w:cs="宋体"/>
          <w:b w:val="0"/>
          <w:sz w:val="24"/>
          <w:highlight w:val="none"/>
        </w:rPr>
      </w:r>
      <w:r/>
    </w:p>
    <w:p>
      <w:pPr>
        <w:pStyle w:val="1155"/>
        <w:spacing w:after="100" w:afterAutospacing="1"/>
        <w:rPr>
          <w:rFonts w:ascii="宋体" w:hAnsi="宋体" w:eastAsia="宋体" w:cs="宋体"/>
          <w:highlight w:val="none"/>
        </w:rPr>
      </w:pPr>
      <w:r>
        <w:rPr>
          <w:rFonts w:ascii="宋体" w:hAnsi="宋体" w:eastAsia="宋体" w:cs="宋体"/>
          <w:highlight w:val="none"/>
        </w:rPr>
        <w:t xml:space="preserve">十</w:t>
      </w:r>
      <w:r>
        <w:rPr>
          <w:rFonts w:hint="eastAsia" w:ascii="宋体" w:hAnsi="宋体" w:eastAsia="宋体" w:cs="宋体"/>
          <w:highlight w:val="none"/>
          <w:lang w:val="en-US" w:eastAsia="zh-CN"/>
        </w:rPr>
        <w:t xml:space="preserve">九</w:t>
      </w:r>
      <w:r>
        <w:rPr>
          <w:rFonts w:ascii="宋体" w:hAnsi="宋体" w:eastAsia="宋体" w:cs="宋体"/>
          <w:highlight w:val="none"/>
        </w:rPr>
        <w:t xml:space="preserve">、投标所需其他材料</w:t>
      </w:r>
      <w:r/>
    </w:p>
    <w:p>
      <w:pPr>
        <w:rPr>
          <w:highlight w:val="none"/>
        </w:rPr>
      </w:pPr>
      <w:r>
        <w:rPr>
          <w:highlight w:val="none"/>
        </w:rPr>
      </w:r>
      <w:r/>
    </w:p>
    <w:p>
      <w:pPr>
        <w:rPr>
          <w:highlight w:val="none"/>
        </w:rPr>
      </w:pPr>
      <w:r>
        <w:rPr>
          <w:highlight w:val="none"/>
        </w:rPr>
      </w:r>
      <w:r/>
    </w:p>
    <w:p>
      <w:pPr>
        <w:pStyle w:val="1262"/>
        <w:rPr>
          <w:highlight w:val="none"/>
        </w:rPr>
        <w:outlineLvl w:val="1"/>
      </w:pPr>
      <w:r>
        <w:rPr>
          <w:highlight w:val="none"/>
        </w:rPr>
        <w:br w:type="page" w:clear="all"/>
      </w:r>
      <w:bookmarkStart w:id="94" w:name="_Toc514054486"/>
      <w:r/>
      <w:bookmarkStart w:id="95" w:name="_Toc23205_WPSOffice_Level2"/>
      <w:r/>
      <w:bookmarkStart w:id="96" w:name="_Toc21292"/>
      <w:r>
        <w:rPr>
          <w:highlight w:val="none"/>
        </w:rPr>
        <w:t xml:space="preserve">一、投标人基本情况</w:t>
      </w:r>
      <w:bookmarkEnd w:id="94"/>
      <w:r/>
      <w:bookmarkEnd w:id="95"/>
      <w:r/>
      <w:bookmarkEnd w:id="96"/>
      <w:r/>
      <w:r/>
    </w:p>
    <w:p>
      <w:pPr>
        <w:pStyle w:val="1211"/>
        <w:jc w:val="center"/>
        <w:rPr>
          <w:sz w:val="44"/>
          <w:szCs w:val="44"/>
          <w:highlight w:val="none"/>
        </w:rPr>
      </w:pPr>
      <w:r>
        <w:rPr>
          <w:rFonts w:hint="eastAsia"/>
          <w:sz w:val="44"/>
          <w:szCs w:val="44"/>
          <w:highlight w:val="none"/>
        </w:rPr>
        <w:t xml:space="preserve">投标人基本情况表</w:t>
      </w:r>
      <w:r/>
    </w:p>
    <w:tbl>
      <w:tblPr>
        <w:tblStyle w:val="7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投标人名称</w:t>
            </w:r>
            <w:r/>
          </w:p>
        </w:tc>
        <w:tc>
          <w:tcPr>
            <w:gridSpan w:val="3"/>
            <w:tcW w:w="6998"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法定代表人</w:t>
            </w:r>
            <w:r/>
          </w:p>
        </w:tc>
        <w:tc>
          <w:tcPr>
            <w:tcW w:w="3118"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注册地区</w:t>
            </w:r>
            <w:r/>
          </w:p>
        </w:tc>
        <w:tc>
          <w:tcPr>
            <w:tcW w:w="2604"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地址</w:t>
            </w:r>
            <w:r/>
          </w:p>
        </w:tc>
        <w:tc>
          <w:tcPr>
            <w:tcW w:w="3118"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邮政编码</w:t>
            </w:r>
            <w:r/>
          </w:p>
        </w:tc>
        <w:tc>
          <w:tcPr>
            <w:tcW w:w="2604"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成立时间</w:t>
            </w:r>
            <w:r/>
          </w:p>
        </w:tc>
        <w:tc>
          <w:tcPr>
            <w:tcW w:w="3118"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单位性质</w:t>
            </w:r>
            <w:r/>
          </w:p>
        </w:tc>
        <w:tc>
          <w:tcPr>
            <w:tcW w:w="2604"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注册号或社会信用代码</w:t>
            </w:r>
            <w:r/>
          </w:p>
        </w:tc>
        <w:tc>
          <w:tcPr>
            <w:tcW w:w="3118"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注册资本（万元）</w:t>
            </w:r>
            <w:r/>
          </w:p>
        </w:tc>
        <w:tc>
          <w:tcPr>
            <w:tcW w:w="2604"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开户银行</w:t>
            </w:r>
            <w:r/>
          </w:p>
        </w:tc>
        <w:tc>
          <w:tcPr>
            <w:tcW w:w="3118"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账号</w:t>
            </w:r>
            <w:r/>
          </w:p>
        </w:tc>
        <w:tc>
          <w:tcPr>
            <w:tcW w:w="2604"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联系人</w:t>
            </w:r>
            <w:r/>
          </w:p>
        </w:tc>
        <w:tc>
          <w:tcPr>
            <w:tcW w:w="3118"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1211"/>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联系电话</w:t>
            </w:r>
            <w:r/>
          </w:p>
        </w:tc>
        <w:tc>
          <w:tcPr>
            <w:tcW w:w="2604" w:type="dxa"/>
            <w:vAlign w:val="center"/>
            <w:textDirection w:val="lrTb"/>
            <w:noWrap w:val="false"/>
          </w:tcPr>
          <w:p>
            <w:pPr>
              <w:pStyle w:val="1211"/>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2376"/>
        </w:trPr>
        <w:tc>
          <w:tcPr>
            <w:tcW w:w="1526" w:type="dxa"/>
            <w:vAlign w:val="center"/>
            <w:textDirection w:val="lrTb"/>
            <w:noWrap w:val="false"/>
          </w:tcPr>
          <w:p>
            <w:pPr>
              <w:pStyle w:val="1211"/>
              <w:jc w:val="center"/>
              <w:spacing w:line="560" w:lineRule="exact"/>
              <w:rPr>
                <w:rFonts w:ascii="仿宋_GB2312" w:eastAsia="仿宋_GB2312"/>
                <w:sz w:val="24"/>
                <w:szCs w:val="24"/>
                <w:highlight w:val="none"/>
              </w:rPr>
            </w:pPr>
            <w:r>
              <w:rPr>
                <w:rFonts w:hint="eastAsia" w:ascii="仿宋_GB2312" w:eastAsia="仿宋_GB2312"/>
                <w:sz w:val="24"/>
                <w:szCs w:val="24"/>
                <w:highlight w:val="none"/>
              </w:rPr>
              <w:t xml:space="preserve">经营范围</w:t>
            </w:r>
            <w:r/>
          </w:p>
        </w:tc>
        <w:tc>
          <w:tcPr>
            <w:gridSpan w:val="3"/>
            <w:tcW w:w="6998" w:type="dxa"/>
            <w:textDirection w:val="lrTb"/>
            <w:noWrap w:val="false"/>
          </w:tcPr>
          <w:p>
            <w:pPr>
              <w:pStyle w:val="1211"/>
              <w:ind w:firstLine="1432"/>
              <w:spacing w:line="56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1134"/>
        </w:trPr>
        <w:tc>
          <w:tcPr>
            <w:tcW w:w="1526" w:type="dxa"/>
            <w:vAlign w:val="center"/>
            <w:textDirection w:val="lrTb"/>
            <w:noWrap w:val="false"/>
          </w:tcPr>
          <w:p>
            <w:pPr>
              <w:pStyle w:val="1211"/>
              <w:jc w:val="center"/>
              <w:spacing w:line="560" w:lineRule="exact"/>
              <w:rPr>
                <w:rFonts w:ascii="仿宋_GB2312" w:eastAsia="仿宋_GB2312"/>
                <w:sz w:val="24"/>
                <w:szCs w:val="24"/>
                <w:highlight w:val="none"/>
              </w:rPr>
            </w:pPr>
            <w:r>
              <w:rPr>
                <w:rFonts w:hint="eastAsia" w:ascii="仿宋_GB2312" w:eastAsia="仿宋_GB2312"/>
                <w:sz w:val="24"/>
                <w:szCs w:val="24"/>
                <w:highlight w:val="none"/>
              </w:rPr>
              <w:t xml:space="preserve">备注</w:t>
            </w:r>
            <w:r/>
          </w:p>
        </w:tc>
        <w:tc>
          <w:tcPr>
            <w:gridSpan w:val="3"/>
            <w:tcW w:w="6998" w:type="dxa"/>
            <w:vAlign w:val="center"/>
            <w:textDirection w:val="lrTb"/>
            <w:noWrap w:val="false"/>
          </w:tcPr>
          <w:p>
            <w:pPr>
              <w:pStyle w:val="1211"/>
              <w:jc w:val="center"/>
              <w:spacing w:line="500" w:lineRule="exact"/>
              <w:rPr>
                <w:rFonts w:ascii="仿宋_GB2312" w:eastAsia="仿宋_GB2312"/>
                <w:sz w:val="24"/>
                <w:szCs w:val="24"/>
                <w:highlight w:val="none"/>
              </w:rPr>
            </w:pPr>
            <w:r>
              <w:rPr>
                <w:rFonts w:ascii="仿宋_GB2312" w:eastAsia="仿宋_GB2312"/>
                <w:sz w:val="24"/>
                <w:szCs w:val="24"/>
                <w:highlight w:val="none"/>
              </w:rPr>
            </w:r>
            <w:r/>
          </w:p>
        </w:tc>
      </w:tr>
    </w:tbl>
    <w:p>
      <w:pPr>
        <w:pStyle w:val="1211"/>
        <w:jc w:val="center"/>
        <w:spacing w:line="560" w:lineRule="exact"/>
        <w:rPr>
          <w:rFonts w:ascii="微软雅黑" w:eastAsia="微软雅黑"/>
          <w:bCs/>
          <w:sz w:val="32"/>
          <w:szCs w:val="32"/>
          <w:highlight w:val="none"/>
        </w:rPr>
      </w:pPr>
      <w:r>
        <w:rPr>
          <w:rFonts w:ascii="微软雅黑" w:eastAsia="微软雅黑"/>
          <w:bCs/>
          <w:sz w:val="32"/>
          <w:szCs w:val="32"/>
          <w:highlight w:val="none"/>
        </w:rPr>
      </w:r>
      <w:r/>
    </w:p>
    <w:p>
      <w:pPr>
        <w:pStyle w:val="1250"/>
        <w:rPr>
          <w:highlight w:val="none"/>
        </w:rPr>
        <w:outlineLvl w:val="1"/>
      </w:pPr>
      <w:r>
        <w:rPr>
          <w:highlight w:val="none"/>
        </w:rPr>
        <w:br w:type="page" w:clear="all"/>
      </w:r>
      <w:bookmarkStart w:id="97" w:name="_Toc514054487"/>
      <w:r/>
      <w:bookmarkStart w:id="98" w:name="_Toc30260_WPSOffice_Level2"/>
      <w:r/>
      <w:bookmarkStart w:id="99" w:name="_Toc15353"/>
      <w:r>
        <w:rPr>
          <w:highlight w:val="none"/>
        </w:rPr>
        <w:t xml:space="preserve">二、</w:t>
      </w:r>
      <w:r>
        <w:rPr>
          <w:rFonts w:hint="eastAsia"/>
          <w:highlight w:val="none"/>
        </w:rPr>
        <w:t xml:space="preserve">投标</w:t>
      </w:r>
      <w:r>
        <w:rPr>
          <w:highlight w:val="none"/>
        </w:rPr>
        <w:t xml:space="preserve">人资质</w:t>
      </w:r>
      <w:bookmarkEnd w:id="97"/>
      <w:r/>
      <w:bookmarkEnd w:id="98"/>
      <w:r>
        <w:rPr>
          <w:rFonts w:hint="eastAsia"/>
          <w:highlight w:val="none"/>
        </w:rPr>
        <w:t xml:space="preserve">（按资格要求提供）</w:t>
      </w:r>
      <w:bookmarkEnd w:id="99"/>
      <w:r/>
      <w:r/>
    </w:p>
    <w:p>
      <w:pPr>
        <w:pStyle w:val="1316"/>
        <w:rPr>
          <w:highlight w:val="none"/>
        </w:rPr>
      </w:pPr>
      <w:r>
        <w:rPr>
          <w:rFonts w:hint="eastAsia"/>
          <w:highlight w:val="none"/>
        </w:rPr>
        <w:t xml:space="preserve">    </w:t>
      </w:r>
      <w:bookmarkStart w:id="100" w:name="_Toc21452_WPSOffice_Level2"/>
      <w:r/>
      <w:bookmarkStart w:id="101" w:name="_Toc514054488"/>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pStyle w:val="1316"/>
        <w:rPr>
          <w:highlight w:val="none"/>
        </w:rPr>
      </w:pPr>
      <w:r>
        <w:rPr>
          <w:highlight w:val="none"/>
        </w:rPr>
      </w:r>
      <w:r/>
    </w:p>
    <w:p>
      <w:pPr>
        <w:rPr>
          <w:highlight w:val="none"/>
        </w:rPr>
      </w:pPr>
      <w:r>
        <w:rPr>
          <w:rFonts w:hint="eastAsia"/>
          <w:highlight w:val="none"/>
        </w:rPr>
        <w:br w:type="page" w:clear="all"/>
      </w:r>
      <w:r/>
    </w:p>
    <w:p>
      <w:pPr>
        <w:pStyle w:val="1316"/>
        <w:rPr>
          <w:highlight w:val="none"/>
        </w:rPr>
      </w:pPr>
      <w:r>
        <w:rPr>
          <w:highlight w:val="none"/>
        </w:rPr>
      </w:r>
      <w:r/>
    </w:p>
    <w:p>
      <w:pPr>
        <w:pStyle w:val="1316"/>
        <w:rPr>
          <w:highlight w:val="none"/>
        </w:rPr>
      </w:pPr>
      <w:r>
        <w:rPr>
          <w:highlight w:val="none"/>
        </w:rPr>
      </w:r>
      <w:r/>
    </w:p>
    <w:p>
      <w:pPr>
        <w:pStyle w:val="1316"/>
        <w:rPr>
          <w:highlight w:val="none"/>
        </w:rPr>
        <w:outlineLvl w:val="1"/>
      </w:pPr>
      <w:r/>
      <w:bookmarkStart w:id="102" w:name="_Toc18935"/>
      <w:r>
        <w:rPr>
          <w:highlight w:val="none"/>
        </w:rPr>
        <w:t xml:space="preserve">三、投标人</w:t>
      </w:r>
      <w:bookmarkEnd w:id="100"/>
      <w:r/>
      <w:bookmarkEnd w:id="101"/>
      <w:r/>
      <w:bookmarkEnd w:id="102"/>
      <w:r>
        <w:rPr>
          <w:rFonts w:hint="eastAsia" w:ascii="宋体" w:hAnsi="宋体" w:cs="Arial"/>
          <w:bCs/>
          <w:highlight w:val="none"/>
        </w:rPr>
        <w:t xml:space="preserve">具有良好的商业信誉和健全的财务会计制度</w:t>
      </w:r>
      <w:r/>
    </w:p>
    <w:p>
      <w:pPr>
        <w:pStyle w:val="1373"/>
        <w:rPr>
          <w:highlight w:val="none"/>
        </w:rPr>
      </w:pPr>
      <w:r>
        <w:rPr>
          <w:rFonts w:hint="eastAsia" w:ascii="宋体"/>
          <w:bCs/>
          <w:szCs w:val="32"/>
          <w:highlight w:val="none"/>
        </w:rPr>
        <w:t xml:space="preserve">提供符合招标文件要求的资料</w:t>
      </w:r>
      <w:r/>
    </w:p>
    <w:p>
      <w:pPr>
        <w:pStyle w:val="1410"/>
        <w:rPr>
          <w:highlight w:val="none"/>
        </w:rPr>
        <w:outlineLvl w:val="1"/>
      </w:pPr>
      <w:r>
        <w:rPr>
          <w:highlight w:val="none"/>
        </w:rPr>
        <w:br w:type="page" w:clear="all"/>
      </w:r>
      <w:bookmarkStart w:id="103" w:name="_Toc29626"/>
      <w:r/>
      <w:bookmarkStart w:id="104" w:name="_Toc11562_WPSOffice_Level2"/>
      <w:r/>
      <w:bookmarkStart w:id="105" w:name="_Toc514054489"/>
      <w:r>
        <w:rPr>
          <w:highlight w:val="none"/>
        </w:rPr>
        <w:t xml:space="preserve">四、</w:t>
      </w:r>
      <w:bookmarkEnd w:id="103"/>
      <w:r/>
      <w:bookmarkEnd w:id="104"/>
      <w:r/>
      <w:bookmarkEnd w:id="105"/>
      <w:r>
        <w:rPr>
          <w:rFonts w:hint="eastAsia" w:ascii="宋体" w:hAnsi="宋体" w:cs="Arial"/>
          <w:bCs/>
          <w:highlight w:val="none"/>
        </w:rPr>
        <w:t xml:space="preserve">具有履行合同所必需的设备和专业技术能力</w:t>
      </w:r>
      <w:r/>
    </w:p>
    <w:p>
      <w:pPr>
        <w:pStyle w:val="1147"/>
        <w:jc w:val="center"/>
        <w:spacing w:line="600" w:lineRule="exact"/>
        <w:rPr>
          <w:rFonts w:ascii="宋体" w:hAnsi="宋体"/>
          <w:b/>
          <w:sz w:val="32"/>
          <w:szCs w:val="24"/>
          <w:highlight w:val="none"/>
        </w:rPr>
      </w:pPr>
      <w:r/>
      <w:bookmarkStart w:id="106" w:name="_Toc31740_WPSOffice_Level2"/>
      <w:r/>
      <w:r/>
    </w:p>
    <w:p>
      <w:pPr>
        <w:pStyle w:val="1147"/>
        <w:jc w:val="center"/>
        <w:spacing w:line="600" w:lineRule="exact"/>
        <w:rPr>
          <w:rFonts w:ascii="宋体" w:hAnsi="宋体"/>
          <w:b/>
          <w:sz w:val="32"/>
          <w:szCs w:val="24"/>
          <w:highlight w:val="none"/>
        </w:rPr>
      </w:pPr>
      <w:r>
        <w:rPr>
          <w:rFonts w:hint="eastAsia" w:ascii="宋体" w:hAnsi="宋体"/>
          <w:b/>
          <w:sz w:val="32"/>
          <w:szCs w:val="24"/>
          <w:highlight w:val="none"/>
        </w:rPr>
        <w:t xml:space="preserve">具备履行合同所必需的设备和专业技术能力的声明</w:t>
      </w:r>
      <w:bookmarkEnd w:id="106"/>
      <w:r/>
      <w:r/>
    </w:p>
    <w:p>
      <w:pPr>
        <w:pStyle w:val="1147"/>
        <w:spacing w:line="600" w:lineRule="exact"/>
        <w:rPr>
          <w:rFonts w:ascii="仿宋_GB2312" w:eastAsia="仿宋_GB2312"/>
          <w:sz w:val="24"/>
          <w:highlight w:val="none"/>
          <w:u w:val="single"/>
        </w:rPr>
      </w:pPr>
      <w:r>
        <w:rPr>
          <w:rFonts w:ascii="仿宋_GB2312" w:eastAsia="仿宋_GB2312"/>
          <w:sz w:val="24"/>
          <w:highlight w:val="none"/>
          <w:u w:val="single"/>
        </w:rPr>
      </w:r>
      <w:r/>
    </w:p>
    <w:p>
      <w:pPr>
        <w:pStyle w:val="1147"/>
        <w:spacing w:line="600" w:lineRule="exact"/>
        <w:rPr>
          <w:rFonts w:ascii="仿宋_GB2312" w:eastAsia="仿宋_GB2312"/>
          <w:sz w:val="24"/>
          <w:highlight w:val="none"/>
        </w:rPr>
      </w:pPr>
      <w:r>
        <w:rPr>
          <w:rFonts w:hint="eastAsia" w:ascii="仿宋_GB2312" w:eastAsia="仿宋_GB2312"/>
          <w:sz w:val="24"/>
          <w:highlight w:val="none"/>
          <w:u w:val="single"/>
        </w:rPr>
        <w:t xml:space="preserve">（采购单位）</w:t>
      </w:r>
      <w:r>
        <w:rPr>
          <w:rFonts w:hint="eastAsia" w:ascii="仿宋_GB2312" w:eastAsia="仿宋_GB2312"/>
          <w:sz w:val="24"/>
          <w:highlight w:val="none"/>
        </w:rPr>
        <w:t xml:space="preserve">：</w:t>
      </w:r>
      <w:r/>
    </w:p>
    <w:p>
      <w:pPr>
        <w:pStyle w:val="1147"/>
        <w:spacing w:line="600" w:lineRule="exact"/>
        <w:rPr>
          <w:rFonts w:ascii="仿宋_GB2312" w:eastAsia="仿宋_GB2312"/>
          <w:sz w:val="24"/>
          <w:highlight w:val="none"/>
        </w:rPr>
      </w:pPr>
      <w:r>
        <w:rPr>
          <w:rFonts w:hint="eastAsia" w:ascii="仿宋_GB2312" w:eastAsia="仿宋_GB2312"/>
          <w:sz w:val="24"/>
          <w:highlight w:val="none"/>
        </w:rPr>
        <w:t xml:space="preserve">   我公司具备履行编号为</w:t>
      </w:r>
      <w:r>
        <w:rPr>
          <w:rFonts w:hint="eastAsia" w:ascii="仿宋_GB2312" w:eastAsia="仿宋_GB2312"/>
          <w:sz w:val="24"/>
          <w:highlight w:val="none"/>
          <w:u w:val="single"/>
        </w:rPr>
        <w:t xml:space="preserve">       号           项目</w:t>
      </w:r>
      <w:r>
        <w:rPr>
          <w:rFonts w:hint="eastAsia" w:ascii="仿宋_GB2312" w:eastAsia="仿宋_GB2312"/>
          <w:sz w:val="24"/>
          <w:highlight w:val="none"/>
        </w:rPr>
        <w:t xml:space="preserve">合同的设备和专业技术能力。</w:t>
      </w:r>
      <w:r/>
    </w:p>
    <w:p>
      <w:pPr>
        <w:pStyle w:val="1147"/>
        <w:ind w:firstLine="480"/>
        <w:spacing w:line="600" w:lineRule="exact"/>
        <w:rPr>
          <w:rFonts w:ascii="仿宋_GB2312" w:eastAsia="仿宋_GB2312"/>
          <w:sz w:val="24"/>
          <w:highlight w:val="none"/>
        </w:rPr>
      </w:pPr>
      <w:r>
        <w:rPr>
          <w:rFonts w:hint="eastAsia" w:ascii="仿宋_GB2312" w:eastAsia="仿宋_GB2312"/>
          <w:sz w:val="24"/>
          <w:highlight w:val="none"/>
        </w:rPr>
        <w:t xml:space="preserve">特此声明。</w:t>
      </w:r>
      <w:r/>
    </w:p>
    <w:p>
      <w:pPr>
        <w:pStyle w:val="1147"/>
        <w:ind w:firstLine="480"/>
        <w:spacing w:line="600" w:lineRule="exact"/>
        <w:rPr>
          <w:rFonts w:ascii="仿宋_GB2312" w:eastAsia="仿宋_GB2312"/>
          <w:sz w:val="24"/>
          <w:highlight w:val="none"/>
        </w:rPr>
      </w:pPr>
      <w:r>
        <w:rPr>
          <w:rFonts w:ascii="仿宋_GB2312" w:eastAsia="仿宋_GB2312"/>
          <w:sz w:val="24"/>
          <w:highlight w:val="none"/>
        </w:rPr>
      </w:r>
      <w:r/>
    </w:p>
    <w:p>
      <w:pPr>
        <w:pStyle w:val="1147"/>
        <w:jc w:val="center"/>
        <w:spacing w:line="600" w:lineRule="exact"/>
        <w:rPr>
          <w:rFonts w:ascii="宋体"/>
          <w:b/>
          <w:bCs/>
          <w:sz w:val="32"/>
          <w:szCs w:val="32"/>
          <w:highlight w:val="none"/>
        </w:rPr>
      </w:pPr>
      <w:r>
        <w:rPr>
          <w:rFonts w:ascii="宋体"/>
          <w:b/>
          <w:bCs/>
          <w:sz w:val="32"/>
          <w:szCs w:val="32"/>
          <w:highlight w:val="none"/>
        </w:rPr>
      </w:r>
      <w:r/>
    </w:p>
    <w:p>
      <w:pPr>
        <w:pStyle w:val="114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w:t>
      </w:r>
      <w:r>
        <w:rPr>
          <w:highlight w:val="none"/>
          <w:u w:val="single"/>
        </w:rPr>
        <w:t xml:space="preserve">（加盖公章）</w:t>
      </w:r>
      <w:r/>
    </w:p>
    <w:p>
      <w:pPr>
        <w:pStyle w:val="114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343"/>
        <w:ind w:firstLine="7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155"/>
        <w:spacing w:after="100" w:afterAutospacing="1"/>
        <w:rPr>
          <w:rFonts w:ascii="宋体" w:hAnsi="宋体" w:cs="Arial"/>
          <w:bCs/>
          <w:highlight w:val="none"/>
        </w:rPr>
      </w:pPr>
      <w:r>
        <w:rPr>
          <w:highlight w:val="none"/>
        </w:rPr>
        <w:br w:type="page" w:clear="all"/>
      </w:r>
      <w:bookmarkStart w:id="107" w:name="_Toc514054490"/>
      <w:r/>
      <w:bookmarkStart w:id="108" w:name="_Toc467_WPSOffice_Level2"/>
      <w:r/>
      <w:bookmarkStart w:id="109" w:name="_Toc13419"/>
      <w:r>
        <w:rPr>
          <w:rFonts w:hint="eastAsia" w:ascii="宋体" w:hAnsi="宋体" w:eastAsia="黑体" w:cs="Arial"/>
          <w:b/>
          <w:bCs/>
          <w:sz w:val="32"/>
          <w:highlight w:val="none"/>
        </w:rPr>
        <w:t xml:space="preserve">五、</w:t>
      </w:r>
      <w:bookmarkEnd w:id="107"/>
      <w:r/>
      <w:bookmarkEnd w:id="108"/>
      <w:r/>
      <w:bookmarkEnd w:id="109"/>
      <w:r>
        <w:rPr>
          <w:rFonts w:hint="eastAsia" w:ascii="宋体" w:hAnsi="宋体" w:eastAsia="黑体" w:cs="Arial"/>
          <w:b/>
          <w:bCs/>
          <w:sz w:val="32"/>
          <w:highlight w:val="none"/>
        </w:rPr>
        <w:t xml:space="preserve">有依法缴纳税收和社会保障资金的良好记录</w:t>
      </w:r>
      <w:r/>
    </w:p>
    <w:p>
      <w:pPr>
        <w:pStyle w:val="1373"/>
        <w:rPr>
          <w:highlight w:val="none"/>
        </w:rPr>
      </w:pPr>
      <w:r>
        <w:rPr>
          <w:rFonts w:hint="eastAsia" w:ascii="宋体"/>
          <w:bCs/>
          <w:szCs w:val="32"/>
          <w:highlight w:val="none"/>
        </w:rPr>
        <w:t xml:space="preserve">提供符合招标文件要求的资料</w:t>
      </w:r>
      <w:r/>
    </w:p>
    <w:p>
      <w:pPr>
        <w:jc w:val="left"/>
        <w:widowControl/>
        <w:rPr>
          <w:rFonts w:ascii="黑体" w:hAnsi="黑体" w:eastAsia="黑体"/>
          <w:b/>
          <w:sz w:val="32"/>
          <w:szCs w:val="24"/>
          <w:highlight w:val="none"/>
        </w:rPr>
      </w:pPr>
      <w:r/>
      <w:bookmarkStart w:id="110" w:name="_Toc19673"/>
      <w:r/>
      <w:bookmarkStart w:id="111" w:name="_Toc5571_WPSOffice_Level2"/>
      <w:r/>
      <w:bookmarkStart w:id="112" w:name="_Toc514054491"/>
      <w:r>
        <w:rPr>
          <w:rFonts w:hint="eastAsia"/>
          <w:highlight w:val="none"/>
        </w:rPr>
        <w:br w:type="page" w:clear="all"/>
      </w:r>
      <w:r/>
    </w:p>
    <w:p>
      <w:pPr>
        <w:pStyle w:val="1174"/>
        <w:rPr>
          <w:highlight w:val="none"/>
        </w:rPr>
        <w:outlineLvl w:val="1"/>
      </w:pPr>
      <w:r>
        <w:rPr>
          <w:highlight w:val="none"/>
        </w:rPr>
        <w:t xml:space="preserve">六、无重大违法行为声明</w:t>
      </w:r>
      <w:bookmarkEnd w:id="110"/>
      <w:r/>
      <w:bookmarkEnd w:id="111"/>
      <w:r/>
      <w:bookmarkEnd w:id="112"/>
      <w:r/>
      <w:r/>
    </w:p>
    <w:p>
      <w:pPr>
        <w:pStyle w:val="1371"/>
        <w:jc w:val="center"/>
        <w:spacing w:line="580" w:lineRule="exact"/>
        <w:tabs>
          <w:tab w:val="left" w:pos="1498" w:leader="none"/>
        </w:tabs>
        <w:rPr>
          <w:b/>
          <w:sz w:val="32"/>
          <w:szCs w:val="32"/>
          <w:highlight w:val="none"/>
        </w:rPr>
      </w:pPr>
      <w:r/>
      <w:bookmarkStart w:id="113" w:name="_Toc7575_WPSOffice_Level2"/>
      <w:r>
        <w:rPr>
          <w:rFonts w:hint="eastAsia"/>
          <w:b/>
          <w:sz w:val="32"/>
          <w:szCs w:val="32"/>
          <w:highlight w:val="none"/>
        </w:rPr>
        <w:t xml:space="preserve">无重大违法行为声明</w:t>
      </w:r>
      <w:bookmarkEnd w:id="113"/>
      <w:r/>
      <w:r/>
    </w:p>
    <w:p>
      <w:pPr>
        <w:pStyle w:val="1371"/>
        <w:spacing w:line="580" w:lineRule="exact"/>
        <w:tabs>
          <w:tab w:val="left" w:pos="1498" w:leader="none"/>
        </w:tabs>
        <w:rPr>
          <w:rFonts w:ascii="仿宋_GB2312" w:eastAsia="仿宋_GB2312"/>
          <w:sz w:val="24"/>
          <w:highlight w:val="none"/>
        </w:rPr>
      </w:pPr>
      <w:r>
        <w:rPr>
          <w:rFonts w:hint="eastAsia"/>
          <w:sz w:val="24"/>
          <w:highlight w:val="none"/>
          <w:u w:val="single"/>
        </w:rPr>
        <w:t xml:space="preserve">   （采购人</w:t>
      </w:r>
      <w:r>
        <w:rPr>
          <w:sz w:val="24"/>
          <w:highlight w:val="none"/>
          <w:u w:val="single"/>
        </w:rPr>
        <w:t xml:space="preserve">名称）</w:t>
      </w:r>
      <w:r>
        <w:rPr>
          <w:rFonts w:hint="eastAsia"/>
          <w:sz w:val="24"/>
          <w:highlight w:val="none"/>
          <w:u w:val="single"/>
        </w:rPr>
        <w:t xml:space="preserve">    </w:t>
      </w:r>
      <w:r>
        <w:rPr>
          <w:rFonts w:hint="eastAsia" w:ascii="仿宋_GB2312" w:eastAsia="仿宋_GB2312"/>
          <w:sz w:val="24"/>
          <w:highlight w:val="none"/>
        </w:rPr>
        <w:t xml:space="preserve">：</w:t>
      </w:r>
      <w:r/>
    </w:p>
    <w:p>
      <w:pPr>
        <w:pStyle w:val="1371"/>
        <w:ind w:firstLine="600"/>
        <w:spacing w:line="600" w:lineRule="exact"/>
        <w:rPr>
          <w:rFonts w:ascii="仿宋_GB2312" w:eastAsia="仿宋_GB2312"/>
          <w:sz w:val="24"/>
          <w:highlight w:val="none"/>
        </w:rPr>
      </w:pPr>
      <w:r>
        <w:rPr>
          <w:rFonts w:hint="eastAsia" w:ascii="仿宋_GB2312" w:eastAsia="仿宋_GB2312"/>
          <w:sz w:val="24"/>
          <w:highlight w:val="none"/>
        </w:rPr>
        <w:t xml:space="preserve">我公司在参加编号为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项目的投标活动前3年内，</w:t>
      </w:r>
      <w:r>
        <w:rPr>
          <w:rFonts w:ascii="仿宋_GB2312" w:eastAsia="仿宋_GB2312"/>
          <w:sz w:val="24"/>
          <w:highlight w:val="none"/>
        </w:rPr>
        <w:t xml:space="preserve">在经营活动中没有重大违法记录</w:t>
      </w:r>
      <w:r>
        <w:rPr>
          <w:rFonts w:hint="eastAsia" w:ascii="仿宋_GB2312" w:eastAsia="仿宋_GB2312"/>
          <w:sz w:val="24"/>
          <w:highlight w:val="none"/>
        </w:rPr>
        <w:t xml:space="preserve">。</w:t>
      </w:r>
      <w:r/>
    </w:p>
    <w:p>
      <w:pPr>
        <w:pStyle w:val="1371"/>
        <w:ind w:firstLine="600"/>
        <w:spacing w:line="600" w:lineRule="exact"/>
        <w:rPr>
          <w:rFonts w:ascii="仿宋_GB2312" w:eastAsia="仿宋_GB2312"/>
          <w:sz w:val="24"/>
          <w:highlight w:val="none"/>
        </w:rPr>
      </w:pPr>
      <w:r>
        <w:rPr>
          <w:rFonts w:hint="eastAsia" w:ascii="仿宋_GB2312" w:eastAsia="仿宋_GB2312"/>
          <w:sz w:val="24"/>
          <w:highlight w:val="none"/>
        </w:rPr>
        <w:t xml:space="preserve">特此声明。</w:t>
      </w:r>
      <w:r/>
    </w:p>
    <w:p>
      <w:pPr>
        <w:pStyle w:val="1371"/>
        <w:ind w:firstLine="600"/>
        <w:spacing w:line="600" w:lineRule="exact"/>
        <w:rPr>
          <w:rFonts w:ascii="仿宋_GB2312" w:eastAsia="仿宋_GB2312"/>
          <w:sz w:val="24"/>
          <w:highlight w:val="none"/>
        </w:rPr>
      </w:pPr>
      <w:r>
        <w:rPr>
          <w:rFonts w:ascii="仿宋_GB2312" w:eastAsia="仿宋_GB2312"/>
          <w:sz w:val="24"/>
          <w:highlight w:val="none"/>
        </w:rPr>
      </w:r>
      <w:r/>
    </w:p>
    <w:p>
      <w:pPr>
        <w:pStyle w:val="1371"/>
        <w:ind w:firstLine="600"/>
        <w:spacing w:line="600" w:lineRule="exact"/>
        <w:rPr>
          <w:rFonts w:ascii="仿宋_GB2312" w:eastAsia="仿宋_GB2312"/>
          <w:sz w:val="24"/>
          <w:highlight w:val="none"/>
        </w:rPr>
      </w:pPr>
      <w:r>
        <w:rPr>
          <w:rFonts w:hint="eastAsia" w:ascii="仿宋_GB2312" w:eastAsia="仿宋_GB2312"/>
          <w:sz w:val="24"/>
          <w:highlight w:val="none"/>
        </w:rPr>
        <w:t xml:space="preserve">注：重大违法记录，是指供应商因违法经营受到刑事处罚或者责令停产停业、吊销许可证或者执照、较大数额罚款等行政处罚。</w:t>
      </w:r>
      <w:r/>
    </w:p>
    <w:p>
      <w:pPr>
        <w:pStyle w:val="1371"/>
        <w:ind w:firstLine="600"/>
        <w:spacing w:line="600" w:lineRule="exact"/>
        <w:rPr>
          <w:rFonts w:ascii="仿宋_GB2312" w:eastAsia="仿宋_GB2312"/>
          <w:sz w:val="24"/>
          <w:highlight w:val="none"/>
        </w:rPr>
      </w:pPr>
      <w:r>
        <w:rPr>
          <w:rFonts w:ascii="仿宋_GB2312" w:eastAsia="仿宋_GB2312"/>
          <w:sz w:val="24"/>
          <w:highlight w:val="none"/>
        </w:rPr>
      </w:r>
      <w:r/>
    </w:p>
    <w:p>
      <w:pPr>
        <w:pStyle w:val="1371"/>
        <w:ind w:firstLine="600"/>
        <w:spacing w:line="600" w:lineRule="exact"/>
        <w:rPr>
          <w:rFonts w:ascii="仿宋_GB2312" w:eastAsia="仿宋_GB2312"/>
          <w:sz w:val="24"/>
          <w:highlight w:val="none"/>
        </w:rPr>
      </w:pPr>
      <w:r>
        <w:rPr>
          <w:rFonts w:ascii="仿宋_GB2312" w:eastAsia="仿宋_GB2312"/>
          <w:sz w:val="24"/>
          <w:highlight w:val="none"/>
        </w:rPr>
      </w:r>
      <w:r/>
    </w:p>
    <w:p>
      <w:pPr>
        <w:pStyle w:val="114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highlight w:val="none"/>
          <w:u w:val="single"/>
        </w:rPr>
        <w:t xml:space="preserve">（公章）</w:t>
      </w:r>
      <w:r/>
    </w:p>
    <w:p>
      <w:pPr>
        <w:pStyle w:val="114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323"/>
        <w:ind w:firstLine="7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pStyle w:val="1129"/>
        <w:rPr>
          <w:highlight w:val="none"/>
        </w:rPr>
        <w:outlineLvl w:val="1"/>
      </w:pPr>
      <w:r>
        <w:rPr>
          <w:highlight w:val="none"/>
        </w:rPr>
      </w:r>
      <w:r/>
    </w:p>
    <w:p>
      <w:pPr>
        <w:jc w:val="both"/>
        <w:keepLines w:val="0"/>
        <w:keepNext w:val="0"/>
        <w:pageBreakBefore w:val="0"/>
        <w:widowControl w:val="off"/>
        <w:rPr>
          <w:rFonts w:hint="eastAsia" w:ascii="黑体" w:hAnsi="黑体" w:eastAsia="黑体" w:cs="Times New Roman"/>
          <w:b/>
          <w:sz w:val="32"/>
          <w:szCs w:val="24"/>
          <w:highlight w:val="none"/>
          <w:lang w:val="en-US" w:eastAsia="zh-CN" w:bidi="ar-SA"/>
        </w:rPr>
      </w:pPr>
      <w:r>
        <w:rPr>
          <w:rFonts w:hint="eastAsia" w:ascii="黑体" w:hAnsi="黑体" w:eastAsia="黑体" w:cs="Times New Roman"/>
          <w:b/>
          <w:sz w:val="32"/>
          <w:szCs w:val="24"/>
          <w:highlight w:val="none"/>
          <w:lang w:val="en-US" w:eastAsia="zh-CN" w:bidi="ar-SA"/>
        </w:rPr>
        <w:t xml:space="preserve">七、南京市政府采购供应商信用承诺书</w:t>
      </w:r>
      <w:r/>
    </w:p>
    <w:p>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p>
    <w:p>
      <w:pPr>
        <w:jc w:val="center"/>
        <w:rPr>
          <w:rFonts w:hint="eastAsia" w:eastAsiaTheme="minorEastAsia"/>
          <w:highlight w:val="none"/>
          <w:lang w:val="en-US" w:eastAsia="zh-CN"/>
        </w:rPr>
      </w:pPr>
      <w:r>
        <w:rPr>
          <w:rFonts w:hint="eastAsia" w:eastAsiaTheme="minorEastAsia"/>
          <w:highlight w:val="none"/>
          <w:lang w:val="en-US" w:eastAsia="zh-CN"/>
        </w:rPr>
      </w:r>
      <w:r/>
    </w:p>
    <w:tbl>
      <w:tblPr>
        <w:tblStyle w:val="79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4839"/>
        </w:trPr>
        <w:tc>
          <w:tcPr>
            <w:tcW w:w="2148" w:type="dxa"/>
            <w:vAlign w:val="center"/>
            <w:textDirection w:val="lrTb"/>
            <w:noWrap w:val="false"/>
          </w:tcPr>
          <w:p>
            <w:pPr>
              <w:jc w:val="center"/>
              <w:rPr>
                <w:rFonts w:hint="default"/>
                <w:sz w:val="24"/>
                <w:szCs w:val="32"/>
                <w:highlight w:val="none"/>
                <w:vertAlign w:val="baseline"/>
                <w:lang w:val="en-US" w:eastAsia="zh-CN"/>
              </w:rPr>
            </w:pPr>
            <w:r>
              <w:rPr>
                <w:rFonts w:hint="eastAsia"/>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highlight w:val="none"/>
                <w:vertAlign w:val="baseline"/>
                <w:lang w:val="en-US" w:eastAsia="zh-CN"/>
              </w:rPr>
            </w:pPr>
            <w:r>
              <w:rPr>
                <w:rFonts w:hint="eastAsia" w:eastAsiaTheme="minorEastAsia"/>
                <w:highlight w:val="none"/>
                <w:vertAlign w:val="baseline"/>
                <w:lang w:val="en-US" w:eastAsia="zh-CN"/>
              </w:rPr>
              <w:t xml:space="preserve">我公司自愿参加贵中心</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公司</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highlight w:val="none"/>
                <w:vertAlign w:val="baseline"/>
                <w:lang w:val="en-US" w:eastAsia="zh-CN"/>
              </w:rPr>
              <w:t xml:space="preserve">二</w:t>
            </w:r>
            <w:r>
              <w:rPr>
                <w:rFonts w:hint="eastAsia" w:eastAsiaTheme="minorEastAsia"/>
                <w:highlight w:val="none"/>
                <w:vertAlign w:val="baseline"/>
                <w:lang w:val="en-US" w:eastAsia="zh-CN"/>
              </w:rPr>
              <w:t xml:space="preserve">条规定的条件，包括</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具有独立承担民事责任的能力</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具有良好的商业信誉和健全的财务会计制度</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有履行合同所必需的设备和专业技术能力</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有依法缴纳税收和社会保障资金的良好记录</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参加政府采购活动前三年内，在经营活动中没有重大违法记录</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符合法律、行政法规和采购文件规定的其他条件</w:t>
            </w:r>
            <w:r>
              <w:rPr>
                <w:rFonts w:hint="eastAsia"/>
                <w:highlight w:val="none"/>
                <w:vertAlign w:val="baseline"/>
                <w:lang w:val="en-US" w:eastAsia="zh-CN"/>
              </w:rPr>
              <w:t xml:space="preserve">。</w:t>
            </w:r>
            <w:r>
              <w:rPr>
                <w:rFonts w:hint="eastAsia" w:eastAsiaTheme="minorEastAsia"/>
                <w:highlight w:val="none"/>
                <w:vertAlign w:val="baseline"/>
                <w:lang w:val="en-US" w:eastAsia="zh-CN"/>
              </w:rPr>
              <w:t xml:space="preserve">如有弄虚作假或其他违法违规行为，愿承担一切法律责任，接受各级政府采购监管部门和有权机关的审查和处罚</w:t>
            </w:r>
            <w:r>
              <w:rPr>
                <w:rFonts w:hint="eastAsia"/>
                <w:highlight w:val="none"/>
                <w:vertAlign w:val="baseline"/>
                <w:lang w:val="en-US" w:eastAsia="zh-CN"/>
              </w:rPr>
              <w:t xml:space="preserve">。</w:t>
            </w:r>
            <w:r/>
          </w:p>
          <w:p>
            <w:pPr>
              <w:ind w:firstLine="420"/>
              <w:jc w:val="both"/>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eastAsia"/>
                <w:highlight w:val="none"/>
                <w:vertAlign w:val="baseline"/>
                <w:lang w:val="en-US" w:eastAsia="zh-CN"/>
              </w:rPr>
            </w:pPr>
            <w:r>
              <w:rPr>
                <w:rFonts w:hint="eastAsia"/>
                <w:highlight w:val="none"/>
                <w:vertAlign w:val="baseline"/>
                <w:lang w:val="en-US" w:eastAsia="zh-CN"/>
              </w:rPr>
              <w:t xml:space="preserve">供应商名称（盖章）：</w:t>
            </w:r>
            <w:r/>
          </w:p>
          <w:p>
            <w:pPr>
              <w:ind w:firstLine="420"/>
              <w:jc w:val="center"/>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eastAsia"/>
                <w:highlight w:val="none"/>
                <w:vertAlign w:val="baseline"/>
                <w:lang w:val="en-US" w:eastAsia="zh-CN"/>
              </w:rPr>
            </w:pPr>
            <w:r>
              <w:rPr>
                <w:rFonts w:hint="eastAsia"/>
                <w:highlight w:val="none"/>
                <w:vertAlign w:val="baseline"/>
                <w:lang w:val="en-US" w:eastAsia="zh-CN"/>
              </w:rPr>
              <w:t xml:space="preserve">法定代表人（签字）：</w:t>
            </w:r>
            <w:r/>
          </w:p>
          <w:p>
            <w:pPr>
              <w:ind w:firstLine="420"/>
              <w:jc w:val="center"/>
              <w:rPr>
                <w:rFonts w:hint="eastAsia"/>
                <w:highlight w:val="none"/>
                <w:vertAlign w:val="baseline"/>
                <w:lang w:val="en-US" w:eastAsia="zh-CN"/>
              </w:rPr>
            </w:pPr>
            <w:r>
              <w:rPr>
                <w:rFonts w:hint="eastAsia"/>
                <w:highlight w:val="none"/>
                <w:vertAlign w:val="baseline"/>
                <w:lang w:val="en-US" w:eastAsia="zh-CN"/>
              </w:rPr>
            </w:r>
            <w:r/>
          </w:p>
          <w:p>
            <w:pPr>
              <w:ind w:firstLine="420"/>
              <w:jc w:val="center"/>
              <w:rPr>
                <w:rFonts w:hint="default"/>
                <w:highlight w:val="none"/>
                <w:vertAlign w:val="baseline"/>
                <w:lang w:val="en-US" w:eastAsia="zh-CN"/>
              </w:rPr>
            </w:pPr>
            <w:r>
              <w:rPr>
                <w:rFonts w:hint="eastAsia"/>
                <w:highlight w:val="none"/>
                <w:vertAlign w:val="baseline"/>
                <w:lang w:val="en-US" w:eastAsia="zh-CN"/>
              </w:rPr>
              <w:t xml:space="preserve">XXXX年XX月XX日</w:t>
            </w:r>
            <w:r/>
          </w:p>
        </w:tc>
      </w:tr>
    </w:tbl>
    <w:p>
      <w:pPr>
        <w:jc w:val="center"/>
        <w:rPr>
          <w:rFonts w:hint="eastAsia" w:eastAsiaTheme="minorEastAsia"/>
          <w:highlight w:val="none"/>
          <w:lang w:val="en-US" w:eastAsia="zh-CN"/>
        </w:rPr>
      </w:pPr>
      <w:r>
        <w:rPr>
          <w:rFonts w:hint="eastAsia" w:eastAsiaTheme="minorEastAsia"/>
          <w:highlight w:val="none"/>
          <w:lang w:val="en-US" w:eastAsia="zh-CN"/>
        </w:rPr>
      </w:r>
      <w:r/>
    </w:p>
    <w:p>
      <w:pPr>
        <w:ind w:firstLine="42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根据《关于在政府采购活动中推行信用承诺制的通知》宁财购通〔2021〕5号规定， 参加南</w:t>
      </w:r>
      <w:r>
        <w:rPr>
          <w:rFonts w:hint="eastAsia" w:ascii="宋体" w:hAnsi="宋体" w:cs="宋体"/>
          <w:sz w:val="24"/>
          <w:szCs w:val="24"/>
          <w:highlight w:val="none"/>
        </w:rPr>
        <w:t xml:space="preserve">京地区政府采购活动的供应商，应以书面形式向采购人或政府采购代理机构作出信用承诺。</w:t>
      </w:r>
      <w:r>
        <w:rPr>
          <w:rFonts w:hint="eastAsia" w:ascii="宋体" w:hAnsi="宋体" w:cs="宋体"/>
          <w:b/>
          <w:bCs/>
          <w:i/>
          <w:iCs/>
          <w:sz w:val="24"/>
          <w:szCs w:val="24"/>
          <w:highlight w:val="none"/>
        </w:rPr>
        <w:t xml:space="preserve">供应商</w:t>
      </w:r>
      <w:r>
        <w:rPr>
          <w:rFonts w:hint="eastAsia" w:ascii="宋体" w:hAnsi="宋体" w:cs="宋体"/>
          <w:b/>
          <w:bCs/>
          <w:i/>
          <w:iCs/>
          <w:sz w:val="24"/>
          <w:szCs w:val="24"/>
          <w:highlight w:val="none"/>
          <w:lang w:val="en-US" w:eastAsia="zh-CN"/>
        </w:rPr>
        <w:t xml:space="preserve">提供</w:t>
      </w:r>
      <w:r>
        <w:rPr>
          <w:rFonts w:hint="eastAsia" w:ascii="宋体" w:hAnsi="宋体" w:cs="宋体"/>
          <w:b/>
          <w:bCs/>
          <w:i/>
          <w:iCs/>
          <w:sz w:val="24"/>
          <w:szCs w:val="24"/>
          <w:highlight w:val="none"/>
        </w:rPr>
        <w:t xml:space="preserve">《南京市政府采购供应商信用承诺书》</w:t>
      </w:r>
      <w:r>
        <w:rPr>
          <w:rFonts w:hint="eastAsia" w:ascii="宋体" w:hAnsi="宋体" w:cs="宋体"/>
          <w:b/>
          <w:bCs/>
          <w:i/>
          <w:iCs/>
          <w:sz w:val="24"/>
          <w:szCs w:val="24"/>
          <w:highlight w:val="none"/>
          <w:lang w:eastAsia="zh-CN"/>
        </w:rPr>
        <w:t xml:space="preserve">（</w:t>
      </w:r>
      <w:r>
        <w:rPr>
          <w:rFonts w:hint="eastAsia" w:ascii="宋体" w:hAnsi="宋体" w:cs="宋体"/>
          <w:b/>
          <w:bCs/>
          <w:i/>
          <w:iCs/>
          <w:sz w:val="24"/>
          <w:szCs w:val="24"/>
          <w:highlight w:val="none"/>
          <w:lang w:val="en-US" w:eastAsia="zh-CN"/>
        </w:rPr>
        <w:t xml:space="preserve">详见上述格式）</w:t>
      </w:r>
      <w:r>
        <w:rPr>
          <w:rFonts w:hint="eastAsia" w:ascii="宋体" w:hAnsi="宋体" w:cs="宋体"/>
          <w:b/>
          <w:bCs/>
          <w:i/>
          <w:iCs/>
          <w:sz w:val="24"/>
          <w:szCs w:val="24"/>
          <w:highlight w:val="none"/>
        </w:rPr>
        <w:t xml:space="preserve">，由</w:t>
      </w:r>
      <w:r>
        <w:rPr>
          <w:rFonts w:hint="eastAsia" w:ascii="宋体" w:hAnsi="宋体" w:cs="宋体"/>
          <w:b/>
          <w:bCs/>
          <w:i/>
          <w:iCs/>
          <w:sz w:val="24"/>
          <w:szCs w:val="24"/>
          <w:highlight w:val="none"/>
          <w:lang w:val="en-US" w:eastAsia="zh-CN"/>
        </w:rPr>
        <w:t xml:space="preserve">法定代表</w:t>
      </w:r>
      <w:r>
        <w:rPr>
          <w:rFonts w:hint="eastAsia" w:ascii="宋体" w:hAnsi="宋体" w:cs="宋体"/>
          <w:b/>
          <w:bCs/>
          <w:i/>
          <w:iCs/>
          <w:sz w:val="24"/>
          <w:szCs w:val="24"/>
          <w:highlight w:val="none"/>
        </w:rPr>
        <w:t xml:space="preserve">人签字并盖单位公章。</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在政府采购资格审查环节，供应商只需提供书面《南京市政府采购供应商信用承诺书》，即可替代以下证明材料：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（1）符合国家相关规定的财务状况报告；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（2）依法缴纳税收的证明材料；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（3）依法缴纳社会保障资金的证明材料；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（4）具备履行政府采购合同所必需的设备和专业技术能力的证明材料；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（5）参加政府采购活动前三年内在经营活动中没有重大违法记录的证明材料；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（6）未被列入失信被执行人、重大税收违法失信主体、政府采购严重违法失信行为记录名单的证明材料。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供应商涉及以下情形的，不适用信用承诺：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（1）供应商被列入严重失信主体名单；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（2）被相关监管部门作出行政处罚且尚在处罚有效期内；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（3）其他法律、行政法规规定的不适用信用承诺的情形。 </w:t>
      </w:r>
      <w:r/>
    </w:p>
    <w:p>
      <w:pPr>
        <w:ind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供应商对信用承诺内容的真实性、合法性、有效性负责。如作出虚假信用承诺，视同为“提供虚假材料谋取中标、成交”的违法行为。</w:t>
      </w:r>
      <w:r/>
    </w:p>
    <w:p>
      <w:pPr>
        <w:pStyle w:val="1129"/>
        <w:rPr>
          <w:highlight w:val="none"/>
        </w:rPr>
        <w:outlineLvl w:val="1"/>
      </w:pPr>
      <w:r>
        <w:rPr>
          <w:highlight w:val="none"/>
        </w:rPr>
        <w:br w:type="page" w:clear="all"/>
      </w:r>
      <w:bookmarkStart w:id="114" w:name="_Toc31956_WPSOffice_Level2"/>
      <w:r/>
      <w:bookmarkStart w:id="115" w:name="_Toc30396"/>
      <w:r/>
      <w:bookmarkStart w:id="116" w:name="_Toc514054492"/>
      <w:r>
        <w:rPr>
          <w:rFonts w:hint="eastAsia"/>
          <w:highlight w:val="none"/>
          <w:lang w:val="en-US" w:eastAsia="zh-CN"/>
        </w:rPr>
        <w:t xml:space="preserve">八</w:t>
      </w:r>
      <w:r>
        <w:rPr>
          <w:highlight w:val="none"/>
        </w:rPr>
        <w:t xml:space="preserve">、投标函</w:t>
      </w:r>
      <w:bookmarkEnd w:id="114"/>
      <w:r/>
      <w:bookmarkEnd w:id="115"/>
      <w:r/>
      <w:bookmarkEnd w:id="116"/>
      <w:r/>
      <w:r/>
    </w:p>
    <w:p>
      <w:pPr>
        <w:pStyle w:val="1209"/>
        <w:spacing w:line="400" w:lineRule="exact"/>
        <w:tabs>
          <w:tab w:val="left" w:pos="1498" w:leader="none"/>
        </w:tabs>
        <w:rPr>
          <w:rFonts w:ascii="仿宋_GB2312" w:eastAsia="仿宋_GB2312"/>
          <w:sz w:val="24"/>
          <w:szCs w:val="22"/>
          <w:highlight w:val="none"/>
        </w:rPr>
      </w:pPr>
      <w:r/>
      <w:bookmarkStart w:id="117" w:name="_Toc22395"/>
      <w:r/>
      <w:bookmarkStart w:id="118" w:name="_Toc514054493"/>
      <w:r>
        <w:rPr>
          <w:rFonts w:hint="eastAsia"/>
          <w:sz w:val="24"/>
          <w:highlight w:val="none"/>
          <w:u w:val="single"/>
        </w:rPr>
        <w:t xml:space="preserve">                      </w:t>
      </w:r>
      <w:r>
        <w:rPr>
          <w:rFonts w:hint="eastAsia" w:ascii="仿宋_GB2312" w:eastAsia="仿宋_GB2312"/>
          <w:sz w:val="24"/>
          <w:highlight w:val="none"/>
        </w:rPr>
        <w:t xml:space="preserve">：</w:t>
      </w:r>
      <w:r/>
    </w:p>
    <w:p>
      <w:pPr>
        <w:pStyle w:val="1209"/>
        <w:ind w:firstLine="480"/>
        <w:spacing w:line="400" w:lineRule="exact"/>
        <w:tabs>
          <w:tab w:val="left" w:pos="1498" w:leader="none"/>
        </w:tabs>
        <w:rPr>
          <w:rFonts w:ascii="仿宋_GB2312" w:eastAsia="仿宋_GB2312"/>
          <w:sz w:val="24"/>
          <w:highlight w:val="none"/>
        </w:rPr>
      </w:pPr>
      <w:r>
        <w:rPr>
          <w:rFonts w:hint="eastAsia"/>
          <w:sz w:val="24"/>
          <w:highlight w:val="none"/>
        </w:rPr>
        <w:t xml:space="preserve"> </w:t>
      </w:r>
      <w:r>
        <w:rPr>
          <w:rFonts w:hint="eastAsia" w:ascii="仿宋_GB2312" w:eastAsia="仿宋_GB2312"/>
          <w:sz w:val="24"/>
          <w:highlight w:val="none"/>
        </w:rPr>
        <w:t xml:space="preserve">经研究，我们决定参加编号为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的招标活动并投标，为此，我方郑重声明以下诸点，并负法律责任。</w:t>
      </w:r>
      <w:r/>
    </w:p>
    <w:p>
      <w:pPr>
        <w:pStyle w:val="1209"/>
        <w:numPr>
          <w:ilvl w:val="0"/>
          <w:numId w:val="26"/>
        </w:numPr>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经研究招标文件的全部内容后，我方愿按招标文件的规定要求提供所有货物和服务；</w:t>
      </w:r>
      <w:r/>
    </w:p>
    <w:p>
      <w:pPr>
        <w:pStyle w:val="1209"/>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二、</w:t>
      </w:r>
      <w:r>
        <w:rPr>
          <w:rFonts w:hint="eastAsia" w:ascii="仿宋_GB2312" w:eastAsia="仿宋_GB2312"/>
          <w:b/>
          <w:bCs/>
          <w:sz w:val="24"/>
          <w:highlight w:val="none"/>
        </w:rPr>
        <w:t xml:space="preserve">我方没有为本采购项目提供整体设计、规范编制，以及项目管理、监理、检测等服务。 </w:t>
      </w:r>
      <w:r/>
    </w:p>
    <w:p>
      <w:pPr>
        <w:pStyle w:val="1209"/>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三、我方与参与本次采购活动的其他投标人的法定代表人或委托代理人</w:t>
      </w:r>
      <w:r>
        <w:rPr>
          <w:rFonts w:hint="eastAsia" w:ascii="仿宋_GB2312" w:eastAsia="仿宋_GB2312"/>
          <w:b/>
          <w:bCs/>
          <w:sz w:val="24"/>
          <w:highlight w:val="none"/>
        </w:rPr>
        <w:t xml:space="preserve">无夫妻、直系血亲关系； </w:t>
      </w:r>
      <w:r/>
    </w:p>
    <w:p>
      <w:pPr>
        <w:pStyle w:val="1209"/>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四、我方与参与本次采购活动的其他投标人的负责人</w:t>
      </w:r>
      <w:r>
        <w:rPr>
          <w:rFonts w:hint="eastAsia" w:ascii="仿宋_GB2312" w:eastAsia="仿宋_GB2312"/>
          <w:b/>
          <w:bCs/>
          <w:sz w:val="24"/>
          <w:highlight w:val="none"/>
        </w:rPr>
        <w:t xml:space="preserve">不是同一人，也不存在直接控股、管理关系。 </w:t>
      </w:r>
      <w:r/>
    </w:p>
    <w:p>
      <w:pPr>
        <w:pStyle w:val="1209"/>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五、我们理解，最低报价不是中标的唯一条件，你们有选择中标人的权利；</w:t>
      </w:r>
      <w:r/>
    </w:p>
    <w:p>
      <w:pPr>
        <w:pStyle w:val="1209"/>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9"/>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八、我方同意遵守贵方有关招标投标的各项规定；</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九、我方响应招标文件规定的投标有效期。</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十一、与本投标有关的正式联系方式为： </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联系人：</w:t>
      </w:r>
      <w:r>
        <w:rPr>
          <w:rFonts w:hint="eastAsia" w:ascii="仿宋_GB2312" w:eastAsia="仿宋_GB2312"/>
          <w:sz w:val="24"/>
          <w:highlight w:val="none"/>
          <w:u w:val="single"/>
        </w:rPr>
        <w:t xml:space="preserve">               </w:t>
      </w:r>
      <w:r/>
    </w:p>
    <w:p>
      <w:pPr>
        <w:pStyle w:val="1241"/>
        <w:ind w:firstLine="480"/>
        <w:spacing w:line="400" w:lineRule="exact"/>
        <w:tabs>
          <w:tab w:val="left" w:pos="1498" w:leader="none"/>
        </w:tabs>
        <w:rPr>
          <w:rFonts w:ascii="仿宋_GB2312" w:eastAsia="仿宋_GB2312"/>
          <w:sz w:val="24"/>
          <w:highlight w:val="none"/>
          <w:u w:val="single"/>
        </w:rPr>
      </w:pPr>
      <w:r>
        <w:rPr>
          <w:rFonts w:hint="eastAsia" w:ascii="仿宋_GB2312" w:eastAsia="仿宋_GB2312"/>
          <w:sz w:val="24"/>
          <w:highlight w:val="none"/>
        </w:rPr>
        <w:t xml:space="preserve">地址：</w:t>
      </w:r>
      <w:r>
        <w:rPr>
          <w:rFonts w:hint="eastAsia" w:ascii="仿宋_GB2312" w:eastAsia="仿宋_GB2312"/>
          <w:sz w:val="24"/>
          <w:highlight w:val="none"/>
          <w:u w:val="single"/>
        </w:rPr>
        <w:t xml:space="preserve">                 </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电话：</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十二、我方正式开户银行和帐号为： </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开户银行：</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银行账号：</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投标人名称：</w:t>
      </w:r>
      <w:r>
        <w:rPr>
          <w:highlight w:val="none"/>
          <w:u w:val="single"/>
        </w:rPr>
        <w:t xml:space="preserve">（公章）</w:t>
      </w:r>
      <w:r>
        <w:rPr>
          <w:rFonts w:hint="eastAsia" w:ascii="仿宋_GB2312" w:eastAsia="仿宋_GB2312"/>
          <w:sz w:val="24"/>
          <w:highlight w:val="none"/>
        </w:rPr>
        <w:t xml:space="preserve"> </w:t>
      </w:r>
      <w:r/>
    </w:p>
    <w:p>
      <w:pPr>
        <w:pStyle w:val="1241"/>
        <w:ind w:firstLine="480"/>
        <w:spacing w:line="400" w:lineRule="exact"/>
        <w:tabs>
          <w:tab w:val="left" w:pos="1498" w:leader="none"/>
        </w:tabs>
        <w:rPr>
          <w:rFonts w:ascii="仿宋_GB2312" w:eastAsia="仿宋_GB2312"/>
          <w:sz w:val="24"/>
          <w:highlight w:val="none"/>
        </w:rPr>
      </w:pPr>
      <w:r>
        <w:rPr>
          <w:rFonts w:hint="eastAsia" w:ascii="仿宋_GB2312" w:eastAsia="仿宋_GB2312"/>
          <w:sz w:val="24"/>
          <w:highlight w:val="none"/>
        </w:rPr>
        <w:t xml:space="preserve">日 期： 年 月 日</w:t>
      </w:r>
      <w:r/>
    </w:p>
    <w:p>
      <w:pPr>
        <w:pStyle w:val="1265"/>
        <w:spacing w:line="400" w:lineRule="exact"/>
        <w:rPr>
          <w:highlight w:val="none"/>
        </w:rPr>
        <w:outlineLvl w:val="1"/>
      </w:pPr>
      <w:r>
        <w:rPr>
          <w:rFonts w:hint="eastAsia" w:ascii="仿宋_GB2312" w:hAnsi="Times New Roman" w:eastAsia="仿宋_GB2312"/>
          <w:sz w:val="24"/>
          <w:highlight w:val="none"/>
        </w:rPr>
        <w:br w:type="page" w:clear="all"/>
      </w:r>
      <w:r>
        <w:rPr>
          <w:rFonts w:hint="eastAsia" w:eastAsia="仿宋_GB2312"/>
          <w:highlight w:val="none"/>
          <w:lang w:val="en-US" w:eastAsia="zh-CN"/>
        </w:rPr>
        <w:t xml:space="preserve">九</w:t>
      </w:r>
      <w:r>
        <w:rPr>
          <w:highlight w:val="none"/>
        </w:rPr>
        <w:t xml:space="preserve">、法定代表人身份证明或授权委托书</w:t>
      </w:r>
      <w:bookmarkEnd w:id="117"/>
      <w:r/>
      <w:bookmarkEnd w:id="118"/>
      <w:r/>
      <w:r/>
    </w:p>
    <w:p>
      <w:pPr>
        <w:pStyle w:val="1372"/>
        <w:jc w:val="center"/>
        <w:spacing w:line="560" w:lineRule="exact"/>
        <w:rPr>
          <w:rFonts w:ascii="宋体"/>
          <w:b/>
          <w:bCs/>
          <w:sz w:val="32"/>
          <w:szCs w:val="32"/>
          <w:highlight w:val="none"/>
        </w:rPr>
      </w:pPr>
      <w:r/>
      <w:bookmarkStart w:id="119" w:name="_Toc22626_WPSOffice_Level2"/>
      <w:r>
        <w:rPr>
          <w:rFonts w:ascii="宋体"/>
          <w:b/>
          <w:bCs/>
          <w:sz w:val="32"/>
          <w:szCs w:val="32"/>
          <w:highlight w:val="none"/>
        </w:rPr>
        <w:t xml:space="preserve">法定代表人身份证明</w:t>
      </w:r>
      <w:bookmarkEnd w:id="119"/>
      <w:r/>
      <w:r/>
    </w:p>
    <w:p>
      <w:pPr>
        <w:pStyle w:val="1275"/>
        <w:spacing w:line="480" w:lineRule="exact"/>
        <w:rPr>
          <w:rFonts w:eastAsia="仿宋_GB2312"/>
          <w:sz w:val="24"/>
          <w:highlight w:val="none"/>
        </w:rPr>
      </w:pPr>
      <w:r>
        <w:rPr>
          <w:rFonts w:eastAsia="仿宋_GB2312"/>
          <w:sz w:val="24"/>
          <w:highlight w:val="none"/>
        </w:rPr>
      </w:r>
      <w:r/>
    </w:p>
    <w:p>
      <w:pPr>
        <w:pStyle w:val="1275"/>
        <w:spacing w:line="480" w:lineRule="exact"/>
        <w:rPr>
          <w:rFonts w:eastAsia="仿宋_GB2312"/>
          <w:sz w:val="24"/>
          <w:highlight w:val="none"/>
        </w:rPr>
      </w:pPr>
      <w:r>
        <w:rPr>
          <w:rFonts w:hint="eastAsia" w:eastAsia="仿宋_GB2312"/>
          <w:sz w:val="24"/>
          <w:highlight w:val="none"/>
        </w:rPr>
        <w:t xml:space="preserve">供应商</w:t>
      </w:r>
      <w:r>
        <w:rPr>
          <w:rFonts w:eastAsia="仿宋_GB2312"/>
          <w:sz w:val="24"/>
          <w:highlight w:val="none"/>
        </w:rPr>
        <w:t xml:space="preserve">名称：</w:t>
      </w:r>
      <w:r>
        <w:rPr>
          <w:rFonts w:eastAsia="仿宋_GB2312"/>
          <w:sz w:val="24"/>
          <w:highlight w:val="none"/>
          <w:u w:val="single"/>
        </w:rPr>
        <w:t xml:space="preserve">                            </w:t>
      </w:r>
      <w:r>
        <w:rPr>
          <w:rFonts w:eastAsia="仿宋_GB2312"/>
          <w:sz w:val="24"/>
          <w:highlight w:val="none"/>
        </w:rPr>
        <w:t xml:space="preserve"> </w:t>
      </w:r>
      <w:r/>
    </w:p>
    <w:p>
      <w:pPr>
        <w:pStyle w:val="1275"/>
        <w:spacing w:line="480" w:lineRule="exact"/>
        <w:rPr>
          <w:rFonts w:eastAsia="仿宋_GB2312"/>
          <w:sz w:val="24"/>
          <w:highlight w:val="none"/>
        </w:rPr>
      </w:pPr>
      <w:r>
        <w:rPr>
          <w:rFonts w:eastAsia="仿宋_GB2312"/>
          <w:sz w:val="24"/>
          <w:highlight w:val="none"/>
        </w:rPr>
        <w:t xml:space="preserve">单位性质：</w:t>
      </w:r>
      <w:r>
        <w:rPr>
          <w:rFonts w:eastAsia="仿宋_GB2312"/>
          <w:sz w:val="24"/>
          <w:highlight w:val="none"/>
          <w:u w:val="single"/>
        </w:rPr>
        <w:t xml:space="preserve">                               </w:t>
      </w:r>
      <w:r>
        <w:rPr>
          <w:rFonts w:eastAsia="仿宋_GB2312"/>
          <w:sz w:val="24"/>
          <w:highlight w:val="none"/>
        </w:rPr>
        <w:t xml:space="preserve"> </w:t>
      </w:r>
      <w:r/>
    </w:p>
    <w:p>
      <w:pPr>
        <w:pStyle w:val="1275"/>
        <w:spacing w:line="480" w:lineRule="exact"/>
        <w:rPr>
          <w:rFonts w:eastAsia="仿宋_GB2312"/>
          <w:sz w:val="24"/>
          <w:highlight w:val="none"/>
        </w:rPr>
      </w:pPr>
      <w:r>
        <w:rPr>
          <w:rFonts w:eastAsia="仿宋_GB2312"/>
          <w:sz w:val="24"/>
          <w:highlight w:val="none"/>
        </w:rPr>
        <w:t xml:space="preserve">地址：</w:t>
      </w:r>
      <w:r>
        <w:rPr>
          <w:rFonts w:eastAsia="仿宋_GB2312"/>
          <w:sz w:val="24"/>
          <w:highlight w:val="none"/>
          <w:u w:val="single"/>
        </w:rPr>
        <w:t xml:space="preserve">                                   </w:t>
      </w:r>
      <w:r/>
    </w:p>
    <w:p>
      <w:pPr>
        <w:pStyle w:val="1275"/>
        <w:spacing w:line="480" w:lineRule="exact"/>
        <w:rPr>
          <w:rFonts w:eastAsia="仿宋_GB2312"/>
          <w:sz w:val="24"/>
          <w:highlight w:val="none"/>
        </w:rPr>
      </w:pPr>
      <w:r>
        <w:rPr>
          <w:rFonts w:eastAsia="仿宋_GB2312"/>
          <w:sz w:val="24"/>
          <w:highlight w:val="none"/>
        </w:rPr>
        <w:t xml:space="preserve">成立时间：</w:t>
      </w:r>
      <w:r>
        <w:rPr>
          <w:rFonts w:eastAsia="仿宋_GB2312"/>
          <w:sz w:val="24"/>
          <w:highlight w:val="none"/>
          <w:u w:val="single"/>
        </w:rPr>
        <w:t xml:space="preserve">         </w:t>
      </w:r>
      <w:r>
        <w:rPr>
          <w:rFonts w:eastAsia="仿宋_GB2312"/>
          <w:sz w:val="24"/>
          <w:highlight w:val="none"/>
        </w:rPr>
        <w:t xml:space="preserve"> 年</w:t>
      </w:r>
      <w:r>
        <w:rPr>
          <w:rFonts w:eastAsia="仿宋_GB2312"/>
          <w:sz w:val="24"/>
          <w:highlight w:val="none"/>
          <w:u w:val="single"/>
        </w:rPr>
        <w:t xml:space="preserve">       </w:t>
      </w:r>
      <w:r>
        <w:rPr>
          <w:rFonts w:eastAsia="仿宋_GB2312"/>
          <w:sz w:val="24"/>
          <w:highlight w:val="none"/>
        </w:rPr>
        <w:t xml:space="preserve"> 月</w:t>
      </w:r>
      <w:r>
        <w:rPr>
          <w:rFonts w:eastAsia="仿宋_GB2312"/>
          <w:sz w:val="24"/>
          <w:highlight w:val="none"/>
          <w:u w:val="single"/>
        </w:rPr>
        <w:t xml:space="preserve">       </w:t>
      </w:r>
      <w:r>
        <w:rPr>
          <w:rFonts w:eastAsia="仿宋_GB2312"/>
          <w:sz w:val="24"/>
          <w:highlight w:val="none"/>
        </w:rPr>
        <w:t xml:space="preserve"> 日</w:t>
      </w:r>
      <w:r/>
    </w:p>
    <w:p>
      <w:pPr>
        <w:pStyle w:val="1275"/>
        <w:spacing w:line="480" w:lineRule="exact"/>
        <w:rPr>
          <w:rFonts w:eastAsia="仿宋_GB2312"/>
          <w:sz w:val="24"/>
          <w:highlight w:val="none"/>
        </w:rPr>
      </w:pPr>
      <w:r>
        <w:rPr>
          <w:rFonts w:eastAsia="仿宋_GB2312"/>
          <w:sz w:val="24"/>
          <w:highlight w:val="none"/>
        </w:rPr>
        <w:t xml:space="preserve">经营期限：</w:t>
      </w:r>
      <w:r>
        <w:rPr>
          <w:rFonts w:eastAsia="仿宋_GB2312"/>
          <w:sz w:val="24"/>
          <w:highlight w:val="none"/>
          <w:u w:val="single"/>
        </w:rPr>
        <w:t xml:space="preserve">                               </w:t>
      </w:r>
      <w:r/>
    </w:p>
    <w:p>
      <w:pPr>
        <w:pStyle w:val="1275"/>
        <w:spacing w:line="480" w:lineRule="exact"/>
        <w:rPr>
          <w:rFonts w:eastAsia="仿宋_GB2312"/>
          <w:sz w:val="24"/>
          <w:highlight w:val="none"/>
        </w:rPr>
      </w:pPr>
      <w:r>
        <w:rPr>
          <w:rFonts w:eastAsia="仿宋_GB2312"/>
          <w:sz w:val="24"/>
          <w:highlight w:val="none"/>
        </w:rPr>
        <w:t xml:space="preserve">姓名：</w:t>
      </w:r>
      <w:r>
        <w:rPr>
          <w:rFonts w:eastAsia="仿宋_GB2312"/>
          <w:sz w:val="24"/>
          <w:highlight w:val="none"/>
          <w:u w:val="single"/>
        </w:rPr>
        <w:t xml:space="preserve">        </w:t>
      </w:r>
      <w:r>
        <w:rPr>
          <w:rFonts w:eastAsia="仿宋_GB2312"/>
          <w:sz w:val="24"/>
          <w:highlight w:val="none"/>
        </w:rPr>
        <w:t xml:space="preserve"> 性别：</w:t>
      </w:r>
      <w:r>
        <w:rPr>
          <w:rFonts w:eastAsia="仿宋_GB2312"/>
          <w:sz w:val="24"/>
          <w:highlight w:val="none"/>
          <w:u w:val="single"/>
        </w:rPr>
        <w:t xml:space="preserve">         </w:t>
      </w:r>
      <w:r>
        <w:rPr>
          <w:rFonts w:eastAsia="仿宋_GB2312"/>
          <w:sz w:val="24"/>
          <w:highlight w:val="none"/>
        </w:rPr>
        <w:t xml:space="preserve"> 年龄：</w:t>
      </w:r>
      <w:r>
        <w:rPr>
          <w:rFonts w:eastAsia="仿宋_GB2312"/>
          <w:sz w:val="24"/>
          <w:highlight w:val="none"/>
          <w:u w:val="single"/>
        </w:rPr>
        <w:t xml:space="preserve">        </w:t>
      </w:r>
      <w:r>
        <w:rPr>
          <w:rFonts w:eastAsia="仿宋_GB2312"/>
          <w:sz w:val="24"/>
          <w:highlight w:val="none"/>
        </w:rPr>
        <w:t xml:space="preserve">职务：</w:t>
      </w:r>
      <w:r>
        <w:rPr>
          <w:rFonts w:eastAsia="仿宋_GB2312"/>
          <w:sz w:val="24"/>
          <w:highlight w:val="none"/>
          <w:u w:val="single"/>
        </w:rPr>
        <w:t xml:space="preserve">        </w:t>
      </w:r>
      <w:r>
        <w:rPr>
          <w:rFonts w:eastAsia="仿宋_GB2312"/>
          <w:sz w:val="24"/>
          <w:highlight w:val="none"/>
        </w:rPr>
        <w:t xml:space="preserve">系</w:t>
      </w:r>
      <w:r/>
    </w:p>
    <w:p>
      <w:pPr>
        <w:pStyle w:val="1275"/>
        <w:spacing w:line="480" w:lineRule="exact"/>
        <w:rPr>
          <w:rFonts w:eastAsia="仿宋_GB2312"/>
          <w:sz w:val="24"/>
          <w:highlight w:val="none"/>
        </w:rPr>
      </w:pPr>
      <w:r>
        <w:rPr>
          <w:rFonts w:eastAsia="仿宋_GB2312"/>
          <w:sz w:val="24"/>
          <w:highlight w:val="none"/>
          <w:u w:val="single"/>
        </w:rPr>
        <w:t xml:space="preserve">                             </w:t>
      </w:r>
      <w:r>
        <w:rPr>
          <w:rFonts w:eastAsia="仿宋_GB2312"/>
          <w:sz w:val="24"/>
          <w:highlight w:val="none"/>
        </w:rPr>
        <w:t xml:space="preserve"> （投标人名称）的法定代表人。</w:t>
      </w:r>
      <w:r/>
    </w:p>
    <w:p>
      <w:pPr>
        <w:pStyle w:val="1275"/>
        <w:ind w:firstLine="480"/>
        <w:spacing w:line="480" w:lineRule="exact"/>
        <w:rPr>
          <w:rFonts w:eastAsia="仿宋_GB2312"/>
          <w:sz w:val="24"/>
          <w:highlight w:val="none"/>
        </w:rPr>
      </w:pPr>
      <w:r>
        <w:rPr>
          <w:rFonts w:eastAsia="仿宋_GB2312"/>
          <w:sz w:val="24"/>
          <w:highlight w:val="none"/>
        </w:rPr>
        <w:t xml:space="preserve">特此证明。</w:t>
      </w:r>
      <w:r/>
    </w:p>
    <w:p>
      <w:pPr>
        <w:pStyle w:val="1403"/>
        <w:spacing w:line="600" w:lineRule="exact"/>
        <w:rPr>
          <w:rFonts w:ascii="仿宋_GB2312" w:eastAsia="仿宋_GB2312"/>
          <w:b/>
          <w:sz w:val="24"/>
          <w:highlight w:val="none"/>
        </w:rPr>
      </w:pPr>
      <w:r>
        <w:rPr>
          <w:rFonts w:hint="eastAsia" w:ascii="仿宋_GB2312" w:eastAsia="仿宋_GB2312"/>
          <w:b/>
          <w:sz w:val="24"/>
          <w:highlight w:val="none"/>
        </w:rPr>
        <w:t xml:space="preserve">（法定代表人出席开标会议的提供，未出席的可不提供。附法定代表人身份证、扫描件。）</w:t>
      </w:r>
      <w:r/>
    </w:p>
    <w:p>
      <w:pPr>
        <w:pStyle w:val="1275"/>
        <w:ind w:firstLine="480"/>
        <w:spacing w:line="480" w:lineRule="exact"/>
        <w:rPr>
          <w:rFonts w:eastAsia="仿宋_GB2312"/>
          <w:sz w:val="24"/>
          <w:highlight w:val="none"/>
        </w:rPr>
      </w:pPr>
      <w:r>
        <w:rPr>
          <w:rFonts w:eastAsia="仿宋_GB2312"/>
          <w:sz w:val="24"/>
          <w:highlight w:val="none"/>
        </w:rPr>
      </w:r>
      <w:r/>
    </w:p>
    <w:p>
      <w:pPr>
        <w:pStyle w:val="1275"/>
        <w:jc w:val="right"/>
        <w:spacing w:line="480" w:lineRule="exact"/>
        <w:rPr>
          <w:rFonts w:eastAsia="仿宋_GB2312"/>
          <w:sz w:val="24"/>
          <w:highlight w:val="none"/>
        </w:rPr>
      </w:pPr>
      <w:r>
        <w:rPr>
          <w:rFonts w:eastAsia="仿宋_GB2312"/>
          <w:sz w:val="24"/>
          <w:highlight w:val="none"/>
        </w:rPr>
        <w:t xml:space="preserve">                       </w:t>
      </w:r>
      <w:r/>
    </w:p>
    <w:p>
      <w:pPr>
        <w:pStyle w:val="1275"/>
        <w:jc w:val="right"/>
        <w:spacing w:line="480" w:lineRule="exact"/>
        <w:rPr>
          <w:rFonts w:eastAsia="仿宋_GB2312"/>
          <w:sz w:val="24"/>
          <w:highlight w:val="none"/>
        </w:rPr>
      </w:pPr>
      <w:r>
        <w:rPr>
          <w:rFonts w:eastAsia="仿宋_GB2312"/>
          <w:sz w:val="24"/>
          <w:highlight w:val="none"/>
        </w:rPr>
      </w:r>
      <w:r/>
    </w:p>
    <w:p>
      <w:pPr>
        <w:pStyle w:val="1275"/>
        <w:jc w:val="right"/>
        <w:spacing w:line="480" w:lineRule="exact"/>
        <w:rPr>
          <w:rFonts w:eastAsia="仿宋_GB2312"/>
          <w:sz w:val="24"/>
          <w:highlight w:val="none"/>
        </w:rPr>
      </w:pPr>
      <w:r>
        <w:rPr>
          <w:rFonts w:eastAsia="仿宋_GB2312"/>
          <w:sz w:val="24"/>
          <w:highlight w:val="none"/>
        </w:rPr>
      </w:r>
      <w:r/>
    </w:p>
    <w:p>
      <w:pPr>
        <w:pStyle w:val="1403"/>
        <w:ind w:firstLine="445"/>
        <w:jc w:val="right"/>
        <w:spacing w:line="700" w:lineRule="exact"/>
        <w:rPr>
          <w:rFonts w:ascii="仿宋_GB2312" w:eastAsia="仿宋_GB2312"/>
          <w:sz w:val="24"/>
          <w:highlight w:val="non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highlight w:val="none"/>
          <w:u w:val="single"/>
        </w:rPr>
        <w:t xml:space="preserve">（公章）</w:t>
      </w:r>
      <w:r/>
    </w:p>
    <w:p>
      <w:pPr>
        <w:pStyle w:val="1372"/>
        <w:ind w:firstLine="424"/>
        <w:jc w:val="right"/>
        <w:spacing w:line="560" w:lineRule="exact"/>
        <w:rPr>
          <w:rFonts w:ascii="仿宋_GB2312" w:eastAsia="仿宋_GB2312"/>
          <w:sz w:val="24"/>
          <w:highlight w:val="non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（签字或签章）</w:t>
      </w:r>
      <w:r/>
    </w:p>
    <w:p>
      <w:pPr>
        <w:pStyle w:val="1294"/>
        <w:ind w:firstLine="988"/>
        <w:jc w:val="right"/>
        <w:spacing w:line="700" w:lineRule="exact"/>
        <w:rPr>
          <w:rFonts w:ascii="仿宋_GB2312" w:eastAsia="仿宋_GB2312"/>
          <w:sz w:val="24"/>
          <w:highlight w:val="none"/>
          <w:u w:val="singl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372"/>
        <w:jc w:val="center"/>
        <w:spacing w:line="560" w:lineRule="exact"/>
        <w:rPr>
          <w:rFonts w:ascii="宋体"/>
          <w:b/>
          <w:bCs/>
          <w:sz w:val="32"/>
          <w:szCs w:val="32"/>
          <w:highlight w:val="none"/>
        </w:rPr>
      </w:pPr>
      <w:r>
        <w:rPr>
          <w:rFonts w:ascii="仿宋_GB2312" w:eastAsia="仿宋_GB2312"/>
          <w:sz w:val="24"/>
          <w:highlight w:val="none"/>
        </w:rPr>
        <w:br w:type="page" w:clear="all"/>
      </w:r>
      <w:bookmarkStart w:id="120" w:name="_Toc406_WPSOffice_Level2"/>
      <w:r>
        <w:rPr>
          <w:rFonts w:hint="eastAsia" w:ascii="宋体"/>
          <w:b/>
          <w:bCs/>
          <w:sz w:val="32"/>
          <w:szCs w:val="32"/>
          <w:highlight w:val="none"/>
        </w:rPr>
        <w:t xml:space="preserve">法定代表人授权委托书</w:t>
      </w:r>
      <w:bookmarkEnd w:id="120"/>
      <w:r/>
      <w:r/>
    </w:p>
    <w:p>
      <w:pPr>
        <w:pStyle w:val="1372"/>
        <w:spacing w:line="600" w:lineRule="exact"/>
        <w:rPr>
          <w:rFonts w:ascii="微软雅黑" w:eastAsia="微软雅黑"/>
          <w:sz w:val="32"/>
          <w:highlight w:val="none"/>
        </w:rPr>
      </w:pPr>
      <w:r>
        <w:rPr>
          <w:rFonts w:ascii="微软雅黑" w:eastAsia="微软雅黑"/>
          <w:sz w:val="32"/>
          <w:highlight w:val="none"/>
        </w:rPr>
      </w:r>
      <w:r/>
    </w:p>
    <w:p>
      <w:pPr>
        <w:pStyle w:val="1275"/>
        <w:rPr>
          <w:sz w:val="32"/>
          <w:szCs w:val="32"/>
          <w:highlight w:val="none"/>
          <w:u w:val="single"/>
        </w:rPr>
      </w:pPr>
      <w:r>
        <w:rPr>
          <w:rFonts w:hint="eastAsia"/>
          <w:sz w:val="32"/>
          <w:szCs w:val="32"/>
          <w:highlight w:val="none"/>
          <w:u w:val="single"/>
        </w:rPr>
        <w:t xml:space="preserve">          </w:t>
      </w:r>
      <w:r>
        <w:rPr>
          <w:rFonts w:hint="eastAsia" w:ascii="仿宋_GB2312" w:eastAsia="仿宋_GB2312"/>
          <w:sz w:val="24"/>
          <w:highlight w:val="none"/>
          <w:u w:val="single"/>
        </w:rPr>
        <w:t xml:space="preserve">（采购人名称）</w:t>
      </w:r>
      <w:r>
        <w:rPr>
          <w:rFonts w:hint="eastAsia" w:ascii="仿宋_GB2312" w:eastAsia="仿宋_GB2312"/>
          <w:sz w:val="24"/>
          <w:highlight w:val="none"/>
        </w:rPr>
        <w:t xml:space="preserve">：</w:t>
      </w:r>
      <w:r/>
    </w:p>
    <w:p>
      <w:pPr>
        <w:pStyle w:val="1372"/>
        <w:spacing w:line="600" w:lineRule="exact"/>
        <w:rPr>
          <w:rFonts w:ascii="仿宋_GB2312" w:eastAsia="仿宋_GB2312"/>
          <w:sz w:val="24"/>
          <w:highlight w:val="none"/>
        </w:rPr>
      </w:pPr>
      <w:r>
        <w:rPr>
          <w:rFonts w:hint="eastAsia" w:ascii="仿宋_GB2312" w:eastAsia="仿宋_GB2312"/>
          <w:sz w:val="24"/>
          <w:highlight w:val="none"/>
          <w:u w:val="single"/>
        </w:rPr>
        <w:t xml:space="preserve">      （单位名称）</w:t>
      </w:r>
      <w:r>
        <w:rPr>
          <w:rFonts w:hint="eastAsia" w:ascii="仿宋_GB2312" w:eastAsia="仿宋_GB2312"/>
          <w:sz w:val="24"/>
          <w:highlight w:val="none"/>
        </w:rPr>
        <w:t xml:space="preserve">法定代表人授权我单位</w:t>
      </w:r>
      <w:r>
        <w:rPr>
          <w:rFonts w:hint="eastAsia" w:ascii="仿宋_GB2312" w:eastAsia="仿宋_GB2312"/>
          <w:sz w:val="24"/>
          <w:highlight w:val="none"/>
          <w:u w:val="single"/>
        </w:rPr>
        <w:t xml:space="preserve">    （职务或职称）   （姓名）</w:t>
      </w:r>
      <w:r>
        <w:rPr>
          <w:rFonts w:hint="eastAsia" w:ascii="仿宋_GB2312" w:eastAsia="仿宋_GB2312"/>
          <w:sz w:val="24"/>
          <w:highlight w:val="none"/>
        </w:rPr>
        <w:t xml:space="preserve">为我单位本次授权代理人，全权处理此次</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公开招标活动的一切事宜。</w:t>
      </w:r>
      <w:r/>
    </w:p>
    <w:p>
      <w:pPr>
        <w:pStyle w:val="1372"/>
        <w:ind w:firstLine="630"/>
        <w:spacing w:line="600" w:lineRule="exact"/>
        <w:rPr>
          <w:rFonts w:ascii="仿宋_GB2312" w:eastAsia="仿宋_GB2312"/>
          <w:sz w:val="24"/>
          <w:highlight w:val="none"/>
        </w:rPr>
      </w:pPr>
      <w:r>
        <w:rPr>
          <w:rFonts w:hint="eastAsia" w:ascii="仿宋_GB2312" w:eastAsia="仿宋_GB2312"/>
          <w:sz w:val="24"/>
          <w:highlight w:val="none"/>
        </w:rPr>
        <w:t xml:space="preserve">特此授权</w:t>
      </w:r>
      <w:r/>
    </w:p>
    <w:p>
      <w:pPr>
        <w:pStyle w:val="1372"/>
        <w:ind w:firstLine="480"/>
        <w:spacing w:line="560" w:lineRule="exact"/>
        <w:rPr>
          <w:rFonts w:ascii="仿宋_GB2312" w:eastAsia="仿宋_GB2312"/>
          <w:sz w:val="24"/>
          <w:highlight w:val="none"/>
        </w:rPr>
      </w:pPr>
      <w:r>
        <w:rPr>
          <w:rFonts w:ascii="仿宋_GB2312" w:eastAsia="仿宋_GB2312"/>
          <w:sz w:val="24"/>
          <w:highlight w:val="none"/>
        </w:rPr>
      </w:r>
      <w:r/>
    </w:p>
    <w:p>
      <w:pPr>
        <w:pStyle w:val="1267"/>
        <w:ind w:firstLine="482"/>
        <w:spacing w:line="560" w:lineRule="exact"/>
        <w:rPr>
          <w:rFonts w:ascii="仿宋_GB2312" w:eastAsia="仿宋_GB2312"/>
          <w:b/>
          <w:sz w:val="24"/>
          <w:highlight w:val="none"/>
        </w:rPr>
      </w:pPr>
      <w:r>
        <w:rPr>
          <w:rFonts w:hint="eastAsia" w:ascii="仿宋_GB2312" w:eastAsia="仿宋_GB2312"/>
          <w:b/>
          <w:sz w:val="24"/>
          <w:highlight w:val="none"/>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267"/>
        <w:ind w:firstLine="630"/>
        <w:spacing w:line="600" w:lineRule="exact"/>
        <w:rPr>
          <w:rFonts w:ascii="仿宋_GB2312" w:eastAsia="仿宋_GB2312"/>
          <w:b/>
          <w:sz w:val="24"/>
          <w:highlight w:val="none"/>
        </w:rPr>
      </w:pPr>
      <w:r>
        <w:rPr>
          <w:rFonts w:ascii="仿宋_GB2312" w:eastAsia="仿宋_GB2312"/>
          <w:b/>
          <w:sz w:val="24"/>
          <w:highlight w:val="none"/>
        </w:rPr>
      </w:r>
      <w:r/>
    </w:p>
    <w:p>
      <w:pPr>
        <w:pStyle w:val="1372"/>
        <w:ind w:firstLine="629"/>
        <w:jc w:val="right"/>
        <w:spacing w:line="700" w:lineRule="exact"/>
        <w:rPr>
          <w:rFonts w:ascii="仿宋_GB2312" w:eastAsia="仿宋_GB2312"/>
          <w:sz w:val="24"/>
          <w:highlight w:val="non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highlight w:val="none"/>
          <w:u w:val="single"/>
        </w:rPr>
        <w:t xml:space="preserve">（公章）</w:t>
      </w:r>
      <w:r/>
    </w:p>
    <w:p>
      <w:pPr>
        <w:pStyle w:val="1372"/>
        <w:ind w:firstLine="629"/>
        <w:jc w:val="right"/>
        <w:spacing w:line="700" w:lineRule="exact"/>
        <w:rPr>
          <w:rFonts w:ascii="仿宋_GB2312" w:eastAsia="仿宋_GB2312"/>
          <w:sz w:val="24"/>
          <w:highlight w:val="non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（签字或签章）</w:t>
      </w:r>
      <w:r/>
    </w:p>
    <w:p>
      <w:pPr>
        <w:pStyle w:val="1372"/>
        <w:ind w:firstLine="629"/>
        <w:jc w:val="right"/>
        <w:spacing w:line="700" w:lineRule="exact"/>
        <w:rPr>
          <w:rFonts w:ascii="仿宋_GB2312" w:eastAsia="仿宋_GB2312"/>
          <w:sz w:val="24"/>
          <w:highlight w:val="none"/>
        </w:rPr>
      </w:pPr>
      <w:r>
        <w:rPr>
          <w:rFonts w:hint="eastAsia" w:ascii="仿宋_GB2312" w:eastAsia="仿宋_GB2312"/>
          <w:sz w:val="24"/>
          <w:highlight w:val="none"/>
        </w:rPr>
        <w:t xml:space="preserve">法人授权代表：</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（签字）</w:t>
      </w:r>
      <w:r/>
    </w:p>
    <w:p>
      <w:pPr>
        <w:pStyle w:val="1313"/>
        <w:ind w:firstLine="720"/>
        <w:jc w:val="right"/>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280"/>
        <w:rPr>
          <w:highlight w:val="none"/>
        </w:rPr>
        <w:outlineLvl w:val="1"/>
      </w:pPr>
      <w:r>
        <w:rPr>
          <w:highlight w:val="none"/>
        </w:rPr>
        <w:br w:type="page" w:clear="all"/>
      </w:r>
      <w:bookmarkStart w:id="121" w:name="_Toc514054494"/>
      <w:r/>
      <w:bookmarkStart w:id="122" w:name="_Toc12853"/>
      <w:r>
        <w:rPr>
          <w:rFonts w:hint="eastAsia"/>
          <w:highlight w:val="none"/>
          <w:lang w:val="en-US" w:eastAsia="zh-CN"/>
        </w:rPr>
        <w:t xml:space="preserve">十</w:t>
      </w:r>
      <w:r>
        <w:rPr>
          <w:rFonts w:hint="eastAsia"/>
          <w:highlight w:val="none"/>
        </w:rPr>
        <w:t xml:space="preserve">、</w:t>
      </w:r>
      <w:r>
        <w:rPr>
          <w:highlight w:val="none"/>
        </w:rPr>
        <w:t xml:space="preserve">开标一览表</w:t>
      </w:r>
      <w:bookmarkEnd w:id="121"/>
      <w:r/>
      <w:bookmarkEnd w:id="122"/>
      <w:r/>
      <w:r/>
    </w:p>
    <w:p>
      <w:pPr>
        <w:pStyle w:val="1136"/>
        <w:spacing w:line="360" w:lineRule="auto"/>
        <w:rPr>
          <w:rFonts w:ascii="仿宋_GB2312" w:eastAsia="仿宋_GB2312"/>
          <w:szCs w:val="20"/>
          <w:highlight w:val="none"/>
        </w:rPr>
      </w:pPr>
      <w:r/>
      <w:bookmarkStart w:id="123" w:name="_Toc514054495"/>
      <w:r/>
      <w:bookmarkStart w:id="124" w:name="_Toc8851"/>
      <w:r/>
      <w:r/>
    </w:p>
    <w:p>
      <w:pPr>
        <w:pStyle w:val="1136"/>
        <w:spacing w:line="360" w:lineRule="auto"/>
        <w:rPr>
          <w:rFonts w:ascii="仿宋_GB2312" w:eastAsia="仿宋_GB2312"/>
          <w:szCs w:val="20"/>
          <w:highlight w:val="none"/>
        </w:rPr>
      </w:pPr>
      <w:r>
        <w:rPr>
          <w:rFonts w:hint="eastAsia" w:ascii="仿宋_GB2312" w:eastAsia="仿宋_GB2312"/>
          <w:szCs w:val="20"/>
          <w:highlight w:val="none"/>
        </w:rPr>
        <w:t xml:space="preserve">项目编号：</w:t>
      </w:r>
      <w:r/>
    </w:p>
    <w:p>
      <w:pPr>
        <w:pStyle w:val="1136"/>
        <w:spacing w:line="360" w:lineRule="auto"/>
        <w:rPr>
          <w:rFonts w:ascii="仿宋_GB2312" w:eastAsia="仿宋_GB2312"/>
          <w:szCs w:val="20"/>
          <w:highlight w:val="none"/>
        </w:rPr>
      </w:pPr>
      <w:r>
        <w:rPr>
          <w:rFonts w:hint="eastAsia" w:ascii="仿宋_GB2312" w:eastAsia="仿宋_GB2312"/>
          <w:szCs w:val="20"/>
          <w:highlight w:val="none"/>
        </w:rPr>
        <w:t xml:space="preserve">项目名称：</w:t>
      </w:r>
      <w:r/>
    </w:p>
    <w:tbl>
      <w:tblPr>
        <w:tblStyle w:val="77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4"/>
              <w:jc w:val="both"/>
              <w:rPr>
                <w:highlight w:val="none"/>
              </w:rPr>
            </w:pPr>
            <w:r>
              <w:rPr>
                <w:rFonts w:hint="eastAsia"/>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4"/>
              <w:jc w:val="both"/>
              <w:spacing w:line="0" w:lineRule="atLeast"/>
              <w:rPr>
                <w:highlight w:val="none"/>
              </w:rPr>
            </w:pPr>
            <w:r>
              <w:rPr>
                <w:rFonts w:hint="eastAsia"/>
                <w:highlight w:val="none"/>
              </w:rPr>
              <w:t xml:space="preserve">小写：                 （人民币：元）</w:t>
            </w:r>
            <w:r/>
          </w:p>
        </w:tc>
      </w:tr>
    </w:tbl>
    <w:p>
      <w:pPr>
        <w:pStyle w:val="1136"/>
        <w:spacing w:line="360" w:lineRule="auto"/>
        <w:rPr>
          <w:highlight w:val="none"/>
        </w:rPr>
      </w:pPr>
      <w:r>
        <w:rPr>
          <w:highlight w:val="none"/>
        </w:rPr>
      </w:r>
      <w:r/>
    </w:p>
    <w:p>
      <w:pPr>
        <w:pStyle w:val="1136"/>
        <w:spacing w:line="360" w:lineRule="auto"/>
        <w:rPr>
          <w:rFonts w:ascii="仿宋_GB2312" w:eastAsia="仿宋_GB2312"/>
          <w:szCs w:val="20"/>
          <w:highlight w:val="none"/>
        </w:rPr>
      </w:pPr>
      <w:r>
        <w:rPr>
          <w:rFonts w:hint="eastAsia"/>
          <w:highlight w:val="none"/>
        </w:rPr>
        <w:t xml:space="preserve">日期：  </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pStyle w:val="1140"/>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单位名称：（加盖CA电子公章）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40"/>
        <w:spacing w:line="700" w:lineRule="exact"/>
        <w:rPr>
          <w:rFonts w:ascii="仿宋_GB2312" w:eastAsia="仿宋_GB2312"/>
          <w:sz w:val="24"/>
          <w:highlight w:val="none"/>
          <w:u w:val="single"/>
        </w:rPr>
      </w:pPr>
      <w:r>
        <w:rPr>
          <w:rFonts w:hint="eastAsia" w:ascii="仿宋_GB2312" w:eastAsia="仿宋_GB2312"/>
          <w:sz w:val="24"/>
          <w:highlight w:val="none"/>
        </w:rPr>
        <w:t xml:space="preserve">法定代表人（或授权代表）：（签字或盖章）</w:t>
      </w:r>
      <w:r>
        <w:rPr>
          <w:rFonts w:hint="eastAsia" w:ascii="仿宋_GB2312" w:eastAsia="仿宋_GB2312"/>
          <w:sz w:val="24"/>
          <w:highlight w:val="none"/>
          <w:u w:val="single"/>
        </w:rPr>
        <w:t xml:space="preserve">              </w:t>
      </w:r>
      <w:r/>
    </w:p>
    <w:p>
      <w:pPr>
        <w:pStyle w:val="1136"/>
        <w:spacing w:line="360" w:lineRule="auto"/>
        <w:rPr>
          <w:rFonts w:ascii="仿宋_GB2312" w:eastAsia="仿宋_GB2312"/>
          <w:szCs w:val="20"/>
          <w:highlight w:val="none"/>
        </w:rPr>
      </w:pPr>
      <w:r>
        <w:rPr>
          <w:rFonts w:hint="eastAsia"/>
          <w:highlight w:val="none"/>
        </w:rPr>
        <w:br w:type="page" w:clear="all"/>
      </w:r>
      <w:r/>
    </w:p>
    <w:p>
      <w:pPr>
        <w:pStyle w:val="1136"/>
        <w:rPr>
          <w:highlight w:val="none"/>
        </w:rPr>
      </w:pPr>
      <w:r>
        <w:rPr>
          <w:rFonts w:hint="eastAsia"/>
          <w:highlight w:val="none"/>
        </w:rPr>
        <w:t xml:space="preserve"> </w:t>
      </w:r>
      <w:r/>
    </w:p>
    <w:p>
      <w:pPr>
        <w:pStyle w:val="1301"/>
        <w:numPr>
          <w:ilvl w:val="0"/>
          <w:numId w:val="0"/>
        </w:numPr>
        <w:rPr>
          <w:highlight w:val="none"/>
        </w:rPr>
        <w:outlineLvl w:val="1"/>
      </w:pPr>
      <w:r>
        <w:rPr>
          <w:rFonts w:hint="eastAsia"/>
          <w:highlight w:val="none"/>
          <w:lang w:val="en-US" w:eastAsia="zh-CN"/>
        </w:rPr>
        <w:t xml:space="preserve">十一、</w:t>
      </w:r>
      <w:r>
        <w:rPr>
          <w:highlight w:val="none"/>
        </w:rPr>
        <w:t xml:space="preserve">明细报价表</w:t>
      </w:r>
      <w:bookmarkEnd w:id="123"/>
      <w:r/>
      <w:bookmarkEnd w:id="124"/>
      <w:r/>
      <w:r/>
    </w:p>
    <w:tbl>
      <w:tblPr>
        <w:tblStyle w:val="770"/>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4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1793" w:type="dxa"/>
            <w:vAlign w:val="center"/>
            <w:textDirection w:val="lrTb"/>
            <w:noWrap w:val="false"/>
          </w:tcPr>
          <w:p>
            <w:pPr>
              <w:pStyle w:val="114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货物名称</w:t>
            </w:r>
            <w:r/>
          </w:p>
        </w:tc>
        <w:tc>
          <w:tcPr>
            <w:tcW w:w="2200" w:type="dxa"/>
            <w:vAlign w:val="center"/>
            <w:textDirection w:val="lrTb"/>
            <w:noWrap w:val="false"/>
          </w:tcPr>
          <w:p>
            <w:pPr>
              <w:pStyle w:val="114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品牌.型号.产地</w:t>
            </w:r>
            <w:r/>
          </w:p>
        </w:tc>
        <w:tc>
          <w:tcPr>
            <w:tcW w:w="1103" w:type="dxa"/>
            <w:vAlign w:val="center"/>
            <w:textDirection w:val="lrTb"/>
            <w:noWrap w:val="false"/>
          </w:tcPr>
          <w:p>
            <w:pPr>
              <w:pStyle w:val="114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单价</w:t>
            </w:r>
            <w:r/>
          </w:p>
          <w:p>
            <w:pPr>
              <w:pStyle w:val="114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（元）</w:t>
            </w:r>
            <w:r/>
          </w:p>
        </w:tc>
        <w:tc>
          <w:tcPr>
            <w:tcW w:w="1949" w:type="dxa"/>
            <w:vAlign w:val="center"/>
            <w:textDirection w:val="lrTb"/>
            <w:noWrap w:val="false"/>
          </w:tcPr>
          <w:p>
            <w:pPr>
              <w:pStyle w:val="114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数量</w:t>
            </w:r>
            <w:r/>
          </w:p>
        </w:tc>
        <w:tc>
          <w:tcPr>
            <w:tcW w:w="2023" w:type="dxa"/>
            <w:vAlign w:val="center"/>
            <w:textDirection w:val="lrTb"/>
            <w:noWrap w:val="false"/>
          </w:tcPr>
          <w:p>
            <w:pPr>
              <w:pStyle w:val="1146"/>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备注</w:t>
            </w:r>
            <w:r/>
          </w:p>
        </w:tc>
      </w:tr>
      <w:tr>
        <w:trPr>
          <w:cantSplit/>
          <w:jc w:val="center"/>
          <w:trHeight w:val="357"/>
        </w:trPr>
        <w:tc>
          <w:tcPr>
            <w:tcW w:w="656" w:type="dxa"/>
            <w:textDirection w:val="lrTb"/>
            <w:noWrap w:val="false"/>
          </w:tcPr>
          <w:p>
            <w:pPr>
              <w:pStyle w:val="114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4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4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70"/>
        </w:trPr>
        <w:tc>
          <w:tcPr>
            <w:tcW w:w="656" w:type="dxa"/>
            <w:textDirection w:val="lrTb"/>
            <w:noWrap w:val="false"/>
          </w:tcPr>
          <w:p>
            <w:pPr>
              <w:pStyle w:val="114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308"/>
        </w:trPr>
        <w:tc>
          <w:tcPr>
            <w:tcW w:w="656" w:type="dxa"/>
            <w:textDirection w:val="lrTb"/>
            <w:noWrap w:val="false"/>
          </w:tcPr>
          <w:p>
            <w:pPr>
              <w:pStyle w:val="1146"/>
              <w:spacing w:line="560" w:lineRule="exact"/>
              <w:widowControl/>
              <w:rPr>
                <w:rFonts w:ascii="仿宋_GB2312" w:eastAsia="仿宋_GB2312"/>
                <w:sz w:val="28"/>
                <w:szCs w:val="28"/>
                <w:highlight w:val="none"/>
              </w:rPr>
            </w:pPr>
            <w:r>
              <w:rPr>
                <w:rFonts w:ascii="仿宋_GB2312" w:eastAsia="仿宋_GB2312"/>
                <w:sz w:val="28"/>
                <w:szCs w:val="28"/>
                <w:highlight w:val="none"/>
              </w:rPr>
            </w:r>
            <w:r/>
          </w:p>
        </w:tc>
        <w:tc>
          <w:tcPr>
            <w:tcW w:w="1793"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200"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110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textDirection w:val="lrTb"/>
            <w:noWrap w:val="false"/>
          </w:tcPr>
          <w:p>
            <w:pPr>
              <w:pStyle w:val="1146"/>
              <w:jc w:val="center"/>
              <w:spacing w:line="560" w:lineRule="exact"/>
              <w:widowControl/>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165"/>
        </w:trPr>
        <w:tc>
          <w:tcPr>
            <w:tcW w:w="656" w:type="dxa"/>
            <w:vAlign w:val="center"/>
            <w:textDirection w:val="lrTb"/>
            <w:noWrap w:val="false"/>
          </w:tcPr>
          <w:p>
            <w:pPr>
              <w:pStyle w:val="1146"/>
              <w:jc w:val="center"/>
              <w:spacing w:line="560" w:lineRule="exact"/>
              <w:rPr>
                <w:rFonts w:ascii="仿宋_GB2312" w:eastAsia="仿宋_GB2312"/>
                <w:i/>
                <w:iCs/>
                <w:sz w:val="28"/>
                <w:szCs w:val="28"/>
                <w:highlight w:val="none"/>
              </w:rPr>
            </w:pPr>
            <w:r>
              <w:rPr>
                <w:rFonts w:hint="eastAsia" w:ascii="仿宋_GB2312" w:eastAsia="仿宋_GB2312"/>
                <w:i/>
                <w:iCs/>
                <w:sz w:val="28"/>
                <w:szCs w:val="28"/>
                <w:highlight w:val="none"/>
              </w:rPr>
              <w:t xml:space="preserve">…</w:t>
            </w:r>
            <w:r/>
          </w:p>
        </w:tc>
        <w:tc>
          <w:tcPr>
            <w:tcW w:w="1793" w:type="dxa"/>
            <w:vAlign w:val="center"/>
            <w:textDirection w:val="lrTb"/>
            <w:noWrap w:val="false"/>
          </w:tcPr>
          <w:p>
            <w:pPr>
              <w:pStyle w:val="1146"/>
              <w:jc w:val="center"/>
              <w:spacing w:line="560" w:lineRule="exact"/>
              <w:rPr>
                <w:rFonts w:ascii="仿宋_GB2312" w:eastAsia="仿宋_GB2312"/>
                <w:iCs/>
                <w:sz w:val="24"/>
                <w:highlight w:val="none"/>
              </w:rPr>
            </w:pPr>
            <w:r>
              <w:rPr>
                <w:rFonts w:ascii="仿宋_GB2312" w:eastAsia="仿宋_GB2312"/>
                <w:iCs/>
                <w:sz w:val="24"/>
                <w:highlight w:val="none"/>
              </w:rPr>
            </w:r>
            <w:r/>
          </w:p>
        </w:tc>
        <w:tc>
          <w:tcPr>
            <w:tcW w:w="2200" w:type="dxa"/>
            <w:vAlign w:val="center"/>
            <w:textDirection w:val="lrTb"/>
            <w:noWrap w:val="false"/>
          </w:tcPr>
          <w:p>
            <w:pPr>
              <w:pStyle w:val="1146"/>
              <w:jc w:val="center"/>
              <w:spacing w:line="560" w:lineRule="exact"/>
              <w:rPr>
                <w:rFonts w:ascii="仿宋_GB2312" w:eastAsia="仿宋_GB2312"/>
                <w:i/>
                <w:iCs/>
                <w:sz w:val="24"/>
                <w:highlight w:val="none"/>
              </w:rPr>
            </w:pPr>
            <w:r>
              <w:rPr>
                <w:rFonts w:ascii="仿宋_GB2312" w:eastAsia="仿宋_GB2312"/>
                <w:i/>
                <w:iCs/>
                <w:sz w:val="24"/>
                <w:highlight w:val="none"/>
              </w:rPr>
            </w:r>
            <w:r/>
          </w:p>
        </w:tc>
        <w:tc>
          <w:tcPr>
            <w:tcW w:w="110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c>
          <w:tcPr>
            <w:tcW w:w="1949"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c>
          <w:tcPr>
            <w:tcW w:w="2023"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165"/>
        </w:trPr>
        <w:tc>
          <w:tcPr>
            <w:tcW w:w="656" w:type="dxa"/>
            <w:vAlign w:val="center"/>
            <w:textDirection w:val="lrTb"/>
            <w:noWrap w:val="false"/>
          </w:tcPr>
          <w:p>
            <w:pPr>
              <w:pStyle w:val="1146"/>
              <w:jc w:val="center"/>
              <w:spacing w:line="560" w:lineRule="exact"/>
              <w:rPr>
                <w:rFonts w:ascii="仿宋_GB2312" w:eastAsia="仿宋_GB2312"/>
                <w:i/>
                <w:iCs/>
                <w:sz w:val="28"/>
                <w:szCs w:val="28"/>
                <w:highlight w:val="none"/>
              </w:rPr>
            </w:pPr>
            <w:r>
              <w:rPr>
                <w:rFonts w:ascii="仿宋_GB2312" w:eastAsia="仿宋_GB2312"/>
                <w:i/>
                <w:iCs/>
                <w:sz w:val="28"/>
                <w:szCs w:val="28"/>
                <w:highlight w:val="none"/>
              </w:rPr>
            </w:r>
            <w:r/>
          </w:p>
        </w:tc>
        <w:tc>
          <w:tcPr>
            <w:gridSpan w:val="2"/>
            <w:tcW w:w="3993" w:type="dxa"/>
            <w:vAlign w:val="center"/>
            <w:textDirection w:val="lrTb"/>
            <w:noWrap w:val="false"/>
          </w:tcPr>
          <w:p>
            <w:pPr>
              <w:pStyle w:val="1146"/>
              <w:jc w:val="center"/>
              <w:spacing w:line="560" w:lineRule="exact"/>
              <w:rPr>
                <w:rFonts w:ascii="仿宋_GB2312" w:eastAsia="仿宋_GB2312"/>
                <w:sz w:val="24"/>
                <w:highlight w:val="none"/>
              </w:rPr>
            </w:pPr>
            <w:r>
              <w:rPr>
                <w:rFonts w:hint="eastAsia" w:ascii="仿宋_GB2312" w:eastAsia="仿宋_GB2312"/>
                <w:iCs/>
                <w:sz w:val="24"/>
                <w:highlight w:val="none"/>
              </w:rPr>
              <w:t xml:space="preserve">合计</w:t>
            </w:r>
            <w:r/>
          </w:p>
        </w:tc>
        <w:tc>
          <w:tcPr>
            <w:gridSpan w:val="3"/>
            <w:tcW w:w="5075" w:type="dxa"/>
            <w:vAlign w:val="center"/>
            <w:textDirection w:val="lrTb"/>
            <w:noWrap w:val="false"/>
          </w:tcPr>
          <w:p>
            <w:pPr>
              <w:pStyle w:val="1146"/>
              <w:jc w:val="center"/>
              <w:spacing w:line="560" w:lineRule="exact"/>
              <w:rPr>
                <w:rFonts w:ascii="仿宋_GB2312" w:eastAsia="仿宋_GB2312"/>
                <w:sz w:val="24"/>
                <w:highlight w:val="none"/>
              </w:rPr>
            </w:pPr>
            <w:r>
              <w:rPr>
                <w:rFonts w:ascii="仿宋_GB2312" w:eastAsia="仿宋_GB2312"/>
                <w:sz w:val="24"/>
                <w:highlight w:val="none"/>
              </w:rPr>
            </w:r>
            <w:r/>
          </w:p>
        </w:tc>
      </w:tr>
      <w:tr>
        <w:trPr>
          <w:cantSplit/>
          <w:jc w:val="center"/>
          <w:trHeight w:val="470"/>
        </w:trPr>
        <w:tc>
          <w:tcPr>
            <w:gridSpan w:val="2"/>
            <w:tcW w:w="2449" w:type="dxa"/>
            <w:vAlign w:val="center"/>
            <w:textDirection w:val="lrTb"/>
            <w:noWrap w:val="false"/>
          </w:tcPr>
          <w:p>
            <w:pPr>
              <w:pStyle w:val="1146"/>
              <w:jc w:val="center"/>
              <w:spacing w:line="560" w:lineRule="exact"/>
              <w:rPr>
                <w:rFonts w:ascii="仿宋_GB2312" w:eastAsia="仿宋_GB2312"/>
                <w:b/>
                <w:bCs/>
                <w:sz w:val="24"/>
                <w:highlight w:val="none"/>
              </w:rPr>
            </w:pPr>
            <w:r>
              <w:rPr>
                <w:rFonts w:hint="eastAsia" w:ascii="仿宋_GB2312" w:eastAsia="仿宋_GB2312"/>
                <w:b/>
                <w:bCs/>
                <w:sz w:val="28"/>
                <w:szCs w:val="28"/>
                <w:highlight w:val="none"/>
              </w:rPr>
              <w:t xml:space="preserve">投标报价总计</w:t>
            </w:r>
            <w:r/>
          </w:p>
        </w:tc>
        <w:tc>
          <w:tcPr>
            <w:gridSpan w:val="4"/>
            <w:tcW w:w="7275" w:type="dxa"/>
            <w:vAlign w:val="center"/>
            <w:textDirection w:val="lrTb"/>
            <w:noWrap w:val="false"/>
          </w:tcPr>
          <w:p>
            <w:pPr>
              <w:pStyle w:val="1146"/>
              <w:spacing w:line="560" w:lineRule="exact"/>
              <w:rPr>
                <w:rFonts w:ascii="仿宋_GB2312" w:eastAsia="仿宋_GB2312"/>
                <w:b/>
                <w:bCs/>
                <w:sz w:val="24"/>
                <w:highlight w:val="none"/>
              </w:rPr>
            </w:pPr>
            <w:r>
              <w:rPr>
                <w:rFonts w:hint="eastAsia" w:ascii="仿宋_GB2312" w:eastAsia="仿宋_GB2312"/>
                <w:b/>
                <w:bCs/>
                <w:sz w:val="24"/>
                <w:highlight w:val="none"/>
              </w:rPr>
              <w:t xml:space="preserve">￥</w:t>
            </w:r>
            <w:r>
              <w:rPr>
                <w:rFonts w:hint="eastAsia" w:ascii="仿宋_GB2312" w:eastAsia="仿宋_GB2312"/>
                <w:b/>
                <w:bCs/>
                <w:sz w:val="24"/>
                <w:highlight w:val="none"/>
                <w:u w:val="single"/>
              </w:rPr>
              <w:t xml:space="preserve">                          </w:t>
            </w:r>
            <w:r/>
          </w:p>
          <w:p>
            <w:pPr>
              <w:pStyle w:val="1146"/>
              <w:spacing w:line="560" w:lineRule="exact"/>
              <w:rPr>
                <w:rFonts w:ascii="仿宋_GB2312" w:eastAsia="仿宋_GB2312"/>
                <w:b/>
                <w:bCs/>
                <w:sz w:val="24"/>
                <w:highlight w:val="none"/>
              </w:rPr>
            </w:pPr>
            <w:r>
              <w:rPr>
                <w:rFonts w:hint="eastAsia" w:ascii="仿宋_GB2312" w:eastAsia="仿宋_GB2312"/>
                <w:b/>
                <w:bCs/>
                <w:sz w:val="24"/>
                <w:highlight w:val="none"/>
              </w:rPr>
              <w:t xml:space="preserve">人民币（大写）：</w:t>
            </w:r>
            <w:r/>
          </w:p>
          <w:p>
            <w:pPr>
              <w:pStyle w:val="1146"/>
              <w:spacing w:line="560" w:lineRule="exact"/>
              <w:rPr>
                <w:rFonts w:ascii="仿宋_GB2312" w:eastAsia="仿宋_GB2312"/>
                <w:b/>
                <w:bCs/>
                <w:sz w:val="24"/>
                <w:highlight w:val="none"/>
              </w:rPr>
            </w:pP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万</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仟</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佰</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拾</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元</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角</w:t>
            </w:r>
            <w:r>
              <w:rPr>
                <w:rFonts w:hint="eastAsia" w:ascii="仿宋_GB2312" w:eastAsia="仿宋_GB2312"/>
                <w:b/>
                <w:bCs/>
                <w:sz w:val="24"/>
                <w:highlight w:val="none"/>
                <w:u w:val="single"/>
              </w:rPr>
              <w:t xml:space="preserve">   </w:t>
            </w:r>
            <w:r>
              <w:rPr>
                <w:rFonts w:hint="eastAsia" w:ascii="仿宋_GB2312" w:eastAsia="仿宋_GB2312"/>
                <w:b/>
                <w:bCs/>
                <w:sz w:val="24"/>
                <w:highlight w:val="none"/>
              </w:rPr>
              <w:t xml:space="preserve">分</w:t>
            </w:r>
            <w:r/>
          </w:p>
        </w:tc>
      </w:tr>
      <w:tr>
        <w:trPr>
          <w:cantSplit/>
          <w:jc w:val="center"/>
          <w:trHeight w:val="470"/>
        </w:trPr>
        <w:tc>
          <w:tcPr>
            <w:gridSpan w:val="6"/>
            <w:tcW w:w="9724" w:type="dxa"/>
            <w:vAlign w:val="center"/>
            <w:textDirection w:val="lrTb"/>
            <w:noWrap w:val="false"/>
          </w:tcPr>
          <w:p>
            <w:pPr>
              <w:pStyle w:val="1146"/>
              <w:spacing w:line="560" w:lineRule="exact"/>
              <w:rPr>
                <w:rFonts w:ascii="仿宋_GB2312" w:eastAsia="仿宋_GB2312"/>
                <w:b/>
                <w:bCs/>
                <w:sz w:val="24"/>
                <w:highlight w:val="none"/>
                <w:u w:val="single"/>
              </w:rPr>
            </w:pPr>
            <w:r>
              <w:rPr>
                <w:rFonts w:hint="eastAsia" w:hAnsi="宋体"/>
                <w:bCs/>
                <w:sz w:val="24"/>
                <w:szCs w:val="28"/>
                <w:highlight w:val="none"/>
              </w:rPr>
              <w:t xml:space="preserve">本采购包中提供的符合本国产品标准的产品成本之和占该采购包提供的全部产品成本之和的比例为***%。</w:t>
            </w:r>
            <w:r/>
          </w:p>
        </w:tc>
      </w:tr>
    </w:tbl>
    <w:p>
      <w:pPr>
        <w:pStyle w:val="1140"/>
        <w:ind w:firstLine="629"/>
        <w:rPr>
          <w:rFonts w:ascii="仿宋_GB2312" w:eastAsia="仿宋_GB2312"/>
          <w:sz w:val="24"/>
          <w:highlight w:val="none"/>
        </w:rPr>
      </w:pPr>
      <w:r>
        <w:rPr>
          <w:rFonts w:ascii="仿宋_GB2312" w:eastAsia="仿宋_GB2312"/>
          <w:sz w:val="24"/>
          <w:highlight w:val="none"/>
        </w:rPr>
      </w:r>
      <w:r/>
    </w:p>
    <w:p>
      <w:pPr>
        <w:pStyle w:val="1140"/>
        <w:ind w:firstLine="560"/>
        <w:spacing w:line="40" w:lineRule="atLeast"/>
        <w:rPr>
          <w:rFonts w:ascii="仿宋_GB2312" w:eastAsia="仿宋_GB2312"/>
          <w:sz w:val="28"/>
          <w:szCs w:val="21"/>
          <w:highlight w:val="none"/>
          <w:u w:val="single"/>
        </w:rPr>
      </w:pPr>
      <w:r>
        <w:rPr>
          <w:rFonts w:hint="eastAsia" w:ascii="仿宋_GB2312" w:eastAsia="仿宋_GB2312"/>
          <w:sz w:val="28"/>
          <w:szCs w:val="21"/>
          <w:highlight w:val="none"/>
        </w:rPr>
        <w:t xml:space="preserve">单位名称：（加盖CA电子公章）</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rPr>
          <w:rFonts w:ascii="仿宋_GB2312" w:eastAsia="仿宋_GB2312"/>
          <w:sz w:val="28"/>
          <w:szCs w:val="21"/>
          <w:highlight w:val="none"/>
          <w:u w:val="single"/>
        </w:rPr>
        <w:t xml:space="preserve"> </w:t>
      </w:r>
      <w:r>
        <w:rPr>
          <w:rFonts w:hint="eastAsia" w:ascii="仿宋_GB2312" w:eastAsia="仿宋_GB2312"/>
          <w:sz w:val="28"/>
          <w:szCs w:val="21"/>
          <w:highlight w:val="none"/>
          <w:u w:val="single"/>
        </w:rPr>
        <w:t xml:space="preserve">       </w:t>
      </w:r>
      <w:r/>
    </w:p>
    <w:p>
      <w:pPr>
        <w:pStyle w:val="1140"/>
        <w:ind w:firstLine="560"/>
        <w:spacing w:line="40" w:lineRule="atLeast"/>
        <w:rPr>
          <w:rFonts w:ascii="仿宋_GB2312" w:eastAsia="仿宋_GB2312"/>
          <w:sz w:val="28"/>
          <w:szCs w:val="21"/>
          <w:highlight w:val="none"/>
        </w:rPr>
      </w:pPr>
      <w:r>
        <w:rPr>
          <w:rFonts w:hint="eastAsia" w:ascii="仿宋_GB2312" w:eastAsia="仿宋_GB2312"/>
          <w:sz w:val="28"/>
          <w:szCs w:val="21"/>
          <w:highlight w:val="none"/>
        </w:rPr>
        <w:t xml:space="preserve">法定代表人（或授权代表）：（签字或盖章）</w:t>
      </w:r>
      <w:r>
        <w:rPr>
          <w:rFonts w:hint="eastAsia" w:ascii="仿宋_GB2312" w:eastAsia="仿宋_GB2312"/>
          <w:sz w:val="28"/>
          <w:szCs w:val="21"/>
          <w:highlight w:val="none"/>
          <w:u w:val="single"/>
        </w:rPr>
        <w:t xml:space="preserve">              </w:t>
      </w:r>
      <w:r/>
    </w:p>
    <w:p>
      <w:pPr>
        <w:ind w:firstLine="480"/>
        <w:spacing w:after="120" w:line="40" w:lineRule="atLeast"/>
        <w:tabs>
          <w:tab w:val="left" w:pos="840" w:leader="none"/>
        </w:tabs>
        <w:rPr>
          <w:rFonts w:hAnsi="宋体"/>
          <w:bCs/>
          <w:sz w:val="24"/>
          <w:szCs w:val="28"/>
          <w:highlight w:val="none"/>
        </w:rPr>
      </w:pPr>
      <w:r>
        <w:rPr>
          <w:rFonts w:hAnsi="宋体"/>
          <w:bCs/>
          <w:sz w:val="24"/>
          <w:szCs w:val="28"/>
          <w:highlight w:val="none"/>
        </w:rPr>
      </w:r>
      <w:r/>
    </w:p>
    <w:p>
      <w:pPr>
        <w:ind w:firstLine="480"/>
        <w:spacing w:after="120" w:line="300" w:lineRule="auto"/>
        <w:tabs>
          <w:tab w:val="left" w:pos="840" w:leader="none"/>
        </w:tabs>
        <w:rPr>
          <w:rFonts w:hAnsi="宋体" w:cs="宋体"/>
          <w:bCs/>
          <w:sz w:val="24"/>
          <w:szCs w:val="24"/>
          <w:highlight w:val="none"/>
        </w:rPr>
      </w:pPr>
      <w:r>
        <w:rPr>
          <w:rFonts w:hint="eastAsia" w:hAnsi="宋体" w:cs="宋体"/>
          <w:bCs/>
          <w:sz w:val="24"/>
          <w:szCs w:val="24"/>
          <w:highlight w:val="none"/>
        </w:rPr>
        <w:t xml:space="preserve">注：</w:t>
      </w:r>
      <w:r/>
    </w:p>
    <w:p>
      <w:pPr>
        <w:ind w:firstLine="480"/>
        <w:spacing w:after="120" w:line="300" w:lineRule="auto"/>
        <w:tabs>
          <w:tab w:val="left" w:pos="840" w:leader="none"/>
        </w:tabs>
        <w:rPr>
          <w:rFonts w:hAnsi="宋体" w:cs="宋体"/>
          <w:bCs/>
          <w:sz w:val="24"/>
          <w:szCs w:val="24"/>
          <w:highlight w:val="none"/>
        </w:rPr>
      </w:pPr>
      <w:r>
        <w:rPr>
          <w:rFonts w:hint="eastAsia" w:hAnsi="宋体" w:cs="宋体"/>
          <w:bCs/>
          <w:sz w:val="24"/>
          <w:szCs w:val="24"/>
          <w:highlight w:val="none"/>
        </w:rPr>
        <w:t xml:space="preserve">1、“分项报价表”中“</w:t>
      </w:r>
      <w:r>
        <w:rPr>
          <w:rFonts w:hint="eastAsia" w:ascii="仿宋_GB2312" w:eastAsia="仿宋_GB2312"/>
          <w:b/>
          <w:bCs/>
          <w:sz w:val="28"/>
          <w:szCs w:val="28"/>
          <w:highlight w:val="none"/>
        </w:rPr>
        <w:t xml:space="preserve">投标报价总计</w:t>
      </w:r>
      <w:r>
        <w:rPr>
          <w:rFonts w:hint="eastAsia" w:hAnsi="宋体" w:cs="宋体"/>
          <w:bCs/>
          <w:sz w:val="24"/>
          <w:szCs w:val="24"/>
          <w:highlight w:val="none"/>
        </w:rPr>
        <w:t xml:space="preserve">”金额应当与“开标一览表”中“投标报价”金额一致。</w:t>
      </w:r>
      <w:r/>
    </w:p>
    <w:p>
      <w:pPr>
        <w:ind w:firstLine="480"/>
        <w:spacing w:after="120" w:line="300" w:lineRule="auto"/>
        <w:tabs>
          <w:tab w:val="left" w:pos="840" w:leader="none"/>
        </w:tabs>
        <w:rPr>
          <w:rFonts w:hAnsi="宋体"/>
          <w:bCs/>
          <w:sz w:val="24"/>
          <w:szCs w:val="24"/>
          <w:highlight w:val="none"/>
        </w:rPr>
      </w:pPr>
      <w:r>
        <w:rPr>
          <w:rFonts w:hint="eastAsia" w:hAnsi="宋体" w:cs="宋体"/>
          <w:bCs/>
          <w:sz w:val="24"/>
          <w:szCs w:val="24"/>
          <w:highlight w:val="none"/>
        </w:rPr>
        <w:t xml:space="preserve">2、</w:t>
      </w:r>
      <w:r>
        <w:rPr>
          <w:rFonts w:hint="eastAsia" w:hAnsi="宋体"/>
          <w:bCs/>
          <w:sz w:val="24"/>
          <w:szCs w:val="24"/>
          <w:highlight w:val="none"/>
        </w:rPr>
        <w:t xml:space="preserve">涉及小型、微型、节能产品、环境标志等</w:t>
      </w:r>
      <w:r>
        <w:rPr>
          <w:rFonts w:hAnsi="宋体"/>
          <w:bCs/>
          <w:sz w:val="24"/>
          <w:szCs w:val="24"/>
          <w:highlight w:val="none"/>
        </w:rPr>
        <w:t xml:space="preserve">享受</w:t>
      </w:r>
      <w:r>
        <w:rPr>
          <w:rFonts w:hint="eastAsia" w:hAnsi="宋体"/>
          <w:bCs/>
          <w:sz w:val="24"/>
          <w:szCs w:val="24"/>
          <w:highlight w:val="none"/>
        </w:rPr>
        <w:t xml:space="preserve">政府</w:t>
      </w:r>
      <w:r>
        <w:rPr>
          <w:rFonts w:hAnsi="宋体"/>
          <w:bCs/>
          <w:sz w:val="24"/>
          <w:szCs w:val="24"/>
          <w:highlight w:val="none"/>
        </w:rPr>
        <w:t xml:space="preserve">采购</w:t>
      </w:r>
      <w:r>
        <w:rPr>
          <w:rFonts w:hint="eastAsia" w:hAnsi="宋体"/>
          <w:bCs/>
          <w:sz w:val="24"/>
          <w:szCs w:val="24"/>
          <w:highlight w:val="none"/>
        </w:rPr>
        <w:t xml:space="preserve">扶持</w:t>
      </w:r>
      <w:r>
        <w:rPr>
          <w:rFonts w:hAnsi="宋体"/>
          <w:bCs/>
          <w:sz w:val="24"/>
          <w:szCs w:val="24"/>
          <w:highlight w:val="none"/>
        </w:rPr>
        <w:t xml:space="preserve">政策</w:t>
      </w:r>
      <w:r>
        <w:rPr>
          <w:rFonts w:hint="eastAsia" w:hAnsi="宋体"/>
          <w:bCs/>
          <w:sz w:val="24"/>
          <w:szCs w:val="24"/>
          <w:highlight w:val="none"/>
        </w:rPr>
        <w:t xml:space="preserve">的</w:t>
      </w:r>
      <w:r>
        <w:rPr>
          <w:rFonts w:hAnsi="宋体"/>
          <w:bCs/>
          <w:sz w:val="24"/>
          <w:szCs w:val="24"/>
          <w:highlight w:val="none"/>
        </w:rPr>
        <w:t xml:space="preserve">项目，需在</w:t>
      </w:r>
      <w:r>
        <w:rPr>
          <w:rFonts w:hint="eastAsia" w:hAnsi="宋体"/>
          <w:bCs/>
          <w:sz w:val="24"/>
          <w:szCs w:val="24"/>
          <w:highlight w:val="none"/>
        </w:rPr>
        <w:t xml:space="preserve">备注中分别明确注明。</w:t>
      </w:r>
      <w:r/>
    </w:p>
    <w:p>
      <w:pPr>
        <w:ind w:firstLine="482"/>
        <w:spacing w:after="120" w:line="300" w:lineRule="auto"/>
        <w:tabs>
          <w:tab w:val="left" w:pos="840" w:leader="none"/>
        </w:tabs>
        <w:rPr>
          <w:rFonts w:hAnsi="宋体" w:cs="宋体"/>
          <w:b/>
          <w:i/>
          <w:iCs/>
          <w:sz w:val="24"/>
          <w:szCs w:val="24"/>
          <w:highlight w:val="none"/>
        </w:rPr>
      </w:pPr>
      <w:r>
        <w:rPr>
          <w:rFonts w:hint="eastAsia" w:hAnsi="宋体" w:cs="宋体"/>
          <w:b/>
          <w:i/>
          <w:iCs/>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230"/>
        <w:rPr>
          <w:highlight w:val="none"/>
        </w:rPr>
        <w:outlineLvl w:val="1"/>
      </w:pPr>
      <w:r/>
      <w:bookmarkStart w:id="125" w:name="_Toc514054496"/>
      <w:r/>
      <w:bookmarkStart w:id="126" w:name="_Toc10632"/>
      <w:r>
        <w:rPr>
          <w:highlight w:val="none"/>
        </w:rPr>
        <w:t xml:space="preserve">十</w:t>
      </w:r>
      <w:r>
        <w:rPr>
          <w:rFonts w:hint="eastAsia"/>
          <w:highlight w:val="none"/>
          <w:lang w:val="en-US" w:eastAsia="zh-CN"/>
        </w:rPr>
        <w:t xml:space="preserve">二</w:t>
      </w:r>
      <w:r>
        <w:rPr>
          <w:highlight w:val="none"/>
        </w:rPr>
        <w:t xml:space="preserve">、中小企业声明函</w:t>
      </w:r>
      <w:bookmarkEnd w:id="125"/>
      <w:r/>
      <w:bookmarkEnd w:id="126"/>
      <w:r/>
      <w:r/>
    </w:p>
    <w:p>
      <w:pPr>
        <w:jc w:val="center"/>
        <w:rPr>
          <w:rFonts w:ascii="楷体" w:hAnsi="楷体" w:eastAsia="楷体" w:cs="楷体"/>
          <w:sz w:val="32"/>
          <w:szCs w:val="32"/>
          <w:highlight w:val="none"/>
        </w:rPr>
      </w:pPr>
      <w:r>
        <w:rPr>
          <w:rStyle w:val="1052"/>
          <w:rFonts w:hint="eastAsia" w:ascii="楷体" w:hAnsi="楷体" w:eastAsia="楷体" w:cs="楷体"/>
          <w:sz w:val="32"/>
          <w:szCs w:val="32"/>
          <w:highlight w:val="none"/>
          <w:lang w:bidi="ar"/>
        </w:rPr>
        <w:t xml:space="preserve">中小企业声明函（货物）</w:t>
      </w:r>
      <w:r/>
    </w:p>
    <w:p>
      <w:pPr>
        <w:ind w:firstLine="480"/>
        <w:jc w:val="left"/>
        <w:spacing w:before="100" w:beforeAutospacing="1" w:after="100" w:afterAutospacing="1" w:line="435" w:lineRule="exact"/>
        <w:widowControl/>
        <w:rPr>
          <w:rFonts w:ascii="仿宋_GB2312" w:eastAsia="仿宋_GB2312"/>
          <w:sz w:val="24"/>
          <w:szCs w:val="24"/>
          <w:highlight w:val="none"/>
        </w:rPr>
      </w:pPr>
      <w:r>
        <w:rPr>
          <w:rFonts w:hint="eastAsia" w:ascii="仿宋_GB2312" w:eastAsia="仿宋_GB2312"/>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sz w:val="24"/>
          <w:szCs w:val="24"/>
          <w:highlight w:val="none"/>
          <w:u w:val="single"/>
        </w:rPr>
        <w:t xml:space="preserve">    （单位名称）</w:t>
      </w:r>
      <w:r>
        <w:rPr>
          <w:rFonts w:hint="eastAsia" w:ascii="仿宋" w:hAnsi="仿宋" w:eastAsia="仿宋" w:cs="仿宋"/>
          <w:sz w:val="24"/>
          <w:szCs w:val="24"/>
          <w:highlight w:val="none"/>
          <w:lang w:bidi="ar"/>
        </w:rPr>
        <w:t xml:space="preserve">的</w:t>
      </w:r>
      <w:r>
        <w:rPr>
          <w:rFonts w:hint="eastAsia" w:ascii="仿宋" w:hAnsi="仿宋" w:eastAsia="仿宋" w:cs="仿宋"/>
          <w:sz w:val="24"/>
          <w:szCs w:val="24"/>
          <w:highlight w:val="none"/>
          <w:u w:val="single"/>
          <w:lang w:bidi="ar"/>
        </w:rPr>
        <w:t xml:space="preserve"> </w:t>
      </w:r>
      <w:r>
        <w:rPr>
          <w:rFonts w:hint="eastAsia" w:ascii="仿宋_GB2312" w:eastAsia="仿宋_GB2312"/>
          <w:sz w:val="24"/>
          <w:szCs w:val="24"/>
          <w:highlight w:val="none"/>
          <w:u w:val="single"/>
        </w:rPr>
        <w:t xml:space="preserve">   （项目名称）采</w:t>
      </w:r>
      <w:r>
        <w:rPr>
          <w:rFonts w:hint="eastAsia" w:ascii="仿宋_GB2312" w:eastAsia="仿宋_GB2312"/>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35" w:lineRule="exact"/>
        <w:widowControl/>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1</w:t>
      </w:r>
      <w:r>
        <w:rPr>
          <w:rFonts w:hint="eastAsia" w:ascii="仿宋_GB2312" w:eastAsia="仿宋_GB2312"/>
          <w:sz w:val="24"/>
          <w:szCs w:val="24"/>
          <w:highlight w:val="none"/>
          <w:u w:val="single"/>
        </w:rPr>
        <w:t xml:space="preserve">.     </w:t>
      </w:r>
      <w:r>
        <w:rPr>
          <w:rFonts w:hint="eastAsia" w:ascii="仿宋" w:hAnsi="仿宋" w:eastAsia="仿宋" w:cs="仿宋"/>
          <w:sz w:val="24"/>
          <w:szCs w:val="24"/>
          <w:highlight w:val="none"/>
          <w:u w:val="single"/>
          <w:lang w:bidi="ar"/>
        </w:rPr>
        <w:t xml:space="preserve">（</w:t>
      </w:r>
      <w:r>
        <w:rPr>
          <w:rFonts w:hint="eastAsia" w:ascii="仿宋_GB2312" w:eastAsia="仿宋_GB2312"/>
          <w:sz w:val="24"/>
          <w:szCs w:val="24"/>
          <w:highlight w:val="none"/>
          <w:u w:val="single"/>
        </w:rPr>
        <w:t xml:space="preserve">标的名称）</w:t>
      </w:r>
      <w:r>
        <w:rPr>
          <w:rFonts w:hint="eastAsia" w:ascii="仿宋" w:hAnsi="仿宋" w:eastAsia="仿宋" w:cs="仿宋"/>
          <w:sz w:val="24"/>
          <w:szCs w:val="24"/>
          <w:highlight w:val="none"/>
          <w:lang w:bidi="ar"/>
        </w:rPr>
        <w:t xml:space="preserve">，属于</w:t>
      </w:r>
      <w:r>
        <w:rPr>
          <w:rFonts w:hint="eastAsia" w:ascii="仿宋_GB2312" w:eastAsia="仿宋_GB2312"/>
          <w:sz w:val="24"/>
          <w:szCs w:val="24"/>
          <w:highlight w:val="none"/>
          <w:u w:val="single"/>
        </w:rPr>
        <w:t xml:space="preserve">     （采购文件中明确的所属行业）</w:t>
      </w:r>
      <w:r>
        <w:rPr>
          <w:rFonts w:hint="eastAsia" w:ascii="仿宋" w:hAnsi="仿宋" w:eastAsia="仿宋" w:cs="仿宋"/>
          <w:sz w:val="24"/>
          <w:szCs w:val="24"/>
          <w:highlight w:val="none"/>
          <w:lang w:bidi="ar"/>
        </w:rPr>
        <w:t xml:space="preserve">行业；</w:t>
      </w:r>
      <w:r>
        <w:rPr>
          <w:rFonts w:hint="eastAsia" w:ascii="仿宋_GB2312" w:eastAsia="仿宋_GB2312"/>
          <w:sz w:val="24"/>
          <w:szCs w:val="24"/>
          <w:highlight w:val="none"/>
        </w:rPr>
        <w:t xml:space="preserve">制造商为 </w:t>
      </w:r>
      <w:r>
        <w:rPr>
          <w:rFonts w:hint="eastAsia" w:ascii="仿宋_GB2312" w:eastAsia="仿宋_GB2312"/>
          <w:sz w:val="24"/>
          <w:szCs w:val="24"/>
          <w:highlight w:val="none"/>
          <w:u w:val="single"/>
        </w:rPr>
        <w:t xml:space="preserve">         （企业名称）</w:t>
      </w:r>
      <w:r>
        <w:rPr>
          <w:rFonts w:hint="eastAsia" w:ascii="仿宋" w:hAnsi="仿宋" w:eastAsia="仿宋" w:cs="仿宋"/>
          <w:sz w:val="24"/>
          <w:szCs w:val="24"/>
          <w:highlight w:val="none"/>
          <w:lang w:bidi="ar"/>
        </w:rPr>
        <w:t xml:space="preserve">，</w:t>
      </w:r>
      <w:r>
        <w:rPr>
          <w:rFonts w:hint="eastAsia" w:ascii="仿宋_GB2312" w:eastAsia="仿宋_GB2312"/>
          <w:sz w:val="24"/>
          <w:szCs w:val="24"/>
          <w:highlight w:val="none"/>
        </w:rPr>
        <w:t xml:space="preserve">从业人员</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人，</w:t>
      </w:r>
      <w:r>
        <w:rPr>
          <w:rFonts w:hint="eastAsia" w:ascii="仿宋_GB2312" w:eastAsia="仿宋_GB2312"/>
          <w:sz w:val="24"/>
          <w:szCs w:val="24"/>
          <w:highlight w:val="none"/>
        </w:rPr>
        <w:t xml:space="preserve">营业收入为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万元，</w:t>
      </w:r>
      <w:r>
        <w:rPr>
          <w:rFonts w:hint="eastAsia" w:ascii="仿宋_GB2312" w:eastAsia="仿宋_GB2312"/>
          <w:sz w:val="24"/>
          <w:szCs w:val="24"/>
          <w:highlight w:val="none"/>
        </w:rPr>
        <w:t xml:space="preserve">资产总额为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万</w:t>
      </w:r>
      <w:r>
        <w:rPr>
          <w:rFonts w:hint="eastAsia" w:ascii="仿宋_GB2312" w:eastAsia="仿宋_GB2312"/>
          <w:sz w:val="24"/>
          <w:szCs w:val="24"/>
          <w:highlight w:val="none"/>
        </w:rPr>
        <w:t xml:space="preserve">元，属于</w:t>
      </w:r>
      <w:r>
        <w:rPr>
          <w:rFonts w:hint="eastAsia" w:ascii="仿宋_GB2312" w:eastAsia="仿宋_GB2312"/>
          <w:sz w:val="24"/>
          <w:szCs w:val="24"/>
          <w:highlight w:val="none"/>
          <w:u w:val="single"/>
        </w:rPr>
        <w:t xml:space="preserve">     （中型企业、小型企业、微型企业）</w:t>
      </w:r>
      <w:r>
        <w:rPr>
          <w:rFonts w:hint="eastAsia" w:ascii="仿宋" w:hAnsi="仿宋" w:eastAsia="仿宋" w:cs="仿宋"/>
          <w:sz w:val="24"/>
          <w:szCs w:val="24"/>
          <w:highlight w:val="none"/>
          <w:lang w:bidi="ar"/>
        </w:rPr>
        <w:t xml:space="preserve">；</w:t>
      </w:r>
      <w:r/>
    </w:p>
    <w:p>
      <w:pPr>
        <w:ind w:firstLine="480"/>
        <w:jc w:val="left"/>
        <w:spacing w:before="100" w:beforeAutospacing="1" w:after="100" w:afterAutospacing="1" w:line="435" w:lineRule="exact"/>
        <w:widowControl/>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2</w:t>
      </w:r>
      <w:r>
        <w:rPr>
          <w:rFonts w:hint="eastAsia" w:ascii="仿宋_GB2312" w:eastAsia="仿宋_GB2312"/>
          <w:sz w:val="24"/>
          <w:szCs w:val="24"/>
          <w:highlight w:val="none"/>
          <w:u w:val="single"/>
        </w:rPr>
        <w:t xml:space="preserve">.     </w:t>
      </w:r>
      <w:r>
        <w:rPr>
          <w:rFonts w:hint="eastAsia" w:ascii="仿宋" w:hAnsi="仿宋" w:eastAsia="仿宋" w:cs="仿宋"/>
          <w:sz w:val="24"/>
          <w:szCs w:val="24"/>
          <w:highlight w:val="none"/>
          <w:u w:val="single"/>
          <w:lang w:bidi="ar"/>
        </w:rPr>
        <w:t xml:space="preserve">（</w:t>
      </w:r>
      <w:r>
        <w:rPr>
          <w:rFonts w:hint="eastAsia" w:ascii="仿宋_GB2312" w:eastAsia="仿宋_GB2312"/>
          <w:sz w:val="24"/>
          <w:szCs w:val="24"/>
          <w:highlight w:val="none"/>
          <w:u w:val="single"/>
        </w:rPr>
        <w:t xml:space="preserve">标的名称）</w:t>
      </w:r>
      <w:r>
        <w:rPr>
          <w:rFonts w:hint="eastAsia" w:ascii="仿宋" w:hAnsi="仿宋" w:eastAsia="仿宋" w:cs="仿宋"/>
          <w:sz w:val="24"/>
          <w:szCs w:val="24"/>
          <w:highlight w:val="none"/>
          <w:lang w:bidi="ar"/>
        </w:rPr>
        <w:t xml:space="preserve">，属于</w:t>
      </w:r>
      <w:r>
        <w:rPr>
          <w:rFonts w:hint="eastAsia" w:ascii="仿宋_GB2312" w:eastAsia="仿宋_GB2312"/>
          <w:sz w:val="24"/>
          <w:szCs w:val="24"/>
          <w:highlight w:val="none"/>
          <w:u w:val="single"/>
        </w:rPr>
        <w:t xml:space="preserve">     （采购文件中明确的所属行业）</w:t>
      </w:r>
      <w:r>
        <w:rPr>
          <w:rFonts w:hint="eastAsia" w:ascii="仿宋" w:hAnsi="仿宋" w:eastAsia="仿宋" w:cs="仿宋"/>
          <w:sz w:val="24"/>
          <w:szCs w:val="24"/>
          <w:highlight w:val="none"/>
          <w:lang w:bidi="ar"/>
        </w:rPr>
        <w:t xml:space="preserve">行业；</w:t>
      </w:r>
      <w:r>
        <w:rPr>
          <w:rFonts w:hint="eastAsia" w:ascii="仿宋_GB2312" w:eastAsia="仿宋_GB2312"/>
          <w:sz w:val="24"/>
          <w:szCs w:val="24"/>
          <w:highlight w:val="none"/>
        </w:rPr>
        <w:t xml:space="preserve">制造商为 </w:t>
      </w:r>
      <w:r>
        <w:rPr>
          <w:rFonts w:hint="eastAsia" w:ascii="仿宋_GB2312" w:eastAsia="仿宋_GB2312"/>
          <w:sz w:val="24"/>
          <w:szCs w:val="24"/>
          <w:highlight w:val="none"/>
          <w:u w:val="single"/>
        </w:rPr>
        <w:t xml:space="preserve">         （企业名称）</w:t>
      </w:r>
      <w:r>
        <w:rPr>
          <w:rFonts w:hint="eastAsia" w:ascii="仿宋" w:hAnsi="仿宋" w:eastAsia="仿宋" w:cs="仿宋"/>
          <w:sz w:val="24"/>
          <w:szCs w:val="24"/>
          <w:highlight w:val="none"/>
          <w:lang w:bidi="ar"/>
        </w:rPr>
        <w:t xml:space="preserve">，</w:t>
      </w:r>
      <w:r>
        <w:rPr>
          <w:rFonts w:hint="eastAsia" w:ascii="仿宋_GB2312" w:eastAsia="仿宋_GB2312"/>
          <w:sz w:val="24"/>
          <w:szCs w:val="24"/>
          <w:highlight w:val="none"/>
        </w:rPr>
        <w:t xml:space="preserve">从业人员</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人，</w:t>
      </w:r>
      <w:r>
        <w:rPr>
          <w:rFonts w:hint="eastAsia" w:ascii="仿宋_GB2312" w:eastAsia="仿宋_GB2312"/>
          <w:sz w:val="24"/>
          <w:szCs w:val="24"/>
          <w:highlight w:val="none"/>
        </w:rPr>
        <w:t xml:space="preserve">营业收入为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万元，</w:t>
      </w:r>
      <w:r>
        <w:rPr>
          <w:rFonts w:hint="eastAsia" w:ascii="仿宋_GB2312" w:eastAsia="仿宋_GB2312"/>
          <w:sz w:val="24"/>
          <w:szCs w:val="24"/>
          <w:highlight w:val="none"/>
        </w:rPr>
        <w:t xml:space="preserve">资产总额为</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万</w:t>
      </w:r>
      <w:r>
        <w:rPr>
          <w:rFonts w:hint="eastAsia" w:ascii="仿宋_GB2312" w:eastAsia="仿宋_GB2312"/>
          <w:sz w:val="24"/>
          <w:szCs w:val="24"/>
          <w:highlight w:val="none"/>
        </w:rPr>
        <w:t xml:space="preserve">元，属于</w:t>
      </w:r>
      <w:r>
        <w:rPr>
          <w:rFonts w:hint="eastAsia" w:ascii="仿宋_GB2312" w:eastAsia="仿宋_GB2312"/>
          <w:sz w:val="24"/>
          <w:szCs w:val="24"/>
          <w:highlight w:val="none"/>
          <w:u w:val="single"/>
        </w:rPr>
        <w:t xml:space="preserve">     （中型企业、小型企业、微型企业）</w:t>
      </w:r>
      <w:r>
        <w:rPr>
          <w:rFonts w:hint="eastAsia" w:ascii="仿宋" w:hAnsi="仿宋" w:eastAsia="仿宋" w:cs="仿宋"/>
          <w:sz w:val="24"/>
          <w:szCs w:val="24"/>
          <w:highlight w:val="none"/>
          <w:lang w:bidi="ar"/>
        </w:rPr>
        <w:t xml:space="preserve">；</w:t>
      </w:r>
      <w:r/>
    </w:p>
    <w:p>
      <w:pPr>
        <w:ind w:firstLine="480"/>
        <w:jc w:val="left"/>
        <w:spacing w:before="100" w:beforeAutospacing="1" w:after="100" w:afterAutospacing="1" w:line="435" w:lineRule="exact"/>
        <w:widowControl/>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w:t>
      </w:r>
      <w:r/>
    </w:p>
    <w:p>
      <w:pPr>
        <w:ind w:firstLine="480"/>
        <w:jc w:val="left"/>
        <w:spacing w:before="100" w:beforeAutospacing="1" w:after="100" w:afterAutospacing="1" w:line="435" w:lineRule="exact"/>
        <w:widowControl/>
        <w:rPr>
          <w:rFonts w:ascii="仿宋_GB2312" w:eastAsia="仿宋_GB2312"/>
          <w:sz w:val="24"/>
          <w:szCs w:val="24"/>
          <w:highlight w:val="none"/>
        </w:rPr>
      </w:pPr>
      <w:r>
        <w:rPr>
          <w:rFonts w:hint="eastAsia" w:ascii="仿宋_GB2312" w:eastAsia="仿宋_GB2312"/>
          <w:sz w:val="24"/>
          <w:szCs w:val="24"/>
          <w:highlight w:val="none"/>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widowControl/>
        <w:rPr>
          <w:rFonts w:ascii="仿宋_GB2312" w:eastAsia="仿宋_GB2312"/>
          <w:sz w:val="24"/>
          <w:szCs w:val="24"/>
          <w:highlight w:val="none"/>
        </w:rPr>
      </w:pPr>
      <w:r>
        <w:rPr>
          <w:rFonts w:hint="eastAsia" w:ascii="仿宋_GB2312" w:eastAsia="仿宋_GB2312"/>
          <w:sz w:val="24"/>
          <w:szCs w:val="24"/>
          <w:highlight w:val="none"/>
        </w:rPr>
        <w:t xml:space="preserve">本企业对上述声明内容的真实性负责。如有虚假，将依法承担相应责任。</w:t>
      </w:r>
      <w:r/>
    </w:p>
    <w:p>
      <w:pPr>
        <w:ind w:firstLine="480"/>
        <w:jc w:val="right"/>
        <w:spacing w:before="100" w:beforeAutospacing="1" w:after="100" w:afterAutospacing="1" w:line="435" w:lineRule="exact"/>
        <w:widowControl/>
        <w:rPr>
          <w:rFonts w:ascii="仿宋_GB2312" w:eastAsia="仿宋_GB2312"/>
          <w:sz w:val="24"/>
          <w:szCs w:val="24"/>
          <w:highlight w:val="none"/>
        </w:rPr>
      </w:pPr>
      <w:r>
        <w:rPr>
          <w:rFonts w:hint="eastAsia" w:ascii="仿宋_GB2312" w:eastAsia="仿宋_GB2312"/>
          <w:sz w:val="24"/>
          <w:szCs w:val="24"/>
          <w:highlight w:val="none"/>
        </w:rPr>
        <w:t xml:space="preserve">企业名称（公章）：</w:t>
      </w:r>
      <w:r/>
    </w:p>
    <w:p>
      <w:pPr>
        <w:ind w:firstLine="480"/>
        <w:jc w:val="right"/>
        <w:spacing w:before="100" w:beforeAutospacing="1" w:after="100" w:afterAutospacing="1" w:line="435" w:lineRule="exact"/>
        <w:widowControl/>
        <w:rPr>
          <w:rFonts w:ascii="仿宋_GB2312" w:eastAsia="仿宋_GB2312"/>
          <w:sz w:val="24"/>
          <w:szCs w:val="24"/>
          <w:highlight w:val="none"/>
        </w:rPr>
      </w:pPr>
      <w:r>
        <w:rPr>
          <w:rFonts w:hint="eastAsia" w:ascii="仿宋_GB2312" w:eastAsia="仿宋_GB2312"/>
          <w:sz w:val="24"/>
          <w:szCs w:val="24"/>
          <w:highlight w:val="none"/>
        </w:rPr>
        <w:t xml:space="preserve">日 期：</w:t>
      </w:r>
      <w:r/>
    </w:p>
    <w:p>
      <w:pPr>
        <w:ind w:firstLine="482"/>
        <w:jc w:val="left"/>
        <w:spacing w:line="420" w:lineRule="auto"/>
        <w:rPr>
          <w:rFonts w:ascii="宋体" w:hAnsi="宋体"/>
          <w:sz w:val="24"/>
          <w:szCs w:val="24"/>
          <w:highlight w:val="none"/>
        </w:rPr>
      </w:pPr>
      <w:r>
        <w:rPr>
          <w:rFonts w:hint="eastAsia" w:ascii="宋体" w:hAnsi="宋体"/>
          <w:b/>
          <w:bCs/>
          <w:sz w:val="24"/>
          <w:szCs w:val="24"/>
          <w:highlight w:val="none"/>
          <w:vertAlign w:val="superscript"/>
        </w:rPr>
        <w:t xml:space="preserve">1</w:t>
      </w:r>
      <w:r>
        <w:rPr>
          <w:rFonts w:hint="eastAsia" w:ascii="宋体" w:hAnsi="宋体"/>
          <w:sz w:val="24"/>
          <w:szCs w:val="24"/>
          <w:highlight w:val="none"/>
        </w:rPr>
        <w:t xml:space="preserve">从业人员、营业收入、资产总额填报上一年度数据，无上一年度数据的新成立企业可不填报。</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备注：</w:t>
      </w:r>
      <w:r/>
    </w:p>
    <w:p>
      <w:pPr>
        <w:numPr>
          <w:ilvl w:val="0"/>
          <w:numId w:val="27"/>
        </w:numPr>
        <w:ind w:firstLine="422"/>
        <w:jc w:val="left"/>
        <w:spacing w:line="360" w:lineRule="auto"/>
        <w:rPr>
          <w:szCs w:val="21"/>
          <w:highlight w:val="none"/>
        </w:rPr>
      </w:pPr>
      <w:r>
        <w:rPr>
          <w:rFonts w:hint="eastAsia" w:ascii="宋体" w:hAnsi="宋体"/>
          <w:b/>
          <w:bCs/>
          <w:szCs w:val="21"/>
          <w:highlight w:val="none"/>
        </w:rPr>
        <w:t xml:space="preserve">如供应商所投货物的制造商均为中小企业的，须由供应商在响应文件中提供加盖本单位公章的</w:t>
      </w:r>
      <w:r>
        <w:rPr>
          <w:rFonts w:hint="eastAsia" w:ascii="宋体" w:hAnsi="宋体"/>
          <w:b/>
          <w:szCs w:val="21"/>
          <w:highlight w:val="none"/>
        </w:rPr>
        <w:t xml:space="preserve">声明</w:t>
      </w:r>
      <w:r>
        <w:rPr>
          <w:rFonts w:hint="eastAsia" w:ascii="宋体" w:hAnsi="宋体"/>
          <w:b/>
          <w:bCs/>
          <w:szCs w:val="21"/>
          <w:highlight w:val="none"/>
        </w:rPr>
        <w:t xml:space="preserve">函，供应商应从制造商处获得充分、准确的信息，并对其出具的《中小企业声明函》真实性负责。</w:t>
      </w:r>
      <w:r/>
    </w:p>
    <w:p>
      <w:pPr>
        <w:pStyle w:val="982"/>
        <w:rPr>
          <w:color w:val="auto"/>
          <w:highlight w:val="none"/>
        </w:rPr>
        <w:outlineLvl w:val="9"/>
      </w:pPr>
      <w:r>
        <w:rPr>
          <w:color w:val="auto"/>
          <w:highlight w:val="none"/>
        </w:rPr>
      </w:r>
      <w:r/>
    </w:p>
    <w:p>
      <w:pPr>
        <w:pStyle w:val="1148"/>
        <w:jc w:val="center"/>
        <w:spacing w:before="151" w:after="151" w:line="600" w:lineRule="exact"/>
        <w:rPr>
          <w:rFonts w:ascii="宋体"/>
          <w:b/>
          <w:bCs/>
          <w:sz w:val="32"/>
          <w:szCs w:val="32"/>
          <w:highlight w:val="none"/>
        </w:rPr>
      </w:pPr>
      <w:r>
        <w:rPr>
          <w:rFonts w:ascii="宋体"/>
          <w:b/>
          <w:bCs/>
          <w:sz w:val="32"/>
          <w:szCs w:val="32"/>
          <w:highlight w:val="none"/>
        </w:rPr>
      </w:r>
      <w:r/>
    </w:p>
    <w:p>
      <w:pPr>
        <w:pStyle w:val="1148"/>
        <w:jc w:val="center"/>
        <w:spacing w:before="151" w:after="151" w:line="600" w:lineRule="exact"/>
        <w:rPr>
          <w:rFonts w:ascii="宋体"/>
          <w:b/>
          <w:bCs/>
          <w:sz w:val="32"/>
          <w:szCs w:val="32"/>
          <w:highlight w:val="none"/>
        </w:rPr>
      </w:pPr>
      <w:r>
        <w:rPr>
          <w:rFonts w:hint="eastAsia" w:ascii="宋体"/>
          <w:b/>
          <w:bCs/>
          <w:sz w:val="32"/>
          <w:szCs w:val="32"/>
          <w:highlight w:val="none"/>
        </w:rPr>
        <w:t xml:space="preserve">残疾人福利性单位声明函</w:t>
      </w:r>
      <w:r/>
    </w:p>
    <w:p>
      <w:pPr>
        <w:pStyle w:val="1359"/>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pStyle w:val="1148"/>
        <w:ind w:firstLine="480"/>
        <w:spacing w:line="500" w:lineRule="exact"/>
        <w:rPr>
          <w:rFonts w:ascii="仿宋_GB2312" w:eastAsia="仿宋_GB2312"/>
          <w:sz w:val="24"/>
          <w:highlight w:val="none"/>
        </w:rPr>
      </w:pPr>
      <w:r>
        <w:rPr>
          <w:rFonts w:hint="eastAsia" w:ascii="仿宋_GB2312" w:eastAsia="仿宋_GB2312"/>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148"/>
        <w:ind w:firstLine="480"/>
        <w:spacing w:line="500" w:lineRule="exact"/>
        <w:rPr>
          <w:rFonts w:ascii="方正仿宋_GBK" w:eastAsia="方正仿宋_GBK"/>
          <w:sz w:val="24"/>
          <w:highlight w:val="none"/>
        </w:rPr>
      </w:pPr>
      <w:r>
        <w:rPr>
          <w:rFonts w:hint="eastAsia" w:ascii="仿宋_GB2312" w:eastAsia="仿宋_GB2312"/>
          <w:sz w:val="24"/>
          <w:highlight w:val="none"/>
        </w:rPr>
        <w:t xml:space="preserve">本单位对上述声明的真实性负责。如有虚假，将依法承担相应责任。</w:t>
      </w:r>
      <w:r/>
    </w:p>
    <w:p>
      <w:pPr>
        <w:pStyle w:val="1359"/>
        <w:ind w:firstLine="504"/>
        <w:spacing w:line="588" w:lineRule="exact"/>
        <w:rPr>
          <w:rFonts w:ascii="仿宋_GB2312" w:eastAsia="仿宋_GB2312"/>
          <w:spacing w:val="6"/>
          <w:sz w:val="24"/>
          <w:szCs w:val="24"/>
          <w:highlight w:val="none"/>
        </w:rPr>
      </w:pPr>
      <w:r>
        <w:rPr>
          <w:rFonts w:ascii="仿宋_GB2312" w:eastAsia="仿宋_GB2312"/>
          <w:spacing w:val="6"/>
          <w:sz w:val="24"/>
          <w:szCs w:val="24"/>
          <w:highlight w:val="none"/>
        </w:rPr>
      </w:r>
      <w:r/>
    </w:p>
    <w:p>
      <w:pPr>
        <w:pStyle w:val="1359"/>
        <w:ind w:firstLine="504"/>
        <w:spacing w:line="588" w:lineRule="exact"/>
        <w:rPr>
          <w:rFonts w:ascii="仿宋_GB2312" w:eastAsia="仿宋_GB2312"/>
          <w:spacing w:val="6"/>
          <w:sz w:val="24"/>
          <w:szCs w:val="24"/>
          <w:highlight w:val="none"/>
        </w:rPr>
      </w:pPr>
      <w:r>
        <w:rPr>
          <w:rFonts w:ascii="仿宋_GB2312" w:eastAsia="仿宋_GB2312"/>
          <w:spacing w:val="6"/>
          <w:sz w:val="24"/>
          <w:szCs w:val="24"/>
          <w:highlight w:val="none"/>
        </w:rPr>
      </w:r>
      <w:r/>
    </w:p>
    <w:p>
      <w:pPr>
        <w:pStyle w:val="1044"/>
        <w:ind w:firstLine="480"/>
        <w:jc w:val="both"/>
        <w:rPr>
          <w:rFonts w:ascii="仿宋_GB2312" w:eastAsia="仿宋_GB2312"/>
          <w:highlight w:val="none"/>
        </w:rPr>
      </w:pPr>
      <w:r>
        <w:rPr>
          <w:rFonts w:hint="eastAsia" w:ascii="仿宋_GB2312" w:eastAsia="仿宋_GB2312"/>
          <w:highlight w:val="none"/>
        </w:rPr>
        <w:t xml:space="preserve">单位名称：（公章）</w:t>
      </w:r>
      <w:r/>
    </w:p>
    <w:p>
      <w:pPr>
        <w:pStyle w:val="114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202"/>
        <w:ind w:firstLine="720"/>
        <w:rPr>
          <w:rFonts w:ascii="仿宋_GB2312" w:eastAsia="仿宋_GB2312"/>
          <w:sz w:val="24"/>
          <w:highlight w:val="none"/>
          <w:u w:val="single"/>
        </w:rPr>
      </w:pPr>
      <w:r>
        <w:rPr>
          <w:rFonts w:ascii="仿宋_GB2312" w:eastAsia="仿宋_GB2312"/>
          <w:sz w:val="24"/>
          <w:highlight w:val="none"/>
          <w:u w:val="single"/>
        </w:rPr>
      </w:r>
      <w:r/>
    </w:p>
    <w:p>
      <w:pPr>
        <w:pStyle w:val="1202"/>
        <w:ind w:firstLine="4320"/>
        <w:rPr>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pStyle w:val="1268"/>
        <w:rPr>
          <w:highlight w:val="none"/>
        </w:rPr>
      </w:pPr>
      <w:r>
        <w:rPr>
          <w:highlight w:val="none"/>
        </w:rPr>
      </w:r>
      <w:r/>
    </w:p>
    <w:p>
      <w:pPr>
        <w:pStyle w:val="1148"/>
        <w:rPr>
          <w:highlight w:val="none"/>
        </w:rPr>
      </w:pPr>
      <w:r>
        <w:rPr>
          <w:rFonts w:hint="eastAsia"/>
          <w:highlight w:val="none"/>
        </w:rPr>
        <w:t xml:space="preserve">注：1、残疾人福利性单位应完整填写此函并提供相关证明材料；</w:t>
      </w:r>
      <w:r/>
    </w:p>
    <w:p>
      <w:pPr>
        <w:pStyle w:val="1148"/>
        <w:ind w:firstLine="420"/>
        <w:rPr>
          <w:highlight w:val="none"/>
        </w:rPr>
      </w:pPr>
      <w:r>
        <w:rPr>
          <w:rFonts w:hint="eastAsia"/>
          <w:highlight w:val="none"/>
        </w:rPr>
        <w:t xml:space="preserve">2、非残疾人福利性单位不需提供此声明函</w:t>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jc w:val="center"/>
        <w:spacing w:line="360" w:lineRule="auto"/>
        <w:rPr>
          <w:rFonts w:ascii="宋体" w:hAnsi="宋体"/>
          <w:b/>
          <w:bCs/>
          <w:sz w:val="28"/>
          <w:szCs w:val="28"/>
          <w:highlight w:val="none"/>
        </w:rPr>
      </w:pPr>
      <w:r>
        <w:rPr>
          <w:rFonts w:ascii="宋体" w:hAnsi="宋体"/>
          <w:b/>
          <w:bCs/>
          <w:sz w:val="28"/>
          <w:szCs w:val="28"/>
          <w:highlight w:val="none"/>
        </w:rPr>
      </w:r>
      <w:r/>
    </w:p>
    <w:p>
      <w:pPr>
        <w:jc w:val="center"/>
        <w:spacing w:line="360" w:lineRule="auto"/>
        <w:rPr>
          <w:rFonts w:ascii="宋体" w:hAnsi="宋体"/>
          <w:b/>
          <w:bCs/>
          <w:sz w:val="28"/>
          <w:szCs w:val="28"/>
          <w:highlight w:val="none"/>
        </w:rPr>
      </w:pPr>
      <w:r>
        <w:rPr>
          <w:rFonts w:ascii="宋体" w:hAnsi="宋体"/>
          <w:b/>
          <w:bCs/>
          <w:sz w:val="28"/>
          <w:szCs w:val="28"/>
          <w:highlight w:val="none"/>
        </w:rPr>
      </w:r>
      <w:r/>
    </w:p>
    <w:p>
      <w:pPr>
        <w:jc w:val="center"/>
        <w:spacing w:line="360" w:lineRule="auto"/>
        <w:rPr>
          <w:rFonts w:ascii="宋体" w:hAnsi="宋体"/>
          <w:b/>
          <w:bCs/>
          <w:sz w:val="28"/>
          <w:szCs w:val="28"/>
          <w:highlight w:val="none"/>
        </w:rPr>
      </w:pPr>
      <w:r>
        <w:rPr>
          <w:rFonts w:ascii="宋体" w:hAnsi="宋体"/>
          <w:b/>
          <w:bCs/>
          <w:sz w:val="28"/>
          <w:szCs w:val="28"/>
          <w:highlight w:val="none"/>
        </w:rPr>
      </w:r>
      <w:r/>
    </w:p>
    <w:p>
      <w:pPr>
        <w:jc w:val="center"/>
        <w:spacing w:line="360" w:lineRule="auto"/>
        <w:rPr>
          <w:rFonts w:ascii="宋体" w:hAnsi="宋体"/>
          <w:b/>
          <w:bCs/>
          <w:sz w:val="28"/>
          <w:szCs w:val="28"/>
          <w:highlight w:val="none"/>
        </w:rPr>
      </w:pPr>
      <w:r>
        <w:rPr>
          <w:rFonts w:ascii="宋体" w:hAnsi="宋体"/>
          <w:b/>
          <w:bCs/>
          <w:sz w:val="28"/>
          <w:szCs w:val="28"/>
          <w:highlight w:val="none"/>
        </w:rPr>
      </w:r>
      <w:r/>
    </w:p>
    <w:p>
      <w:pPr>
        <w:jc w:val="center"/>
        <w:spacing w:line="360" w:lineRule="auto"/>
        <w:rPr>
          <w:rFonts w:ascii="宋体" w:hAnsi="宋体"/>
          <w:b/>
          <w:bCs/>
          <w:sz w:val="28"/>
          <w:szCs w:val="28"/>
          <w:highlight w:val="none"/>
        </w:rPr>
        <w:outlineLvl w:val="0"/>
      </w:pPr>
      <w:r>
        <w:rPr>
          <w:rFonts w:hint="eastAsia" w:ascii="宋体" w:hAnsi="宋体"/>
          <w:b/>
          <w:bCs/>
          <w:sz w:val="28"/>
          <w:szCs w:val="28"/>
          <w:highlight w:val="none"/>
        </w:rPr>
        <w:t xml:space="preserve">属于监狱企业的证明文件</w:t>
      </w:r>
      <w:r/>
    </w:p>
    <w:p>
      <w:pPr>
        <w:spacing w:line="360" w:lineRule="auto"/>
        <w:rPr>
          <w:rFonts w:ascii="宋体" w:hAnsi="宋体"/>
          <w:highlight w:val="none"/>
        </w:rPr>
      </w:pPr>
      <w:r>
        <w:rPr>
          <w:rFonts w:hint="eastAsia" w:ascii="宋体" w:hAnsi="宋体"/>
          <w:highlight w:val="none"/>
        </w:rPr>
        <w:t xml:space="preserve">（提供由省级以上监狱管理局、戒毒管理局(含新疆生产建设兵团)出具的属于监狱企业的证明文件）</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jc w:val="center"/>
        <w:spacing w:line="360" w:lineRule="auto"/>
        <w:rPr>
          <w:rFonts w:ascii="宋体" w:hAnsi="宋体"/>
          <w:b/>
          <w:bCs/>
          <w:highlight w:val="none"/>
        </w:rPr>
        <w:outlineLvl w:val="0"/>
      </w:pPr>
      <w:r/>
      <w:bookmarkStart w:id="127" w:name="_Toc5876"/>
      <w:r/>
      <w:bookmarkEnd w:id="127"/>
      <w:r>
        <w:rPr>
          <w:rFonts w:hint="eastAsia" w:ascii="宋体" w:hAnsi="宋体"/>
          <w:b/>
          <w:bCs/>
          <w:sz w:val="28"/>
          <w:szCs w:val="28"/>
          <w:highlight w:val="none"/>
        </w:rPr>
        <w:t xml:space="preserve">节能产品认证证书</w:t>
      </w:r>
      <w:r/>
    </w:p>
    <w:p>
      <w:pPr>
        <w:spacing w:line="360" w:lineRule="auto"/>
        <w:rPr>
          <w:rFonts w:ascii="宋体" w:hAnsi="宋体"/>
          <w:highlight w:val="none"/>
        </w:rPr>
      </w:pPr>
      <w:r>
        <w:rPr>
          <w:rFonts w:hint="eastAsia" w:ascii="宋体" w:hAnsi="宋体"/>
          <w:highlight w:val="none"/>
        </w:rPr>
        <w:t xml:space="preserve">（提供国家确定的认证机构出具的、处于有效期之内的产品认证证书）</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jc w:val="center"/>
        <w:spacing w:line="360" w:lineRule="auto"/>
        <w:rPr>
          <w:rFonts w:ascii="宋体" w:hAnsi="宋体"/>
          <w:b/>
          <w:bCs/>
          <w:highlight w:val="none"/>
        </w:rPr>
        <w:outlineLvl w:val="0"/>
      </w:pPr>
      <w:r/>
      <w:bookmarkStart w:id="128" w:name="_Toc16386"/>
      <w:r/>
      <w:bookmarkEnd w:id="128"/>
      <w:r>
        <w:rPr>
          <w:rFonts w:hint="eastAsia" w:ascii="宋体" w:hAnsi="宋体"/>
          <w:b/>
          <w:bCs/>
          <w:sz w:val="28"/>
          <w:szCs w:val="28"/>
          <w:highlight w:val="none"/>
        </w:rPr>
        <w:t xml:space="preserve">环境标志产品认证证书</w:t>
      </w:r>
      <w:r/>
    </w:p>
    <w:p>
      <w:pPr>
        <w:spacing w:line="360" w:lineRule="auto"/>
        <w:rPr>
          <w:highlight w:val="none"/>
        </w:rPr>
      </w:pPr>
      <w:r>
        <w:rPr>
          <w:rFonts w:hint="eastAsia" w:ascii="宋体" w:hAnsi="宋体"/>
          <w:highlight w:val="none"/>
        </w:rPr>
        <w:t xml:space="preserve">（提供国家确定的认证机构出具的、处于有效期之内的产品认证证书）</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spacing w:line="360" w:lineRule="auto"/>
        <w:rPr>
          <w:rFonts w:ascii="宋体" w:hAnsi="宋体"/>
          <w:b/>
          <w:bCs/>
          <w:highlight w:val="none"/>
        </w:rPr>
      </w:pPr>
      <w:r>
        <w:rPr>
          <w:rFonts w:hint="eastAsia" w:ascii="宋体" w:hAnsi="宋体"/>
          <w:b/>
          <w:bCs/>
          <w:highlight w:val="none"/>
        </w:rPr>
        <w:t xml:space="preserve"> </w:t>
      </w:r>
      <w:r/>
    </w:p>
    <w:p>
      <w:pPr>
        <w:jc w:val="center"/>
        <w:spacing w:line="360" w:lineRule="auto"/>
        <w:rPr>
          <w:rFonts w:ascii="宋体" w:hAnsi="宋体"/>
          <w:b/>
          <w:bCs/>
          <w:sz w:val="28"/>
          <w:szCs w:val="28"/>
          <w:highlight w:val="none"/>
        </w:rPr>
        <w:outlineLvl w:val="0"/>
      </w:pPr>
      <w:r/>
      <w:bookmarkStart w:id="129" w:name="_Toc1060"/>
      <w:r/>
      <w:bookmarkEnd w:id="129"/>
      <w:r>
        <w:rPr>
          <w:rFonts w:hint="eastAsia" w:ascii="宋体" w:hAnsi="宋体"/>
          <w:b/>
          <w:bCs/>
          <w:sz w:val="28"/>
          <w:szCs w:val="28"/>
          <w:highlight w:val="none"/>
        </w:rPr>
        <w:t xml:space="preserve">进口产品转让技术、消化吸收再创新方案</w:t>
      </w:r>
      <w:r/>
    </w:p>
    <w:p>
      <w:pPr>
        <w:spacing w:line="360" w:lineRule="auto"/>
        <w:rPr>
          <w:rFonts w:ascii="宋体" w:hAnsi="宋体"/>
          <w:highlight w:val="none"/>
        </w:rPr>
      </w:pPr>
      <w:r>
        <w:rPr>
          <w:rFonts w:hint="eastAsia" w:ascii="宋体" w:hAnsi="宋体"/>
          <w:highlight w:val="none"/>
        </w:rPr>
        <w:t xml:space="preserve">（对于允许进口产品参加的项目）</w:t>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pPr>
      <w:r>
        <w:rPr>
          <w:highlight w:val="none"/>
        </w:rPr>
      </w:r>
      <w:r/>
    </w:p>
    <w:p>
      <w:pPr>
        <w:pStyle w:val="1268"/>
        <w:rPr>
          <w:highlight w:val="none"/>
        </w:rPr>
        <w:outlineLvl w:val="1"/>
      </w:pPr>
      <w:r/>
      <w:bookmarkStart w:id="130" w:name="_Toc16234"/>
      <w:r/>
      <w:bookmarkStart w:id="131" w:name="_Toc514054497"/>
      <w:r>
        <w:rPr>
          <w:highlight w:val="none"/>
        </w:rPr>
        <w:t xml:space="preserve">十</w:t>
      </w:r>
      <w:r>
        <w:rPr>
          <w:rFonts w:hint="eastAsia"/>
          <w:highlight w:val="none"/>
          <w:lang w:val="en-US" w:eastAsia="zh-CN"/>
        </w:rPr>
        <w:t xml:space="preserve">三</w:t>
      </w:r>
      <w:r>
        <w:rPr>
          <w:highlight w:val="none"/>
        </w:rPr>
        <w:t xml:space="preserve">、响应偏差表</w:t>
      </w:r>
      <w:bookmarkEnd w:id="130"/>
      <w:r/>
      <w:bookmarkEnd w:id="131"/>
      <w:r/>
      <w:r/>
    </w:p>
    <w:p>
      <w:pPr>
        <w:pStyle w:val="1080"/>
        <w:jc w:val="center"/>
        <w:rPr>
          <w:sz w:val="32"/>
          <w:szCs w:val="32"/>
          <w:highlight w:val="none"/>
        </w:rPr>
      </w:pPr>
      <w:r/>
      <w:bookmarkStart w:id="132" w:name="_Toc29509_WPSOffice_Level2"/>
      <w:r>
        <w:rPr>
          <w:rFonts w:hint="eastAsia"/>
          <w:sz w:val="32"/>
          <w:szCs w:val="32"/>
          <w:highlight w:val="none"/>
        </w:rPr>
        <w:t xml:space="preserve">（一）投标技术响应偏差表</w:t>
      </w:r>
      <w:bookmarkEnd w:id="132"/>
      <w:r/>
      <w:r/>
    </w:p>
    <w:tbl>
      <w:tblPr>
        <w:tblStyle w:val="7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108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2351" w:type="dxa"/>
            <w:vAlign w:val="center"/>
            <w:textDirection w:val="lrTb"/>
            <w:noWrap w:val="false"/>
          </w:tcPr>
          <w:p>
            <w:pPr>
              <w:pStyle w:val="108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W w:w="2601" w:type="dxa"/>
            <w:vAlign w:val="center"/>
            <w:textDirection w:val="lrTb"/>
            <w:noWrap w:val="false"/>
          </w:tcPr>
          <w:p>
            <w:pPr>
              <w:pStyle w:val="108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W w:w="2765" w:type="dxa"/>
            <w:vAlign w:val="center"/>
            <w:textDirection w:val="lrTb"/>
            <w:noWrap w:val="false"/>
          </w:tcPr>
          <w:p>
            <w:pPr>
              <w:pStyle w:val="108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偏差内容及说明</w:t>
            </w:r>
            <w:r/>
          </w:p>
        </w:tc>
      </w:tr>
      <w:tr>
        <w:trPr>
          <w:jc w:val="center"/>
          <w:trHeight w:val="674"/>
        </w:trPr>
        <w:tc>
          <w:tcPr>
            <w:tcW w:w="12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4"/>
        </w:trPr>
        <w:tc>
          <w:tcPr>
            <w:tcW w:w="12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84"/>
        </w:trPr>
        <w:tc>
          <w:tcPr>
            <w:tcW w:w="12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35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01"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765"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bl>
    <w:p>
      <w:pPr>
        <w:pStyle w:val="1080"/>
        <w:jc w:val="center"/>
        <w:rPr>
          <w:sz w:val="22"/>
          <w:highlight w:val="none"/>
        </w:rPr>
      </w:pPr>
      <w:r>
        <w:rPr>
          <w:sz w:val="22"/>
          <w:highlight w:val="none"/>
        </w:rPr>
      </w:r>
      <w:r/>
    </w:p>
    <w:p>
      <w:pPr>
        <w:pStyle w:val="114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单位名称：（盖章）</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p>
    <w:p>
      <w:pPr>
        <w:pStyle w:val="114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079"/>
        <w:ind w:firstLine="482"/>
        <w:rPr>
          <w:rFonts w:hAnsi="宋体"/>
          <w:b/>
          <w:bCs/>
          <w:sz w:val="24"/>
          <w:szCs w:val="28"/>
          <w:highlight w:val="none"/>
        </w:rPr>
      </w:pPr>
      <w:r>
        <w:rPr>
          <w:rFonts w:hAnsi="宋体"/>
          <w:b/>
          <w:bCs/>
          <w:sz w:val="24"/>
          <w:szCs w:val="28"/>
          <w:highlight w:val="none"/>
        </w:rPr>
      </w:r>
      <w:r/>
    </w:p>
    <w:p>
      <w:pPr>
        <w:pStyle w:val="1079"/>
        <w:rPr>
          <w:rFonts w:hAnsi="宋体"/>
          <w:b/>
          <w:bCs/>
          <w:sz w:val="24"/>
          <w:szCs w:val="28"/>
          <w:highlight w:val="none"/>
        </w:rPr>
      </w:pPr>
      <w:r>
        <w:rPr>
          <w:rFonts w:hint="eastAsia" w:hAnsi="宋体"/>
          <w:b/>
          <w:bCs/>
          <w:sz w:val="24"/>
          <w:szCs w:val="28"/>
          <w:highlight w:val="none"/>
        </w:rPr>
        <w:t xml:space="preserve">1、凡投标文件中所投货物或服务与招标文件有偏差的（包括正偏差，负偏差），均应在此表中详细列出并说明理由。第四部分技术要求须逐条应答。</w:t>
      </w:r>
      <w:r/>
    </w:p>
    <w:p>
      <w:pPr>
        <w:pStyle w:val="1080"/>
        <w:spacing w:line="360" w:lineRule="auto"/>
        <w:rPr>
          <w:rFonts w:ascii="宋体" w:hAnsi="宋体"/>
          <w:b/>
          <w:bCs/>
          <w:sz w:val="24"/>
          <w:szCs w:val="28"/>
          <w:highlight w:val="none"/>
        </w:rPr>
      </w:pPr>
      <w:r>
        <w:rPr>
          <w:rFonts w:hint="eastAsia" w:ascii="宋体" w:hAnsi="宋体"/>
          <w:b/>
          <w:bCs/>
          <w:sz w:val="24"/>
          <w:szCs w:val="28"/>
          <w:highlight w:val="none"/>
        </w:rPr>
        <w:t xml:space="preserve">2、投标人所投产品如与招标文件要求的规格及配置不一致，则须在上表偏离说明中详细注明。</w:t>
      </w:r>
      <w:r/>
    </w:p>
    <w:p>
      <w:pPr>
        <w:pStyle w:val="1406"/>
        <w:jc w:val="center"/>
        <w:rPr>
          <w:highlight w:val="none"/>
        </w:rPr>
      </w:pPr>
      <w:r>
        <w:rPr>
          <w:highlight w:val="none"/>
        </w:rPr>
      </w:r>
      <w:r/>
    </w:p>
    <w:p>
      <w:pPr>
        <w:pStyle w:val="1406"/>
        <w:jc w:val="center"/>
        <w:rPr>
          <w:highlight w:val="none"/>
        </w:rPr>
      </w:pPr>
      <w:r>
        <w:rPr>
          <w:highlight w:val="none"/>
        </w:rPr>
      </w:r>
      <w:r/>
    </w:p>
    <w:p>
      <w:pPr>
        <w:pStyle w:val="1406"/>
        <w:jc w:val="center"/>
        <w:rPr>
          <w:highlight w:val="none"/>
        </w:rPr>
      </w:pPr>
      <w:r>
        <w:rPr>
          <w:highlight w:val="none"/>
        </w:rPr>
      </w:r>
      <w:r/>
    </w:p>
    <w:p>
      <w:pPr>
        <w:pStyle w:val="1406"/>
        <w:jc w:val="center"/>
        <w:rPr>
          <w:highlight w:val="none"/>
        </w:rPr>
      </w:pPr>
      <w:r>
        <w:rPr>
          <w:highlight w:val="none"/>
        </w:rPr>
      </w:r>
      <w:r/>
    </w:p>
    <w:p>
      <w:pPr>
        <w:pStyle w:val="1406"/>
        <w:jc w:val="center"/>
        <w:rPr>
          <w:highlight w:val="none"/>
        </w:rPr>
        <w:outlineLvl w:val="1"/>
      </w:pPr>
      <w:r/>
      <w:bookmarkStart w:id="133" w:name="_Toc514054498"/>
      <w:r/>
      <w:bookmarkStart w:id="134" w:name="_Toc9396"/>
      <w:r/>
      <w:bookmarkStart w:id="135" w:name="_Toc3171_WPSOffice_Level2"/>
      <w:r>
        <w:rPr>
          <w:rFonts w:hint="eastAsia"/>
          <w:highlight w:val="none"/>
        </w:rPr>
        <w:t xml:space="preserve">（二）投标商务偏离表</w:t>
      </w:r>
      <w:bookmarkEnd w:id="133"/>
      <w:r/>
      <w:bookmarkEnd w:id="134"/>
      <w:r/>
      <w:bookmarkEnd w:id="135"/>
      <w:r/>
      <w:r/>
    </w:p>
    <w:tbl>
      <w:tblPr>
        <w:tblStyle w:val="770"/>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gridCol w:w="1517"/>
      </w:tblGrid>
      <w:tr>
        <w:trPr>
          <w:jc w:val="center"/>
          <w:trHeight w:val="672"/>
        </w:trPr>
        <w:tc>
          <w:tcPr>
            <w:tcW w:w="3143" w:type="dxa"/>
            <w:vAlign w:val="center"/>
            <w:textDirection w:val="lrTb"/>
            <w:noWrap w:val="false"/>
          </w:tcPr>
          <w:p>
            <w:pPr>
              <w:pStyle w:val="108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W w:w="2682" w:type="dxa"/>
            <w:vAlign w:val="center"/>
            <w:textDirection w:val="lrTb"/>
            <w:noWrap w:val="false"/>
          </w:tcPr>
          <w:p>
            <w:pPr>
              <w:pStyle w:val="108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W w:w="2682" w:type="dxa"/>
            <w:vAlign w:val="center"/>
            <w:textDirection w:val="lrTb"/>
            <w:noWrap w:val="false"/>
          </w:tcPr>
          <w:p>
            <w:pPr>
              <w:pStyle w:val="108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偏差内容及说明</w:t>
            </w:r>
            <w:r/>
          </w:p>
        </w:tc>
        <w:tc>
          <w:tcPr>
            <w:tcW w:w="1517" w:type="dxa"/>
            <w:vAlign w:val="center"/>
            <w:textDirection w:val="lrTb"/>
            <w:noWrap w:val="false"/>
          </w:tcPr>
          <w:p>
            <w:pPr>
              <w:pStyle w:val="108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页码</w:t>
            </w:r>
            <w:r/>
          </w:p>
        </w:tc>
      </w:tr>
      <w:tr>
        <w:trPr>
          <w:jc w:val="center"/>
          <w:trHeight w:val="672"/>
        </w:trPr>
        <w:tc>
          <w:tcPr>
            <w:tcW w:w="3143"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72"/>
        </w:trPr>
        <w:tc>
          <w:tcPr>
            <w:tcW w:w="3143"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2682"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c>
          <w:tcPr>
            <w:tcW w:w="1517" w:type="dxa"/>
            <w:vAlign w:val="center"/>
            <w:textDirection w:val="lrTb"/>
            <w:noWrap w:val="false"/>
          </w:tcPr>
          <w:p>
            <w:pPr>
              <w:pStyle w:val="1080"/>
              <w:jc w:val="center"/>
              <w:spacing w:line="560" w:lineRule="exact"/>
              <w:rPr>
                <w:rFonts w:ascii="仿宋_GB2312" w:eastAsia="仿宋_GB2312"/>
                <w:sz w:val="24"/>
                <w:highlight w:val="none"/>
              </w:rPr>
            </w:pPr>
            <w:r>
              <w:rPr>
                <w:rFonts w:ascii="仿宋_GB2312" w:eastAsia="仿宋_GB2312"/>
                <w:sz w:val="24"/>
                <w:highlight w:val="none"/>
              </w:rPr>
            </w:r>
            <w:r/>
          </w:p>
        </w:tc>
      </w:tr>
    </w:tbl>
    <w:p>
      <w:pPr>
        <w:pStyle w:val="1044"/>
        <w:ind w:firstLine="480"/>
        <w:jc w:val="both"/>
        <w:rPr>
          <w:rFonts w:ascii="仿宋_GB2312" w:eastAsia="仿宋_GB2312"/>
          <w:highlight w:val="none"/>
        </w:rPr>
      </w:pPr>
      <w:r>
        <w:rPr>
          <w:rFonts w:hint="eastAsia" w:ascii="仿宋_GB2312" w:eastAsia="仿宋_GB2312"/>
          <w:highlight w:val="none"/>
        </w:rPr>
        <w:t xml:space="preserve">单位名称：（盖章）</w:t>
      </w:r>
      <w:r>
        <w:rPr>
          <w:rFonts w:hint="eastAsia" w:ascii="仿宋_GB2312" w:eastAsia="仿宋_GB2312"/>
          <w:highlight w:val="none"/>
          <w:u w:val="single"/>
        </w:rPr>
        <w:t xml:space="preserve">       </w:t>
      </w:r>
      <w:r/>
    </w:p>
    <w:p>
      <w:pPr>
        <w:pStyle w:val="1140"/>
        <w:ind w:firstLine="629"/>
        <w:spacing w:line="700" w:lineRule="exact"/>
        <w:rPr>
          <w:rFonts w:ascii="仿宋_GB2312" w:eastAsia="仿宋_GB2312"/>
          <w:sz w:val="24"/>
          <w:highlight w:val="none"/>
          <w:u w:val="singl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140"/>
        <w:ind w:firstLine="629"/>
        <w:spacing w:line="700" w:lineRule="exact"/>
        <w:rPr>
          <w:rFonts w:ascii="仿宋_GB2312" w:eastAsia="仿宋_GB2312"/>
          <w:sz w:val="24"/>
          <w:highlight w:val="none"/>
          <w:u w:val="single"/>
        </w:rPr>
      </w:pPr>
      <w:r>
        <w:rPr>
          <w:rFonts w:ascii="仿宋_GB2312" w:eastAsia="仿宋_GB2312"/>
          <w:sz w:val="24"/>
          <w:highlight w:val="none"/>
          <w:u w:val="single"/>
        </w:rPr>
      </w:r>
      <w:r/>
    </w:p>
    <w:p>
      <w:pPr>
        <w:pStyle w:val="1080"/>
        <w:spacing w:line="360" w:lineRule="auto"/>
        <w:rPr>
          <w:rFonts w:ascii="宋体" w:hAnsi="宋体"/>
          <w:b/>
          <w:bCs/>
          <w:sz w:val="24"/>
          <w:szCs w:val="28"/>
          <w:highlight w:val="none"/>
        </w:rPr>
      </w:pPr>
      <w:r>
        <w:rPr>
          <w:rFonts w:hint="eastAsia" w:ascii="宋体" w:hAnsi="宋体"/>
          <w:b/>
          <w:bCs/>
          <w:sz w:val="24"/>
          <w:szCs w:val="28"/>
          <w:highlight w:val="none"/>
        </w:rPr>
        <w:t xml:space="preserve">1、投标人商务条件如与招标文件要求的不一致，则须在上表偏离说明中详细注明。</w:t>
      </w:r>
      <w:r/>
    </w:p>
    <w:p>
      <w:pPr>
        <w:pStyle w:val="1406"/>
        <w:rPr>
          <w:highlight w:val="none"/>
        </w:rPr>
        <w:outlineLvl w:val="1"/>
      </w:pPr>
      <w:r/>
      <w:bookmarkStart w:id="136" w:name="_Toc514054500"/>
      <w:r>
        <w:rPr>
          <w:highlight w:val="none"/>
        </w:rPr>
        <w:br w:type="page" w:clear="all"/>
      </w:r>
      <w:bookmarkStart w:id="137" w:name="_Toc14591"/>
      <w:r>
        <w:rPr>
          <w:highlight w:val="none"/>
        </w:rPr>
        <w:t xml:space="preserve">十</w:t>
      </w:r>
      <w:r>
        <w:rPr>
          <w:rFonts w:hint="eastAsia"/>
          <w:highlight w:val="none"/>
          <w:lang w:val="en-US" w:eastAsia="zh-CN"/>
        </w:rPr>
        <w:t xml:space="preserve">四</w:t>
      </w:r>
      <w:r>
        <w:rPr>
          <w:highlight w:val="none"/>
        </w:rPr>
        <w:t xml:space="preserve">、所投产品技术资料或样本等</w:t>
      </w:r>
      <w:bookmarkEnd w:id="136"/>
      <w:r/>
      <w:bookmarkEnd w:id="137"/>
      <w:r/>
      <w:r/>
    </w:p>
    <w:p>
      <w:pPr>
        <w:pStyle w:val="1141"/>
        <w:rPr>
          <w:szCs w:val="21"/>
          <w:highlight w:val="none"/>
        </w:rPr>
      </w:pPr>
      <w:r>
        <w:rPr>
          <w:rFonts w:hint="eastAsia" w:ascii="宋体"/>
          <w:bCs/>
          <w:szCs w:val="21"/>
          <w:highlight w:val="none"/>
        </w:rPr>
        <w:t xml:space="preserve">格式自拟，可附相关产品技术彩页</w:t>
      </w:r>
      <w:r/>
    </w:p>
    <w:p>
      <w:pPr>
        <w:pStyle w:val="1175"/>
        <w:rPr>
          <w:highlight w:val="none"/>
        </w:rPr>
        <w:outlineLvl w:val="1"/>
      </w:pPr>
      <w:r>
        <w:rPr>
          <w:highlight w:val="none"/>
        </w:rPr>
        <w:br w:type="page" w:clear="all"/>
      </w:r>
      <w:bookmarkStart w:id="138" w:name="_Toc27623"/>
      <w:r/>
      <w:bookmarkStart w:id="139" w:name="_Toc514054501"/>
      <w:r/>
      <w:bookmarkStart w:id="140" w:name="_Toc23522_WPSOffice_Level2"/>
      <w:r>
        <w:rPr>
          <w:highlight w:val="none"/>
        </w:rPr>
        <w:t xml:space="preserve">十</w:t>
      </w:r>
      <w:r>
        <w:rPr>
          <w:rFonts w:hint="eastAsia"/>
          <w:highlight w:val="none"/>
          <w:lang w:val="en-US" w:eastAsia="zh-CN"/>
        </w:rPr>
        <w:t xml:space="preserve">五</w:t>
      </w:r>
      <w:r>
        <w:rPr>
          <w:highlight w:val="none"/>
        </w:rPr>
        <w:t xml:space="preserve">、主要部件、辅材明细表</w:t>
      </w:r>
      <w:bookmarkEnd w:id="138"/>
      <w:r/>
      <w:bookmarkEnd w:id="139"/>
      <w:r/>
      <w:bookmarkEnd w:id="140"/>
      <w:r/>
      <w:r/>
    </w:p>
    <w:p>
      <w:pPr>
        <w:pStyle w:val="1247"/>
        <w:rPr>
          <w:highlight w:val="none"/>
        </w:rPr>
      </w:pPr>
      <w:r>
        <w:rPr>
          <w:highlight w:val="none"/>
        </w:rPr>
      </w:r>
      <w:r/>
    </w:p>
    <w:tbl>
      <w:tblPr>
        <w:tblStyle w:val="770"/>
        <w:tblpPr w:horzAnchor="margin" w:tblpXSpec="left" w:vertAnchor="text" w:tblpY="32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120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主要部件及辅材</w:t>
            </w:r>
            <w:r/>
          </w:p>
        </w:tc>
        <w:tc>
          <w:tcPr>
            <w:tcW w:w="1260" w:type="dxa"/>
            <w:vAlign w:val="center"/>
            <w:textDirection w:val="lrTb"/>
            <w:noWrap w:val="false"/>
          </w:tcPr>
          <w:p>
            <w:pPr>
              <w:pStyle w:val="120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品牌</w:t>
            </w:r>
            <w:r/>
          </w:p>
        </w:tc>
        <w:tc>
          <w:tcPr>
            <w:tcW w:w="1080" w:type="dxa"/>
            <w:vAlign w:val="center"/>
            <w:textDirection w:val="lrTb"/>
            <w:noWrap w:val="false"/>
          </w:tcPr>
          <w:p>
            <w:pPr>
              <w:pStyle w:val="120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产地</w:t>
            </w:r>
            <w:r/>
          </w:p>
        </w:tc>
        <w:tc>
          <w:tcPr>
            <w:tcW w:w="1440" w:type="dxa"/>
            <w:vAlign w:val="center"/>
            <w:textDirection w:val="lrTb"/>
            <w:noWrap w:val="false"/>
          </w:tcPr>
          <w:p>
            <w:pPr>
              <w:pStyle w:val="120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生产厂家</w:t>
            </w:r>
            <w:r/>
          </w:p>
        </w:tc>
        <w:tc>
          <w:tcPr>
            <w:tcW w:w="1974" w:type="dxa"/>
            <w:vAlign w:val="center"/>
            <w:textDirection w:val="lrTb"/>
            <w:noWrap w:val="false"/>
          </w:tcPr>
          <w:p>
            <w:pPr>
              <w:pStyle w:val="120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主要技术参数</w:t>
            </w:r>
            <w:r/>
          </w:p>
        </w:tc>
        <w:tc>
          <w:tcPr>
            <w:tcW w:w="1901" w:type="dxa"/>
            <w:vAlign w:val="center"/>
            <w:textDirection w:val="lrTb"/>
            <w:noWrap w:val="false"/>
          </w:tcPr>
          <w:p>
            <w:pPr>
              <w:pStyle w:val="1201"/>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质保期满后优惠价格</w:t>
            </w:r>
            <w:r/>
          </w:p>
        </w:tc>
      </w:tr>
      <w:tr>
        <w:trPr>
          <w:trHeight w:val="585"/>
        </w:trPr>
        <w:tc>
          <w:tcPr>
            <w:tcW w:w="1453"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cantSplit/>
          <w:trHeight w:val="585"/>
        </w:trPr>
        <w:tc>
          <w:tcPr>
            <w:tcW w:w="1453"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vAlign w:val="center"/>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r>
        <w:trPr>
          <w:trHeight w:val="585"/>
        </w:trPr>
        <w:tc>
          <w:tcPr>
            <w:tcW w:w="1453" w:type="dxa"/>
            <w:textDirection w:val="lrTb"/>
            <w:noWrap w:val="false"/>
          </w:tcPr>
          <w:p>
            <w:pPr>
              <w:pStyle w:val="1201"/>
              <w:jc w:val="center"/>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26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08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440"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74"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c>
          <w:tcPr>
            <w:tcW w:w="1901" w:type="dxa"/>
            <w:textDirection w:val="lrTb"/>
            <w:noWrap w:val="false"/>
          </w:tcPr>
          <w:p>
            <w:pPr>
              <w:pStyle w:val="1201"/>
              <w:spacing w:before="100" w:beforeAutospacing="1" w:line="560" w:lineRule="exact"/>
              <w:widowControl/>
              <w:rPr>
                <w:rFonts w:ascii="仿宋_GB2312" w:eastAsia="仿宋_GB2312"/>
                <w:sz w:val="24"/>
                <w:szCs w:val="22"/>
                <w:highlight w:val="none"/>
              </w:rPr>
            </w:pPr>
            <w:r>
              <w:rPr>
                <w:rFonts w:ascii="仿宋_GB2312" w:eastAsia="仿宋_GB2312"/>
                <w:sz w:val="24"/>
                <w:szCs w:val="22"/>
                <w:highlight w:val="none"/>
              </w:rPr>
            </w:r>
            <w:r/>
          </w:p>
        </w:tc>
      </w:tr>
    </w:tbl>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ind w:left="-288" w:firstLine="285"/>
        <w:spacing w:before="100" w:beforeAutospacing="1" w:line="480" w:lineRule="exact"/>
        <w:widowControl/>
        <w:rPr>
          <w:rFonts w:ascii="仿宋_GB2312" w:eastAsia="仿宋_GB2312"/>
          <w:bCs/>
          <w:sz w:val="24"/>
          <w:highlight w:val="none"/>
        </w:rPr>
      </w:pPr>
      <w:r>
        <w:rPr>
          <w:rFonts w:ascii="仿宋_GB2312" w:eastAsia="仿宋_GB2312"/>
          <w:bCs/>
          <w:sz w:val="24"/>
          <w:highlight w:val="none"/>
        </w:rPr>
      </w:r>
      <w:r/>
    </w:p>
    <w:p>
      <w:pPr>
        <w:pStyle w:val="1201"/>
        <w:spacing w:before="100" w:beforeAutospacing="1" w:line="480" w:lineRule="exact"/>
        <w:widowControl/>
        <w:rPr>
          <w:rFonts w:ascii="仿宋_GB2312" w:eastAsia="仿宋_GB2312"/>
          <w:bCs/>
          <w:sz w:val="24"/>
          <w:szCs w:val="22"/>
          <w:highlight w:val="none"/>
        </w:rPr>
      </w:pPr>
      <w:r>
        <w:rPr>
          <w:rFonts w:hint="eastAsia" w:ascii="仿宋_GB2312" w:eastAsia="仿宋_GB2312"/>
          <w:bCs/>
          <w:sz w:val="24"/>
          <w:highlight w:val="none"/>
        </w:rPr>
        <w:t xml:space="preserve">注：投标人应将所投货物的主要部件、配件等材料的品牌、产地、相关参数、质保期满后的优惠价格等在表中空白处填列。</w:t>
      </w:r>
      <w:r/>
    </w:p>
    <w:p>
      <w:pPr>
        <w:pStyle w:val="1201"/>
        <w:ind w:right="105"/>
        <w:spacing w:line="560" w:lineRule="exact"/>
        <w:rPr>
          <w:rFonts w:ascii="仿宋_GB2312" w:eastAsia="仿宋_GB2312"/>
          <w:sz w:val="32"/>
          <w:szCs w:val="32"/>
          <w:highlight w:val="none"/>
        </w:rPr>
      </w:pPr>
      <w:r>
        <w:rPr>
          <w:rFonts w:ascii="仿宋_GB2312" w:eastAsia="仿宋_GB2312"/>
          <w:sz w:val="32"/>
          <w:szCs w:val="32"/>
          <w:highlight w:val="none"/>
        </w:rPr>
      </w:r>
      <w:r/>
    </w:p>
    <w:p>
      <w:pPr>
        <w:pStyle w:val="1044"/>
        <w:ind w:firstLine="480"/>
        <w:jc w:val="both"/>
        <w:rPr>
          <w:rFonts w:ascii="仿宋_GB2312" w:eastAsia="仿宋_GB2312"/>
          <w:highlight w:val="none"/>
        </w:rPr>
      </w:pPr>
      <w:r>
        <w:rPr>
          <w:rFonts w:hint="eastAsia" w:ascii="仿宋_GB2312" w:eastAsia="仿宋_GB2312"/>
          <w:highlight w:val="none"/>
        </w:rPr>
        <w:t xml:space="preserve">单位名称：</w:t>
      </w:r>
      <w:r/>
    </w:p>
    <w:p>
      <w:pPr>
        <w:pStyle w:val="1140"/>
        <w:ind w:firstLine="629"/>
        <w:spacing w:line="700" w:lineRule="exact"/>
        <w:rPr>
          <w:rFonts w:ascii="仿宋_GB2312" w:eastAsia="仿宋_GB2312"/>
          <w:sz w:val="24"/>
          <w:highlight w:val="none"/>
        </w:rPr>
      </w:pPr>
      <w:r>
        <w:rPr>
          <w:rFonts w:hint="eastAsia" w:ascii="仿宋_GB2312" w:eastAsia="仿宋_GB2312"/>
          <w:sz w:val="24"/>
          <w:highlight w:val="none"/>
        </w:rPr>
        <w:t xml:space="preserve">法定代表人（或授权代表）：（签字或签章）</w:t>
      </w:r>
      <w:r>
        <w:rPr>
          <w:rFonts w:hint="eastAsia" w:ascii="仿宋_GB2312" w:eastAsia="仿宋_GB2312"/>
          <w:sz w:val="24"/>
          <w:highlight w:val="none"/>
          <w:u w:val="single"/>
        </w:rPr>
        <w:t xml:space="preserve">              </w:t>
      </w:r>
      <w:r/>
    </w:p>
    <w:p>
      <w:pPr>
        <w:pStyle w:val="1376"/>
        <w:rPr>
          <w:highlight w:val="none"/>
        </w:rPr>
        <w:outlineLvl w:val="1"/>
      </w:pPr>
      <w:r>
        <w:rPr>
          <w:highlight w:val="none"/>
        </w:rPr>
        <w:br w:type="page" w:clear="all"/>
      </w:r>
      <w:bookmarkStart w:id="141" w:name="_Toc15828"/>
      <w:r/>
      <w:bookmarkStart w:id="142" w:name="_Toc25001_WPSOffice_Level2"/>
      <w:r/>
      <w:bookmarkStart w:id="143" w:name="_Toc514054502"/>
      <w:r>
        <w:rPr>
          <w:highlight w:val="none"/>
        </w:rPr>
        <w:t xml:space="preserve">十</w:t>
      </w:r>
      <w:r>
        <w:rPr>
          <w:rFonts w:hint="eastAsia"/>
          <w:highlight w:val="none"/>
          <w:lang w:val="en-US" w:eastAsia="zh-CN"/>
        </w:rPr>
        <w:t xml:space="preserve">六</w:t>
      </w:r>
      <w:r>
        <w:rPr>
          <w:highlight w:val="none"/>
        </w:rPr>
        <w:t xml:space="preserve">、</w:t>
      </w:r>
      <w:r>
        <w:rPr>
          <w:rFonts w:hint="eastAsia"/>
          <w:highlight w:val="none"/>
        </w:rPr>
        <w:t xml:space="preserve">服务</w:t>
      </w:r>
      <w:r>
        <w:rPr>
          <w:highlight w:val="none"/>
        </w:rPr>
        <w:t xml:space="preserve">方案</w:t>
      </w:r>
      <w:bookmarkEnd w:id="141"/>
      <w:r/>
      <w:bookmarkEnd w:id="142"/>
      <w:r/>
      <w:bookmarkEnd w:id="143"/>
      <w:r/>
      <w:r/>
    </w:p>
    <w:p>
      <w:pPr>
        <w:pStyle w:val="1214"/>
        <w:jc w:val="center"/>
        <w:spacing w:line="560" w:lineRule="exact"/>
        <w:rPr>
          <w:rFonts w:ascii="宋体"/>
          <w:b/>
          <w:bCs/>
          <w:sz w:val="32"/>
          <w:szCs w:val="32"/>
          <w:highlight w:val="none"/>
        </w:rPr>
      </w:pPr>
      <w:r/>
      <w:bookmarkStart w:id="144" w:name="_Toc2882_WPSOffice_Level2"/>
      <w:r>
        <w:rPr>
          <w:rFonts w:hint="eastAsia" w:ascii="宋体"/>
          <w:b/>
          <w:bCs/>
          <w:sz w:val="32"/>
          <w:szCs w:val="32"/>
          <w:highlight w:val="none"/>
        </w:rPr>
        <w:t xml:space="preserve">按照招标文件要求，格式自拟</w:t>
      </w:r>
      <w:bookmarkEnd w:id="144"/>
      <w:r/>
      <w:r/>
    </w:p>
    <w:p>
      <w:pPr>
        <w:pStyle w:val="1344"/>
        <w:rPr>
          <w:highlight w:val="none"/>
        </w:rPr>
        <w:outlineLvl w:val="1"/>
      </w:pPr>
      <w:r>
        <w:rPr>
          <w:highlight w:val="none"/>
        </w:rPr>
        <w:br w:type="page" w:clear="all"/>
      </w:r>
      <w:bookmarkStart w:id="145" w:name="_Toc5519"/>
      <w:r/>
      <w:bookmarkStart w:id="146" w:name="_Toc30208_WPSOffice_Level2"/>
      <w:r/>
      <w:bookmarkStart w:id="147" w:name="_Toc514054504"/>
      <w:r>
        <w:rPr>
          <w:highlight w:val="none"/>
        </w:rPr>
        <w:t xml:space="preserve">十</w:t>
      </w:r>
      <w:r>
        <w:rPr>
          <w:rFonts w:hint="eastAsia"/>
          <w:highlight w:val="none"/>
          <w:lang w:val="en-US" w:eastAsia="zh-CN"/>
        </w:rPr>
        <w:t xml:space="preserve">七</w:t>
      </w:r>
      <w:r>
        <w:rPr>
          <w:highlight w:val="none"/>
        </w:rPr>
        <w:t xml:space="preserve">、项目业绩一览表</w:t>
      </w:r>
      <w:bookmarkEnd w:id="145"/>
      <w:r/>
      <w:bookmarkEnd w:id="146"/>
      <w:r/>
      <w:bookmarkEnd w:id="147"/>
      <w:r/>
      <w:r/>
    </w:p>
    <w:p>
      <w:pPr>
        <w:pStyle w:val="1257"/>
        <w:jc w:val="center"/>
        <w:rPr>
          <w:b/>
          <w:sz w:val="32"/>
          <w:szCs w:val="32"/>
          <w:highlight w:val="none"/>
        </w:rPr>
      </w:pPr>
      <w:r/>
      <w:bookmarkStart w:id="148" w:name="_Toc10294_WPSOffice_Level2"/>
      <w:r>
        <w:rPr>
          <w:rFonts w:hint="eastAsia"/>
          <w:b/>
          <w:sz w:val="32"/>
          <w:szCs w:val="32"/>
          <w:highlight w:val="none"/>
        </w:rPr>
        <w:t xml:space="preserve">项目业绩一览表</w:t>
      </w:r>
      <w:bookmarkEnd w:id="148"/>
      <w:r/>
      <w:r/>
    </w:p>
    <w:tbl>
      <w:tblPr>
        <w:tblStyle w:val="7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3827" w:type="dxa"/>
            <w:vAlign w:val="center"/>
            <w:textDirection w:val="lrTb"/>
            <w:noWrap w:val="false"/>
          </w:tcPr>
          <w:p>
            <w:pPr>
              <w:pStyle w:val="129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项目名称</w:t>
            </w:r>
            <w:r/>
          </w:p>
        </w:tc>
        <w:tc>
          <w:tcPr>
            <w:tcW w:w="2433" w:type="dxa"/>
            <w:vAlign w:val="center"/>
            <w:textDirection w:val="lrTb"/>
            <w:noWrap w:val="false"/>
          </w:tcPr>
          <w:p>
            <w:pPr>
              <w:pStyle w:val="129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采购单位</w:t>
            </w:r>
            <w:r/>
          </w:p>
        </w:tc>
        <w:tc>
          <w:tcPr>
            <w:tcW w:w="1395" w:type="dxa"/>
            <w:vAlign w:val="center"/>
            <w:textDirection w:val="lrTb"/>
            <w:noWrap w:val="false"/>
          </w:tcPr>
          <w:p>
            <w:pPr>
              <w:pStyle w:val="1297"/>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合同金额</w:t>
            </w:r>
            <w:r/>
          </w:p>
        </w:tc>
      </w:tr>
      <w:tr>
        <w:trPr>
          <w:jc w:val="center"/>
          <w:trHeight w:val="1510"/>
        </w:trPr>
        <w:tc>
          <w:tcPr>
            <w:tcW w:w="1229" w:type="dxa"/>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25"/>
        </w:trPr>
        <w:tc>
          <w:tcPr>
            <w:tcW w:w="1229" w:type="dxa"/>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1297"/>
              <w:jc w:val="center"/>
              <w:spacing w:line="560" w:lineRule="exact"/>
              <w:rPr>
                <w:rFonts w:ascii="仿宋_GB2312" w:eastAsia="仿宋_GB2312"/>
                <w:sz w:val="28"/>
                <w:highlight w:val="none"/>
              </w:rPr>
            </w:pPr>
            <w:r>
              <w:rPr>
                <w:rFonts w:ascii="仿宋_GB2312" w:eastAsia="仿宋_GB2312"/>
                <w:sz w:val="28"/>
                <w:highlight w:val="none"/>
              </w:rPr>
            </w:r>
            <w:r/>
          </w:p>
        </w:tc>
      </w:tr>
    </w:tbl>
    <w:p>
      <w:pPr>
        <w:rPr>
          <w:rFonts w:ascii="黑体" w:hAnsi="黑体" w:eastAsia="黑体"/>
          <w:sz w:val="32"/>
          <w:highlight w:val="none"/>
        </w:rPr>
      </w:pPr>
      <w:r>
        <w:rPr>
          <w:highlight w:val="none"/>
        </w:rPr>
        <w:br w:type="page" w:clear="all"/>
      </w:r>
      <w:bookmarkStart w:id="149" w:name="_Toc514054505"/>
      <w:r/>
      <w:bookmarkStart w:id="150" w:name="_Toc30836_WPSOffice_Level2"/>
      <w:r/>
      <w:bookmarkStart w:id="151" w:name="_Toc15753"/>
      <w:r/>
      <w:bookmarkStart w:id="152" w:name="_Toc502821163"/>
      <w:r/>
      <w:r/>
    </w:p>
    <w:p>
      <w:pPr>
        <w:pStyle w:val="1301"/>
        <w:rPr>
          <w:highlight w:val="none"/>
        </w:rPr>
        <w:outlineLvl w:val="1"/>
      </w:pPr>
      <w:r>
        <w:rPr>
          <w:rFonts w:hint="eastAsia"/>
          <w:highlight w:val="none"/>
        </w:rPr>
        <w:t xml:space="preserve">十</w:t>
      </w:r>
      <w:r>
        <w:rPr>
          <w:rFonts w:hint="eastAsia"/>
          <w:highlight w:val="none"/>
          <w:lang w:val="en-US" w:eastAsia="zh-CN"/>
        </w:rPr>
        <w:t xml:space="preserve">八</w:t>
      </w:r>
      <w:r>
        <w:rPr>
          <w:rFonts w:hint="eastAsia"/>
          <w:highlight w:val="none"/>
        </w:rPr>
        <w:t xml:space="preserve">、关于符合本国产品标准的声明函（采购包号：如有）</w:t>
      </w:r>
      <w:r/>
    </w:p>
    <w:p>
      <w:pPr>
        <w:pStyle w:val="790"/>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790"/>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790"/>
        <w:ind w:firstLine="420"/>
        <w:spacing w:before="0" w:beforeAutospacing="0" w:after="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numPr>
          <w:ilvl w:val="0"/>
          <w:numId w:val="28"/>
        </w:numPr>
        <w:ind w:firstLine="420"/>
        <w:spacing w:before="30" w:beforeAutospacing="0" w:after="30" w:afterAutospacing="0" w:line="360" w:lineRule="exact"/>
        <w:rPr>
          <w:rFonts w:ascii="方正魏碑_GBK" w:hAnsi="方正魏碑_GBK" w:eastAsia="方正魏碑_GBK" w:cs="方正魏碑_GBK"/>
          <w:highlight w:val="none"/>
          <w:shd w:val="clear" w:color="auto" w:fill="ffffff"/>
        </w:rPr>
      </w:pPr>
      <w:r>
        <w:rPr>
          <w:rStyle w:val="795"/>
          <w:rFonts w:hint="eastAsia" w:ascii="方正魏碑_GBK" w:hAnsi="方正魏碑_GBK" w:eastAsia="方正魏碑_GBK" w:cs="方正魏碑_GBK"/>
          <w:i w:val="0"/>
          <w:highlight w:val="none"/>
          <w:u w:val="single"/>
          <w:shd w:val="clear" w:color="auto" w:fill="ffffff"/>
        </w:rPr>
        <w:t xml:space="preserve">（产品名称1）</w:t>
      </w:r>
      <w:r>
        <w:rPr>
          <w:rStyle w:val="795"/>
          <w:rFonts w:hint="eastAsia" w:ascii="方正魏碑_GBK" w:hAnsi="方正魏碑_GBK" w:eastAsia="方正魏碑_GBK" w:cs="方正魏碑_GBK"/>
          <w:i w:val="0"/>
          <w:highlight w:val="none"/>
          <w:shd w:val="clear" w:color="auto" w:fill="ffffff"/>
          <w:vertAlign w:val="superscript"/>
        </w:rPr>
        <w:t xml:space="preserve">1</w:t>
      </w:r>
      <w:r>
        <w:rPr>
          <w:rFonts w:hint="eastAsia" w:ascii="方正魏碑_GBK" w:hAnsi="方正魏碑_GBK" w:eastAsia="方正魏碑_GBK" w:cs="方正魏碑_GBK"/>
          <w:highlight w:val="none"/>
          <w:shd w:val="clear" w:color="auto" w:fill="ffffff"/>
        </w:rPr>
        <w:t xml:space="preserve">，生产厂为</w:t>
      </w:r>
      <w:r>
        <w:rPr>
          <w:rStyle w:val="795"/>
          <w:rFonts w:hint="eastAsia" w:ascii="方正魏碑_GBK" w:hAnsi="方正魏碑_GBK" w:eastAsia="方正魏碑_GBK" w:cs="方正魏碑_GBK"/>
          <w:i w:val="0"/>
          <w:highlight w:val="none"/>
          <w:u w:val="single"/>
          <w:shd w:val="clear" w:color="auto" w:fill="ffffff"/>
        </w:rPr>
        <w:t xml:space="preserve">（厂名）</w:t>
      </w:r>
      <w:r>
        <w:rPr>
          <w:rStyle w:val="795"/>
          <w:rFonts w:hint="eastAsia" w:ascii="方正魏碑_GBK" w:hAnsi="方正魏碑_GBK" w:eastAsia="方正魏碑_GBK" w:cs="方正魏碑_GBK"/>
          <w:i w:val="0"/>
          <w:highlight w:val="none"/>
          <w:shd w:val="clear" w:color="auto" w:fill="ffffff"/>
          <w:vertAlign w:val="superscript"/>
        </w:rPr>
        <w:t xml:space="preserve">2</w:t>
      </w:r>
      <w:r>
        <w:rPr>
          <w:rFonts w:hint="eastAsia" w:ascii="方正魏碑_GBK" w:hAnsi="方正魏碑_GBK" w:eastAsia="方正魏碑_GBK" w:cs="方正魏碑_GBK"/>
          <w:highlight w:val="none"/>
          <w:shd w:val="clear" w:color="auto" w:fill="ffffff"/>
        </w:rPr>
        <w:t xml:space="preserve">，厂址为</w:t>
      </w:r>
      <w:r>
        <w:rPr>
          <w:rStyle w:val="795"/>
          <w:rFonts w:hint="eastAsia" w:ascii="方正魏碑_GBK" w:hAnsi="方正魏碑_GBK" w:eastAsia="方正魏碑_GBK" w:cs="方正魏碑_GBK"/>
          <w:i w:val="0"/>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Fonts w:hint="eastAsia" w:ascii="方正魏碑_GBK" w:hAnsi="方正魏碑_GBK" w:eastAsia="方正魏碑_GBK" w:cs="方正魏碑_GBK"/>
          <w:highlight w:val="none"/>
          <w:u w:val="single"/>
          <w:shd w:val="clear" w:color="auto" w:fill="ffffff"/>
        </w:rPr>
        <w:t xml:space="preserve"> </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产品名称1</w:t>
      </w:r>
      <w:r>
        <w:rPr>
          <w:rStyle w:val="795"/>
          <w:rFonts w:hint="eastAsia" w:ascii="方正魏碑_GBK" w:hAnsi="方正魏碑_GBK" w:eastAsia="方正魏碑_GBK" w:cs="方正魏碑_GBK"/>
          <w:i w:val="0"/>
          <w:highlight w:val="none"/>
          <w:u w:val="single"/>
          <w:shd w:val="clear" w:color="auto" w:fill="ffffff"/>
        </w:rPr>
        <w:t xml:space="preserve">） </w:t>
      </w:r>
      <w:r>
        <w:rPr>
          <w:rFonts w:hint="eastAsia" w:ascii="方正魏碑_GBK" w:hAnsi="方正魏碑_GBK" w:eastAsia="方正魏碑_GBK" w:cs="方正魏碑_GBK"/>
          <w:highlight w:val="none"/>
          <w:shd w:val="clear" w:color="auto" w:fill="ffffff"/>
        </w:rPr>
        <w:t xml:space="preserve">的中国境内生产的组件成本占比≥</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规定</w:t>
      </w:r>
      <w:r>
        <w:rPr>
          <w:rStyle w:val="795"/>
          <w:rFonts w:ascii="方正魏碑_GBK" w:hAnsi="方正魏碑_GBK" w:eastAsia="方正魏碑_GBK" w:cs="方正魏碑_GBK"/>
          <w:i w:val="0"/>
          <w:strike/>
          <w:highlight w:val="none"/>
          <w:u w:val="single"/>
          <w:shd w:val="clear" w:color="auto" w:fill="ffffff"/>
        </w:rPr>
        <w:t xml:space="preserve">比例</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highlight w:val="none"/>
          <w:shd w:val="clear" w:color="auto" w:fill="ffffff"/>
          <w:vertAlign w:val="superscript"/>
        </w:rPr>
        <w:t xml:space="preserve">3</w:t>
      </w:r>
      <w:r>
        <w:rPr>
          <w:rFonts w:hint="eastAsia" w:ascii="方正魏碑_GBK" w:hAnsi="方正魏碑_GBK" w:eastAsia="方正魏碑_GBK" w:cs="方正魏碑_GBK"/>
          <w:highlight w:val="none"/>
          <w:shd w:val="clear" w:color="auto" w:fill="ffffff"/>
        </w:rPr>
        <w:t xml:space="preserve">。</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产品名称1</w:t>
      </w:r>
      <w:r>
        <w:rPr>
          <w:rStyle w:val="795"/>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关键</w:t>
      </w:r>
      <w:r>
        <w:rPr>
          <w:rStyle w:val="795"/>
          <w:rFonts w:ascii="方正魏碑_GBK" w:hAnsi="方正魏碑_GBK" w:eastAsia="方正魏碑_GBK" w:cs="方正魏碑_GBK"/>
          <w:i w:val="0"/>
          <w:strike/>
          <w:highlight w:val="none"/>
          <w:u w:val="single"/>
          <w:shd w:val="clear" w:color="auto" w:fill="ffffff"/>
        </w:rPr>
        <w:t xml:space="preserve">组件</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highlight w:val="none"/>
          <w:shd w:val="clear" w:color="auto" w:fill="ffffff"/>
          <w:vertAlign w:val="superscript"/>
        </w:rPr>
        <w:t xml:space="preserve">4</w:t>
      </w:r>
      <w:r>
        <w:rPr>
          <w:rFonts w:hint="eastAsia" w:ascii="方正魏碑_GBK" w:hAnsi="方正魏碑_GBK" w:eastAsia="方正魏碑_GBK" w:cs="方正魏碑_GBK"/>
          <w:highlight w:val="none"/>
          <w:shd w:val="clear" w:color="auto" w:fill="ffffff"/>
        </w:rPr>
        <w:t xml:space="preserve">在中国境内生产。</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产品名称1</w:t>
      </w:r>
      <w:r>
        <w:rPr>
          <w:rStyle w:val="795"/>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关键工序</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highlight w:val="none"/>
          <w:shd w:val="clear" w:color="auto" w:fill="ffffff"/>
          <w:vertAlign w:val="superscript"/>
        </w:rPr>
        <w:t xml:space="preserve">5</w:t>
      </w:r>
      <w:r>
        <w:rPr>
          <w:rFonts w:hint="eastAsia" w:ascii="方正魏碑_GBK" w:hAnsi="方正魏碑_GBK" w:eastAsia="方正魏碑_GBK" w:cs="方正魏碑_GBK"/>
          <w:highlight w:val="none"/>
          <w:shd w:val="clear" w:color="auto" w:fill="ffffff"/>
        </w:rPr>
        <w:t xml:space="preserve">在中国境内完成。</w:t>
      </w:r>
      <w:r/>
    </w:p>
    <w:p>
      <w:pPr>
        <w:pStyle w:val="790"/>
        <w:numPr>
          <w:ilvl w:val="255"/>
          <w:numId w:val="0"/>
        </w:numPr>
        <w:spacing w:before="30" w:beforeAutospacing="0" w:after="30" w:afterAutospacing="0" w:line="360" w:lineRule="exact"/>
        <w:rPr>
          <w:rFonts w:ascii="方正魏碑_GBK" w:hAnsi="方正魏碑_GBK" w:eastAsia="方正魏碑_GBK" w:cs="方正魏碑_GBK"/>
          <w:highlight w:val="none"/>
          <w:shd w:val="clear" w:color="auto" w:fill="ffffff"/>
        </w:rPr>
      </w:pPr>
      <w:r>
        <w:rPr>
          <w:rFonts w:ascii="方正魏碑_GBK" w:hAnsi="方正魏碑_GBK" w:eastAsia="方正魏碑_GBK" w:cs="方正魏碑_GBK"/>
          <w:highlight w:val="none"/>
          <w:shd w:val="clear" w:color="auto" w:fill="ffffff"/>
        </w:rPr>
      </w:r>
      <w:r/>
    </w:p>
    <w:p>
      <w:pPr>
        <w:pStyle w:val="790"/>
        <w:ind w:firstLine="420"/>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2.</w:t>
      </w:r>
      <w:r>
        <w:rPr>
          <w:rStyle w:val="795"/>
          <w:rFonts w:hint="eastAsia" w:ascii="方正魏碑_GBK" w:hAnsi="方正魏碑_GBK" w:eastAsia="方正魏碑_GBK" w:cs="方正魏碑_GBK"/>
          <w:i w:val="0"/>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，生产厂为</w:t>
      </w:r>
      <w:r>
        <w:rPr>
          <w:rStyle w:val="795"/>
          <w:rFonts w:hint="eastAsia" w:ascii="方正魏碑_GBK" w:hAnsi="方正魏碑_GBK" w:eastAsia="方正魏碑_GBK" w:cs="方正魏碑_GBK"/>
          <w:i w:val="0"/>
          <w:highlight w:val="none"/>
          <w:u w:val="single"/>
          <w:shd w:val="clear" w:color="auto" w:fill="ffffff"/>
        </w:rPr>
        <w:t xml:space="preserve">（厂名）</w:t>
      </w:r>
      <w:r>
        <w:rPr>
          <w:rFonts w:hint="eastAsia" w:ascii="方正魏碑_GBK" w:hAnsi="方正魏碑_GBK" w:eastAsia="方正魏碑_GBK" w:cs="方正魏碑_GBK"/>
          <w:highlight w:val="none"/>
          <w:shd w:val="clear" w:color="auto" w:fill="ffffff"/>
        </w:rPr>
        <w:t xml:space="preserve">，厂址为</w:t>
      </w:r>
      <w:r>
        <w:rPr>
          <w:rStyle w:val="795"/>
          <w:rFonts w:hint="eastAsia" w:ascii="方正魏碑_GBK" w:hAnsi="方正魏碑_GBK" w:eastAsia="方正魏碑_GBK" w:cs="方正魏碑_GBK"/>
          <w:i w:val="0"/>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产品名称2</w:t>
      </w:r>
      <w:r>
        <w:rPr>
          <w:rStyle w:val="795"/>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的中国境内生产的组件成本占比≥</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规定</w:t>
      </w:r>
      <w:r>
        <w:rPr>
          <w:rStyle w:val="795"/>
          <w:rFonts w:ascii="方正魏碑_GBK" w:hAnsi="方正魏碑_GBK" w:eastAsia="方正魏碑_GBK" w:cs="方正魏碑_GBK"/>
          <w:i w:val="0"/>
          <w:strike/>
          <w:highlight w:val="none"/>
          <w:u w:val="single"/>
          <w:shd w:val="clear" w:color="auto" w:fill="ffffff"/>
        </w:rPr>
        <w:t xml:space="preserve">比例</w:t>
      </w:r>
      <w:r>
        <w:rPr>
          <w:rStyle w:val="795"/>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产品名称2</w:t>
      </w:r>
      <w:r>
        <w:rPr>
          <w:rStyle w:val="795"/>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关键</w:t>
      </w:r>
      <w:r>
        <w:rPr>
          <w:rStyle w:val="795"/>
          <w:rFonts w:ascii="方正魏碑_GBK" w:hAnsi="方正魏碑_GBK" w:eastAsia="方正魏碑_GBK" w:cs="方正魏碑_GBK"/>
          <w:i w:val="0"/>
          <w:strike/>
          <w:highlight w:val="none"/>
          <w:u w:val="single"/>
          <w:shd w:val="clear" w:color="auto" w:fill="ffffff"/>
        </w:rPr>
        <w:t xml:space="preserve">组件</w:t>
      </w:r>
      <w:r>
        <w:rPr>
          <w:rStyle w:val="795"/>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在中国境内生产。</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产品名称1</w:t>
      </w:r>
      <w:r>
        <w:rPr>
          <w:rStyle w:val="795"/>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795"/>
          <w:rFonts w:hint="eastAsia" w:ascii="方正魏碑_GBK" w:hAnsi="方正魏碑_GBK" w:eastAsia="方正魏碑_GBK" w:cs="方正魏碑_GBK"/>
          <w:i w:val="0"/>
          <w:highlight w:val="none"/>
          <w:u w:val="single"/>
          <w:shd w:val="clear" w:color="auto" w:fill="ffffff"/>
        </w:rPr>
        <w:t xml:space="preserve">（</w:t>
      </w:r>
      <w:r>
        <w:rPr>
          <w:rStyle w:val="795"/>
          <w:rFonts w:hint="eastAsia" w:ascii="方正魏碑_GBK" w:hAnsi="方正魏碑_GBK" w:eastAsia="方正魏碑_GBK" w:cs="方正魏碑_GBK"/>
          <w:i w:val="0"/>
          <w:strike/>
          <w:highlight w:val="none"/>
          <w:u w:val="single"/>
          <w:shd w:val="clear" w:color="auto" w:fill="ffffff"/>
        </w:rPr>
        <w:t xml:space="preserve">关键工序</w:t>
      </w:r>
      <w:r>
        <w:rPr>
          <w:rStyle w:val="795"/>
          <w:rFonts w:hint="eastAsia" w:ascii="方正魏碑_GBK" w:hAnsi="方正魏碑_GBK" w:eastAsia="方正魏碑_GBK" w:cs="方正魏碑_GBK"/>
          <w:i w:val="0"/>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在中国境内完成。</w:t>
      </w:r>
      <w:r/>
    </w:p>
    <w:p>
      <w:pPr>
        <w:pStyle w:val="790"/>
        <w:ind w:firstLine="420"/>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w:t>
      </w:r>
      <w:r/>
    </w:p>
    <w:p>
      <w:pPr>
        <w:pStyle w:val="790"/>
        <w:ind w:firstLine="420"/>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本公司（单位）对上述声明内容的真实性负责。如有虚假，愿承担相应法律责任。</w:t>
      </w:r>
      <w:r/>
    </w:p>
    <w:p>
      <w:pPr>
        <w:pStyle w:val="790"/>
        <w:spacing w:before="30" w:beforeAutospacing="0" w:after="30" w:afterAutospacing="0" w:line="360" w:lineRule="exac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790"/>
        <w:ind w:right="480" w:firstLine="4200"/>
        <w:spacing w:before="30" w:beforeAutospacing="0" w:after="30" w:afterAutospacing="0" w:line="360" w:lineRule="exact"/>
        <w:rPr>
          <w:rFonts w:hAnsi="宋体"/>
          <w:szCs w:val="24"/>
          <w:highlight w:val="none"/>
        </w:rPr>
      </w:pPr>
      <w:r>
        <w:rPr>
          <w:rFonts w:hint="eastAsia" w:ascii="方正魏碑_GBK" w:hAnsi="方正魏碑_GBK" w:eastAsia="方正魏碑_GBK" w:cs="方正魏碑_GBK"/>
          <w:highlight w:val="none"/>
          <w:shd w:val="clear" w:color="auto" w:fill="ffffff"/>
        </w:rPr>
        <w:t xml:space="preserve">公司（单位）名称：　</w:t>
      </w:r>
      <w:r>
        <w:rPr>
          <w:rFonts w:hint="eastAsia" w:hAnsi="宋体"/>
          <w:szCs w:val="24"/>
          <w:highlight w:val="none"/>
        </w:rPr>
        <w:t xml:space="preserve">（</w:t>
      </w:r>
      <w:r>
        <w:rPr>
          <w:rFonts w:hint="eastAsia" w:hAnsi="宋体" w:eastAsia="宋体"/>
          <w:szCs w:val="24"/>
          <w:highlight w:val="none"/>
        </w:rPr>
        <w:t xml:space="preserve">加盖CA电子公章</w:t>
      </w:r>
      <w:r>
        <w:rPr>
          <w:rFonts w:hint="eastAsia" w:hAnsi="宋体"/>
          <w:szCs w:val="24"/>
          <w:highlight w:val="none"/>
        </w:rPr>
        <w:t xml:space="preserve">）  </w:t>
      </w:r>
      <w:r/>
    </w:p>
    <w:p>
      <w:pPr>
        <w:pStyle w:val="790"/>
        <w:ind w:right="480" w:firstLine="3720"/>
        <w:spacing w:before="30" w:beforeAutospacing="0" w:after="30" w:afterAutospacing="0" w:line="360" w:lineRule="exact"/>
        <w:rPr>
          <w:rFonts w:hAnsi="宋体"/>
          <w:szCs w:val="24"/>
          <w:highlight w:val="none"/>
        </w:rPr>
      </w:pPr>
      <w:r>
        <w:rPr>
          <w:rFonts w:hAnsi="宋体"/>
          <w:szCs w:val="24"/>
          <w:highlight w:val="none"/>
        </w:rPr>
      </w:r>
      <w:r/>
    </w:p>
    <w:p>
      <w:pPr>
        <w:pStyle w:val="790"/>
        <w:jc w:val="center"/>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                    </w:t>
      </w:r>
      <w:r>
        <w:rPr>
          <w:rFonts w:ascii="方正魏碑_GBK" w:hAnsi="方正魏碑_GBK" w:eastAsia="方正魏碑_GBK" w:cs="方正魏碑_GBK"/>
          <w:highlight w:val="none"/>
          <w:shd w:val="clear" w:color="auto" w:fill="ffffff"/>
        </w:rPr>
        <w:t xml:space="preserve">            </w:t>
      </w:r>
      <w:r>
        <w:rPr>
          <w:rFonts w:hint="eastAsia" w:ascii="方正魏碑_GBK" w:hAnsi="方正魏碑_GBK" w:eastAsia="方正魏碑_GBK" w:cs="方正魏碑_GBK"/>
          <w:highlight w:val="none"/>
          <w:shd w:val="clear" w:color="auto" w:fill="ffffff"/>
        </w:rPr>
        <w:t xml:space="preserve">日期：　   年　  月　  日         </w:t>
      </w:r>
      <w:r/>
    </w:p>
    <w:p>
      <w:pPr>
        <w:pStyle w:val="790"/>
        <w:spacing w:before="30" w:beforeAutospacing="0" w:after="30" w:afterAutospacing="0" w:line="0" w:lineRule="atLeas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p>
    <w:p>
      <w:pPr>
        <w:pStyle w:val="790"/>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1.产品如有型号，请在“产品名称”栏一并填写。</w:t>
      </w:r>
      <w:r/>
    </w:p>
    <w:p>
      <w:pPr>
        <w:pStyle w:val="790"/>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2.生产厂名与厂址应与生产厂营业执照载明的相关信息保持一致。</w:t>
      </w:r>
      <w:r/>
    </w:p>
    <w:p>
      <w:pPr>
        <w:pStyle w:val="790"/>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3.该产品的中国境内生产的组件成本占比相关要求实施前，“规定比例”栏可不填，下同。</w:t>
      </w:r>
      <w:r/>
    </w:p>
    <w:p>
      <w:pPr>
        <w:pStyle w:val="790"/>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4.该产品的关键组件要求实施前，“关键组件”栏可不填，下同。</w:t>
      </w:r>
      <w:r/>
    </w:p>
    <w:p>
      <w:pPr>
        <w:pStyle w:val="790"/>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5.该产品的关键工序要求实施前，“关键工序”栏可不填，下同。</w:t>
      </w:r>
      <w:r/>
    </w:p>
    <w:p>
      <w:pPr>
        <w:pStyle w:val="790"/>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6.用横线</w:t>
      </w:r>
      <w:r>
        <w:rPr>
          <w:rFonts w:hint="eastAsia" w:ascii="方正魏碑_GBK" w:hAnsi="方正魏碑_GBK" w:eastAsia="方正魏碑_GBK" w:cs="方正魏碑_GBK"/>
          <w:strike/>
          <w:sz w:val="22"/>
          <w:highlight w:val="none"/>
          <w:shd w:val="clear" w:color="auto" w:fill="ffffff"/>
        </w:rPr>
        <w:t xml:space="preserve">     </w:t>
      </w:r>
      <w:r>
        <w:rPr>
          <w:rFonts w:hint="eastAsia" w:ascii="方正魏碑_GBK" w:hAnsi="方正魏碑_GBK" w:eastAsia="方正魏碑_GBK" w:cs="方正魏碑_GBK"/>
          <w:sz w:val="22"/>
          <w:highlight w:val="none"/>
          <w:shd w:val="clear" w:color="auto" w:fill="ffffff"/>
        </w:rPr>
        <w:t xml:space="preserve">划除的地方无需填写。</w:t>
      </w:r>
      <w:r/>
    </w:p>
    <w:p>
      <w:pPr>
        <w:pStyle w:val="790"/>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ascii="方正魏碑_GBK" w:hAnsi="方正魏碑_GBK" w:eastAsia="方正魏碑_GBK" w:cs="方正魏碑_GBK"/>
          <w:sz w:val="22"/>
          <w:highlight w:val="none"/>
          <w:shd w:val="clear" w:color="auto" w:fill="ffffff"/>
        </w:rPr>
      </w:r>
      <w:r/>
    </w:p>
    <w:p>
      <w:pPr>
        <w:pStyle w:val="790"/>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ascii="方正魏碑_GBK" w:hAnsi="方正魏碑_GBK" w:eastAsia="方正魏碑_GBK" w:cs="方正魏碑_GBK"/>
          <w:sz w:val="22"/>
          <w:highlight w:val="none"/>
          <w:shd w:val="clear" w:color="auto" w:fill="ffffff"/>
        </w:rPr>
      </w:r>
      <w:r/>
    </w:p>
    <w:p>
      <w:pPr>
        <w:pStyle w:val="790"/>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ascii="方正魏碑_GBK" w:hAnsi="方正魏碑_GBK" w:eastAsia="方正魏碑_GBK" w:cs="方正魏碑_GBK"/>
          <w:sz w:val="22"/>
          <w:highlight w:val="none"/>
          <w:shd w:val="clear" w:color="auto" w:fill="ffffff"/>
        </w:rPr>
      </w:r>
      <w:r/>
    </w:p>
    <w:p>
      <w:pPr>
        <w:pStyle w:val="790"/>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ascii="方正魏碑_GBK" w:hAnsi="方正魏碑_GBK" w:eastAsia="方正魏碑_GBK" w:cs="方正魏碑_GBK"/>
          <w:sz w:val="22"/>
          <w:highlight w:val="none"/>
          <w:shd w:val="clear" w:color="auto" w:fill="ffffff"/>
        </w:rPr>
      </w:r>
      <w:r/>
    </w:p>
    <w:p>
      <w:pPr>
        <w:pStyle w:val="1244"/>
        <w:rPr>
          <w:highlight w:val="none"/>
        </w:rPr>
        <w:outlineLvl w:val="1"/>
      </w:pPr>
      <w:r>
        <w:rPr>
          <w:highlight w:val="none"/>
        </w:rPr>
      </w:r>
      <w:r/>
    </w:p>
    <w:p>
      <w:pPr>
        <w:pStyle w:val="1244"/>
        <w:rPr>
          <w:highlight w:val="none"/>
        </w:rPr>
        <w:outlineLvl w:val="1"/>
      </w:pPr>
      <w:r>
        <w:rPr>
          <w:highlight w:val="none"/>
        </w:rPr>
      </w:r>
      <w:r/>
    </w:p>
    <w:p>
      <w:pPr>
        <w:pStyle w:val="1244"/>
        <w:rPr>
          <w:highlight w:val="none"/>
        </w:rPr>
        <w:outlineLvl w:val="1"/>
      </w:pPr>
      <w:r>
        <w:rPr>
          <w:highlight w:val="none"/>
        </w:rPr>
      </w:r>
      <w:r/>
    </w:p>
    <w:p>
      <w:pPr>
        <w:pStyle w:val="1244"/>
        <w:rPr>
          <w:highlight w:val="none"/>
        </w:rPr>
        <w:outlineLvl w:val="1"/>
      </w:pPr>
      <w:r>
        <w:rPr>
          <w:highlight w:val="none"/>
        </w:rPr>
      </w:r>
      <w:r/>
    </w:p>
    <w:p>
      <w:pPr>
        <w:pStyle w:val="1244"/>
        <w:rPr>
          <w:highlight w:val="none"/>
        </w:rPr>
        <w:outlineLvl w:val="1"/>
      </w:pPr>
      <w:r>
        <w:rPr>
          <w:highlight w:val="none"/>
        </w:rPr>
      </w:r>
      <w:r/>
    </w:p>
    <w:p>
      <w:pPr>
        <w:pStyle w:val="1244"/>
        <w:rPr>
          <w:highlight w:val="none"/>
        </w:rPr>
        <w:outlineLvl w:val="1"/>
      </w:pPr>
      <w:r>
        <w:rPr>
          <w:highlight w:val="none"/>
        </w:rPr>
      </w:r>
      <w:r/>
    </w:p>
    <w:p>
      <w:pPr>
        <w:pStyle w:val="1244"/>
        <w:rPr>
          <w:highlight w:val="none"/>
        </w:rPr>
        <w:outlineLvl w:val="1"/>
      </w:pPr>
      <w:r>
        <w:rPr>
          <w:highlight w:val="none"/>
        </w:rPr>
      </w:r>
      <w:r/>
    </w:p>
    <w:p>
      <w:pPr>
        <w:pStyle w:val="1244"/>
        <w:rPr>
          <w:highlight w:val="none"/>
        </w:rPr>
        <w:outlineLvl w:val="1"/>
      </w:pPr>
      <w:r>
        <w:rPr>
          <w:highlight w:val="none"/>
        </w:rPr>
      </w:r>
      <w:r/>
    </w:p>
    <w:p>
      <w:pPr>
        <w:pStyle w:val="1244"/>
        <w:rPr>
          <w:highlight w:val="none"/>
        </w:rPr>
        <w:outlineLvl w:val="1"/>
      </w:pPr>
      <w:r>
        <w:rPr>
          <w:highlight w:val="none"/>
        </w:rPr>
        <w:t xml:space="preserve">十</w:t>
      </w:r>
      <w:r>
        <w:rPr>
          <w:rFonts w:hint="eastAsia"/>
          <w:highlight w:val="none"/>
          <w:lang w:val="en-US" w:eastAsia="zh-CN"/>
        </w:rPr>
        <w:t xml:space="preserve">九</w:t>
      </w:r>
      <w:r>
        <w:rPr>
          <w:highlight w:val="none"/>
        </w:rPr>
        <w:t xml:space="preserve">、投标所需其他材料</w:t>
      </w:r>
      <w:bookmarkEnd w:id="149"/>
      <w:r/>
      <w:bookmarkEnd w:id="150"/>
      <w:r/>
      <w:bookmarkEnd w:id="151"/>
      <w:r/>
      <w:bookmarkEnd w:id="152"/>
      <w:r/>
      <w:r/>
    </w:p>
    <w:p>
      <w:pPr>
        <w:pStyle w:val="1381"/>
        <w:ind w:firstLine="420"/>
        <w:spacing w:line="360" w:lineRule="auto"/>
        <w:rPr>
          <w:highlight w:val="none"/>
        </w:rPr>
      </w:pPr>
      <w:r>
        <w:rPr>
          <w:rFonts w:hint="eastAsia"/>
          <w:highlight w:val="none"/>
        </w:rPr>
        <w:t xml:space="preserve">请在此文档中增加投标所需其他相关内容（包括资格要求、评分办法、采购需求中涉及的证件证明及其它投标人认为有必要提供的资料），如没有请空置。</w:t>
      </w:r>
      <w:r/>
    </w:p>
    <w:p>
      <w:pPr>
        <w:rPr>
          <w:sz w:val="20"/>
          <w:highlight w:val="none"/>
        </w:rPr>
      </w:pPr>
      <w:r>
        <w:rPr>
          <w:rFonts w:hint="eastAsia"/>
          <w:sz w:val="20"/>
          <w:highlight w:val="none"/>
        </w:rPr>
        <w:t xml:space="preserve"> </w:t>
      </w:r>
      <w:r/>
    </w:p>
    <w:sectPr>
      <w:footerReference w:type="default" r:id="rId10"/>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楷体">
    <w:panose1 w:val="02010609060101010101"/>
  </w:font>
  <w:font w:name="方正小标宋简体">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Times">
    <w:panose1 w:val="02020603050405020304"/>
  </w:font>
  <w:font w:name="华文楷体">
    <w:panose1 w:val="02010600040101010101"/>
  </w:font>
  <w:font w:name="Wingdings">
    <w:panose1 w:val="05000000000000000000"/>
  </w:font>
  <w:font w:name=".....?.">
    <w:panose1 w:val="020B050302020202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0362457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p>
    <w:pPr>
      <w:pStyle w:val="102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33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33</w:t>
                    </w:r>
                    <w:r>
                      <w:fldChar w:fldCharType="end"/>
                    </w:r>
                    <w:r/>
                  </w:p>
                  <w:p>
                    <w:r/>
                    <w:r/>
                  </w:p>
                </w:txbxContent>
              </v:textbox>
            </v:shape>
          </w:pict>
        </mc:Fallback>
      </mc:AlternateContent>
    </w:r>
    <w:r/>
  </w:p>
  <w:p>
    <w:pPr>
      <w:pStyle w:val="102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5"/>
      </w:pPr>
      <w:r>
        <w:rPr>
          <w:rStyle w:val="798"/>
        </w:rPr>
        <w:footnoteRef/>
      </w:r>
      <w:r>
        <w:t xml:space="preserve"> </w:t>
      </w:r>
      <w:r>
        <w:rPr>
          <w:rFonts w:hint="eastAsia"/>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1418"/>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417"/>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0">
    <w:multiLevelType w:val="hybridMultilevel"/>
    <w:lvl w:ilvl="0">
      <w:start w:val="1"/>
      <w:numFmt w:val="bullet"/>
      <w:pStyle w:val="77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center"/>
      <w:pPr>
        <w:ind w:left="840" w:hanging="42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center"/>
      <w:pPr>
        <w:ind w:left="840" w:hanging="42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chineseCountingThousand"/>
      <w:isLgl w:val="false"/>
      <w:suff w:val="tab"/>
      <w:lvlText w:val="(%1)"/>
      <w:lvlJc w:val="left"/>
      <w:pPr>
        <w:ind w:left="1272" w:hanging="420"/>
      </w:p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bullet"/>
      <w:pStyle w:val="126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25"/>
  </w:num>
  <w:num w:numId="3">
    <w:abstractNumId w:val="9"/>
  </w:num>
  <w:num w:numId="4">
    <w:abstractNumId w:val="22"/>
  </w:num>
  <w:num w:numId="5">
    <w:abstractNumId w:val="6"/>
  </w:num>
  <w:num w:numId="6">
    <w:abstractNumId w:val="17"/>
  </w:num>
  <w:num w:numId="7">
    <w:abstractNumId w:val="23"/>
  </w:num>
  <w:num w:numId="8">
    <w:abstractNumId w:val="2"/>
  </w:num>
  <w:num w:numId="9">
    <w:abstractNumId w:val="20"/>
  </w:num>
  <w:num w:numId="10">
    <w:abstractNumId w:val="27"/>
  </w:num>
  <w:num w:numId="11">
    <w:abstractNumId w:val="15"/>
  </w:num>
  <w:num w:numId="12">
    <w:abstractNumId w:val="0"/>
  </w:num>
  <w:num w:numId="13">
    <w:abstractNumId w:val="14"/>
  </w:num>
  <w:num w:numId="14">
    <w:abstractNumId w:val="19"/>
  </w:num>
  <w:num w:numId="15">
    <w:abstractNumId w:val="12"/>
  </w:num>
  <w:num w:numId="16">
    <w:abstractNumId w:val="11"/>
  </w:num>
  <w:num w:numId="17">
    <w:abstractNumId w:val="16"/>
  </w:num>
  <w:num w:numId="18">
    <w:abstractNumId w:val="26"/>
  </w:num>
  <w:num w:numId="19">
    <w:abstractNumId w:val="8"/>
  </w:num>
  <w:num w:numId="20">
    <w:abstractNumId w:val="5"/>
  </w:num>
  <w:num w:numId="21">
    <w:abstractNumId w:val="7"/>
  </w:num>
  <w:num w:numId="22">
    <w:abstractNumId w:val="3"/>
  </w:num>
  <w:num w:numId="23">
    <w:abstractNumId w:val="21"/>
  </w:num>
  <w:num w:numId="24">
    <w:abstractNumId w:val="1"/>
  </w:num>
  <w:num w:numId="25">
    <w:abstractNumId w:val="13"/>
  </w:num>
  <w:num w:numId="26">
    <w:abstractNumId w:val="4"/>
  </w:num>
  <w:num w:numId="27">
    <w:abstractNumId w:val="24"/>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0">
    <w:name w:val="Heading 1"/>
    <w:basedOn w:val="759"/>
    <w:next w:val="759"/>
    <w:link w:val="837"/>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38"/>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39"/>
    <w:uiPriority w:val="9"/>
    <w:unhideWhenUsed/>
    <w:qFormat/>
    <w:pPr>
      <w:keepLines/>
      <w:keepNext/>
      <w:spacing w:before="320" w:after="200"/>
      <w:outlineLvl w:val="5"/>
    </w:pPr>
    <w:rPr>
      <w:rFonts w:ascii="Arial" w:hAnsi="Arial" w:eastAsia="Arial" w:cs="Arial"/>
      <w:b/>
      <w:bCs/>
      <w:sz w:val="22"/>
    </w:rPr>
  </w:style>
  <w:style w:type="paragraph" w:styleId="766">
    <w:name w:val="Heading 7"/>
    <w:basedOn w:val="759"/>
    <w:next w:val="759"/>
    <w:link w:val="840"/>
    <w:uiPriority w:val="9"/>
    <w:unhideWhenUsed/>
    <w:qFormat/>
    <w:pPr>
      <w:keepLines/>
      <w:keepNext/>
      <w:spacing w:before="320" w:after="200"/>
      <w:outlineLvl w:val="6"/>
    </w:pPr>
    <w:rPr>
      <w:rFonts w:ascii="Arial" w:hAnsi="Arial" w:eastAsia="Arial" w:cs="Arial"/>
      <w:b/>
      <w:bCs/>
      <w:i/>
      <w:iCs/>
      <w:sz w:val="22"/>
    </w:rPr>
  </w:style>
  <w:style w:type="paragraph" w:styleId="767">
    <w:name w:val="Heading 8"/>
    <w:basedOn w:val="759"/>
    <w:next w:val="759"/>
    <w:link w:val="841"/>
    <w:uiPriority w:val="9"/>
    <w:unhideWhenUsed/>
    <w:qFormat/>
    <w:pPr>
      <w:keepLines/>
      <w:keepNext/>
      <w:spacing w:before="320" w:after="200"/>
      <w:outlineLvl w:val="7"/>
    </w:pPr>
    <w:rPr>
      <w:rFonts w:ascii="Arial" w:hAnsi="Arial" w:eastAsia="Arial" w:cs="Arial"/>
      <w:i/>
      <w:iCs/>
      <w:sz w:val="22"/>
    </w:rPr>
  </w:style>
  <w:style w:type="paragraph" w:styleId="768">
    <w:name w:val="Heading 9"/>
    <w:basedOn w:val="759"/>
    <w:next w:val="759"/>
    <w:link w:val="842"/>
    <w:uiPriority w:val="9"/>
    <w:unhideWhenUsed/>
    <w:qFormat/>
    <w:pPr>
      <w:keepLines/>
      <w:keepNext/>
      <w:spacing w:before="320" w:after="200"/>
      <w:outlineLvl w:val="8"/>
    </w:pPr>
    <w:rPr>
      <w:rFonts w:ascii="Arial" w:hAnsi="Arial" w:eastAsia="Arial" w:cs="Arial"/>
      <w:i/>
      <w:iCs/>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spacing w:after="57"/>
    </w:pPr>
  </w:style>
  <w:style w:type="paragraph" w:styleId="772">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List Bullet"/>
    <w:basedOn w:val="759"/>
    <w:uiPriority w:val="99"/>
    <w:semiHidden/>
    <w:unhideWhenUsed/>
    <w:qFormat/>
    <w:pPr>
      <w:numPr>
        <w:ilvl w:val="0"/>
        <w:numId w:val="1"/>
      </w:numPr>
    </w:pPr>
  </w:style>
  <w:style w:type="paragraph" w:styleId="774">
    <w:name w:val="annotation text"/>
    <w:basedOn w:val="759"/>
    <w:uiPriority w:val="99"/>
    <w:semiHidden/>
    <w:unhideWhenUsed/>
    <w:qFormat/>
    <w:pPr>
      <w:jc w:val="left"/>
    </w:pPr>
  </w:style>
  <w:style w:type="paragraph" w:styleId="775">
    <w:name w:val="Body Text"/>
    <w:basedOn w:val="759"/>
    <w:next w:val="759"/>
    <w:uiPriority w:val="0"/>
    <w:qFormat/>
    <w:rPr>
      <w:color w:val="000000" w:themeColor="text1"/>
      <w:szCs w:val="24"/>
      <w14:textFill>
        <w14:solidFill>
          <w14:schemeClr w14:val="tx1"/>
        </w14:solidFill>
      </w14:textFill>
    </w:rPr>
  </w:style>
  <w:style w:type="paragraph" w:styleId="776">
    <w:name w:val="toc 5"/>
    <w:basedOn w:val="759"/>
    <w:next w:val="759"/>
    <w:uiPriority w:val="39"/>
    <w:unhideWhenUsed/>
    <w:qFormat/>
    <w:pPr>
      <w:ind w:left="1134"/>
      <w:spacing w:after="57"/>
    </w:pPr>
  </w:style>
  <w:style w:type="paragraph" w:styleId="777">
    <w:name w:val="toc 3"/>
    <w:basedOn w:val="759"/>
    <w:next w:val="759"/>
    <w:uiPriority w:val="39"/>
    <w:unhideWhenUsed/>
    <w:qFormat/>
    <w:pPr>
      <w:ind w:left="567"/>
      <w:spacing w:after="57"/>
    </w:pPr>
  </w:style>
  <w:style w:type="paragraph" w:styleId="778">
    <w:name w:val="toc 8"/>
    <w:basedOn w:val="759"/>
    <w:next w:val="759"/>
    <w:uiPriority w:val="39"/>
    <w:unhideWhenUsed/>
    <w:qFormat/>
    <w:pPr>
      <w:ind w:left="1984"/>
      <w:spacing w:after="57"/>
    </w:pPr>
  </w:style>
  <w:style w:type="paragraph" w:styleId="779">
    <w:name w:val="endnote text"/>
    <w:basedOn w:val="759"/>
    <w:link w:val="977"/>
    <w:uiPriority w:val="99"/>
    <w:semiHidden/>
    <w:unhideWhenUsed/>
    <w:qFormat/>
    <w:rPr>
      <w:sz w:val="20"/>
    </w:rPr>
  </w:style>
  <w:style w:type="paragraph" w:styleId="780">
    <w:name w:val="Footer"/>
    <w:basedOn w:val="759"/>
    <w:link w:val="850"/>
    <w:uiPriority w:val="99"/>
    <w:unhideWhenUsed/>
    <w:qFormat/>
    <w:pPr>
      <w:tabs>
        <w:tab w:val="center" w:pos="7143" w:leader="none"/>
        <w:tab w:val="right" w:pos="14287" w:leader="none"/>
      </w:tabs>
    </w:pPr>
  </w:style>
  <w:style w:type="paragraph" w:styleId="781">
    <w:name w:val="Header"/>
    <w:basedOn w:val="759"/>
    <w:uiPriority w:val="99"/>
    <w:unhideWhenUsed/>
    <w:qFormat/>
    <w:pPr>
      <w:tabs>
        <w:tab w:val="center" w:pos="7143" w:leader="none"/>
        <w:tab w:val="right" w:pos="14287" w:leader="none"/>
      </w:tabs>
    </w:pPr>
  </w:style>
  <w:style w:type="paragraph" w:styleId="782">
    <w:name w:val="toc 1"/>
    <w:basedOn w:val="759"/>
    <w:next w:val="759"/>
    <w:uiPriority w:val="39"/>
    <w:unhideWhenUsed/>
    <w:qFormat/>
    <w:pPr>
      <w:spacing w:after="57"/>
    </w:pPr>
  </w:style>
  <w:style w:type="paragraph" w:styleId="783">
    <w:name w:val="toc 4"/>
    <w:basedOn w:val="759"/>
    <w:next w:val="759"/>
    <w:uiPriority w:val="39"/>
    <w:unhideWhenUsed/>
    <w:qFormat/>
    <w:pPr>
      <w:ind w:left="850"/>
      <w:spacing w:after="57"/>
    </w:pPr>
  </w:style>
  <w:style w:type="paragraph" w:styleId="784">
    <w:name w:val="Subtitle"/>
    <w:basedOn w:val="759"/>
    <w:next w:val="759"/>
    <w:link w:val="845"/>
    <w:uiPriority w:val="11"/>
    <w:qFormat/>
    <w:pPr>
      <w:spacing w:before="200" w:after="200"/>
    </w:pPr>
    <w:rPr>
      <w:sz w:val="24"/>
      <w:szCs w:val="24"/>
    </w:rPr>
  </w:style>
  <w:style w:type="paragraph" w:styleId="785">
    <w:name w:val="footnote text"/>
    <w:basedOn w:val="759"/>
    <w:link w:val="976"/>
    <w:uiPriority w:val="99"/>
    <w:semiHidden/>
    <w:unhideWhenUsed/>
    <w:qFormat/>
    <w:pPr>
      <w:spacing w:after="40"/>
    </w:pPr>
    <w:rPr>
      <w:sz w:val="18"/>
    </w:rPr>
  </w:style>
  <w:style w:type="paragraph" w:styleId="786">
    <w:name w:val="toc 6"/>
    <w:basedOn w:val="759"/>
    <w:next w:val="759"/>
    <w:uiPriority w:val="39"/>
    <w:unhideWhenUsed/>
    <w:qFormat/>
    <w:pPr>
      <w:ind w:left="1417"/>
      <w:spacing w:after="57"/>
    </w:pPr>
  </w:style>
  <w:style w:type="paragraph" w:styleId="787">
    <w:name w:val="table of figures"/>
    <w:basedOn w:val="759"/>
    <w:next w:val="759"/>
    <w:uiPriority w:val="99"/>
    <w:unhideWhenUsed/>
    <w:qFormat/>
  </w:style>
  <w:style w:type="paragraph" w:styleId="788">
    <w:name w:val="toc 2"/>
    <w:basedOn w:val="759"/>
    <w:next w:val="759"/>
    <w:uiPriority w:val="39"/>
    <w:unhideWhenUsed/>
    <w:qFormat/>
    <w:pPr>
      <w:ind w:left="283"/>
      <w:spacing w:after="57"/>
    </w:pPr>
  </w:style>
  <w:style w:type="paragraph" w:styleId="789">
    <w:name w:val="toc 9"/>
    <w:basedOn w:val="759"/>
    <w:next w:val="759"/>
    <w:uiPriority w:val="39"/>
    <w:unhideWhenUsed/>
    <w:qFormat/>
    <w:pPr>
      <w:ind w:left="2268"/>
      <w:spacing w:after="57"/>
    </w:pPr>
  </w:style>
  <w:style w:type="paragraph" w:styleId="790">
    <w:name w:val="Normal (Web)"/>
    <w:basedOn w:val="759"/>
    <w:uiPriority w:val="0"/>
    <w:qFormat/>
    <w:pPr>
      <w:jc w:val="left"/>
      <w:spacing w:before="100" w:beforeAutospacing="1" w:after="100" w:afterAutospacing="1"/>
      <w:widowControl/>
    </w:pPr>
    <w:rPr>
      <w:rFonts w:ascii="宋体" w:eastAsia="Times New Roman"/>
      <w:sz w:val="24"/>
      <w:szCs w:val="20"/>
    </w:rPr>
  </w:style>
  <w:style w:type="paragraph" w:styleId="791">
    <w:name w:val="Title"/>
    <w:basedOn w:val="759"/>
    <w:next w:val="759"/>
    <w:link w:val="844"/>
    <w:uiPriority w:val="10"/>
    <w:qFormat/>
    <w:pPr>
      <w:contextualSpacing/>
      <w:spacing w:before="300" w:after="200"/>
    </w:pPr>
    <w:rPr>
      <w:sz w:val="48"/>
      <w:szCs w:val="48"/>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9"/>
    <w:uiPriority w:val="22"/>
    <w:qFormat/>
    <w:rPr>
      <w:b/>
    </w:rPr>
  </w:style>
  <w:style w:type="character" w:styleId="794">
    <w:name w:val="endnote reference"/>
    <w:uiPriority w:val="99"/>
    <w:semiHidden/>
    <w:unhideWhenUsed/>
    <w:qFormat/>
    <w:rPr>
      <w:vertAlign w:val="superscript"/>
    </w:rPr>
  </w:style>
  <w:style w:type="character" w:styleId="795">
    <w:name w:val="Emphasis"/>
    <w:uiPriority w:val="0"/>
    <w:qFormat/>
    <w:rPr>
      <w:i/>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annotation reference"/>
    <w:basedOn w:val="769"/>
    <w:uiPriority w:val="99"/>
    <w:semiHidden/>
    <w:unhideWhenUsed/>
    <w:qFormat/>
    <w:rPr>
      <w:sz w:val="21"/>
      <w:szCs w:val="21"/>
    </w:rPr>
  </w:style>
  <w:style w:type="character" w:styleId="798">
    <w:name w:val="footnote reference"/>
    <w:uiPriority w:val="0"/>
    <w:unhideWhenUsed/>
    <w:qFormat/>
    <w:rPr>
      <w:vertAlign w:val="superscript"/>
    </w:rPr>
  </w:style>
  <w:style w:type="paragraph" w:styleId="799" w:customStyle="1">
    <w:name w:val="正文（缩进）"/>
    <w:basedOn w:val="759"/>
    <w:uiPriority w:val="0"/>
    <w:qFormat/>
    <w:pPr>
      <w:ind w:firstLine="200"/>
      <w:spacing w:before="50" w:after="50" w:line="360" w:lineRule="auto"/>
    </w:pPr>
    <w:rPr>
      <w:sz w:val="24"/>
    </w:rPr>
  </w:style>
  <w:style w:type="paragraph" w:styleId="800" w:customStyle="1">
    <w:name w:val="TOC Heading"/>
    <w:uiPriority w:val="39"/>
    <w:unhideWhenUsed/>
    <w:qFormat/>
    <w:rPr>
      <w:rFonts w:hint="default" w:ascii="Times New Roman" w:hAnsi="Times New Roman" w:eastAsia="宋体" w:cs="Times New Roman"/>
    </w:rPr>
  </w:style>
  <w:style w:type="character" w:styleId="801" w:customStyle="1">
    <w:name w:val="Heading 1 Char"/>
    <w:basedOn w:val="769"/>
    <w:uiPriority w:val="9"/>
    <w:qFormat/>
    <w:rPr>
      <w:rFonts w:ascii="Arial" w:hAnsi="Arial" w:eastAsia="Arial" w:cs="Arial"/>
      <w:sz w:val="40"/>
      <w:szCs w:val="40"/>
    </w:rPr>
  </w:style>
  <w:style w:type="character" w:styleId="802" w:customStyle="1">
    <w:name w:val="Heading 5 Char"/>
    <w:basedOn w:val="769"/>
    <w:uiPriority w:val="9"/>
    <w:qFormat/>
    <w:rPr>
      <w:rFonts w:ascii="Arial" w:hAnsi="Arial" w:eastAsia="Arial" w:cs="Arial"/>
      <w:b/>
      <w:bCs/>
      <w:sz w:val="24"/>
      <w:szCs w:val="24"/>
    </w:rPr>
  </w:style>
  <w:style w:type="character" w:styleId="803" w:customStyle="1">
    <w:name w:val="Heading 6 Char"/>
    <w:basedOn w:val="769"/>
    <w:uiPriority w:val="9"/>
    <w:qFormat/>
    <w:rPr>
      <w:rFonts w:ascii="Arial" w:hAnsi="Arial" w:eastAsia="Arial" w:cs="Arial"/>
      <w:b/>
      <w:bCs/>
      <w:sz w:val="22"/>
      <w:szCs w:val="22"/>
    </w:rPr>
  </w:style>
  <w:style w:type="character" w:styleId="804" w:customStyle="1">
    <w:name w:val="Heading 7 Char"/>
    <w:basedOn w:val="769"/>
    <w:uiPriority w:val="9"/>
    <w:qFormat/>
    <w:rPr>
      <w:rFonts w:ascii="Arial" w:hAnsi="Arial" w:eastAsia="Arial" w:cs="Arial"/>
      <w:b/>
      <w:bCs/>
      <w:i/>
      <w:iCs/>
      <w:sz w:val="22"/>
      <w:szCs w:val="22"/>
    </w:rPr>
  </w:style>
  <w:style w:type="character" w:styleId="805" w:customStyle="1">
    <w:name w:val="Heading 8 Char"/>
    <w:basedOn w:val="769"/>
    <w:uiPriority w:val="9"/>
    <w:qFormat/>
    <w:rPr>
      <w:rFonts w:ascii="Arial" w:hAnsi="Arial" w:eastAsia="Arial" w:cs="Arial"/>
      <w:i/>
      <w:iCs/>
      <w:sz w:val="22"/>
      <w:szCs w:val="22"/>
    </w:rPr>
  </w:style>
  <w:style w:type="character" w:styleId="806" w:customStyle="1">
    <w:name w:val="Heading 9 Char"/>
    <w:basedOn w:val="769"/>
    <w:uiPriority w:val="9"/>
    <w:qFormat/>
    <w:rPr>
      <w:rFonts w:ascii="Arial" w:hAnsi="Arial" w:eastAsia="Arial" w:cs="Arial"/>
      <w:i/>
      <w:iCs/>
      <w:sz w:val="21"/>
      <w:szCs w:val="21"/>
    </w:rPr>
  </w:style>
  <w:style w:type="character" w:styleId="807" w:customStyle="1">
    <w:name w:val="Title Char"/>
    <w:basedOn w:val="769"/>
    <w:uiPriority w:val="10"/>
    <w:qFormat/>
    <w:rPr>
      <w:sz w:val="48"/>
      <w:szCs w:val="48"/>
    </w:rPr>
  </w:style>
  <w:style w:type="character" w:styleId="808" w:customStyle="1">
    <w:name w:val="Subtitle Char"/>
    <w:basedOn w:val="769"/>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Caption Char"/>
    <w:uiPriority w:val="99"/>
    <w:qFormat/>
  </w:style>
  <w:style w:type="table" w:styleId="812" w:customStyle="1">
    <w:name w:val="Plain Table 1"/>
    <w:basedOn w:val="7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7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7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7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3"/>
    <w:basedOn w:val="7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5 Dark"/>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6 Colorful"/>
    <w:basedOn w:val="7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7 Colorful"/>
    <w:basedOn w:val="7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1 Light"/>
    <w:basedOn w:val="77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2"/>
    <w:basedOn w:val="7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3"/>
    <w:basedOn w:val="7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w:basedOn w:val="7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5 Dark"/>
    <w:basedOn w:val="7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77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7 Colorful"/>
    <w:basedOn w:val="77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1" w:customStyle="1">
    <w:name w:val="Footnote Text Char"/>
    <w:uiPriority w:val="99"/>
    <w:qFormat/>
    <w:rPr>
      <w:sz w:val="18"/>
    </w:rPr>
  </w:style>
  <w:style w:type="character" w:styleId="832" w:customStyle="1">
    <w:name w:val="Endnote Text Char"/>
    <w:uiPriority w:val="99"/>
    <w:qFormat/>
    <w:rPr>
      <w:sz w:val="20"/>
    </w:rPr>
  </w:style>
  <w:style w:type="paragraph" w:styleId="833" w:customStyle="1">
    <w:name w:val="TOC 标题1"/>
    <w:uiPriority w:val="39"/>
    <w:unhideWhenUsed/>
    <w:qFormat/>
    <w:rPr>
      <w:rFonts w:hint="default" w:ascii="Times New Roman" w:hAnsi="Times New Roman" w:eastAsia="宋体" w:cs="Times New Roman"/>
      <w:lang w:val="en-US" w:eastAsia="zh-CN" w:bidi="ar-SA"/>
    </w:rPr>
  </w:style>
  <w:style w:type="paragraph" w:styleId="834" w:customStyle="1">
    <w:name w:val="样式1"/>
    <w:basedOn w:val="835"/>
    <w:next w:val="759"/>
    <w:uiPriority w:val="0"/>
    <w:qFormat/>
    <w:pPr>
      <w:tabs>
        <w:tab w:val="left" w:pos="0" w:leader="none"/>
        <w:tab w:val="left" w:pos="840" w:leader="none"/>
      </w:tabs>
    </w:pPr>
    <w:rPr>
      <w:rFonts w:ascii="Arial" w:hAnsi="Arial" w:eastAsia="幼圆" w:cs="Arial"/>
      <w:sz w:val="24"/>
      <w:szCs w:val="20"/>
    </w:rPr>
  </w:style>
  <w:style w:type="paragraph" w:styleId="835" w:customStyle="1">
    <w:name w:val="列表编号1"/>
    <w:basedOn w:val="759"/>
    <w:uiPriority w:val="0"/>
    <w:qFormat/>
    <w:pPr>
      <w:spacing w:line="360" w:lineRule="auto"/>
      <w:tabs>
        <w:tab w:val="left" w:pos="0" w:leader="none"/>
        <w:tab w:val="left" w:pos="840" w:leader="none"/>
      </w:tabs>
    </w:pPr>
  </w:style>
  <w:style w:type="paragraph" w:styleId="836" w:customStyle="1">
    <w:name w:val="正文文本1"/>
    <w:basedOn w:val="759"/>
    <w:next w:val="759"/>
    <w:link w:val="990"/>
    <w:uiPriority w:val="0"/>
    <w:qFormat/>
    <w:pPr>
      <w:spacing w:line="60" w:lineRule="auto"/>
    </w:pPr>
    <w:rPr>
      <w:rFonts w:ascii="仿宋_GB2312" w:eastAsia="仿宋_GB2312"/>
      <w:sz w:val="32"/>
    </w:rPr>
  </w:style>
  <w:style w:type="character" w:styleId="837" w:customStyle="1">
    <w:name w:val="标题 1 Char"/>
    <w:link w:val="760"/>
    <w:uiPriority w:val="9"/>
    <w:qFormat/>
    <w:rPr>
      <w:rFonts w:ascii="Arial" w:hAnsi="Arial" w:eastAsia="Arial" w:cs="Arial"/>
      <w:sz w:val="40"/>
      <w:szCs w:val="40"/>
    </w:rPr>
  </w:style>
  <w:style w:type="character" w:styleId="838" w:customStyle="1">
    <w:name w:val="标题 5 Char"/>
    <w:link w:val="764"/>
    <w:uiPriority w:val="9"/>
    <w:qFormat/>
    <w:rPr>
      <w:rFonts w:ascii="Arial" w:hAnsi="Arial" w:eastAsia="Arial" w:cs="Arial"/>
      <w:b/>
      <w:bCs/>
      <w:sz w:val="24"/>
      <w:szCs w:val="24"/>
    </w:rPr>
  </w:style>
  <w:style w:type="character" w:styleId="839" w:customStyle="1">
    <w:name w:val="标题 6 Char"/>
    <w:link w:val="765"/>
    <w:uiPriority w:val="9"/>
    <w:qFormat/>
    <w:rPr>
      <w:rFonts w:ascii="Arial" w:hAnsi="Arial" w:eastAsia="Arial" w:cs="Arial"/>
      <w:b/>
      <w:bCs/>
      <w:sz w:val="22"/>
      <w:szCs w:val="22"/>
    </w:rPr>
  </w:style>
  <w:style w:type="character" w:styleId="840" w:customStyle="1">
    <w:name w:val="标题 7 Char"/>
    <w:link w:val="766"/>
    <w:uiPriority w:val="9"/>
    <w:qFormat/>
    <w:rPr>
      <w:rFonts w:ascii="Arial" w:hAnsi="Arial" w:eastAsia="Arial" w:cs="Arial"/>
      <w:b/>
      <w:bCs/>
      <w:i/>
      <w:iCs/>
      <w:sz w:val="22"/>
      <w:szCs w:val="22"/>
    </w:rPr>
  </w:style>
  <w:style w:type="character" w:styleId="841" w:customStyle="1">
    <w:name w:val="标题 8 Char"/>
    <w:link w:val="767"/>
    <w:uiPriority w:val="9"/>
    <w:qFormat/>
    <w:rPr>
      <w:rFonts w:ascii="Arial" w:hAnsi="Arial" w:eastAsia="Arial" w:cs="Arial"/>
      <w:i/>
      <w:iCs/>
      <w:sz w:val="22"/>
      <w:szCs w:val="22"/>
    </w:rPr>
  </w:style>
  <w:style w:type="character" w:styleId="842" w:customStyle="1">
    <w:name w:val="标题 9 Char"/>
    <w:link w:val="768"/>
    <w:uiPriority w:val="9"/>
    <w:qFormat/>
    <w:rPr>
      <w:rFonts w:ascii="Arial" w:hAnsi="Arial" w:eastAsia="Arial" w:cs="Arial"/>
      <w:i/>
      <w:iCs/>
      <w:sz w:val="21"/>
      <w:szCs w:val="21"/>
    </w:rPr>
  </w:style>
  <w:style w:type="paragraph" w:styleId="843">
    <w:name w:val="No Spacing"/>
    <w:uiPriority w:val="1"/>
    <w:qFormat/>
    <w:rPr>
      <w:rFonts w:hint="default" w:ascii="Times New Roman" w:hAnsi="Times New Roman" w:eastAsia="宋体" w:cs="Times New Roman"/>
      <w:lang w:val="en-US" w:eastAsia="zh-CN" w:bidi="ar-SA"/>
    </w:rPr>
  </w:style>
  <w:style w:type="character" w:styleId="844" w:customStyle="1">
    <w:name w:val="标题 Char"/>
    <w:link w:val="791"/>
    <w:uiPriority w:val="10"/>
    <w:qFormat/>
    <w:rPr>
      <w:sz w:val="48"/>
      <w:szCs w:val="48"/>
    </w:rPr>
  </w:style>
  <w:style w:type="character" w:styleId="845" w:customStyle="1">
    <w:name w:val="副标题 Char"/>
    <w:link w:val="784"/>
    <w:uiPriority w:val="11"/>
    <w:qFormat/>
    <w:rPr>
      <w:sz w:val="24"/>
      <w:szCs w:val="24"/>
    </w:rPr>
  </w:style>
  <w:style w:type="paragraph" w:styleId="846">
    <w:name w:val="Quote"/>
    <w:basedOn w:val="759"/>
    <w:next w:val="759"/>
    <w:link w:val="847"/>
    <w:uiPriority w:val="29"/>
    <w:qFormat/>
    <w:pPr>
      <w:ind w:left="720" w:right="720"/>
    </w:pPr>
    <w:rPr>
      <w:i/>
    </w:rPr>
  </w:style>
  <w:style w:type="character" w:styleId="847" w:customStyle="1">
    <w:name w:val="引用 Char"/>
    <w:link w:val="846"/>
    <w:uiPriority w:val="29"/>
    <w:qFormat/>
    <w:rPr>
      <w:i/>
    </w:rPr>
  </w:style>
  <w:style w:type="paragraph" w:styleId="848">
    <w:name w:val="Intense Quote"/>
    <w:basedOn w:val="759"/>
    <w:next w:val="759"/>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Char"/>
    <w:link w:val="848"/>
    <w:uiPriority w:val="30"/>
    <w:qFormat/>
    <w:rPr>
      <w:i/>
    </w:rPr>
  </w:style>
  <w:style w:type="character" w:styleId="850" w:customStyle="1">
    <w:name w:val="页脚 Char"/>
    <w:link w:val="780"/>
    <w:uiPriority w:val="99"/>
    <w:qFormat/>
  </w:style>
  <w:style w:type="table" w:styleId="8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脚注文本 Char"/>
    <w:link w:val="785"/>
    <w:uiPriority w:val="99"/>
    <w:qFormat/>
    <w:rPr>
      <w:sz w:val="18"/>
    </w:rPr>
  </w:style>
  <w:style w:type="character" w:styleId="977" w:customStyle="1">
    <w:name w:val="尾注文本 Char"/>
    <w:link w:val="779"/>
    <w:uiPriority w:val="99"/>
    <w:qFormat/>
    <w:rPr>
      <w:sz w:val="20"/>
    </w:rPr>
  </w:style>
  <w:style w:type="paragraph" w:styleId="978" w:customStyle="1">
    <w:name w:val="TOC 标题11"/>
    <w:uiPriority w:val="39"/>
    <w:unhideWhenUsed/>
    <w:qFormat/>
    <w:rPr>
      <w:rFonts w:hint="default" w:ascii="Times New Roman" w:hAnsi="Times New Roman" w:eastAsia="宋体" w:cs="Times New Roman"/>
      <w:lang w:val="en-US" w:eastAsia="zh-CN" w:bidi="ar-SA"/>
    </w:rPr>
  </w:style>
  <w:style w:type="paragraph" w:styleId="979" w:customStyle="1">
    <w:name w:val="标题 11"/>
    <w:basedOn w:val="759"/>
    <w:next w:val="759"/>
    <w:link w:val="991"/>
    <w:uiPriority w:val="0"/>
    <w:qFormat/>
    <w:pPr>
      <w:keepLines/>
      <w:keepNext/>
      <w:spacing w:before="340" w:after="330" w:line="576" w:lineRule="auto"/>
      <w:outlineLvl w:val="0"/>
    </w:pPr>
    <w:rPr>
      <w:b/>
      <w:sz w:val="44"/>
      <w:szCs w:val="20"/>
    </w:rPr>
  </w:style>
  <w:style w:type="paragraph" w:styleId="980" w:customStyle="1">
    <w:name w:val="标题 21"/>
    <w:basedOn w:val="759"/>
    <w:next w:val="759"/>
    <w:link w:val="992"/>
    <w:uiPriority w:val="0"/>
    <w:qFormat/>
    <w:pPr>
      <w:keepLines/>
      <w:keepNext/>
      <w:spacing w:before="260" w:after="260" w:line="413" w:lineRule="auto"/>
      <w:outlineLvl w:val="1"/>
    </w:pPr>
    <w:rPr>
      <w:rFonts w:ascii="Arial" w:hAnsi="Arial" w:eastAsia="黑体"/>
      <w:b/>
      <w:sz w:val="32"/>
      <w:szCs w:val="20"/>
    </w:rPr>
  </w:style>
  <w:style w:type="paragraph" w:styleId="981" w:customStyle="1">
    <w:name w:val="标题 31"/>
    <w:basedOn w:val="759"/>
    <w:next w:val="759"/>
    <w:link w:val="993"/>
    <w:uiPriority w:val="0"/>
    <w:qFormat/>
    <w:pPr>
      <w:keepLines/>
      <w:keepNext/>
      <w:spacing w:before="260" w:after="260" w:line="413" w:lineRule="auto"/>
      <w:outlineLvl w:val="2"/>
    </w:pPr>
    <w:rPr>
      <w:b/>
      <w:sz w:val="32"/>
      <w:szCs w:val="20"/>
    </w:rPr>
  </w:style>
  <w:style w:type="paragraph" w:styleId="982" w:customStyle="1">
    <w:name w:val="标题 41"/>
    <w:basedOn w:val="759"/>
    <w:next w:val="759"/>
    <w:link w:val="99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3" w:customStyle="1">
    <w:name w:val="标题 51"/>
    <w:basedOn w:val="759"/>
    <w:next w:val="75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4" w:customStyle="1">
    <w:name w:val="标题 61"/>
    <w:basedOn w:val="759"/>
    <w:next w:val="75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5" w:customStyle="1">
    <w:name w:val="标题 71"/>
    <w:basedOn w:val="759"/>
    <w:next w:val="75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6" w:customStyle="1">
    <w:name w:val="标题 81"/>
    <w:basedOn w:val="759"/>
    <w:next w:val="75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7" w:customStyle="1">
    <w:name w:val="标题 91"/>
    <w:basedOn w:val="759"/>
    <w:next w:val="759"/>
    <w:uiPriority w:val="0"/>
    <w:qFormat/>
    <w:pPr>
      <w:jc w:val="center"/>
      <w:keepNext/>
      <w:spacing w:line="600" w:lineRule="exact"/>
      <w:outlineLvl w:val="8"/>
    </w:pPr>
    <w:rPr>
      <w:rFonts w:ascii="仿宋_GB2312" w:eastAsia="仿宋_GB2312"/>
      <w:sz w:val="32"/>
    </w:rPr>
  </w:style>
  <w:style w:type="character" w:styleId="988" w:customStyle="1">
    <w:name w:val="默认段落字体1"/>
    <w:uiPriority w:val="1"/>
    <w:unhideWhenUsed/>
    <w:qFormat/>
  </w:style>
  <w:style w:type="table" w:styleId="989" w:customStyle="1">
    <w:name w:val="普通表格1"/>
    <w:uiPriority w:val="0"/>
    <w:semiHidden/>
    <w:qFormat/>
    <w:tblPr>
      <w:tblCellMar>
        <w:left w:w="0" w:type="dxa"/>
        <w:top w:w="0" w:type="dxa"/>
        <w:right w:w="0" w:type="dxa"/>
        <w:bottom w:w="0" w:type="dxa"/>
      </w:tblCellMar>
    </w:tblPr>
  </w:style>
  <w:style w:type="character" w:styleId="990" w:customStyle="1">
    <w:name w:val="正文文本 字符"/>
    <w:link w:val="836"/>
    <w:uiPriority w:val="0"/>
    <w:qFormat/>
    <w:rPr>
      <w:rFonts w:ascii="仿宋_GB2312" w:eastAsia="仿宋_GB2312"/>
      <w:sz w:val="32"/>
      <w:szCs w:val="22"/>
    </w:rPr>
  </w:style>
  <w:style w:type="character" w:styleId="991" w:customStyle="1">
    <w:name w:val="标题 1 字符"/>
    <w:link w:val="979"/>
    <w:uiPriority w:val="0"/>
    <w:qFormat/>
    <w:rPr>
      <w:b/>
      <w:sz w:val="44"/>
    </w:rPr>
  </w:style>
  <w:style w:type="character" w:styleId="992" w:customStyle="1">
    <w:name w:val="标题 2 字符"/>
    <w:link w:val="980"/>
    <w:uiPriority w:val="9"/>
    <w:qFormat/>
    <w:rPr>
      <w:rFonts w:ascii="Arial" w:hAnsi="Arial" w:eastAsia="黑体"/>
      <w:b/>
      <w:sz w:val="32"/>
    </w:rPr>
  </w:style>
  <w:style w:type="character" w:styleId="993" w:customStyle="1">
    <w:name w:val="标题 3 字符"/>
    <w:link w:val="981"/>
    <w:uiPriority w:val="0"/>
    <w:qFormat/>
    <w:rPr>
      <w:b/>
      <w:sz w:val="32"/>
    </w:rPr>
  </w:style>
  <w:style w:type="character" w:styleId="994" w:customStyle="1">
    <w:name w:val="标题 4 字符"/>
    <w:link w:val="982"/>
    <w:uiPriority w:val="0"/>
    <w:qFormat/>
    <w:rPr>
      <w:rFonts w:ascii="宋体" w:eastAsia="宋体"/>
      <w:color w:val="800000"/>
      <w:sz w:val="28"/>
      <w:lang w:val="en-US" w:eastAsia="zh-CN" w:bidi="ar-SA"/>
    </w:rPr>
  </w:style>
  <w:style w:type="paragraph" w:styleId="995" w:customStyle="1">
    <w:name w:val="目录 71"/>
    <w:basedOn w:val="759"/>
    <w:next w:val="759"/>
    <w:uiPriority w:val="0"/>
    <w:qFormat/>
    <w:pPr>
      <w:ind w:left="1260"/>
      <w:jc w:val="left"/>
    </w:pPr>
    <w:rPr>
      <w:rFonts w:ascii="Calibri" w:hAnsi="Calibri" w:cs="Calibri"/>
      <w:sz w:val="18"/>
      <w:szCs w:val="18"/>
    </w:rPr>
  </w:style>
  <w:style w:type="paragraph" w:styleId="996" w:customStyle="1">
    <w:name w:val="列表项目符号 41"/>
    <w:basedOn w:val="759"/>
    <w:uiPriority w:val="0"/>
    <w:qFormat/>
    <w:pPr>
      <w:ind w:left="360" w:hanging="360"/>
      <w:spacing w:line="380" w:lineRule="exact"/>
      <w:tabs>
        <w:tab w:val="left" w:pos="360" w:leader="none"/>
      </w:tabs>
    </w:pPr>
    <w:rPr>
      <w:rFonts w:ascii="Calibri" w:hAnsi="Calibri"/>
      <w:sz w:val="28"/>
    </w:rPr>
  </w:style>
  <w:style w:type="paragraph" w:styleId="997" w:customStyle="1">
    <w:name w:val="索引 81"/>
    <w:basedOn w:val="759"/>
    <w:next w:val="759"/>
    <w:uiPriority w:val="0"/>
    <w:qFormat/>
    <w:pPr>
      <w:ind w:left="1400"/>
    </w:pPr>
    <w:rPr>
      <w:rFonts w:ascii="Calibri" w:hAnsi="Calibri"/>
    </w:rPr>
  </w:style>
  <w:style w:type="paragraph" w:styleId="998" w:customStyle="1">
    <w:name w:val="正文缩进11"/>
    <w:basedOn w:val="759"/>
    <w:uiPriority w:val="0"/>
    <w:qFormat/>
    <w:pPr>
      <w:ind w:firstLine="420"/>
    </w:pPr>
    <w:rPr>
      <w:rFonts w:ascii="宋体"/>
      <w:color w:val="000000"/>
      <w:sz w:val="24"/>
      <w:szCs w:val="20"/>
    </w:rPr>
  </w:style>
  <w:style w:type="paragraph" w:styleId="999" w:customStyle="1">
    <w:name w:val="题注1"/>
    <w:basedOn w:val="759"/>
    <w:next w:val="759"/>
    <w:link w:val="1000"/>
    <w:uiPriority w:val="0"/>
    <w:qFormat/>
    <w:pPr>
      <w:spacing w:line="360" w:lineRule="auto"/>
      <w:tabs>
        <w:tab w:val="left" w:pos="0" w:leader="none"/>
      </w:tabs>
    </w:pPr>
    <w:rPr>
      <w:rFonts w:ascii="Arial" w:hAnsi="Arial" w:eastAsia="黑体"/>
      <w:sz w:val="20"/>
      <w:szCs w:val="20"/>
    </w:rPr>
  </w:style>
  <w:style w:type="character" w:styleId="1000" w:customStyle="1">
    <w:name w:val="题注 字符"/>
    <w:link w:val="999"/>
    <w:uiPriority w:val="0"/>
    <w:qFormat/>
    <w:rPr>
      <w:rFonts w:ascii="Arial" w:hAnsi="Arial" w:eastAsia="黑体" w:cs="Arial"/>
    </w:rPr>
  </w:style>
  <w:style w:type="paragraph" w:styleId="1001" w:customStyle="1">
    <w:name w:val="索引 51"/>
    <w:basedOn w:val="759"/>
    <w:next w:val="759"/>
    <w:uiPriority w:val="0"/>
    <w:qFormat/>
    <w:pPr>
      <w:ind w:left="800"/>
    </w:pPr>
    <w:rPr>
      <w:rFonts w:ascii="Calibri" w:hAnsi="Calibri"/>
    </w:rPr>
  </w:style>
  <w:style w:type="paragraph" w:styleId="1002" w:customStyle="1">
    <w:name w:val="列表项目符号1"/>
    <w:basedOn w:val="759"/>
    <w:uiPriority w:val="0"/>
    <w:qFormat/>
    <w:pPr>
      <w:ind w:left="962" w:hanging="480"/>
      <w:spacing w:line="360" w:lineRule="auto"/>
      <w:tabs>
        <w:tab w:val="left" w:pos="840" w:leader="none"/>
      </w:tabs>
    </w:pPr>
    <w:rPr>
      <w:sz w:val="24"/>
    </w:rPr>
  </w:style>
  <w:style w:type="paragraph" w:styleId="1003" w:customStyle="1">
    <w:name w:val="文档结构图1"/>
    <w:basedOn w:val="759"/>
    <w:uiPriority w:val="0"/>
    <w:qFormat/>
    <w:pPr>
      <w:shd w:val="clear" w:color="auto" w:fill="000080"/>
    </w:pPr>
  </w:style>
  <w:style w:type="paragraph" w:styleId="1004" w:customStyle="1">
    <w:name w:val="批注文字1"/>
    <w:basedOn w:val="759"/>
    <w:link w:val="1005"/>
    <w:uiPriority w:val="99"/>
    <w:qFormat/>
    <w:pPr>
      <w:jc w:val="left"/>
    </w:pPr>
    <w:rPr>
      <w:rFonts w:ascii="Calibri" w:hAnsi="Calibri"/>
      <w:szCs w:val="20"/>
    </w:rPr>
  </w:style>
  <w:style w:type="character" w:styleId="1005" w:customStyle="1">
    <w:name w:val="批注文字 字符"/>
    <w:link w:val="1004"/>
    <w:uiPriority w:val="99"/>
    <w:qFormat/>
    <w:rPr>
      <w:rFonts w:ascii="Calibri" w:hAnsi="Calibri" w:eastAsia="宋体" w:cs="Times New Roman"/>
      <w:sz w:val="21"/>
    </w:rPr>
  </w:style>
  <w:style w:type="paragraph" w:styleId="1006" w:customStyle="1">
    <w:name w:val="索引 61"/>
    <w:basedOn w:val="759"/>
    <w:next w:val="759"/>
    <w:uiPriority w:val="0"/>
    <w:qFormat/>
    <w:pPr>
      <w:ind w:left="1000"/>
    </w:pPr>
    <w:rPr>
      <w:rFonts w:ascii="Calibri" w:hAnsi="Calibri"/>
    </w:rPr>
  </w:style>
  <w:style w:type="paragraph" w:styleId="1007" w:customStyle="1">
    <w:name w:val="正文文本 31"/>
    <w:basedOn w:val="759"/>
    <w:uiPriority w:val="0"/>
    <w:qFormat/>
    <w:rPr>
      <w:color w:val="000000"/>
    </w:rPr>
  </w:style>
  <w:style w:type="paragraph" w:styleId="1008" w:customStyle="1">
    <w:name w:val="列表项目符号 31"/>
    <w:basedOn w:val="759"/>
    <w:uiPriority w:val="0"/>
    <w:qFormat/>
    <w:pPr>
      <w:ind w:left="1200" w:hanging="360"/>
      <w:spacing w:line="380" w:lineRule="exact"/>
      <w:tabs>
        <w:tab w:val="left" w:pos="1200" w:leader="none"/>
      </w:tabs>
    </w:pPr>
    <w:rPr>
      <w:rFonts w:ascii="Calibri" w:hAnsi="Calibri"/>
      <w:sz w:val="28"/>
    </w:rPr>
  </w:style>
  <w:style w:type="paragraph" w:styleId="1009" w:customStyle="1">
    <w:name w:val="正文文本缩进11"/>
    <w:basedOn w:val="759"/>
    <w:next w:val="759"/>
    <w:uiPriority w:val="0"/>
    <w:qFormat/>
    <w:pPr>
      <w:ind w:firstLine="225"/>
    </w:pPr>
    <w:rPr>
      <w:rFonts w:ascii="仿宋_GB2312" w:eastAsia="仿宋_GB2312"/>
      <w:sz w:val="32"/>
    </w:rPr>
  </w:style>
  <w:style w:type="paragraph" w:styleId="1010" w:customStyle="1">
    <w:name w:val="文本块1"/>
    <w:basedOn w:val="759"/>
    <w:uiPriority w:val="0"/>
    <w:qFormat/>
    <w:pPr>
      <w:ind w:left="1548" w:right="12" w:hanging="2405"/>
      <w:spacing w:line="360" w:lineRule="exact"/>
    </w:pPr>
    <w:rPr>
      <w:rFonts w:ascii="宋体"/>
      <w:bCs/>
      <w:sz w:val="28"/>
    </w:rPr>
  </w:style>
  <w:style w:type="paragraph" w:styleId="1011" w:customStyle="1">
    <w:name w:val="列表项目符号 21"/>
    <w:basedOn w:val="759"/>
    <w:uiPriority w:val="0"/>
    <w:qFormat/>
    <w:pPr>
      <w:ind w:left="720" w:hanging="360"/>
      <w:spacing w:line="360" w:lineRule="auto"/>
      <w:tabs>
        <w:tab w:val="left" w:pos="720" w:leader="none"/>
      </w:tabs>
    </w:pPr>
    <w:rPr>
      <w:sz w:val="24"/>
    </w:rPr>
  </w:style>
  <w:style w:type="paragraph" w:styleId="1012" w:customStyle="1">
    <w:name w:val="HTML 地址1"/>
    <w:basedOn w:val="759"/>
    <w:uiPriority w:val="0"/>
    <w:qFormat/>
    <w:rPr>
      <w:i/>
      <w:iCs/>
    </w:rPr>
  </w:style>
  <w:style w:type="paragraph" w:styleId="1013" w:customStyle="1">
    <w:name w:val="索引 41"/>
    <w:basedOn w:val="759"/>
    <w:next w:val="759"/>
    <w:uiPriority w:val="0"/>
    <w:qFormat/>
    <w:pPr>
      <w:ind w:left="600"/>
    </w:pPr>
    <w:rPr>
      <w:rFonts w:ascii="Calibri" w:hAnsi="Calibri"/>
    </w:rPr>
  </w:style>
  <w:style w:type="paragraph" w:styleId="1014" w:customStyle="1">
    <w:name w:val="目录 51"/>
    <w:basedOn w:val="759"/>
    <w:next w:val="759"/>
    <w:uiPriority w:val="0"/>
    <w:qFormat/>
    <w:pPr>
      <w:ind w:left="840"/>
      <w:jc w:val="left"/>
    </w:pPr>
    <w:rPr>
      <w:rFonts w:ascii="Calibri" w:hAnsi="Calibri" w:cs="Calibri"/>
      <w:sz w:val="18"/>
      <w:szCs w:val="18"/>
    </w:rPr>
  </w:style>
  <w:style w:type="paragraph" w:styleId="1015" w:customStyle="1">
    <w:name w:val="目录 31"/>
    <w:basedOn w:val="759"/>
    <w:next w:val="759"/>
    <w:uiPriority w:val="39"/>
    <w:qFormat/>
    <w:pPr>
      <w:ind w:left="420"/>
      <w:jc w:val="left"/>
    </w:pPr>
    <w:rPr>
      <w:rFonts w:ascii="Calibri" w:hAnsi="Calibri" w:cs="Calibri"/>
      <w:i/>
      <w:iCs/>
      <w:sz w:val="20"/>
      <w:szCs w:val="20"/>
    </w:rPr>
  </w:style>
  <w:style w:type="paragraph" w:styleId="1016" w:customStyle="1">
    <w:name w:val="纯文本11"/>
    <w:basedOn w:val="759"/>
    <w:uiPriority w:val="0"/>
    <w:qFormat/>
    <w:rPr>
      <w:rFonts w:ascii="宋体"/>
      <w:szCs w:val="21"/>
    </w:rPr>
  </w:style>
  <w:style w:type="paragraph" w:styleId="1017" w:customStyle="1">
    <w:name w:val="列表项目符号 51"/>
    <w:basedOn w:val="759"/>
    <w:uiPriority w:val="0"/>
    <w:qFormat/>
    <w:pPr>
      <w:ind w:left="720" w:hanging="360"/>
      <w:spacing w:line="380" w:lineRule="exact"/>
      <w:tabs>
        <w:tab w:val="left" w:pos="720" w:leader="none"/>
      </w:tabs>
    </w:pPr>
    <w:rPr>
      <w:rFonts w:ascii="Calibri" w:hAnsi="Calibri"/>
      <w:sz w:val="28"/>
    </w:rPr>
  </w:style>
  <w:style w:type="paragraph" w:styleId="1018" w:customStyle="1">
    <w:name w:val="目录 81"/>
    <w:basedOn w:val="759"/>
    <w:next w:val="759"/>
    <w:uiPriority w:val="0"/>
    <w:qFormat/>
    <w:pPr>
      <w:ind w:left="1470"/>
      <w:jc w:val="left"/>
    </w:pPr>
    <w:rPr>
      <w:rFonts w:ascii="Calibri" w:hAnsi="Calibri" w:cs="Calibri"/>
      <w:sz w:val="18"/>
      <w:szCs w:val="18"/>
    </w:rPr>
  </w:style>
  <w:style w:type="paragraph" w:styleId="1019" w:customStyle="1">
    <w:name w:val="索引 31"/>
    <w:basedOn w:val="759"/>
    <w:next w:val="759"/>
    <w:uiPriority w:val="0"/>
    <w:qFormat/>
    <w:pPr>
      <w:ind w:left="400"/>
    </w:pPr>
    <w:rPr>
      <w:rFonts w:ascii="Calibri" w:hAnsi="Calibri"/>
    </w:rPr>
  </w:style>
  <w:style w:type="paragraph" w:styleId="1020" w:customStyle="1">
    <w:name w:val="日期1"/>
    <w:basedOn w:val="759"/>
    <w:next w:val="759"/>
    <w:uiPriority w:val="0"/>
    <w:qFormat/>
    <w:pPr>
      <w:ind w:left="2500"/>
    </w:pPr>
  </w:style>
  <w:style w:type="paragraph" w:styleId="1021" w:customStyle="1">
    <w:name w:val="正文文本缩进 21"/>
    <w:basedOn w:val="759"/>
    <w:uiPriority w:val="0"/>
    <w:qFormat/>
    <w:pPr>
      <w:ind w:firstLine="225"/>
      <w:jc w:val="left"/>
      <w:spacing w:line="540" w:lineRule="exact"/>
    </w:pPr>
    <w:rPr>
      <w:rFonts w:ascii="仿宋_GB2312" w:eastAsia="仿宋_GB2312"/>
      <w:sz w:val="32"/>
    </w:rPr>
  </w:style>
  <w:style w:type="paragraph" w:styleId="1022" w:customStyle="1">
    <w:name w:val="尾注文本1"/>
    <w:basedOn w:val="759"/>
    <w:uiPriority w:val="0"/>
    <w:qFormat/>
    <w:pPr>
      <w:jc w:val="left"/>
      <w:widowControl/>
    </w:pPr>
    <w:rPr>
      <w:rFonts w:ascii="宋体"/>
      <w:bCs/>
      <w:szCs w:val="21"/>
    </w:rPr>
  </w:style>
  <w:style w:type="paragraph" w:styleId="1023" w:customStyle="1">
    <w:name w:val="批注框文本1"/>
    <w:basedOn w:val="759"/>
    <w:uiPriority w:val="0"/>
    <w:qFormat/>
    <w:rPr>
      <w:sz w:val="18"/>
      <w:szCs w:val="20"/>
    </w:rPr>
  </w:style>
  <w:style w:type="paragraph" w:styleId="1024" w:customStyle="1">
    <w:name w:val="页脚1"/>
    <w:basedOn w:val="759"/>
    <w:link w:val="1025"/>
    <w:uiPriority w:val="99"/>
    <w:qFormat/>
    <w:pPr>
      <w:jc w:val="left"/>
      <w:tabs>
        <w:tab w:val="center" w:pos="4153" w:leader="none"/>
        <w:tab w:val="right" w:pos="8306" w:leader="none"/>
      </w:tabs>
    </w:pPr>
    <w:rPr>
      <w:rFonts w:ascii="Calibri" w:hAnsi="Calibri"/>
      <w:sz w:val="18"/>
      <w:szCs w:val="18"/>
    </w:rPr>
  </w:style>
  <w:style w:type="character" w:styleId="1025" w:customStyle="1">
    <w:name w:val="页脚 字符"/>
    <w:link w:val="1024"/>
    <w:uiPriority w:val="99"/>
    <w:qFormat/>
    <w:rPr>
      <w:rFonts w:ascii="Calibri" w:hAnsi="Calibri" w:eastAsia="宋体" w:cs="Times New Roman"/>
      <w:sz w:val="18"/>
      <w:szCs w:val="18"/>
    </w:rPr>
  </w:style>
  <w:style w:type="paragraph" w:styleId="1026" w:customStyle="1">
    <w:name w:val="寄信人地址11"/>
    <w:basedOn w:val="759"/>
    <w:uiPriority w:val="0"/>
    <w:qFormat/>
    <w:rPr>
      <w:rFonts w:ascii="Arial" w:hAnsi="Arial"/>
    </w:rPr>
  </w:style>
  <w:style w:type="paragraph" w:styleId="1027" w:customStyle="1">
    <w:name w:val="页眉1"/>
    <w:basedOn w:val="759"/>
    <w:link w:val="1028"/>
    <w:uiPriority w:val="99"/>
    <w:qFormat/>
    <w:pPr>
      <w:jc w:val="center"/>
      <w:tabs>
        <w:tab w:val="center" w:pos="4153" w:leader="none"/>
        <w:tab w:val="right" w:pos="8306" w:leader="none"/>
      </w:tabs>
      <w:pBdr>
        <w:bottom w:val="single" w:color="000000" w:sz="6" w:space="1"/>
      </w:pBdr>
    </w:pPr>
    <w:rPr>
      <w:sz w:val="18"/>
      <w:szCs w:val="18"/>
    </w:rPr>
  </w:style>
  <w:style w:type="character" w:styleId="1028" w:customStyle="1">
    <w:name w:val="页眉 字符"/>
    <w:link w:val="1027"/>
    <w:uiPriority w:val="99"/>
    <w:qFormat/>
    <w:rPr>
      <w:sz w:val="18"/>
      <w:szCs w:val="18"/>
    </w:rPr>
  </w:style>
  <w:style w:type="paragraph" w:styleId="1029" w:customStyle="1">
    <w:name w:val="目录 11"/>
    <w:basedOn w:val="759"/>
    <w:next w:val="759"/>
    <w:uiPriority w:val="39"/>
    <w:qFormat/>
    <w:pPr>
      <w:jc w:val="left"/>
      <w:spacing w:before="120" w:after="120"/>
    </w:pPr>
    <w:rPr>
      <w:rFonts w:ascii="Calibri" w:hAnsi="Calibri" w:cs="Calibri"/>
      <w:b/>
      <w:bCs/>
      <w:caps/>
      <w:sz w:val="20"/>
      <w:szCs w:val="20"/>
    </w:rPr>
  </w:style>
  <w:style w:type="paragraph" w:styleId="1030" w:customStyle="1">
    <w:name w:val="目录 41"/>
    <w:basedOn w:val="759"/>
    <w:next w:val="759"/>
    <w:uiPriority w:val="0"/>
    <w:qFormat/>
    <w:pPr>
      <w:ind w:left="630"/>
      <w:jc w:val="left"/>
    </w:pPr>
    <w:rPr>
      <w:rFonts w:ascii="Calibri" w:hAnsi="Calibri" w:cs="Calibri"/>
      <w:sz w:val="18"/>
      <w:szCs w:val="18"/>
    </w:rPr>
  </w:style>
  <w:style w:type="paragraph" w:styleId="1031" w:customStyle="1">
    <w:name w:val="索引标题1"/>
    <w:basedOn w:val="759"/>
    <w:next w:val="1032"/>
    <w:uiPriority w:val="0"/>
    <w:qFormat/>
    <w:rPr>
      <w:rFonts w:ascii="Calibri" w:hAnsi="Calibri"/>
    </w:rPr>
  </w:style>
  <w:style w:type="paragraph" w:styleId="1032" w:customStyle="1">
    <w:name w:val="索引 11"/>
    <w:basedOn w:val="759"/>
    <w:next w:val="759"/>
    <w:uiPriority w:val="0"/>
    <w:qFormat/>
    <w:rPr>
      <w:rFonts w:ascii="Calibri" w:hAnsi="Calibri"/>
    </w:rPr>
  </w:style>
  <w:style w:type="paragraph" w:styleId="1033" w:customStyle="1">
    <w:name w:val="脚注文本1"/>
    <w:basedOn w:val="759"/>
    <w:uiPriority w:val="0"/>
    <w:qFormat/>
    <w:pPr>
      <w:jc w:val="left"/>
    </w:pPr>
    <w:rPr>
      <w:rFonts w:ascii="宋体"/>
      <w:bCs/>
      <w:sz w:val="18"/>
      <w:szCs w:val="18"/>
    </w:rPr>
  </w:style>
  <w:style w:type="paragraph" w:styleId="1034" w:customStyle="1">
    <w:name w:val="目录 61"/>
    <w:basedOn w:val="759"/>
    <w:next w:val="759"/>
    <w:uiPriority w:val="0"/>
    <w:qFormat/>
    <w:pPr>
      <w:ind w:left="1050"/>
      <w:jc w:val="left"/>
    </w:pPr>
    <w:rPr>
      <w:rFonts w:ascii="Calibri" w:hAnsi="Calibri" w:cs="Calibri"/>
      <w:sz w:val="18"/>
      <w:szCs w:val="18"/>
    </w:rPr>
  </w:style>
  <w:style w:type="paragraph" w:styleId="1035" w:customStyle="1">
    <w:name w:val="正文文本缩进 31"/>
    <w:basedOn w:val="759"/>
    <w:uiPriority w:val="0"/>
    <w:qFormat/>
    <w:pPr>
      <w:ind w:firstLine="213"/>
    </w:pPr>
    <w:rPr>
      <w:rFonts w:ascii="仿宋_GB2312" w:eastAsia="仿宋_GB2312"/>
      <w:sz w:val="30"/>
    </w:rPr>
  </w:style>
  <w:style w:type="paragraph" w:styleId="1036" w:customStyle="1">
    <w:name w:val="索引 71"/>
    <w:basedOn w:val="759"/>
    <w:next w:val="759"/>
    <w:uiPriority w:val="0"/>
    <w:qFormat/>
    <w:pPr>
      <w:ind w:left="1200"/>
    </w:pPr>
    <w:rPr>
      <w:rFonts w:ascii="Calibri" w:hAnsi="Calibri"/>
    </w:rPr>
  </w:style>
  <w:style w:type="paragraph" w:styleId="1037" w:customStyle="1">
    <w:name w:val="索引 91"/>
    <w:basedOn w:val="759"/>
    <w:next w:val="759"/>
    <w:uiPriority w:val="0"/>
    <w:qFormat/>
    <w:pPr>
      <w:ind w:left="1600"/>
    </w:pPr>
    <w:rPr>
      <w:rFonts w:ascii="Calibri" w:hAnsi="Calibri"/>
    </w:rPr>
  </w:style>
  <w:style w:type="paragraph" w:styleId="1038" w:customStyle="1">
    <w:name w:val="图表目录11"/>
    <w:basedOn w:val="759"/>
    <w:next w:val="759"/>
    <w:uiPriority w:val="0"/>
    <w:qFormat/>
    <w:pPr>
      <w:ind w:left="400" w:hanging="200"/>
      <w:jc w:val="left"/>
      <w:widowControl/>
    </w:pPr>
    <w:rPr>
      <w:rFonts w:ascii="宋体"/>
      <w:bCs/>
      <w:szCs w:val="21"/>
    </w:rPr>
  </w:style>
  <w:style w:type="paragraph" w:styleId="1039" w:customStyle="1">
    <w:name w:val="目录 21"/>
    <w:basedOn w:val="759"/>
    <w:next w:val="759"/>
    <w:uiPriority w:val="39"/>
    <w:qFormat/>
    <w:pPr>
      <w:ind w:left="210"/>
      <w:jc w:val="left"/>
    </w:pPr>
    <w:rPr>
      <w:rFonts w:ascii="Calibri" w:hAnsi="Calibri" w:cs="Calibri"/>
      <w:smallCaps/>
      <w:sz w:val="20"/>
      <w:szCs w:val="20"/>
    </w:rPr>
  </w:style>
  <w:style w:type="paragraph" w:styleId="1040" w:customStyle="1">
    <w:name w:val="目录 91"/>
    <w:basedOn w:val="759"/>
    <w:next w:val="759"/>
    <w:uiPriority w:val="0"/>
    <w:qFormat/>
    <w:pPr>
      <w:ind w:left="1680"/>
      <w:jc w:val="left"/>
    </w:pPr>
    <w:rPr>
      <w:rFonts w:ascii="Calibri" w:hAnsi="Calibri" w:cs="Calibri"/>
      <w:sz w:val="18"/>
      <w:szCs w:val="18"/>
    </w:rPr>
  </w:style>
  <w:style w:type="paragraph" w:styleId="1041" w:customStyle="1">
    <w:name w:val="正文文本 21"/>
    <w:basedOn w:val="759"/>
    <w:uiPriority w:val="0"/>
    <w:qFormat/>
    <w:pPr>
      <w:spacing w:line="560" w:lineRule="exact"/>
    </w:pPr>
    <w:rPr>
      <w:rFonts w:ascii="仿宋_GB2312" w:eastAsia="仿宋_GB2312"/>
      <w:sz w:val="28"/>
      <w:szCs w:val="30"/>
    </w:rPr>
  </w:style>
  <w:style w:type="paragraph" w:styleId="1042" w:customStyle="1">
    <w:name w:val="列表接续 21"/>
    <w:basedOn w:val="759"/>
    <w:uiPriority w:val="0"/>
    <w:qFormat/>
    <w:pPr>
      <w:ind w:left="840"/>
      <w:spacing w:after="120"/>
    </w:pPr>
  </w:style>
  <w:style w:type="paragraph" w:styleId="1043" w:customStyle="1">
    <w:name w:val="HTML 预设格式1"/>
    <w:basedOn w:val="7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4" w:customStyle="1">
    <w:name w:val="普通(网站)1"/>
    <w:basedOn w:val="759"/>
    <w:uiPriority w:val="0"/>
    <w:qFormat/>
    <w:pPr>
      <w:jc w:val="left"/>
      <w:spacing w:before="100" w:beforeAutospacing="1" w:after="100" w:afterAutospacing="1"/>
      <w:widowControl/>
    </w:pPr>
    <w:rPr>
      <w:rFonts w:ascii="宋体"/>
      <w:sz w:val="24"/>
      <w:szCs w:val="20"/>
    </w:rPr>
  </w:style>
  <w:style w:type="paragraph" w:styleId="1045" w:customStyle="1">
    <w:name w:val="索引 21"/>
    <w:basedOn w:val="759"/>
    <w:next w:val="759"/>
    <w:uiPriority w:val="0"/>
    <w:qFormat/>
    <w:pPr>
      <w:ind w:left="200"/>
    </w:pPr>
    <w:rPr>
      <w:rFonts w:ascii="Calibri" w:hAnsi="Calibri"/>
    </w:rPr>
  </w:style>
  <w:style w:type="paragraph" w:styleId="1046" w:customStyle="1">
    <w:name w:val="标题1"/>
    <w:basedOn w:val="759"/>
    <w:uiPriority w:val="0"/>
    <w:qFormat/>
    <w:pPr>
      <w:jc w:val="center"/>
      <w:spacing w:before="240" w:after="60"/>
      <w:outlineLvl w:val="0"/>
    </w:pPr>
    <w:rPr>
      <w:rFonts w:ascii="Cambria" w:hAnsi="Cambria"/>
      <w:b/>
      <w:bCs/>
      <w:sz w:val="32"/>
      <w:szCs w:val="32"/>
    </w:rPr>
  </w:style>
  <w:style w:type="paragraph" w:styleId="1047" w:customStyle="1">
    <w:name w:val="批注主题1"/>
    <w:basedOn w:val="1004"/>
    <w:next w:val="1004"/>
    <w:uiPriority w:val="0"/>
    <w:qFormat/>
    <w:rPr>
      <w:b/>
    </w:rPr>
  </w:style>
  <w:style w:type="paragraph" w:styleId="1048" w:customStyle="1">
    <w:name w:val="正文首行缩进1"/>
    <w:basedOn w:val="759"/>
    <w:next w:val="759"/>
    <w:uiPriority w:val="0"/>
    <w:qFormat/>
    <w:pPr>
      <w:ind w:firstLine="100"/>
      <w:spacing w:after="120"/>
    </w:pPr>
  </w:style>
  <w:style w:type="paragraph" w:styleId="1049" w:customStyle="1">
    <w:name w:val="正文首行缩进 21"/>
    <w:basedOn w:val="1009"/>
    <w:link w:val="1050"/>
    <w:uiPriority w:val="0"/>
    <w:qFormat/>
    <w:pPr>
      <w:ind w:left="200" w:firstLine="200"/>
      <w:spacing w:after="120"/>
    </w:pPr>
    <w:rPr>
      <w:rFonts w:ascii="Times New Roman"/>
      <w:sz w:val="24"/>
      <w:szCs w:val="24"/>
    </w:rPr>
  </w:style>
  <w:style w:type="character" w:styleId="1050" w:customStyle="1">
    <w:name w:val="正文文本首行缩进 2 字符"/>
    <w:link w:val="1049"/>
    <w:uiPriority w:val="0"/>
    <w:qFormat/>
    <w:rPr>
      <w:rFonts w:eastAsia="仿宋_GB2312"/>
      <w:sz w:val="24"/>
      <w:szCs w:val="24"/>
      <w:lang w:bidi="ar-SA"/>
    </w:rPr>
  </w:style>
  <w:style w:type="table" w:styleId="1051" w:customStyle="1">
    <w:name w:val="网格型1"/>
    <w:basedOn w:val="989"/>
    <w:uiPriority w:val="0"/>
    <w:qFormat/>
    <w:tblPr>
      <w:tblCellMar>
        <w:left w:w="0" w:type="dxa"/>
        <w:top w:w="0" w:type="dxa"/>
        <w:right w:w="0" w:type="dxa"/>
        <w:bottom w:w="0" w:type="dxa"/>
      </w:tblCellMar>
    </w:tblPr>
  </w:style>
  <w:style w:type="character" w:styleId="1052" w:customStyle="1">
    <w:name w:val="要点1"/>
    <w:uiPriority w:val="0"/>
    <w:qFormat/>
    <w:rPr>
      <w:b/>
    </w:rPr>
  </w:style>
  <w:style w:type="character" w:styleId="1053" w:customStyle="1">
    <w:name w:val="尾注引用1"/>
    <w:uiPriority w:val="0"/>
    <w:qFormat/>
    <w:rPr>
      <w:vertAlign w:val="superscript"/>
    </w:rPr>
  </w:style>
  <w:style w:type="character" w:styleId="1054" w:customStyle="1">
    <w:name w:val="页码1"/>
    <w:uiPriority w:val="0"/>
    <w:qFormat/>
  </w:style>
  <w:style w:type="character" w:styleId="1055" w:customStyle="1">
    <w:name w:val="已访问的超链接1"/>
    <w:uiPriority w:val="0"/>
    <w:qFormat/>
    <w:rPr>
      <w:color w:val="800080"/>
      <w:u w:val="single"/>
    </w:rPr>
  </w:style>
  <w:style w:type="character" w:styleId="1056" w:customStyle="1">
    <w:name w:val="强调1"/>
    <w:uiPriority w:val="0"/>
    <w:qFormat/>
    <w:rPr>
      <w:color w:val="cc0033"/>
    </w:rPr>
  </w:style>
  <w:style w:type="character" w:styleId="1057" w:customStyle="1">
    <w:name w:val="HTML 打字机1"/>
    <w:uiPriority w:val="0"/>
    <w:qFormat/>
    <w:rPr>
      <w:rFonts w:ascii="宋体" w:eastAsia="宋体" w:cs="宋体"/>
      <w:sz w:val="24"/>
      <w:szCs w:val="24"/>
      <w:lang w:bidi="ar-SA"/>
    </w:rPr>
  </w:style>
  <w:style w:type="character" w:styleId="1058" w:customStyle="1">
    <w:name w:val="超链接1"/>
    <w:uiPriority w:val="99"/>
    <w:qFormat/>
    <w:rPr>
      <w:color w:val="0000ff"/>
      <w:u w:val="single"/>
    </w:rPr>
  </w:style>
  <w:style w:type="character" w:styleId="1059" w:customStyle="1">
    <w:name w:val="批注引用1"/>
    <w:uiPriority w:val="0"/>
    <w:qFormat/>
    <w:rPr>
      <w:sz w:val="21"/>
    </w:rPr>
  </w:style>
  <w:style w:type="character" w:styleId="1060" w:customStyle="1">
    <w:name w:val="脚注引用1"/>
    <w:uiPriority w:val="0"/>
    <w:qFormat/>
    <w:rPr>
      <w:vertAlign w:val="superscript"/>
    </w:rPr>
  </w:style>
  <w:style w:type="paragraph" w:styleId="1061" w:customStyle="1">
    <w:name w:val="样式 正文首行缩进 2 + Arial"/>
    <w:basedOn w:val="759"/>
    <w:next w:val="759"/>
    <w:uiPriority w:val="0"/>
    <w:qFormat/>
    <w:pPr>
      <w:ind w:firstLine="200"/>
      <w:spacing w:after="120" w:line="320" w:lineRule="atLeast"/>
    </w:pPr>
    <w:rPr>
      <w:rFonts w:ascii="Arial" w:hAnsi="Arial"/>
    </w:rPr>
  </w:style>
  <w:style w:type="character" w:styleId="1062" w:customStyle="1">
    <w:name w:val="Comment Text Char"/>
    <w:uiPriority w:val="0"/>
    <w:qFormat/>
    <w:rPr>
      <w:rFonts w:cs="Times New Roman"/>
      <w:sz w:val="21"/>
      <w:szCs w:val="21"/>
      <w:lang w:bidi="ar-SA"/>
    </w:rPr>
  </w:style>
  <w:style w:type="character" w:styleId="1063" w:customStyle="1">
    <w:name w:val="纯文本 Char_0"/>
    <w:link w:val="1064"/>
    <w:uiPriority w:val="0"/>
    <w:qFormat/>
    <w:rPr>
      <w:rFonts w:ascii="宋体" w:hAnsi="Courier New" w:cs="Courier New"/>
      <w:sz w:val="21"/>
      <w:szCs w:val="21"/>
    </w:rPr>
  </w:style>
  <w:style w:type="paragraph" w:styleId="1064" w:customStyle="1">
    <w:name w:val="纯文本_0"/>
    <w:basedOn w:val="1065"/>
    <w:link w:val="1063"/>
    <w:uiPriority w:val="0"/>
    <w:unhideWhenUsed/>
    <w:qFormat/>
    <w:rPr>
      <w:rFonts w:ascii="宋体" w:hAnsi="Courier New"/>
      <w:szCs w:val="21"/>
    </w:rPr>
  </w:style>
  <w:style w:type="paragraph" w:styleId="106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6" w:customStyle="1">
    <w:name w:val="ca-51"/>
    <w:uiPriority w:val="0"/>
    <w:qFormat/>
    <w:rPr>
      <w:rFonts w:ascii="楷体_GB2312" w:eastAsia="楷体_GB2312"/>
      <w:b/>
      <w:bCs/>
      <w:spacing w:val="-20"/>
      <w:sz w:val="24"/>
      <w:szCs w:val="24"/>
    </w:rPr>
  </w:style>
  <w:style w:type="character" w:styleId="1067" w:customStyle="1">
    <w:name w:val="Heading 4 Char"/>
    <w:uiPriority w:val="0"/>
    <w:qFormat/>
    <w:rPr>
      <w:rFonts w:ascii="Cambria" w:hAnsi="Cambria" w:eastAsia="宋体" w:cs="Cambria"/>
      <w:b/>
      <w:bCs/>
      <w:sz w:val="28"/>
      <w:szCs w:val="28"/>
      <w:lang w:bidi="ar-SA"/>
    </w:rPr>
  </w:style>
  <w:style w:type="character" w:styleId="1068" w:customStyle="1">
    <w:name w:val="正文缩进 Char1_0"/>
    <w:link w:val="1069"/>
    <w:uiPriority w:val="0"/>
    <w:qFormat/>
    <w:rPr>
      <w:sz w:val="21"/>
      <w:szCs w:val="22"/>
    </w:rPr>
  </w:style>
  <w:style w:type="paragraph" w:styleId="1069" w:customStyle="1">
    <w:name w:val="正文缩进_0"/>
    <w:basedOn w:val="1065"/>
    <w:link w:val="1068"/>
    <w:uiPriority w:val="0"/>
    <w:unhideWhenUsed/>
    <w:qFormat/>
    <w:pPr>
      <w:ind w:firstLine="420"/>
    </w:pPr>
    <w:rPr>
      <w:szCs w:val="22"/>
    </w:rPr>
  </w:style>
  <w:style w:type="character" w:styleId="1070" w:customStyle="1">
    <w:name w:val="Header Char1"/>
    <w:uiPriority w:val="0"/>
    <w:qFormat/>
    <w:rPr>
      <w:rFonts w:cs="Times New Roman"/>
      <w:sz w:val="18"/>
      <w:szCs w:val="18"/>
      <w:lang w:bidi="ar-SA"/>
    </w:rPr>
  </w:style>
  <w:style w:type="character" w:styleId="1071" w:customStyle="1">
    <w:name w:val="正文文本缩进 2 Char"/>
    <w:link w:val="1072"/>
    <w:uiPriority w:val="0"/>
    <w:qFormat/>
    <w:rPr>
      <w:rFonts w:hAnsi="Times New Roman"/>
      <w:sz w:val="21"/>
      <w:szCs w:val="20"/>
    </w:rPr>
  </w:style>
  <w:style w:type="paragraph" w:styleId="1072" w:customStyle="1">
    <w:name w:val="正文文本缩进 2_0"/>
    <w:basedOn w:val="1073"/>
    <w:link w:val="1071"/>
    <w:uiPriority w:val="0"/>
    <w:qFormat/>
    <w:pPr>
      <w:ind w:firstLine="525"/>
      <w:spacing w:line="420" w:lineRule="exact"/>
    </w:pPr>
  </w:style>
  <w:style w:type="paragraph" w:styleId="1073"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74" w:customStyle="1">
    <w:name w:val="Heading 3 Char"/>
    <w:uiPriority w:val="0"/>
    <w:qFormat/>
    <w:rPr>
      <w:rFonts w:cs="Times New Roman"/>
      <w:b/>
      <w:bCs/>
      <w:sz w:val="32"/>
      <w:szCs w:val="32"/>
      <w:lang w:bidi="ar-SA"/>
    </w:rPr>
  </w:style>
  <w:style w:type="character" w:styleId="1075" w:customStyle="1">
    <w:name w:val="ca-21"/>
    <w:uiPriority w:val="0"/>
    <w:qFormat/>
    <w:rPr>
      <w:rFonts w:ascii="宋体" w:eastAsia="宋体"/>
      <w:sz w:val="21"/>
    </w:rPr>
  </w:style>
  <w:style w:type="character" w:styleId="1076" w:customStyle="1">
    <w:name w:val="Plain Text Char"/>
    <w:uiPriority w:val="0"/>
    <w:qFormat/>
    <w:rPr>
      <w:rFonts w:ascii="宋体" w:eastAsia="宋体"/>
      <w:sz w:val="21"/>
      <w:lang w:val="en-US" w:eastAsia="zh-CN"/>
    </w:rPr>
  </w:style>
  <w:style w:type="character" w:styleId="1077" w:customStyle="1">
    <w:name w:val="maywed421"/>
    <w:uiPriority w:val="0"/>
    <w:qFormat/>
    <w:rPr>
      <w:color w:val="366fb6"/>
      <w:u w:val="none"/>
    </w:rPr>
  </w:style>
  <w:style w:type="character" w:styleId="1078" w:customStyle="1">
    <w:name w:val="纯文本 Char_0_0"/>
    <w:link w:val="1079"/>
    <w:uiPriority w:val="0"/>
    <w:qFormat/>
    <w:rPr>
      <w:rFonts w:ascii="宋体" w:hAnsi="Courier New"/>
      <w:sz w:val="21"/>
      <w:szCs w:val="21"/>
    </w:rPr>
  </w:style>
  <w:style w:type="paragraph" w:styleId="1079" w:customStyle="1">
    <w:name w:val="纯文本_0_0"/>
    <w:basedOn w:val="1080"/>
    <w:link w:val="1078"/>
    <w:uiPriority w:val="0"/>
    <w:unhideWhenUsed/>
    <w:qFormat/>
    <w:rPr>
      <w:rFonts w:ascii="宋体" w:hAnsi="Courier New"/>
      <w:szCs w:val="21"/>
    </w:rPr>
  </w:style>
  <w:style w:type="paragraph" w:styleId="108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1" w:customStyle="1">
    <w:name w:val="style15"/>
    <w:uiPriority w:val="0"/>
    <w:qFormat/>
  </w:style>
  <w:style w:type="character" w:styleId="1082" w:customStyle="1">
    <w:name w:val="正文（标记） Char2"/>
    <w:link w:val="1083"/>
    <w:uiPriority w:val="0"/>
    <w:qFormat/>
    <w:rPr>
      <w:sz w:val="24"/>
      <w:szCs w:val="24"/>
    </w:rPr>
  </w:style>
  <w:style w:type="paragraph" w:styleId="1083" w:customStyle="1">
    <w:name w:val="正文（标记）"/>
    <w:basedOn w:val="759"/>
    <w:link w:val="1082"/>
    <w:uiPriority w:val="0"/>
    <w:qFormat/>
    <w:pPr>
      <w:spacing w:before="50" w:after="50"/>
      <w:tabs>
        <w:tab w:val="left" w:pos="0" w:leader="none"/>
        <w:tab w:val="left" w:pos="840" w:leader="none"/>
      </w:tabs>
    </w:pPr>
    <w:rPr>
      <w:sz w:val="24"/>
      <w:szCs w:val="24"/>
    </w:rPr>
  </w:style>
  <w:style w:type="character" w:styleId="1084" w:customStyle="1">
    <w:name w:val="段落 Char"/>
    <w:uiPriority w:val="0"/>
    <w:qFormat/>
    <w:rPr>
      <w:rFonts w:ascii="仿宋_GB2312" w:eastAsia="仿宋_GB2312"/>
      <w:sz w:val="24"/>
      <w:szCs w:val="24"/>
      <w:lang w:val="en-US" w:eastAsia="zh-CN" w:bidi="ar-SA"/>
    </w:rPr>
  </w:style>
  <w:style w:type="character" w:styleId="1085" w:customStyle="1">
    <w:name w:val="Char Char2"/>
    <w:uiPriority w:val="0"/>
    <w:qFormat/>
    <w:rPr>
      <w:sz w:val="18"/>
      <w:szCs w:val="18"/>
    </w:rPr>
  </w:style>
  <w:style w:type="character" w:styleId="1086" w:customStyle="1">
    <w:name w:val="style91"/>
    <w:uiPriority w:val="0"/>
    <w:qFormat/>
    <w:rPr>
      <w:color w:val="2060c0"/>
      <w:sz w:val="24"/>
      <w:szCs w:val="24"/>
    </w:rPr>
  </w:style>
  <w:style w:type="character" w:styleId="1087" w:customStyle="1">
    <w:name w:val="普通文字1 Char"/>
    <w:uiPriority w:val="0"/>
    <w:qFormat/>
    <w:rPr>
      <w:rFonts w:ascii="宋体" w:eastAsia="宋体" w:cs="Courier New"/>
      <w:sz w:val="21"/>
      <w:szCs w:val="21"/>
      <w:lang w:val="en-US" w:eastAsia="zh-CN" w:bidi="ar-SA"/>
    </w:rPr>
  </w:style>
  <w:style w:type="character" w:styleId="1088" w:customStyle="1">
    <w:name w:val="正文文本缩进 Char"/>
    <w:link w:val="1089"/>
    <w:uiPriority w:val="0"/>
    <w:qFormat/>
    <w:rPr>
      <w:rFonts w:hAnsi="Times New Roman"/>
      <w:szCs w:val="20"/>
    </w:rPr>
  </w:style>
  <w:style w:type="paragraph" w:styleId="1089" w:customStyle="1">
    <w:name w:val="正文文本缩进_0"/>
    <w:basedOn w:val="1073"/>
    <w:link w:val="1088"/>
    <w:uiPriority w:val="0"/>
    <w:qFormat/>
    <w:pPr>
      <w:ind w:firstLine="420"/>
      <w:spacing w:line="360" w:lineRule="auto"/>
    </w:pPr>
    <w:rPr>
      <w:sz w:val="20"/>
    </w:rPr>
  </w:style>
  <w:style w:type="character" w:styleId="1090" w:customStyle="1">
    <w:name w:val="Char Char21"/>
    <w:uiPriority w:val="0"/>
    <w:qFormat/>
    <w:rPr>
      <w:sz w:val="18"/>
      <w:szCs w:val="18"/>
    </w:rPr>
  </w:style>
  <w:style w:type="character" w:styleId="1091" w:customStyle="1">
    <w:name w:val="ca-41"/>
    <w:uiPriority w:val="0"/>
    <w:qFormat/>
    <w:rPr>
      <w:rFonts w:ascii="宋体" w:eastAsia="宋体"/>
      <w:b/>
      <w:bCs/>
      <w:color w:val="000000"/>
      <w:spacing w:val="-20"/>
      <w:sz w:val="21"/>
      <w:szCs w:val="21"/>
    </w:rPr>
  </w:style>
  <w:style w:type="character" w:styleId="1092" w:customStyle="1">
    <w:name w:val="question-title"/>
    <w:uiPriority w:val="0"/>
    <w:qFormat/>
  </w:style>
  <w:style w:type="character" w:styleId="1093" w:customStyle="1">
    <w:name w:val="A1"/>
    <w:uiPriority w:val="0"/>
    <w:qFormat/>
    <w:rPr>
      <w:rFonts w:ascii="Univers LT Std 45 Light" w:hAnsi="宋体" w:eastAsia="Univers LT Std 45 Light" w:cs="Univers LT Std 45 Light"/>
      <w:color w:val="221e1f"/>
      <w:sz w:val="10"/>
      <w:szCs w:val="10"/>
    </w:rPr>
  </w:style>
  <w:style w:type="character" w:styleId="1094" w:customStyle="1">
    <w:name w:val="style161"/>
    <w:uiPriority w:val="0"/>
    <w:qFormat/>
    <w:rPr>
      <w:rFonts w:ascii="Verdana" w:hAnsi="Verdana" w:eastAsia="宋体"/>
      <w:b/>
      <w:color w:val="0a246a"/>
      <w:sz w:val="24"/>
      <w:szCs w:val="24"/>
      <w:lang w:val="en-US" w:eastAsia="zh-CN" w:bidi="ar-SA"/>
    </w:rPr>
  </w:style>
  <w:style w:type="character" w:styleId="1095" w:customStyle="1">
    <w:name w:val="ca-31"/>
    <w:uiPriority w:val="0"/>
    <w:qFormat/>
    <w:rPr>
      <w:rFonts w:ascii="宋体" w:eastAsia="宋体"/>
      <w:color w:val="000000"/>
      <w:sz w:val="21"/>
      <w:szCs w:val="21"/>
    </w:rPr>
  </w:style>
  <w:style w:type="character" w:styleId="1096" w:customStyle="1">
    <w:name w:val="apple-converted-space"/>
    <w:uiPriority w:val="0"/>
    <w:qFormat/>
  </w:style>
  <w:style w:type="character" w:styleId="1097" w:customStyle="1">
    <w:name w:val="Footer Char1"/>
    <w:uiPriority w:val="0"/>
    <w:qFormat/>
    <w:rPr>
      <w:rFonts w:cs="Times New Roman"/>
      <w:sz w:val="18"/>
      <w:szCs w:val="18"/>
      <w:lang w:bidi="ar-SA"/>
    </w:rPr>
  </w:style>
  <w:style w:type="character" w:styleId="1098" w:customStyle="1">
    <w:name w:val="A0"/>
    <w:uiPriority w:val="0"/>
    <w:qFormat/>
    <w:rPr>
      <w:rFonts w:ascii=".....?." w:hAnsi="宋体" w:eastAsia=".....?."/>
      <w:color w:val="000000"/>
      <w:sz w:val="22"/>
    </w:rPr>
  </w:style>
  <w:style w:type="character" w:styleId="1099" w:customStyle="1">
    <w:name w:val="Char Char23"/>
    <w:uiPriority w:val="0"/>
    <w:qFormat/>
    <w:rPr>
      <w:sz w:val="24"/>
      <w:szCs w:val="21"/>
      <w:lang w:bidi="ar-SA"/>
    </w:rPr>
  </w:style>
  <w:style w:type="character" w:styleId="1100" w:customStyle="1">
    <w:name w:val="Char Char1"/>
    <w:uiPriority w:val="0"/>
    <w:qFormat/>
    <w:rPr>
      <w:rFonts w:ascii="宋体" w:eastAsia="宋体"/>
      <w:sz w:val="21"/>
      <w:lang w:val="en-US" w:eastAsia="zh-CN"/>
    </w:rPr>
  </w:style>
  <w:style w:type="character" w:styleId="1101" w:customStyle="1">
    <w:name w:val="apple-style-span"/>
    <w:uiPriority w:val="0"/>
    <w:qFormat/>
    <w:rPr>
      <w:rFonts w:ascii="宋体" w:hAnsi="宋体" w:cs="Times New Roman"/>
    </w:rPr>
  </w:style>
  <w:style w:type="character" w:styleId="1102" w:customStyle="1">
    <w:name w:val="无间隔 字符"/>
    <w:link w:val="1103"/>
    <w:uiPriority w:val="0"/>
    <w:qFormat/>
    <w:rPr>
      <w:sz w:val="22"/>
      <w:lang w:val="en-US" w:eastAsia="zh-CN" w:bidi="ar-SA"/>
    </w:rPr>
  </w:style>
  <w:style w:type="paragraph" w:styleId="1103" w:customStyle="1">
    <w:name w:val="无间隔1"/>
    <w:link w:val="1102"/>
    <w:uiPriority w:val="0"/>
    <w:qFormat/>
    <w:rPr>
      <w:rFonts w:hint="default" w:ascii="Times New Roman" w:hAnsi="Times New Roman" w:eastAsia="宋体" w:cs="Times New Roman"/>
      <w:sz w:val="22"/>
      <w:lang w:val="en-US" w:eastAsia="zh-CN" w:bidi="ar-SA"/>
    </w:rPr>
  </w:style>
  <w:style w:type="character" w:styleId="1104" w:customStyle="1">
    <w:name w:val="Char Char3"/>
    <w:uiPriority w:val="0"/>
    <w:qFormat/>
    <w:rPr>
      <w:rFonts w:ascii="宋体" w:eastAsia="宋体"/>
      <w:sz w:val="18"/>
      <w:szCs w:val="18"/>
      <w:lang w:val="en-US" w:eastAsia="zh-CN" w:bidi="ar-SA"/>
    </w:rPr>
  </w:style>
  <w:style w:type="character" w:styleId="1105" w:customStyle="1">
    <w:name w:val="z12 style23"/>
    <w:uiPriority w:val="0"/>
    <w:qFormat/>
  </w:style>
  <w:style w:type="character" w:styleId="1106" w:customStyle="1">
    <w:name w:val="font41"/>
    <w:uiPriority w:val="0"/>
    <w:qFormat/>
    <w:rPr>
      <w:rFonts w:hint="eastAsia" w:ascii="宋体" w:hAnsi="宋体" w:eastAsia="宋体" w:cs="宋体"/>
      <w:color w:val="000000"/>
      <w:sz w:val="24"/>
      <w:szCs w:val="24"/>
      <w:u w:val="none"/>
    </w:rPr>
  </w:style>
  <w:style w:type="character" w:styleId="1107" w:customStyle="1">
    <w:name w:val="font11"/>
    <w:uiPriority w:val="0"/>
    <w:qFormat/>
    <w:rPr>
      <w:rFonts w:ascii="Times" w:hAnsi="Times" w:eastAsia="Times" w:cs="Times"/>
      <w:color w:val="000000"/>
      <w:sz w:val="24"/>
      <w:szCs w:val="24"/>
      <w:u w:val="none"/>
    </w:rPr>
  </w:style>
  <w:style w:type="character" w:styleId="1108" w:customStyle="1">
    <w:name w:val="Plain Text Char1"/>
    <w:uiPriority w:val="0"/>
    <w:qFormat/>
    <w:rPr>
      <w:rFonts w:ascii="宋体" w:eastAsia="宋体"/>
      <w:sz w:val="21"/>
      <w:szCs w:val="21"/>
      <w:lang w:val="en-US" w:eastAsia="zh-CN" w:bidi="ar-SA"/>
    </w:rPr>
  </w:style>
  <w:style w:type="character" w:styleId="1109" w:customStyle="1">
    <w:name w:val="Char Char"/>
    <w:uiPriority w:val="0"/>
    <w:qFormat/>
    <w:rPr>
      <w:rFonts w:eastAsia="宋体"/>
      <w:sz w:val="18"/>
      <w:lang w:val="en-US" w:eastAsia="zh-CN"/>
    </w:rPr>
  </w:style>
  <w:style w:type="character" w:styleId="1110" w:customStyle="1">
    <w:name w:val="wj1"/>
    <w:uiPriority w:val="0"/>
    <w:qFormat/>
    <w:rPr>
      <w:color w:val="000000"/>
      <w:sz w:val="18"/>
      <w:szCs w:val="18"/>
      <w:u w:val="none"/>
    </w:rPr>
  </w:style>
  <w:style w:type="character" w:styleId="1111" w:customStyle="1">
    <w:name w:val="Heading 2 Char"/>
    <w:uiPriority w:val="0"/>
    <w:qFormat/>
    <w:rPr>
      <w:rFonts w:ascii="Arial" w:hAnsi="Arial" w:eastAsia="黑体"/>
      <w:b/>
      <w:bCs/>
      <w:sz w:val="32"/>
      <w:szCs w:val="32"/>
      <w:lang w:val="en-US" w:eastAsia="zh-CN" w:bidi="ar-SA"/>
    </w:rPr>
  </w:style>
  <w:style w:type="character" w:styleId="1112" w:customStyle="1">
    <w:name w:val="z1"/>
    <w:uiPriority w:val="0"/>
    <w:qFormat/>
  </w:style>
  <w:style w:type="character" w:styleId="1113" w:customStyle="1">
    <w:name w:val="font01"/>
    <w:uiPriority w:val="0"/>
    <w:qFormat/>
    <w:rPr>
      <w:rFonts w:hint="eastAsia" w:ascii="宋体" w:hAnsi="宋体" w:eastAsia="宋体" w:cs="宋体"/>
      <w:color w:val="000000"/>
      <w:sz w:val="24"/>
      <w:szCs w:val="24"/>
      <w:u w:val="none"/>
    </w:rPr>
  </w:style>
  <w:style w:type="character" w:styleId="1114" w:customStyle="1">
    <w:name w:val="Footer Char"/>
    <w:uiPriority w:val="0"/>
    <w:qFormat/>
    <w:rPr>
      <w:rFonts w:eastAsia="宋体"/>
      <w:sz w:val="18"/>
      <w:lang w:val="en-US" w:eastAsia="zh-CN"/>
    </w:rPr>
  </w:style>
  <w:style w:type="character" w:styleId="1115" w:customStyle="1">
    <w:name w:val="Header Char"/>
    <w:uiPriority w:val="0"/>
    <w:qFormat/>
    <w:rPr>
      <w:rFonts w:eastAsia="宋体"/>
      <w:sz w:val="18"/>
      <w:lang w:val="en-US" w:eastAsia="zh-CN"/>
    </w:rPr>
  </w:style>
  <w:style w:type="character" w:styleId="1116" w:customStyle="1">
    <w:name w:val="ca-01"/>
    <w:uiPriority w:val="0"/>
    <w:qFormat/>
    <w:rPr>
      <w:rFonts w:ascii="宋体" w:eastAsia="宋体"/>
      <w:b/>
      <w:bCs/>
      <w:spacing w:val="-20"/>
      <w:sz w:val="24"/>
      <w:szCs w:val="24"/>
    </w:rPr>
  </w:style>
  <w:style w:type="character" w:styleId="1117" w:customStyle="1">
    <w:name w:val="font51"/>
    <w:uiPriority w:val="99"/>
    <w:qFormat/>
    <w:rPr>
      <w:rFonts w:ascii="宋体" w:hAnsi="宋体" w:eastAsia="宋体" w:cs="宋体"/>
      <w:color w:val="000000"/>
      <w:sz w:val="22"/>
      <w:szCs w:val="22"/>
    </w:rPr>
  </w:style>
  <w:style w:type="character" w:styleId="1118" w:customStyle="1">
    <w:name w:val="font21"/>
    <w:uiPriority w:val="0"/>
    <w:qFormat/>
    <w:rPr>
      <w:rFonts w:ascii="Times New Roman" w:hAnsi="Times New Roman"/>
      <w:color w:val="000000"/>
      <w:sz w:val="20"/>
      <w:u w:val="none"/>
    </w:rPr>
  </w:style>
  <w:style w:type="character" w:styleId="1119" w:customStyle="1">
    <w:name w:val="font31"/>
    <w:uiPriority w:val="0"/>
    <w:qFormat/>
    <w:rPr>
      <w:rFonts w:ascii="Arial" w:hAnsi="Arial" w:cs="Arial"/>
      <w:color w:val="000000"/>
      <w:sz w:val="22"/>
      <w:szCs w:val="22"/>
      <w:u w:val="none"/>
    </w:rPr>
  </w:style>
  <w:style w:type="character" w:styleId="1120" w:customStyle="1">
    <w:name w:val="正文（编号） Char Char"/>
    <w:link w:val="1121"/>
    <w:uiPriority w:val="0"/>
    <w:qFormat/>
    <w:rPr>
      <w:sz w:val="24"/>
      <w:szCs w:val="24"/>
    </w:rPr>
  </w:style>
  <w:style w:type="paragraph" w:styleId="1121" w:customStyle="1">
    <w:name w:val="正文（编号）"/>
    <w:basedOn w:val="799"/>
    <w:link w:val="1120"/>
    <w:uiPriority w:val="0"/>
    <w:qFormat/>
    <w:pPr>
      <w:ind w:left="720" w:firstLine="0"/>
      <w:tabs>
        <w:tab w:val="left" w:pos="720" w:leader="none"/>
        <w:tab w:val="left" w:pos="780" w:leader="none"/>
      </w:tabs>
    </w:pPr>
    <w:rPr>
      <w:szCs w:val="24"/>
    </w:rPr>
  </w:style>
  <w:style w:type="character" w:styleId="1122" w:customStyle="1">
    <w:name w:val="marklong"/>
    <w:uiPriority w:val="0"/>
    <w:qFormat/>
  </w:style>
  <w:style w:type="character" w:styleId="1123" w:customStyle="1">
    <w:name w:val="标题 2 Char Char Char"/>
    <w:uiPriority w:val="0"/>
    <w:qFormat/>
    <w:rPr>
      <w:rFonts w:ascii="Arial" w:hAnsi="Arial" w:eastAsia="宋体" w:cs="Arial"/>
      <w:b/>
      <w:bCs/>
      <w:i/>
      <w:iCs/>
      <w:sz w:val="28"/>
      <w:szCs w:val="28"/>
      <w:lang w:val="en-US" w:eastAsia="zh-CN" w:bidi="ar-SA"/>
    </w:rPr>
  </w:style>
  <w:style w:type="character" w:styleId="1124" w:customStyle="1">
    <w:name w:val="ca-1"/>
    <w:uiPriority w:val="0"/>
    <w:qFormat/>
  </w:style>
  <w:style w:type="character" w:styleId="1125" w:customStyle="1">
    <w:name w:val="ca-11"/>
    <w:uiPriority w:val="0"/>
    <w:qFormat/>
    <w:rPr>
      <w:rFonts w:ascii="宋体" w:eastAsia="宋体"/>
      <w:b/>
      <w:bCs/>
      <w:color w:val="000000"/>
      <w:spacing w:val="-20"/>
      <w:sz w:val="28"/>
      <w:szCs w:val="28"/>
    </w:rPr>
  </w:style>
  <w:style w:type="character" w:styleId="1126" w:customStyle="1">
    <w:name w:val="正文（缩进） Char Char"/>
    <w:uiPriority w:val="0"/>
    <w:qFormat/>
    <w:rPr>
      <w:rFonts w:eastAsia="宋体"/>
      <w:sz w:val="24"/>
      <w:szCs w:val="24"/>
      <w:lang w:val="en-US" w:eastAsia="zh-CN" w:bidi="ar-SA"/>
    </w:rPr>
  </w:style>
  <w:style w:type="character" w:styleId="1127" w:customStyle="1">
    <w:name w:val="Char Char31"/>
    <w:uiPriority w:val="0"/>
    <w:qFormat/>
    <w:rPr>
      <w:rFonts w:ascii="Arial" w:hAnsi="Arial" w:eastAsia="黑体" w:cs="Times New Roman"/>
      <w:b/>
      <w:bCs/>
      <w:sz w:val="32"/>
      <w:szCs w:val="32"/>
      <w:lang w:val="en-US" w:eastAsia="zh-CN" w:bidi="ar-SA"/>
    </w:rPr>
  </w:style>
  <w:style w:type="paragraph" w:styleId="1128" w:customStyle="1">
    <w:name w:val="表文1"/>
    <w:basedOn w:val="759"/>
    <w:uiPriority w:val="0"/>
    <w:qFormat/>
    <w:pPr>
      <w:ind w:firstLine="196"/>
      <w:spacing w:line="360" w:lineRule="auto"/>
      <w:widowControl/>
    </w:pPr>
    <w:rPr>
      <w:rFonts w:ascii="宋体"/>
      <w:sz w:val="24"/>
    </w:rPr>
  </w:style>
  <w:style w:type="paragraph" w:styleId="1129" w:customStyle="1">
    <w:name w:val="Normal_6_0"/>
    <w:uiPriority w:val="0"/>
    <w:qFormat/>
    <w:rPr>
      <w:rFonts w:hint="default" w:ascii="黑体" w:hAnsi="黑体" w:eastAsia="黑体" w:cs="Times New Roman"/>
      <w:b/>
      <w:sz w:val="32"/>
      <w:szCs w:val="24"/>
      <w:lang w:val="en-US" w:eastAsia="zh-CN" w:bidi="ar-SA"/>
    </w:rPr>
  </w:style>
  <w:style w:type="paragraph" w:styleId="1130" w:customStyle="1">
    <w:name w:val="正文文本缩进1"/>
    <w:basedOn w:val="1131"/>
    <w:uiPriority w:val="99"/>
    <w:qFormat/>
    <w:pPr>
      <w:ind w:left="420"/>
      <w:spacing w:after="120"/>
    </w:pPr>
    <w:rPr>
      <w:rFonts w:ascii="Calibri" w:hAnsi="Calibri" w:cs="Calibri"/>
    </w:rPr>
  </w:style>
  <w:style w:type="paragraph" w:styleId="1131"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32" w:customStyle="1">
    <w:name w:val="Char Char Char"/>
    <w:basedOn w:val="759"/>
    <w:uiPriority w:val="0"/>
    <w:qFormat/>
    <w:rPr>
      <w:rFonts w:ascii="Calibri" w:hAnsi="Calibri"/>
      <w:szCs w:val="21"/>
    </w:rPr>
  </w:style>
  <w:style w:type="paragraph" w:styleId="1133" w:customStyle="1">
    <w:name w:val="标题二、"/>
    <w:basedOn w:val="759"/>
    <w:uiPriority w:val="99"/>
    <w:qFormat/>
    <w:pPr>
      <w:ind w:firstLine="200"/>
      <w:spacing w:line="360" w:lineRule="auto"/>
      <w:outlineLvl w:val="2"/>
    </w:pPr>
    <w:rPr>
      <w:rFonts w:ascii="宋体" w:hAnsi="宋体"/>
      <w:b/>
      <w:szCs w:val="21"/>
    </w:rPr>
  </w:style>
  <w:style w:type="paragraph" w:styleId="1134" w:customStyle="1">
    <w:name w:val="无标题正文 Char Char Char Char Char Char Char Char Char Char Char Char Char Char Char Char Char Char Char Char Char Char Char Char Char Char Char1 Char"/>
    <w:basedOn w:val="759"/>
    <w:uiPriority w:val="0"/>
    <w:qFormat/>
    <w:pPr>
      <w:jc w:val="center"/>
      <w:spacing w:after="160" w:line="240" w:lineRule="exact"/>
      <w:widowControl/>
    </w:pPr>
    <w:rPr>
      <w:rFonts w:ascii="Arial" w:hAnsi="Arial"/>
      <w:sz w:val="20"/>
      <w:szCs w:val="20"/>
      <w:lang w:eastAsia="en-US"/>
    </w:rPr>
  </w:style>
  <w:style w:type="paragraph" w:styleId="1135" w:customStyle="1">
    <w:name w:val="xl29"/>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7"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8" w:customStyle="1">
    <w:name w:val="pa-6"/>
    <w:basedOn w:val="759"/>
    <w:uiPriority w:val="0"/>
    <w:qFormat/>
    <w:pPr>
      <w:spacing w:line="360" w:lineRule="atLeast"/>
      <w:widowControl/>
    </w:pPr>
    <w:rPr>
      <w:rFonts w:ascii="宋体"/>
      <w:sz w:val="24"/>
      <w:szCs w:val="20"/>
    </w:rPr>
  </w:style>
  <w:style w:type="paragraph" w:styleId="1139"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41"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前言、引言标题"/>
    <w:next w:val="75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4" w:customStyle="1">
    <w:name w:val="Char Char Char Char Char Char Char Char Char Char"/>
    <w:basedOn w:val="759"/>
    <w:uiPriority w:val="0"/>
    <w:qFormat/>
    <w:rPr>
      <w:rFonts w:ascii="Tahoma" w:hAnsi="Tahoma"/>
      <w:sz w:val="24"/>
      <w:szCs w:val="20"/>
    </w:rPr>
  </w:style>
  <w:style w:type="paragraph" w:styleId="1145" w:customStyle="1">
    <w:name w:val="篇名"/>
    <w:next w:val="97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6"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8"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9" w:customStyle="1">
    <w:name w:val="WPSOffice手动目录 1"/>
    <w:uiPriority w:val="0"/>
    <w:qFormat/>
    <w:rPr>
      <w:rFonts w:hint="default" w:ascii="Times New Roman" w:hAnsi="Times New Roman" w:eastAsia="宋体" w:cs="Times New Roman"/>
      <w:lang w:val="en-US" w:eastAsia="zh-CN" w:bidi="ar-SA"/>
    </w:rPr>
  </w:style>
  <w:style w:type="paragraph" w:styleId="115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参考资料清单+倾斜+蓝色"/>
    <w:basedOn w:val="759"/>
    <w:uiPriority w:val="0"/>
    <w:qFormat/>
    <w:pPr>
      <w:spacing w:line="360" w:lineRule="auto"/>
    </w:pPr>
    <w:rPr>
      <w:rFonts w:ascii="Arial" w:hAnsi="Arial"/>
      <w:i/>
      <w:iCs/>
      <w:color w:val="0000ff"/>
      <w:szCs w:val="21"/>
    </w:rPr>
  </w:style>
  <w:style w:type="paragraph" w:styleId="115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53" w:customStyle="1">
    <w:name w:val="缩进正文"/>
    <w:basedOn w:val="759"/>
    <w:uiPriority w:val="0"/>
    <w:qFormat/>
    <w:pPr>
      <w:ind w:left="1418" w:firstLine="425"/>
      <w:jc w:val="left"/>
      <w:spacing w:after="200" w:line="400" w:lineRule="exact"/>
      <w:widowControl/>
    </w:pPr>
    <w:rPr>
      <w:rFonts w:ascii="宋体"/>
      <w:sz w:val="24"/>
      <w:szCs w:val="20"/>
    </w:rPr>
  </w:style>
  <w:style w:type="paragraph" w:styleId="1154" w:customStyle="1">
    <w:name w:val="Normal_2"/>
    <w:uiPriority w:val="0"/>
    <w:qFormat/>
    <w:rPr>
      <w:rFonts w:hint="default" w:ascii="黑体" w:hAnsi="黑体" w:eastAsia="黑体" w:cs="Times New Roman"/>
      <w:b/>
      <w:sz w:val="32"/>
      <w:szCs w:val="24"/>
      <w:lang w:val="en-US" w:eastAsia="zh-CN" w:bidi="ar-SA"/>
    </w:rPr>
  </w:style>
  <w:style w:type="paragraph" w:styleId="115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6" w:customStyle="1">
    <w:name w:val="默认段落字体 Para Char Char Char Char Char Char Char Char Char1"/>
    <w:basedOn w:val="759"/>
    <w:uiPriority w:val="0"/>
    <w:qFormat/>
    <w:rPr>
      <w:rFonts w:ascii="Tahoma" w:hAnsi="Tahoma"/>
      <w:sz w:val="24"/>
      <w:szCs w:val="20"/>
    </w:rPr>
  </w:style>
  <w:style w:type="paragraph" w:styleId="1157" w:customStyle="1">
    <w:name w:val="样式 序号----------- + 仿宋_GB2312"/>
    <w:basedOn w:val="1158"/>
    <w:uiPriority w:val="0"/>
    <w:qFormat/>
    <w:pPr>
      <w:ind w:firstLine="200"/>
      <w:spacing w:line="360" w:lineRule="auto"/>
    </w:pPr>
    <w:rPr>
      <w:rFonts w:ascii="仿宋_GB2312" w:eastAsia="仿宋_GB2312"/>
      <w:bCs w:val="0"/>
    </w:rPr>
  </w:style>
  <w:style w:type="paragraph" w:styleId="1158" w:customStyle="1">
    <w:name w:val="序号-----------"/>
    <w:basedOn w:val="759"/>
    <w:uiPriority w:val="0"/>
    <w:qFormat/>
    <w:pPr>
      <w:jc w:val="left"/>
      <w:widowControl/>
    </w:pPr>
    <w:rPr>
      <w:rFonts w:ascii="宋体"/>
      <w:bCs/>
      <w:szCs w:val="21"/>
    </w:rPr>
  </w:style>
  <w:style w:type="paragraph" w:styleId="1159" w:customStyle="1">
    <w:name w:val="pa-8"/>
    <w:basedOn w:val="759"/>
    <w:uiPriority w:val="0"/>
    <w:qFormat/>
    <w:pPr>
      <w:ind w:firstLine="480"/>
      <w:spacing w:line="280" w:lineRule="atLeast"/>
      <w:widowControl/>
    </w:pPr>
    <w:rPr>
      <w:rFonts w:ascii="宋体" w:cs="宋体"/>
      <w:sz w:val="24"/>
    </w:rPr>
  </w:style>
  <w:style w:type="paragraph" w:styleId="1160" w:customStyle="1">
    <w:name w:val="Indent Normal"/>
    <w:basedOn w:val="759"/>
    <w:uiPriority w:val="0"/>
    <w:qFormat/>
    <w:pPr>
      <w:ind w:firstLine="150"/>
    </w:pPr>
    <w:rPr>
      <w:sz w:val="24"/>
      <w:szCs w:val="20"/>
    </w:rPr>
  </w:style>
  <w:style w:type="paragraph" w:styleId="1161" w:customStyle="1">
    <w:name w:val="Normal_3"/>
    <w:uiPriority w:val="0"/>
    <w:qFormat/>
    <w:rPr>
      <w:rFonts w:hint="default" w:ascii="黑体" w:hAnsi="黑体" w:eastAsia="黑体" w:cs="Times New Roman"/>
      <w:b/>
      <w:sz w:val="32"/>
      <w:szCs w:val="24"/>
      <w:lang w:val="en-US" w:eastAsia="zh-CN" w:bidi="ar-SA"/>
    </w:rPr>
  </w:style>
  <w:style w:type="paragraph" w:styleId="1162" w:customStyle="1">
    <w:name w:val="寄信人地址1"/>
    <w:basedOn w:val="1131"/>
    <w:uiPriority w:val="99"/>
    <w:qFormat/>
    <w:rPr>
      <w:rFonts w:ascii="Arial" w:hAnsi="Arial" w:cs="Arial"/>
    </w:rPr>
  </w:style>
  <w:style w:type="paragraph" w:styleId="1163" w:customStyle="1">
    <w:name w:val="标题2"/>
    <w:basedOn w:val="759"/>
    <w:uiPriority w:val="0"/>
    <w:qFormat/>
    <w:pPr>
      <w:tabs>
        <w:tab w:val="left" w:pos="0" w:leader="none"/>
      </w:tabs>
    </w:pPr>
    <w:rPr>
      <w:rFonts w:ascii="黑体" w:eastAsia="黑体"/>
      <w:sz w:val="24"/>
    </w:rPr>
  </w:style>
  <w:style w:type="paragraph" w:styleId="1164" w:customStyle="1">
    <w:name w:val="Normal_10"/>
    <w:uiPriority w:val="0"/>
    <w:qFormat/>
    <w:rPr>
      <w:rFonts w:hint="default" w:ascii="黑体" w:hAnsi="黑体" w:eastAsia="黑体" w:cs="Times New Roman"/>
      <w:b/>
      <w:sz w:val="32"/>
      <w:szCs w:val="24"/>
      <w:lang w:val="en-US" w:eastAsia="zh-CN" w:bidi="ar-SA"/>
    </w:rPr>
  </w:style>
  <w:style w:type="paragraph" w:styleId="1165" w:customStyle="1">
    <w:name w:val="样式3"/>
    <w:basedOn w:val="981"/>
    <w:uiPriority w:val="0"/>
    <w:qFormat/>
    <w:pPr>
      <w:spacing w:line="415" w:lineRule="auto"/>
    </w:pPr>
    <w:rPr>
      <w:rFonts w:ascii="Calibri" w:hAnsi="Calibri"/>
      <w:bCs/>
      <w:color w:val="000000"/>
      <w:sz w:val="28"/>
      <w:szCs w:val="28"/>
    </w:rPr>
  </w:style>
  <w:style w:type="paragraph" w:styleId="1166" w:customStyle="1">
    <w:name w:val="样式6"/>
    <w:basedOn w:val="83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7" w:customStyle="1">
    <w:name w:val="Char1 Char Char Char"/>
    <w:basedOn w:val="759"/>
    <w:uiPriority w:val="0"/>
    <w:qFormat/>
    <w:rPr>
      <w:szCs w:val="20"/>
    </w:rPr>
  </w:style>
  <w:style w:type="paragraph" w:styleId="1168" w:customStyle="1">
    <w:name w:val="纯文本2"/>
    <w:basedOn w:val="759"/>
    <w:uiPriority w:val="0"/>
    <w:qFormat/>
    <w:rPr>
      <w:rFonts w:ascii="宋体" w:hAnsi="Courier New" w:eastAsia="楷体_GB2312"/>
      <w:sz w:val="26"/>
      <w:szCs w:val="20"/>
    </w:rPr>
  </w:style>
  <w:style w:type="paragraph" w:styleId="1169" w:customStyle="1">
    <w:name w:val="Normal_4_0"/>
    <w:uiPriority w:val="0"/>
    <w:qFormat/>
    <w:rPr>
      <w:rFonts w:hint="default" w:ascii="黑体" w:hAnsi="黑体" w:eastAsia="黑体" w:cs="Times New Roman"/>
      <w:b/>
      <w:sz w:val="32"/>
      <w:szCs w:val="24"/>
      <w:lang w:val="en-US" w:eastAsia="zh-CN" w:bidi="ar-SA"/>
    </w:rPr>
  </w:style>
  <w:style w:type="paragraph" w:styleId="1170" w:customStyle="1">
    <w:name w:val="三级条标题"/>
    <w:basedOn w:val="1171"/>
    <w:next w:val="1173"/>
    <w:uiPriority w:val="0"/>
    <w:qFormat/>
    <w:pPr>
      <w:ind w:left="1050"/>
      <w:outlineLvl w:val="4"/>
    </w:pPr>
  </w:style>
  <w:style w:type="paragraph" w:styleId="1171" w:customStyle="1">
    <w:name w:val="二级条标题"/>
    <w:basedOn w:val="1172"/>
    <w:next w:val="1173"/>
    <w:uiPriority w:val="0"/>
    <w:qFormat/>
    <w:pPr>
      <w:ind w:left="360"/>
      <w:outlineLvl w:val="3"/>
    </w:pPr>
  </w:style>
  <w:style w:type="paragraph" w:styleId="1172" w:customStyle="1">
    <w:name w:val="一级条标题"/>
    <w:next w:val="1173"/>
    <w:uiPriority w:val="0"/>
    <w:qFormat/>
    <w:pPr>
      <w:outlineLvl w:val="2"/>
    </w:pPr>
    <w:rPr>
      <w:rFonts w:hint="default" w:ascii="Times New Roman" w:hAnsi="Times New Roman" w:eastAsia="黑体" w:cs="Times New Roman"/>
      <w:sz w:val="21"/>
      <w:lang w:val="en-US" w:eastAsia="zh-CN" w:bidi="ar-SA"/>
    </w:rPr>
  </w:style>
  <w:style w:type="paragraph" w:styleId="117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4" w:customStyle="1">
    <w:name w:val="Normal_5_0"/>
    <w:uiPriority w:val="0"/>
    <w:qFormat/>
    <w:rPr>
      <w:rFonts w:hint="default" w:ascii="黑体" w:hAnsi="黑体" w:eastAsia="黑体" w:cs="Times New Roman"/>
      <w:b/>
      <w:sz w:val="32"/>
      <w:szCs w:val="24"/>
      <w:lang w:val="en-US" w:eastAsia="zh-CN" w:bidi="ar-SA"/>
    </w:rPr>
  </w:style>
  <w:style w:type="paragraph" w:styleId="1175" w:customStyle="1">
    <w:name w:val="Normal_14_0"/>
    <w:uiPriority w:val="0"/>
    <w:qFormat/>
    <w:rPr>
      <w:rFonts w:hint="default" w:ascii="黑体" w:hAnsi="黑体" w:eastAsia="黑体" w:cs="Times New Roman"/>
      <w:b/>
      <w:sz w:val="32"/>
      <w:szCs w:val="24"/>
      <w:lang w:val="en-US" w:eastAsia="zh-CN" w:bidi="ar-SA"/>
    </w:rPr>
  </w:style>
  <w:style w:type="paragraph" w:styleId="1176" w:customStyle="1">
    <w:name w:val="技术方案2"/>
    <w:basedOn w:val="759"/>
    <w:uiPriority w:val="0"/>
    <w:qFormat/>
    <w:pPr>
      <w:spacing w:line="480" w:lineRule="auto"/>
    </w:pPr>
    <w:rPr>
      <w:rFonts w:ascii="宋体"/>
      <w:b/>
      <w:bCs/>
      <w:sz w:val="36"/>
    </w:rPr>
  </w:style>
  <w:style w:type="paragraph" w:styleId="117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8" w:customStyle="1">
    <w:name w:val="Normal_0_0"/>
    <w:uiPriority w:val="0"/>
    <w:qFormat/>
    <w:rPr>
      <w:rFonts w:hint="default" w:ascii="黑体" w:hAnsi="黑体" w:eastAsia="黑体" w:cs="Times New Roman"/>
      <w:b/>
      <w:sz w:val="40"/>
      <w:szCs w:val="24"/>
      <w:lang w:val="en-US" w:eastAsia="zh-CN" w:bidi="ar-SA"/>
    </w:rPr>
  </w:style>
  <w:style w:type="paragraph" w:styleId="1179" w:customStyle="1">
    <w:name w:val="表格标题"/>
    <w:basedOn w:val="759"/>
    <w:uiPriority w:val="0"/>
    <w:qFormat/>
    <w:pPr>
      <w:jc w:val="center"/>
    </w:pPr>
    <w:rPr>
      <w:b/>
    </w:rPr>
  </w:style>
  <w:style w:type="paragraph" w:styleId="1180" w:customStyle="1">
    <w:name w:val="表中文字"/>
    <w:basedOn w:val="759"/>
    <w:uiPriority w:val="0"/>
    <w:qFormat/>
    <w:pPr>
      <w:widowControl/>
    </w:pPr>
    <w:rPr>
      <w:rFonts w:ascii="Calibri" w:hAnsi="Calibri"/>
      <w:szCs w:val="20"/>
    </w:rPr>
  </w:style>
  <w:style w:type="paragraph" w:styleId="1181" w:customStyle="1">
    <w:name w:val="Char"/>
    <w:basedOn w:val="759"/>
    <w:uiPriority w:val="0"/>
    <w:qFormat/>
    <w:pPr>
      <w:jc w:val="left"/>
      <w:spacing w:after="160" w:line="240" w:lineRule="exact"/>
      <w:widowControl/>
    </w:pPr>
    <w:rPr>
      <w:rFonts w:ascii="Verdana" w:hAnsi="Verdana"/>
      <w:sz w:val="20"/>
      <w:szCs w:val="20"/>
      <w:lang w:eastAsia="en-US"/>
    </w:rPr>
  </w:style>
  <w:style w:type="paragraph" w:styleId="1182" w:customStyle="1">
    <w:name w:val="pbody"/>
    <w:basedOn w:val="759"/>
    <w:uiPriority w:val="0"/>
    <w:qFormat/>
    <w:pPr>
      <w:jc w:val="left"/>
      <w:spacing w:before="100" w:beforeAutospacing="1" w:after="100" w:afterAutospacing="1" w:line="360" w:lineRule="auto"/>
      <w:widowControl/>
    </w:pPr>
    <w:rPr>
      <w:rFonts w:ascii="宋体" w:cs="宋体"/>
      <w:sz w:val="24"/>
    </w:rPr>
  </w:style>
  <w:style w:type="paragraph" w:styleId="118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Normal_9"/>
    <w:uiPriority w:val="0"/>
    <w:qFormat/>
    <w:rPr>
      <w:rFonts w:hint="default" w:ascii="黑体" w:hAnsi="黑体" w:eastAsia="黑体" w:cs="Times New Roman"/>
      <w:b/>
      <w:sz w:val="32"/>
      <w:szCs w:val="24"/>
      <w:lang w:val="en-US" w:eastAsia="zh-CN" w:bidi="ar-SA"/>
    </w:rPr>
  </w:style>
  <w:style w:type="paragraph" w:styleId="1185" w:customStyle="1">
    <w:name w:val="表格正文"/>
    <w:basedOn w:val="759"/>
    <w:uiPriority w:val="0"/>
    <w:qFormat/>
    <w:pPr>
      <w:spacing w:line="300" w:lineRule="auto"/>
      <w:tabs>
        <w:tab w:val="left" w:pos="420" w:leader="none"/>
      </w:tabs>
    </w:pPr>
  </w:style>
  <w:style w:type="paragraph" w:styleId="1186" w:customStyle="1">
    <w:name w:val="目录 1_0"/>
    <w:basedOn w:val="1073"/>
    <w:next w:val="1073"/>
    <w:uiPriority w:val="0"/>
    <w:semiHidden/>
    <w:qFormat/>
    <w:pPr>
      <w:jc w:val="left"/>
    </w:pPr>
    <w:rPr>
      <w:rFonts w:hint="eastAsia" w:ascii="宋体" w:hAnsi="宋体"/>
      <w:b/>
      <w:sz w:val="24"/>
    </w:rPr>
  </w:style>
  <w:style w:type="paragraph" w:styleId="1187"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19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91" w:customStyle="1">
    <w:name w:val="标书2"/>
    <w:next w:val="1192"/>
    <w:uiPriority w:val="0"/>
    <w:qFormat/>
    <w:rPr>
      <w:rFonts w:hint="default" w:ascii="Times New Roman" w:hAnsi="Times New Roman" w:eastAsia="黑体" w:cs="宋体"/>
      <w:b/>
      <w:sz w:val="44"/>
      <w:lang w:val="en-US" w:eastAsia="zh-CN" w:bidi="ar-SA"/>
    </w:rPr>
  </w:style>
  <w:style w:type="paragraph" w:styleId="119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3" w:customStyle="1">
    <w:name w:val="xl38"/>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4" w:customStyle="1">
    <w:name w:val="p0"/>
    <w:basedOn w:val="759"/>
    <w:uiPriority w:val="0"/>
    <w:qFormat/>
    <w:pPr>
      <w:widowControl/>
    </w:pPr>
    <w:rPr>
      <w:szCs w:val="21"/>
    </w:rPr>
  </w:style>
  <w:style w:type="paragraph" w:styleId="1195" w:customStyle="1">
    <w:name w:val="ibm-list-next"/>
    <w:basedOn w:val="759"/>
    <w:uiPriority w:val="0"/>
    <w:qFormat/>
    <w:pPr>
      <w:jc w:val="left"/>
      <w:spacing w:before="100" w:beforeAutospacing="1" w:after="100" w:afterAutospacing="1"/>
      <w:widowControl/>
    </w:pPr>
    <w:rPr>
      <w:rFonts w:ascii="宋体" w:cs="宋体"/>
      <w:sz w:val="24"/>
    </w:rPr>
  </w:style>
  <w:style w:type="paragraph" w:styleId="1196" w:customStyle="1">
    <w:name w:val="WPSOffice手动目录 2"/>
    <w:uiPriority w:val="0"/>
    <w:qFormat/>
    <w:rPr>
      <w:rFonts w:hint="default" w:ascii="Times New Roman" w:hAnsi="Times New Roman" w:eastAsia="宋体" w:cs="Times New Roman"/>
      <w:lang w:val="en-US" w:eastAsia="zh-CN" w:bidi="ar-SA"/>
    </w:rPr>
  </w:style>
  <w:style w:type="paragraph" w:styleId="1197" w:customStyle="1">
    <w:name w:val="正文文字缩进 3"/>
    <w:basedOn w:val="759"/>
    <w:uiPriority w:val="0"/>
    <w:qFormat/>
    <w:pPr>
      <w:ind w:left="420" w:firstLine="420"/>
      <w:spacing w:line="312" w:lineRule="auto"/>
    </w:pPr>
    <w:rPr>
      <w:rFonts w:ascii="黑体" w:hAnsi="黑体" w:cs="宋体"/>
      <w:bCs/>
      <w:color w:val="000000"/>
      <w:sz w:val="24"/>
    </w:rPr>
  </w:style>
  <w:style w:type="paragraph" w:styleId="1198" w:customStyle="1">
    <w:name w:val="pa-9"/>
    <w:basedOn w:val="759"/>
    <w:uiPriority w:val="0"/>
    <w:qFormat/>
    <w:pPr>
      <w:jc w:val="center"/>
      <w:spacing w:line="360" w:lineRule="atLeast"/>
      <w:widowControl/>
    </w:pPr>
    <w:rPr>
      <w:rFonts w:ascii="宋体" w:cs="宋体"/>
      <w:sz w:val="24"/>
    </w:rPr>
  </w:style>
  <w:style w:type="paragraph" w:styleId="1199" w:customStyle="1">
    <w:name w:val="表格文字"/>
    <w:basedOn w:val="759"/>
    <w:uiPriority w:val="0"/>
    <w:qFormat/>
    <w:pPr>
      <w:jc w:val="left"/>
    </w:pPr>
    <w:rPr>
      <w:sz w:val="18"/>
    </w:rPr>
  </w:style>
  <w:style w:type="paragraph" w:styleId="1200" w:customStyle="1">
    <w:name w:val="Figure and Table Title"/>
    <w:basedOn w:val="759"/>
    <w:uiPriority w:val="0"/>
    <w:qFormat/>
    <w:pPr>
      <w:ind w:left="2160"/>
      <w:jc w:val="left"/>
      <w:widowControl/>
    </w:pPr>
    <w:rPr>
      <w:rFonts w:ascii="Helvetica-Light" w:hAnsi="Helvetica-Light"/>
      <w:b/>
      <w:bCs/>
      <w:sz w:val="20"/>
      <w:lang w:eastAsia="en-US"/>
    </w:rPr>
  </w:style>
  <w:style w:type="paragraph" w:styleId="120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3" w:customStyle="1">
    <w:name w:val="首页小标题"/>
    <w:next w:val="1204"/>
    <w:uiPriority w:val="0"/>
    <w:qFormat/>
    <w:pPr>
      <w:jc w:val="center"/>
    </w:pPr>
    <w:rPr>
      <w:rFonts w:hint="default" w:ascii="Times New Roman" w:hAnsi="Times New Roman" w:eastAsia="宋体" w:cs="宋体"/>
      <w:sz w:val="44"/>
      <w:lang w:val="en-US" w:eastAsia="zh-CN" w:bidi="ar-SA"/>
    </w:rPr>
  </w:style>
  <w:style w:type="paragraph" w:styleId="120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5" w:customStyle="1">
    <w:name w:val="纯文本1"/>
    <w:basedOn w:val="759"/>
    <w:uiPriority w:val="0"/>
    <w:qFormat/>
    <w:rPr>
      <w:rFonts w:ascii="宋体" w:hAnsi="Courier New" w:eastAsia="楷体_GB2312"/>
      <w:sz w:val="26"/>
      <w:szCs w:val="20"/>
    </w:rPr>
  </w:style>
  <w:style w:type="paragraph" w:styleId="1206" w:customStyle="1">
    <w:name w:val="xl41"/>
    <w:basedOn w:val="75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7" w:customStyle="1">
    <w:name w:val="表头"/>
    <w:basedOn w:val="1208"/>
    <w:uiPriority w:val="0"/>
    <w:qFormat/>
    <w:pPr>
      <w:ind w:left="0" w:firstLine="0"/>
      <w:spacing w:line="240" w:lineRule="auto"/>
    </w:pPr>
    <w:rPr>
      <w:sz w:val="20"/>
    </w:rPr>
  </w:style>
  <w:style w:type="paragraph" w:styleId="1208" w:customStyle="1">
    <w:name w:val="正文1"/>
    <w:basedOn w:val="759"/>
    <w:uiPriority w:val="0"/>
    <w:qFormat/>
    <w:pPr>
      <w:ind w:left="357" w:firstLine="420"/>
      <w:jc w:val="left"/>
      <w:spacing w:line="360" w:lineRule="auto"/>
      <w:widowControl/>
    </w:pPr>
    <w:rPr>
      <w:rFonts w:cs="Arial"/>
      <w:szCs w:val="20"/>
    </w:rPr>
  </w:style>
  <w:style w:type="paragraph" w:styleId="1209"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表格序号"/>
    <w:uiPriority w:val="0"/>
    <w:qFormat/>
    <w:rPr>
      <w:rFonts w:hint="default" w:ascii="Times New Roman" w:hAnsi="Times New Roman" w:eastAsia="仿宋_GB2312" w:cs="宋体"/>
      <w:sz w:val="21"/>
      <w:lang w:val="en-US" w:eastAsia="zh-CN" w:bidi="ar-SA"/>
    </w:rPr>
  </w:style>
  <w:style w:type="paragraph" w:styleId="1211"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2" w:customStyle="1">
    <w:name w:val="Normal_15"/>
    <w:uiPriority w:val="0"/>
    <w:qFormat/>
    <w:rPr>
      <w:rFonts w:hint="default" w:ascii="黑体" w:hAnsi="黑体" w:eastAsia="黑体" w:cs="Times New Roman"/>
      <w:b/>
      <w:sz w:val="32"/>
      <w:szCs w:val="24"/>
      <w:lang w:val="en-US" w:eastAsia="zh-CN" w:bidi="ar-SA"/>
    </w:rPr>
  </w:style>
  <w:style w:type="paragraph" w:styleId="1213">
    <w:name w:val="List Paragraph"/>
    <w:basedOn w:val="759"/>
    <w:uiPriority w:val="0"/>
    <w:qFormat/>
    <w:pPr>
      <w:ind w:firstLine="200"/>
    </w:pPr>
    <w:rPr>
      <w:rFonts w:ascii="Calibri" w:hAnsi="Calibri"/>
    </w:rPr>
  </w:style>
  <w:style w:type="paragraph" w:styleId="1214"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5" w:customStyle="1">
    <w:name w:val="正文（首行缩进）"/>
    <w:basedOn w:val="759"/>
    <w:uiPriority w:val="0"/>
    <w:qFormat/>
    <w:pPr>
      <w:ind w:firstLine="482"/>
      <w:spacing w:before="120" w:line="360" w:lineRule="auto"/>
      <w:widowControl/>
    </w:pPr>
    <w:rPr>
      <w:rFonts w:ascii="Calibri" w:hAnsi="Calibri"/>
      <w:sz w:val="24"/>
      <w:szCs w:val="20"/>
    </w:rPr>
  </w:style>
  <w:style w:type="paragraph" w:styleId="1216"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7" w:customStyle="1">
    <w:name w:val="技术方案3"/>
    <w:basedOn w:val="759"/>
    <w:uiPriority w:val="0"/>
    <w:qFormat/>
    <w:pPr>
      <w:spacing w:line="360" w:lineRule="auto"/>
    </w:pPr>
    <w:rPr>
      <w:rFonts w:ascii="宋体"/>
      <w:b/>
      <w:bCs/>
      <w:sz w:val="32"/>
    </w:rPr>
  </w:style>
  <w:style w:type="paragraph" w:styleId="1218" w:customStyle="1">
    <w:name w:val="默认段落字体 Para Char Char Char Char Char"/>
    <w:basedOn w:val="759"/>
    <w:uiPriority w:val="0"/>
    <w:qFormat/>
    <w:pPr>
      <w:ind w:firstLine="200"/>
      <w:jc w:val="left"/>
      <w:spacing w:before="100" w:beforeAutospacing="1" w:after="100" w:afterAutospacing="1" w:line="360" w:lineRule="auto"/>
    </w:pPr>
    <w:rPr>
      <w:rFonts w:ascii="Arial" w:hAnsi="Arial"/>
      <w:sz w:val="24"/>
      <w:lang w:eastAsia="en-US"/>
    </w:rPr>
  </w:style>
  <w:style w:type="paragraph" w:styleId="1219"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0" w:customStyle="1">
    <w:name w:val="pa-10"/>
    <w:basedOn w:val="759"/>
    <w:uiPriority w:val="0"/>
    <w:qFormat/>
    <w:pPr>
      <w:spacing w:line="240" w:lineRule="atLeast"/>
      <w:widowControl/>
    </w:pPr>
    <w:rPr>
      <w:rFonts w:ascii="宋体" w:cs="宋体"/>
      <w:sz w:val="24"/>
    </w:rPr>
  </w:style>
  <w:style w:type="paragraph" w:styleId="1221" w:customStyle="1">
    <w:name w:val="pa-5"/>
    <w:basedOn w:val="759"/>
    <w:uiPriority w:val="0"/>
    <w:qFormat/>
    <w:pPr>
      <w:spacing w:line="280" w:lineRule="atLeast"/>
      <w:widowControl/>
    </w:pPr>
    <w:rPr>
      <w:rFonts w:ascii="宋体" w:cs="宋体"/>
      <w:sz w:val="24"/>
    </w:rPr>
  </w:style>
  <w:style w:type="paragraph" w:styleId="122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23" w:customStyle="1">
    <w:name w:val="新段落缩进"/>
    <w:basedOn w:val="759"/>
    <w:uiPriority w:val="0"/>
    <w:qFormat/>
    <w:pPr>
      <w:ind w:firstLine="200"/>
      <w:spacing w:line="400" w:lineRule="exact"/>
    </w:pPr>
    <w:rPr>
      <w:rFonts w:ascii="仿宋_GB2312" w:eastAsia="仿宋_GB2312"/>
      <w:sz w:val="24"/>
    </w:rPr>
  </w:style>
  <w:style w:type="paragraph" w:styleId="122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pa-2"/>
    <w:basedOn w:val="759"/>
    <w:uiPriority w:val="0"/>
    <w:qFormat/>
    <w:pPr>
      <w:spacing w:line="360" w:lineRule="atLeast"/>
      <w:widowControl/>
    </w:pPr>
    <w:rPr>
      <w:rFonts w:ascii="宋体" w:cs="宋体"/>
      <w:sz w:val="24"/>
    </w:rPr>
  </w:style>
  <w:style w:type="paragraph" w:styleId="1226" w:customStyle="1">
    <w:name w:val="列出段落1"/>
    <w:basedOn w:val="759"/>
    <w:uiPriority w:val="99"/>
    <w:qFormat/>
    <w:pPr>
      <w:ind w:firstLine="200"/>
    </w:pPr>
    <w:rPr>
      <w:rFonts w:ascii="Calibri" w:hAnsi="Calibri"/>
    </w:rPr>
  </w:style>
  <w:style w:type="paragraph" w:styleId="1227" w:customStyle="1">
    <w:name w:val="说明书2级标题"/>
    <w:basedOn w:val="759"/>
    <w:next w:val="1228"/>
    <w:uiPriority w:val="0"/>
    <w:qFormat/>
    <w:pPr>
      <w:numPr>
        <w:ilvl w:val="2"/>
        <w:numId w:val="2"/>
      </w:numPr>
      <w:spacing w:before="100"/>
    </w:pPr>
    <w:rPr>
      <w:rFonts w:ascii="Calibri" w:hAnsi="Calibri" w:eastAsia="黑体"/>
      <w:sz w:val="28"/>
      <w:szCs w:val="28"/>
    </w:rPr>
  </w:style>
  <w:style w:type="paragraph" w:styleId="1228" w:customStyle="1">
    <w:name w:val="说明书3级标题"/>
    <w:basedOn w:val="759"/>
    <w:next w:val="759"/>
    <w:uiPriority w:val="0"/>
    <w:qFormat/>
    <w:pPr>
      <w:numPr>
        <w:ilvl w:val="2"/>
        <w:numId w:val="3"/>
      </w:numPr>
      <w:spacing w:line="360" w:lineRule="auto"/>
    </w:pPr>
    <w:rPr>
      <w:rFonts w:ascii="Calibri" w:hAnsi="Calibri" w:eastAsia="黑体"/>
      <w:sz w:val="24"/>
    </w:rPr>
  </w:style>
  <w:style w:type="paragraph" w:styleId="1229" w:customStyle="1">
    <w:name w:val="Char Char1 Char Char Char Char Char Char Char Char"/>
    <w:basedOn w:val="759"/>
    <w:uiPriority w:val="0"/>
    <w:qFormat/>
    <w:pPr>
      <w:jc w:val="left"/>
      <w:spacing w:after="160" w:line="240" w:lineRule="exact"/>
      <w:widowControl/>
    </w:pPr>
  </w:style>
  <w:style w:type="paragraph" w:styleId="1230" w:customStyle="1">
    <w:name w:val="Normal_11_0"/>
    <w:uiPriority w:val="0"/>
    <w:qFormat/>
    <w:rPr>
      <w:rFonts w:hint="default" w:ascii="黑体" w:hAnsi="黑体" w:eastAsia="黑体" w:cs="Times New Roman"/>
      <w:b/>
      <w:sz w:val="32"/>
      <w:szCs w:val="24"/>
      <w:lang w:val="en-US" w:eastAsia="zh-CN" w:bidi="ar-SA"/>
    </w:rPr>
  </w:style>
  <w:style w:type="paragraph" w:styleId="1231" w:customStyle="1">
    <w:name w:val="首页标题小初"/>
    <w:uiPriority w:val="0"/>
    <w:qFormat/>
    <w:pPr>
      <w:jc w:val="center"/>
    </w:pPr>
    <w:rPr>
      <w:rFonts w:hint="default" w:ascii="黑体" w:hAnsi="Times New Roman" w:eastAsia="黑体" w:cs="宋体"/>
      <w:sz w:val="72"/>
      <w:lang w:val="en-US" w:eastAsia="zh-CN" w:bidi="ar-SA"/>
    </w:rPr>
  </w:style>
  <w:style w:type="paragraph" w:styleId="1232" w:customStyle="1">
    <w:name w:val="xl32"/>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35" w:customStyle="1">
    <w:name w:val="附图标题"/>
    <w:basedOn w:val="999"/>
    <w:next w:val="998"/>
    <w:uiPriority w:val="0"/>
    <w:qFormat/>
    <w:pPr>
      <w:ind w:left="780" w:hanging="480"/>
      <w:jc w:val="center"/>
      <w:spacing w:after="100"/>
      <w:tabs>
        <w:tab w:val="left" w:pos="780" w:leader="none"/>
      </w:tabs>
    </w:pPr>
    <w:rPr>
      <w:b/>
      <w:sz w:val="21"/>
    </w:rPr>
  </w:style>
  <w:style w:type="paragraph" w:styleId="1236" w:customStyle="1">
    <w:name w:val="Normal_7"/>
    <w:uiPriority w:val="0"/>
    <w:qFormat/>
    <w:rPr>
      <w:rFonts w:hint="default" w:ascii="黑体" w:hAnsi="黑体" w:eastAsia="黑体" w:cs="Times New Roman"/>
      <w:b/>
      <w:sz w:val="32"/>
      <w:szCs w:val="24"/>
      <w:lang w:val="en-US" w:eastAsia="zh-CN" w:bidi="ar-SA"/>
    </w:rPr>
  </w:style>
  <w:style w:type="paragraph" w:styleId="1237"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五级条标题"/>
    <w:basedOn w:val="1239"/>
    <w:next w:val="1173"/>
    <w:uiPriority w:val="0"/>
    <w:qFormat/>
    <w:pPr>
      <w:outlineLvl w:val="6"/>
    </w:pPr>
  </w:style>
  <w:style w:type="paragraph" w:styleId="1239" w:customStyle="1">
    <w:name w:val="四级条标题"/>
    <w:basedOn w:val="1170"/>
    <w:next w:val="1173"/>
    <w:uiPriority w:val="0"/>
    <w:qFormat/>
    <w:pPr>
      <w:ind w:left="0"/>
      <w:outlineLvl w:val="5"/>
    </w:pPr>
  </w:style>
  <w:style w:type="paragraph" w:styleId="124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2" w:customStyle="1">
    <w:name w:val="标准小四"/>
    <w:basedOn w:val="759"/>
    <w:uiPriority w:val="0"/>
    <w:qFormat/>
    <w:pPr>
      <w:ind w:firstLine="200"/>
      <w:spacing w:line="360" w:lineRule="auto"/>
    </w:pPr>
    <w:rPr>
      <w:rFonts w:ascii="Arial" w:hAnsi="Arial"/>
      <w:sz w:val="24"/>
      <w:szCs w:val="21"/>
    </w:rPr>
  </w:style>
  <w:style w:type="paragraph" w:styleId="124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4" w:customStyle="1">
    <w:name w:val="Normal_18_0"/>
    <w:uiPriority w:val="0"/>
    <w:qFormat/>
    <w:rPr>
      <w:rFonts w:hint="default" w:ascii="黑体" w:hAnsi="黑体" w:eastAsia="黑体" w:cs="Times New Roman"/>
      <w:b/>
      <w:sz w:val="32"/>
      <w:szCs w:val="24"/>
      <w:lang w:val="en-US" w:eastAsia="zh-CN" w:bidi="ar-SA"/>
    </w:rPr>
  </w:style>
  <w:style w:type="paragraph" w:styleId="1245" w:customStyle="1">
    <w:name w:val="a0"/>
    <w:basedOn w:val="759"/>
    <w:uiPriority w:val="0"/>
    <w:qFormat/>
    <w:pPr>
      <w:jc w:val="left"/>
      <w:spacing w:before="100" w:beforeAutospacing="1" w:after="100" w:afterAutospacing="1"/>
      <w:widowControl/>
    </w:pPr>
    <w:rPr>
      <w:rFonts w:ascii="宋体"/>
      <w:sz w:val="24"/>
    </w:rPr>
  </w:style>
  <w:style w:type="paragraph" w:styleId="1246" w:customStyle="1">
    <w:name w:val="正文（黑体）"/>
    <w:basedOn w:val="759"/>
    <w:next w:val="759"/>
    <w:uiPriority w:val="0"/>
    <w:qFormat/>
    <w:pPr>
      <w:ind w:firstLine="200"/>
      <w:spacing w:before="50" w:after="50" w:line="360" w:lineRule="auto"/>
    </w:pPr>
    <w:rPr>
      <w:rFonts w:ascii="黑体" w:eastAsia="黑体"/>
      <w:color w:val="000080"/>
      <w:sz w:val="24"/>
    </w:rPr>
  </w:style>
  <w:style w:type="paragraph" w:styleId="1247"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8" w:customStyle="1">
    <w:name w:val="加点正文缩进"/>
    <w:basedOn w:val="759"/>
    <w:uiPriority w:val="0"/>
    <w:qFormat/>
    <w:pPr>
      <w:ind w:left="962" w:hanging="480"/>
      <w:spacing w:line="300" w:lineRule="auto"/>
      <w:tabs>
        <w:tab w:val="left" w:pos="840" w:leader="none"/>
      </w:tabs>
    </w:pPr>
    <w:rPr>
      <w:sz w:val="24"/>
    </w:rPr>
  </w:style>
  <w:style w:type="paragraph" w:styleId="124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Normal_1_1"/>
    <w:uiPriority w:val="0"/>
    <w:qFormat/>
    <w:rPr>
      <w:rFonts w:hint="default" w:ascii="黑体" w:hAnsi="黑体" w:eastAsia="黑体" w:cs="Times New Roman"/>
      <w:b/>
      <w:sz w:val="32"/>
      <w:szCs w:val="24"/>
      <w:lang w:val="en-US" w:eastAsia="zh-CN" w:bidi="ar-SA"/>
    </w:rPr>
  </w:style>
  <w:style w:type="paragraph" w:styleId="1251" w:customStyle="1">
    <w:name w:val="技术方案正文样式"/>
    <w:basedOn w:val="759"/>
    <w:uiPriority w:val="0"/>
    <w:qFormat/>
    <w:pPr>
      <w:ind w:firstLine="200"/>
      <w:spacing w:line="400" w:lineRule="exact"/>
    </w:pPr>
    <w:rPr>
      <w:rFonts w:ascii="宋体" w:cs="宋体"/>
      <w:sz w:val="24"/>
      <w:szCs w:val="21"/>
    </w:rPr>
  </w:style>
  <w:style w:type="paragraph" w:styleId="1252" w:customStyle="1">
    <w:name w:val="首页标题 一号"/>
    <w:basedOn w:val="1231"/>
    <w:uiPriority w:val="0"/>
    <w:qFormat/>
    <w:rPr>
      <w:sz w:val="52"/>
    </w:rPr>
  </w:style>
  <w:style w:type="paragraph" w:styleId="1253" w:customStyle="1">
    <w:name w:val="样式 正文2 + 首行缩进:  0 厘米 段后: 1.5 行"/>
    <w:basedOn w:val="75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4" w:customStyle="1">
    <w:name w:val="Table Text/Title"/>
    <w:basedOn w:val="759"/>
    <w:uiPriority w:val="0"/>
    <w:qFormat/>
    <w:pPr>
      <w:jc w:val="left"/>
      <w:widowControl/>
    </w:pPr>
    <w:rPr>
      <w:rFonts w:ascii="宋体"/>
      <w:b/>
      <w:bCs/>
      <w:sz w:val="20"/>
      <w:szCs w:val="20"/>
      <w:lang w:eastAsia="en-US"/>
    </w:rPr>
  </w:style>
  <w:style w:type="paragraph" w:styleId="1255" w:customStyle="1">
    <w:name w:val="样式 序号----------- + 仿宋_GB23121"/>
    <w:basedOn w:val="1158"/>
    <w:uiPriority w:val="0"/>
    <w:qFormat/>
    <w:pPr>
      <w:spacing w:line="360" w:lineRule="auto"/>
    </w:pPr>
    <w:rPr>
      <w:rFonts w:ascii="仿宋_GB2312" w:eastAsia="仿宋_GB2312"/>
      <w:bCs w:val="0"/>
    </w:rPr>
  </w:style>
  <w:style w:type="paragraph" w:styleId="1256" w:customStyle="1">
    <w:name w:val="Char Char Char Char1"/>
    <w:basedOn w:val="759"/>
    <w:uiPriority w:val="0"/>
    <w:qFormat/>
    <w:pPr>
      <w:ind w:firstLine="200"/>
      <w:spacing w:line="360" w:lineRule="auto"/>
    </w:pPr>
    <w:rPr>
      <w:sz w:val="24"/>
      <w:szCs w:val="20"/>
    </w:rPr>
  </w:style>
  <w:style w:type="paragraph" w:styleId="1257"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8" w:customStyle="1">
    <w:name w:val="Char1"/>
    <w:basedOn w:val="759"/>
    <w:uiPriority w:val="0"/>
    <w:qFormat/>
    <w:pPr>
      <w:ind w:left="360" w:right="202" w:firstLine="360"/>
      <w:spacing w:line="480" w:lineRule="auto"/>
      <w:tabs>
        <w:tab w:val="left" w:pos="360" w:leader="none"/>
      </w:tabs>
    </w:pPr>
    <w:rPr>
      <w:sz w:val="24"/>
    </w:rPr>
  </w:style>
  <w:style w:type="paragraph" w:styleId="125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章标题"/>
    <w:next w:val="117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61"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Normal_0_1"/>
    <w:uiPriority w:val="0"/>
    <w:qFormat/>
    <w:rPr>
      <w:rFonts w:hint="default" w:ascii="黑体" w:hAnsi="黑体" w:eastAsia="黑体" w:cs="Times New Roman"/>
      <w:b/>
      <w:sz w:val="32"/>
      <w:szCs w:val="24"/>
      <w:lang w:val="en-US" w:eastAsia="zh-CN" w:bidi="ar-SA"/>
    </w:rPr>
  </w:style>
  <w:style w:type="paragraph" w:styleId="1263" w:customStyle="1">
    <w:name w:val="列表段落1"/>
    <w:basedOn w:val="759"/>
    <w:uiPriority w:val="34"/>
    <w:qFormat/>
    <w:pPr>
      <w:ind w:firstLine="420"/>
    </w:pPr>
  </w:style>
  <w:style w:type="paragraph" w:styleId="1264" w:customStyle="1">
    <w:name w:val="默认段落字体 Para Char Char Char Char Char Char Char Char Char1 Char Char Char Char Char Char Char Char"/>
    <w:basedOn w:val="1003"/>
    <w:uiPriority w:val="0"/>
    <w:qFormat/>
    <w:rPr>
      <w:rFonts w:ascii="Calibri" w:hAnsi="Calibri"/>
    </w:rPr>
  </w:style>
  <w:style w:type="paragraph" w:styleId="1265" w:customStyle="1">
    <w:name w:val="Normal_7_0"/>
    <w:uiPriority w:val="0"/>
    <w:qFormat/>
    <w:rPr>
      <w:rFonts w:hint="default" w:ascii="黑体" w:hAnsi="黑体" w:eastAsia="黑体" w:cs="Times New Roman"/>
      <w:b/>
      <w:sz w:val="32"/>
      <w:szCs w:val="24"/>
      <w:lang w:val="en-US" w:eastAsia="zh-CN" w:bidi="ar-SA"/>
    </w:rPr>
  </w:style>
  <w:style w:type="paragraph" w:styleId="1266" w:customStyle="1">
    <w:name w:val="Char Char Char Char Char 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26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Normal_12_0"/>
    <w:uiPriority w:val="0"/>
    <w:qFormat/>
    <w:rPr>
      <w:rFonts w:hint="default" w:ascii="黑体" w:hAnsi="黑体" w:eastAsia="黑体" w:cs="Times New Roman"/>
      <w:b/>
      <w:sz w:val="32"/>
      <w:szCs w:val="24"/>
      <w:lang w:val="en-US" w:eastAsia="zh-CN" w:bidi="ar-SA"/>
    </w:rPr>
  </w:style>
  <w:style w:type="paragraph" w:styleId="1269" w:customStyle="1">
    <w:name w:val="ul"/>
    <w:basedOn w:val="759"/>
    <w:uiPriority w:val="0"/>
    <w:qFormat/>
    <w:pPr>
      <w:numPr>
        <w:ilvl w:val="0"/>
        <w:numId w:val="4"/>
      </w:numPr>
      <w:ind w:left="567" w:hanging="85"/>
      <w:jc w:val="left"/>
      <w:spacing w:line="360" w:lineRule="auto"/>
      <w:widowControl/>
      <w:tabs>
        <w:tab w:val="left" w:pos="842" w:leader="none"/>
      </w:tabs>
    </w:pPr>
    <w:rPr>
      <w:rFonts w:ascii="Calibri" w:hAnsi="Calibri"/>
      <w:sz w:val="24"/>
    </w:rPr>
  </w:style>
  <w:style w:type="paragraph" w:styleId="127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72" w:customStyle="1">
    <w:name w:val="Normal_18"/>
    <w:uiPriority w:val="0"/>
    <w:qFormat/>
    <w:rPr>
      <w:rFonts w:hint="default" w:ascii="黑体" w:hAnsi="黑体" w:eastAsia="黑体" w:cs="Times New Roman"/>
      <w:b/>
      <w:sz w:val="32"/>
      <w:szCs w:val="24"/>
      <w:lang w:val="en-US" w:eastAsia="zh-CN" w:bidi="ar-SA"/>
    </w:rPr>
  </w:style>
  <w:style w:type="paragraph" w:styleId="1273" w:customStyle="1">
    <w:name w:val="xl34"/>
    <w:basedOn w:val="759"/>
    <w:uiPriority w:val="0"/>
    <w:qFormat/>
    <w:pPr>
      <w:jc w:val="center"/>
      <w:spacing w:before="100" w:beforeAutospacing="1" w:after="100" w:afterAutospacing="1"/>
      <w:widowControl/>
    </w:pPr>
    <w:rPr>
      <w:rFonts w:ascii="Arial Unicode MS" w:hAnsi="Arial Unicode MS" w:eastAsia="Arial Unicode MS"/>
      <w:sz w:val="24"/>
    </w:rPr>
  </w:style>
  <w:style w:type="paragraph" w:styleId="1274" w:customStyle="1">
    <w:name w:val="Normal_0_3"/>
    <w:uiPriority w:val="0"/>
    <w:qFormat/>
    <w:rPr>
      <w:rFonts w:hint="default" w:ascii="黑体" w:hAnsi="黑体" w:eastAsia="黑体" w:cs="Times New Roman"/>
      <w:b/>
      <w:sz w:val="32"/>
      <w:szCs w:val="24"/>
      <w:lang w:val="en-US" w:eastAsia="zh-CN" w:bidi="ar-SA"/>
    </w:rPr>
  </w:style>
  <w:style w:type="paragraph" w:styleId="127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修订1"/>
    <w:uiPriority w:val="0"/>
    <w:qFormat/>
    <w:rPr>
      <w:rFonts w:hint="default" w:ascii="Times New Roman" w:hAnsi="Times New Roman" w:eastAsia="宋体" w:cs="Times New Roman"/>
      <w:sz w:val="21"/>
      <w:szCs w:val="24"/>
      <w:lang w:val="en-US" w:eastAsia="zh-CN" w:bidi="ar-SA"/>
    </w:rPr>
  </w:style>
  <w:style w:type="paragraph" w:styleId="1277" w:customStyle="1">
    <w:name w:val="Char11"/>
    <w:basedOn w:val="759"/>
    <w:uiPriority w:val="0"/>
    <w:qFormat/>
    <w:rPr>
      <w:szCs w:val="21"/>
    </w:rPr>
  </w:style>
  <w:style w:type="paragraph" w:styleId="127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9" w:customStyle="1">
    <w:name w:val="Normal_12"/>
    <w:uiPriority w:val="0"/>
    <w:qFormat/>
    <w:rPr>
      <w:rFonts w:hint="default" w:ascii="黑体" w:hAnsi="黑体" w:eastAsia="黑体" w:cs="Times New Roman"/>
      <w:b/>
      <w:sz w:val="32"/>
      <w:szCs w:val="24"/>
      <w:lang w:val="en-US" w:eastAsia="zh-CN" w:bidi="ar-SA"/>
    </w:rPr>
  </w:style>
  <w:style w:type="paragraph" w:styleId="1280" w:customStyle="1">
    <w:name w:val="Normal_8_0"/>
    <w:uiPriority w:val="0"/>
    <w:qFormat/>
    <w:rPr>
      <w:rFonts w:hint="default" w:ascii="黑体" w:hAnsi="黑体" w:eastAsia="黑体" w:cs="Times New Roman"/>
      <w:b/>
      <w:sz w:val="32"/>
      <w:szCs w:val="24"/>
      <w:lang w:val="en-US" w:eastAsia="zh-CN" w:bidi="ar-SA"/>
    </w:rPr>
  </w:style>
  <w:style w:type="paragraph" w:styleId="1281" w:customStyle="1">
    <w:name w:val="文档正文"/>
    <w:basedOn w:val="759"/>
    <w:uiPriority w:val="0"/>
    <w:qFormat/>
    <w:rPr>
      <w:rFonts w:ascii="宋体"/>
      <w:szCs w:val="20"/>
    </w:rPr>
  </w:style>
  <w:style w:type="paragraph" w:styleId="1282" w:customStyle="1">
    <w:name w:val="技术方案正文"/>
    <w:basedOn w:val="759"/>
    <w:uiPriority w:val="0"/>
    <w:qFormat/>
    <w:pPr>
      <w:ind w:firstLine="480"/>
      <w:spacing w:line="360" w:lineRule="auto"/>
    </w:pPr>
    <w:rPr>
      <w:rFonts w:ascii="宋体"/>
      <w:sz w:val="24"/>
    </w:rPr>
  </w:style>
  <w:style w:type="paragraph" w:styleId="1283" w:customStyle="1">
    <w:name w:val="xl26"/>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4" w:customStyle="1">
    <w:name w:val="普通正文"/>
    <w:basedOn w:val="759"/>
    <w:uiPriority w:val="0"/>
    <w:qFormat/>
    <w:pPr>
      <w:ind w:firstLine="425"/>
      <w:jc w:val="left"/>
    </w:pPr>
    <w:rPr>
      <w:rFonts w:ascii="宋体"/>
      <w:sz w:val="20"/>
      <w:szCs w:val="20"/>
    </w:rPr>
  </w:style>
  <w:style w:type="paragraph" w:styleId="1285"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6" w:customStyle="1">
    <w:name w:val="Normal_0_2"/>
    <w:uiPriority w:val="0"/>
    <w:qFormat/>
    <w:rPr>
      <w:rFonts w:hint="default" w:ascii="黑体" w:hAnsi="黑体" w:eastAsia="黑体" w:cs="Times New Roman"/>
      <w:b/>
      <w:sz w:val="32"/>
      <w:szCs w:val="24"/>
      <w:lang w:val="en-US" w:eastAsia="zh-CN" w:bidi="ar-SA"/>
    </w:rPr>
  </w:style>
  <w:style w:type="paragraph" w:styleId="1287"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样式4"/>
    <w:basedOn w:val="981"/>
    <w:uiPriority w:val="0"/>
    <w:qFormat/>
    <w:pPr>
      <w:spacing w:line="415" w:lineRule="auto"/>
    </w:pPr>
    <w:rPr>
      <w:rFonts w:ascii="Calibri" w:hAnsi="Calibri"/>
      <w:bCs/>
      <w:color w:val="000000"/>
      <w:sz w:val="28"/>
      <w:szCs w:val="28"/>
    </w:rPr>
  </w:style>
  <w:style w:type="paragraph" w:styleId="1290" w:customStyle="1">
    <w:name w:val="pa-4"/>
    <w:basedOn w:val="759"/>
    <w:uiPriority w:val="0"/>
    <w:qFormat/>
    <w:pPr>
      <w:jc w:val="center"/>
      <w:spacing w:line="280" w:lineRule="atLeast"/>
      <w:widowControl/>
    </w:pPr>
    <w:rPr>
      <w:rFonts w:ascii="宋体" w:cs="宋体"/>
      <w:sz w:val="24"/>
    </w:rPr>
  </w:style>
  <w:style w:type="paragraph" w:styleId="1291" w:customStyle="1">
    <w:name w:val="Normal_1"/>
    <w:uiPriority w:val="0"/>
    <w:qFormat/>
    <w:rPr>
      <w:rFonts w:hint="default" w:ascii="黑体" w:hAnsi="黑体" w:eastAsia="黑体" w:cs="Times New Roman"/>
      <w:b/>
      <w:sz w:val="32"/>
      <w:szCs w:val="24"/>
      <w:lang w:val="en-US" w:eastAsia="zh-CN" w:bidi="ar-SA"/>
    </w:rPr>
  </w:style>
  <w:style w:type="paragraph" w:styleId="1292" w:customStyle="1">
    <w:name w:val="标书3"/>
    <w:next w:val="119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93" w:customStyle="1">
    <w:name w:val="Char2"/>
    <w:basedOn w:val="759"/>
    <w:uiPriority w:val="0"/>
    <w:qFormat/>
    <w:pPr>
      <w:tabs>
        <w:tab w:val="left" w:pos="360" w:leader="none"/>
      </w:tabs>
    </w:pPr>
    <w:rPr>
      <w:rFonts w:ascii="仿宋_GB2312" w:eastAsia="仿宋_GB2312"/>
      <w:b/>
      <w:sz w:val="24"/>
    </w:rPr>
  </w:style>
  <w:style w:type="paragraph" w:styleId="1294"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正文（首行缩进两字）"/>
    <w:basedOn w:val="759"/>
    <w:uiPriority w:val="0"/>
    <w:qFormat/>
    <w:pPr>
      <w:spacing w:line="312" w:lineRule="auto"/>
    </w:pPr>
    <w:rPr>
      <w:rFonts w:ascii="宋体" w:cs="宋体"/>
      <w:sz w:val="24"/>
    </w:rPr>
  </w:style>
  <w:style w:type="paragraph" w:styleId="129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9" w:customStyle="1">
    <w:name w:val="pa-3"/>
    <w:basedOn w:val="759"/>
    <w:uiPriority w:val="0"/>
    <w:qFormat/>
    <w:pPr>
      <w:jc w:val="left"/>
      <w:spacing w:before="150" w:after="150"/>
      <w:widowControl/>
    </w:pPr>
    <w:rPr>
      <w:rFonts w:ascii="宋体" w:cs="宋体"/>
      <w:sz w:val="24"/>
    </w:rPr>
  </w:style>
  <w:style w:type="paragraph" w:styleId="1300" w:customStyle="1">
    <w:name w:val="图号"/>
    <w:basedOn w:val="75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1" w:customStyle="1">
    <w:name w:val="Normal_10_0"/>
    <w:uiPriority w:val="0"/>
    <w:qFormat/>
    <w:rPr>
      <w:rFonts w:hint="default" w:ascii="黑体" w:hAnsi="黑体" w:eastAsia="黑体" w:cs="Times New Roman"/>
      <w:b/>
      <w:sz w:val="32"/>
      <w:szCs w:val="24"/>
      <w:lang w:val="en-US" w:eastAsia="zh-CN" w:bidi="ar-SA"/>
    </w:rPr>
  </w:style>
  <w:style w:type="paragraph" w:styleId="1302" w:customStyle="1">
    <w:name w:val="Normal_6"/>
    <w:uiPriority w:val="0"/>
    <w:qFormat/>
    <w:rPr>
      <w:rFonts w:hint="default" w:ascii="黑体" w:hAnsi="黑体" w:eastAsia="黑体" w:cs="Times New Roman"/>
      <w:b/>
      <w:sz w:val="32"/>
      <w:szCs w:val="24"/>
      <w:lang w:val="en-US" w:eastAsia="zh-CN" w:bidi="ar-SA"/>
    </w:rPr>
  </w:style>
  <w:style w:type="paragraph" w:styleId="1303" w:customStyle="1">
    <w:name w:val="Char Char Char Char"/>
    <w:basedOn w:val="759"/>
    <w:uiPriority w:val="0"/>
    <w:qFormat/>
    <w:pPr>
      <w:ind w:left="560" w:firstLine="200"/>
      <w:jc w:val="left"/>
      <w:spacing w:after="120" w:line="360" w:lineRule="auto"/>
      <w:widowControl/>
    </w:pPr>
    <w:rPr>
      <w:rFonts w:ascii="Verdana" w:hAnsi="Verdana"/>
      <w:sz w:val="24"/>
    </w:rPr>
  </w:style>
  <w:style w:type="paragraph" w:styleId="1304" w:customStyle="1">
    <w:name w:val="font9"/>
    <w:basedOn w:val="759"/>
    <w:uiPriority w:val="0"/>
    <w:qFormat/>
    <w:pPr>
      <w:jc w:val="left"/>
      <w:spacing w:before="100" w:beforeAutospacing="1" w:after="100" w:afterAutospacing="1"/>
      <w:widowControl/>
    </w:pPr>
    <w:rPr>
      <w:rFonts w:ascii="宋体"/>
      <w:color w:val="000000"/>
      <w:sz w:val="18"/>
      <w:szCs w:val="18"/>
    </w:rPr>
  </w:style>
  <w:style w:type="paragraph" w:styleId="1305" w:customStyle="1">
    <w:name w:val="Body Text First Indent 21"/>
    <w:basedOn w:val="1009"/>
    <w:uiPriority w:val="99"/>
    <w:qFormat/>
    <w:pPr>
      <w:ind w:firstLine="420"/>
    </w:pPr>
  </w:style>
  <w:style w:type="paragraph" w:styleId="1306" w:customStyle="1">
    <w:name w:val="CM17"/>
    <w:basedOn w:val="759"/>
    <w:next w:val="759"/>
    <w:uiPriority w:val="0"/>
    <w:qFormat/>
    <w:pPr>
      <w:jc w:val="left"/>
      <w:spacing w:after="273" w:line="360" w:lineRule="auto"/>
    </w:pPr>
    <w:rPr>
      <w:rFonts w:ascii="宋体"/>
      <w:sz w:val="24"/>
    </w:rPr>
  </w:style>
  <w:style w:type="paragraph" w:styleId="1307" w:customStyle="1">
    <w:name w:val="pa-0"/>
    <w:basedOn w:val="759"/>
    <w:uiPriority w:val="0"/>
    <w:qFormat/>
    <w:pPr>
      <w:ind w:firstLine="480"/>
      <w:spacing w:line="360" w:lineRule="atLeast"/>
      <w:widowControl/>
    </w:pPr>
    <w:rPr>
      <w:rFonts w:ascii="宋体" w:cs="宋体"/>
      <w:sz w:val="24"/>
    </w:rPr>
  </w:style>
  <w:style w:type="paragraph" w:styleId="130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D&amp;L"/>
    <w:basedOn w:val="1027"/>
    <w:uiPriority w:val="0"/>
    <w:qFormat/>
    <w:pPr>
      <w:spacing w:line="240" w:lineRule="atLeast"/>
      <w:pBdr>
        <w:bottom w:val="single" w:color="000000" w:sz="18" w:space="1"/>
      </w:pBdr>
    </w:pPr>
    <w:rPr>
      <w:sz w:val="24"/>
      <w:szCs w:val="20"/>
    </w:rPr>
  </w:style>
  <w:style w:type="paragraph" w:styleId="1310" w:customStyle="1">
    <w:name w:val="Normal_16"/>
    <w:uiPriority w:val="0"/>
    <w:qFormat/>
    <w:rPr>
      <w:rFonts w:hint="default" w:ascii="黑体" w:hAnsi="黑体" w:eastAsia="黑体" w:cs="Times New Roman"/>
      <w:b/>
      <w:sz w:val="32"/>
      <w:szCs w:val="24"/>
      <w:lang w:val="en-US" w:eastAsia="zh-CN" w:bidi="ar-SA"/>
    </w:rPr>
  </w:style>
  <w:style w:type="paragraph" w:styleId="1311"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2" w:customStyle="1">
    <w:name w:val="font5"/>
    <w:basedOn w:val="759"/>
    <w:uiPriority w:val="0"/>
    <w:qFormat/>
    <w:pPr>
      <w:jc w:val="left"/>
      <w:spacing w:before="100" w:beforeAutospacing="1" w:after="100" w:afterAutospacing="1"/>
      <w:widowControl/>
    </w:pPr>
    <w:rPr>
      <w:rFonts w:ascii="宋体"/>
      <w:sz w:val="18"/>
      <w:szCs w:val="18"/>
    </w:rPr>
  </w:style>
  <w:style w:type="paragraph" w:styleId="1313"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4" w:customStyle="1">
    <w:name w:val="大汉方案正文 Char"/>
    <w:basedOn w:val="759"/>
    <w:uiPriority w:val="0"/>
    <w:qFormat/>
    <w:pPr>
      <w:ind w:firstLine="200"/>
      <w:spacing w:line="360" w:lineRule="auto"/>
    </w:pPr>
    <w:rPr>
      <w:rFonts w:ascii="Arial" w:hAnsi="Arial"/>
      <w:sz w:val="24"/>
    </w:rPr>
  </w:style>
  <w:style w:type="paragraph" w:styleId="1315" w:customStyle="1">
    <w:name w:val="样式2"/>
    <w:basedOn w:val="981"/>
    <w:uiPriority w:val="0"/>
    <w:qFormat/>
    <w:pPr>
      <w:spacing w:line="415" w:lineRule="auto"/>
    </w:pPr>
    <w:rPr>
      <w:rFonts w:ascii="Calibri" w:hAnsi="Calibri"/>
      <w:bCs/>
      <w:color w:val="000000"/>
      <w:sz w:val="28"/>
      <w:szCs w:val="28"/>
    </w:rPr>
  </w:style>
  <w:style w:type="paragraph" w:styleId="1316" w:customStyle="1">
    <w:name w:val="Normal_2_0"/>
    <w:uiPriority w:val="0"/>
    <w:qFormat/>
    <w:rPr>
      <w:rFonts w:hint="default" w:ascii="黑体" w:hAnsi="黑体" w:eastAsia="黑体" w:cs="Times New Roman"/>
      <w:b/>
      <w:sz w:val="32"/>
      <w:szCs w:val="24"/>
      <w:lang w:val="en-US" w:eastAsia="zh-CN" w:bidi="ar-SA"/>
    </w:rPr>
  </w:style>
  <w:style w:type="paragraph" w:styleId="1317" w:customStyle="1">
    <w:name w:val="序号"/>
    <w:next w:val="759"/>
    <w:uiPriority w:val="0"/>
    <w:qFormat/>
    <w:pPr>
      <w:jc w:val="center"/>
    </w:pPr>
    <w:rPr>
      <w:rFonts w:hint="default" w:ascii="Times New Roman" w:hAnsi="Times New Roman" w:eastAsia="仿宋_GB2312" w:cs="Times New Roman"/>
      <w:bCs/>
      <w:sz w:val="21"/>
      <w:szCs w:val="44"/>
      <w:lang w:val="en-US" w:eastAsia="zh-CN" w:bidi="ar-SA"/>
    </w:rPr>
  </w:style>
  <w:style w:type="paragraph" w:styleId="1318" w:customStyle="1">
    <w:name w:val="Normal_4"/>
    <w:uiPriority w:val="0"/>
    <w:qFormat/>
    <w:rPr>
      <w:rFonts w:hint="default" w:ascii="黑体" w:hAnsi="黑体" w:eastAsia="黑体" w:cs="Times New Roman"/>
      <w:b/>
      <w:sz w:val="32"/>
      <w:szCs w:val="24"/>
      <w:lang w:val="en-US" w:eastAsia="zh-CN" w:bidi="ar-SA"/>
    </w:rPr>
  </w:style>
  <w:style w:type="paragraph" w:styleId="1319" w:customStyle="1">
    <w:name w:val="xl35"/>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0" w:customStyle="1">
    <w:name w:val="txt"/>
    <w:basedOn w:val="759"/>
    <w:uiPriority w:val="0"/>
    <w:qFormat/>
    <w:pPr>
      <w:jc w:val="left"/>
      <w:spacing w:before="100" w:beforeAutospacing="1" w:after="100" w:afterAutospacing="1"/>
      <w:widowControl/>
    </w:pPr>
    <w:rPr>
      <w:rFonts w:ascii="宋体" w:cs="宋体"/>
      <w:sz w:val="24"/>
    </w:rPr>
  </w:style>
  <w:style w:type="paragraph" w:styleId="1321" w:customStyle="1">
    <w:name w:val="样式5"/>
    <w:basedOn w:val="981"/>
    <w:uiPriority w:val="0"/>
    <w:qFormat/>
    <w:pPr>
      <w:spacing w:line="415" w:lineRule="auto"/>
    </w:pPr>
    <w:rPr>
      <w:rFonts w:ascii="Calibri" w:hAnsi="Calibri"/>
      <w:bCs/>
      <w:color w:val="000000"/>
      <w:sz w:val="28"/>
      <w:szCs w:val="28"/>
    </w:rPr>
  </w:style>
  <w:style w:type="paragraph" w:styleId="1322" w:customStyle="1">
    <w:name w:val="font7"/>
    <w:basedOn w:val="759"/>
    <w:uiPriority w:val="0"/>
    <w:qFormat/>
    <w:pPr>
      <w:jc w:val="left"/>
      <w:spacing w:before="100" w:beforeAutospacing="1" w:after="100" w:afterAutospacing="1"/>
      <w:widowControl/>
    </w:pPr>
    <w:rPr>
      <w:rFonts w:ascii="宋体"/>
      <w:sz w:val="20"/>
      <w:szCs w:val="20"/>
    </w:rPr>
  </w:style>
  <w:style w:type="paragraph" w:styleId="1323"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4" w:customStyle="1">
    <w:name w:val="xl37"/>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5" w:customStyle="1">
    <w:name w:val="编号"/>
    <w:basedOn w:val="759"/>
    <w:next w:val="1192"/>
    <w:uiPriority w:val="0"/>
    <w:qFormat/>
    <w:pPr>
      <w:ind w:left="420" w:right="-136" w:hanging="420"/>
      <w:widowControl/>
      <w:tabs>
        <w:tab w:val="left" w:pos="420" w:leader="none"/>
      </w:tabs>
    </w:pPr>
    <w:rPr>
      <w:rFonts w:ascii="仿宋_GB2312" w:eastAsia="仿宋_GB2312"/>
      <w:b/>
      <w:bCs/>
      <w:sz w:val="24"/>
      <w:szCs w:val="21"/>
    </w:rPr>
  </w:style>
  <w:style w:type="paragraph" w:styleId="1326" w:customStyle="1">
    <w:name w:val="TOC 标题2"/>
    <w:basedOn w:val="979"/>
    <w:next w:val="759"/>
    <w:uiPriority w:val="0"/>
    <w:qFormat/>
    <w:pPr>
      <w:spacing w:before="480" w:after="0" w:line="276" w:lineRule="auto"/>
      <w:widowControl/>
      <w:outlineLvl w:val="9"/>
    </w:pPr>
    <w:rPr>
      <w:rFonts w:ascii="Cambria" w:hAnsi="Cambria"/>
      <w:color w:val="365f91"/>
      <w:sz w:val="28"/>
    </w:rPr>
  </w:style>
  <w:style w:type="paragraph" w:styleId="1327" w:customStyle="1">
    <w:name w:val="Sourcetext bullet"/>
    <w:basedOn w:val="75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8" w:customStyle="1">
    <w:name w:val="xl40"/>
    <w:basedOn w:val="75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9" w:customStyle="1">
    <w:name w:val="font8"/>
    <w:basedOn w:val="759"/>
    <w:uiPriority w:val="0"/>
    <w:qFormat/>
    <w:pPr>
      <w:jc w:val="left"/>
      <w:spacing w:before="100" w:beforeAutospacing="1" w:after="100" w:afterAutospacing="1"/>
      <w:widowControl/>
    </w:pPr>
    <w:rPr>
      <w:rFonts w:ascii="Arial" w:hAnsi="Arial" w:cs="Arial"/>
      <w:color w:val="000000"/>
      <w:sz w:val="18"/>
      <w:szCs w:val="18"/>
    </w:rPr>
  </w:style>
  <w:style w:type="paragraph" w:styleId="1330" w:customStyle="1">
    <w:name w:val="Char Char Char Char Char Char Char Char Char Char1"/>
    <w:basedOn w:val="759"/>
    <w:uiPriority w:val="0"/>
    <w:qFormat/>
    <w:rPr>
      <w:rFonts w:ascii="Tahoma" w:hAnsi="Tahoma" w:cs="Tahoma"/>
      <w:sz w:val="24"/>
    </w:rPr>
  </w:style>
  <w:style w:type="paragraph" w:styleId="1331" w:customStyle="1">
    <w:name w:val="Char Char Char Char Char Char Char1"/>
    <w:basedOn w:val="759"/>
    <w:uiPriority w:val="0"/>
    <w:qFormat/>
    <w:pPr>
      <w:jc w:val="left"/>
      <w:spacing w:after="160" w:line="240" w:lineRule="exact"/>
      <w:widowControl/>
    </w:pPr>
    <w:rPr>
      <w:rFonts w:ascii="Verdana" w:hAnsi="Verdana"/>
      <w:sz w:val="20"/>
      <w:szCs w:val="20"/>
      <w:lang w:eastAsia="en-US"/>
    </w:rPr>
  </w:style>
  <w:style w:type="paragraph" w:styleId="1332" w:customStyle="1">
    <w:name w:val="xl31"/>
    <w:basedOn w:val="75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3"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4" w:customStyle="1">
    <w:name w:val="Normal_11"/>
    <w:uiPriority w:val="0"/>
    <w:qFormat/>
    <w:rPr>
      <w:rFonts w:hint="default" w:ascii="黑体" w:hAnsi="黑体" w:eastAsia="黑体" w:cs="Times New Roman"/>
      <w:b/>
      <w:sz w:val="32"/>
      <w:szCs w:val="24"/>
      <w:lang w:val="en-US" w:eastAsia="zh-CN" w:bidi="ar-SA"/>
    </w:rPr>
  </w:style>
  <w:style w:type="paragraph" w:styleId="1335" w:customStyle="1">
    <w:name w:val="Char12"/>
    <w:basedOn w:val="759"/>
    <w:uiPriority w:val="0"/>
    <w:qFormat/>
    <w:pPr>
      <w:ind w:left="360" w:right="202" w:firstLine="360"/>
      <w:spacing w:line="480" w:lineRule="auto"/>
      <w:tabs>
        <w:tab w:val="left" w:pos="360" w:leader="none"/>
      </w:tabs>
    </w:pPr>
    <w:rPr>
      <w:sz w:val="24"/>
    </w:rPr>
  </w:style>
  <w:style w:type="paragraph" w:styleId="133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7" w:customStyle="1">
    <w:name w:val="xl30"/>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8"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9" w:customStyle="1">
    <w:name w:val="style42"/>
    <w:basedOn w:val="759"/>
    <w:uiPriority w:val="0"/>
    <w:qFormat/>
    <w:pPr>
      <w:jc w:val="left"/>
      <w:spacing w:before="100" w:beforeAutospacing="1" w:after="100" w:afterAutospacing="1"/>
      <w:widowControl/>
    </w:pPr>
    <w:rPr>
      <w:rFonts w:ascii="宋体" w:cs="宋体"/>
      <w:color w:val="000000"/>
      <w:sz w:val="15"/>
      <w:szCs w:val="15"/>
    </w:rPr>
  </w:style>
  <w:style w:type="paragraph" w:styleId="1340" w:customStyle="1">
    <w:name w:val="样式 标题 2 + Times New Roman 四号 非加粗 段前: 5 磅 段后: 0 磅 行距: 固定值 20..."/>
    <w:basedOn w:val="980"/>
    <w:uiPriority w:val="0"/>
    <w:qFormat/>
    <w:pPr>
      <w:spacing w:before="100" w:after="0" w:line="400" w:lineRule="exact"/>
    </w:pPr>
    <w:rPr>
      <w:rFonts w:ascii="Times New Roman" w:hAnsi="Times New Roman" w:cs="宋体"/>
      <w:b w:val="0"/>
      <w:sz w:val="28"/>
    </w:rPr>
  </w:style>
  <w:style w:type="paragraph" w:styleId="1341" w:customStyle="1">
    <w:name w:val="font6"/>
    <w:basedOn w:val="759"/>
    <w:uiPriority w:val="0"/>
    <w:qFormat/>
    <w:pPr>
      <w:jc w:val="left"/>
      <w:spacing w:before="100" w:beforeAutospacing="1" w:after="100" w:afterAutospacing="1"/>
      <w:widowControl/>
    </w:pPr>
    <w:rPr>
      <w:sz w:val="20"/>
      <w:szCs w:val="20"/>
    </w:rPr>
  </w:style>
  <w:style w:type="paragraph" w:styleId="1342" w:customStyle="1">
    <w:name w:val="样式 正文首行缩进 + 宋体 首行缩进:  0.74 厘米"/>
    <w:basedOn w:val="1048"/>
    <w:uiPriority w:val="0"/>
    <w:qFormat/>
    <w:pPr>
      <w:ind w:firstLine="210"/>
      <w:spacing w:before="120" w:after="0" w:line="380" w:lineRule="exact"/>
    </w:pPr>
    <w:rPr>
      <w:rFonts w:ascii="宋体" w:cs="宋体"/>
      <w:sz w:val="24"/>
      <w:szCs w:val="20"/>
    </w:rPr>
  </w:style>
  <w:style w:type="paragraph" w:styleId="1343"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4" w:customStyle="1">
    <w:name w:val="Normal_17_0"/>
    <w:uiPriority w:val="0"/>
    <w:qFormat/>
    <w:rPr>
      <w:rFonts w:hint="default" w:ascii="黑体" w:hAnsi="黑体" w:eastAsia="黑体" w:cs="Times New Roman"/>
      <w:b/>
      <w:sz w:val="32"/>
      <w:szCs w:val="24"/>
      <w:lang w:val="en-US" w:eastAsia="zh-CN" w:bidi="ar-SA"/>
    </w:rPr>
  </w:style>
  <w:style w:type="paragraph" w:styleId="1345" w:customStyle="1">
    <w:name w:val="Char Char Char Char Char Char Char Char Char Char2"/>
    <w:basedOn w:val="759"/>
    <w:uiPriority w:val="0"/>
    <w:qFormat/>
    <w:rPr>
      <w:rFonts w:ascii="Tahoma" w:hAnsi="Tahoma"/>
      <w:sz w:val="24"/>
      <w:szCs w:val="20"/>
    </w:rPr>
  </w:style>
  <w:style w:type="paragraph" w:styleId="134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8" w:customStyle="1">
    <w:name w:val="Char Char Char Char Char Char Char1 Char"/>
    <w:basedOn w:val="759"/>
    <w:uiPriority w:val="0"/>
    <w:qFormat/>
    <w:rPr>
      <w:rFonts w:ascii="Tahoma" w:hAnsi="Tahoma"/>
      <w:sz w:val="24"/>
      <w:szCs w:val="20"/>
    </w:rPr>
  </w:style>
  <w:style w:type="paragraph" w:styleId="1349" w:customStyle="1">
    <w:name w:val="Char Char1 Char Char Char Char Char Char"/>
    <w:basedOn w:val="759"/>
    <w:uiPriority w:val="0"/>
    <w:qFormat/>
    <w:pPr>
      <w:jc w:val="center"/>
      <w:widowControl/>
    </w:pPr>
    <w:rPr>
      <w:szCs w:val="20"/>
    </w:rPr>
  </w:style>
  <w:style w:type="paragraph" w:styleId="1350" w:customStyle="1">
    <w:name w:val="Normal Paragraph Char"/>
    <w:basedOn w:val="759"/>
    <w:uiPriority w:val="0"/>
    <w:qFormat/>
    <w:pPr>
      <w:ind w:firstLine="425"/>
      <w:spacing w:before="120" w:line="360" w:lineRule="auto"/>
      <w:widowControl/>
    </w:pPr>
    <w:rPr>
      <w:rFonts w:ascii="Calibri" w:hAnsi="Calibri"/>
      <w:sz w:val="24"/>
    </w:rPr>
  </w:style>
  <w:style w:type="paragraph" w:styleId="1351" w:customStyle="1">
    <w:name w:val="Char Char Char Char Char Char Char Char Char Char Char Char Char1"/>
    <w:basedOn w:val="759"/>
    <w:uiPriority w:val="0"/>
    <w:qFormat/>
    <w:pPr>
      <w:jc w:val="left"/>
      <w:spacing w:after="160" w:line="240" w:lineRule="exact"/>
      <w:widowControl/>
    </w:pPr>
    <w:rPr>
      <w:rFonts w:ascii="Arial" w:hAnsi="Arial" w:eastAsia="Times New Roman" w:cs="Verdana"/>
      <w:b/>
      <w:sz w:val="24"/>
      <w:szCs w:val="32"/>
      <w:lang w:eastAsia="en-US"/>
    </w:rPr>
  </w:style>
  <w:style w:type="paragraph" w:styleId="1352" w:customStyle="1">
    <w:name w:val="默认段落字体 Para Char"/>
    <w:basedOn w:val="759"/>
    <w:uiPriority w:val="0"/>
    <w:qFormat/>
    <w:rPr>
      <w:rFonts w:ascii="宋体"/>
      <w:b/>
      <w:sz w:val="28"/>
      <w:szCs w:val="28"/>
    </w:rPr>
  </w:style>
  <w:style w:type="paragraph" w:styleId="13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5" w:customStyle="1">
    <w:name w:val="Char Char Char1"/>
    <w:basedOn w:val="759"/>
    <w:uiPriority w:val="0"/>
    <w:qFormat/>
    <w:rPr>
      <w:rFonts w:ascii="Tahoma" w:hAnsi="Tahoma"/>
      <w:sz w:val="24"/>
      <w:szCs w:val="20"/>
    </w:rPr>
  </w:style>
  <w:style w:type="paragraph" w:styleId="135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7" w:customStyle="1">
    <w:name w:val="xl33"/>
    <w:basedOn w:val="75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8" w:customStyle="1">
    <w:name w:val="表格"/>
    <w:basedOn w:val="759"/>
    <w:uiPriority w:val="0"/>
    <w:qFormat/>
    <w:pPr>
      <w:ind w:firstLine="21"/>
    </w:pPr>
    <w:rPr>
      <w:rFonts w:ascii="宋体"/>
      <w:szCs w:val="20"/>
    </w:rPr>
  </w:style>
  <w:style w:type="paragraph" w:styleId="1359"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2" w:customStyle="1">
    <w:name w:val="xl39"/>
    <w:basedOn w:val="7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3" w:customStyle="1">
    <w:name w:val="项目"/>
    <w:basedOn w:val="759"/>
    <w:uiPriority w:val="0"/>
    <w:qFormat/>
    <w:pPr>
      <w:ind w:left="840" w:hanging="420"/>
      <w:spacing w:before="60" w:after="60" w:line="360" w:lineRule="auto"/>
      <w:tabs>
        <w:tab w:val="left" w:pos="840" w:leader="none"/>
      </w:tabs>
    </w:pPr>
    <w:rPr>
      <w:rFonts w:ascii="宋体"/>
      <w:szCs w:val="20"/>
    </w:rPr>
  </w:style>
  <w:style w:type="paragraph" w:styleId="136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5" w:customStyle="1">
    <w:name w:val="Bullet"/>
    <w:basedOn w:val="75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6" w:customStyle="1">
    <w:name w:val="保密事宜内容"/>
    <w:basedOn w:val="75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7"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8" w:customStyle="1">
    <w:name w:val="规范正文"/>
    <w:basedOn w:val="759"/>
    <w:uiPriority w:val="0"/>
    <w:qFormat/>
    <w:pPr>
      <w:ind w:left="480"/>
      <w:spacing w:line="360" w:lineRule="auto"/>
    </w:pPr>
    <w:rPr>
      <w:sz w:val="24"/>
      <w:szCs w:val="20"/>
    </w:rPr>
  </w:style>
  <w:style w:type="paragraph" w:styleId="136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70"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1"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7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3"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4" w:customStyle="1">
    <w:name w:val="特点"/>
    <w:basedOn w:val="759"/>
    <w:next w:val="759"/>
    <w:uiPriority w:val="0"/>
    <w:qFormat/>
    <w:pPr>
      <w:jc w:val="center"/>
      <w:spacing w:line="360" w:lineRule="auto"/>
    </w:pPr>
    <w:rPr>
      <w:rFonts w:ascii="Arial" w:hAnsi="Arial"/>
      <w:sz w:val="24"/>
      <w:szCs w:val="20"/>
    </w:rPr>
  </w:style>
  <w:style w:type="paragraph" w:styleId="1375" w:customStyle="1">
    <w:name w:val="正文小四"/>
    <w:basedOn w:val="759"/>
    <w:uiPriority w:val="0"/>
    <w:qFormat/>
    <w:pPr>
      <w:spacing w:line="312" w:lineRule="auto"/>
    </w:pPr>
    <w:rPr>
      <w:rFonts w:ascii="Calibri" w:hAnsi="Calibri"/>
      <w:sz w:val="24"/>
    </w:rPr>
  </w:style>
  <w:style w:type="paragraph" w:styleId="1376" w:customStyle="1">
    <w:name w:val="Normal_15_0"/>
    <w:uiPriority w:val="0"/>
    <w:qFormat/>
    <w:rPr>
      <w:rFonts w:hint="default" w:ascii="黑体" w:hAnsi="黑体" w:eastAsia="黑体" w:cs="Times New Roman"/>
      <w:b/>
      <w:sz w:val="32"/>
      <w:szCs w:val="24"/>
      <w:lang w:val="en-US" w:eastAsia="zh-CN" w:bidi="ar-SA"/>
    </w:rPr>
  </w:style>
  <w:style w:type="paragraph" w:styleId="1377" w:customStyle="1">
    <w:name w:val="tabletext"/>
    <w:basedOn w:val="759"/>
    <w:uiPriority w:val="0"/>
    <w:qFormat/>
    <w:pPr>
      <w:jc w:val="left"/>
      <w:spacing w:before="100" w:beforeAutospacing="1" w:after="100" w:afterAutospacing="1"/>
      <w:widowControl/>
    </w:pPr>
    <w:rPr>
      <w:rFonts w:ascii="宋体"/>
      <w:sz w:val="24"/>
    </w:rPr>
  </w:style>
  <w:style w:type="paragraph" w:styleId="1378" w:customStyle="1">
    <w:name w:val="表内容"/>
    <w:basedOn w:val="1208"/>
    <w:uiPriority w:val="0"/>
    <w:qFormat/>
    <w:pPr>
      <w:ind w:left="0" w:firstLine="0"/>
      <w:spacing w:line="320" w:lineRule="exact"/>
    </w:pPr>
    <w:rPr>
      <w:sz w:val="20"/>
    </w:rPr>
  </w:style>
  <w:style w:type="paragraph" w:styleId="1379" w:customStyle="1">
    <w:name w:val="Char13"/>
    <w:basedOn w:val="759"/>
    <w:uiPriority w:val="0"/>
    <w:qFormat/>
  </w:style>
  <w:style w:type="paragraph" w:styleId="1380" w:customStyle="1">
    <w:name w:val="我的样式"/>
    <w:basedOn w:val="759"/>
    <w:uiPriority w:val="0"/>
    <w:qFormat/>
    <w:pPr>
      <w:ind w:firstLine="420"/>
      <w:jc w:val="left"/>
      <w:spacing w:after="120"/>
      <w:widowControl/>
    </w:pPr>
    <w:rPr>
      <w:rFonts w:ascii="宋体"/>
      <w:color w:val="000000"/>
      <w:sz w:val="24"/>
      <w:szCs w:val="16"/>
    </w:rPr>
  </w:style>
  <w:style w:type="paragraph" w:styleId="1381"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2" w:customStyle="1">
    <w:name w:val="编号1"/>
    <w:next w:val="119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83" w:customStyle="1">
    <w:name w:val="Normal_0"/>
    <w:uiPriority w:val="0"/>
    <w:qFormat/>
    <w:rPr>
      <w:rFonts w:hint="default" w:ascii="黑体" w:hAnsi="黑体" w:eastAsia="黑体" w:cs="Times New Roman"/>
      <w:b/>
      <w:sz w:val="32"/>
      <w:szCs w:val="24"/>
      <w:lang w:val="en-US" w:eastAsia="zh-CN" w:bidi="ar-SA"/>
    </w:rPr>
  </w:style>
  <w:style w:type="paragraph" w:styleId="1384" w:customStyle="1">
    <w:name w:val="首页单位日期"/>
    <w:basedOn w:val="759"/>
    <w:uiPriority w:val="0"/>
    <w:qFormat/>
    <w:pPr>
      <w:jc w:val="center"/>
      <w:widowControl/>
    </w:pPr>
    <w:rPr>
      <w:rFonts w:ascii="宋体" w:cs="宋体"/>
      <w:bCs/>
      <w:sz w:val="28"/>
      <w:szCs w:val="20"/>
    </w:rPr>
  </w:style>
  <w:style w:type="paragraph" w:styleId="1385" w:customStyle="1">
    <w:name w:val="Normal Paragraph"/>
    <w:basedOn w:val="759"/>
    <w:uiPriority w:val="0"/>
    <w:qFormat/>
    <w:pPr>
      <w:ind w:firstLine="425"/>
      <w:spacing w:before="120" w:line="360" w:lineRule="auto"/>
      <w:widowControl/>
    </w:pPr>
    <w:rPr>
      <w:rFonts w:ascii="Calibri" w:hAnsi="Calibri"/>
      <w:sz w:val="24"/>
      <w:szCs w:val="20"/>
    </w:rPr>
  </w:style>
  <w:style w:type="paragraph" w:styleId="1386" w:customStyle="1">
    <w:name w:val="xl36"/>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7" w:customStyle="1">
    <w:name w:val="È±Ê¡ÎÄ±¾"/>
    <w:basedOn w:val="759"/>
    <w:uiPriority w:val="0"/>
    <w:qFormat/>
    <w:pPr>
      <w:jc w:val="left"/>
      <w:spacing w:line="360" w:lineRule="auto"/>
      <w:widowControl/>
    </w:pPr>
    <w:rPr>
      <w:sz w:val="24"/>
      <w:szCs w:val="20"/>
    </w:rPr>
  </w:style>
  <w:style w:type="paragraph" w:styleId="1388" w:customStyle="1">
    <w:name w:val="Char Char Char Char Char Char Char Char Char Char3"/>
    <w:basedOn w:val="759"/>
    <w:uiPriority w:val="0"/>
    <w:qFormat/>
    <w:rPr>
      <w:rFonts w:ascii="Tahoma" w:hAnsi="Tahoma"/>
      <w:sz w:val="24"/>
      <w:szCs w:val="20"/>
    </w:rPr>
  </w:style>
  <w:style w:type="paragraph" w:styleId="1389" w:customStyle="1">
    <w:name w:val="a1"/>
    <w:basedOn w:val="759"/>
    <w:uiPriority w:val="0"/>
    <w:qFormat/>
    <w:pPr>
      <w:jc w:val="left"/>
      <w:spacing w:before="100" w:beforeAutospacing="1" w:after="100" w:afterAutospacing="1"/>
      <w:widowControl/>
    </w:pPr>
    <w:rPr>
      <w:rFonts w:ascii="宋体"/>
      <w:sz w:val="24"/>
    </w:rPr>
  </w:style>
  <w:style w:type="paragraph" w:styleId="1390"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1"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2" w:customStyle="1">
    <w:name w:val="xl27"/>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3" w:customStyle="1">
    <w:name w:val="正文段"/>
    <w:basedOn w:val="759"/>
    <w:uiPriority w:val="0"/>
    <w:qFormat/>
    <w:pPr>
      <w:ind w:firstLine="425"/>
      <w:spacing w:after="240" w:line="240" w:lineRule="atLeast"/>
      <w:widowControl/>
    </w:pPr>
    <w:rPr>
      <w:sz w:val="24"/>
      <w:szCs w:val="20"/>
    </w:rPr>
  </w:style>
  <w:style w:type="paragraph" w:styleId="1394" w:customStyle="1">
    <w:name w:val="Normal_16_0"/>
    <w:uiPriority w:val="0"/>
    <w:qFormat/>
    <w:rPr>
      <w:rFonts w:hint="default" w:ascii="黑体" w:hAnsi="黑体" w:eastAsia="黑体" w:cs="Times New Roman"/>
      <w:b/>
      <w:sz w:val="32"/>
      <w:szCs w:val="24"/>
      <w:lang w:val="en-US" w:eastAsia="zh-CN" w:bidi="ar-SA"/>
    </w:rPr>
  </w:style>
  <w:style w:type="paragraph" w:styleId="1395" w:customStyle="1">
    <w:name w:val="Normal_17"/>
    <w:uiPriority w:val="0"/>
    <w:qFormat/>
    <w:rPr>
      <w:rFonts w:hint="default" w:ascii="黑体" w:hAnsi="黑体" w:eastAsia="黑体" w:cs="Times New Roman"/>
      <w:b/>
      <w:sz w:val="32"/>
      <w:szCs w:val="24"/>
      <w:lang w:val="en-US" w:eastAsia="zh-CN" w:bidi="ar-SA"/>
    </w:rPr>
  </w:style>
  <w:style w:type="paragraph" w:styleId="1396" w:customStyle="1">
    <w:name w:val="xl42"/>
    <w:basedOn w:val="7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7" w:customStyle="1">
    <w:name w:val="列出段落[858D7CFB-ED40-4347-BF05-701D383B685F][858D7CFB-ED40-4347-BF05-701D383B685F]"/>
    <w:basedOn w:val="759"/>
    <w:uiPriority w:val="0"/>
    <w:qFormat/>
    <w:pPr>
      <w:ind w:firstLine="200"/>
    </w:pPr>
    <w:rPr>
      <w:rFonts w:ascii="Calibri" w:hAnsi="Calibri"/>
    </w:rPr>
  </w:style>
  <w:style w:type="paragraph" w:styleId="1398" w:customStyle="1">
    <w:name w:val="缺省文本"/>
    <w:basedOn w:val="759"/>
    <w:uiPriority w:val="0"/>
    <w:qFormat/>
    <w:pPr>
      <w:jc w:val="left"/>
    </w:pPr>
    <w:rPr>
      <w:sz w:val="24"/>
      <w:szCs w:val="20"/>
    </w:rPr>
  </w:style>
  <w:style w:type="paragraph" w:styleId="1399" w:customStyle="1">
    <w:name w:val="Normal_13"/>
    <w:uiPriority w:val="0"/>
    <w:qFormat/>
    <w:rPr>
      <w:rFonts w:hint="default" w:ascii="黑体" w:hAnsi="黑体" w:eastAsia="黑体" w:cs="Times New Roman"/>
      <w:b/>
      <w:sz w:val="32"/>
      <w:szCs w:val="24"/>
      <w:lang w:val="en-US" w:eastAsia="zh-CN" w:bidi="ar-SA"/>
    </w:rPr>
  </w:style>
  <w:style w:type="paragraph" w:styleId="140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401" w:customStyle="1">
    <w:name w:val="FA正文+标号"/>
    <w:basedOn w:val="75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2" w:customStyle="1">
    <w:name w:val="附图居中"/>
    <w:basedOn w:val="759"/>
    <w:next w:val="1235"/>
    <w:uiPriority w:val="0"/>
    <w:qFormat/>
    <w:pPr>
      <w:ind w:left="1271" w:hanging="420"/>
      <w:jc w:val="center"/>
      <w:keepNext/>
      <w:spacing w:line="360" w:lineRule="auto"/>
      <w:tabs>
        <w:tab w:val="left" w:pos="0" w:leader="none"/>
      </w:tabs>
    </w:pPr>
    <w:rPr>
      <w:caps/>
      <w:sz w:val="24"/>
    </w:rPr>
  </w:style>
  <w:style w:type="paragraph" w:styleId="140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4" w:customStyle="1">
    <w:name w:val="正文 + 宋体"/>
    <w:basedOn w:val="759"/>
    <w:uiPriority w:val="0"/>
    <w:qFormat/>
    <w:pPr>
      <w:ind w:firstLine="250"/>
    </w:pPr>
    <w:rPr>
      <w:rFonts w:ascii="宋体"/>
      <w:szCs w:val="21"/>
    </w:rPr>
  </w:style>
  <w:style w:type="paragraph" w:styleId="1405" w:customStyle="1">
    <w:name w:val="Normal_5"/>
    <w:uiPriority w:val="0"/>
    <w:qFormat/>
    <w:rPr>
      <w:rFonts w:hint="default" w:ascii="黑体" w:hAnsi="黑体" w:eastAsia="黑体" w:cs="Times New Roman"/>
      <w:b/>
      <w:sz w:val="32"/>
      <w:szCs w:val="24"/>
      <w:lang w:val="en-US" w:eastAsia="zh-CN" w:bidi="ar-SA"/>
    </w:rPr>
  </w:style>
  <w:style w:type="paragraph" w:styleId="1406" w:customStyle="1">
    <w:name w:val="Normal_13_0"/>
    <w:uiPriority w:val="0"/>
    <w:qFormat/>
    <w:rPr>
      <w:rFonts w:hint="default" w:ascii="黑体" w:hAnsi="黑体" w:eastAsia="黑体" w:cs="Times New Roman"/>
      <w:b/>
      <w:sz w:val="32"/>
      <w:szCs w:val="24"/>
      <w:lang w:val="en-US" w:eastAsia="zh-CN" w:bidi="ar-SA"/>
    </w:rPr>
  </w:style>
  <w:style w:type="paragraph" w:styleId="1407" w:customStyle="1">
    <w:name w:val="Normal_14"/>
    <w:uiPriority w:val="0"/>
    <w:qFormat/>
    <w:rPr>
      <w:rFonts w:hint="default" w:ascii="黑体" w:hAnsi="黑体" w:eastAsia="黑体" w:cs="Times New Roman"/>
      <w:b/>
      <w:sz w:val="32"/>
      <w:szCs w:val="24"/>
      <w:lang w:val="en-US" w:eastAsia="zh-CN" w:bidi="ar-SA"/>
    </w:rPr>
  </w:style>
  <w:style w:type="paragraph" w:styleId="140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9"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0" w:customStyle="1">
    <w:name w:val="Normal_3_0"/>
    <w:uiPriority w:val="0"/>
    <w:qFormat/>
    <w:rPr>
      <w:rFonts w:hint="default" w:ascii="黑体" w:hAnsi="黑体" w:eastAsia="黑体" w:cs="Times New Roman"/>
      <w:b/>
      <w:sz w:val="32"/>
      <w:szCs w:val="24"/>
      <w:lang w:val="en-US" w:eastAsia="zh-CN" w:bidi="ar-SA"/>
    </w:rPr>
  </w:style>
  <w:style w:type="paragraph" w:styleId="1411" w:customStyle="1">
    <w:name w:val="保密事宜格式"/>
    <w:basedOn w:val="99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2" w:customStyle="1">
    <w:name w:val="样式 正文缩进 + (中文) 仿宋_GB2312 小四 Char"/>
    <w:basedOn w:val="998"/>
    <w:uiPriority w:val="0"/>
    <w:qFormat/>
    <w:pPr>
      <w:ind w:firstLine="200"/>
      <w:spacing w:line="360" w:lineRule="auto"/>
    </w:pPr>
    <w:rPr>
      <w:szCs w:val="24"/>
    </w:rPr>
  </w:style>
  <w:style w:type="paragraph" w:styleId="1413" w:customStyle="1">
    <w:name w:val="默认段落字体 Para Char Char Char Char Char Char Char Char Char Char Char Char Char Char"/>
    <w:basedOn w:val="1003"/>
    <w:uiPriority w:val="0"/>
    <w:qFormat/>
    <w:rPr>
      <w:rFonts w:ascii="Tahoma" w:hAnsi="Tahoma"/>
      <w:sz w:val="24"/>
    </w:rPr>
  </w:style>
  <w:style w:type="character" w:styleId="1414" w:customStyle="1">
    <w:name w:val="font71"/>
    <w:uiPriority w:val="0"/>
    <w:qFormat/>
    <w:rPr>
      <w:rFonts w:hint="eastAsia" w:ascii="宋体" w:hAnsi="宋体" w:eastAsia="宋体" w:cs="宋体"/>
      <w:color w:val="ff0000"/>
      <w:sz w:val="24"/>
      <w:szCs w:val="24"/>
      <w:u w:val="none"/>
    </w:rPr>
  </w:style>
  <w:style w:type="paragraph" w:styleId="1415" w:customStyle="1">
    <w:name w:val="正文缩进1"/>
    <w:basedOn w:val="759"/>
    <w:uiPriority w:val="0"/>
    <w:qFormat/>
    <w:pPr>
      <w:ind w:firstLine="420"/>
    </w:pPr>
    <w:rPr>
      <w:szCs w:val="20"/>
    </w:rPr>
  </w:style>
  <w:style w:type="character" w:styleId="1416" w:customStyle="1">
    <w:name w:val="占位符文本1"/>
    <w:uiPriority w:val="99"/>
    <w:qFormat/>
    <w:rPr>
      <w:color w:val="808080"/>
    </w:rPr>
  </w:style>
  <w:style w:type="paragraph" w:styleId="1417" w:customStyle="1">
    <w:name w:val="B2"/>
    <w:basedOn w:val="759"/>
    <w:uiPriority w:val="0"/>
    <w:qFormat/>
    <w:pPr>
      <w:numPr>
        <w:ilvl w:val="1"/>
        <w:numId w:val="5"/>
      </w:numPr>
      <w:tabs>
        <w:tab w:val="left" w:pos="1418" w:leader="none"/>
      </w:tabs>
      <w:outlineLvl w:val="1"/>
    </w:pPr>
    <w:rPr>
      <w:rFonts w:ascii="Arial Narrow" w:hAnsi="Arial Narrow" w:eastAsia="仿宋"/>
      <w:sz w:val="24"/>
      <w:szCs w:val="24"/>
    </w:rPr>
  </w:style>
  <w:style w:type="paragraph" w:styleId="1418" w:customStyle="1">
    <w:name w:val="B1"/>
    <w:basedOn w:val="759"/>
    <w:uiPriority w:val="0"/>
    <w:qFormat/>
    <w:pPr>
      <w:numPr>
        <w:ilvl w:val="0"/>
        <w:numId w:val="5"/>
      </w:numPr>
      <w:jc w:val="left"/>
      <w:tabs>
        <w:tab w:val="left" w:pos="1418" w:leader="none"/>
      </w:tabs>
      <w:outlineLvl w:val="0"/>
    </w:pPr>
    <w:rPr>
      <w:rFonts w:ascii="Arial Narrow" w:hAnsi="Arial Narrow" w:eastAsia="仿宋"/>
      <w:b/>
      <w:sz w:val="28"/>
      <w:szCs w:val="24"/>
    </w:rPr>
  </w:style>
  <w:style w:type="paragraph" w:styleId="1419" w:customStyle="1">
    <w:name w:val="正文文本11"/>
    <w:basedOn w:val="759"/>
    <w:next w:val="759"/>
    <w:uiPriority w:val="0"/>
    <w:qFormat/>
    <w:rPr>
      <w:rFonts w:ascii="楷体_GB2312" w:hAnsi="Arial" w:eastAsia="楷体_GB2312"/>
      <w:sz w:val="28"/>
      <w:szCs w:val="28"/>
    </w:rPr>
  </w:style>
  <w:style w:type="paragraph" w:styleId="1420" w:customStyle="1">
    <w:name w:val="Table Text"/>
    <w:basedOn w:val="759"/>
    <w:uiPriority w:val="0"/>
    <w:semiHidden/>
    <w:qFormat/>
    <w:rPr>
      <w:rFonts w:ascii="宋体" w:hAnsi="宋体" w:cs="宋体"/>
      <w:sz w:val="17"/>
      <w:szCs w:val="17"/>
      <w:lang w:eastAsia="en-US"/>
    </w:rPr>
  </w:style>
  <w:style w:type="table" w:styleId="1421" w:customStyle="1">
    <w:name w:val="Table Normal"/>
    <w:uiPriority w:val="0"/>
    <w:unhideWhenUsed/>
    <w:qFormat/>
    <w:tblPr>
      <w:tblCellMar>
        <w:left w:w="0" w:type="dxa"/>
        <w:top w:w="0" w:type="dxa"/>
        <w:right w:w="0" w:type="dxa"/>
        <w:bottom w:w="0" w:type="dxa"/>
      </w:tblCellMar>
    </w:tblPr>
  </w:style>
  <w:style w:type="character" w:styleId="1422" w:customStyle="1">
    <w:name w:val="mark"/>
    <w:uiPriority w:val="0"/>
    <w:qFormat/>
    <w:rPr>
      <w:rFonts w:ascii="Times New Roman" w:hAnsi="Times New Roman" w:eastAsia="宋体" w:cs="Times New Roman"/>
    </w:rPr>
  </w:style>
  <w:style w:type="paragraph" w:styleId="1423" w:customStyle="1">
    <w:name w:val="标题 311"/>
    <w:basedOn w:val="759"/>
    <w:next w:val="759"/>
    <w:uiPriority w:val="0"/>
    <w:qFormat/>
    <w:pPr>
      <w:keepLines/>
      <w:keepNext/>
      <w:spacing w:before="260" w:after="260" w:line="416" w:lineRule="auto"/>
      <w:outlineLvl w:val="2"/>
    </w:pPr>
    <w:rPr>
      <w:b/>
      <w:sz w:val="32"/>
      <w:szCs w:val="20"/>
    </w:rPr>
  </w:style>
  <w:style w:type="paragraph" w:styleId="1424" w:customStyle="1">
    <w:name w:val="修订2"/>
    <w:hidden/>
    <w:uiPriority w:val="99"/>
    <w:unhideWhenUsed/>
    <w:qFormat/>
    <w:rPr>
      <w:rFonts w:hint="default" w:ascii="Times New Roman" w:hAnsi="Times New Roman" w:eastAsia="宋体" w:cs="Times New Roman"/>
      <w:sz w:val="21"/>
      <w:szCs w:val="22"/>
      <w:lang w:val="en-US" w:eastAsia="zh-CN" w:bidi="ar-SA"/>
    </w:rPr>
  </w:style>
  <w:style w:type="paragraph" w:styleId="1425" w:customStyle="1">
    <w:name w:val="列表段落"/>
    <w:basedOn w:val="759"/>
    <w:uiPriority w:val="0"/>
    <w:qFormat/>
    <w:pPr>
      <w:ind w:firstLine="420"/>
    </w:pPr>
  </w:style>
  <w:style w:type="paragraph" w:styleId="1426" w:customStyle="1">
    <w:name w:val="首行缩进"/>
    <w:basedOn w:val="759"/>
    <w:uiPriority w:val="0"/>
    <w:qFormat/>
    <w:pPr>
      <w:ind w:firstLine="442"/>
      <w:jc w:val="left"/>
    </w:pPr>
    <w:rPr>
      <w:rFonts w:ascii="宋体" w:hAnsi="宋体"/>
      <w:b/>
      <w:sz w:val="22"/>
    </w:rPr>
  </w:style>
  <w:style w:type="paragraph" w:styleId="1427" w:customStyle="1">
    <w:name w:val="Other|1"/>
    <w:basedOn w:val="759"/>
    <w:uiPriority w:val="0"/>
    <w:qFormat/>
    <w:rPr>
      <w:rFonts w:ascii="宋体" w:hAnsi="宋体" w:cs="宋体"/>
      <w:lang w:val="zh-TW" w:eastAsia="zh-TW" w:bidi="zh-TW"/>
    </w:rPr>
  </w:style>
  <w:style w:type="character" w:styleId="1428" w:customStyle="1">
    <w:name w:val="font61"/>
    <w:basedOn w:val="769"/>
    <w:uiPriority w:val="0"/>
    <w:qFormat/>
    <w:rPr>
      <w:rFonts w:ascii="Arial" w:hAnsi="Arial" w:cs="Arial"/>
      <w:color w:val="000000"/>
      <w:sz w:val="21"/>
      <w:szCs w:val="21"/>
      <w:u w:val="none"/>
    </w:rPr>
  </w:style>
  <w:style w:type="paragraph" w:styleId="1429" w:customStyle="1">
    <w:name w:val="List Paragraph2"/>
    <w:basedOn w:val="759"/>
    <w:uiPriority w:val="34"/>
    <w:qFormat/>
    <w:pPr>
      <w:ind w:firstLine="420"/>
    </w:pPr>
    <w:rPr>
      <w:rFonts w:ascii="Calibri" w:hAnsi="Calibri" w:eastAsia="微软雅黑"/>
    </w:rPr>
  </w:style>
  <w:style w:type="paragraph" w:styleId="1430" w:customStyle="1">
    <w:name w:val="彩色列表1"/>
    <w:basedOn w:val="759"/>
    <w:uiPriority w:val="0"/>
    <w:qFormat/>
    <w:pPr>
      <w:ind w:firstLine="420"/>
    </w:pPr>
  </w:style>
  <w:style w:type="character" w:styleId="1431" w:customStyle="1">
    <w:name w:val="NormalCharacter"/>
    <w:uiPriority w:val="0"/>
    <w:qFormat/>
  </w:style>
  <w:style w:type="numbering" w:styleId="13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8257760-2026-4868-A9DF-650F0C10BFB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144</cp:revision>
  <dcterms:created xsi:type="dcterms:W3CDTF">2023-04-11T08:14:00Z</dcterms:created>
  <dcterms:modified xsi:type="dcterms:W3CDTF">2026-09-14T07:57:17Z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eyJoZGlkIjoiN2U0ZTE2OTBlOTcyMTAxOGE0NzkxNmQyNTBiNzA2YmEiLCJ1c2VySWQiOiIzMjcwMDg0NDkifQ==</vt:lpwstr>
  </property>
  <property fmtid="{D5CDD505-2E9C-101B-9397-08002B2CF9AE}" pid="4" name="ICV">
    <vt:lpwstr>BA9B742B39654A659BEA3D988B634147_13</vt:lpwstr>
  </property>
</Properties>
</file>