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862DA8">
      <w:pPr>
        <w:widowControl/>
        <w:wordWrap w:val="0"/>
        <w:spacing w:line="520" w:lineRule="atLeast"/>
        <w:ind w:firstLine="560"/>
        <w:jc w:val="right"/>
        <w:rPr>
          <w:rFonts w:ascii="Microsoft New Tai Lue" w:hAnsi="Microsoft New Tai Lue" w:cs="Microsoft New Tai Lue"/>
          <w:color w:val="auto"/>
          <w:kern w:val="0"/>
          <w:szCs w:val="21"/>
          <w:highlight w:val="none"/>
        </w:rPr>
      </w:pPr>
      <w:r>
        <w:rPr>
          <w:rFonts w:hint="eastAsia" w:ascii="Microsoft New Tai Lue" w:hAnsi="Microsoft New Tai Lue" w:cs="Microsoft New Tai Lue"/>
          <w:color w:val="auto"/>
          <w:kern w:val="0"/>
          <w:szCs w:val="21"/>
          <w:highlight w:val="none"/>
        </w:rPr>
        <w:t xml:space="preserve"> </w:t>
      </w:r>
    </w:p>
    <w:p w14:paraId="7699FDAE">
      <w:pPr>
        <w:widowControl/>
        <w:spacing w:line="520" w:lineRule="atLeast"/>
        <w:ind w:firstLine="560"/>
        <w:jc w:val="left"/>
        <w:rPr>
          <w:rFonts w:ascii="Microsoft New Tai Lue" w:hAnsi="Microsoft New Tai Lue" w:cs="Microsoft New Tai Lue"/>
          <w:color w:val="auto"/>
          <w:kern w:val="0"/>
          <w:szCs w:val="21"/>
          <w:highlight w:val="none"/>
        </w:rPr>
      </w:pPr>
    </w:p>
    <w:p w14:paraId="6060D1F1">
      <w:pPr>
        <w:widowControl/>
        <w:spacing w:line="520" w:lineRule="atLeast"/>
        <w:ind w:firstLine="560"/>
        <w:jc w:val="left"/>
        <w:rPr>
          <w:rFonts w:ascii="Microsoft New Tai Lue" w:hAnsi="Microsoft New Tai Lue" w:cs="Microsoft New Tai Lue"/>
          <w:color w:val="auto"/>
          <w:kern w:val="0"/>
          <w:szCs w:val="21"/>
          <w:highlight w:val="none"/>
        </w:rPr>
      </w:pPr>
    </w:p>
    <w:p w14:paraId="11FE4583">
      <w:pPr>
        <w:tabs>
          <w:tab w:val="center" w:pos="4422"/>
        </w:tabs>
        <w:spacing w:before="100" w:after="100" w:line="360" w:lineRule="auto"/>
        <w:jc w:val="center"/>
        <w:rPr>
          <w:rFonts w:hint="eastAsia"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2026年中央转移支付食品安全抽检</w:t>
      </w:r>
    </w:p>
    <w:p w14:paraId="02249861">
      <w:pPr>
        <w:tabs>
          <w:tab w:val="center" w:pos="4422"/>
        </w:tabs>
        <w:spacing w:before="100" w:after="100" w:line="360" w:lineRule="auto"/>
        <w:jc w:val="center"/>
        <w:rPr>
          <w:rFonts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技术服务（第</w:t>
      </w:r>
      <w:r>
        <w:rPr>
          <w:rFonts w:hint="eastAsia" w:ascii="Microsoft New Tai Lue" w:hAnsi="Microsoft New Tai Lue" w:cs="Microsoft New Tai Lue"/>
          <w:b/>
          <w:color w:val="auto"/>
          <w:sz w:val="44"/>
          <w:szCs w:val="44"/>
          <w:highlight w:val="none"/>
          <w:lang w:val="en-US" w:eastAsia="zh-CN"/>
        </w:rPr>
        <w:t>四</w:t>
      </w:r>
      <w:r>
        <w:rPr>
          <w:rFonts w:hint="eastAsia" w:ascii="Microsoft New Tai Lue" w:hAnsi="Microsoft New Tai Lue" w:cs="Microsoft New Tai Lue"/>
          <w:b/>
          <w:color w:val="auto"/>
          <w:sz w:val="44"/>
          <w:szCs w:val="44"/>
          <w:highlight w:val="none"/>
        </w:rPr>
        <w:t>季度）</w:t>
      </w:r>
    </w:p>
    <w:p w14:paraId="7D31065D">
      <w:pPr>
        <w:pStyle w:val="19"/>
        <w:jc w:val="center"/>
        <w:rPr>
          <w:rFonts w:ascii="Microsoft New Tai Lue" w:hAnsi="Microsoft New Tai Lue" w:cs="Microsoft New Tai Lue"/>
          <w:b/>
          <w:color w:val="auto"/>
          <w:sz w:val="84"/>
          <w:szCs w:val="84"/>
          <w:highlight w:val="none"/>
        </w:rPr>
      </w:pPr>
    </w:p>
    <w:p w14:paraId="48A7B15A">
      <w:pPr>
        <w:pStyle w:val="19"/>
        <w:rPr>
          <w:rFonts w:ascii="Microsoft New Tai Lue" w:hAnsi="Microsoft New Tai Lue" w:cs="Microsoft New Tai Lue"/>
          <w:b/>
          <w:color w:val="auto"/>
          <w:sz w:val="84"/>
          <w:szCs w:val="84"/>
          <w:highlight w:val="none"/>
        </w:rPr>
      </w:pPr>
    </w:p>
    <w:p w14:paraId="3D3C64A3">
      <w:pPr>
        <w:pStyle w:val="19"/>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招 标 文 件</w:t>
      </w:r>
    </w:p>
    <w:p w14:paraId="4BAB8AEA">
      <w:pPr>
        <w:spacing w:line="440" w:lineRule="exact"/>
        <w:jc w:val="center"/>
        <w:rPr>
          <w:rFonts w:ascii="Microsoft New Tai Lue" w:hAnsi="Microsoft New Tai Lue" w:cs="Microsoft New Tai Lue"/>
          <w:b/>
          <w:color w:val="auto"/>
          <w:sz w:val="96"/>
          <w:highlight w:val="none"/>
        </w:rPr>
      </w:pPr>
    </w:p>
    <w:p w14:paraId="1A5C51C0">
      <w:pPr>
        <w:spacing w:line="360" w:lineRule="auto"/>
        <w:ind w:right="640"/>
        <w:jc w:val="center"/>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项目编号：</w:t>
      </w:r>
      <w:r>
        <w:rPr>
          <w:rFonts w:hint="eastAsia" w:ascii="Microsoft New Tai Lue" w:hAnsi="Microsoft New Tai Lue" w:cs="Microsoft New Tai Lue"/>
          <w:b/>
          <w:color w:val="auto"/>
          <w:sz w:val="44"/>
          <w:szCs w:val="44"/>
          <w:highlight w:val="none"/>
          <w:lang w:eastAsia="zh-CN"/>
        </w:rPr>
        <w:t>JSTCC26010105959</w:t>
      </w:r>
    </w:p>
    <w:p w14:paraId="2FC3DC17">
      <w:pPr>
        <w:spacing w:line="360" w:lineRule="auto"/>
        <w:ind w:right="640"/>
        <w:jc w:val="center"/>
        <w:rPr>
          <w:rFonts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JSZC-320000-JITC-G2026-0333</w:t>
      </w:r>
    </w:p>
    <w:p w14:paraId="34ADCD16">
      <w:pPr>
        <w:spacing w:line="360" w:lineRule="auto"/>
        <w:ind w:right="640"/>
        <w:rPr>
          <w:rFonts w:ascii="Microsoft New Tai Lue" w:hAnsi="Microsoft New Tai Lue" w:cs="Microsoft New Tai Lue"/>
          <w:color w:val="auto"/>
          <w:sz w:val="32"/>
          <w:highlight w:val="none"/>
        </w:rPr>
      </w:pPr>
    </w:p>
    <w:p w14:paraId="2FF70A2E">
      <w:pPr>
        <w:spacing w:line="360" w:lineRule="auto"/>
        <w:ind w:right="640"/>
        <w:rPr>
          <w:rFonts w:ascii="Microsoft New Tai Lue" w:hAnsi="Microsoft New Tai Lue" w:cs="Microsoft New Tai Lue"/>
          <w:color w:val="auto"/>
          <w:sz w:val="32"/>
          <w:highlight w:val="none"/>
        </w:rPr>
      </w:pPr>
    </w:p>
    <w:p w14:paraId="025CA7D3">
      <w:pPr>
        <w:spacing w:line="360" w:lineRule="auto"/>
        <w:ind w:right="640"/>
        <w:rPr>
          <w:rFonts w:ascii="Microsoft New Tai Lue" w:hAnsi="Microsoft New Tai Lue" w:cs="Microsoft New Tai Lue"/>
          <w:color w:val="auto"/>
          <w:sz w:val="32"/>
          <w:highlight w:val="none"/>
        </w:rPr>
      </w:pPr>
    </w:p>
    <w:p w14:paraId="08A73154">
      <w:pPr>
        <w:tabs>
          <w:tab w:val="left" w:pos="360"/>
        </w:tabs>
        <w:spacing w:line="360" w:lineRule="auto"/>
        <w:jc w:val="center"/>
        <w:rPr>
          <w:rFonts w:ascii="Microsoft New Tai Lue" w:hAnsi="Microsoft New Tai Lue" w:cs="Microsoft New Tai Lue"/>
          <w:b/>
          <w:color w:val="auto"/>
          <w:sz w:val="32"/>
          <w:highlight w:val="none"/>
        </w:rPr>
      </w:pPr>
    </w:p>
    <w:p w14:paraId="65CD0C7B">
      <w:pPr>
        <w:tabs>
          <w:tab w:val="left" w:pos="360"/>
        </w:tabs>
        <w:spacing w:line="360" w:lineRule="auto"/>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采购人：</w:t>
      </w:r>
      <w:r>
        <w:rPr>
          <w:rFonts w:hint="eastAsia" w:ascii="Microsoft New Tai Lue" w:hAnsi="Microsoft New Tai Lue" w:cs="Microsoft New Tai Lue"/>
          <w:b/>
          <w:color w:val="auto"/>
          <w:sz w:val="32"/>
          <w:highlight w:val="none"/>
        </w:rPr>
        <w:t>江苏省市场监督管理局</w:t>
      </w:r>
    </w:p>
    <w:p w14:paraId="74D332AF">
      <w:pPr>
        <w:tabs>
          <w:tab w:val="left" w:pos="360"/>
        </w:tabs>
        <w:spacing w:line="360" w:lineRule="auto"/>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采购代理机构：江苏省招标中心有限公司</w:t>
      </w:r>
    </w:p>
    <w:p w14:paraId="07D04E19">
      <w:pPr>
        <w:jc w:val="center"/>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二〇二</w:t>
      </w:r>
      <w:r>
        <w:rPr>
          <w:rFonts w:hint="eastAsia" w:ascii="Microsoft New Tai Lue" w:hAnsi="Microsoft New Tai Lue" w:cs="Microsoft New Tai Lue"/>
          <w:b/>
          <w:color w:val="auto"/>
          <w:sz w:val="32"/>
          <w:highlight w:val="none"/>
          <w:lang w:val="en-US" w:eastAsia="zh-CN"/>
        </w:rPr>
        <w:t>六</w:t>
      </w:r>
      <w:r>
        <w:rPr>
          <w:rFonts w:ascii="Microsoft New Tai Lue" w:hAnsi="Microsoft New Tai Lue" w:cs="Microsoft New Tai Lue"/>
          <w:b/>
          <w:color w:val="auto"/>
          <w:sz w:val="32"/>
          <w:highlight w:val="none"/>
        </w:rPr>
        <w:t>年</w:t>
      </w:r>
      <w:r>
        <w:rPr>
          <w:rFonts w:hint="eastAsia" w:ascii="Microsoft New Tai Lue" w:hAnsi="Microsoft New Tai Lue" w:cs="Microsoft New Tai Lue"/>
          <w:b/>
          <w:color w:val="auto"/>
          <w:sz w:val="32"/>
          <w:highlight w:val="none"/>
          <w:lang w:val="en-US" w:eastAsia="zh-CN"/>
        </w:rPr>
        <w:t>九</w:t>
      </w:r>
      <w:r>
        <w:rPr>
          <w:rFonts w:ascii="Microsoft New Tai Lue" w:hAnsi="Microsoft New Tai Lue" w:cs="Microsoft New Tai Lue"/>
          <w:b/>
          <w:color w:val="auto"/>
          <w:sz w:val="32"/>
          <w:highlight w:val="none"/>
        </w:rPr>
        <w:t>月</w:t>
      </w:r>
      <w:r>
        <w:rPr>
          <w:rFonts w:hint="eastAsia" w:ascii="Microsoft New Tai Lue" w:hAnsi="Microsoft New Tai Lue" w:cs="Microsoft New Tai Lue"/>
          <w:b/>
          <w:color w:val="auto"/>
          <w:sz w:val="32"/>
          <w:highlight w:val="none"/>
          <w:lang w:val="en-US" w:eastAsia="zh-CN"/>
        </w:rPr>
        <w:t>十五</w:t>
      </w:r>
      <w:r>
        <w:rPr>
          <w:rFonts w:ascii="Microsoft New Tai Lue" w:hAnsi="Microsoft New Tai Lue" w:cs="Microsoft New Tai Lue"/>
          <w:b/>
          <w:color w:val="auto"/>
          <w:sz w:val="32"/>
          <w:highlight w:val="none"/>
        </w:rPr>
        <w:t>日</w:t>
      </w:r>
    </w:p>
    <w:p w14:paraId="43BE9DB9">
      <w:pPr>
        <w:pStyle w:val="32"/>
        <w:rPr>
          <w:rFonts w:ascii="Microsoft New Tai Lue" w:hAnsi="Microsoft New Tai Lue" w:cs="Microsoft New Tai Lue"/>
          <w:color w:val="auto"/>
          <w:highlight w:val="none"/>
        </w:rPr>
        <w:sectPr>
          <w:footerReference r:id="rId3" w:type="default"/>
          <w:pgSz w:w="11905" w:h="16838"/>
          <w:pgMar w:top="1440" w:right="1803" w:bottom="1440" w:left="1803" w:header="850" w:footer="992" w:gutter="0"/>
          <w:pgBorders>
            <w:top w:val="none" w:sz="0" w:space="0"/>
            <w:left w:val="none" w:sz="0" w:space="0"/>
            <w:bottom w:val="none" w:sz="0" w:space="0"/>
            <w:right w:val="none" w:sz="0" w:space="0"/>
          </w:pgBorders>
          <w:pgNumType w:start="1"/>
          <w:cols w:space="0" w:num="1"/>
          <w:rtlGutter w:val="0"/>
          <w:docGrid w:type="lines" w:linePitch="317" w:charSpace="0"/>
        </w:sectPr>
      </w:pPr>
    </w:p>
    <w:p w14:paraId="1FC8CEDB">
      <w:pPr>
        <w:spacing w:line="500" w:lineRule="exact"/>
        <w:jc w:val="center"/>
        <w:rPr>
          <w:rFonts w:ascii="Microsoft New Tai Lue" w:hAnsi="Microsoft New Tai Lue" w:cs="Microsoft New Tai Lue"/>
          <w:b/>
          <w:color w:val="auto"/>
          <w:sz w:val="32"/>
          <w:szCs w:val="32"/>
          <w:highlight w:val="none"/>
        </w:rPr>
      </w:pPr>
      <w:bookmarkStart w:id="0" w:name="_Toc531620161"/>
      <w:bookmarkStart w:id="1" w:name="_Toc80264696"/>
      <w:r>
        <w:rPr>
          <w:rFonts w:ascii="Microsoft New Tai Lue" w:hAnsi="Microsoft New Tai Lue" w:cs="Microsoft New Tai Lue"/>
          <w:b/>
          <w:color w:val="auto"/>
          <w:sz w:val="32"/>
          <w:szCs w:val="32"/>
          <w:highlight w:val="none"/>
        </w:rPr>
        <w:t>目   录</w:t>
      </w:r>
    </w:p>
    <w:p w14:paraId="2A9CCE5C">
      <w:pPr>
        <w:pStyle w:val="25"/>
        <w:tabs>
          <w:tab w:val="right" w:leader="dot" w:pos="8834"/>
        </w:tabs>
        <w:spacing w:line="360" w:lineRule="auto"/>
        <w:rPr>
          <w:rFonts w:hint="eastAsia" w:ascii="等线" w:hAnsi="等线" w:eastAsia="等线"/>
          <w:b/>
          <w:color w:val="auto"/>
          <w:sz w:val="21"/>
          <w:szCs w:val="22"/>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p>
    <w:p w14:paraId="1F33E26E">
      <w:pPr>
        <w:pStyle w:val="25"/>
        <w:tabs>
          <w:tab w:val="left" w:pos="780"/>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40"/>
          <w:rFonts w:ascii="宋体" w:hAnsi="宋体" w:eastAsia="宋体" w:cs="Microsoft New Tai Lue"/>
          <w:b/>
          <w:color w:val="auto"/>
          <w:highlight w:val="none"/>
        </w:rPr>
        <w:t>第一章</w:t>
      </w:r>
      <w:r>
        <w:rPr>
          <w:rFonts w:ascii="宋体" w:hAnsi="宋体" w:eastAsia="宋体"/>
          <w:b/>
          <w:color w:val="auto"/>
          <w:highlight w:val="none"/>
        </w:rPr>
        <w:tab/>
      </w:r>
      <w:r>
        <w:rPr>
          <w:rStyle w:val="40"/>
          <w:rFonts w:ascii="宋体" w:hAnsi="宋体" w:eastAsia="宋体" w:cs="Microsoft New Tai Lue"/>
          <w:b/>
          <w:color w:val="auto"/>
          <w:highlight w:val="none"/>
        </w:rPr>
        <w:t>招标公告</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_Toc107246211 \h </w:instrText>
      </w:r>
      <w:r>
        <w:rPr>
          <w:rFonts w:ascii="宋体" w:hAnsi="宋体" w:eastAsia="宋体"/>
          <w:b/>
          <w:color w:val="auto"/>
          <w:highlight w:val="none"/>
        </w:rPr>
        <w:fldChar w:fldCharType="separate"/>
      </w:r>
      <w:r>
        <w:rPr>
          <w:rFonts w:ascii="宋体" w:hAnsi="宋体" w:eastAsia="宋体"/>
          <w:b/>
          <w:color w:val="auto"/>
          <w:highlight w:val="none"/>
        </w:rPr>
        <w:t>3</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443A1B5B">
      <w:pPr>
        <w:pStyle w:val="25"/>
        <w:tabs>
          <w:tab w:val="left" w:pos="780"/>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40"/>
          <w:rFonts w:ascii="宋体" w:hAnsi="宋体" w:eastAsia="宋体" w:cs="Microsoft New Tai Lue"/>
          <w:b/>
          <w:color w:val="auto"/>
          <w:highlight w:val="none"/>
        </w:rPr>
        <w:t>第二章</w:t>
      </w:r>
      <w:r>
        <w:rPr>
          <w:rFonts w:ascii="宋体" w:hAnsi="宋体" w:eastAsia="宋体"/>
          <w:b/>
          <w:color w:val="auto"/>
          <w:highlight w:val="none"/>
        </w:rPr>
        <w:tab/>
      </w:r>
      <w:r>
        <w:rPr>
          <w:rStyle w:val="40"/>
          <w:rFonts w:ascii="宋体" w:hAnsi="宋体" w:eastAsia="宋体" w:cs="Microsoft New Tai Lue"/>
          <w:b/>
          <w:color w:val="auto"/>
          <w:highlight w:val="none"/>
        </w:rPr>
        <w:t>投标人须知</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_Toc107246212 \h </w:instrText>
      </w:r>
      <w:r>
        <w:rPr>
          <w:rFonts w:ascii="宋体" w:hAnsi="宋体" w:eastAsia="宋体"/>
          <w:b/>
          <w:color w:val="auto"/>
          <w:highlight w:val="none"/>
        </w:rPr>
        <w:fldChar w:fldCharType="separate"/>
      </w:r>
      <w:r>
        <w:rPr>
          <w:rFonts w:ascii="宋体" w:hAnsi="宋体" w:eastAsia="宋体"/>
          <w:b/>
          <w:color w:val="auto"/>
          <w:highlight w:val="none"/>
        </w:rPr>
        <w:t>9</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6C9E0810">
      <w:pPr>
        <w:pStyle w:val="25"/>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Style w:val="40"/>
          <w:rFonts w:ascii="宋体" w:hAnsi="宋体" w:eastAsia="宋体" w:cs="Microsoft New Tai Lue"/>
          <w:b/>
          <w:color w:val="auto"/>
          <w:highlight w:val="none"/>
        </w:rPr>
        <w:t>一．总则</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_Toc107246214 \h </w:instrText>
      </w:r>
      <w:r>
        <w:rPr>
          <w:rFonts w:ascii="宋体" w:hAnsi="宋体" w:eastAsia="宋体"/>
          <w:b/>
          <w:color w:val="auto"/>
          <w:highlight w:val="none"/>
        </w:rPr>
        <w:fldChar w:fldCharType="separate"/>
      </w:r>
      <w:r>
        <w:rPr>
          <w:rFonts w:ascii="宋体" w:hAnsi="宋体" w:eastAsia="宋体"/>
          <w:b/>
          <w:color w:val="auto"/>
          <w:highlight w:val="none"/>
        </w:rPr>
        <w:t>15</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4295CEAF">
      <w:pPr>
        <w:pStyle w:val="25"/>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Style w:val="40"/>
          <w:rFonts w:ascii="宋体" w:hAnsi="宋体" w:eastAsia="宋体" w:cs="Microsoft New Tai Lue"/>
          <w:b/>
          <w:color w:val="auto"/>
          <w:highlight w:val="none"/>
        </w:rPr>
        <w:t>二．招标文件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_Toc107246230 \h </w:instrText>
      </w:r>
      <w:r>
        <w:rPr>
          <w:rFonts w:ascii="宋体" w:hAnsi="宋体" w:eastAsia="宋体"/>
          <w:b/>
          <w:color w:val="auto"/>
          <w:highlight w:val="none"/>
        </w:rPr>
        <w:fldChar w:fldCharType="separate"/>
      </w:r>
      <w:r>
        <w:rPr>
          <w:rFonts w:ascii="宋体" w:hAnsi="宋体" w:eastAsia="宋体"/>
          <w:b/>
          <w:color w:val="auto"/>
          <w:highlight w:val="none"/>
        </w:rPr>
        <w:t>20</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5B0BA431">
      <w:pPr>
        <w:pStyle w:val="25"/>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Style w:val="40"/>
          <w:rFonts w:ascii="宋体" w:hAnsi="宋体" w:eastAsia="宋体" w:cs="Microsoft New Tai Lue"/>
          <w:b/>
          <w:color w:val="auto"/>
          <w:highlight w:val="none"/>
        </w:rPr>
        <w:t>三．投标文件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_Toc107246233 \h </w:instrText>
      </w:r>
      <w:r>
        <w:rPr>
          <w:rFonts w:ascii="宋体" w:hAnsi="宋体" w:eastAsia="宋体"/>
          <w:b/>
          <w:color w:val="auto"/>
          <w:highlight w:val="none"/>
        </w:rPr>
        <w:fldChar w:fldCharType="separate"/>
      </w:r>
      <w:r>
        <w:rPr>
          <w:rFonts w:ascii="宋体" w:hAnsi="宋体" w:eastAsia="宋体"/>
          <w:b/>
          <w:color w:val="auto"/>
          <w:highlight w:val="none"/>
        </w:rPr>
        <w:t>21</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6018BBC1">
      <w:pPr>
        <w:pStyle w:val="25"/>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Style w:val="40"/>
          <w:rFonts w:ascii="宋体" w:hAnsi="宋体" w:eastAsia="宋体" w:cs="Microsoft New Tai Lue"/>
          <w:b/>
          <w:color w:val="auto"/>
          <w:highlight w:val="none"/>
        </w:rPr>
        <w:t>四．投标文件的递交</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_Toc107246240 \h </w:instrText>
      </w:r>
      <w:r>
        <w:rPr>
          <w:rFonts w:ascii="宋体" w:hAnsi="宋体" w:eastAsia="宋体"/>
          <w:b/>
          <w:color w:val="auto"/>
          <w:highlight w:val="none"/>
        </w:rPr>
        <w:fldChar w:fldCharType="separate"/>
      </w:r>
      <w:r>
        <w:rPr>
          <w:rFonts w:ascii="宋体" w:hAnsi="宋体" w:eastAsia="宋体"/>
          <w:b/>
          <w:color w:val="auto"/>
          <w:highlight w:val="none"/>
        </w:rPr>
        <w:t>25</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4E445307">
      <w:pPr>
        <w:pStyle w:val="25"/>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Style w:val="40"/>
          <w:rFonts w:ascii="宋体" w:hAnsi="宋体" w:eastAsia="宋体" w:cs="Microsoft New Tai Lue"/>
          <w:b/>
          <w:color w:val="auto"/>
          <w:highlight w:val="none"/>
        </w:rPr>
        <w:t>五．开标和评标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_Toc107246245 \h </w:instrText>
      </w:r>
      <w:r>
        <w:rPr>
          <w:rFonts w:ascii="宋体" w:hAnsi="宋体" w:eastAsia="宋体"/>
          <w:b/>
          <w:color w:val="auto"/>
          <w:highlight w:val="none"/>
        </w:rPr>
        <w:fldChar w:fldCharType="separate"/>
      </w:r>
      <w:r>
        <w:rPr>
          <w:rFonts w:ascii="宋体" w:hAnsi="宋体" w:eastAsia="宋体"/>
          <w:b/>
          <w:color w:val="auto"/>
          <w:highlight w:val="none"/>
        </w:rPr>
        <w:t>26</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27956FF4">
      <w:pPr>
        <w:pStyle w:val="25"/>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Style w:val="40"/>
          <w:rFonts w:ascii="宋体" w:hAnsi="宋体" w:eastAsia="宋体" w:cs="Microsoft New Tai Lue"/>
          <w:b/>
          <w:color w:val="auto"/>
          <w:highlight w:val="none"/>
        </w:rPr>
        <w:t>六．确定中标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_Toc107246257 \h </w:instrText>
      </w:r>
      <w:r>
        <w:rPr>
          <w:rFonts w:ascii="宋体" w:hAnsi="宋体" w:eastAsia="宋体"/>
          <w:b/>
          <w:color w:val="auto"/>
          <w:highlight w:val="none"/>
        </w:rPr>
        <w:fldChar w:fldCharType="separate"/>
      </w:r>
      <w:r>
        <w:rPr>
          <w:rFonts w:ascii="宋体" w:hAnsi="宋体" w:eastAsia="宋体"/>
          <w:b/>
          <w:color w:val="auto"/>
          <w:highlight w:val="none"/>
        </w:rPr>
        <w:t>29</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351F738B">
      <w:pPr>
        <w:pStyle w:val="25"/>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Style w:val="40"/>
          <w:rFonts w:ascii="宋体" w:hAnsi="宋体" w:eastAsia="宋体" w:cs="Microsoft New Tai Lue"/>
          <w:b/>
          <w:color w:val="auto"/>
          <w:highlight w:val="none"/>
        </w:rPr>
        <w:t>七．询问与质疑</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_Toc107246263 \h </w:instrText>
      </w:r>
      <w:r>
        <w:rPr>
          <w:rFonts w:ascii="宋体" w:hAnsi="宋体" w:eastAsia="宋体"/>
          <w:b/>
          <w:color w:val="auto"/>
          <w:highlight w:val="none"/>
        </w:rPr>
        <w:fldChar w:fldCharType="separate"/>
      </w:r>
      <w:r>
        <w:rPr>
          <w:rFonts w:ascii="宋体" w:hAnsi="宋体" w:eastAsia="宋体"/>
          <w:b/>
          <w:color w:val="auto"/>
          <w:highlight w:val="none"/>
        </w:rPr>
        <w:t>31</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2C4FF07A">
      <w:pPr>
        <w:pStyle w:val="25"/>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Style w:val="40"/>
          <w:rFonts w:ascii="宋体" w:hAnsi="宋体" w:eastAsia="宋体" w:cs="Microsoft New Tai Lue"/>
          <w:b/>
          <w:color w:val="auto"/>
          <w:highlight w:val="none"/>
        </w:rPr>
        <w:t>八．其他</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_Toc107246266 \h </w:instrText>
      </w:r>
      <w:r>
        <w:rPr>
          <w:rFonts w:ascii="宋体" w:hAnsi="宋体" w:eastAsia="宋体"/>
          <w:b/>
          <w:color w:val="auto"/>
          <w:highlight w:val="none"/>
        </w:rPr>
        <w:fldChar w:fldCharType="separate"/>
      </w:r>
      <w:r>
        <w:rPr>
          <w:rFonts w:ascii="宋体" w:hAnsi="宋体" w:eastAsia="宋体"/>
          <w:b/>
          <w:color w:val="auto"/>
          <w:highlight w:val="none"/>
        </w:rPr>
        <w:t>31</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347665BE">
      <w:pPr>
        <w:pStyle w:val="25"/>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40"/>
          <w:rFonts w:ascii="宋体" w:hAnsi="宋体" w:eastAsia="宋体" w:cs="Microsoft New Tai Lue"/>
          <w:b/>
          <w:color w:val="auto"/>
          <w:highlight w:val="none"/>
        </w:rPr>
        <w:t>第三章 政府采购合同条款及格式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_Toc107246270 \h </w:instrText>
      </w:r>
      <w:r>
        <w:rPr>
          <w:rFonts w:ascii="宋体" w:hAnsi="宋体" w:eastAsia="宋体"/>
          <w:b/>
          <w:color w:val="auto"/>
          <w:highlight w:val="none"/>
        </w:rPr>
        <w:fldChar w:fldCharType="separate"/>
      </w:r>
      <w:r>
        <w:rPr>
          <w:rFonts w:ascii="宋体" w:hAnsi="宋体" w:eastAsia="宋体"/>
          <w:b/>
          <w:color w:val="auto"/>
          <w:highlight w:val="none"/>
        </w:rPr>
        <w:t>32</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0089C2E3">
      <w:pPr>
        <w:pStyle w:val="25"/>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40"/>
          <w:rFonts w:ascii="宋体" w:hAnsi="宋体" w:eastAsia="宋体" w:cs="Microsoft New Tai Lue"/>
          <w:b/>
          <w:color w:val="auto"/>
          <w:highlight w:val="none"/>
        </w:rPr>
        <w:t>第四章 采购需求</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_Toc107246271 \h </w:instrText>
      </w:r>
      <w:r>
        <w:rPr>
          <w:rFonts w:ascii="宋体" w:hAnsi="宋体" w:eastAsia="宋体"/>
          <w:b/>
          <w:color w:val="auto"/>
          <w:highlight w:val="none"/>
        </w:rPr>
        <w:fldChar w:fldCharType="separate"/>
      </w:r>
      <w:r>
        <w:rPr>
          <w:rFonts w:ascii="宋体" w:hAnsi="宋体" w:eastAsia="宋体"/>
          <w:b/>
          <w:color w:val="auto"/>
          <w:highlight w:val="none"/>
        </w:rPr>
        <w:t>38</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1822421C">
      <w:pPr>
        <w:pStyle w:val="25"/>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40"/>
          <w:rFonts w:ascii="宋体" w:hAnsi="宋体" w:eastAsia="宋体" w:cs="Microsoft New Tai Lue"/>
          <w:b/>
          <w:color w:val="auto"/>
          <w:highlight w:val="none"/>
        </w:rPr>
        <w:t>第五章 评标方法与评标标准</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_Toc107246272 \h </w:instrText>
      </w:r>
      <w:r>
        <w:rPr>
          <w:rFonts w:ascii="宋体" w:hAnsi="宋体" w:eastAsia="宋体"/>
          <w:b/>
          <w:color w:val="auto"/>
          <w:highlight w:val="none"/>
        </w:rPr>
        <w:fldChar w:fldCharType="separate"/>
      </w:r>
      <w:r>
        <w:rPr>
          <w:rFonts w:ascii="宋体" w:hAnsi="宋体" w:eastAsia="宋体"/>
          <w:b/>
          <w:color w:val="auto"/>
          <w:highlight w:val="none"/>
        </w:rPr>
        <w:t>51</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02965882">
      <w:pPr>
        <w:pStyle w:val="25"/>
        <w:tabs>
          <w:tab w:val="right" w:leader="dot" w:pos="8834"/>
        </w:tabs>
        <w:spacing w:line="360" w:lineRule="auto"/>
        <w:rPr>
          <w:rFonts w:hint="eastAsia" w:ascii="等线" w:hAnsi="等线" w:eastAsia="等线"/>
          <w:b/>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40"/>
          <w:rFonts w:ascii="宋体" w:hAnsi="宋体" w:eastAsia="宋体" w:cs="Microsoft New Tai Lue"/>
          <w:b/>
          <w:color w:val="auto"/>
          <w:highlight w:val="none"/>
        </w:rPr>
        <w:t>第六章 投标文件格式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_Toc107246273 \h </w:instrText>
      </w:r>
      <w:r>
        <w:rPr>
          <w:rFonts w:ascii="宋体" w:hAnsi="宋体" w:eastAsia="宋体"/>
          <w:b/>
          <w:color w:val="auto"/>
          <w:highlight w:val="none"/>
        </w:rPr>
        <w:fldChar w:fldCharType="separate"/>
      </w:r>
      <w:r>
        <w:rPr>
          <w:rFonts w:ascii="宋体" w:hAnsi="宋体" w:eastAsia="宋体"/>
          <w:b/>
          <w:color w:val="auto"/>
          <w:highlight w:val="none"/>
        </w:rPr>
        <w:t>57</w:t>
      </w:r>
      <w:r>
        <w:rPr>
          <w:rFonts w:ascii="宋体" w:hAnsi="宋体" w:eastAsia="宋体"/>
          <w:b/>
          <w:color w:val="auto"/>
          <w:highlight w:val="none"/>
        </w:rPr>
        <w:fldChar w:fldCharType="end"/>
      </w:r>
      <w:r>
        <w:rPr>
          <w:rFonts w:ascii="宋体" w:hAnsi="宋体" w:eastAsia="宋体"/>
          <w:b/>
          <w:color w:val="auto"/>
          <w:highlight w:val="none"/>
        </w:rPr>
        <w:fldChar w:fldCharType="end"/>
      </w:r>
      <w:r>
        <w:rPr>
          <w:rFonts w:ascii="宋体" w:hAnsi="宋体" w:eastAsia="宋体"/>
          <w:b/>
          <w:color w:val="auto"/>
          <w:highlight w:val="none"/>
        </w:rPr>
        <w:fldChar w:fldCharType="end"/>
      </w:r>
    </w:p>
    <w:p w14:paraId="7E0E74C4">
      <w:pPr>
        <w:pStyle w:val="32"/>
        <w:numPr>
          <w:ilvl w:val="0"/>
          <w:numId w:val="0"/>
        </w:numPr>
        <w:ind w:left="1125" w:leftChars="0" w:hanging="1125" w:firstLineChars="0"/>
        <w:rPr>
          <w:rFonts w:ascii="Microsoft New Tai Lue" w:hAnsi="Microsoft New Tai Lue" w:cs="Microsoft New Tai Lue"/>
          <w:color w:val="auto"/>
          <w:highlight w:val="none"/>
        </w:rPr>
      </w:pPr>
      <w:r>
        <w:rPr>
          <w:rFonts w:ascii="Microsoft New Tai Lue" w:hAnsi="Microsoft New Tai Lue" w:cs="Microsoft New Tai Lue"/>
          <w:b w:val="0"/>
          <w:bCs w:val="0"/>
          <w:color w:val="auto"/>
          <w:highlight w:val="none"/>
          <w:lang w:val="zh-CN"/>
        </w:rPr>
        <w:br w:type="page"/>
      </w:r>
      <w:bookmarkEnd w:id="0"/>
      <w:bookmarkEnd w:id="1"/>
      <w:bookmarkStart w:id="2" w:name="_Toc107246211"/>
      <w:bookmarkStart w:id="3" w:name="_Toc80264697"/>
      <w:bookmarkStart w:id="4" w:name="_Toc80792688"/>
      <w:r>
        <w:rPr>
          <w:rFonts w:hint="default" w:ascii="Microsoft New Tai Lue" w:hAnsi="Microsoft New Tai Lue" w:eastAsia="宋体" w:cs="Microsoft New Tai Lue"/>
          <w:b/>
          <w:bCs/>
          <w:color w:val="auto"/>
          <w:kern w:val="2"/>
          <w:sz w:val="32"/>
          <w:szCs w:val="32"/>
          <w:highlight w:val="none"/>
          <w:lang w:val="en-US" w:eastAsia="zh-CN" w:bidi="ar-SA"/>
        </w:rPr>
        <w:t>第一章</w:t>
      </w:r>
      <w:r>
        <w:rPr>
          <w:rFonts w:hint="eastAsia" w:ascii="Microsoft New Tai Lue" w:hAnsi="Microsoft New Tai Lue" w:cs="Microsoft New Tai Lue"/>
          <w:b w:val="0"/>
          <w:bCs w:val="0"/>
          <w:color w:val="auto"/>
          <w:highlight w:val="none"/>
          <w:lang w:val="en-US" w:eastAsia="zh-CN"/>
        </w:rPr>
        <w:t xml:space="preserve"> </w:t>
      </w:r>
      <w:r>
        <w:rPr>
          <w:rFonts w:hint="eastAsia" w:ascii="Microsoft New Tai Lue" w:hAnsi="Microsoft New Tai Lue" w:cs="Microsoft New Tai Lue"/>
          <w:color w:val="auto"/>
          <w:highlight w:val="none"/>
        </w:rPr>
        <w:t>招标公告</w:t>
      </w:r>
      <w:bookmarkEnd w:id="2"/>
    </w:p>
    <w:bookmarkEnd w:id="3"/>
    <w:bookmarkEnd w:id="4"/>
    <w:p w14:paraId="7AC35926">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bCs/>
          <w:color w:val="auto"/>
          <w:sz w:val="21"/>
          <w:szCs w:val="21"/>
          <w:highlight w:val="none"/>
        </w:rPr>
      </w:pPr>
      <w:bookmarkStart w:id="5" w:name="_Toc28359085"/>
      <w:r>
        <w:rPr>
          <w:rFonts w:hint="eastAsia" w:ascii="宋体" w:hAnsi="宋体" w:eastAsia="宋体" w:cs="宋体"/>
          <w:bCs/>
          <w:color w:val="auto"/>
          <w:sz w:val="21"/>
          <w:szCs w:val="21"/>
          <w:highlight w:val="none"/>
        </w:rPr>
        <w:t>项目概况</w:t>
      </w:r>
    </w:p>
    <w:p w14:paraId="0F917B48">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宋体"/>
          <w:bCs/>
          <w:color w:val="auto"/>
          <w:sz w:val="21"/>
          <w:szCs w:val="21"/>
          <w:highlight w:val="none"/>
          <w:u w:val="single"/>
        </w:rPr>
      </w:pPr>
      <w:r>
        <w:rPr>
          <w:rFonts w:hint="eastAsia" w:ascii="宋体" w:hAnsi="宋体" w:cs="宋体"/>
          <w:bCs/>
          <w:color w:val="auto"/>
          <w:sz w:val="21"/>
          <w:szCs w:val="21"/>
          <w:highlight w:val="none"/>
          <w:u w:val="single"/>
          <w:lang w:eastAsia="zh-CN"/>
        </w:rPr>
        <w:t>2026年中央转移支付食品安全抽检技术服务（第四季度）JSZC-320000-JITC-G2026-0333</w:t>
      </w:r>
      <w:r>
        <w:rPr>
          <w:rFonts w:hint="eastAsia" w:ascii="宋体" w:hAnsi="宋体" w:eastAsia="宋体" w:cs="宋体"/>
          <w:bCs/>
          <w:color w:val="auto"/>
          <w:sz w:val="21"/>
          <w:szCs w:val="21"/>
          <w:highlight w:val="none"/>
        </w:rPr>
        <w:t>招标项目的潜在投标人应在</w:t>
      </w:r>
      <w:r>
        <w:rPr>
          <w:rFonts w:hint="eastAsia" w:ascii="宋体" w:hAnsi="宋体" w:eastAsia="宋体" w:cs="宋体"/>
          <w:bCs/>
          <w:color w:val="auto"/>
          <w:sz w:val="21"/>
          <w:szCs w:val="21"/>
          <w:highlight w:val="none"/>
          <w:u w:val="single"/>
        </w:rPr>
        <w:t>江苏政府采购网</w:t>
      </w:r>
      <w:r>
        <w:rPr>
          <w:rFonts w:hint="eastAsia" w:ascii="宋体" w:hAnsi="宋体" w:eastAsia="宋体" w:cs="宋体"/>
          <w:bCs/>
          <w:color w:val="auto"/>
          <w:sz w:val="21"/>
          <w:szCs w:val="21"/>
          <w:highlight w:val="none"/>
        </w:rPr>
        <w:t>获取招标文件，并于202</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10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08</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val="en-US" w:eastAsia="zh-CN"/>
        </w:rPr>
        <w:t>09：00</w:t>
      </w:r>
      <w:r>
        <w:rPr>
          <w:rFonts w:hint="eastAsia" w:ascii="宋体" w:hAnsi="宋体" w:eastAsia="宋体" w:cs="宋体"/>
          <w:bCs/>
          <w:color w:val="auto"/>
          <w:sz w:val="21"/>
          <w:szCs w:val="21"/>
          <w:highlight w:val="none"/>
        </w:rPr>
        <w:t>（北京时间）前递交投标文件。</w:t>
      </w:r>
    </w:p>
    <w:p w14:paraId="304FBD10">
      <w:pPr>
        <w:spacing w:line="360" w:lineRule="auto"/>
        <w:rPr>
          <w:rFonts w:hint="eastAsia" w:ascii="宋体" w:hAnsi="宋体" w:eastAsia="宋体" w:cs="宋体"/>
          <w:b/>
          <w:bCs/>
          <w:color w:val="auto"/>
          <w:kern w:val="44"/>
          <w:sz w:val="21"/>
          <w:szCs w:val="21"/>
          <w:highlight w:val="none"/>
        </w:rPr>
      </w:pPr>
      <w:bookmarkStart w:id="6" w:name="_Toc93909065"/>
      <w:bookmarkStart w:id="7" w:name="_Toc96347851"/>
      <w:r>
        <w:rPr>
          <w:rFonts w:hint="eastAsia" w:ascii="宋体" w:hAnsi="宋体" w:eastAsia="宋体" w:cs="宋体"/>
          <w:b/>
          <w:bCs/>
          <w:color w:val="auto"/>
          <w:kern w:val="44"/>
          <w:sz w:val="21"/>
          <w:szCs w:val="21"/>
          <w:highlight w:val="none"/>
        </w:rPr>
        <w:t>一、项目基本情况</w:t>
      </w:r>
      <w:bookmarkEnd w:id="6"/>
      <w:bookmarkEnd w:id="7"/>
    </w:p>
    <w:p w14:paraId="384BE85C">
      <w:pPr>
        <w:adjustRightInd w:val="0"/>
        <w:snapToGrid w:val="0"/>
        <w:spacing w:line="360" w:lineRule="auto"/>
        <w:ind w:firstLine="420" w:firstLineChars="20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项目编号：JSZC-320000-JITC-G2026-0333</w:t>
      </w:r>
    </w:p>
    <w:p w14:paraId="12026B81">
      <w:pPr>
        <w:adjustRightInd w:val="0"/>
        <w:snapToGrid w:val="0"/>
        <w:spacing w:line="360" w:lineRule="auto"/>
        <w:ind w:firstLine="420" w:firstLineChars="20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项目名称：</w:t>
      </w:r>
      <w:r>
        <w:rPr>
          <w:rFonts w:hint="eastAsia" w:ascii="宋体" w:hAnsi="宋体" w:cs="宋体"/>
          <w:bCs/>
          <w:color w:val="auto"/>
          <w:sz w:val="21"/>
          <w:szCs w:val="21"/>
          <w:highlight w:val="none"/>
          <w:lang w:eastAsia="zh-CN"/>
        </w:rPr>
        <w:t>2026年中央转移支付食品安全抽检技术服务（第四季度）</w:t>
      </w:r>
    </w:p>
    <w:p w14:paraId="5D4ABF2D">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预算金额：</w:t>
      </w:r>
      <w:r>
        <w:rPr>
          <w:rFonts w:hint="eastAsia" w:ascii="宋体" w:hAnsi="宋体" w:cs="宋体"/>
          <w:bCs/>
          <w:color w:val="auto"/>
          <w:szCs w:val="21"/>
          <w:highlight w:val="none"/>
        </w:rPr>
        <w:t>714.955</w:t>
      </w:r>
      <w:r>
        <w:rPr>
          <w:rFonts w:hint="eastAsia" w:ascii="宋体" w:hAnsi="宋体" w:eastAsia="宋体" w:cs="宋体"/>
          <w:bCs/>
          <w:color w:val="auto"/>
          <w:sz w:val="21"/>
          <w:szCs w:val="21"/>
          <w:highlight w:val="none"/>
          <w:lang w:val="en-US" w:eastAsia="zh-CN"/>
        </w:rPr>
        <w:t>000</w:t>
      </w:r>
      <w:r>
        <w:rPr>
          <w:rFonts w:hint="eastAsia" w:ascii="宋体" w:hAnsi="宋体" w:eastAsia="宋体" w:cs="宋体"/>
          <w:bCs/>
          <w:color w:val="auto"/>
          <w:sz w:val="21"/>
          <w:szCs w:val="21"/>
          <w:highlight w:val="none"/>
        </w:rPr>
        <w:t>万元（采购包1：</w:t>
      </w:r>
      <w:r>
        <w:rPr>
          <w:rFonts w:hint="eastAsia" w:ascii="宋体" w:hAnsi="宋体" w:cs="宋体"/>
          <w:bCs/>
          <w:color w:val="auto"/>
          <w:szCs w:val="21"/>
          <w:highlight w:val="none"/>
        </w:rPr>
        <w:t>399.115</w:t>
      </w:r>
      <w:r>
        <w:rPr>
          <w:rFonts w:hint="eastAsia" w:ascii="宋体" w:hAnsi="宋体" w:eastAsia="宋体" w:cs="宋体"/>
          <w:bCs/>
          <w:color w:val="auto"/>
          <w:sz w:val="21"/>
          <w:szCs w:val="21"/>
          <w:highlight w:val="none"/>
          <w:lang w:val="en-US" w:eastAsia="zh-CN"/>
        </w:rPr>
        <w:t>000</w:t>
      </w:r>
      <w:r>
        <w:rPr>
          <w:rFonts w:hint="eastAsia" w:ascii="宋体" w:hAnsi="宋体" w:eastAsia="宋体" w:cs="宋体"/>
          <w:bCs/>
          <w:color w:val="auto"/>
          <w:sz w:val="21"/>
          <w:szCs w:val="21"/>
          <w:highlight w:val="none"/>
        </w:rPr>
        <w:t>万元；采购包2：</w:t>
      </w:r>
      <w:r>
        <w:rPr>
          <w:rFonts w:hint="eastAsia" w:ascii="宋体" w:hAnsi="宋体" w:cs="宋体"/>
          <w:bCs/>
          <w:color w:val="auto"/>
          <w:szCs w:val="21"/>
          <w:highlight w:val="none"/>
        </w:rPr>
        <w:t>315.84</w:t>
      </w:r>
      <w:r>
        <w:rPr>
          <w:rFonts w:hint="eastAsia" w:ascii="宋体" w:hAnsi="宋体" w:cs="宋体"/>
          <w:bCs/>
          <w:color w:val="auto"/>
          <w:szCs w:val="21"/>
          <w:highlight w:val="none"/>
          <w:lang w:val="en-US" w:eastAsia="zh-CN"/>
        </w:rPr>
        <w:t>0</w:t>
      </w:r>
      <w:r>
        <w:rPr>
          <w:rFonts w:hint="eastAsia" w:ascii="宋体" w:hAnsi="宋体" w:eastAsia="宋体" w:cs="宋体"/>
          <w:bCs/>
          <w:color w:val="auto"/>
          <w:sz w:val="21"/>
          <w:szCs w:val="21"/>
          <w:highlight w:val="none"/>
          <w:lang w:val="en-US" w:eastAsia="zh-CN"/>
        </w:rPr>
        <w:t>000</w:t>
      </w:r>
      <w:r>
        <w:rPr>
          <w:rFonts w:hint="eastAsia" w:ascii="宋体" w:hAnsi="宋体" w:eastAsia="宋体" w:cs="宋体"/>
          <w:bCs/>
          <w:color w:val="auto"/>
          <w:sz w:val="21"/>
          <w:szCs w:val="21"/>
          <w:highlight w:val="none"/>
        </w:rPr>
        <w:t>万元）</w:t>
      </w:r>
    </w:p>
    <w:p w14:paraId="461ABE85">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最高限价（如有）：</w:t>
      </w:r>
      <w:r>
        <w:rPr>
          <w:rFonts w:hint="eastAsia" w:ascii="宋体" w:hAnsi="宋体" w:cs="宋体"/>
          <w:bCs/>
          <w:color w:val="auto"/>
          <w:szCs w:val="21"/>
          <w:highlight w:val="none"/>
        </w:rPr>
        <w:t>714.955</w:t>
      </w:r>
      <w:r>
        <w:rPr>
          <w:rFonts w:hint="eastAsia" w:ascii="宋体" w:hAnsi="宋体" w:eastAsia="宋体" w:cs="宋体"/>
          <w:bCs/>
          <w:color w:val="auto"/>
          <w:sz w:val="21"/>
          <w:szCs w:val="21"/>
          <w:highlight w:val="none"/>
          <w:lang w:val="en-US" w:eastAsia="zh-CN"/>
        </w:rPr>
        <w:t>000</w:t>
      </w:r>
      <w:r>
        <w:rPr>
          <w:rFonts w:hint="eastAsia" w:ascii="宋体" w:hAnsi="宋体" w:eastAsia="宋体" w:cs="宋体"/>
          <w:bCs/>
          <w:color w:val="auto"/>
          <w:sz w:val="21"/>
          <w:szCs w:val="21"/>
          <w:highlight w:val="none"/>
        </w:rPr>
        <w:t>万元（采购包1：</w:t>
      </w:r>
      <w:r>
        <w:rPr>
          <w:rFonts w:hint="eastAsia" w:ascii="宋体" w:hAnsi="宋体" w:cs="宋体"/>
          <w:bCs/>
          <w:color w:val="auto"/>
          <w:szCs w:val="21"/>
          <w:highlight w:val="none"/>
        </w:rPr>
        <w:t>399.115</w:t>
      </w:r>
      <w:r>
        <w:rPr>
          <w:rFonts w:hint="eastAsia" w:ascii="宋体" w:hAnsi="宋体" w:eastAsia="宋体" w:cs="宋体"/>
          <w:bCs/>
          <w:color w:val="auto"/>
          <w:sz w:val="21"/>
          <w:szCs w:val="21"/>
          <w:highlight w:val="none"/>
          <w:lang w:val="en-US" w:eastAsia="zh-CN"/>
        </w:rPr>
        <w:t>000</w:t>
      </w:r>
      <w:r>
        <w:rPr>
          <w:rFonts w:hint="eastAsia" w:ascii="宋体" w:hAnsi="宋体" w:eastAsia="宋体" w:cs="宋体"/>
          <w:bCs/>
          <w:color w:val="auto"/>
          <w:sz w:val="21"/>
          <w:szCs w:val="21"/>
          <w:highlight w:val="none"/>
        </w:rPr>
        <w:t>万元；采购包2：</w:t>
      </w:r>
      <w:r>
        <w:rPr>
          <w:rFonts w:hint="eastAsia" w:ascii="宋体" w:hAnsi="宋体" w:cs="宋体"/>
          <w:bCs/>
          <w:color w:val="auto"/>
          <w:szCs w:val="21"/>
          <w:highlight w:val="none"/>
        </w:rPr>
        <w:t>315.84</w:t>
      </w:r>
      <w:r>
        <w:rPr>
          <w:rFonts w:hint="eastAsia" w:ascii="宋体" w:hAnsi="宋体" w:cs="宋体"/>
          <w:bCs/>
          <w:color w:val="auto"/>
          <w:szCs w:val="21"/>
          <w:highlight w:val="none"/>
          <w:lang w:val="en-US" w:eastAsia="zh-CN"/>
        </w:rPr>
        <w:t>0</w:t>
      </w:r>
      <w:r>
        <w:rPr>
          <w:rFonts w:hint="eastAsia" w:ascii="宋体" w:hAnsi="宋体" w:eastAsia="宋体" w:cs="宋体"/>
          <w:bCs/>
          <w:color w:val="auto"/>
          <w:sz w:val="21"/>
          <w:szCs w:val="21"/>
          <w:highlight w:val="none"/>
          <w:lang w:val="en-US" w:eastAsia="zh-CN"/>
        </w:rPr>
        <w:t>000</w:t>
      </w:r>
      <w:r>
        <w:rPr>
          <w:rFonts w:hint="eastAsia" w:ascii="宋体" w:hAnsi="宋体" w:eastAsia="宋体" w:cs="宋体"/>
          <w:bCs/>
          <w:color w:val="auto"/>
          <w:sz w:val="21"/>
          <w:szCs w:val="21"/>
          <w:highlight w:val="none"/>
        </w:rPr>
        <w:t>万元）</w:t>
      </w:r>
    </w:p>
    <w:p w14:paraId="419FDE01">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采购需求：</w:t>
      </w:r>
    </w:p>
    <w:p w14:paraId="740A5847">
      <w:pPr>
        <w:adjustRightInd w:val="0"/>
        <w:snapToGrid w:val="0"/>
        <w:spacing w:line="360" w:lineRule="auto"/>
        <w:jc w:val="center"/>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2026年中央转移支付食品安全抽检技术服务（第四季度）</w:t>
      </w:r>
      <w:r>
        <w:rPr>
          <w:rFonts w:hint="eastAsia" w:ascii="宋体" w:hAnsi="宋体" w:cs="宋体"/>
          <w:b/>
          <w:color w:val="auto"/>
          <w:szCs w:val="21"/>
          <w:highlight w:val="none"/>
        </w:rPr>
        <w:t>政府采购计划明细表</w:t>
      </w:r>
    </w:p>
    <w:tbl>
      <w:tblPr>
        <w:tblStyle w:val="34"/>
        <w:tblW w:w="88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4"/>
        <w:gridCol w:w="1636"/>
        <w:gridCol w:w="814"/>
        <w:gridCol w:w="997"/>
        <w:gridCol w:w="900"/>
        <w:gridCol w:w="835"/>
        <w:gridCol w:w="1136"/>
        <w:gridCol w:w="932"/>
        <w:gridCol w:w="1012"/>
      </w:tblGrid>
      <w:tr w14:paraId="79444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jc w:val="center"/>
        </w:trPr>
        <w:tc>
          <w:tcPr>
            <w:tcW w:w="5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781B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分包序号</w:t>
            </w:r>
          </w:p>
        </w:tc>
        <w:tc>
          <w:tcPr>
            <w:tcW w:w="16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A6CE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抽检品类</w:t>
            </w:r>
          </w:p>
        </w:tc>
        <w:tc>
          <w:tcPr>
            <w:tcW w:w="271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DB91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监督抽检</w:t>
            </w:r>
          </w:p>
        </w:tc>
        <w:tc>
          <w:tcPr>
            <w:tcW w:w="290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7207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风险抽检</w:t>
            </w:r>
          </w:p>
        </w:tc>
        <w:tc>
          <w:tcPr>
            <w:tcW w:w="10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AC27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采购预算（万元）</w:t>
            </w:r>
          </w:p>
        </w:tc>
      </w:tr>
      <w:tr w14:paraId="33C2F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9"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B710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AE62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DC8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批次数</w:t>
            </w:r>
          </w:p>
        </w:tc>
        <w:tc>
          <w:tcPr>
            <w:tcW w:w="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684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测算单价（万元/批次）</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28A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采购预算（万元）</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ED7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批次数</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2B9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测算单价（万元/批次）</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63A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采购预算（万元）</w:t>
            </w: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5A84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r>
      <w:tr w14:paraId="5444D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22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B81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合计</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BD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2885</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187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46D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504.875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5D6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1313</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58F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612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210.08</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4B6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714.955</w:t>
            </w:r>
          </w:p>
        </w:tc>
      </w:tr>
      <w:tr w14:paraId="009C7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FBB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包1</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44B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酒类</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587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156</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32A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672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11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1F7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9B2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11.36</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9C6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38.66</w:t>
            </w:r>
          </w:p>
        </w:tc>
      </w:tr>
      <w:tr w14:paraId="4E50C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14BA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34C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淀粉及淀粉制品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5A2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6E3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6ED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11.375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E0A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4F9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5BA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019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14.095</w:t>
            </w:r>
          </w:p>
        </w:tc>
      </w:tr>
      <w:tr w14:paraId="2C4A0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9A77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821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炒货食品及坚果制品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913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EB6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F23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33.075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E93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525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D27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473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35.795</w:t>
            </w:r>
          </w:p>
        </w:tc>
      </w:tr>
      <w:tr w14:paraId="6DEC9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50E3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458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蛋制品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28D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4FC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58A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296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7B8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F4A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889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6.57</w:t>
            </w:r>
          </w:p>
        </w:tc>
      </w:tr>
      <w:tr w14:paraId="40BF5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1319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C63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鲜蛋</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F28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BE0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2D8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6F1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730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608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23F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5.095</w:t>
            </w:r>
          </w:p>
        </w:tc>
      </w:tr>
      <w:tr w14:paraId="1EB29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4014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4E7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蜂产品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94E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2D7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172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2.275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CB7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B63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FA6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0.96</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0E7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3.235</w:t>
            </w:r>
          </w:p>
        </w:tc>
      </w:tr>
      <w:tr w14:paraId="07174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2688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C1B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速冻食品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98B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126</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5F5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01B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457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957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BAA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548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28.77</w:t>
            </w:r>
          </w:p>
        </w:tc>
      </w:tr>
      <w:tr w14:paraId="1AEAB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DBA1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847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薯类和膨化食品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351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3CB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ABF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4.025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F24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C0B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87C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005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10.745</w:t>
            </w:r>
          </w:p>
        </w:tc>
      </w:tr>
      <w:tr w14:paraId="17421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7557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68C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豆制品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507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2A1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86A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738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9D5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CAC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8.48</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1D9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14.43</w:t>
            </w:r>
          </w:p>
        </w:tc>
      </w:tr>
      <w:tr w14:paraId="76669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1A9F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648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调味品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83A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178</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06C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00D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31.15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22D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146</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55A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FCE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23.36</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040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54.51</w:t>
            </w:r>
          </w:p>
        </w:tc>
      </w:tr>
      <w:tr w14:paraId="0D7EA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7450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CA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肉制品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6DD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5F4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38D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20.825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D3B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4C6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DCD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14.72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693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35.545</w:t>
            </w:r>
          </w:p>
        </w:tc>
      </w:tr>
      <w:tr w14:paraId="6C719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5805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C0A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乳制品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FC6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245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BC2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105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94B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45D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E3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5.45</w:t>
            </w:r>
          </w:p>
        </w:tc>
      </w:tr>
      <w:tr w14:paraId="69B4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714E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76D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糖果制品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046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1B5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197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AF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732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054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2F9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15.09</w:t>
            </w:r>
          </w:p>
        </w:tc>
      </w:tr>
      <w:tr w14:paraId="7C3FD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B30A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A6F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茶叶及相关制品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66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C64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969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135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7FB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1BE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8F4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19.47</w:t>
            </w:r>
          </w:p>
        </w:tc>
      </w:tr>
      <w:tr w14:paraId="6D000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92A3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A69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食品添加剂</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754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EE0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856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FC0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CDE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F84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8C4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1.925</w:t>
            </w:r>
          </w:p>
        </w:tc>
      </w:tr>
      <w:tr w14:paraId="12A52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DB53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CF2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水果制品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2B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775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DA8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9.275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B7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D8A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145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5.28</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E5E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14.555</w:t>
            </w:r>
          </w:p>
        </w:tc>
      </w:tr>
      <w:tr w14:paraId="7966D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6F92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55A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糕点</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575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477</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1A7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177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83.475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14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67A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8AA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E6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87.475</w:t>
            </w:r>
          </w:p>
        </w:tc>
      </w:tr>
      <w:tr w14:paraId="403BA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FF37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5B1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豆类</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D14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D67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400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0.7</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8A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DE3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8CB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617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0.7</w:t>
            </w:r>
          </w:p>
        </w:tc>
      </w:tr>
      <w:tr w14:paraId="0F113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CCC0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604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应急专项</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1C4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D06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C8D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1E1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D23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E3A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9CF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6F6A6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0D77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E97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总计</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41C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1669</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B7D9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8DB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292.075</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B2F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669</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47B1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799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107.04</w:t>
            </w:r>
          </w:p>
        </w:tc>
        <w:tc>
          <w:tcPr>
            <w:tcW w:w="10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11B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399.115</w:t>
            </w:r>
          </w:p>
        </w:tc>
      </w:tr>
      <w:tr w14:paraId="78CAD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C37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包2</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B09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方便食品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E39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6A0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8E1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7.525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246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828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4B7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6.24</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294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13.765</w:t>
            </w:r>
          </w:p>
        </w:tc>
      </w:tr>
      <w:tr w14:paraId="2B61D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C54E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78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饼干</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68A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A5C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1D6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5.775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7EF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79E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E6D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8F2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5.775</w:t>
            </w:r>
          </w:p>
        </w:tc>
      </w:tr>
      <w:tr w14:paraId="0014A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664F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AD3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罐头</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211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CAD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5F8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AB5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1F3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A78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85B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7.55</w:t>
            </w:r>
          </w:p>
        </w:tc>
      </w:tr>
      <w:tr w14:paraId="4DC66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9D36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4B0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食用油、油脂及其制品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78A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6B7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02B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154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C78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E15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12.48</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CC7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19.13</w:t>
            </w:r>
          </w:p>
        </w:tc>
      </w:tr>
      <w:tr w14:paraId="154CD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3BEF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D39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粮食加工品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659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ED8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93E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40.6</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DCD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B2B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94B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58D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53.72</w:t>
            </w:r>
          </w:p>
        </w:tc>
      </w:tr>
      <w:tr w14:paraId="6671B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6F56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A23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可可及焙烤咖啡产品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47D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D8B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F85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633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140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993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14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2.26</w:t>
            </w:r>
          </w:p>
        </w:tc>
      </w:tr>
      <w:tr w14:paraId="38007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5C2F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E69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冷冻饮品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97A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42F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9A5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3D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FB6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A87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F3F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w:t>
            </w:r>
          </w:p>
        </w:tc>
      </w:tr>
      <w:tr w14:paraId="344E9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CFA5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ED0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生干坚果与籽类食品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B18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716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F25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E85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BE1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29E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D58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14:paraId="17783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DD2D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754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水产品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85F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B57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EEF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F1F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B2B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8E4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77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15.55</w:t>
            </w:r>
          </w:p>
        </w:tc>
      </w:tr>
      <w:tr w14:paraId="70513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0E35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B61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畜禽肉及副产品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561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544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2D8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669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8A4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009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8CC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15.17</w:t>
            </w:r>
          </w:p>
        </w:tc>
      </w:tr>
      <w:tr w14:paraId="43B19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8246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6F9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饮料</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0B9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156</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92D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279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7EC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93C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F45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AC2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39.3</w:t>
            </w:r>
          </w:p>
        </w:tc>
      </w:tr>
      <w:tr w14:paraId="6CAEF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0FCA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F24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保健食品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997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1AE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058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5.775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5CA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E55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0C5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4.64</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939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10.415</w:t>
            </w:r>
          </w:p>
        </w:tc>
      </w:tr>
      <w:tr w14:paraId="75359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6C62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A3C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食糖</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48F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FB5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47E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2.275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7D9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BE3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BEC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9E5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4.995</w:t>
            </w:r>
          </w:p>
        </w:tc>
      </w:tr>
      <w:tr w14:paraId="3C000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A629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0A0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水产制品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6F9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640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C09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14.525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483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FC5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280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5.28</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C95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19.805</w:t>
            </w:r>
          </w:p>
        </w:tc>
      </w:tr>
      <w:tr w14:paraId="0C630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DB5F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006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蔬菜制品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D06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A91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7D4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33B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08B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C4D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10.88</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9CB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26.63</w:t>
            </w:r>
          </w:p>
        </w:tc>
      </w:tr>
      <w:tr w14:paraId="49057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0095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9E7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7A3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0C6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032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18.55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97F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33A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262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421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22.07</w:t>
            </w:r>
          </w:p>
        </w:tc>
      </w:tr>
      <w:tr w14:paraId="2A099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4DF1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EAC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水果类</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D14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410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66B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82E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C92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60E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C52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r>
      <w:tr w14:paraId="3F91D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7747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79C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餐饮食品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854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141</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A9E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01E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24.675</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916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055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E99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18.88</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B70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43.555</w:t>
            </w:r>
          </w:p>
        </w:tc>
      </w:tr>
      <w:tr w14:paraId="6DBC7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FCEF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4F5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特殊膳食食品</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5F7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EFF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729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02B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237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95F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253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r>
      <w:tr w14:paraId="4A580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1399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911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总计</w:t>
            </w:r>
          </w:p>
        </w:tc>
        <w:tc>
          <w:tcPr>
            <w:tcW w:w="8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6BA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1216</w:t>
            </w:r>
          </w:p>
        </w:tc>
        <w:tc>
          <w:tcPr>
            <w:tcW w:w="9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E72D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EA2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212.8</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9F8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644</w:t>
            </w:r>
          </w:p>
        </w:tc>
        <w:tc>
          <w:tcPr>
            <w:tcW w:w="11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0D3B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37A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103.04</w:t>
            </w:r>
          </w:p>
        </w:tc>
        <w:tc>
          <w:tcPr>
            <w:tcW w:w="10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8E7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315.84</w:t>
            </w:r>
          </w:p>
        </w:tc>
      </w:tr>
    </w:tbl>
    <w:p w14:paraId="5F65482D">
      <w:pPr>
        <w:rPr>
          <w:rFonts w:hint="eastAsia" w:ascii="宋体" w:hAnsi="宋体" w:eastAsia="宋体" w:cs="宋体"/>
          <w:color w:val="auto"/>
          <w:sz w:val="21"/>
          <w:szCs w:val="21"/>
          <w:highlight w:val="none"/>
        </w:rPr>
      </w:pPr>
    </w:p>
    <w:p w14:paraId="79DECF6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为高质量完成年度食品安全抽检监测任务，现向全国范围内进行检验机构公开招标，承担</w:t>
      </w:r>
      <w:r>
        <w:rPr>
          <w:rFonts w:hint="eastAsia" w:ascii="宋体" w:hAnsi="宋体" w:cs="宋体"/>
          <w:bCs/>
          <w:color w:val="auto"/>
          <w:sz w:val="21"/>
          <w:szCs w:val="21"/>
          <w:highlight w:val="none"/>
          <w:lang w:eastAsia="zh-CN"/>
        </w:rPr>
        <w:t>2026年中央转移支付食品安全抽检技术服务（第四季度）</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详见第四章采购需求。</w:t>
      </w:r>
    </w:p>
    <w:p w14:paraId="56A4186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合同履行期限：自合同签订之日起至2026年</w:t>
      </w:r>
      <w:r>
        <w:rPr>
          <w:rFonts w:hint="eastAsia" w:ascii="宋体" w:hAnsi="宋体" w:cs="宋体"/>
          <w:bCs/>
          <w:color w:val="auto"/>
          <w:sz w:val="21"/>
          <w:szCs w:val="21"/>
          <w:highlight w:val="none"/>
          <w:lang w:val="en-US" w:eastAsia="zh-CN"/>
        </w:rPr>
        <w:t>12</w:t>
      </w:r>
      <w:r>
        <w:rPr>
          <w:rFonts w:hint="eastAsia" w:ascii="宋体" w:hAnsi="宋体" w:eastAsia="宋体" w:cs="宋体"/>
          <w:bCs/>
          <w:color w:val="auto"/>
          <w:sz w:val="21"/>
          <w:szCs w:val="21"/>
          <w:highlight w:val="none"/>
        </w:rPr>
        <w:t>月</w:t>
      </w:r>
      <w:r>
        <w:rPr>
          <w:rFonts w:hint="eastAsia" w:ascii="宋体" w:hAnsi="宋体" w:cs="宋体"/>
          <w:bCs/>
          <w:color w:val="auto"/>
          <w:sz w:val="21"/>
          <w:szCs w:val="21"/>
          <w:highlight w:val="none"/>
          <w:lang w:val="en-US" w:eastAsia="zh-CN"/>
        </w:rPr>
        <w:t>1</w:t>
      </w:r>
      <w:r>
        <w:rPr>
          <w:rFonts w:hint="eastAsia" w:ascii="宋体" w:hAnsi="宋体" w:eastAsia="宋体" w:cs="宋体"/>
          <w:bCs/>
          <w:color w:val="auto"/>
          <w:sz w:val="21"/>
          <w:szCs w:val="21"/>
          <w:highlight w:val="none"/>
        </w:rPr>
        <w:t>0日</w:t>
      </w:r>
      <w:r>
        <w:rPr>
          <w:rFonts w:hint="eastAsia" w:ascii="Microsoft New Tai Lue" w:hAnsi="Microsoft New Tai Lue" w:cs="Microsoft New Tai Lue"/>
          <w:bCs/>
          <w:color w:val="auto"/>
          <w:szCs w:val="21"/>
          <w:highlight w:val="none"/>
          <w:lang w:val="en-US" w:eastAsia="zh-CN"/>
        </w:rPr>
        <w:t>前</w:t>
      </w:r>
      <w:r>
        <w:rPr>
          <w:rFonts w:hint="eastAsia" w:ascii="宋体" w:hAnsi="宋体" w:eastAsia="宋体" w:cs="宋体"/>
          <w:bCs/>
          <w:color w:val="auto"/>
          <w:sz w:val="21"/>
          <w:szCs w:val="21"/>
          <w:highlight w:val="none"/>
        </w:rPr>
        <w:t>完成。</w:t>
      </w:r>
    </w:p>
    <w:p w14:paraId="1ADFC45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本项目（是/否）接受联合体投标：否</w:t>
      </w:r>
    </w:p>
    <w:p w14:paraId="18922604">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bCs/>
          <w:color w:val="auto"/>
          <w:kern w:val="44"/>
          <w:sz w:val="21"/>
          <w:szCs w:val="21"/>
          <w:highlight w:val="none"/>
        </w:rPr>
      </w:pPr>
      <w:bookmarkStart w:id="8" w:name="_Toc80264698"/>
      <w:bookmarkStart w:id="9" w:name="_Toc80792689"/>
      <w:bookmarkStart w:id="10" w:name="_Toc93909066"/>
      <w:bookmarkStart w:id="11" w:name="_Toc96347852"/>
      <w:r>
        <w:rPr>
          <w:rFonts w:hint="eastAsia" w:ascii="宋体" w:hAnsi="宋体" w:eastAsia="宋体" w:cs="宋体"/>
          <w:b/>
          <w:bCs/>
          <w:color w:val="auto"/>
          <w:kern w:val="44"/>
          <w:sz w:val="21"/>
          <w:szCs w:val="21"/>
          <w:highlight w:val="none"/>
        </w:rPr>
        <w:t>二、</w:t>
      </w:r>
      <w:bookmarkEnd w:id="8"/>
      <w:r>
        <w:rPr>
          <w:rFonts w:hint="eastAsia" w:ascii="宋体" w:hAnsi="宋体" w:eastAsia="宋体" w:cs="宋体"/>
          <w:b/>
          <w:bCs/>
          <w:color w:val="auto"/>
          <w:kern w:val="44"/>
          <w:sz w:val="21"/>
          <w:szCs w:val="21"/>
          <w:highlight w:val="none"/>
        </w:rPr>
        <w:t>申请人的资格要求</w:t>
      </w:r>
      <w:bookmarkEnd w:id="9"/>
      <w:bookmarkEnd w:id="10"/>
      <w:r>
        <w:rPr>
          <w:rFonts w:hint="eastAsia" w:ascii="宋体" w:hAnsi="宋体" w:eastAsia="宋体" w:cs="宋体"/>
          <w:b/>
          <w:bCs/>
          <w:color w:val="auto"/>
          <w:kern w:val="44"/>
          <w:sz w:val="21"/>
          <w:szCs w:val="21"/>
          <w:highlight w:val="none"/>
        </w:rPr>
        <w:t>：</w:t>
      </w:r>
      <w:bookmarkEnd w:id="11"/>
    </w:p>
    <w:p w14:paraId="3BC63F8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bookmarkStart w:id="12" w:name="_Toc80792690"/>
      <w:bookmarkStart w:id="13" w:name="_Toc80264699"/>
      <w:bookmarkStart w:id="14" w:name="_Toc93909067"/>
      <w:bookmarkStart w:id="15" w:name="_Toc96347853"/>
      <w:r>
        <w:rPr>
          <w:rFonts w:hint="eastAsia" w:ascii="宋体" w:hAnsi="宋体" w:eastAsia="宋体" w:cs="宋体"/>
          <w:bCs/>
          <w:color w:val="auto"/>
          <w:sz w:val="21"/>
          <w:szCs w:val="21"/>
          <w:highlight w:val="none"/>
        </w:rPr>
        <w:t>（一）满足《中华人民共和国政府采购法》第二十二条规定：</w:t>
      </w:r>
    </w:p>
    <w:p w14:paraId="5907B45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rPr>
        <w:t xml:space="preserve"> </w:t>
      </w:r>
      <w:r>
        <w:rPr>
          <w:rFonts w:hint="eastAsia"/>
        </w:rPr>
        <w:t>具有独立承担民事责任的能力，提供</w:t>
      </w:r>
      <w:r>
        <w:rPr>
          <w:rFonts w:hint="eastAsia" w:ascii="宋体" w:hAnsi="宋体" w:eastAsia="宋体" w:cs="宋体"/>
          <w:bCs/>
          <w:color w:val="auto"/>
          <w:sz w:val="21"/>
          <w:szCs w:val="21"/>
          <w:highlight w:val="none"/>
        </w:rPr>
        <w:t>法人或者其他组织的营业执照等证明文件，自然人的身份证明；</w:t>
      </w:r>
    </w:p>
    <w:p w14:paraId="1C733B0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具有良好的商业信誉和健全的财务会计制度，提供202</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年度经审计的财务报表（如为成立不满一年的公司，应提供公司成立之后的财务报表）或投标截止时间前6个月内，由其基本开户银行出具的资信证明或财政部门认可的政府采购专业担保机构出具的投标担保函；</w:t>
      </w:r>
    </w:p>
    <w:p w14:paraId="339038D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具有履行合同所必需的设备和专业技术能力，提供具备履行合同所必需的设备和专业技术能力的证明材料或承诺函（由供应商根据项目需求提供说明材料）；</w:t>
      </w:r>
    </w:p>
    <w:p w14:paraId="4CC3F02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有依法缴纳税收和社会保障资金的良好记录，提供本次采购活动前6个月内，至少1个月缴纳税收和社会保险的凭证，依法享受免缴、缓缴的，提供证明材料；</w:t>
      </w:r>
    </w:p>
    <w:p w14:paraId="5D746A0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参加政府采购活动前三年内，在经营活动中没有重大违法记录，提供声明函原件（重大违法记录是指供应商因违法经营受到刑事处罚或责令停产停业、吊销许可证或者执照、较大数额罚款等行政处罚）。</w:t>
      </w:r>
    </w:p>
    <w:p w14:paraId="5F0B873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r>
        <w:rPr>
          <w:rFonts w:hint="eastAsia" w:ascii="宋体" w:hAnsi="宋体" w:eastAsia="宋体" w:cs="宋体"/>
          <w:color w:val="auto"/>
          <w:sz w:val="21"/>
          <w:szCs w:val="21"/>
          <w:highlight w:val="none"/>
        </w:rPr>
        <w:t xml:space="preserve"> </w:t>
      </w:r>
      <w:r>
        <w:rPr>
          <w:rFonts w:hint="eastAsia" w:ascii="宋体" w:hAnsi="宋体" w:eastAsia="宋体" w:cs="宋体"/>
          <w:bCs/>
          <w:color w:val="auto"/>
          <w:sz w:val="21"/>
          <w:szCs w:val="21"/>
          <w:highlight w:val="none"/>
        </w:rPr>
        <w:t>法律、行政法规规定的其他条件。</w:t>
      </w:r>
    </w:p>
    <w:p w14:paraId="403090E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（二）落实政府采购政策需满足的资格要求：</w:t>
      </w:r>
    </w:p>
    <w:p w14:paraId="7C1ECCF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1.中小企业政策</w:t>
      </w:r>
    </w:p>
    <w:p w14:paraId="5297CB1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本项目不面向中小企业预留采购份额。</w:t>
      </w:r>
    </w:p>
    <w:p w14:paraId="14CB680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2.其它落实政府采购政策的资格要求：无。</w:t>
      </w:r>
    </w:p>
    <w:p w14:paraId="448B97D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（三）本项目的特定资格要求：</w:t>
      </w:r>
    </w:p>
    <w:p w14:paraId="273B87E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1.特定资格条件：</w:t>
      </w:r>
    </w:p>
    <w:p w14:paraId="379E886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符合《政府购买服务管理办法》（财政部令第102号）第六条</w:t>
      </w:r>
      <w:r>
        <w:rPr>
          <w:rFonts w:hint="eastAsia" w:ascii="宋体" w:hAnsi="宋体" w:eastAsia="宋体" w:cs="宋体"/>
          <w:bCs/>
          <w:color w:val="auto"/>
          <w:sz w:val="21"/>
          <w:szCs w:val="21"/>
          <w:highlight w:val="none"/>
          <w:lang w:val="en-US" w:eastAsia="zh-CN"/>
        </w:rPr>
        <w:t>和</w:t>
      </w:r>
      <w:r>
        <w:rPr>
          <w:rFonts w:hint="eastAsia" w:ascii="宋体" w:hAnsi="宋体" w:eastAsia="宋体" w:cs="宋体"/>
          <w:bCs/>
          <w:color w:val="auto"/>
          <w:sz w:val="21"/>
          <w:szCs w:val="21"/>
          <w:highlight w:val="none"/>
        </w:rPr>
        <w:t>第八条规定</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提供声明函并加盖公章</w:t>
      </w:r>
      <w:r>
        <w:rPr>
          <w:rFonts w:hint="eastAsia" w:ascii="宋体" w:hAnsi="宋体" w:eastAsia="宋体" w:cs="宋体"/>
          <w:bCs/>
          <w:color w:val="auto"/>
          <w:sz w:val="21"/>
          <w:szCs w:val="21"/>
          <w:highlight w:val="none"/>
          <w:lang w:eastAsia="zh-CN"/>
        </w:rPr>
        <w:t>）；</w:t>
      </w:r>
    </w:p>
    <w:p w14:paraId="7F763F6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供应商具备检验检测机构资质认定证书（CMA），合同履行期限内CMA资质附表中的项目包含所投标包检测内容。（提供有效期内的证书复印件并加盖公章和合同履行期限内CMA资质附表中的项目包含所投标包检测内容的承诺函并加盖公章，如证书有效期未能覆盖合同履行期限的，须提供证书有效期能覆盖合同履行期限的承诺函并加盖公章）。</w:t>
      </w:r>
    </w:p>
    <w:p w14:paraId="070B0FB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2.供应商存在下列情形的不得参加本次招标活动：</w:t>
      </w:r>
    </w:p>
    <w:p w14:paraId="4AC8418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（1）单位负责人为同一人或者存在直接控股、管理关系的不同供应商，不得参加同一合同项下的政府采购活动。</w:t>
      </w:r>
    </w:p>
    <w:p w14:paraId="7AF2DAC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（2）除单一来源项目外，凡为采购项目提供整体设计、规范编制或者项目管理、监理、检测等服务的供应商不得再参加本项目的采购活动。</w:t>
      </w:r>
    </w:p>
    <w:p w14:paraId="7D660A2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通过“信用中国”网站（http://www.creditchina.gov.cn）、中国政府采购网（www.ccgp.gov.cn）查询供应商在投标截止时间前的信用记录，通过以上查询渠道，供应商被列入失信被执行人、重大税收违法失信主体名单、政府采购严重违法失信行为记录。</w:t>
      </w:r>
    </w:p>
    <w:p w14:paraId="301CAD6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须</w:t>
      </w:r>
      <w:r>
        <w:rPr>
          <w:rFonts w:hint="eastAsia" w:ascii="宋体" w:hAnsi="宋体" w:eastAsia="宋体" w:cs="宋体"/>
          <w:bCs/>
          <w:color w:val="auto"/>
          <w:sz w:val="21"/>
          <w:szCs w:val="21"/>
          <w:highlight w:val="none"/>
        </w:rPr>
        <w:t>提供无不良信用记录承诺并加盖</w:t>
      </w:r>
      <w:r>
        <w:rPr>
          <w:rFonts w:hint="eastAsia" w:ascii="宋体" w:hAnsi="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公章。</w:t>
      </w:r>
    </w:p>
    <w:p w14:paraId="0566DA8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bCs/>
          <w:color w:val="auto"/>
          <w:kern w:val="44"/>
          <w:sz w:val="21"/>
          <w:szCs w:val="21"/>
          <w:highlight w:val="none"/>
        </w:rPr>
      </w:pPr>
      <w:r>
        <w:rPr>
          <w:rFonts w:hint="eastAsia" w:ascii="宋体" w:hAnsi="宋体" w:eastAsia="宋体" w:cs="宋体"/>
          <w:b/>
          <w:bCs/>
          <w:color w:val="auto"/>
          <w:kern w:val="44"/>
          <w:sz w:val="21"/>
          <w:szCs w:val="21"/>
          <w:highlight w:val="none"/>
        </w:rPr>
        <w:t>三、获取招标文件</w:t>
      </w:r>
      <w:bookmarkEnd w:id="12"/>
      <w:bookmarkEnd w:id="13"/>
      <w:bookmarkEnd w:id="14"/>
      <w:bookmarkEnd w:id="15"/>
    </w:p>
    <w:p w14:paraId="2B27F31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Cs/>
          <w:color w:val="auto"/>
          <w:sz w:val="21"/>
          <w:szCs w:val="21"/>
          <w:highlight w:val="none"/>
        </w:rPr>
      </w:pPr>
      <w:bookmarkStart w:id="16" w:name="_Toc80264700"/>
      <w:bookmarkStart w:id="17" w:name="_Toc80792691"/>
      <w:bookmarkStart w:id="18" w:name="_Toc93909068"/>
      <w:bookmarkStart w:id="19" w:name="_Toc96347854"/>
      <w:r>
        <w:rPr>
          <w:rFonts w:hint="eastAsia" w:ascii="宋体" w:hAnsi="宋体" w:eastAsia="宋体" w:cs="宋体"/>
          <w:bCs/>
          <w:color w:val="auto"/>
          <w:sz w:val="21"/>
          <w:szCs w:val="21"/>
          <w:highlight w:val="none"/>
        </w:rPr>
        <w:t>时间：自招标文件公告发布之日起5个工作日</w:t>
      </w:r>
    </w:p>
    <w:p w14:paraId="3315932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地点：江苏政府采购网</w:t>
      </w:r>
    </w:p>
    <w:p w14:paraId="5B9D423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方式：</w:t>
      </w:r>
      <w:r>
        <w:rPr>
          <w:rFonts w:hint="eastAsia"/>
          <w:color w:val="auto"/>
          <w:szCs w:val="21"/>
        </w:rPr>
        <w:t>登录江苏政府采购网，点击"苏采云"使用CA锁登录系统</w:t>
      </w:r>
      <w:r>
        <w:rPr>
          <w:rFonts w:hint="eastAsia"/>
          <w:color w:val="auto"/>
          <w:szCs w:val="21"/>
          <w:lang w:eastAsia="zh-CN"/>
        </w:rPr>
        <w:t>（</w:t>
      </w:r>
      <w:r>
        <w:rPr>
          <w:rFonts w:hint="eastAsia"/>
          <w:color w:val="auto"/>
          <w:szCs w:val="21"/>
        </w:rPr>
        <w:t>新用户应进行"平台用户注册"</w:t>
      </w:r>
      <w:r>
        <w:rPr>
          <w:rFonts w:hint="eastAsia"/>
          <w:color w:val="auto"/>
          <w:szCs w:val="21"/>
          <w:lang w:eastAsia="zh-CN"/>
        </w:rPr>
        <w:t>）</w:t>
      </w:r>
      <w:r>
        <w:rPr>
          <w:rFonts w:hint="eastAsia"/>
          <w:color w:val="auto"/>
          <w:szCs w:val="21"/>
        </w:rPr>
        <w:t>，点击"项目参与"进行登记，在"可参与项目"中选择"我要参与"，参与成功后到"已参与项目"界面中找到该项目下载文件</w:t>
      </w:r>
      <w:r>
        <w:rPr>
          <w:rFonts w:hint="eastAsia" w:ascii="宋体" w:hAnsi="宋体" w:cs="宋体"/>
          <w:bCs/>
          <w:color w:val="auto"/>
          <w:sz w:val="21"/>
          <w:szCs w:val="21"/>
          <w:highlight w:val="none"/>
          <w:lang w:eastAsia="zh-CN"/>
        </w:rPr>
        <w:t>。</w:t>
      </w:r>
    </w:p>
    <w:p w14:paraId="1DAB72B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售价：0.00元</w:t>
      </w:r>
    </w:p>
    <w:p w14:paraId="6F6D71F2">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44"/>
          <w:sz w:val="21"/>
          <w:szCs w:val="21"/>
          <w:highlight w:val="none"/>
        </w:rPr>
      </w:pPr>
      <w:r>
        <w:rPr>
          <w:rFonts w:hint="eastAsia" w:ascii="宋体" w:hAnsi="宋体" w:eastAsia="宋体" w:cs="宋体"/>
          <w:b/>
          <w:bCs/>
          <w:color w:val="auto"/>
          <w:kern w:val="44"/>
          <w:sz w:val="21"/>
          <w:szCs w:val="21"/>
          <w:highlight w:val="none"/>
        </w:rPr>
        <w:t>四、</w:t>
      </w:r>
      <w:bookmarkEnd w:id="16"/>
      <w:bookmarkEnd w:id="17"/>
      <w:r>
        <w:rPr>
          <w:rFonts w:hint="eastAsia" w:ascii="宋体" w:hAnsi="宋体" w:eastAsia="宋体" w:cs="宋体"/>
          <w:b/>
          <w:bCs/>
          <w:color w:val="auto"/>
          <w:kern w:val="44"/>
          <w:sz w:val="21"/>
          <w:szCs w:val="21"/>
          <w:highlight w:val="none"/>
        </w:rPr>
        <w:t>提交投标文件截止时间、开标时间和地点</w:t>
      </w:r>
      <w:bookmarkEnd w:id="18"/>
      <w:bookmarkEnd w:id="19"/>
    </w:p>
    <w:p w14:paraId="780B6E8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Cs/>
          <w:color w:val="auto"/>
          <w:sz w:val="21"/>
          <w:szCs w:val="21"/>
          <w:highlight w:val="none"/>
        </w:rPr>
      </w:pPr>
      <w:bookmarkStart w:id="20" w:name="_Toc80792693"/>
      <w:bookmarkStart w:id="21" w:name="_Toc96347855"/>
      <w:bookmarkStart w:id="22" w:name="_Toc93909069"/>
      <w:r>
        <w:rPr>
          <w:rFonts w:hint="eastAsia" w:ascii="宋体" w:hAnsi="宋体" w:eastAsia="宋体" w:cs="宋体"/>
          <w:bCs/>
          <w:color w:val="auto"/>
          <w:sz w:val="21"/>
          <w:szCs w:val="21"/>
          <w:highlight w:val="none"/>
        </w:rPr>
        <w:t>2026-</w:t>
      </w:r>
      <w:r>
        <w:rPr>
          <w:rFonts w:hint="eastAsia" w:ascii="宋体" w:hAnsi="宋体" w:cs="宋体"/>
          <w:bCs/>
          <w:color w:val="auto"/>
          <w:sz w:val="21"/>
          <w:szCs w:val="21"/>
          <w:highlight w:val="none"/>
          <w:lang w:val="en-US" w:eastAsia="zh-CN"/>
        </w:rPr>
        <w:t>10</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08</w:t>
      </w:r>
      <w:r>
        <w:rPr>
          <w:rFonts w:hint="eastAsia" w:ascii="宋体" w:hAnsi="宋体" w:eastAsia="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09</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0</w:t>
      </w:r>
      <w:r>
        <w:rPr>
          <w:rFonts w:hint="eastAsia" w:ascii="宋体" w:hAnsi="宋体" w:cs="宋体"/>
          <w:bCs/>
          <w:color w:val="auto"/>
          <w:sz w:val="21"/>
          <w:szCs w:val="21"/>
          <w:highlight w:val="none"/>
          <w:lang w:eastAsia="zh-CN"/>
        </w:rPr>
        <w:t>0</w:t>
      </w:r>
      <w:r>
        <w:rPr>
          <w:rFonts w:hint="eastAsia" w:ascii="宋体" w:hAnsi="宋体" w:eastAsia="宋体" w:cs="宋体"/>
          <w:bCs/>
          <w:color w:val="auto"/>
          <w:sz w:val="21"/>
          <w:szCs w:val="21"/>
          <w:highlight w:val="none"/>
        </w:rPr>
        <w:t>（北京时间）</w:t>
      </w:r>
    </w:p>
    <w:p w14:paraId="7EC446E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地点：江苏省政府采购管理交易系统（苏采云）（以下简称“苏采云”）（网址：http://jszfcg.jsczt.cn/）</w:t>
      </w:r>
    </w:p>
    <w:p w14:paraId="5CD257B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44"/>
          <w:sz w:val="21"/>
          <w:szCs w:val="21"/>
          <w:highlight w:val="none"/>
        </w:rPr>
      </w:pPr>
      <w:r>
        <w:rPr>
          <w:rFonts w:hint="eastAsia" w:ascii="宋体" w:hAnsi="宋体" w:eastAsia="宋体" w:cs="宋体"/>
          <w:b/>
          <w:bCs/>
          <w:color w:val="auto"/>
          <w:kern w:val="44"/>
          <w:sz w:val="21"/>
          <w:szCs w:val="21"/>
          <w:highlight w:val="none"/>
        </w:rPr>
        <w:t>五、</w:t>
      </w:r>
      <w:bookmarkEnd w:id="20"/>
      <w:r>
        <w:rPr>
          <w:rFonts w:hint="eastAsia" w:ascii="宋体" w:hAnsi="宋体" w:eastAsia="宋体" w:cs="宋体"/>
          <w:b/>
          <w:bCs/>
          <w:color w:val="auto"/>
          <w:kern w:val="44"/>
          <w:sz w:val="21"/>
          <w:szCs w:val="21"/>
          <w:highlight w:val="none"/>
        </w:rPr>
        <w:t>公告期</w:t>
      </w:r>
      <w:bookmarkEnd w:id="21"/>
      <w:bookmarkEnd w:id="22"/>
      <w:r>
        <w:rPr>
          <w:rFonts w:hint="eastAsia" w:ascii="宋体" w:hAnsi="宋体" w:eastAsia="宋体" w:cs="宋体"/>
          <w:b/>
          <w:bCs/>
          <w:color w:val="auto"/>
          <w:kern w:val="44"/>
          <w:sz w:val="21"/>
          <w:szCs w:val="21"/>
          <w:highlight w:val="none"/>
        </w:rPr>
        <w:t>限</w:t>
      </w:r>
    </w:p>
    <w:p w14:paraId="0470636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自本公告发布之日起5个工作日。</w:t>
      </w:r>
      <w:bookmarkStart w:id="23" w:name="_Toc93909070"/>
      <w:bookmarkStart w:id="24" w:name="_Toc96347856"/>
    </w:p>
    <w:p w14:paraId="44F56AD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44"/>
          <w:sz w:val="21"/>
          <w:szCs w:val="21"/>
          <w:highlight w:val="none"/>
        </w:rPr>
      </w:pPr>
      <w:r>
        <w:rPr>
          <w:rFonts w:hint="eastAsia" w:ascii="宋体" w:hAnsi="宋体" w:eastAsia="宋体" w:cs="宋体"/>
          <w:b/>
          <w:bCs/>
          <w:color w:val="auto"/>
          <w:kern w:val="44"/>
          <w:sz w:val="21"/>
          <w:szCs w:val="21"/>
          <w:highlight w:val="none"/>
        </w:rPr>
        <w:t>六、其他补充事宜</w:t>
      </w:r>
      <w:bookmarkEnd w:id="23"/>
      <w:bookmarkEnd w:id="24"/>
      <w:bookmarkStart w:id="25" w:name="_Toc80792694"/>
      <w:bookmarkStart w:id="26" w:name="_Toc80264702"/>
      <w:bookmarkStart w:id="27" w:name="_Toc96347857"/>
      <w:bookmarkStart w:id="28" w:name="_Toc93909071"/>
    </w:p>
    <w:p w14:paraId="75479B0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Microsoft New Tai Lue" w:hAnsi="Microsoft New Tai Lue" w:cs="Microsoft New Tai Lue"/>
          <w:b/>
          <w:bCs/>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1.</w:t>
      </w:r>
      <w:r>
        <w:rPr>
          <w:rFonts w:hint="eastAsia" w:ascii="Microsoft New Tai Lue" w:hAnsi="Microsoft New Tai Lue" w:cs="Microsoft New Tai Lue"/>
          <w:b/>
          <w:bCs/>
          <w:color w:val="auto"/>
          <w:szCs w:val="21"/>
          <w:highlight w:val="none"/>
          <w:lang w:val="en-US" w:eastAsia="zh-CN"/>
        </w:rPr>
        <w:t>获取时间：</w:t>
      </w:r>
      <w:r>
        <w:rPr>
          <w:rFonts w:hint="eastAsia" w:ascii="Microsoft New Tai Lue" w:hAnsi="Microsoft New Tai Lue" w:cs="Microsoft New Tai Lue"/>
          <w:b/>
          <w:bCs/>
          <w:color w:val="auto"/>
          <w:szCs w:val="21"/>
          <w:highlight w:val="none"/>
        </w:rPr>
        <w:t>自招标文件公告发布之日起</w:t>
      </w:r>
      <w:r>
        <w:rPr>
          <w:rFonts w:hint="eastAsia" w:ascii="Microsoft New Tai Lue" w:hAnsi="Microsoft New Tai Lue" w:cs="Microsoft New Tai Lue"/>
          <w:b/>
          <w:bCs/>
          <w:color w:val="auto"/>
          <w:szCs w:val="21"/>
          <w:highlight w:val="none"/>
          <w:lang w:val="en-US" w:eastAsia="zh-CN"/>
        </w:rPr>
        <w:t>至2026年09月21日17时00分（北京时间）。</w:t>
      </w:r>
    </w:p>
    <w:p w14:paraId="0851616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.政府采购支持政策：</w:t>
      </w:r>
    </w:p>
    <w:p w14:paraId="083C5D3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（1）《政府采购促进中小企业发展管理办法》（财库【2020】46号）</w:t>
      </w:r>
    </w:p>
    <w:p w14:paraId="6D8BB20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（2）《关于进一步加大政府采购支持中小企业力度的通知》（财库【2022】19号）</w:t>
      </w:r>
    </w:p>
    <w:p w14:paraId="33FBC81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（3）《关于政府采购支持监狱企业发展有关问题的通知》</w:t>
      </w:r>
    </w:p>
    <w:p w14:paraId="7FC97F9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（4）《关于促进残疾人就业政府采购政策的通知》</w:t>
      </w:r>
    </w:p>
    <w:p w14:paraId="2070117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（5）《关于调整优化节能产品、环境标志产品政府采购执行机制的通知》</w:t>
      </w:r>
    </w:p>
    <w:p w14:paraId="299BA280">
      <w:pPr>
        <w:widowControl/>
        <w:spacing w:line="360" w:lineRule="auto"/>
        <w:ind w:firstLine="420" w:firstLineChars="200"/>
        <w:rPr>
          <w:rFonts w:hint="eastAsia"/>
        </w:rPr>
      </w:pPr>
      <w:r>
        <w:rPr>
          <w:rFonts w:hint="eastAsia" w:cs="Microsoft New Tai Lue"/>
          <w:color w:val="auto"/>
          <w:kern w:val="44"/>
          <w:sz w:val="21"/>
          <w:szCs w:val="44"/>
        </w:rPr>
        <w:t>（6）《国务院办公厅关于在政府采购中实施本国产品标准及相关政策的通知》</w:t>
      </w:r>
      <w:bookmarkStart w:id="376" w:name="_GoBack"/>
      <w:bookmarkEnd w:id="376"/>
    </w:p>
    <w:p w14:paraId="148C075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.本项目招标代理机构项目编号：</w:t>
      </w:r>
      <w:r>
        <w:rPr>
          <w:rFonts w:hint="eastAsia" w:ascii="宋体" w:hAnsi="宋体" w:cs="宋体"/>
          <w:color w:val="auto"/>
          <w:sz w:val="21"/>
          <w:szCs w:val="21"/>
          <w:highlight w:val="none"/>
          <w:lang w:eastAsia="zh-CN"/>
        </w:rPr>
        <w:t>JSTCC26010105959</w:t>
      </w:r>
    </w:p>
    <w:p w14:paraId="5C3EA43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.潜在供应商访问政府采购管理交易系统（苏采云）的网络地址和方法：</w:t>
      </w:r>
    </w:p>
    <w:p w14:paraId="5E73E45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4CF5FF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（2）“CA数字证书”的获取：供应商需办理CA锁，“苏采云”系统目前仅支持“苏采云”系统下的政务CA，省内各地区办理的“苏采云”系统下的政务CA全省通用。</w:t>
      </w:r>
    </w:p>
    <w:p w14:paraId="200FAA7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（3）“CA数字证书”的办理材料以及供应商操作手册详见：http://jsxcmm.com/help/gys.html。</w:t>
      </w:r>
    </w:p>
    <w:p w14:paraId="28A971F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（4）潜在供应商访问“苏采云”系统的网络地址和方法：“苏采云”系统的网址：http://jszfcg.jsczt.cn/jszc/login。</w:t>
      </w:r>
    </w:p>
    <w:p w14:paraId="6C06652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（5）采购文件（后缀名为“.kedt”）、供应商操作手册及政府采购客户端工具也可通过“苏采云”系统--已报名项目--报名详情页面内相应链接进行下载。</w:t>
      </w:r>
    </w:p>
    <w:p w14:paraId="46C5C0A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（6）招标代理机构（采购代理机构）将数据电文形式的采购文件加载至“苏采云”系统，供潜在供应商下载或者查阅。</w:t>
      </w:r>
    </w:p>
    <w:p w14:paraId="7328DF0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（7）苏采云系统使用谷歌浏览器参与不见面开标。</w:t>
      </w:r>
    </w:p>
    <w:p w14:paraId="69AD1C8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（8）“苏采云”南京地区客服热线025-83633744、025-83633743。</w:t>
      </w:r>
    </w:p>
    <w:p w14:paraId="7B34E69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p>
    <w:p w14:paraId="3F01E08E">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bCs/>
          <w:color w:val="auto"/>
          <w:kern w:val="44"/>
          <w:sz w:val="21"/>
          <w:szCs w:val="21"/>
          <w:highlight w:val="none"/>
        </w:rPr>
      </w:pPr>
      <w:r>
        <w:rPr>
          <w:rFonts w:hint="eastAsia" w:ascii="宋体" w:hAnsi="宋体" w:eastAsia="宋体" w:cs="宋体"/>
          <w:b/>
          <w:bCs/>
          <w:color w:val="auto"/>
          <w:kern w:val="44"/>
          <w:sz w:val="21"/>
          <w:szCs w:val="21"/>
          <w:highlight w:val="none"/>
        </w:rPr>
        <w:t>七、</w:t>
      </w:r>
      <w:bookmarkEnd w:id="25"/>
      <w:bookmarkEnd w:id="26"/>
      <w:r>
        <w:rPr>
          <w:rFonts w:hint="eastAsia" w:ascii="宋体" w:hAnsi="宋体" w:eastAsia="宋体" w:cs="宋体"/>
          <w:b/>
          <w:bCs/>
          <w:color w:val="auto"/>
          <w:kern w:val="44"/>
          <w:sz w:val="21"/>
          <w:szCs w:val="21"/>
          <w:highlight w:val="none"/>
        </w:rPr>
        <w:t>对本次招标提出询问，请按以下方式联系。</w:t>
      </w:r>
      <w:bookmarkEnd w:id="27"/>
      <w:bookmarkEnd w:id="28"/>
    </w:p>
    <w:p w14:paraId="71FC149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0459308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采购包1、采购包2</w:t>
      </w:r>
    </w:p>
    <w:p w14:paraId="4C58EDE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单位名称：江苏省市场监督管理局</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机关</w:t>
      </w:r>
      <w:r>
        <w:rPr>
          <w:rFonts w:hint="eastAsia" w:ascii="宋体" w:hAnsi="宋体" w:cs="宋体"/>
          <w:color w:val="auto"/>
          <w:sz w:val="21"/>
          <w:szCs w:val="21"/>
          <w:highlight w:val="none"/>
          <w:lang w:eastAsia="zh-CN"/>
        </w:rPr>
        <w:t>）</w:t>
      </w:r>
    </w:p>
    <w:p w14:paraId="3348857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单位地址：南京市草场门大街107号龙江大厦</w:t>
      </w:r>
    </w:p>
    <w:p w14:paraId="59CBF67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 系 人：陈主任</w:t>
      </w:r>
    </w:p>
    <w:p w14:paraId="3CF1E40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联系电话：025-85537863</w:t>
      </w:r>
    </w:p>
    <w:p w14:paraId="2E47082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2．采购代理机构信息（如有）</w:t>
      </w:r>
    </w:p>
    <w:p w14:paraId="6435C1E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单位名称：江苏省招标中心有限公司</w:t>
      </w:r>
    </w:p>
    <w:p w14:paraId="3FE8881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单位地址：南京市鼓楼区郑和中路118号</w:t>
      </w:r>
    </w:p>
    <w:p w14:paraId="2B46353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联 系 人：朱苏燕</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沈仁、钱巧妮</w:t>
      </w:r>
      <w:r>
        <w:rPr>
          <w:rFonts w:hint="eastAsia" w:ascii="宋体" w:hAnsi="宋体" w:cs="宋体"/>
          <w:color w:val="auto"/>
          <w:sz w:val="21"/>
          <w:szCs w:val="21"/>
          <w:highlight w:val="none"/>
          <w:lang w:val="en-US" w:eastAsia="zh-CN"/>
        </w:rPr>
        <w:t>、朱轩毅、徐天宇、吴华琦</w:t>
      </w:r>
    </w:p>
    <w:p w14:paraId="1BDA2B2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w:t>
      </w:r>
      <w:r>
        <w:rPr>
          <w:rFonts w:hint="eastAsia" w:ascii="宋体" w:hAnsi="宋体" w:cs="宋体"/>
          <w:color w:val="auto"/>
          <w:sz w:val="21"/>
          <w:szCs w:val="21"/>
          <w:highlight w:val="none"/>
          <w:lang w:val="en-US" w:eastAsia="zh-CN"/>
        </w:rPr>
        <w:t>82281983</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15995128223</w:t>
      </w:r>
    </w:p>
    <w:p w14:paraId="03F57E3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p>
    <w:p w14:paraId="7B71010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项目联系人：朱苏燕</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沈仁、钱巧妮</w:t>
      </w:r>
      <w:r>
        <w:rPr>
          <w:rFonts w:hint="eastAsia" w:ascii="宋体" w:hAnsi="宋体" w:cs="宋体"/>
          <w:color w:val="auto"/>
          <w:sz w:val="21"/>
          <w:szCs w:val="21"/>
          <w:highlight w:val="none"/>
          <w:lang w:val="en-US" w:eastAsia="zh-CN"/>
        </w:rPr>
        <w:t>、朱轩毅、徐天宇、吴华琦</w:t>
      </w:r>
    </w:p>
    <w:p w14:paraId="3CC266B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eastAsia="宋体" w:cs="Microsoft New Tai Lue"/>
          <w:color w:val="auto"/>
          <w:szCs w:val="21"/>
          <w:highlight w:val="none"/>
          <w:lang w:eastAsia="zh-CN"/>
        </w:rPr>
      </w:pPr>
      <w:r>
        <w:rPr>
          <w:rFonts w:hint="eastAsia" w:ascii="宋体" w:hAnsi="宋体" w:eastAsia="宋体" w:cs="宋体"/>
          <w:color w:val="auto"/>
          <w:sz w:val="21"/>
          <w:szCs w:val="21"/>
          <w:highlight w:val="none"/>
        </w:rPr>
        <w:t>电 话：</w:t>
      </w:r>
      <w:r>
        <w:rPr>
          <w:rFonts w:hint="eastAsia" w:ascii="宋体" w:hAnsi="宋体" w:cs="宋体"/>
          <w:color w:val="auto"/>
          <w:sz w:val="21"/>
          <w:szCs w:val="21"/>
          <w:highlight w:val="none"/>
          <w:lang w:val="en-US" w:eastAsia="zh-CN"/>
        </w:rPr>
        <w:t>82281983</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15995128223</w:t>
      </w:r>
    </w:p>
    <w:bookmarkEnd w:id="5"/>
    <w:p w14:paraId="54E4BF1B">
      <w:pPr>
        <w:pStyle w:val="32"/>
        <w:numPr>
          <w:ilvl w:val="0"/>
          <w:numId w:val="0"/>
        </w:numPr>
        <w:ind w:left="1125" w:leftChars="0" w:hanging="1125" w:firstLineChars="0"/>
        <w:rPr>
          <w:rFonts w:ascii="Microsoft New Tai Lue" w:hAnsi="Microsoft New Tai Lue" w:cs="Microsoft New Tai Lue"/>
          <w:color w:val="auto"/>
          <w:highlight w:val="none"/>
        </w:rPr>
      </w:pPr>
      <w:bookmarkStart w:id="29" w:name="_Toc71561877"/>
      <w:bookmarkStart w:id="30" w:name="_Toc80264704"/>
      <w:r>
        <w:rPr>
          <w:rFonts w:ascii="Microsoft New Tai Lue" w:hAnsi="Microsoft New Tai Lue" w:cs="Microsoft New Tai Lue"/>
          <w:color w:val="auto"/>
          <w:highlight w:val="none"/>
        </w:rPr>
        <w:br w:type="page"/>
      </w:r>
      <w:bookmarkEnd w:id="29"/>
      <w:bookmarkStart w:id="31" w:name="_Toc107246212"/>
      <w:r>
        <w:rPr>
          <w:rFonts w:hint="default" w:ascii="Microsoft New Tai Lue" w:hAnsi="Microsoft New Tai Lue" w:eastAsia="宋体" w:cs="Microsoft New Tai Lue"/>
          <w:b/>
          <w:bCs/>
          <w:color w:val="auto"/>
          <w:kern w:val="2"/>
          <w:sz w:val="32"/>
          <w:szCs w:val="32"/>
          <w:highlight w:val="none"/>
          <w:lang w:val="en-US" w:eastAsia="zh-CN" w:bidi="ar-SA"/>
        </w:rPr>
        <w:t>第二章</w:t>
      </w:r>
      <w:r>
        <w:rPr>
          <w:rFonts w:hint="eastAsia" w:ascii="Microsoft New Tai Lue" w:hAnsi="Microsoft New Tai Lue" w:cs="Microsoft New Tai Lue"/>
          <w:color w:val="auto"/>
          <w:highlight w:val="none"/>
          <w:lang w:val="en-US" w:eastAsia="zh-CN"/>
        </w:rPr>
        <w:t xml:space="preserve"> </w:t>
      </w:r>
      <w:r>
        <w:rPr>
          <w:rFonts w:ascii="Microsoft New Tai Lue" w:hAnsi="Microsoft New Tai Lue" w:cs="Microsoft New Tai Lue"/>
          <w:color w:val="auto"/>
          <w:highlight w:val="none"/>
        </w:rPr>
        <w:t>投标人须知</w:t>
      </w:r>
      <w:bookmarkEnd w:id="31"/>
    </w:p>
    <w:bookmarkEnd w:id="30"/>
    <w:p w14:paraId="61BFD4DC">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投标人须知前附表</w:t>
      </w:r>
    </w:p>
    <w:p w14:paraId="2A5983A5">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本</w:t>
      </w:r>
      <w:r>
        <w:rPr>
          <w:rFonts w:hint="eastAsia" w:ascii="Microsoft New Tai Lue" w:hAnsi="Microsoft New Tai Lue" w:cs="Microsoft New Tai Lue"/>
          <w:color w:val="auto"/>
          <w:highlight w:val="none"/>
        </w:rPr>
        <w:t>表</w:t>
      </w:r>
      <w:r>
        <w:rPr>
          <w:rFonts w:ascii="Microsoft New Tai Lue" w:hAnsi="Microsoft New Tai Lue" w:cs="Microsoft New Tai Lue"/>
          <w:color w:val="auto"/>
          <w:highlight w:val="none"/>
        </w:rPr>
        <w:t>是对《投标人须知》正文的具体补充和修改，如有矛盾，以本《前附表》为准。</w:t>
      </w:r>
    </w:p>
    <w:p w14:paraId="4E9D1BBA">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标记“</w:t>
      </w:r>
      <w:r>
        <w:rPr>
          <w:rFonts w:hint="eastAsia" w:ascii="宋体" w:hAnsi="宋体"/>
          <w:b/>
          <w:color w:val="auto"/>
          <w:sz w:val="24"/>
          <w:highlight w:val="none"/>
        </w:rPr>
        <w:t>■</w:t>
      </w:r>
      <w:r>
        <w:rPr>
          <w:rFonts w:hint="eastAsia" w:ascii="Microsoft New Tai Lue" w:hAnsi="Microsoft New Tai Lue" w:cs="Microsoft New Tai Lue"/>
          <w:color w:val="auto"/>
          <w:highlight w:val="none"/>
        </w:rPr>
        <w:t>”的选项意为适用于本项目，标记“□”的选项意为不适用于本项目。</w:t>
      </w:r>
    </w:p>
    <w:tbl>
      <w:tblPr>
        <w:tblStyle w:val="34"/>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22AC3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D7AC41A">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序号</w:t>
            </w:r>
          </w:p>
        </w:tc>
        <w:tc>
          <w:tcPr>
            <w:tcW w:w="850" w:type="dxa"/>
            <w:vAlign w:val="center"/>
          </w:tcPr>
          <w:p w14:paraId="2D5A9CD5">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条款号</w:t>
            </w:r>
          </w:p>
        </w:tc>
        <w:tc>
          <w:tcPr>
            <w:tcW w:w="2835" w:type="dxa"/>
            <w:vAlign w:val="center"/>
          </w:tcPr>
          <w:p w14:paraId="481A5516">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条款名称</w:t>
            </w:r>
          </w:p>
        </w:tc>
        <w:tc>
          <w:tcPr>
            <w:tcW w:w="4982" w:type="dxa"/>
            <w:vAlign w:val="center"/>
          </w:tcPr>
          <w:p w14:paraId="47D83228">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编列内容规定</w:t>
            </w:r>
          </w:p>
        </w:tc>
      </w:tr>
      <w:tr w14:paraId="43ECD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29E80AE6">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850" w:type="dxa"/>
            <w:vAlign w:val="center"/>
          </w:tcPr>
          <w:p w14:paraId="0A3C8332">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2.1</w:t>
            </w:r>
          </w:p>
        </w:tc>
        <w:tc>
          <w:tcPr>
            <w:tcW w:w="2835" w:type="dxa"/>
            <w:vAlign w:val="center"/>
          </w:tcPr>
          <w:p w14:paraId="15869CA7">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采购人</w:t>
            </w:r>
          </w:p>
        </w:tc>
        <w:tc>
          <w:tcPr>
            <w:tcW w:w="4982" w:type="dxa"/>
            <w:vAlign w:val="center"/>
          </w:tcPr>
          <w:p w14:paraId="1B7F5AC6">
            <w:pPr>
              <w:pStyle w:val="72"/>
              <w:keepNext w:val="0"/>
              <w:keepLines w:val="0"/>
              <w:suppressLineNumbers w:val="0"/>
              <w:spacing w:before="160" w:beforeAutospacing="0" w:after="0" w:afterAutospacing="0" w:line="276" w:lineRule="auto"/>
              <w:ind w:left="0" w:right="0"/>
              <w:rPr>
                <w:rFonts w:hint="eastAsia" w:ascii="宋体" w:hAnsi="宋体" w:eastAsia="宋体" w:cs="宋体"/>
                <w:color w:val="auto"/>
                <w:kern w:val="2"/>
                <w:sz w:val="21"/>
                <w:szCs w:val="21"/>
                <w:highlight w:val="none"/>
                <w:lang w:val="en-US" w:bidi="ar-SA"/>
              </w:rPr>
            </w:pPr>
            <w:r>
              <w:rPr>
                <w:rFonts w:hint="eastAsia" w:ascii="宋体" w:hAnsi="宋体" w:eastAsia="宋体" w:cs="宋体"/>
                <w:color w:val="auto"/>
                <w:kern w:val="2"/>
                <w:sz w:val="21"/>
                <w:szCs w:val="21"/>
                <w:highlight w:val="none"/>
                <w:lang w:val="en-US" w:bidi="ar-SA"/>
              </w:rPr>
              <w:t>名 称 ：</w:t>
            </w:r>
            <w:r>
              <w:rPr>
                <w:rFonts w:hint="eastAsia" w:ascii="宋体" w:hAnsi="宋体" w:eastAsia="宋体" w:cs="宋体"/>
                <w:snapToGrid w:val="0"/>
                <w:color w:val="auto"/>
                <w:sz w:val="21"/>
                <w:szCs w:val="21"/>
                <w:highlight w:val="none"/>
              </w:rPr>
              <w:t>江苏省市场监督管理局</w:t>
            </w:r>
          </w:p>
          <w:p w14:paraId="5094A709">
            <w:pPr>
              <w:pStyle w:val="72"/>
              <w:keepNext w:val="0"/>
              <w:keepLines w:val="0"/>
              <w:suppressLineNumbers w:val="0"/>
              <w:spacing w:before="160" w:beforeAutospacing="0" w:after="0" w:afterAutospacing="0" w:line="276" w:lineRule="auto"/>
              <w:ind w:left="0" w:right="0"/>
              <w:rPr>
                <w:rFonts w:hint="eastAsia" w:ascii="宋体" w:hAnsi="宋体" w:eastAsia="宋体" w:cs="宋体"/>
                <w:color w:val="auto"/>
                <w:kern w:val="2"/>
                <w:sz w:val="21"/>
                <w:szCs w:val="21"/>
                <w:highlight w:val="none"/>
                <w:lang w:val="en-US" w:bidi="ar-SA"/>
              </w:rPr>
            </w:pPr>
            <w:r>
              <w:rPr>
                <w:rFonts w:hint="eastAsia" w:ascii="宋体" w:hAnsi="宋体" w:eastAsia="宋体" w:cs="宋体"/>
                <w:color w:val="auto"/>
                <w:kern w:val="2"/>
                <w:sz w:val="21"/>
                <w:szCs w:val="21"/>
                <w:highlight w:val="none"/>
                <w:lang w:val="en-US" w:bidi="ar-SA"/>
              </w:rPr>
              <w:t>地 址 ：</w:t>
            </w:r>
            <w:r>
              <w:rPr>
                <w:rFonts w:hint="eastAsia" w:ascii="宋体" w:hAnsi="宋体" w:eastAsia="宋体" w:cs="宋体"/>
                <w:snapToGrid w:val="0"/>
                <w:color w:val="auto"/>
                <w:sz w:val="21"/>
                <w:szCs w:val="21"/>
                <w:highlight w:val="none"/>
              </w:rPr>
              <w:t>南京市草场门大街107号龙江大厦</w:t>
            </w:r>
          </w:p>
          <w:p w14:paraId="66E899A7">
            <w:pPr>
              <w:pStyle w:val="72"/>
              <w:keepNext w:val="0"/>
              <w:keepLines w:val="0"/>
              <w:suppressLineNumbers w:val="0"/>
              <w:spacing w:before="160" w:beforeAutospacing="0" w:after="0" w:afterAutospacing="0" w:line="276" w:lineRule="auto"/>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bidi="ar-SA"/>
              </w:rPr>
              <w:t>联系人：陈主任</w:t>
            </w:r>
          </w:p>
          <w:p w14:paraId="21F1163A">
            <w:pPr>
              <w:pStyle w:val="72"/>
              <w:keepNext w:val="0"/>
              <w:keepLines w:val="0"/>
              <w:suppressLineNumbers w:val="0"/>
              <w:spacing w:before="160" w:beforeAutospacing="0" w:after="0" w:afterAutospacing="0" w:line="276" w:lineRule="auto"/>
              <w:ind w:left="0" w:right="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bidi="ar-SA"/>
              </w:rPr>
              <w:t>联系方式：025-85537863</w:t>
            </w:r>
          </w:p>
        </w:tc>
      </w:tr>
      <w:tr w14:paraId="2C03A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C7A741F">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850" w:type="dxa"/>
            <w:vAlign w:val="center"/>
          </w:tcPr>
          <w:p w14:paraId="17820B45">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2.2</w:t>
            </w:r>
          </w:p>
        </w:tc>
        <w:tc>
          <w:tcPr>
            <w:tcW w:w="2835" w:type="dxa"/>
            <w:vAlign w:val="center"/>
          </w:tcPr>
          <w:p w14:paraId="0324E608">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采购代理机构</w:t>
            </w:r>
          </w:p>
        </w:tc>
        <w:tc>
          <w:tcPr>
            <w:tcW w:w="4982" w:type="dxa"/>
            <w:vAlign w:val="center"/>
          </w:tcPr>
          <w:p w14:paraId="479614F9">
            <w:pPr>
              <w:pStyle w:val="72"/>
              <w:keepNext w:val="0"/>
              <w:keepLines w:val="0"/>
              <w:suppressLineNumbers w:val="0"/>
              <w:spacing w:before="160" w:beforeAutospacing="0" w:after="0" w:afterAutospacing="0" w:line="276" w:lineRule="auto"/>
              <w:ind w:left="0" w:right="0"/>
              <w:rPr>
                <w:rFonts w:hint="eastAsia" w:ascii="宋体" w:hAnsi="宋体" w:eastAsia="宋体" w:cs="宋体"/>
                <w:color w:val="auto"/>
                <w:kern w:val="2"/>
                <w:sz w:val="21"/>
                <w:szCs w:val="21"/>
                <w:highlight w:val="none"/>
                <w:lang w:val="en-US" w:bidi="ar-SA"/>
              </w:rPr>
            </w:pPr>
            <w:r>
              <w:rPr>
                <w:rFonts w:hint="eastAsia" w:ascii="宋体" w:hAnsi="宋体" w:eastAsia="宋体" w:cs="宋体"/>
                <w:color w:val="auto"/>
                <w:kern w:val="2"/>
                <w:sz w:val="21"/>
                <w:szCs w:val="21"/>
                <w:highlight w:val="none"/>
                <w:lang w:val="en-US" w:bidi="ar-SA"/>
              </w:rPr>
              <w:t>名 称 ：</w:t>
            </w:r>
            <w:r>
              <w:rPr>
                <w:rFonts w:hint="eastAsia" w:ascii="宋体" w:hAnsi="宋体" w:eastAsia="宋体" w:cs="宋体"/>
                <w:snapToGrid w:val="0"/>
                <w:color w:val="auto"/>
                <w:sz w:val="21"/>
                <w:szCs w:val="21"/>
                <w:highlight w:val="none"/>
              </w:rPr>
              <w:t>江苏省招标中心有限公司</w:t>
            </w:r>
          </w:p>
          <w:p w14:paraId="36739242">
            <w:pPr>
              <w:pStyle w:val="72"/>
              <w:keepNext w:val="0"/>
              <w:keepLines w:val="0"/>
              <w:suppressLineNumbers w:val="0"/>
              <w:spacing w:before="160" w:beforeAutospacing="0" w:after="0" w:afterAutospacing="0" w:line="276" w:lineRule="auto"/>
              <w:ind w:left="0" w:right="0"/>
              <w:rPr>
                <w:rFonts w:hint="eastAsia" w:ascii="宋体" w:hAnsi="宋体" w:eastAsia="宋体" w:cs="宋体"/>
                <w:color w:val="auto"/>
                <w:kern w:val="2"/>
                <w:sz w:val="21"/>
                <w:szCs w:val="21"/>
                <w:highlight w:val="none"/>
                <w:lang w:val="en-US" w:bidi="ar-SA"/>
              </w:rPr>
            </w:pPr>
            <w:r>
              <w:rPr>
                <w:rFonts w:hint="eastAsia" w:ascii="宋体" w:hAnsi="宋体" w:eastAsia="宋体" w:cs="宋体"/>
                <w:color w:val="auto"/>
                <w:kern w:val="2"/>
                <w:sz w:val="21"/>
                <w:szCs w:val="21"/>
                <w:highlight w:val="none"/>
                <w:lang w:val="en-US" w:bidi="ar-SA"/>
              </w:rPr>
              <w:t>地 址 ：</w:t>
            </w:r>
            <w:r>
              <w:rPr>
                <w:rFonts w:hint="eastAsia" w:ascii="宋体" w:hAnsi="宋体" w:eastAsia="宋体" w:cs="宋体"/>
                <w:snapToGrid w:val="0"/>
                <w:color w:val="auto"/>
                <w:sz w:val="21"/>
                <w:szCs w:val="21"/>
                <w:highlight w:val="none"/>
              </w:rPr>
              <w:t>南京市鼓楼区郑和中路118号</w:t>
            </w:r>
          </w:p>
          <w:p w14:paraId="7E27D992">
            <w:pPr>
              <w:pStyle w:val="72"/>
              <w:keepNext w:val="0"/>
              <w:keepLines w:val="0"/>
              <w:suppressLineNumbers w:val="0"/>
              <w:spacing w:before="160" w:beforeAutospacing="0" w:after="0" w:afterAutospacing="0" w:line="276" w:lineRule="auto"/>
              <w:ind w:left="0" w:right="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bidi="ar-SA"/>
              </w:rPr>
              <w:t>项目联系人：朱苏燕、沈仁、钱巧妮、朱轩毅、</w:t>
            </w:r>
            <w:r>
              <w:rPr>
                <w:rFonts w:hint="eastAsia" w:ascii="宋体" w:hAnsi="宋体" w:eastAsia="宋体" w:cs="宋体"/>
                <w:color w:val="auto"/>
                <w:kern w:val="2"/>
                <w:sz w:val="21"/>
                <w:szCs w:val="21"/>
                <w:highlight w:val="none"/>
                <w:lang w:val="en-US" w:eastAsia="zh-CN" w:bidi="ar-SA"/>
              </w:rPr>
              <w:t>徐天宇</w:t>
            </w:r>
            <w:r>
              <w:rPr>
                <w:rFonts w:hint="eastAsia" w:ascii="宋体" w:hAnsi="宋体" w:eastAsia="宋体" w:cs="宋体"/>
                <w:color w:val="auto"/>
                <w:sz w:val="21"/>
                <w:szCs w:val="21"/>
                <w:highlight w:val="none"/>
                <w:lang w:val="en-US" w:eastAsia="zh-CN"/>
              </w:rPr>
              <w:t>、吴华琦</w:t>
            </w:r>
          </w:p>
          <w:p w14:paraId="30262301">
            <w:pPr>
              <w:pStyle w:val="72"/>
              <w:keepNext w:val="0"/>
              <w:keepLines w:val="0"/>
              <w:suppressLineNumbers w:val="0"/>
              <w:spacing w:before="160" w:beforeAutospacing="0" w:after="0" w:afterAutospacing="0" w:line="276" w:lineRule="auto"/>
              <w:ind w:left="0" w:right="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bidi="ar-SA"/>
              </w:rPr>
              <w:t>电 话：</w:t>
            </w:r>
            <w:r>
              <w:rPr>
                <w:rFonts w:hint="eastAsia" w:ascii="宋体" w:hAnsi="宋体" w:eastAsia="宋体" w:cs="宋体"/>
                <w:color w:val="auto"/>
                <w:sz w:val="21"/>
                <w:szCs w:val="21"/>
                <w:highlight w:val="none"/>
                <w:lang w:val="en-US" w:eastAsia="zh-CN"/>
              </w:rPr>
              <w:t>82281983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15995128223</w:t>
            </w:r>
          </w:p>
        </w:tc>
      </w:tr>
      <w:tr w14:paraId="2EAA2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3F83DD51">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850" w:type="dxa"/>
            <w:vAlign w:val="center"/>
          </w:tcPr>
          <w:p w14:paraId="06E2BE96">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2835" w:type="dxa"/>
            <w:vAlign w:val="center"/>
          </w:tcPr>
          <w:p w14:paraId="3ADF0EC9">
            <w:pPr>
              <w:pStyle w:val="75"/>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本项目执行的政府采购政策</w:t>
            </w:r>
          </w:p>
        </w:tc>
        <w:tc>
          <w:tcPr>
            <w:tcW w:w="4982" w:type="dxa"/>
            <w:vAlign w:val="center"/>
          </w:tcPr>
          <w:p w14:paraId="5B46A0AD">
            <w:pPr>
              <w:keepNext w:val="0"/>
              <w:keepLines w:val="0"/>
              <w:suppressLineNumbers w:val="0"/>
              <w:spacing w:before="0" w:beforeAutospacing="0" w:after="0" w:afterAutospacing="0"/>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详见</w:t>
            </w:r>
            <w:r>
              <w:rPr>
                <w:rFonts w:hint="eastAsia" w:ascii="宋体" w:hAnsi="宋体" w:eastAsia="宋体" w:cs="宋体"/>
                <w:color w:val="auto"/>
                <w:sz w:val="21"/>
                <w:szCs w:val="21"/>
                <w:highlight w:val="none"/>
              </w:rPr>
              <w:t>招标文件第一章《招标公告》</w:t>
            </w:r>
          </w:p>
        </w:tc>
      </w:tr>
      <w:tr w14:paraId="274F9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6BBC98FF">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w:t>
            </w:r>
          </w:p>
        </w:tc>
        <w:tc>
          <w:tcPr>
            <w:tcW w:w="850" w:type="dxa"/>
            <w:vAlign w:val="center"/>
          </w:tcPr>
          <w:p w14:paraId="7E434BCD">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8.1</w:t>
            </w:r>
          </w:p>
        </w:tc>
        <w:tc>
          <w:tcPr>
            <w:tcW w:w="2835" w:type="dxa"/>
            <w:vAlign w:val="center"/>
          </w:tcPr>
          <w:p w14:paraId="4ED04804">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现场考察</w:t>
            </w:r>
          </w:p>
        </w:tc>
        <w:tc>
          <w:tcPr>
            <w:tcW w:w="4982" w:type="dxa"/>
            <w:vAlign w:val="center"/>
          </w:tcPr>
          <w:p w14:paraId="46115A1A">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rPr>
              <w:t>不组织</w:t>
            </w:r>
          </w:p>
          <w:p w14:paraId="21539493">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☐组织</w:t>
            </w:r>
          </w:p>
          <w:p w14:paraId="3601A4F3">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（1）考察时间：</w:t>
            </w:r>
          </w:p>
          <w:p w14:paraId="6C7E169F">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（2）考察地点：</w:t>
            </w:r>
          </w:p>
          <w:p w14:paraId="2AAA4203">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（3）联系人：</w:t>
            </w:r>
          </w:p>
          <w:p w14:paraId="4BEFF928">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联系方式：</w:t>
            </w:r>
          </w:p>
          <w:p w14:paraId="436B6C79">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（4）参加人员要求： </w:t>
            </w:r>
          </w:p>
        </w:tc>
      </w:tr>
      <w:tr w14:paraId="46451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3672BB6C">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w:t>
            </w:r>
          </w:p>
        </w:tc>
        <w:tc>
          <w:tcPr>
            <w:tcW w:w="850" w:type="dxa"/>
            <w:vAlign w:val="center"/>
          </w:tcPr>
          <w:p w14:paraId="2BFD2AFD">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9.1</w:t>
            </w:r>
          </w:p>
        </w:tc>
        <w:tc>
          <w:tcPr>
            <w:tcW w:w="2835" w:type="dxa"/>
            <w:vAlign w:val="center"/>
          </w:tcPr>
          <w:p w14:paraId="27BECC15">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开标前答疑会</w:t>
            </w:r>
          </w:p>
        </w:tc>
        <w:tc>
          <w:tcPr>
            <w:tcW w:w="4982" w:type="dxa"/>
            <w:vAlign w:val="center"/>
          </w:tcPr>
          <w:p w14:paraId="7DF7372F">
            <w:pPr>
              <w:pStyle w:val="72"/>
              <w:keepNext w:val="0"/>
              <w:keepLines w:val="0"/>
              <w:suppressLineNumbers w:val="0"/>
              <w:spacing w:before="160" w:beforeAutospacing="0" w:after="0" w:afterAutospacing="0"/>
              <w:ind w:left="0" w:right="0"/>
              <w:rPr>
                <w:rFonts w:hint="eastAsia" w:ascii="宋体" w:hAnsi="宋体" w:eastAsia="宋体" w:cs="宋体"/>
                <w:color w:val="auto"/>
                <w:kern w:val="2"/>
                <w:sz w:val="21"/>
                <w:szCs w:val="21"/>
                <w:highlight w:val="none"/>
                <w:lang w:val="en-US" w:bidi="ar-SA"/>
              </w:rPr>
            </w:pPr>
            <w:r>
              <w:rPr>
                <w:rFonts w:hint="eastAsia" w:ascii="宋体" w:hAnsi="宋体" w:eastAsia="宋体" w:cs="宋体"/>
                <w:b/>
                <w:color w:val="auto"/>
                <w:sz w:val="21"/>
                <w:szCs w:val="21"/>
                <w:highlight w:val="none"/>
              </w:rPr>
              <w:t>■</w:t>
            </w:r>
            <w:r>
              <w:rPr>
                <w:rFonts w:hint="eastAsia" w:ascii="宋体" w:hAnsi="宋体" w:eastAsia="宋体" w:cs="宋体"/>
                <w:color w:val="auto"/>
                <w:kern w:val="2"/>
                <w:sz w:val="21"/>
                <w:szCs w:val="21"/>
                <w:highlight w:val="none"/>
                <w:lang w:val="en-US" w:bidi="ar-SA"/>
              </w:rPr>
              <w:t>不召开</w:t>
            </w:r>
          </w:p>
          <w:p w14:paraId="41365F13">
            <w:pPr>
              <w:pStyle w:val="72"/>
              <w:keepNext w:val="0"/>
              <w:keepLines w:val="0"/>
              <w:suppressLineNumbers w:val="0"/>
              <w:spacing w:before="160" w:beforeAutospacing="0" w:after="0" w:afterAutospacing="0"/>
              <w:ind w:left="0" w:right="0"/>
              <w:rPr>
                <w:rFonts w:hint="eastAsia" w:ascii="宋体" w:hAnsi="宋体" w:eastAsia="宋体" w:cs="宋体"/>
                <w:color w:val="auto"/>
                <w:kern w:val="2"/>
                <w:sz w:val="21"/>
                <w:szCs w:val="21"/>
                <w:highlight w:val="none"/>
                <w:lang w:val="en-US" w:bidi="ar-SA"/>
              </w:rPr>
            </w:pPr>
            <w:r>
              <w:rPr>
                <w:rFonts w:hint="eastAsia" w:ascii="宋体" w:hAnsi="宋体" w:eastAsia="宋体" w:cs="宋体"/>
                <w:bCs/>
                <w:color w:val="auto"/>
                <w:sz w:val="21"/>
                <w:szCs w:val="21"/>
                <w:highlight w:val="none"/>
              </w:rPr>
              <w:t>☐</w:t>
            </w:r>
            <w:r>
              <w:rPr>
                <w:rFonts w:hint="eastAsia" w:ascii="宋体" w:hAnsi="宋体" w:eastAsia="宋体" w:cs="宋体"/>
                <w:color w:val="auto"/>
                <w:kern w:val="2"/>
                <w:sz w:val="21"/>
                <w:szCs w:val="21"/>
                <w:highlight w:val="none"/>
                <w:lang w:val="en-US" w:bidi="ar-SA"/>
              </w:rPr>
              <w:t>召开</w:t>
            </w:r>
          </w:p>
          <w:p w14:paraId="65162A51">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（1）召开时间：</w:t>
            </w:r>
          </w:p>
          <w:p w14:paraId="28E581A0">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（2）召开地点：</w:t>
            </w:r>
          </w:p>
        </w:tc>
      </w:tr>
      <w:tr w14:paraId="29A09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FD17F34">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w:t>
            </w:r>
          </w:p>
        </w:tc>
        <w:tc>
          <w:tcPr>
            <w:tcW w:w="850" w:type="dxa"/>
            <w:vAlign w:val="center"/>
          </w:tcPr>
          <w:p w14:paraId="70488494">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10.1</w:t>
            </w:r>
          </w:p>
        </w:tc>
        <w:tc>
          <w:tcPr>
            <w:tcW w:w="2835" w:type="dxa"/>
            <w:vAlign w:val="center"/>
          </w:tcPr>
          <w:p w14:paraId="38C805B9">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联合体投标</w:t>
            </w:r>
          </w:p>
        </w:tc>
        <w:tc>
          <w:tcPr>
            <w:tcW w:w="4982" w:type="dxa"/>
            <w:vAlign w:val="center"/>
          </w:tcPr>
          <w:p w14:paraId="01C8B74A">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rPr>
              <w:t>不接受</w:t>
            </w:r>
          </w:p>
          <w:p w14:paraId="3A3CF506">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☐接受</w:t>
            </w:r>
          </w:p>
          <w:p w14:paraId="50DEE937">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联合体要求：详见</w:t>
            </w:r>
            <w:r>
              <w:rPr>
                <w:rFonts w:hint="eastAsia" w:ascii="宋体" w:hAnsi="宋体" w:eastAsia="宋体" w:cs="宋体"/>
                <w:color w:val="auto"/>
                <w:sz w:val="21"/>
                <w:szCs w:val="21"/>
                <w:highlight w:val="none"/>
              </w:rPr>
              <w:t>招标文件</w:t>
            </w:r>
            <w:r>
              <w:rPr>
                <w:rFonts w:hint="eastAsia" w:ascii="宋体" w:hAnsi="宋体" w:eastAsia="宋体" w:cs="宋体"/>
                <w:bCs/>
                <w:color w:val="auto"/>
                <w:sz w:val="21"/>
                <w:szCs w:val="21"/>
                <w:highlight w:val="none"/>
              </w:rPr>
              <w:t>第一章《招标公告》</w:t>
            </w:r>
          </w:p>
        </w:tc>
      </w:tr>
      <w:tr w14:paraId="7038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7C1DE0E3">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w:t>
            </w:r>
          </w:p>
        </w:tc>
        <w:tc>
          <w:tcPr>
            <w:tcW w:w="850" w:type="dxa"/>
            <w:vAlign w:val="center"/>
          </w:tcPr>
          <w:p w14:paraId="44565D3B">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11.1</w:t>
            </w:r>
          </w:p>
        </w:tc>
        <w:tc>
          <w:tcPr>
            <w:tcW w:w="2835" w:type="dxa"/>
            <w:vAlign w:val="center"/>
          </w:tcPr>
          <w:p w14:paraId="546EEC4F">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分包</w:t>
            </w:r>
          </w:p>
        </w:tc>
        <w:tc>
          <w:tcPr>
            <w:tcW w:w="4982" w:type="dxa"/>
            <w:vAlign w:val="center"/>
          </w:tcPr>
          <w:p w14:paraId="063ED61C">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本项目的非主体、非关键性工作是否允许分包： </w:t>
            </w:r>
          </w:p>
          <w:p w14:paraId="5F6B0969">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rPr>
              <w:t>不允许</w:t>
            </w:r>
          </w:p>
          <w:p w14:paraId="4FEE2D8C">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☐允许</w:t>
            </w:r>
          </w:p>
          <w:p w14:paraId="25F118A4">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具体要求：__________</w:t>
            </w:r>
          </w:p>
        </w:tc>
      </w:tr>
      <w:tr w14:paraId="55B09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6C091A2A">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w:t>
            </w:r>
          </w:p>
        </w:tc>
        <w:tc>
          <w:tcPr>
            <w:tcW w:w="850" w:type="dxa"/>
            <w:vAlign w:val="center"/>
          </w:tcPr>
          <w:p w14:paraId="061C2E9D">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12.1</w:t>
            </w:r>
          </w:p>
        </w:tc>
        <w:tc>
          <w:tcPr>
            <w:tcW w:w="2835" w:type="dxa"/>
            <w:vAlign w:val="center"/>
          </w:tcPr>
          <w:p w14:paraId="3774C29E">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样品</w:t>
            </w:r>
          </w:p>
        </w:tc>
        <w:tc>
          <w:tcPr>
            <w:tcW w:w="4982" w:type="dxa"/>
            <w:vAlign w:val="center"/>
          </w:tcPr>
          <w:p w14:paraId="08781C81">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投标样品递交：</w:t>
            </w:r>
          </w:p>
          <w:p w14:paraId="574AC608">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rPr>
              <w:t>不需要</w:t>
            </w:r>
          </w:p>
          <w:p w14:paraId="77B22FE7">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□需要，具体要求如下：</w:t>
            </w:r>
          </w:p>
          <w:p w14:paraId="038B27BF">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（1）样品制作的标准和要求：_________；</w:t>
            </w:r>
          </w:p>
          <w:p w14:paraId="34CCDDA6">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（2）是否需要随样品提交相关检测报告：</w:t>
            </w:r>
          </w:p>
          <w:p w14:paraId="5C75564A">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rPr>
              <w:t>不需要</w:t>
            </w:r>
          </w:p>
          <w:p w14:paraId="25BCC930">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□需要，</w:t>
            </w:r>
            <w:r>
              <w:rPr>
                <w:rFonts w:hint="eastAsia" w:ascii="宋体" w:hAnsi="宋体" w:eastAsia="宋体" w:cs="宋体"/>
                <w:color w:val="auto"/>
                <w:sz w:val="21"/>
                <w:szCs w:val="21"/>
                <w:highlight w:val="none"/>
              </w:rPr>
              <w:t>检测机构</w:t>
            </w:r>
            <w:r>
              <w:rPr>
                <w:rFonts w:hint="eastAsia" w:ascii="宋体" w:hAnsi="宋体" w:eastAsia="宋体" w:cs="宋体"/>
                <w:bCs/>
                <w:color w:val="auto"/>
                <w:sz w:val="21"/>
                <w:szCs w:val="21"/>
                <w:highlight w:val="none"/>
              </w:rPr>
              <w:t>的要求：_________；检测内容：_________；</w:t>
            </w:r>
          </w:p>
          <w:p w14:paraId="424CE017">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（3）样品递交要求：_________；</w:t>
            </w:r>
          </w:p>
          <w:p w14:paraId="67423EFF">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（4）未中标人样品退还：_________；</w:t>
            </w:r>
          </w:p>
          <w:p w14:paraId="37B849A9">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（5）中标人样品保管、封存及退还：_________；</w:t>
            </w:r>
          </w:p>
          <w:p w14:paraId="3CC6EFC4">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（6）其他要求（如有）：_________。</w:t>
            </w:r>
          </w:p>
        </w:tc>
      </w:tr>
      <w:tr w14:paraId="34D0B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vAlign w:val="center"/>
          </w:tcPr>
          <w:p w14:paraId="1B1A006C">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9</w:t>
            </w:r>
          </w:p>
        </w:tc>
        <w:tc>
          <w:tcPr>
            <w:tcW w:w="850" w:type="dxa"/>
            <w:vAlign w:val="center"/>
          </w:tcPr>
          <w:p w14:paraId="12BAB34E">
            <w:pPr>
              <w:pStyle w:val="75"/>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13.1</w:t>
            </w:r>
          </w:p>
        </w:tc>
        <w:tc>
          <w:tcPr>
            <w:tcW w:w="2835" w:type="dxa"/>
            <w:vAlign w:val="center"/>
          </w:tcPr>
          <w:p w14:paraId="3916547A">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采购进口产品</w:t>
            </w:r>
          </w:p>
        </w:tc>
        <w:tc>
          <w:tcPr>
            <w:tcW w:w="4982" w:type="dxa"/>
            <w:vAlign w:val="center"/>
          </w:tcPr>
          <w:p w14:paraId="270832B7">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详见招标文件第一章《招标公告》</w:t>
            </w:r>
          </w:p>
        </w:tc>
      </w:tr>
      <w:tr w14:paraId="496F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4592160">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w:t>
            </w:r>
          </w:p>
        </w:tc>
        <w:tc>
          <w:tcPr>
            <w:tcW w:w="850" w:type="dxa"/>
            <w:vAlign w:val="center"/>
          </w:tcPr>
          <w:p w14:paraId="65E6FECF">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14.1</w:t>
            </w:r>
          </w:p>
        </w:tc>
        <w:tc>
          <w:tcPr>
            <w:tcW w:w="2835" w:type="dxa"/>
            <w:vAlign w:val="center"/>
          </w:tcPr>
          <w:p w14:paraId="2910A9DE">
            <w:pPr>
              <w:pStyle w:val="75"/>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采购预算</w:t>
            </w:r>
          </w:p>
        </w:tc>
        <w:tc>
          <w:tcPr>
            <w:tcW w:w="4982" w:type="dxa"/>
            <w:vAlign w:val="center"/>
          </w:tcPr>
          <w:p w14:paraId="5D1F1382">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详见</w:t>
            </w:r>
            <w:r>
              <w:rPr>
                <w:rFonts w:hint="eastAsia" w:ascii="宋体" w:hAnsi="宋体" w:eastAsia="宋体" w:cs="宋体"/>
                <w:color w:val="auto"/>
                <w:sz w:val="21"/>
                <w:szCs w:val="21"/>
                <w:highlight w:val="none"/>
              </w:rPr>
              <w:t>招标文件第一章《招标公告》</w:t>
            </w:r>
          </w:p>
        </w:tc>
      </w:tr>
      <w:tr w14:paraId="0279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vAlign w:val="center"/>
          </w:tcPr>
          <w:p w14:paraId="79348FD6">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11</w:t>
            </w:r>
          </w:p>
        </w:tc>
        <w:tc>
          <w:tcPr>
            <w:tcW w:w="850" w:type="dxa"/>
            <w:vAlign w:val="center"/>
          </w:tcPr>
          <w:p w14:paraId="42F0F6AC">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14.2</w:t>
            </w:r>
          </w:p>
        </w:tc>
        <w:tc>
          <w:tcPr>
            <w:tcW w:w="2835" w:type="dxa"/>
            <w:vAlign w:val="center"/>
          </w:tcPr>
          <w:p w14:paraId="1B2C39DE">
            <w:pPr>
              <w:pStyle w:val="75"/>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本项目设定的最高限价</w:t>
            </w:r>
          </w:p>
        </w:tc>
        <w:tc>
          <w:tcPr>
            <w:tcW w:w="4982" w:type="dxa"/>
            <w:vAlign w:val="center"/>
          </w:tcPr>
          <w:p w14:paraId="00C16DCD">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详见</w:t>
            </w:r>
            <w:r>
              <w:rPr>
                <w:rFonts w:hint="eastAsia" w:ascii="宋体" w:hAnsi="宋体" w:eastAsia="宋体" w:cs="宋体"/>
                <w:color w:val="auto"/>
                <w:sz w:val="21"/>
                <w:szCs w:val="21"/>
                <w:highlight w:val="none"/>
              </w:rPr>
              <w:t>招标文件第一章《招标公告》</w:t>
            </w:r>
          </w:p>
        </w:tc>
      </w:tr>
      <w:tr w14:paraId="54D9C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8511AEC">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12</w:t>
            </w:r>
          </w:p>
        </w:tc>
        <w:tc>
          <w:tcPr>
            <w:tcW w:w="850" w:type="dxa"/>
            <w:vAlign w:val="center"/>
          </w:tcPr>
          <w:p w14:paraId="345CD189">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15.1</w:t>
            </w:r>
          </w:p>
        </w:tc>
        <w:tc>
          <w:tcPr>
            <w:tcW w:w="2835" w:type="dxa"/>
            <w:vAlign w:val="center"/>
          </w:tcPr>
          <w:p w14:paraId="6196B084">
            <w:pPr>
              <w:keepNext w:val="0"/>
              <w:keepLines w:val="0"/>
              <w:suppressLineNumbers w:val="0"/>
              <w:spacing w:before="0" w:beforeAutospacing="0" w:after="0" w:afterAutospacing="0"/>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供应商资格条件</w:t>
            </w:r>
          </w:p>
        </w:tc>
        <w:tc>
          <w:tcPr>
            <w:tcW w:w="4982" w:type="dxa"/>
            <w:vAlign w:val="center"/>
          </w:tcPr>
          <w:p w14:paraId="4685D1CD">
            <w:pPr>
              <w:keepNext w:val="0"/>
              <w:keepLines w:val="0"/>
              <w:suppressLineNumbers w:val="0"/>
              <w:spacing w:before="0" w:beforeAutospacing="0" w:after="0" w:afterAutospacing="0"/>
              <w:ind w:left="0" w:right="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详见招标文件第一章《招标公告》</w:t>
            </w:r>
          </w:p>
        </w:tc>
      </w:tr>
      <w:tr w14:paraId="617C5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0DD5B35">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13</w:t>
            </w:r>
          </w:p>
        </w:tc>
        <w:tc>
          <w:tcPr>
            <w:tcW w:w="850" w:type="dxa"/>
            <w:vAlign w:val="center"/>
          </w:tcPr>
          <w:p w14:paraId="2A2CB82C">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20.</w:t>
            </w:r>
            <w:r>
              <w:rPr>
                <w:rFonts w:hint="eastAsia" w:ascii="宋体" w:hAnsi="宋体" w:eastAsia="宋体" w:cs="宋体"/>
                <w:color w:val="auto"/>
                <w:kern w:val="2"/>
                <w:sz w:val="21"/>
                <w:szCs w:val="21"/>
                <w:highlight w:val="none"/>
                <w:lang w:val="en-US" w:eastAsia="zh-CN"/>
              </w:rPr>
              <w:t>5</w:t>
            </w:r>
          </w:p>
        </w:tc>
        <w:tc>
          <w:tcPr>
            <w:tcW w:w="2835" w:type="dxa"/>
            <w:vAlign w:val="center"/>
          </w:tcPr>
          <w:p w14:paraId="772A60FD">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投标报价</w:t>
            </w:r>
          </w:p>
        </w:tc>
        <w:tc>
          <w:tcPr>
            <w:tcW w:w="4982" w:type="dxa"/>
            <w:vAlign w:val="center"/>
          </w:tcPr>
          <w:p w14:paraId="3F8B3113">
            <w:pPr>
              <w:pStyle w:val="75"/>
              <w:keepNext w:val="0"/>
              <w:keepLines w:val="0"/>
              <w:suppressLineNumbers w:val="0"/>
              <w:spacing w:before="0" w:beforeAutospacing="0" w:after="0" w:afterAutospacing="0" w:line="360" w:lineRule="auto"/>
              <w:ind w:left="0" w:right="0"/>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投标报价的其他要求：</w:t>
            </w:r>
          </w:p>
          <w:p w14:paraId="17935A2B">
            <w:pPr>
              <w:pStyle w:val="75"/>
              <w:keepNext w:val="0"/>
              <w:keepLines w:val="0"/>
              <w:suppressLineNumbers w:val="0"/>
              <w:spacing w:before="0" w:beforeAutospacing="0" w:after="0" w:afterAutospacing="0" w:line="360" w:lineRule="auto"/>
              <w:ind w:left="0" w:right="0"/>
              <w:rPr>
                <w:rFonts w:hint="eastAsia" w:ascii="宋体" w:hAnsi="宋体" w:eastAsia="宋体" w:cs="宋体"/>
                <w:bCs/>
                <w:color w:val="auto"/>
                <w:kern w:val="2"/>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Cs/>
                <w:color w:val="auto"/>
                <w:kern w:val="2"/>
                <w:sz w:val="21"/>
                <w:szCs w:val="21"/>
                <w:highlight w:val="none"/>
              </w:rPr>
              <w:t>无</w:t>
            </w:r>
          </w:p>
          <w:p w14:paraId="65AA1AC6">
            <w:pPr>
              <w:pStyle w:val="75"/>
              <w:keepNext w:val="0"/>
              <w:keepLines w:val="0"/>
              <w:suppressLineNumbers w:val="0"/>
              <w:spacing w:before="0" w:beforeAutospacing="0" w:after="0" w:afterAutospacing="0" w:line="360" w:lineRule="auto"/>
              <w:ind w:left="0" w:right="0"/>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□有，具体情形：</w:t>
            </w:r>
            <w:r>
              <w:rPr>
                <w:rFonts w:hint="eastAsia" w:ascii="宋体" w:hAnsi="宋体" w:eastAsia="宋体" w:cs="宋体"/>
                <w:bCs/>
                <w:color w:val="auto"/>
                <w:kern w:val="2"/>
                <w:sz w:val="21"/>
                <w:szCs w:val="21"/>
                <w:highlight w:val="none"/>
                <w:u w:val="single"/>
              </w:rPr>
              <w:t xml:space="preserve">         </w:t>
            </w:r>
            <w:r>
              <w:rPr>
                <w:rFonts w:hint="eastAsia" w:ascii="宋体" w:hAnsi="宋体" w:eastAsia="宋体" w:cs="宋体"/>
                <w:bCs/>
                <w:color w:val="auto"/>
                <w:kern w:val="2"/>
                <w:sz w:val="21"/>
                <w:szCs w:val="21"/>
                <w:highlight w:val="none"/>
              </w:rPr>
              <w:t>。</w:t>
            </w:r>
          </w:p>
        </w:tc>
      </w:tr>
      <w:tr w14:paraId="55339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CA06EAC">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14</w:t>
            </w:r>
          </w:p>
        </w:tc>
        <w:tc>
          <w:tcPr>
            <w:tcW w:w="850" w:type="dxa"/>
            <w:vAlign w:val="center"/>
          </w:tcPr>
          <w:p w14:paraId="5244CE8B">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21.1</w:t>
            </w:r>
          </w:p>
        </w:tc>
        <w:tc>
          <w:tcPr>
            <w:tcW w:w="2835" w:type="dxa"/>
            <w:vAlign w:val="center"/>
          </w:tcPr>
          <w:p w14:paraId="467C682A">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投标有效期</w:t>
            </w:r>
          </w:p>
        </w:tc>
        <w:tc>
          <w:tcPr>
            <w:tcW w:w="4982" w:type="dxa"/>
            <w:vAlign w:val="center"/>
          </w:tcPr>
          <w:p w14:paraId="426ADE11">
            <w:pPr>
              <w:pStyle w:val="75"/>
              <w:keepNext w:val="0"/>
              <w:keepLines w:val="0"/>
              <w:suppressLineNumbers w:val="0"/>
              <w:spacing w:before="0" w:beforeAutospacing="0" w:after="0" w:afterAutospacing="0" w:line="360" w:lineRule="auto"/>
              <w:ind w:left="0" w:right="0"/>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自提交投标文件的截止之日起算90日历天</w:t>
            </w:r>
          </w:p>
        </w:tc>
      </w:tr>
      <w:tr w14:paraId="6D6B4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1" w:hRule="atLeast"/>
          <w:jc w:val="center"/>
        </w:trPr>
        <w:tc>
          <w:tcPr>
            <w:tcW w:w="675" w:type="dxa"/>
            <w:vAlign w:val="center"/>
          </w:tcPr>
          <w:p w14:paraId="4903A2FC">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15</w:t>
            </w:r>
          </w:p>
        </w:tc>
        <w:tc>
          <w:tcPr>
            <w:tcW w:w="850" w:type="dxa"/>
            <w:vAlign w:val="center"/>
          </w:tcPr>
          <w:p w14:paraId="4413716D">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22.1</w:t>
            </w:r>
          </w:p>
        </w:tc>
        <w:tc>
          <w:tcPr>
            <w:tcW w:w="2835" w:type="dxa"/>
            <w:vAlign w:val="center"/>
          </w:tcPr>
          <w:p w14:paraId="4560B440">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投标保证金</w:t>
            </w:r>
          </w:p>
        </w:tc>
        <w:tc>
          <w:tcPr>
            <w:tcW w:w="4982" w:type="dxa"/>
            <w:vAlign w:val="center"/>
          </w:tcPr>
          <w:p w14:paraId="4A9A492A">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rPr>
              <w:t>不需要</w:t>
            </w:r>
          </w:p>
          <w:p w14:paraId="5CF4DF7E">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☐需要</w:t>
            </w:r>
          </w:p>
          <w:p w14:paraId="6FCC3587">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（1）投标人应提交</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万元人民币的投标保证金，并作为其投标文件的一部分。</w:t>
            </w:r>
          </w:p>
          <w:p w14:paraId="46C82DE4">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（2）投标保证金从投标人的账户转出，采用电汇（提供电汇底单）、网银转账（提供网银转账截图）、或者金融机构、担保机构出具的保函形式提交，不接受其他形式作为投标保证金。</w:t>
            </w:r>
          </w:p>
          <w:p w14:paraId="5A0B1FAE">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（3）投标人应在递交投标文件时将投标保证金缴纳凭证随投标文件一同提交。</w:t>
            </w:r>
          </w:p>
          <w:p w14:paraId="42FEDA63">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（4）保证金汇入账户：</w:t>
            </w:r>
          </w:p>
          <w:p w14:paraId="1AA8DBB3">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单位名称：江苏省招标中心有限公司</w:t>
            </w:r>
          </w:p>
          <w:p w14:paraId="6D750F45">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开户银行（人民币）：南京银行南京兴隆大街支行</w:t>
            </w:r>
          </w:p>
          <w:p w14:paraId="31D16785">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账号（人民币）：0164280000000953</w:t>
            </w:r>
          </w:p>
          <w:p w14:paraId="0AA95529">
            <w:pPr>
              <w:keepNext w:val="0"/>
              <w:keepLines w:val="0"/>
              <w:suppressLineNumbers w:val="0"/>
              <w:adjustRightInd w:val="0"/>
              <w:snapToGrid w:val="0"/>
              <w:spacing w:before="156" w:beforeLines="5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注：为便于采购代理机构及时准确地核实投标人的保证金是否到账，投标人应在汇款附言里注明：（项目编号）投标保证金。</w:t>
            </w:r>
          </w:p>
        </w:tc>
      </w:tr>
      <w:tr w14:paraId="03550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jc w:val="center"/>
        </w:trPr>
        <w:tc>
          <w:tcPr>
            <w:tcW w:w="675" w:type="dxa"/>
            <w:vAlign w:val="center"/>
          </w:tcPr>
          <w:p w14:paraId="3DA44DBB">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16</w:t>
            </w:r>
          </w:p>
        </w:tc>
        <w:tc>
          <w:tcPr>
            <w:tcW w:w="850" w:type="dxa"/>
            <w:vAlign w:val="center"/>
          </w:tcPr>
          <w:p w14:paraId="0FA01720">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kern w:val="2"/>
                <w:sz w:val="21"/>
                <w:szCs w:val="21"/>
              </w:rPr>
              <w:t>24</w:t>
            </w:r>
          </w:p>
        </w:tc>
        <w:tc>
          <w:tcPr>
            <w:tcW w:w="2835" w:type="dxa"/>
            <w:vAlign w:val="center"/>
          </w:tcPr>
          <w:p w14:paraId="1EC2435F">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000000" w:themeColor="text1"/>
                <w:sz w:val="21"/>
                <w:szCs w:val="21"/>
                <w14:textFill>
                  <w14:solidFill>
                    <w14:schemeClr w14:val="tx1"/>
                  </w14:solidFill>
                </w14:textFill>
              </w:rPr>
              <w:t>投标文件的递交</w:t>
            </w:r>
          </w:p>
        </w:tc>
        <w:tc>
          <w:tcPr>
            <w:tcW w:w="4982" w:type="dxa"/>
            <w:vAlign w:val="center"/>
          </w:tcPr>
          <w:p w14:paraId="3CE79B44">
            <w:pPr>
              <w:keepNext w:val="0"/>
              <w:keepLines w:val="0"/>
              <w:suppressLineNumbers w:val="0"/>
              <w:adjustRightInd w:val="0"/>
              <w:snapToGrid w:val="0"/>
              <w:spacing w:before="160" w:beforeAutospacing="0" w:after="0" w:afterAutospacing="0" w:line="276" w:lineRule="auto"/>
              <w:ind w:left="0" w:right="0"/>
              <w:rPr>
                <w:rFonts w:hint="eastAsia" w:ascii="宋体" w:hAnsi="宋体" w:eastAsia="宋体" w:cs="宋体"/>
                <w:color w:val="auto"/>
                <w:kern w:val="2"/>
                <w:sz w:val="21"/>
                <w:szCs w:val="21"/>
                <w:highlight w:val="none"/>
              </w:rPr>
            </w:pPr>
            <w:r>
              <w:rPr>
                <w:rFonts w:hint="eastAsia" w:ascii="宋体" w:hAnsi="宋体" w:eastAsia="宋体" w:cs="宋体"/>
                <w:bCs/>
                <w:color w:val="000000" w:themeColor="text1"/>
                <w:sz w:val="21"/>
                <w:szCs w:val="21"/>
                <w14:textFill>
                  <w14:solidFill>
                    <w14:schemeClr w14:val="tx1"/>
                  </w14:solidFill>
                </w14:textFill>
              </w:rPr>
              <w:t>投标人应当按照《操作手册》规定，在招标公告规定的投标截止时间前制作并上传电子投标文件。招标代理机构拒绝接收提交</w:t>
            </w:r>
            <w:r>
              <w:rPr>
                <w:rFonts w:hint="eastAsia" w:ascii="宋体" w:hAnsi="宋体" w:eastAsia="宋体" w:cs="宋体"/>
                <w:color w:val="000000" w:themeColor="text1"/>
                <w:sz w:val="21"/>
                <w:szCs w:val="21"/>
                <w14:textFill>
                  <w14:solidFill>
                    <w14:schemeClr w14:val="tx1"/>
                  </w14:solidFill>
                </w14:textFill>
              </w:rPr>
              <w:t>投标文件截止时间后上传的任何电子投标文件。</w:t>
            </w:r>
          </w:p>
        </w:tc>
      </w:tr>
      <w:tr w14:paraId="3BFF1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BB951F3">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17</w:t>
            </w:r>
          </w:p>
        </w:tc>
        <w:tc>
          <w:tcPr>
            <w:tcW w:w="850" w:type="dxa"/>
            <w:vAlign w:val="center"/>
          </w:tcPr>
          <w:p w14:paraId="24576B1A">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25.1</w:t>
            </w:r>
          </w:p>
        </w:tc>
        <w:tc>
          <w:tcPr>
            <w:tcW w:w="2835" w:type="dxa"/>
            <w:vAlign w:val="center"/>
          </w:tcPr>
          <w:p w14:paraId="58EEB07F">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提交投标文件的截止时间、地点</w:t>
            </w:r>
          </w:p>
        </w:tc>
        <w:tc>
          <w:tcPr>
            <w:tcW w:w="4982" w:type="dxa"/>
            <w:vAlign w:val="center"/>
          </w:tcPr>
          <w:p w14:paraId="6DC45223">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详见招标文件第一章《招标公告》</w:t>
            </w:r>
          </w:p>
        </w:tc>
      </w:tr>
      <w:tr w14:paraId="089E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FC6ED68">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18</w:t>
            </w:r>
          </w:p>
        </w:tc>
        <w:tc>
          <w:tcPr>
            <w:tcW w:w="850" w:type="dxa"/>
            <w:vAlign w:val="center"/>
          </w:tcPr>
          <w:p w14:paraId="68194FAC">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28.1</w:t>
            </w:r>
          </w:p>
        </w:tc>
        <w:tc>
          <w:tcPr>
            <w:tcW w:w="2835" w:type="dxa"/>
            <w:vAlign w:val="center"/>
          </w:tcPr>
          <w:p w14:paraId="33402153">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开标时间、地点</w:t>
            </w:r>
          </w:p>
        </w:tc>
        <w:tc>
          <w:tcPr>
            <w:tcW w:w="4982" w:type="dxa"/>
            <w:vAlign w:val="center"/>
          </w:tcPr>
          <w:p w14:paraId="5A1251DA">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详见招标文件第一章《招标公告》</w:t>
            </w:r>
          </w:p>
        </w:tc>
      </w:tr>
      <w:tr w14:paraId="0E7DA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2F48716">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19</w:t>
            </w:r>
          </w:p>
        </w:tc>
        <w:tc>
          <w:tcPr>
            <w:tcW w:w="850" w:type="dxa"/>
            <w:vAlign w:val="center"/>
          </w:tcPr>
          <w:p w14:paraId="61F6FF10">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29.</w:t>
            </w:r>
            <w:r>
              <w:rPr>
                <w:rFonts w:hint="eastAsia" w:ascii="宋体" w:hAnsi="宋体" w:eastAsia="宋体" w:cs="宋体"/>
                <w:color w:val="auto"/>
                <w:kern w:val="2"/>
                <w:sz w:val="21"/>
                <w:szCs w:val="21"/>
                <w:highlight w:val="none"/>
                <w:lang w:val="en-US" w:eastAsia="zh-CN"/>
              </w:rPr>
              <w:t>4</w:t>
            </w:r>
          </w:p>
        </w:tc>
        <w:tc>
          <w:tcPr>
            <w:tcW w:w="2835" w:type="dxa"/>
            <w:vAlign w:val="center"/>
          </w:tcPr>
          <w:p w14:paraId="38AB503F">
            <w:pPr>
              <w:pStyle w:val="75"/>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信用查询</w:t>
            </w:r>
          </w:p>
        </w:tc>
        <w:tc>
          <w:tcPr>
            <w:tcW w:w="4982" w:type="dxa"/>
            <w:vAlign w:val="center"/>
          </w:tcPr>
          <w:p w14:paraId="13390321">
            <w:pPr>
              <w:pStyle w:val="75"/>
              <w:keepNext w:val="0"/>
              <w:keepLines w:val="0"/>
              <w:suppressLineNumbers w:val="0"/>
              <w:spacing w:before="0" w:beforeAutospacing="0" w:after="0" w:afterAutospacing="0" w:line="360" w:lineRule="auto"/>
              <w:ind w:left="0" w:right="0"/>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p>
          <w:p w14:paraId="51EE4383">
            <w:pPr>
              <w:pStyle w:val="75"/>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Cs/>
                <w:color w:val="auto"/>
                <w:kern w:val="2"/>
                <w:sz w:val="21"/>
                <w:szCs w:val="21"/>
                <w:highlight w:val="none"/>
              </w:rPr>
              <w:t>投标人自行查询信用记录，如实提供《无不良信用记录承诺》并加盖投标人公章。联合体参加投标的，所有联合体成员均须加盖公章。本项目信用记录查询截止</w:t>
            </w:r>
            <w:r>
              <w:rPr>
                <w:rFonts w:hint="eastAsia" w:ascii="宋体" w:hAnsi="宋体" w:eastAsia="宋体" w:cs="宋体"/>
                <w:bCs/>
                <w:color w:val="auto"/>
                <w:kern w:val="2"/>
                <w:sz w:val="21"/>
                <w:szCs w:val="21"/>
                <w:highlight w:val="none"/>
                <w:lang w:val="en-US" w:eastAsia="zh-CN"/>
              </w:rPr>
              <w:t>时间</w:t>
            </w:r>
            <w:r>
              <w:rPr>
                <w:rFonts w:hint="eastAsia" w:ascii="宋体" w:hAnsi="宋体" w:eastAsia="宋体" w:cs="宋体"/>
                <w:bCs/>
                <w:color w:val="auto"/>
                <w:kern w:val="2"/>
                <w:sz w:val="21"/>
                <w:szCs w:val="21"/>
                <w:highlight w:val="none"/>
              </w:rPr>
              <w:t>点为</w:t>
            </w:r>
            <w:r>
              <w:rPr>
                <w:rFonts w:hint="eastAsia" w:ascii="宋体" w:hAnsi="宋体" w:eastAsia="宋体" w:cs="宋体"/>
                <w:bCs/>
                <w:color w:val="auto"/>
                <w:kern w:val="2"/>
                <w:sz w:val="21"/>
                <w:szCs w:val="21"/>
                <w:highlight w:val="none"/>
                <w:u w:val="single"/>
              </w:rPr>
              <w:t>投标截止时间前</w:t>
            </w:r>
            <w:r>
              <w:rPr>
                <w:rFonts w:hint="eastAsia" w:ascii="宋体" w:hAnsi="宋体" w:eastAsia="宋体" w:cs="宋体"/>
                <w:bCs/>
                <w:color w:val="auto"/>
                <w:kern w:val="2"/>
                <w:sz w:val="21"/>
                <w:szCs w:val="21"/>
                <w:highlight w:val="none"/>
              </w:rPr>
              <w:t>。</w:t>
            </w:r>
          </w:p>
        </w:tc>
      </w:tr>
      <w:tr w14:paraId="43E3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DFE3A0B">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20</w:t>
            </w:r>
          </w:p>
        </w:tc>
        <w:tc>
          <w:tcPr>
            <w:tcW w:w="850" w:type="dxa"/>
            <w:vAlign w:val="center"/>
          </w:tcPr>
          <w:p w14:paraId="7B0BC33A">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30.1.1</w:t>
            </w:r>
          </w:p>
        </w:tc>
        <w:tc>
          <w:tcPr>
            <w:tcW w:w="2835" w:type="dxa"/>
            <w:vAlign w:val="center"/>
          </w:tcPr>
          <w:p w14:paraId="05FD29F2">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评标委员会</w:t>
            </w:r>
          </w:p>
        </w:tc>
        <w:tc>
          <w:tcPr>
            <w:tcW w:w="4982" w:type="dxa"/>
            <w:vAlign w:val="center"/>
          </w:tcPr>
          <w:p w14:paraId="27D9838C">
            <w:pPr>
              <w:pStyle w:val="75"/>
              <w:keepNext w:val="0"/>
              <w:keepLines w:val="0"/>
              <w:suppressLineNumbers w:val="0"/>
              <w:spacing w:before="0" w:beforeAutospacing="0" w:after="0" w:afterAutospacing="0" w:line="360" w:lineRule="auto"/>
              <w:ind w:left="0" w:right="0"/>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5人以上单数。</w:t>
            </w:r>
          </w:p>
        </w:tc>
      </w:tr>
      <w:tr w14:paraId="70FF7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C2A7CB9">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w:t>
            </w:r>
          </w:p>
        </w:tc>
        <w:tc>
          <w:tcPr>
            <w:tcW w:w="850" w:type="dxa"/>
            <w:vAlign w:val="center"/>
          </w:tcPr>
          <w:p w14:paraId="3BA1FD5E">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30.5.3</w:t>
            </w:r>
          </w:p>
        </w:tc>
        <w:tc>
          <w:tcPr>
            <w:tcW w:w="2835" w:type="dxa"/>
            <w:vAlign w:val="center"/>
          </w:tcPr>
          <w:p w14:paraId="5DDB69CE">
            <w:pPr>
              <w:pStyle w:val="75"/>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核心产品</w:t>
            </w:r>
          </w:p>
        </w:tc>
        <w:tc>
          <w:tcPr>
            <w:tcW w:w="4982" w:type="dxa"/>
            <w:vAlign w:val="center"/>
          </w:tcPr>
          <w:p w14:paraId="380D6507">
            <w:pPr>
              <w:pStyle w:val="75"/>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☐货物类，单一产品或核心产品为：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rPr>
              <w:br w:type="textWrapping"/>
            </w: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rPr>
              <w:t>服务类，不适用。</w:t>
            </w:r>
          </w:p>
        </w:tc>
      </w:tr>
      <w:tr w14:paraId="12174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vAlign w:val="center"/>
          </w:tcPr>
          <w:p w14:paraId="1476DFC5">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22</w:t>
            </w:r>
          </w:p>
        </w:tc>
        <w:tc>
          <w:tcPr>
            <w:tcW w:w="850" w:type="dxa"/>
            <w:vAlign w:val="center"/>
          </w:tcPr>
          <w:p w14:paraId="46C4A8CC">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31.3</w:t>
            </w:r>
          </w:p>
        </w:tc>
        <w:tc>
          <w:tcPr>
            <w:tcW w:w="2835" w:type="dxa"/>
            <w:vAlign w:val="center"/>
          </w:tcPr>
          <w:p w14:paraId="09B9C9B3">
            <w:pPr>
              <w:pStyle w:val="75"/>
              <w:keepNext w:val="0"/>
              <w:keepLines w:val="0"/>
              <w:suppressLineNumbers w:val="0"/>
              <w:spacing w:before="0" w:beforeAutospacing="0" w:after="0" w:afterAutospacing="0"/>
              <w:ind w:left="0" w:right="0"/>
              <w:jc w:val="left"/>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t>确定中标单位</w:t>
            </w:r>
          </w:p>
        </w:tc>
        <w:tc>
          <w:tcPr>
            <w:tcW w:w="4982" w:type="dxa"/>
            <w:vAlign w:val="center"/>
          </w:tcPr>
          <w:p w14:paraId="26EF6FFA">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1、从评标报告确定的中标候选人名单中按顺序确定排名第1名的为中标人。</w:t>
            </w:r>
          </w:p>
          <w:p w14:paraId="71AF0F5D">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2、中标候选人并列的，按照以下方式确定中标人。</w:t>
            </w:r>
          </w:p>
          <w:p w14:paraId="31742288">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☐随机抽取</w:t>
            </w:r>
          </w:p>
          <w:p w14:paraId="6127552A">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rPr>
              <w:t>其他</w:t>
            </w:r>
            <w:r>
              <w:rPr>
                <w:rFonts w:hint="eastAsia" w:ascii="宋体" w:hAnsi="宋体" w:eastAsia="宋体" w:cs="宋体"/>
                <w:bCs/>
                <w:color w:val="auto"/>
                <w:sz w:val="21"/>
                <w:szCs w:val="21"/>
                <w:highlight w:val="none"/>
                <w:u w:val="single"/>
              </w:rPr>
              <w:t>得分相同的，按投标报价由低到高顺序排列，得分且投标报价相同的，按技术指标优劣顺序排列，由评标委员会确定中标人。</w:t>
            </w:r>
          </w:p>
        </w:tc>
      </w:tr>
      <w:tr w14:paraId="106D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675" w:type="dxa"/>
            <w:vAlign w:val="center"/>
          </w:tcPr>
          <w:p w14:paraId="2A14B483">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23</w:t>
            </w:r>
          </w:p>
        </w:tc>
        <w:tc>
          <w:tcPr>
            <w:tcW w:w="850" w:type="dxa"/>
            <w:vAlign w:val="center"/>
          </w:tcPr>
          <w:p w14:paraId="24F42899">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31.4</w:t>
            </w:r>
          </w:p>
        </w:tc>
        <w:tc>
          <w:tcPr>
            <w:tcW w:w="2835" w:type="dxa"/>
            <w:vAlign w:val="center"/>
          </w:tcPr>
          <w:p w14:paraId="00B2B6DB">
            <w:pPr>
              <w:pStyle w:val="75"/>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公告媒体</w:t>
            </w:r>
          </w:p>
        </w:tc>
        <w:tc>
          <w:tcPr>
            <w:tcW w:w="4982" w:type="dxa"/>
            <w:vAlign w:val="center"/>
          </w:tcPr>
          <w:p w14:paraId="010F1304">
            <w:pPr>
              <w:keepNext w:val="0"/>
              <w:keepLines w:val="0"/>
              <w:suppressLineNumbers w:val="0"/>
              <w:adjustRightInd w:val="0"/>
              <w:snapToGrid w:val="0"/>
              <w:spacing w:before="156" w:beforeLines="50" w:beforeAutospacing="0" w:after="0" w:afterAutospacing="0" w:line="276"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有关采购事务和本项目的补充公告，敬请及时关注“江苏政府采购网”发布的信息（网址：http://www.ccgp-jiangsu.gov.cn）</w:t>
            </w:r>
          </w:p>
        </w:tc>
      </w:tr>
      <w:tr w14:paraId="17A6A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4092B792">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24</w:t>
            </w:r>
          </w:p>
        </w:tc>
        <w:tc>
          <w:tcPr>
            <w:tcW w:w="850" w:type="dxa"/>
            <w:vAlign w:val="center"/>
          </w:tcPr>
          <w:p w14:paraId="385B5355">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35.1</w:t>
            </w:r>
          </w:p>
        </w:tc>
        <w:tc>
          <w:tcPr>
            <w:tcW w:w="2835" w:type="dxa"/>
            <w:vAlign w:val="center"/>
          </w:tcPr>
          <w:p w14:paraId="2D9330F1">
            <w:pPr>
              <w:pStyle w:val="75"/>
              <w:keepNext w:val="0"/>
              <w:keepLines w:val="0"/>
              <w:suppressLineNumbers w:val="0"/>
              <w:spacing w:before="0" w:beforeAutospacing="0" w:after="0" w:afterAutospacing="0"/>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履约保证金</w:t>
            </w:r>
          </w:p>
        </w:tc>
        <w:tc>
          <w:tcPr>
            <w:tcW w:w="4982" w:type="dxa"/>
            <w:vAlign w:val="center"/>
          </w:tcPr>
          <w:p w14:paraId="61F2AC82">
            <w:pPr>
              <w:pStyle w:val="75"/>
              <w:keepNext w:val="0"/>
              <w:keepLines w:val="0"/>
              <w:suppressLineNumbers w:val="0"/>
              <w:spacing w:before="0" w:beforeAutospacing="0" w:after="0" w:afterAutospacing="0" w:line="360" w:lineRule="auto"/>
              <w:ind w:left="0" w:right="0"/>
              <w:rPr>
                <w:rFonts w:hint="eastAsia" w:ascii="宋体" w:hAnsi="宋体" w:eastAsia="宋体" w:cs="宋体"/>
                <w:bCs/>
                <w:color w:val="auto"/>
                <w:kern w:val="2"/>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Cs/>
                <w:color w:val="auto"/>
                <w:kern w:val="2"/>
                <w:sz w:val="21"/>
                <w:szCs w:val="21"/>
                <w:highlight w:val="none"/>
              </w:rPr>
              <w:t>不要求提供</w:t>
            </w:r>
          </w:p>
          <w:p w14:paraId="26FCCF3D">
            <w:pPr>
              <w:pStyle w:val="75"/>
              <w:keepNext w:val="0"/>
              <w:keepLines w:val="0"/>
              <w:suppressLineNumbers w:val="0"/>
              <w:spacing w:before="0" w:beforeAutospacing="0" w:after="0" w:afterAutospacing="0" w:line="360" w:lineRule="auto"/>
              <w:ind w:left="0" w:right="0"/>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rPr>
              <w:sym w:font="Wingdings 2" w:char="00A3"/>
            </w:r>
            <w:r>
              <w:rPr>
                <w:rFonts w:hint="eastAsia" w:ascii="宋体" w:hAnsi="宋体" w:eastAsia="宋体" w:cs="宋体"/>
                <w:bCs/>
                <w:color w:val="auto"/>
                <w:kern w:val="2"/>
                <w:sz w:val="21"/>
                <w:szCs w:val="21"/>
                <w:highlight w:val="none"/>
              </w:rPr>
              <w:t>要求提供，履约保证金的数额不得超过政府采购合同金额的</w:t>
            </w:r>
            <w:r>
              <w:rPr>
                <w:rFonts w:hint="eastAsia" w:ascii="宋体" w:hAnsi="宋体" w:eastAsia="宋体" w:cs="宋体"/>
                <w:bCs/>
                <w:color w:val="auto"/>
                <w:kern w:val="2"/>
                <w:sz w:val="21"/>
                <w:szCs w:val="21"/>
                <w:highlight w:val="none"/>
                <w:u w:val="single"/>
              </w:rPr>
              <w:t xml:space="preserve">     </w:t>
            </w:r>
            <w:r>
              <w:rPr>
                <w:rFonts w:hint="eastAsia" w:ascii="宋体" w:hAnsi="宋体" w:eastAsia="宋体" w:cs="宋体"/>
                <w:bCs/>
                <w:color w:val="auto"/>
                <w:kern w:val="2"/>
                <w:sz w:val="21"/>
                <w:szCs w:val="21"/>
                <w:highlight w:val="none"/>
              </w:rPr>
              <w:t>%。</w:t>
            </w:r>
          </w:p>
          <w:p w14:paraId="754A81F0">
            <w:pPr>
              <w:pStyle w:val="19"/>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收款人户名：</w:t>
            </w:r>
          </w:p>
          <w:p w14:paraId="0477291C">
            <w:pPr>
              <w:pStyle w:val="19"/>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3E28972F">
            <w:pPr>
              <w:pStyle w:val="19"/>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银行账号：</w:t>
            </w:r>
          </w:p>
          <w:p w14:paraId="28D8ABE0">
            <w:pPr>
              <w:pStyle w:val="75"/>
              <w:keepNext w:val="0"/>
              <w:keepLines w:val="0"/>
              <w:suppressLineNumbers w:val="0"/>
              <w:spacing w:before="0" w:beforeAutospacing="0" w:after="0" w:afterAutospacing="0" w:line="360" w:lineRule="auto"/>
              <w:ind w:left="0" w:right="0"/>
              <w:rPr>
                <w:rFonts w:hint="eastAsia" w:ascii="宋体" w:hAnsi="宋体" w:eastAsia="宋体" w:cs="宋体"/>
                <w:bCs/>
                <w:color w:val="auto"/>
                <w:kern w:val="2"/>
                <w:sz w:val="21"/>
                <w:szCs w:val="21"/>
                <w:highlight w:val="none"/>
              </w:rPr>
            </w:pPr>
            <w:r>
              <w:rPr>
                <w:rFonts w:hint="eastAsia" w:ascii="宋体" w:hAnsi="宋体" w:eastAsia="宋体" w:cs="宋体"/>
                <w:bCs/>
                <w:color w:val="auto"/>
                <w:sz w:val="21"/>
                <w:szCs w:val="21"/>
                <w:highlight w:val="none"/>
              </w:rPr>
              <w:t>注：以电汇方式递交履约保证金须在电汇凭据附言栏中写明采购编号、包号及用途（履约保证金）。</w:t>
            </w:r>
          </w:p>
        </w:tc>
      </w:tr>
      <w:tr w14:paraId="22EF7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155F36EF">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25</w:t>
            </w:r>
          </w:p>
        </w:tc>
        <w:tc>
          <w:tcPr>
            <w:tcW w:w="850" w:type="dxa"/>
            <w:vAlign w:val="center"/>
          </w:tcPr>
          <w:p w14:paraId="0204211C">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36.1</w:t>
            </w:r>
          </w:p>
        </w:tc>
        <w:tc>
          <w:tcPr>
            <w:tcW w:w="2835" w:type="dxa"/>
            <w:vAlign w:val="center"/>
          </w:tcPr>
          <w:p w14:paraId="3A2F611F">
            <w:pPr>
              <w:keepNext w:val="0"/>
              <w:keepLines w:val="0"/>
              <w:suppressLineNumbers w:val="0"/>
              <w:adjustRightInd w:val="0"/>
              <w:snapToGrid w:val="0"/>
              <w:spacing w:before="156" w:beforeLines="50" w:beforeAutospacing="0" w:after="0" w:afterAutospacing="0" w:line="276" w:lineRule="auto"/>
              <w:ind w:left="-533" w:leftChars="-254" w:right="0" w:firstLine="533" w:firstLineChars="25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供应商对采购文件的</w:t>
            </w:r>
          </w:p>
          <w:p w14:paraId="58DB0370">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询问</w:t>
            </w:r>
          </w:p>
        </w:tc>
        <w:tc>
          <w:tcPr>
            <w:tcW w:w="4982" w:type="dxa"/>
            <w:vAlign w:val="center"/>
          </w:tcPr>
          <w:p w14:paraId="1DB1BA51">
            <w:pPr>
              <w:pStyle w:val="19"/>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时间：202</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年</w:t>
            </w:r>
            <w:r>
              <w:rPr>
                <w:rFonts w:hint="eastAsia" w:hAnsi="宋体" w:cs="宋体"/>
                <w:bCs/>
                <w:color w:val="auto"/>
                <w:sz w:val="21"/>
                <w:szCs w:val="21"/>
                <w:highlight w:val="none"/>
                <w:lang w:val="en-US" w:eastAsia="zh-CN"/>
              </w:rPr>
              <w:t>09</w:t>
            </w:r>
            <w:r>
              <w:rPr>
                <w:rFonts w:hint="eastAsia" w:ascii="宋体" w:hAnsi="宋体" w:eastAsia="宋体" w:cs="宋体"/>
                <w:bCs/>
                <w:color w:val="auto"/>
                <w:sz w:val="21"/>
                <w:szCs w:val="21"/>
                <w:highlight w:val="none"/>
              </w:rPr>
              <w:t>月</w:t>
            </w:r>
            <w:r>
              <w:rPr>
                <w:rFonts w:hint="eastAsia" w:hAnsi="宋体" w:cs="宋体"/>
                <w:bCs/>
                <w:color w:val="auto"/>
                <w:sz w:val="21"/>
                <w:szCs w:val="21"/>
                <w:highlight w:val="none"/>
                <w:lang w:val="en-US" w:eastAsia="zh-CN"/>
              </w:rPr>
              <w:t>21</w:t>
            </w:r>
            <w:r>
              <w:rPr>
                <w:rFonts w:hint="eastAsia" w:ascii="宋体" w:hAnsi="宋体" w:eastAsia="宋体" w:cs="宋体"/>
                <w:bCs/>
                <w:color w:val="auto"/>
                <w:sz w:val="21"/>
                <w:szCs w:val="21"/>
                <w:highlight w:val="none"/>
              </w:rPr>
              <w:t>日前</w:t>
            </w:r>
          </w:p>
          <w:p w14:paraId="3E94C142">
            <w:pPr>
              <w:pStyle w:val="19"/>
              <w:keepNext w:val="0"/>
              <w:keepLines w:val="0"/>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形式：以书面形式（盖章扫描件及WPS兼容格式文件发至</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1728158436@qq.com</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邮箱）通知采购人或采购代理机构。</w:t>
            </w:r>
          </w:p>
        </w:tc>
      </w:tr>
      <w:tr w14:paraId="33ECC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675" w:type="dxa"/>
            <w:vAlign w:val="center"/>
          </w:tcPr>
          <w:p w14:paraId="18440CF0">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26</w:t>
            </w:r>
          </w:p>
        </w:tc>
        <w:tc>
          <w:tcPr>
            <w:tcW w:w="850" w:type="dxa"/>
            <w:vAlign w:val="center"/>
          </w:tcPr>
          <w:p w14:paraId="6CE2CBEA">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37.1</w:t>
            </w:r>
          </w:p>
        </w:tc>
        <w:tc>
          <w:tcPr>
            <w:tcW w:w="2835" w:type="dxa"/>
            <w:vAlign w:val="center"/>
          </w:tcPr>
          <w:p w14:paraId="2526FAC1">
            <w:pPr>
              <w:keepNext w:val="0"/>
              <w:keepLines w:val="0"/>
              <w:suppressLineNumbers w:val="0"/>
              <w:adjustRightInd w:val="0"/>
              <w:snapToGrid w:val="0"/>
              <w:spacing w:before="156" w:beforeLines="50" w:beforeAutospacing="0" w:after="0" w:afterAutospacing="0" w:line="276" w:lineRule="auto"/>
              <w:ind w:left="-533" w:leftChars="-254" w:right="0" w:firstLine="533" w:firstLineChars="25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供应商对采购文件提出的</w:t>
            </w:r>
          </w:p>
          <w:p w14:paraId="310A0542">
            <w:pPr>
              <w:keepNext w:val="0"/>
              <w:keepLines w:val="0"/>
              <w:suppressLineNumbers w:val="0"/>
              <w:adjustRightInd w:val="0"/>
              <w:snapToGrid w:val="0"/>
              <w:spacing w:before="156" w:beforeLines="50" w:beforeAutospacing="0" w:after="0" w:afterAutospacing="0" w:line="276" w:lineRule="auto"/>
              <w:ind w:left="-533" w:leftChars="-254" w:right="0" w:firstLine="533" w:firstLineChars="25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w:t>
            </w:r>
          </w:p>
        </w:tc>
        <w:tc>
          <w:tcPr>
            <w:tcW w:w="4982" w:type="dxa"/>
            <w:vAlign w:val="center"/>
          </w:tcPr>
          <w:p w14:paraId="0624B48C">
            <w:pPr>
              <w:pStyle w:val="19"/>
              <w:keepNext w:val="0"/>
              <w:keepLines w:val="0"/>
              <w:suppressLineNumbers w:val="0"/>
              <w:spacing w:before="0" w:beforeAutospacing="0" w:after="0" w:afterAutospacing="0" w:line="360" w:lineRule="auto"/>
              <w:ind w:left="0" w:right="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形式：以书面形式通知采购人或采购代理机构。如采用邮件形式（盖章扫描件及WPS兼容格式文件发至</w:t>
            </w:r>
            <w:r>
              <w:rPr>
                <w:rFonts w:hint="eastAsia" w:ascii="宋体" w:hAnsi="宋体" w:eastAsia="宋体" w:cs="宋体"/>
                <w:bCs/>
                <w:color w:val="auto"/>
                <w:sz w:val="21"/>
                <w:szCs w:val="21"/>
                <w:highlight w:val="none"/>
                <w:u w:val="single"/>
                <w:lang w:eastAsia="zh-CN"/>
              </w:rPr>
              <w:t>1728158436@qq.com</w:t>
            </w:r>
            <w:r>
              <w:rPr>
                <w:rFonts w:hint="eastAsia" w:ascii="宋体" w:hAnsi="宋体" w:eastAsia="宋体" w:cs="宋体"/>
                <w:bCs/>
                <w:color w:val="auto"/>
                <w:sz w:val="21"/>
                <w:szCs w:val="21"/>
                <w:highlight w:val="none"/>
              </w:rPr>
              <w:t>邮箱）通知，采购人或采购代理机构将以邮件形式进行答复。</w:t>
            </w:r>
          </w:p>
        </w:tc>
      </w:tr>
      <w:tr w14:paraId="3530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675" w:type="dxa"/>
            <w:vAlign w:val="center"/>
          </w:tcPr>
          <w:p w14:paraId="558760B8">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27</w:t>
            </w:r>
          </w:p>
        </w:tc>
        <w:tc>
          <w:tcPr>
            <w:tcW w:w="850" w:type="dxa"/>
            <w:vAlign w:val="center"/>
          </w:tcPr>
          <w:p w14:paraId="4ABE65CF">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38.1</w:t>
            </w:r>
          </w:p>
        </w:tc>
        <w:tc>
          <w:tcPr>
            <w:tcW w:w="2835" w:type="dxa"/>
            <w:vAlign w:val="center"/>
          </w:tcPr>
          <w:p w14:paraId="45C92364">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招标代理服务费</w:t>
            </w:r>
          </w:p>
        </w:tc>
        <w:tc>
          <w:tcPr>
            <w:tcW w:w="4982" w:type="dxa"/>
            <w:vAlign w:val="center"/>
          </w:tcPr>
          <w:p w14:paraId="60032F9C">
            <w:pPr>
              <w:pStyle w:val="19"/>
              <w:keepNext w:val="0"/>
              <w:keepLines w:val="0"/>
              <w:suppressLineNumbers w:val="0"/>
              <w:spacing w:before="0" w:beforeAutospacing="0" w:after="0" w:afterAutospacing="0" w:line="360" w:lineRule="auto"/>
              <w:ind w:left="0" w:right="0"/>
              <w:rPr>
                <w:rFonts w:hint="eastAsia" w:ascii="宋体" w:hAnsi="宋体" w:eastAsia="宋体" w:cs="宋体"/>
                <w:bCs/>
                <w:snapToGrid w:val="0"/>
                <w:color w:val="auto"/>
                <w:kern w:val="0"/>
                <w:sz w:val="21"/>
                <w:szCs w:val="21"/>
                <w:highlight w:val="none"/>
              </w:rPr>
            </w:pPr>
            <w:r>
              <w:rPr>
                <w:rFonts w:hint="eastAsia" w:ascii="宋体" w:hAnsi="宋体" w:eastAsia="宋体" w:cs="宋体"/>
                <w:bCs/>
                <w:snapToGrid w:val="0"/>
                <w:color w:val="auto"/>
                <w:kern w:val="0"/>
                <w:sz w:val="21"/>
                <w:szCs w:val="21"/>
                <w:highlight w:val="none"/>
              </w:rPr>
              <w:t>1.支付主体和报价要求：本项目采购代理服务费由中标人支付，中标人在报价时应将代理服务费全额包含在投标总价中，采购人不再另行支付。</w:t>
            </w:r>
          </w:p>
          <w:p w14:paraId="4962E830">
            <w:pPr>
              <w:pStyle w:val="19"/>
              <w:keepNext w:val="0"/>
              <w:keepLines w:val="0"/>
              <w:suppressLineNumbers w:val="0"/>
              <w:spacing w:before="0" w:beforeAutospacing="0" w:after="0" w:afterAutospacing="0" w:line="360" w:lineRule="auto"/>
              <w:ind w:left="0" w:right="0"/>
              <w:rPr>
                <w:rFonts w:hint="eastAsia" w:ascii="宋体" w:hAnsi="宋体" w:eastAsia="宋体" w:cs="宋体"/>
                <w:bCs/>
                <w:snapToGrid w:val="0"/>
                <w:color w:val="auto"/>
                <w:kern w:val="0"/>
                <w:sz w:val="21"/>
                <w:szCs w:val="21"/>
                <w:highlight w:val="none"/>
              </w:rPr>
            </w:pPr>
            <w:r>
              <w:rPr>
                <w:rFonts w:hint="eastAsia" w:ascii="宋体" w:hAnsi="宋体" w:eastAsia="宋体" w:cs="宋体"/>
                <w:bCs/>
                <w:snapToGrid w:val="0"/>
                <w:color w:val="auto"/>
                <w:kern w:val="0"/>
                <w:sz w:val="21"/>
                <w:szCs w:val="21"/>
                <w:highlight w:val="none"/>
              </w:rPr>
              <w:t>2.原因：为优化采购资金使用效率，依据《政府采购代理机构管理暂行办法》（财库〔2018〕2号）第十五条规定，经采购人研究确定，本项目代理服务费由中标人支付。</w:t>
            </w:r>
          </w:p>
          <w:p w14:paraId="76A64D6B">
            <w:pPr>
              <w:pStyle w:val="19"/>
              <w:keepNext w:val="0"/>
              <w:keepLines w:val="0"/>
              <w:suppressLineNumbers w:val="0"/>
              <w:spacing w:before="0" w:beforeAutospacing="0" w:after="0" w:afterAutospacing="0" w:line="360" w:lineRule="auto"/>
              <w:ind w:left="0" w:right="0"/>
              <w:rPr>
                <w:rFonts w:hint="eastAsia" w:ascii="宋体" w:hAnsi="宋体" w:eastAsia="宋体" w:cs="宋体"/>
                <w:bCs/>
                <w:snapToGrid w:val="0"/>
                <w:color w:val="auto"/>
                <w:kern w:val="0"/>
                <w:sz w:val="21"/>
                <w:szCs w:val="21"/>
                <w:highlight w:val="none"/>
              </w:rPr>
            </w:pPr>
            <w:r>
              <w:rPr>
                <w:rFonts w:hint="eastAsia" w:ascii="宋体" w:hAnsi="宋体" w:eastAsia="宋体" w:cs="宋体"/>
                <w:bCs/>
                <w:snapToGrid w:val="0"/>
                <w:color w:val="auto"/>
                <w:kern w:val="0"/>
                <w:sz w:val="21"/>
                <w:szCs w:val="21"/>
                <w:highlight w:val="none"/>
              </w:rPr>
              <w:t>3.收取方式：中标人在领取中标通知书前，一次性向采购代理机构足额支付；支付方式为银行转账/电汇/现金。</w:t>
            </w:r>
          </w:p>
          <w:p w14:paraId="3B9EC844">
            <w:pPr>
              <w:pStyle w:val="19"/>
              <w:keepNext w:val="0"/>
              <w:keepLines w:val="0"/>
              <w:suppressLineNumbers w:val="0"/>
              <w:spacing w:before="0" w:beforeAutospacing="0" w:after="0" w:afterAutospacing="0" w:line="360" w:lineRule="auto"/>
              <w:ind w:left="0" w:right="0"/>
              <w:rPr>
                <w:rFonts w:hint="eastAsia" w:ascii="宋体" w:hAnsi="宋体" w:eastAsia="宋体" w:cs="宋体"/>
                <w:bCs/>
                <w:snapToGrid w:val="0"/>
                <w:color w:val="auto"/>
                <w:kern w:val="0"/>
                <w:sz w:val="21"/>
                <w:szCs w:val="21"/>
                <w:highlight w:val="none"/>
              </w:rPr>
            </w:pPr>
            <w:r>
              <w:rPr>
                <w:rFonts w:hint="eastAsia" w:ascii="宋体" w:hAnsi="宋体" w:eastAsia="宋体" w:cs="宋体"/>
                <w:bCs/>
                <w:snapToGrid w:val="0"/>
                <w:color w:val="auto"/>
                <w:kern w:val="0"/>
                <w:sz w:val="21"/>
                <w:szCs w:val="21"/>
                <w:highlight w:val="none"/>
              </w:rPr>
              <w:t>4.收费标准：各标段中标人以中标价为基数，参照《招标代理服务收费管理暂行办法》（国家发展计划委员会计价格[2002]1980号）代理服务招标收费基准费率的80%计算，在领取中标通知书前向招标代理机构一次性支付服务费。</w:t>
            </w:r>
          </w:p>
          <w:p w14:paraId="5E2A47AD">
            <w:pPr>
              <w:pStyle w:val="19"/>
              <w:keepNext w:val="0"/>
              <w:keepLines w:val="0"/>
              <w:suppressLineNumbers w:val="0"/>
              <w:spacing w:before="0" w:beforeAutospacing="0" w:after="0" w:afterAutospacing="0" w:line="360" w:lineRule="auto"/>
              <w:ind w:left="0" w:right="0"/>
              <w:rPr>
                <w:rFonts w:hint="eastAsia" w:ascii="宋体" w:hAnsi="宋体" w:eastAsia="宋体" w:cs="宋体"/>
                <w:bCs/>
                <w:snapToGrid w:val="0"/>
                <w:color w:val="auto"/>
                <w:kern w:val="0"/>
                <w:sz w:val="21"/>
                <w:szCs w:val="21"/>
                <w:highlight w:val="none"/>
              </w:rPr>
            </w:pPr>
            <w:r>
              <w:rPr>
                <w:rFonts w:hint="eastAsia" w:ascii="宋体" w:hAnsi="宋体" w:eastAsia="宋体" w:cs="宋体"/>
                <w:bCs/>
                <w:snapToGrid w:val="0"/>
                <w:color w:val="auto"/>
                <w:kern w:val="0"/>
                <w:sz w:val="21"/>
                <w:szCs w:val="21"/>
                <w:highlight w:val="none"/>
              </w:rPr>
              <w:t>5.确定标准的依据：《政府采购代理机构管理暂行办法》（财库〔2018〕2号）、《招标代理服务收费管理暂行办法》（国家发展计划委员会计价格[2002]1980号）。</w:t>
            </w:r>
          </w:p>
        </w:tc>
      </w:tr>
      <w:tr w14:paraId="003DE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16DF4974">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28</w:t>
            </w:r>
          </w:p>
        </w:tc>
        <w:tc>
          <w:tcPr>
            <w:tcW w:w="850" w:type="dxa"/>
            <w:vAlign w:val="center"/>
          </w:tcPr>
          <w:p w14:paraId="1BD3DA7F">
            <w:pPr>
              <w:pStyle w:val="75"/>
              <w:keepNext w:val="0"/>
              <w:keepLines w:val="0"/>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39.1</w:t>
            </w:r>
          </w:p>
        </w:tc>
        <w:tc>
          <w:tcPr>
            <w:tcW w:w="2835" w:type="dxa"/>
            <w:vAlign w:val="center"/>
          </w:tcPr>
          <w:p w14:paraId="212E704A">
            <w:pPr>
              <w:pStyle w:val="75"/>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其他规定</w:t>
            </w:r>
          </w:p>
        </w:tc>
        <w:tc>
          <w:tcPr>
            <w:tcW w:w="4982" w:type="dxa"/>
            <w:vAlign w:val="center"/>
          </w:tcPr>
          <w:p w14:paraId="0DE9A963">
            <w:pPr>
              <w:pStyle w:val="75"/>
              <w:keepNext w:val="0"/>
              <w:keepLines w:val="0"/>
              <w:numPr>
                <w:ilvl w:val="-1"/>
                <w:numId w:val="0"/>
              </w:numPr>
              <w:suppressLineNumbers w:val="0"/>
              <w:spacing w:before="160" w:beforeAutospacing="0" w:after="0" w:afterAutospacing="0" w:line="276" w:lineRule="auto"/>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kern w:val="0"/>
                <w:sz w:val="21"/>
                <w:szCs w:val="21"/>
                <w:highlight w:val="none"/>
                <w:lang w:val="en-US" w:eastAsia="zh-CN" w:bidi="ar-SA"/>
              </w:rPr>
              <w:t>1.本项目兼投不兼中：</w:t>
            </w:r>
            <w:r>
              <w:rPr>
                <w:rFonts w:hint="eastAsia" w:ascii="宋体" w:hAnsi="宋体" w:eastAsia="宋体" w:cs="宋体"/>
                <w:b/>
                <w:bCs/>
                <w:color w:val="auto"/>
                <w:sz w:val="21"/>
                <w:szCs w:val="21"/>
                <w:highlight w:val="none"/>
              </w:rPr>
              <w:t>供应商可投标多个包，但至多只能中标一个包。</w:t>
            </w:r>
            <w:r>
              <w:rPr>
                <w:rFonts w:hint="eastAsia" w:ascii="宋体" w:hAnsi="宋体" w:eastAsia="宋体" w:cs="宋体"/>
                <w:b/>
                <w:bCs w:val="0"/>
                <w:color w:val="auto"/>
                <w:sz w:val="21"/>
                <w:szCs w:val="21"/>
                <w:highlight w:val="none"/>
              </w:rPr>
              <w:t>评审按包号正顺序进行评审，供应商在前一包中被推荐为第一中标候选人后，</w:t>
            </w:r>
            <w:r>
              <w:rPr>
                <w:rFonts w:hint="eastAsia" w:ascii="宋体" w:hAnsi="宋体" w:eastAsia="宋体" w:cs="宋体"/>
                <w:b/>
                <w:bCs w:val="0"/>
                <w:color w:val="auto"/>
                <w:sz w:val="21"/>
                <w:szCs w:val="21"/>
                <w:highlight w:val="none"/>
                <w:lang w:val="en-US" w:eastAsia="zh-CN"/>
              </w:rPr>
              <w:t>其投标文件在后续包中按照无效投标处理</w:t>
            </w:r>
            <w:r>
              <w:rPr>
                <w:rFonts w:hint="eastAsia" w:ascii="宋体" w:hAnsi="宋体" w:eastAsia="宋体" w:cs="宋体"/>
                <w:b/>
                <w:bCs w:val="0"/>
                <w:color w:val="auto"/>
                <w:sz w:val="21"/>
                <w:szCs w:val="21"/>
                <w:highlight w:val="none"/>
              </w:rPr>
              <w:t>。</w:t>
            </w:r>
          </w:p>
          <w:p w14:paraId="7C76A6C2">
            <w:pPr>
              <w:pStyle w:val="75"/>
              <w:keepNext w:val="0"/>
              <w:keepLines w:val="0"/>
              <w:numPr>
                <w:ilvl w:val="-1"/>
                <w:numId w:val="0"/>
              </w:numPr>
              <w:suppressLineNumbers w:val="0"/>
              <w:spacing w:before="160" w:beforeAutospacing="0" w:after="0" w:afterAutospacing="0" w:line="276" w:lineRule="auto"/>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SA"/>
              </w:rPr>
              <w:t>2.</w:t>
            </w:r>
            <w:r>
              <w:rPr>
                <w:rFonts w:hint="eastAsia" w:ascii="宋体" w:hAnsi="宋体" w:eastAsia="宋体" w:cs="宋体"/>
                <w:b/>
                <w:bCs/>
                <w:color w:val="auto"/>
                <w:sz w:val="21"/>
                <w:szCs w:val="21"/>
                <w:highlight w:val="none"/>
              </w:rPr>
              <w:t>本项目采购标的对应的中小企业划分标准所属行业：其他未列明行业。</w:t>
            </w:r>
          </w:p>
          <w:p w14:paraId="652AD8FC">
            <w:pPr>
              <w:pStyle w:val="75"/>
              <w:keepNext w:val="0"/>
              <w:keepLines w:val="0"/>
              <w:suppressLineNumbers w:val="0"/>
              <w:spacing w:before="160" w:beforeAutospacing="0" w:after="0" w:afterAutospacing="0" w:line="276" w:lineRule="auto"/>
              <w:ind w:left="0" w:right="0"/>
              <w:rPr>
                <w:rFonts w:hint="eastAsia" w:ascii="宋体" w:hAnsi="宋体" w:eastAsia="宋体" w:cs="宋体"/>
                <w:bCs/>
                <w:snapToGrid w:val="0"/>
                <w:kern w:val="0"/>
                <w:sz w:val="21"/>
                <w:szCs w:val="21"/>
                <w:lang w:val="en-US" w:eastAsia="zh-CN" w:bidi="ar-SA"/>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sz w:val="21"/>
                <w:szCs w:val="21"/>
              </w:rPr>
              <w:t>异常低价</w:t>
            </w:r>
            <w:r>
              <w:rPr>
                <w:rFonts w:hint="eastAsia" w:ascii="宋体" w:hAnsi="宋体" w:eastAsia="宋体" w:cs="宋体"/>
                <w:b/>
                <w:bCs/>
                <w:snapToGrid w:val="0"/>
                <w:kern w:val="0"/>
                <w:sz w:val="21"/>
                <w:szCs w:val="21"/>
                <w:lang w:val="en-US" w:eastAsia="zh-CN" w:bidi="ar-SA"/>
              </w:rPr>
              <w:t>处理：</w:t>
            </w:r>
          </w:p>
          <w:p w14:paraId="6358ACD6">
            <w:pPr>
              <w:pStyle w:val="75"/>
              <w:keepNext w:val="0"/>
              <w:keepLines w:val="0"/>
              <w:suppressLineNumbers w:val="0"/>
              <w:spacing w:before="160" w:beforeAutospacing="0" w:after="0" w:afterAutospacing="0" w:line="276" w:lineRule="auto"/>
              <w:ind w:left="0" w:right="0"/>
              <w:rPr>
                <w:rFonts w:hint="eastAsia" w:ascii="宋体" w:hAnsi="宋体" w:eastAsia="宋体" w:cs="宋体"/>
                <w:bCs/>
                <w:snapToGrid w:val="0"/>
                <w:kern w:val="0"/>
                <w:sz w:val="21"/>
                <w:szCs w:val="21"/>
                <w:lang w:val="en-US" w:eastAsia="zh-CN" w:bidi="ar-SA"/>
              </w:rPr>
            </w:pPr>
            <w:r>
              <w:rPr>
                <w:rFonts w:hint="eastAsia" w:ascii="宋体" w:hAnsi="宋体" w:eastAsia="宋体" w:cs="宋体"/>
                <w:bCs/>
                <w:snapToGrid w:val="0"/>
                <w:kern w:val="0"/>
                <w:sz w:val="21"/>
                <w:szCs w:val="21"/>
                <w:lang w:val="en-US" w:eastAsia="zh-CN" w:bidi="ar-SA"/>
              </w:rPr>
              <w:t>（一）采购评审中出现下列情形之一的，评审委员会应当启动异常低价投标（响应）审查程序：</w:t>
            </w:r>
          </w:p>
          <w:p w14:paraId="397BB283">
            <w:pPr>
              <w:pStyle w:val="75"/>
              <w:keepNext w:val="0"/>
              <w:keepLines w:val="0"/>
              <w:suppressLineNumbers w:val="0"/>
              <w:spacing w:before="160" w:beforeAutospacing="0" w:after="0" w:afterAutospacing="0" w:line="276" w:lineRule="auto"/>
              <w:ind w:left="0" w:right="0"/>
              <w:rPr>
                <w:rFonts w:hint="eastAsia" w:ascii="宋体" w:hAnsi="宋体" w:eastAsia="宋体" w:cs="宋体"/>
                <w:bCs/>
                <w:snapToGrid w:val="0"/>
                <w:kern w:val="0"/>
                <w:sz w:val="21"/>
                <w:szCs w:val="21"/>
                <w:lang w:val="en-US" w:eastAsia="zh-CN" w:bidi="ar-SA"/>
              </w:rPr>
            </w:pPr>
            <w:r>
              <w:rPr>
                <w:rFonts w:hint="eastAsia" w:ascii="宋体" w:hAnsi="宋体" w:eastAsia="宋体" w:cs="宋体"/>
                <w:bCs/>
                <w:snapToGrid w:val="0"/>
                <w:kern w:val="0"/>
                <w:sz w:val="21"/>
                <w:szCs w:val="21"/>
                <w:lang w:val="en-US" w:eastAsia="zh-CN" w:bidi="ar-SA"/>
              </w:rPr>
              <w:t>1.投标（响应）报价低于全部通过符合性审查供应商投标（响应）报价平均值65%的，即投标（响应）报价&lt;全部通过符合性审查供应商投标（响应）报价平均值×65%；</w:t>
            </w:r>
          </w:p>
          <w:p w14:paraId="5F0223AE">
            <w:pPr>
              <w:pStyle w:val="75"/>
              <w:keepNext w:val="0"/>
              <w:keepLines w:val="0"/>
              <w:suppressLineNumbers w:val="0"/>
              <w:spacing w:before="160" w:beforeAutospacing="0" w:after="0" w:afterAutospacing="0" w:line="276" w:lineRule="auto"/>
              <w:ind w:left="0" w:right="0"/>
              <w:rPr>
                <w:rFonts w:hint="eastAsia" w:ascii="宋体" w:hAnsi="宋体" w:eastAsia="宋体" w:cs="宋体"/>
                <w:bCs/>
                <w:snapToGrid w:val="0"/>
                <w:kern w:val="0"/>
                <w:sz w:val="21"/>
                <w:szCs w:val="21"/>
                <w:lang w:val="en-US" w:eastAsia="zh-CN" w:bidi="ar-SA"/>
              </w:rPr>
            </w:pPr>
            <w:r>
              <w:rPr>
                <w:rFonts w:hint="eastAsia" w:ascii="宋体" w:hAnsi="宋体" w:eastAsia="宋体" w:cs="宋体"/>
                <w:bCs/>
                <w:snapToGrid w:val="0"/>
                <w:kern w:val="0"/>
                <w:sz w:val="21"/>
                <w:szCs w:val="21"/>
                <w:lang w:val="en-US" w:eastAsia="zh-CN" w:bidi="ar-SA"/>
              </w:rPr>
              <w:t>2.投标（响应）报价低于通过符合性审查的次低报价供应商投标（响应）报价65%的，即投标（响应）报价&lt;通过符合性审查的次低报价供应商投标（响应）报价×65%；</w:t>
            </w:r>
          </w:p>
          <w:p w14:paraId="7E84EB11">
            <w:pPr>
              <w:pStyle w:val="75"/>
              <w:keepNext w:val="0"/>
              <w:keepLines w:val="0"/>
              <w:suppressLineNumbers w:val="0"/>
              <w:spacing w:before="160" w:beforeAutospacing="0" w:after="0" w:afterAutospacing="0" w:line="276" w:lineRule="auto"/>
              <w:ind w:left="0" w:right="0"/>
              <w:rPr>
                <w:rFonts w:hint="eastAsia" w:ascii="宋体" w:hAnsi="宋体" w:eastAsia="宋体" w:cs="宋体"/>
                <w:bCs/>
                <w:snapToGrid w:val="0"/>
                <w:kern w:val="0"/>
                <w:sz w:val="21"/>
                <w:szCs w:val="21"/>
                <w:lang w:val="en-US" w:eastAsia="zh-CN" w:bidi="ar-SA"/>
              </w:rPr>
            </w:pPr>
            <w:r>
              <w:rPr>
                <w:rFonts w:hint="eastAsia" w:ascii="宋体" w:hAnsi="宋体" w:eastAsia="宋体" w:cs="宋体"/>
                <w:bCs/>
                <w:snapToGrid w:val="0"/>
                <w:kern w:val="0"/>
                <w:sz w:val="21"/>
                <w:szCs w:val="21"/>
                <w:lang w:val="en-US" w:eastAsia="zh-CN" w:bidi="ar-SA"/>
              </w:rPr>
              <w:t>3.投标（响应）报价低于采购项目最高限价65%的，即投标（响应）报价&lt;采购项目最高限价×65%（未设定最高限价的采购项目，以采购项目预算金额作为最高限价）；</w:t>
            </w:r>
          </w:p>
          <w:p w14:paraId="56F6EC77">
            <w:pPr>
              <w:pStyle w:val="75"/>
              <w:keepNext w:val="0"/>
              <w:keepLines w:val="0"/>
              <w:suppressLineNumbers w:val="0"/>
              <w:spacing w:before="160" w:beforeAutospacing="0" w:after="0" w:afterAutospacing="0" w:line="276" w:lineRule="auto"/>
              <w:ind w:left="0" w:right="0"/>
              <w:rPr>
                <w:rFonts w:hint="eastAsia" w:ascii="宋体" w:hAnsi="宋体" w:eastAsia="宋体" w:cs="宋体"/>
                <w:bCs/>
                <w:snapToGrid w:val="0"/>
                <w:kern w:val="0"/>
                <w:sz w:val="21"/>
                <w:szCs w:val="21"/>
                <w:lang w:val="en-US" w:eastAsia="zh-CN" w:bidi="ar-SA"/>
              </w:rPr>
            </w:pPr>
            <w:r>
              <w:rPr>
                <w:rFonts w:hint="eastAsia" w:ascii="宋体" w:hAnsi="宋体" w:eastAsia="宋体" w:cs="宋体"/>
                <w:bCs/>
                <w:snapToGrid w:val="0"/>
                <w:kern w:val="0"/>
                <w:sz w:val="21"/>
                <w:szCs w:val="21"/>
                <w:lang w:val="en-US" w:eastAsia="zh-CN" w:bidi="ar-SA"/>
              </w:rPr>
              <w:t>4.评审委员会基于专业判断，认为供应商报价过低，有可能影响产品质量或者不能诚信履约的其他情形。</w:t>
            </w:r>
          </w:p>
          <w:p w14:paraId="214F74BC">
            <w:pPr>
              <w:pStyle w:val="75"/>
              <w:keepNext w:val="0"/>
              <w:keepLines w:val="0"/>
              <w:numPr>
                <w:ilvl w:val="-1"/>
                <w:numId w:val="0"/>
              </w:numPr>
              <w:suppressLineNumbers w:val="0"/>
              <w:spacing w:before="160" w:beforeAutospacing="0" w:after="0" w:afterAutospacing="0" w:line="276" w:lineRule="auto"/>
              <w:ind w:left="0" w:right="0"/>
              <w:rPr>
                <w:rFonts w:hint="eastAsia" w:ascii="宋体" w:hAnsi="宋体" w:eastAsia="宋体" w:cs="宋体"/>
                <w:b/>
                <w:bCs/>
                <w:color w:val="auto"/>
                <w:sz w:val="21"/>
                <w:szCs w:val="21"/>
                <w:highlight w:val="none"/>
                <w:lang w:val="en-US" w:eastAsia="zh-CN"/>
              </w:rPr>
            </w:pPr>
            <w:r>
              <w:rPr>
                <w:rFonts w:hint="eastAsia" w:ascii="宋体" w:hAnsi="宋体" w:eastAsia="宋体" w:cs="宋体"/>
                <w:bCs/>
                <w:snapToGrid w:val="0"/>
                <w:kern w:val="0"/>
                <w:sz w:val="21"/>
                <w:szCs w:val="21"/>
                <w:lang w:val="en-US" w:eastAsia="zh-CN" w:bidi="ar-SA"/>
              </w:rPr>
              <w:t>（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1095AE19">
      <w:pPr>
        <w:pStyle w:val="32"/>
        <w:rPr>
          <w:rFonts w:ascii="Microsoft New Tai Lue" w:hAnsi="Microsoft New Tai Lue" w:cs="Microsoft New Tai Lue"/>
          <w:color w:val="auto"/>
          <w:highlight w:val="none"/>
        </w:rPr>
      </w:pPr>
      <w:bookmarkStart w:id="32" w:name="_Toc103848526"/>
      <w:bookmarkStart w:id="33" w:name="_Toc100905199"/>
      <w:bookmarkStart w:id="34" w:name="_Toc104560837"/>
      <w:bookmarkStart w:id="35" w:name="_Toc107246213"/>
      <w:bookmarkStart w:id="36" w:name="_Toc80264714"/>
      <w:r>
        <w:rPr>
          <w:rFonts w:ascii="Microsoft New Tai Lue" w:hAnsi="Microsoft New Tai Lue" w:cs="Microsoft New Tai Lue"/>
          <w:color w:val="auto"/>
          <w:highlight w:val="none"/>
        </w:rPr>
        <w:t>投标人须知</w:t>
      </w:r>
      <w:bookmarkEnd w:id="32"/>
      <w:bookmarkEnd w:id="33"/>
      <w:bookmarkEnd w:id="34"/>
      <w:bookmarkEnd w:id="35"/>
    </w:p>
    <w:p w14:paraId="6B87410F">
      <w:pPr>
        <w:pStyle w:val="3"/>
        <w:spacing w:line="360" w:lineRule="auto"/>
        <w:ind w:left="0" w:leftChars="0" w:right="210"/>
        <w:rPr>
          <w:rFonts w:ascii="Microsoft New Tai Lue" w:hAnsi="Microsoft New Tai Lue" w:cs="Microsoft New Tai Lue"/>
          <w:color w:val="auto"/>
          <w:highlight w:val="none"/>
        </w:rPr>
      </w:pPr>
      <w:bookmarkStart w:id="37" w:name="_Toc80264706"/>
      <w:bookmarkStart w:id="38" w:name="_Toc107246214"/>
      <w:r>
        <w:rPr>
          <w:rFonts w:ascii="Microsoft New Tai Lue" w:hAnsi="Microsoft New Tai Lue" w:cs="Microsoft New Tai Lue"/>
          <w:color w:val="auto"/>
          <w:highlight w:val="none"/>
        </w:rPr>
        <w:t>一．</w:t>
      </w:r>
      <w:bookmarkEnd w:id="37"/>
      <w:r>
        <w:rPr>
          <w:rFonts w:ascii="Microsoft New Tai Lue" w:hAnsi="Microsoft New Tai Lue" w:cs="Microsoft New Tai Lue"/>
          <w:color w:val="auto"/>
          <w:highlight w:val="none"/>
        </w:rPr>
        <w:t>总则</w:t>
      </w:r>
      <w:bookmarkEnd w:id="38"/>
    </w:p>
    <w:p w14:paraId="66464317">
      <w:pPr>
        <w:pStyle w:val="3"/>
        <w:spacing w:line="360" w:lineRule="auto"/>
        <w:ind w:left="0" w:leftChars="0" w:right="210"/>
        <w:rPr>
          <w:rFonts w:ascii="Microsoft New Tai Lue" w:hAnsi="Microsoft New Tai Lue" w:cs="Microsoft New Tai Lue"/>
          <w:color w:val="auto"/>
          <w:highlight w:val="none"/>
        </w:rPr>
      </w:pPr>
      <w:bookmarkStart w:id="39" w:name="_Toc96347862"/>
      <w:bookmarkStart w:id="40" w:name="_Toc104560839"/>
      <w:bookmarkStart w:id="41" w:name="_Toc100905201"/>
      <w:bookmarkStart w:id="42" w:name="_Toc103848528"/>
      <w:bookmarkStart w:id="43" w:name="_Toc107246215"/>
      <w:r>
        <w:rPr>
          <w:rFonts w:ascii="Microsoft New Tai Lue" w:hAnsi="Microsoft New Tai Lue" w:cs="Microsoft New Tai Lue"/>
          <w:color w:val="auto"/>
          <w:highlight w:val="none"/>
        </w:rPr>
        <w:t>1.采购方式</w:t>
      </w:r>
      <w:bookmarkEnd w:id="39"/>
      <w:bookmarkEnd w:id="40"/>
      <w:bookmarkEnd w:id="41"/>
      <w:bookmarkEnd w:id="42"/>
      <w:bookmarkEnd w:id="43"/>
    </w:p>
    <w:p w14:paraId="34A50FC7">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本次招标采取公开招标方式，本招标文件仅适用于</w:t>
      </w:r>
      <w:r>
        <w:rPr>
          <w:rFonts w:hint="eastAsia" w:ascii="Microsoft New Tai Lue" w:hAnsi="Microsoft New Tai Lue" w:cs="Microsoft New Tai Lue"/>
          <w:color w:val="auto"/>
          <w:szCs w:val="21"/>
          <w:highlight w:val="none"/>
        </w:rPr>
        <w:t>招标公告</w:t>
      </w:r>
      <w:r>
        <w:rPr>
          <w:rFonts w:ascii="Microsoft New Tai Lue" w:hAnsi="Microsoft New Tai Lue" w:cs="Microsoft New Tai Lue"/>
          <w:color w:val="auto"/>
          <w:szCs w:val="21"/>
          <w:highlight w:val="none"/>
        </w:rPr>
        <w:t>中所述项目。</w:t>
      </w:r>
    </w:p>
    <w:p w14:paraId="1D5BE406">
      <w:pPr>
        <w:pStyle w:val="3"/>
        <w:spacing w:line="360" w:lineRule="auto"/>
        <w:ind w:left="0" w:leftChars="0" w:right="210"/>
        <w:rPr>
          <w:rFonts w:ascii="Microsoft New Tai Lue" w:hAnsi="Microsoft New Tai Lue" w:cs="Microsoft New Tai Lue"/>
          <w:color w:val="auto"/>
          <w:highlight w:val="none"/>
        </w:rPr>
      </w:pPr>
      <w:bookmarkStart w:id="44" w:name="_Toc103848529"/>
      <w:bookmarkStart w:id="45" w:name="_Toc100905202"/>
      <w:bookmarkStart w:id="46" w:name="_Toc104560840"/>
      <w:bookmarkStart w:id="47" w:name="_Toc96347863"/>
      <w:bookmarkStart w:id="48" w:name="_Toc107246216"/>
      <w:r>
        <w:rPr>
          <w:rFonts w:ascii="Microsoft New Tai Lue" w:hAnsi="Microsoft New Tai Lue" w:cs="Microsoft New Tai Lue"/>
          <w:color w:val="auto"/>
          <w:highlight w:val="none"/>
        </w:rPr>
        <w:t>2.定义</w:t>
      </w:r>
      <w:bookmarkEnd w:id="44"/>
      <w:bookmarkEnd w:id="45"/>
      <w:bookmarkEnd w:id="46"/>
      <w:bookmarkEnd w:id="47"/>
      <w:bookmarkEnd w:id="48"/>
    </w:p>
    <w:p w14:paraId="056CA1B5">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2.1</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采购人</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w:t>
      </w:r>
    </w:p>
    <w:p w14:paraId="3B67E60E">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2.2</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采购代理机构</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40523005">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2.3</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采购方</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是指采购人和</w:t>
      </w:r>
      <w:r>
        <w:rPr>
          <w:rFonts w:ascii="Microsoft New Tai Lue" w:hAnsi="Microsoft New Tai Lue" w:cs="Microsoft New Tai Lue"/>
          <w:color w:val="auto"/>
          <w:szCs w:val="21"/>
          <w:highlight w:val="none"/>
        </w:rPr>
        <w:t>采购代理机构的合称。</w:t>
      </w:r>
    </w:p>
    <w:p w14:paraId="5CBC0000">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2.4</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供应商</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是指向采购人提供货物、工程或者服务的法人、其他组织或者自然人。</w:t>
      </w:r>
    </w:p>
    <w:p w14:paraId="16DF9A80">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2.5</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中标供应商</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是指在投标过程中获得采购项目合同签订资格的供应商。中标供应商是由专家经过评审后推荐并经采购人确认的。本招标文件中中标供应商也称中标人。</w:t>
      </w:r>
    </w:p>
    <w:p w14:paraId="102F4ACF">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2.6</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评标委员会</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是依据</w:t>
      </w:r>
      <w:r>
        <w:rPr>
          <w:rFonts w:hint="eastAsia" w:ascii="Microsoft New Tai Lue" w:hAnsi="Microsoft New Tai Lue" w:cs="Microsoft New Tai Lue"/>
          <w:color w:val="auto"/>
          <w:szCs w:val="21"/>
          <w:highlight w:val="none"/>
        </w:rPr>
        <w:t>政府采购</w:t>
      </w:r>
      <w:r>
        <w:rPr>
          <w:rFonts w:ascii="Microsoft New Tai Lue" w:hAnsi="Microsoft New Tai Lue" w:cs="Microsoft New Tai Lue"/>
          <w:color w:val="auto"/>
          <w:szCs w:val="21"/>
          <w:highlight w:val="none"/>
        </w:rPr>
        <w:t>相关法律法规规定组建，依法履行评审采购活动职责的评审成员。</w:t>
      </w:r>
    </w:p>
    <w:p w14:paraId="71F2092E">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2.7</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货物</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是指各种形态和种类的物品，包括原材料、燃料、设备、产品等。</w:t>
      </w:r>
    </w:p>
    <w:p w14:paraId="7F357F5F">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2.8</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工程</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是指建设工程，包括建筑物和构筑物的新建、改建、扩建、装修、拆除、修缮等。</w:t>
      </w:r>
    </w:p>
    <w:p w14:paraId="2B04F088">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2.9</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服务</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是指除货物和工程以外的其他政府采购对象。</w:t>
      </w:r>
    </w:p>
    <w:p w14:paraId="42B47AF1">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2.10</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节能产品</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或者</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环保产品</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是指国务院有关部门发布的最新一期《节能产品政府采购品目清单》或者《环境标志产品政府采购品目清单》内的产品。</w:t>
      </w:r>
    </w:p>
    <w:p w14:paraId="1F8FB503">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2.11</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进口产品</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是指通过中国海关报关验放进入中国境内且产自关境外的产品。</w:t>
      </w:r>
    </w:p>
    <w:p w14:paraId="69EEA5B0">
      <w:pPr>
        <w:pStyle w:val="3"/>
        <w:spacing w:line="360" w:lineRule="auto"/>
        <w:ind w:left="0" w:leftChars="0" w:right="210"/>
        <w:rPr>
          <w:rFonts w:ascii="Microsoft New Tai Lue" w:hAnsi="Microsoft New Tai Lue" w:cs="Microsoft New Tai Lue"/>
          <w:color w:val="auto"/>
          <w:highlight w:val="none"/>
        </w:rPr>
      </w:pPr>
      <w:bookmarkStart w:id="49" w:name="_Toc107246217"/>
      <w:bookmarkStart w:id="50" w:name="_Toc104560841"/>
      <w:bookmarkStart w:id="51" w:name="_Toc103848530"/>
      <w:bookmarkStart w:id="52" w:name="_Toc96347864"/>
      <w:bookmarkStart w:id="53" w:name="_Toc100905203"/>
      <w:r>
        <w:rPr>
          <w:rFonts w:ascii="Microsoft New Tai Lue" w:hAnsi="Microsoft New Tai Lue" w:cs="Microsoft New Tai Lue"/>
          <w:color w:val="auto"/>
          <w:highlight w:val="none"/>
        </w:rPr>
        <w:t>3.适用法律</w:t>
      </w:r>
      <w:bookmarkEnd w:id="49"/>
      <w:bookmarkEnd w:id="50"/>
      <w:bookmarkEnd w:id="51"/>
      <w:bookmarkEnd w:id="52"/>
      <w:bookmarkEnd w:id="53"/>
    </w:p>
    <w:p w14:paraId="1D4D2B78">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bookmarkStart w:id="54" w:name="_Toc100905204"/>
      <w:r>
        <w:rPr>
          <w:rFonts w:ascii="Microsoft New Tai Lue" w:hAnsi="Microsoft New Tai Lue" w:cs="Microsoft New Tai Lue"/>
          <w:color w:val="auto"/>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4290FFD9">
      <w:pPr>
        <w:pStyle w:val="3"/>
        <w:spacing w:line="360" w:lineRule="auto"/>
        <w:ind w:left="0" w:leftChars="0" w:right="210"/>
        <w:rPr>
          <w:rFonts w:ascii="Microsoft New Tai Lue" w:hAnsi="Microsoft New Tai Lue" w:cs="Microsoft New Tai Lue"/>
          <w:color w:val="auto"/>
          <w:highlight w:val="none"/>
        </w:rPr>
      </w:pPr>
      <w:bookmarkStart w:id="55" w:name="_Toc103848531"/>
      <w:bookmarkStart w:id="56" w:name="_Toc104560842"/>
      <w:bookmarkStart w:id="57" w:name="_Toc107246218"/>
      <w:r>
        <w:rPr>
          <w:rFonts w:ascii="Microsoft New Tai Lue" w:hAnsi="Microsoft New Tai Lue" w:cs="Microsoft New Tai Lue"/>
          <w:color w:val="auto"/>
          <w:highlight w:val="none"/>
        </w:rPr>
        <w:t>4.</w:t>
      </w:r>
      <w:bookmarkEnd w:id="55"/>
      <w:r>
        <w:rPr>
          <w:rFonts w:hint="eastAsia" w:ascii="Microsoft New Tai Lue" w:hAnsi="Microsoft New Tai Lue" w:cs="Microsoft New Tai Lue"/>
          <w:color w:val="auto"/>
          <w:highlight w:val="none"/>
        </w:rPr>
        <w:t>政府采购政策（包括但不限于下列具体政策要求）</w:t>
      </w:r>
      <w:bookmarkEnd w:id="56"/>
      <w:bookmarkEnd w:id="57"/>
    </w:p>
    <w:p w14:paraId="6C91C7BD">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4.</w:t>
      </w:r>
      <w:r>
        <w:rPr>
          <w:rFonts w:ascii="Microsoft New Tai Lue" w:hAnsi="Microsoft New Tai Lue" w:cs="Microsoft New Tai Lue"/>
          <w:b/>
          <w:color w:val="auto"/>
          <w:szCs w:val="21"/>
          <w:highlight w:val="none"/>
        </w:rPr>
        <w:t>1</w:t>
      </w:r>
      <w:r>
        <w:rPr>
          <w:rFonts w:hint="eastAsia" w:ascii="Microsoft New Tai Lue" w:hAnsi="Microsoft New Tai Lue" w:cs="Microsoft New Tai Lue"/>
          <w:b/>
          <w:color w:val="auto"/>
          <w:szCs w:val="21"/>
          <w:highlight w:val="none"/>
        </w:rPr>
        <w:t>中小企业、监狱企业及残疾人福利性单位</w:t>
      </w:r>
    </w:p>
    <w:p w14:paraId="0D1B5C44">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w:t>
      </w:r>
      <w:r>
        <w:rPr>
          <w:rFonts w:hint="eastAsia" w:ascii="Microsoft New Tai Lue" w:hAnsi="Microsoft New Tai Lue" w:cs="Microsoft New Tai Lue"/>
          <w:color w:val="auto"/>
          <w:szCs w:val="21"/>
          <w:highlight w:val="none"/>
        </w:rPr>
        <w:t>中小企业定义：</w:t>
      </w:r>
    </w:p>
    <w:p w14:paraId="038B7CE5">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4.1.1.1</w:t>
      </w:r>
      <w:r>
        <w:rPr>
          <w:rFonts w:hint="eastAsia" w:ascii="Microsoft New Tai Lue" w:hAnsi="Microsoft New Tai Lue" w:cs="Microsoft New Tai Lue"/>
          <w:color w:val="auto"/>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EAFDB1A">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4.1.1.2</w:t>
      </w:r>
      <w:r>
        <w:rPr>
          <w:rFonts w:hint="eastAsia" w:ascii="Microsoft New Tai Lue" w:hAnsi="Microsoft New Tai Lue" w:cs="Microsoft New Tai Lue"/>
          <w:color w:val="auto"/>
          <w:szCs w:val="21"/>
          <w:highlight w:val="none"/>
        </w:rPr>
        <w:t>供应商提供的货物、工程或者服务符合下列情形的，享受中小企业扶持政策：</w:t>
      </w:r>
    </w:p>
    <w:p w14:paraId="5CD8179C">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（1）在货物采购项目中，货物由中小企业制造，即货物由中小企业生产且使用该中小企业商号或者注册商标；</w:t>
      </w:r>
    </w:p>
    <w:p w14:paraId="092260F3">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（2）在工程采购项目中，工程由中小企业承建，即工程施工单位为中小企业；</w:t>
      </w:r>
    </w:p>
    <w:p w14:paraId="263D363C">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（3）在服务采购项目中，服务由中小企业承接，即提供服务的人员为中小企业依照《中华人民共和国劳动合同法》订立劳动合同的从业人员。</w:t>
      </w:r>
    </w:p>
    <w:p w14:paraId="2F4CC333">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4.1.1.3</w:t>
      </w:r>
      <w:r>
        <w:rPr>
          <w:rFonts w:hint="eastAsia" w:ascii="Microsoft New Tai Lue" w:hAnsi="Microsoft New Tai Lue" w:cs="Microsoft New Tai Lue"/>
          <w:color w:val="auto"/>
          <w:szCs w:val="21"/>
          <w:highlight w:val="none"/>
        </w:rPr>
        <w:t>在货物采购项目中，供应商提供的货物既有中小企业制造货物，也有大型企业制造货物的，不享受中小企业扶持政策。</w:t>
      </w:r>
    </w:p>
    <w:p w14:paraId="35168971">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4.1.1.4</w:t>
      </w:r>
      <w:r>
        <w:rPr>
          <w:rFonts w:hint="eastAsia" w:ascii="Microsoft New Tai Lue" w:hAnsi="Microsoft New Tai Lue" w:cs="Microsoft New Tai Lue"/>
          <w:color w:val="auto"/>
          <w:szCs w:val="21"/>
          <w:highlight w:val="none"/>
        </w:rPr>
        <w:t>以联合体形式参加政府采购活动，联合体各方均为中小企业的，联合体视同中小企业。其中，联合体各方均为小微企业的，联合体视同小微企业。</w:t>
      </w:r>
    </w:p>
    <w:p w14:paraId="7FD4E506">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4.1.2</w:t>
      </w:r>
      <w:r>
        <w:rPr>
          <w:rFonts w:hint="eastAsia" w:ascii="Microsoft New Tai Lue" w:hAnsi="Microsoft New Tai Lue" w:cs="Microsoft New Tai Lue"/>
          <w:color w:val="auto"/>
          <w:szCs w:val="21"/>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F42247">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4.1.3</w:t>
      </w:r>
      <w:r>
        <w:rPr>
          <w:rFonts w:hint="eastAsia" w:ascii="Microsoft New Tai Lue" w:hAnsi="Microsoft New Tai Lue" w:cs="Microsoft New Tai Lue"/>
          <w:color w:val="auto"/>
          <w:szCs w:val="21"/>
          <w:highlight w:val="none"/>
        </w:rPr>
        <w:t>残疾人福利单位定义：享受政府采购支持政策的残疾人福利性单位应当同时满足以下条件：</w:t>
      </w:r>
    </w:p>
    <w:p w14:paraId="4D7FA1C8">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（1）安置的残疾人占本单位在职职工人数的比例不低于25%（含25%），并且安置的残疾人人数不少于10 人（含10 人）；</w:t>
      </w:r>
    </w:p>
    <w:p w14:paraId="3BB21D61">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（2）依法与安置的每位残疾人签订了一年以上（含一年）的劳动合同或服务协议；</w:t>
      </w:r>
    </w:p>
    <w:p w14:paraId="40E40C03">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（3）为安置的每位残疾人按月足额缴纳了基本养老保险、基本医疗保险、失业保险、工伤保险和生育保险等社会保险费；</w:t>
      </w:r>
    </w:p>
    <w:p w14:paraId="1682E58B">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（4）通过银行等金融机构向安置的每位残疾人，按月支付了不低于单位所在区县适用的经省级人民政府批准的月最低工资标准的工资；</w:t>
      </w:r>
    </w:p>
    <w:p w14:paraId="33B9FA65">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（5）提供本单位制造的货物、承担的工程或者服务（以下简称产品），或者提供其他残疾人福利性单位制造的货物（不包括使用非残疾人福利性单位注册商标的货物）；</w:t>
      </w:r>
    </w:p>
    <w:p w14:paraId="1DBAE866">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5E43E45">
      <w:pPr>
        <w:adjustRightInd w:val="0"/>
        <w:snapToGrid w:val="0"/>
        <w:spacing w:beforeLines="50" w:line="360" w:lineRule="auto"/>
        <w:ind w:firstLine="420" w:firstLineChars="200"/>
        <w:rPr>
          <w:rFonts w:ascii="Microsoft New Tai Lue" w:hAnsi="Microsoft New Tai Lue" w:cs="Microsoft New Tai Lue"/>
          <w:b/>
          <w:color w:val="auto"/>
          <w:szCs w:val="21"/>
          <w:highlight w:val="none"/>
        </w:rPr>
      </w:pPr>
      <w:r>
        <w:rPr>
          <w:rFonts w:hint="eastAsia" w:ascii="Microsoft New Tai Lue" w:hAnsi="Microsoft New Tai Lue" w:cs="Microsoft New Tai Lue"/>
          <w:color w:val="auto"/>
          <w:szCs w:val="21"/>
          <w:highlight w:val="none"/>
        </w:rPr>
        <w:t>4.</w:t>
      </w:r>
      <w:r>
        <w:rPr>
          <w:rFonts w:ascii="Microsoft New Tai Lue" w:hAnsi="Microsoft New Tai Lue" w:cs="Microsoft New Tai Lue"/>
          <w:color w:val="auto"/>
          <w:szCs w:val="21"/>
          <w:highlight w:val="none"/>
        </w:rPr>
        <w:t>1</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4</w:t>
      </w:r>
      <w:r>
        <w:rPr>
          <w:rFonts w:hint="eastAsia" w:ascii="Microsoft New Tai Lue" w:hAnsi="Microsoft New Tai Lue" w:cs="Microsoft New Tai Lue"/>
          <w:color w:val="auto"/>
          <w:szCs w:val="21"/>
          <w:highlight w:val="none"/>
        </w:rPr>
        <w:t>小微企业价格评审优惠的政策调整：见第五章《评标方法与评标标准》（如涉及）。</w:t>
      </w:r>
    </w:p>
    <w:p w14:paraId="72306AE5">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4.2</w:t>
      </w:r>
      <w:r>
        <w:rPr>
          <w:rFonts w:hint="eastAsia" w:ascii="Microsoft New Tai Lue" w:hAnsi="Microsoft New Tai Lue" w:cs="Microsoft New Tai Lue"/>
          <w:b/>
          <w:color w:val="auto"/>
          <w:szCs w:val="21"/>
          <w:highlight w:val="none"/>
        </w:rPr>
        <w:t>政府采购节能产品、环境标志产品</w:t>
      </w:r>
    </w:p>
    <w:p w14:paraId="043D78F0">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4.2.1</w:t>
      </w:r>
      <w:r>
        <w:rPr>
          <w:rFonts w:hint="eastAsia" w:ascii="Microsoft New Tai Lue" w:hAnsi="Microsoft New Tai Lue" w:cs="Microsoft New Tai Lue"/>
          <w:color w:val="auto"/>
          <w:szCs w:val="21"/>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0C8EC6F">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4.2.2</w:t>
      </w:r>
      <w:r>
        <w:rPr>
          <w:rFonts w:hint="eastAsia" w:ascii="Microsoft New Tai Lue" w:hAnsi="Microsoft New Tai Lue" w:cs="Microsoft New Tai Lue"/>
          <w:color w:val="auto"/>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238FA57">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4.2.3</w:t>
      </w:r>
      <w:r>
        <w:rPr>
          <w:rFonts w:hint="eastAsia" w:ascii="Microsoft New Tai Lue" w:hAnsi="Microsoft New Tai Lue" w:cs="Microsoft New Tai Lue"/>
          <w:color w:val="auto"/>
          <w:szCs w:val="21"/>
          <w:highlight w:val="none"/>
        </w:rPr>
        <w:t>如本项目采购产品属于实施政府强制采购品目清单范围的节能产品，则投标人所报产品必须获得国家确定的认证机构出具的、处于有效期之内的节能产品认证证书，否则投标无效；</w:t>
      </w:r>
    </w:p>
    <w:p w14:paraId="08068993">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4.2.4</w:t>
      </w:r>
      <w:r>
        <w:rPr>
          <w:rFonts w:hint="eastAsia" w:ascii="Microsoft New Tai Lue" w:hAnsi="Microsoft New Tai Lue" w:cs="Microsoft New Tai Lue"/>
          <w:color w:val="auto"/>
          <w:szCs w:val="21"/>
          <w:highlight w:val="none"/>
        </w:rPr>
        <w:t>非政府强制采购的节能产品或环境标志产品，依据品目清单和认证证书实施政府优先采购。优先采购的具体规定见第五章《评标方法与评标标准》（如涉及）。</w:t>
      </w:r>
    </w:p>
    <w:p w14:paraId="67D45D3A">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4.3</w:t>
      </w:r>
      <w:r>
        <w:rPr>
          <w:rFonts w:hint="eastAsia" w:ascii="Microsoft New Tai Lue" w:hAnsi="Microsoft New Tai Lue" w:cs="Microsoft New Tai Lue"/>
          <w:b/>
          <w:color w:val="auto"/>
          <w:szCs w:val="21"/>
          <w:highlight w:val="none"/>
        </w:rPr>
        <w:t>信息安全产品</w:t>
      </w:r>
    </w:p>
    <w:p w14:paraId="61AD5A4B">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4.3.1</w:t>
      </w:r>
      <w:r>
        <w:rPr>
          <w:rFonts w:hint="eastAsia" w:ascii="Microsoft New Tai Lue" w:hAnsi="Microsoft New Tai Lue" w:cs="Microsoft New Tai Lue"/>
          <w:color w:val="auto"/>
          <w:szCs w:val="21"/>
          <w:highlight w:val="none"/>
        </w:rPr>
        <w:t>依据《关于信息安全产品实施政府采购的通知》（财库〔2010〕48 号），所投产品属于《关于调整信息安全产品强制性认证实施要求的公告》（2009 年第33 号）范围的，应采用经国家认证的信息安全产品，否则投标无效。</w:t>
      </w:r>
    </w:p>
    <w:p w14:paraId="1674C611">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4.</w:t>
      </w:r>
      <w:r>
        <w:rPr>
          <w:rFonts w:ascii="Microsoft New Tai Lue" w:hAnsi="Microsoft New Tai Lue" w:cs="Microsoft New Tai Lue"/>
          <w:b/>
          <w:color w:val="auto"/>
          <w:szCs w:val="21"/>
          <w:highlight w:val="none"/>
        </w:rPr>
        <w:t>4</w:t>
      </w:r>
      <w:r>
        <w:rPr>
          <w:rFonts w:hint="eastAsia" w:ascii="Microsoft New Tai Lue" w:hAnsi="Microsoft New Tai Lue" w:cs="Microsoft New Tai Lue"/>
          <w:b/>
          <w:color w:val="auto"/>
          <w:szCs w:val="21"/>
          <w:highlight w:val="none"/>
        </w:rPr>
        <w:t>未</w:t>
      </w:r>
      <w:r>
        <w:rPr>
          <w:rFonts w:ascii="Microsoft New Tai Lue" w:hAnsi="Microsoft New Tai Lue" w:cs="Microsoft New Tai Lue"/>
          <w:b/>
          <w:color w:val="auto"/>
          <w:szCs w:val="21"/>
          <w:highlight w:val="none"/>
        </w:rPr>
        <w:t>按要求提供相关材料的，不享受相关政策。</w:t>
      </w:r>
    </w:p>
    <w:bookmarkEnd w:id="54"/>
    <w:p w14:paraId="190AC5CF">
      <w:pPr>
        <w:pStyle w:val="3"/>
        <w:spacing w:line="360" w:lineRule="auto"/>
        <w:ind w:left="0" w:leftChars="0" w:right="210"/>
        <w:rPr>
          <w:rFonts w:ascii="Microsoft New Tai Lue" w:hAnsi="Microsoft New Tai Lue" w:cs="Microsoft New Tai Lue"/>
          <w:color w:val="auto"/>
          <w:highlight w:val="none"/>
        </w:rPr>
      </w:pPr>
      <w:bookmarkStart w:id="58" w:name="_Toc100905205"/>
      <w:bookmarkStart w:id="59" w:name="_Toc103848532"/>
      <w:bookmarkStart w:id="60" w:name="_Toc104560843"/>
      <w:bookmarkStart w:id="61" w:name="_Toc107246219"/>
      <w:bookmarkStart w:id="62" w:name="_Toc96347865"/>
      <w:r>
        <w:rPr>
          <w:rFonts w:ascii="Microsoft New Tai Lue" w:hAnsi="Microsoft New Tai Lue" w:cs="Microsoft New Tai Lue"/>
          <w:color w:val="auto"/>
          <w:highlight w:val="none"/>
        </w:rPr>
        <w:t>5.相关费用</w:t>
      </w:r>
      <w:bookmarkEnd w:id="58"/>
      <w:bookmarkEnd w:id="59"/>
      <w:bookmarkEnd w:id="60"/>
      <w:bookmarkEnd w:id="61"/>
      <w:bookmarkEnd w:id="62"/>
    </w:p>
    <w:p w14:paraId="2EA0CA6C">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5.1</w:t>
      </w:r>
      <w:bookmarkStart w:id="63" w:name="_Toc80264707"/>
      <w:r>
        <w:rPr>
          <w:rFonts w:ascii="Microsoft New Tai Lue" w:hAnsi="Microsoft New Tai Lue" w:cs="Microsoft New Tai Lue"/>
          <w:color w:val="auto"/>
          <w:szCs w:val="21"/>
          <w:highlight w:val="none"/>
        </w:rPr>
        <w:t>参加投标</w:t>
      </w:r>
      <w:r>
        <w:rPr>
          <w:rFonts w:hint="eastAsia" w:ascii="Microsoft New Tai Lue" w:hAnsi="Microsoft New Tai Lue" w:cs="Microsoft New Tai Lue"/>
          <w:color w:val="auto"/>
          <w:szCs w:val="21"/>
          <w:highlight w:val="none"/>
        </w:rPr>
        <w:t>活动的投标人</w:t>
      </w:r>
      <w:r>
        <w:rPr>
          <w:rFonts w:ascii="Microsoft New Tai Lue" w:hAnsi="Microsoft New Tai Lue" w:cs="Microsoft New Tai Lue"/>
          <w:color w:val="auto"/>
          <w:szCs w:val="21"/>
          <w:highlight w:val="none"/>
        </w:rPr>
        <w:t>应自行承担所有与参加投标有关的费用，无论投标过程中的做法和结果如何，采购</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在任何情况下均无义务和责任承担这些费用。</w:t>
      </w:r>
    </w:p>
    <w:p w14:paraId="675CC55B">
      <w:pPr>
        <w:pStyle w:val="3"/>
        <w:spacing w:line="360" w:lineRule="auto"/>
        <w:ind w:left="0" w:leftChars="0" w:right="210"/>
        <w:rPr>
          <w:rFonts w:ascii="Microsoft New Tai Lue" w:hAnsi="Microsoft New Tai Lue" w:cs="Microsoft New Tai Lue"/>
          <w:color w:val="auto"/>
          <w:highlight w:val="none"/>
        </w:rPr>
      </w:pPr>
      <w:bookmarkStart w:id="64" w:name="_Toc107246220"/>
      <w:bookmarkStart w:id="65" w:name="_Toc103848533"/>
      <w:bookmarkStart w:id="66" w:name="_Toc96347866"/>
      <w:bookmarkStart w:id="67" w:name="_Toc104560844"/>
      <w:bookmarkStart w:id="68" w:name="_Toc100905206"/>
      <w:r>
        <w:rPr>
          <w:rFonts w:ascii="Microsoft New Tai Lue" w:hAnsi="Microsoft New Tai Lue" w:cs="Microsoft New Tai Lue"/>
          <w:color w:val="auto"/>
          <w:highlight w:val="none"/>
        </w:rPr>
        <w:t>6.保密</w:t>
      </w:r>
      <w:bookmarkEnd w:id="64"/>
      <w:bookmarkEnd w:id="65"/>
      <w:bookmarkEnd w:id="66"/>
      <w:bookmarkEnd w:id="67"/>
      <w:bookmarkEnd w:id="68"/>
    </w:p>
    <w:p w14:paraId="2E472096">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bookmarkStart w:id="69" w:name="_Toc96347867"/>
      <w:bookmarkStart w:id="70" w:name="_Toc100905207"/>
      <w:r>
        <w:rPr>
          <w:rFonts w:ascii="Microsoft New Tai Lue" w:hAnsi="Microsoft New Tai Lue" w:cs="Microsoft New Tai Lue"/>
          <w:color w:val="auto"/>
          <w:szCs w:val="21"/>
          <w:highlight w:val="none"/>
        </w:rPr>
        <w:t>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被视为无条件对本招标文件的内容负有保密义务。</w:t>
      </w:r>
    </w:p>
    <w:p w14:paraId="220D6782">
      <w:pPr>
        <w:pStyle w:val="3"/>
        <w:spacing w:line="360" w:lineRule="auto"/>
        <w:ind w:left="0" w:leftChars="0" w:right="210"/>
        <w:rPr>
          <w:rFonts w:ascii="Microsoft New Tai Lue" w:hAnsi="Microsoft New Tai Lue" w:cs="Microsoft New Tai Lue"/>
          <w:color w:val="auto"/>
          <w:highlight w:val="none"/>
        </w:rPr>
      </w:pPr>
      <w:bookmarkStart w:id="71" w:name="_Toc107246221"/>
      <w:bookmarkStart w:id="72" w:name="_Toc103848534"/>
      <w:bookmarkStart w:id="73" w:name="_Toc104560845"/>
      <w:r>
        <w:rPr>
          <w:rFonts w:ascii="Microsoft New Tai Lue" w:hAnsi="Microsoft New Tai Lue" w:cs="Microsoft New Tai Lue"/>
          <w:color w:val="auto"/>
          <w:highlight w:val="none"/>
        </w:rPr>
        <w:t>7.语言文字、计量单位</w:t>
      </w:r>
      <w:bookmarkEnd w:id="69"/>
      <w:bookmarkEnd w:id="70"/>
      <w:bookmarkEnd w:id="71"/>
      <w:bookmarkEnd w:id="72"/>
      <w:bookmarkEnd w:id="73"/>
    </w:p>
    <w:p w14:paraId="33CF74C5">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7.1所有文件使用的语言文字为中文。专用术语使用外文的，应附有中文注释。</w:t>
      </w:r>
    </w:p>
    <w:p w14:paraId="018E9CAA">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7.2所有文件中的计量单位，除招标文件有特殊要求外，应采用国家法定计量单位。</w:t>
      </w:r>
    </w:p>
    <w:p w14:paraId="7AB75FB1">
      <w:pPr>
        <w:pStyle w:val="3"/>
        <w:spacing w:line="360" w:lineRule="auto"/>
        <w:ind w:left="0" w:leftChars="0" w:right="210"/>
        <w:rPr>
          <w:rFonts w:ascii="Microsoft New Tai Lue" w:hAnsi="Microsoft New Tai Lue" w:cs="Microsoft New Tai Lue"/>
          <w:color w:val="auto"/>
          <w:highlight w:val="none"/>
        </w:rPr>
      </w:pPr>
      <w:bookmarkStart w:id="74" w:name="_Toc104560846"/>
      <w:bookmarkStart w:id="75" w:name="_Toc107246222"/>
      <w:bookmarkStart w:id="76" w:name="_Toc100905208"/>
      <w:bookmarkStart w:id="77" w:name="_Toc96347868"/>
      <w:bookmarkStart w:id="78" w:name="_Toc103848535"/>
      <w:r>
        <w:rPr>
          <w:rFonts w:ascii="Microsoft New Tai Lue" w:hAnsi="Microsoft New Tai Lue" w:cs="Microsoft New Tai Lue"/>
          <w:color w:val="auto"/>
          <w:highlight w:val="none"/>
        </w:rPr>
        <w:t>8.现场考察</w:t>
      </w:r>
      <w:bookmarkEnd w:id="74"/>
      <w:bookmarkEnd w:id="75"/>
      <w:bookmarkEnd w:id="76"/>
      <w:bookmarkEnd w:id="77"/>
      <w:bookmarkEnd w:id="78"/>
    </w:p>
    <w:p w14:paraId="54A7F1FA">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8.1</w:t>
      </w:r>
      <w:r>
        <w:rPr>
          <w:rFonts w:ascii="Microsoft New Tai Lue" w:hAnsi="Microsoft New Tai Lue" w:cs="Microsoft New Tai Lue"/>
          <w:b/>
          <w:color w:val="auto"/>
          <w:szCs w:val="21"/>
          <w:highlight w:val="none"/>
        </w:rPr>
        <w:t>投标人须知前附表</w:t>
      </w:r>
      <w:r>
        <w:rPr>
          <w:color w:val="auto"/>
          <w:szCs w:val="21"/>
          <w:highlight w:val="none"/>
        </w:rPr>
        <w:t>规定</w:t>
      </w:r>
      <w:r>
        <w:rPr>
          <w:rFonts w:hint="eastAsia"/>
          <w:color w:val="auto"/>
          <w:szCs w:val="21"/>
          <w:highlight w:val="none"/>
        </w:rPr>
        <w:t>现场考察</w:t>
      </w:r>
      <w:r>
        <w:rPr>
          <w:color w:val="auto"/>
          <w:szCs w:val="21"/>
          <w:highlight w:val="none"/>
        </w:rPr>
        <w:t>的，供应商须按照</w:t>
      </w:r>
      <w:r>
        <w:rPr>
          <w:rFonts w:ascii="Microsoft New Tai Lue" w:hAnsi="Microsoft New Tai Lue" w:cs="Microsoft New Tai Lue"/>
          <w:b/>
          <w:color w:val="auto"/>
          <w:szCs w:val="21"/>
          <w:highlight w:val="none"/>
        </w:rPr>
        <w:t>投标人须知前附表</w:t>
      </w:r>
      <w:r>
        <w:rPr>
          <w:color w:val="auto"/>
          <w:szCs w:val="21"/>
          <w:highlight w:val="none"/>
        </w:rPr>
        <w:t>规定的时间、地点参加踏勘，以获得有关编制</w:t>
      </w:r>
      <w:r>
        <w:rPr>
          <w:rFonts w:hint="eastAsia"/>
          <w:color w:val="auto"/>
          <w:szCs w:val="21"/>
          <w:highlight w:val="none"/>
        </w:rPr>
        <w:t>投标</w:t>
      </w:r>
      <w:r>
        <w:rPr>
          <w:color w:val="auto"/>
          <w:szCs w:val="21"/>
          <w:highlight w:val="none"/>
        </w:rPr>
        <w:t>文件和签署合同所涉及现场的资料。供应商承担</w:t>
      </w:r>
      <w:r>
        <w:rPr>
          <w:rFonts w:hint="eastAsia"/>
          <w:color w:val="auto"/>
          <w:szCs w:val="21"/>
          <w:highlight w:val="none"/>
        </w:rPr>
        <w:t>现场考察</w:t>
      </w:r>
      <w:r>
        <w:rPr>
          <w:color w:val="auto"/>
          <w:szCs w:val="21"/>
          <w:highlight w:val="none"/>
        </w:rPr>
        <w:t>所发生的自身费用、责任和风险。</w:t>
      </w:r>
    </w:p>
    <w:p w14:paraId="56C21D2F">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8.2</w:t>
      </w:r>
      <w:r>
        <w:rPr>
          <w:color w:val="auto"/>
          <w:szCs w:val="21"/>
          <w:highlight w:val="none"/>
        </w:rPr>
        <w:t>供应商不按照</w:t>
      </w:r>
      <w:r>
        <w:rPr>
          <w:bCs/>
          <w:color w:val="auto"/>
          <w:szCs w:val="21"/>
          <w:highlight w:val="none"/>
        </w:rPr>
        <w:t>本须知的规定</w:t>
      </w:r>
      <w:r>
        <w:rPr>
          <w:color w:val="auto"/>
          <w:szCs w:val="21"/>
          <w:highlight w:val="none"/>
        </w:rPr>
        <w:t>参加项目</w:t>
      </w:r>
      <w:r>
        <w:rPr>
          <w:rFonts w:hint="eastAsia"/>
          <w:color w:val="auto"/>
          <w:szCs w:val="21"/>
          <w:highlight w:val="none"/>
        </w:rPr>
        <w:t>现场考察</w:t>
      </w:r>
      <w:r>
        <w:rPr>
          <w:color w:val="auto"/>
          <w:szCs w:val="21"/>
          <w:highlight w:val="none"/>
        </w:rPr>
        <w:t>的，视同放弃现场</w:t>
      </w:r>
      <w:r>
        <w:rPr>
          <w:rFonts w:hint="eastAsia"/>
          <w:color w:val="auto"/>
          <w:szCs w:val="21"/>
          <w:highlight w:val="none"/>
        </w:rPr>
        <w:t>考察</w:t>
      </w:r>
      <w:r>
        <w:rPr>
          <w:color w:val="auto"/>
          <w:szCs w:val="21"/>
          <w:highlight w:val="none"/>
        </w:rPr>
        <w:t>，采购</w:t>
      </w:r>
      <w:r>
        <w:rPr>
          <w:rFonts w:hint="eastAsia"/>
          <w:color w:val="auto"/>
          <w:szCs w:val="21"/>
          <w:highlight w:val="none"/>
        </w:rPr>
        <w:t>方</w:t>
      </w:r>
      <w:r>
        <w:rPr>
          <w:color w:val="auto"/>
          <w:szCs w:val="21"/>
          <w:highlight w:val="none"/>
        </w:rPr>
        <w:t>将不再另行组织现场</w:t>
      </w:r>
      <w:r>
        <w:rPr>
          <w:rFonts w:hint="eastAsia"/>
          <w:color w:val="auto"/>
          <w:szCs w:val="21"/>
          <w:highlight w:val="none"/>
        </w:rPr>
        <w:t>考察</w:t>
      </w:r>
      <w:r>
        <w:rPr>
          <w:color w:val="auto"/>
          <w:szCs w:val="21"/>
          <w:highlight w:val="none"/>
        </w:rPr>
        <w:t>。以此为由，影响后期</w:t>
      </w:r>
      <w:r>
        <w:rPr>
          <w:rFonts w:hint="eastAsia"/>
          <w:color w:val="auto"/>
          <w:szCs w:val="21"/>
          <w:highlight w:val="none"/>
        </w:rPr>
        <w:t>投标</w:t>
      </w:r>
      <w:r>
        <w:rPr>
          <w:color w:val="auto"/>
          <w:szCs w:val="21"/>
          <w:highlight w:val="none"/>
        </w:rPr>
        <w:t>文件相关的</w:t>
      </w:r>
      <w:r>
        <w:rPr>
          <w:rFonts w:hint="eastAsia"/>
          <w:color w:val="auto"/>
          <w:szCs w:val="21"/>
          <w:highlight w:val="none"/>
        </w:rPr>
        <w:t>投标</w:t>
      </w:r>
      <w:r>
        <w:rPr>
          <w:color w:val="auto"/>
          <w:szCs w:val="21"/>
          <w:highlight w:val="none"/>
        </w:rPr>
        <w:t>、签约、履约条件的，是供应商自身的风险，采购方对此不承担责任。</w:t>
      </w:r>
    </w:p>
    <w:p w14:paraId="201DA2B0">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8.3</w:t>
      </w:r>
      <w:r>
        <w:rPr>
          <w:color w:val="auto"/>
          <w:szCs w:val="21"/>
          <w:highlight w:val="none"/>
        </w:rPr>
        <w:t>除非有特殊要求，</w:t>
      </w:r>
      <w:r>
        <w:rPr>
          <w:rFonts w:hint="eastAsia"/>
          <w:color w:val="auto"/>
          <w:szCs w:val="21"/>
          <w:highlight w:val="none"/>
        </w:rPr>
        <w:t>招标</w:t>
      </w:r>
      <w:r>
        <w:rPr>
          <w:color w:val="auto"/>
          <w:szCs w:val="21"/>
          <w:highlight w:val="none"/>
        </w:rPr>
        <w:t>文件不提供项目所在地的自然环境、气候条件、公用设施等情况，供应商被视为熟悉上述与履行合同有关的一切情况。</w:t>
      </w:r>
    </w:p>
    <w:p w14:paraId="474AD6D7">
      <w:pPr>
        <w:pStyle w:val="3"/>
        <w:spacing w:line="360" w:lineRule="auto"/>
        <w:ind w:left="0" w:leftChars="0" w:right="210"/>
        <w:rPr>
          <w:color w:val="auto"/>
          <w:highlight w:val="none"/>
        </w:rPr>
      </w:pPr>
      <w:bookmarkStart w:id="79" w:name="_Toc102117275"/>
      <w:bookmarkStart w:id="80" w:name="_Toc107246223"/>
      <w:r>
        <w:rPr>
          <w:color w:val="auto"/>
          <w:highlight w:val="none"/>
        </w:rPr>
        <w:t>9.</w:t>
      </w:r>
      <w:r>
        <w:rPr>
          <w:rFonts w:hint="eastAsia"/>
          <w:color w:val="auto"/>
          <w:highlight w:val="none"/>
        </w:rPr>
        <w:t>开标前</w:t>
      </w:r>
      <w:r>
        <w:rPr>
          <w:color w:val="auto"/>
          <w:highlight w:val="none"/>
        </w:rPr>
        <w:t>答疑会</w:t>
      </w:r>
      <w:bookmarkEnd w:id="79"/>
      <w:bookmarkEnd w:id="80"/>
    </w:p>
    <w:p w14:paraId="78A72A56">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9.1</w:t>
      </w:r>
      <w:r>
        <w:rPr>
          <w:rFonts w:ascii="Microsoft New Tai Lue" w:hAnsi="Microsoft New Tai Lue" w:cs="Microsoft New Tai Lue"/>
          <w:b/>
          <w:color w:val="auto"/>
          <w:szCs w:val="21"/>
          <w:highlight w:val="none"/>
        </w:rPr>
        <w:t>投标人须知前附表</w:t>
      </w:r>
      <w:r>
        <w:rPr>
          <w:color w:val="auto"/>
          <w:szCs w:val="21"/>
          <w:highlight w:val="none"/>
        </w:rPr>
        <w:t>规定召开</w:t>
      </w:r>
      <w:r>
        <w:rPr>
          <w:rFonts w:hint="eastAsia"/>
          <w:color w:val="auto"/>
          <w:szCs w:val="21"/>
          <w:highlight w:val="none"/>
        </w:rPr>
        <w:t>开标前答疑会</w:t>
      </w:r>
      <w:r>
        <w:rPr>
          <w:color w:val="auto"/>
          <w:szCs w:val="21"/>
          <w:highlight w:val="none"/>
        </w:rPr>
        <w:t>的，采购方按</w:t>
      </w:r>
      <w:r>
        <w:rPr>
          <w:rFonts w:ascii="Microsoft New Tai Lue" w:hAnsi="Microsoft New Tai Lue" w:cs="Microsoft New Tai Lue"/>
          <w:b/>
          <w:color w:val="auto"/>
          <w:szCs w:val="21"/>
          <w:highlight w:val="none"/>
        </w:rPr>
        <w:t>投标人须知前附表</w:t>
      </w:r>
      <w:r>
        <w:rPr>
          <w:color w:val="auto"/>
          <w:szCs w:val="21"/>
          <w:highlight w:val="none"/>
        </w:rPr>
        <w:t>规定的时间和地点召开</w:t>
      </w:r>
      <w:r>
        <w:rPr>
          <w:rFonts w:hint="eastAsia"/>
          <w:color w:val="auto"/>
          <w:szCs w:val="21"/>
          <w:highlight w:val="none"/>
        </w:rPr>
        <w:t>开标前答疑会</w:t>
      </w:r>
      <w:r>
        <w:rPr>
          <w:color w:val="auto"/>
          <w:szCs w:val="21"/>
          <w:highlight w:val="none"/>
        </w:rPr>
        <w:t>，澄清供应商提出的询问。</w:t>
      </w:r>
    </w:p>
    <w:p w14:paraId="1E5EB9E7">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9.2</w:t>
      </w:r>
      <w:r>
        <w:rPr>
          <w:color w:val="auto"/>
          <w:szCs w:val="21"/>
          <w:highlight w:val="none"/>
        </w:rPr>
        <w:t>供应商应按</w:t>
      </w:r>
      <w:r>
        <w:rPr>
          <w:rFonts w:ascii="Microsoft New Tai Lue" w:hAnsi="Microsoft New Tai Lue" w:cs="Microsoft New Tai Lue"/>
          <w:b/>
          <w:color w:val="auto"/>
          <w:szCs w:val="21"/>
          <w:highlight w:val="none"/>
        </w:rPr>
        <w:t>投标人须知前附表</w:t>
      </w:r>
      <w:r>
        <w:rPr>
          <w:color w:val="auto"/>
          <w:szCs w:val="21"/>
          <w:highlight w:val="none"/>
        </w:rPr>
        <w:t>规定的时间和形式将提出的询问送达采购方，以便采购方在会议期间澄清，逾期的询问将不被接受。</w:t>
      </w:r>
    </w:p>
    <w:p w14:paraId="4306E562">
      <w:pPr>
        <w:pStyle w:val="3"/>
        <w:spacing w:line="360" w:lineRule="auto"/>
        <w:ind w:left="0" w:leftChars="0" w:right="210"/>
        <w:rPr>
          <w:rFonts w:ascii="Microsoft New Tai Lue" w:hAnsi="Microsoft New Tai Lue" w:cs="Microsoft New Tai Lue"/>
          <w:color w:val="auto"/>
          <w:highlight w:val="none"/>
        </w:rPr>
      </w:pPr>
      <w:bookmarkStart w:id="81" w:name="_Toc107246224"/>
      <w:bookmarkStart w:id="82" w:name="_Toc100905210"/>
      <w:bookmarkStart w:id="83" w:name="_Toc104560847"/>
      <w:bookmarkStart w:id="84" w:name="_Toc103848536"/>
      <w:bookmarkStart w:id="85" w:name="_Toc96347869"/>
      <w:r>
        <w:rPr>
          <w:rFonts w:ascii="Microsoft New Tai Lue" w:hAnsi="Microsoft New Tai Lue" w:cs="Microsoft New Tai Lue"/>
          <w:color w:val="auto"/>
          <w:szCs w:val="21"/>
          <w:highlight w:val="none"/>
        </w:rPr>
        <w:t>10.联合体投标</w:t>
      </w:r>
      <w:bookmarkEnd w:id="81"/>
      <w:bookmarkEnd w:id="82"/>
      <w:bookmarkEnd w:id="83"/>
      <w:bookmarkEnd w:id="84"/>
    </w:p>
    <w:p w14:paraId="637D535D">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10.1本项目是否接受联合体形式参与详见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3381E769">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10.2</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为联合体形式的，应遵守以下规定：</w:t>
      </w:r>
    </w:p>
    <w:p w14:paraId="5DB2EAA3">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（1）联合体各方必须签订联合体协议书，明确联合体牵头人和各方权利、义务及分工、合同工作量比例；</w:t>
      </w:r>
    </w:p>
    <w:p w14:paraId="4AD3EE49">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（2）联合体各方均应当符合</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政府采购法</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第二十二条第一款规定的条件；</w:t>
      </w:r>
    </w:p>
    <w:p w14:paraId="71EB6B8D">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（3）除另有规定外，联合体各方中至少有一方应当符合</w:t>
      </w:r>
      <w:r>
        <w:rPr>
          <w:rFonts w:hint="eastAsia" w:ascii="Microsoft New Tai Lue" w:hAnsi="Microsoft New Tai Lue" w:cs="Microsoft New Tai Lue"/>
          <w:color w:val="auto"/>
          <w:szCs w:val="21"/>
          <w:highlight w:val="none"/>
        </w:rPr>
        <w:t>采购人规定的</w:t>
      </w:r>
      <w:r>
        <w:rPr>
          <w:rFonts w:ascii="Microsoft New Tai Lue" w:hAnsi="Microsoft New Tai Lue" w:cs="Microsoft New Tai Lue"/>
          <w:color w:val="auto"/>
          <w:szCs w:val="21"/>
          <w:highlight w:val="none"/>
        </w:rPr>
        <w:t>特定资格条件；</w:t>
      </w:r>
    </w:p>
    <w:p w14:paraId="0D389146">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（4）联合体中有同类资质的供应商按照联合体分工承担相同工作的，应当按照资质等级较低的供应商确定资质等级</w:t>
      </w:r>
      <w:r>
        <w:rPr>
          <w:rFonts w:hint="eastAsia" w:ascii="Microsoft New Tai Lue" w:hAnsi="Microsoft New Tai Lue" w:cs="Microsoft New Tai Lue"/>
          <w:color w:val="auto"/>
          <w:szCs w:val="21"/>
          <w:highlight w:val="none"/>
        </w:rPr>
        <w:t>；</w:t>
      </w:r>
    </w:p>
    <w:p w14:paraId="213C2195">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auto"/>
          <w:szCs w:val="21"/>
          <w:highlight w:val="none"/>
        </w:rPr>
        <w:t>活动</w:t>
      </w:r>
      <w:r>
        <w:rPr>
          <w:rFonts w:ascii="Microsoft New Tai Lue" w:hAnsi="Microsoft New Tai Lue" w:cs="Microsoft New Tai Lue"/>
          <w:color w:val="auto"/>
          <w:szCs w:val="21"/>
          <w:highlight w:val="none"/>
        </w:rPr>
        <w:t>。</w:t>
      </w:r>
    </w:p>
    <w:p w14:paraId="45FA4AB8">
      <w:pPr>
        <w:pStyle w:val="3"/>
        <w:spacing w:line="360" w:lineRule="auto"/>
        <w:ind w:left="0" w:leftChars="0" w:right="210"/>
        <w:rPr>
          <w:rFonts w:ascii="Microsoft New Tai Lue" w:hAnsi="Microsoft New Tai Lue" w:cs="Microsoft New Tai Lue"/>
          <w:color w:val="auto"/>
          <w:highlight w:val="none"/>
        </w:rPr>
      </w:pPr>
      <w:bookmarkStart w:id="86" w:name="_Toc104560848"/>
      <w:bookmarkStart w:id="87" w:name="_Toc107246225"/>
      <w:bookmarkStart w:id="88" w:name="_Toc100905213"/>
      <w:bookmarkStart w:id="89" w:name="_Toc103848537"/>
      <w:bookmarkStart w:id="90" w:name="_Toc100905211"/>
      <w:r>
        <w:rPr>
          <w:rFonts w:ascii="Microsoft New Tai Lue" w:hAnsi="Microsoft New Tai Lue" w:cs="Microsoft New Tai Lue"/>
          <w:color w:val="auto"/>
          <w:highlight w:val="none"/>
        </w:rPr>
        <w:t>11.分包</w:t>
      </w:r>
      <w:bookmarkEnd w:id="86"/>
      <w:bookmarkEnd w:id="87"/>
      <w:bookmarkEnd w:id="88"/>
      <w:bookmarkEnd w:id="89"/>
    </w:p>
    <w:p w14:paraId="0A7B5D2F">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11.1</w:t>
      </w:r>
      <w:r>
        <w:rPr>
          <w:rFonts w:hint="eastAsia" w:ascii="Microsoft New Tai Lue" w:hAnsi="Microsoft New Tai Lue" w:cs="Microsoft New Tai Lue"/>
          <w:color w:val="auto"/>
          <w:szCs w:val="21"/>
          <w:highlight w:val="none"/>
        </w:rPr>
        <w:t>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04B88558">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11.2</w:t>
      </w:r>
      <w:r>
        <w:rPr>
          <w:rFonts w:hint="eastAsia" w:ascii="Microsoft New Tai Lue" w:hAnsi="Microsoft New Tai Lue" w:cs="Microsoft New Tai Lue"/>
          <w:color w:val="auto"/>
          <w:szCs w:val="21"/>
          <w:highlight w:val="none"/>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21B30C4B">
      <w:pPr>
        <w:pStyle w:val="3"/>
        <w:spacing w:line="360" w:lineRule="auto"/>
        <w:ind w:left="0" w:leftChars="0" w:right="210"/>
        <w:rPr>
          <w:rFonts w:ascii="Microsoft New Tai Lue" w:hAnsi="Microsoft New Tai Lue" w:cs="Microsoft New Tai Lue"/>
          <w:color w:val="auto"/>
          <w:highlight w:val="none"/>
        </w:rPr>
      </w:pPr>
      <w:bookmarkStart w:id="91" w:name="_Toc104560849"/>
      <w:bookmarkStart w:id="92" w:name="_Toc107246226"/>
      <w:r>
        <w:rPr>
          <w:rFonts w:hint="eastAsia" w:ascii="Microsoft New Tai Lue" w:hAnsi="Microsoft New Tai Lue" w:cs="Microsoft New Tai Lue"/>
          <w:color w:val="auto"/>
          <w:highlight w:val="none"/>
        </w:rPr>
        <w:t>1</w:t>
      </w:r>
      <w:r>
        <w:rPr>
          <w:rFonts w:ascii="Microsoft New Tai Lue" w:hAnsi="Microsoft New Tai Lue" w:cs="Microsoft New Tai Lue"/>
          <w:color w:val="auto"/>
          <w:highlight w:val="none"/>
        </w:rPr>
        <w:t>2</w:t>
      </w:r>
      <w:r>
        <w:rPr>
          <w:rFonts w:hint="eastAsia" w:ascii="Microsoft New Tai Lue" w:hAnsi="Microsoft New Tai Lue" w:cs="Microsoft New Tai Lue"/>
          <w:color w:val="auto"/>
          <w:highlight w:val="none"/>
        </w:rPr>
        <w:t>.样品</w:t>
      </w:r>
      <w:bookmarkEnd w:id="91"/>
      <w:bookmarkEnd w:id="92"/>
    </w:p>
    <w:p w14:paraId="197E1A59">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2</w:t>
      </w:r>
      <w:r>
        <w:rPr>
          <w:rFonts w:hint="eastAsia" w:ascii="Microsoft New Tai Lue" w:hAnsi="Microsoft New Tai Lue" w:cs="Microsoft New Tai Lue"/>
          <w:color w:val="auto"/>
          <w:szCs w:val="21"/>
          <w:highlight w:val="none"/>
        </w:rPr>
        <w:t>.1本项目是否要求投标人提供样品，以及样品制作的标准和要求、是否需要随样品提交相关检测报告、样品的提交要求等详见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27D5CA52">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2</w:t>
      </w:r>
      <w:r>
        <w:rPr>
          <w:rFonts w:hint="eastAsia" w:ascii="Microsoft New Tai Lue" w:hAnsi="Microsoft New Tai Lue" w:cs="Microsoft New Tai Lue"/>
          <w:color w:val="auto"/>
          <w:szCs w:val="21"/>
          <w:highlight w:val="none"/>
        </w:rPr>
        <w:t>.2样品的评审方法以及评审标准等内容见第五章《评标方法与评标标准》。</w:t>
      </w:r>
    </w:p>
    <w:bookmarkEnd w:id="85"/>
    <w:bookmarkEnd w:id="90"/>
    <w:p w14:paraId="642BE992">
      <w:pPr>
        <w:pStyle w:val="3"/>
        <w:spacing w:line="360" w:lineRule="auto"/>
        <w:ind w:left="0" w:leftChars="0" w:right="210"/>
        <w:rPr>
          <w:rFonts w:ascii="Microsoft New Tai Lue" w:hAnsi="Microsoft New Tai Lue" w:cs="Microsoft New Tai Lue"/>
          <w:color w:val="auto"/>
          <w:highlight w:val="none"/>
        </w:rPr>
      </w:pPr>
      <w:bookmarkStart w:id="93" w:name="_Toc107246227"/>
      <w:bookmarkStart w:id="94" w:name="_Toc103848538"/>
      <w:bookmarkStart w:id="95" w:name="_Toc104560850"/>
      <w:bookmarkStart w:id="96" w:name="_Toc100905214"/>
      <w:r>
        <w:rPr>
          <w:rFonts w:ascii="Microsoft New Tai Lue" w:hAnsi="Microsoft New Tai Lue" w:cs="Microsoft New Tai Lue"/>
          <w:color w:val="auto"/>
          <w:highlight w:val="none"/>
        </w:rPr>
        <w:t>13.采购进口产品</w:t>
      </w:r>
      <w:bookmarkEnd w:id="93"/>
      <w:bookmarkEnd w:id="94"/>
      <w:bookmarkEnd w:id="95"/>
      <w:bookmarkEnd w:id="96"/>
    </w:p>
    <w:p w14:paraId="24EA2FA2">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13.1本项目是否采购进口产品及相关要求见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385B2B1B">
      <w:pPr>
        <w:pStyle w:val="3"/>
        <w:spacing w:line="360" w:lineRule="auto"/>
        <w:ind w:left="0" w:leftChars="0" w:right="210"/>
        <w:rPr>
          <w:rFonts w:ascii="Microsoft New Tai Lue" w:hAnsi="Microsoft New Tai Lue" w:cs="Microsoft New Tai Lue"/>
          <w:color w:val="auto"/>
          <w:highlight w:val="none"/>
        </w:rPr>
      </w:pPr>
      <w:bookmarkStart w:id="97" w:name="_Toc104560851"/>
      <w:bookmarkStart w:id="98" w:name="_Toc107246228"/>
      <w:r>
        <w:rPr>
          <w:rFonts w:ascii="Microsoft New Tai Lue" w:hAnsi="Microsoft New Tai Lue" w:cs="Microsoft New Tai Lue"/>
          <w:color w:val="auto"/>
          <w:highlight w:val="none"/>
        </w:rPr>
        <w:t>14</w:t>
      </w:r>
      <w:r>
        <w:rPr>
          <w:rFonts w:hint="eastAsia" w:ascii="Microsoft New Tai Lue" w:hAnsi="Microsoft New Tai Lue" w:cs="Microsoft New Tai Lue"/>
          <w:color w:val="auto"/>
          <w:highlight w:val="none"/>
        </w:rPr>
        <w:t>.采购项目预算及最高限价</w:t>
      </w:r>
      <w:bookmarkEnd w:id="97"/>
      <w:bookmarkEnd w:id="98"/>
    </w:p>
    <w:p w14:paraId="2EF32BD1">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14</w:t>
      </w:r>
      <w:r>
        <w:rPr>
          <w:rFonts w:hint="eastAsia" w:ascii="Microsoft New Tai Lue" w:hAnsi="Microsoft New Tai Lue" w:cs="Microsoft New Tai Lue"/>
          <w:color w:val="auto"/>
          <w:szCs w:val="21"/>
          <w:highlight w:val="none"/>
        </w:rPr>
        <w:t>.1本项目采购资金已列入政府采购预算，预算金额见</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699F4375">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14</w:t>
      </w:r>
      <w:r>
        <w:rPr>
          <w:rFonts w:hint="eastAsia" w:ascii="Microsoft New Tai Lue" w:hAnsi="Microsoft New Tai Lue" w:cs="Microsoft New Tai Lue"/>
          <w:color w:val="auto"/>
          <w:szCs w:val="21"/>
          <w:highlight w:val="none"/>
        </w:rPr>
        <w:t>.2本项目最高限价要求见</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6F3AABDA">
      <w:pPr>
        <w:pStyle w:val="3"/>
        <w:spacing w:line="360" w:lineRule="auto"/>
        <w:ind w:left="0" w:leftChars="0" w:right="210"/>
        <w:rPr>
          <w:rFonts w:ascii="Microsoft New Tai Lue" w:hAnsi="Microsoft New Tai Lue" w:cs="Microsoft New Tai Lue"/>
          <w:color w:val="auto"/>
          <w:highlight w:val="none"/>
        </w:rPr>
      </w:pPr>
      <w:bookmarkStart w:id="99" w:name="_Toc107246229"/>
      <w:bookmarkStart w:id="100" w:name="_Toc104560852"/>
      <w:r>
        <w:rPr>
          <w:rFonts w:ascii="Microsoft New Tai Lue" w:hAnsi="Microsoft New Tai Lue" w:cs="Microsoft New Tai Lue"/>
          <w:color w:val="auto"/>
          <w:highlight w:val="none"/>
        </w:rPr>
        <w:t>15</w:t>
      </w:r>
      <w:r>
        <w:rPr>
          <w:rFonts w:hint="eastAsia" w:ascii="Microsoft New Tai Lue" w:hAnsi="Microsoft New Tai Lue" w:cs="Microsoft New Tai Lue"/>
          <w:color w:val="auto"/>
          <w:highlight w:val="none"/>
        </w:rPr>
        <w:t>.</w:t>
      </w:r>
      <w:r>
        <w:rPr>
          <w:rFonts w:hint="eastAsia" w:ascii="Microsoft New Tai Lue" w:hAnsi="Microsoft New Tai Lue" w:cs="Microsoft New Tai Lue"/>
          <w:bCs w:val="0"/>
          <w:color w:val="auto"/>
          <w:szCs w:val="21"/>
          <w:highlight w:val="none"/>
        </w:rPr>
        <w:t>供应商</w:t>
      </w:r>
      <w:r>
        <w:rPr>
          <w:rFonts w:hint="eastAsia" w:ascii="Microsoft New Tai Lue" w:hAnsi="Microsoft New Tai Lue" w:cs="Microsoft New Tai Lue"/>
          <w:color w:val="auto"/>
          <w:highlight w:val="none"/>
        </w:rPr>
        <w:t>资格</w:t>
      </w:r>
      <w:r>
        <w:rPr>
          <w:rFonts w:ascii="Microsoft New Tai Lue" w:hAnsi="Microsoft New Tai Lue" w:cs="Microsoft New Tai Lue"/>
          <w:color w:val="auto"/>
          <w:highlight w:val="none"/>
        </w:rPr>
        <w:t>条件</w:t>
      </w:r>
      <w:bookmarkEnd w:id="99"/>
      <w:bookmarkEnd w:id="100"/>
    </w:p>
    <w:p w14:paraId="598E4493">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5</w:t>
      </w:r>
      <w:r>
        <w:rPr>
          <w:rFonts w:hint="eastAsia" w:ascii="Microsoft New Tai Lue" w:hAnsi="Microsoft New Tai Lue" w:cs="Microsoft New Tai Lue"/>
          <w:color w:val="auto"/>
          <w:szCs w:val="21"/>
          <w:highlight w:val="none"/>
        </w:rPr>
        <w:t>.1</w:t>
      </w:r>
      <w:r>
        <w:rPr>
          <w:rFonts w:hint="eastAsia" w:ascii="Microsoft New Tai Lue" w:hAnsi="Microsoft New Tai Lue" w:cs="Microsoft New Tai Lue"/>
          <w:bCs/>
          <w:color w:val="auto"/>
          <w:szCs w:val="21"/>
          <w:highlight w:val="none"/>
        </w:rPr>
        <w:t>供应商</w:t>
      </w:r>
      <w:r>
        <w:rPr>
          <w:rFonts w:hint="eastAsia" w:ascii="Microsoft New Tai Lue" w:hAnsi="Microsoft New Tai Lue" w:cs="Microsoft New Tai Lue"/>
          <w:color w:val="auto"/>
          <w:szCs w:val="21"/>
          <w:highlight w:val="none"/>
        </w:rPr>
        <w:t>资格</w:t>
      </w:r>
      <w:r>
        <w:rPr>
          <w:rFonts w:ascii="Microsoft New Tai Lue" w:hAnsi="Microsoft New Tai Lue" w:cs="Microsoft New Tai Lue"/>
          <w:color w:val="auto"/>
          <w:szCs w:val="21"/>
          <w:highlight w:val="none"/>
        </w:rPr>
        <w:t>条件见</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2CA92268">
      <w:pPr>
        <w:pStyle w:val="3"/>
        <w:spacing w:line="360" w:lineRule="auto"/>
        <w:ind w:left="0" w:leftChars="0" w:right="210"/>
        <w:rPr>
          <w:rFonts w:ascii="Microsoft New Tai Lue" w:hAnsi="Microsoft New Tai Lue" w:cs="Microsoft New Tai Lue"/>
          <w:color w:val="auto"/>
          <w:highlight w:val="none"/>
        </w:rPr>
      </w:pPr>
      <w:bookmarkStart w:id="101" w:name="_Toc107246230"/>
      <w:r>
        <w:rPr>
          <w:rFonts w:ascii="Microsoft New Tai Lue" w:hAnsi="Microsoft New Tai Lue" w:cs="Microsoft New Tai Lue"/>
          <w:color w:val="auto"/>
          <w:highlight w:val="none"/>
        </w:rPr>
        <w:t>二．招标文件</w:t>
      </w:r>
      <w:bookmarkEnd w:id="63"/>
      <w:bookmarkEnd w:id="101"/>
    </w:p>
    <w:p w14:paraId="4F314CA7">
      <w:pPr>
        <w:pStyle w:val="3"/>
        <w:spacing w:line="360" w:lineRule="auto"/>
        <w:ind w:left="0" w:leftChars="0" w:right="210"/>
        <w:rPr>
          <w:rFonts w:ascii="Microsoft New Tai Lue" w:hAnsi="Microsoft New Tai Lue" w:cs="Microsoft New Tai Lue"/>
          <w:color w:val="auto"/>
          <w:highlight w:val="none"/>
        </w:rPr>
      </w:pPr>
      <w:bookmarkStart w:id="102" w:name="_Toc100905217"/>
      <w:bookmarkStart w:id="103" w:name="_Toc103848540"/>
      <w:bookmarkStart w:id="104" w:name="_Toc107246231"/>
      <w:bookmarkStart w:id="105" w:name="_Toc104560854"/>
      <w:bookmarkStart w:id="106" w:name="_Toc96347871"/>
      <w:r>
        <w:rPr>
          <w:rFonts w:ascii="Microsoft New Tai Lue" w:hAnsi="Microsoft New Tai Lue" w:cs="Microsoft New Tai Lue"/>
          <w:color w:val="auto"/>
          <w:highlight w:val="none"/>
        </w:rPr>
        <w:t>16.招标文件的构成</w:t>
      </w:r>
      <w:bookmarkEnd w:id="102"/>
      <w:bookmarkEnd w:id="103"/>
      <w:bookmarkEnd w:id="104"/>
      <w:bookmarkEnd w:id="105"/>
      <w:bookmarkEnd w:id="106"/>
    </w:p>
    <w:p w14:paraId="5A513F00">
      <w:pPr>
        <w:pStyle w:val="75"/>
        <w:ind w:firstLine="420" w:firstLineChars="200"/>
        <w:rPr>
          <w:rFonts w:ascii="Microsoft New Tai Lue" w:hAnsi="Microsoft New Tai Lue" w:cs="Microsoft New Tai Lue"/>
          <w:bCs/>
          <w:color w:val="auto"/>
          <w:kern w:val="2"/>
          <w:sz w:val="21"/>
          <w:highlight w:val="none"/>
        </w:rPr>
      </w:pPr>
      <w:r>
        <w:rPr>
          <w:rFonts w:ascii="Microsoft New Tai Lue" w:hAnsi="Microsoft New Tai Lue" w:cs="Microsoft New Tai Lue"/>
          <w:bCs/>
          <w:color w:val="auto"/>
          <w:kern w:val="2"/>
          <w:sz w:val="21"/>
          <w:highlight w:val="none"/>
        </w:rPr>
        <w:t>16.1招标文件各章节的内容如下：</w:t>
      </w:r>
    </w:p>
    <w:p w14:paraId="1569EB2D">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第一章：</w:t>
      </w:r>
      <w:r>
        <w:rPr>
          <w:rFonts w:hint="eastAsia" w:ascii="Microsoft New Tai Lue" w:hAnsi="Microsoft New Tai Lue" w:cs="Microsoft New Tai Lue"/>
          <w:color w:val="auto"/>
          <w:szCs w:val="21"/>
          <w:highlight w:val="none"/>
        </w:rPr>
        <w:t>招标公告</w:t>
      </w:r>
    </w:p>
    <w:p w14:paraId="08B87E0C">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第二章：投标人须知</w:t>
      </w:r>
    </w:p>
    <w:p w14:paraId="60D5D2C2">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第三章：政府采购合同条款及格式</w:t>
      </w:r>
    </w:p>
    <w:p w14:paraId="399FBC04">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第四章：采购需求</w:t>
      </w:r>
    </w:p>
    <w:p w14:paraId="4F597C84">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第五章：评标方法与评标标准</w:t>
      </w:r>
    </w:p>
    <w:p w14:paraId="7C57E4EE">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第六章：</w:t>
      </w:r>
      <w:bookmarkStart w:id="107" w:name="_Toc96347872"/>
      <w:r>
        <w:rPr>
          <w:rFonts w:hint="eastAsia" w:ascii="Microsoft New Tai Lue" w:hAnsi="Microsoft New Tai Lue" w:cs="Microsoft New Tai Lue"/>
          <w:color w:val="auto"/>
          <w:szCs w:val="21"/>
          <w:highlight w:val="none"/>
        </w:rPr>
        <w:t>投标文件格式</w:t>
      </w:r>
    </w:p>
    <w:p w14:paraId="44E32400">
      <w:pPr>
        <w:adjustRightInd w:val="0"/>
        <w:snapToGrid w:val="0"/>
        <w:spacing w:beforeLines="50" w:line="360" w:lineRule="auto"/>
        <w:ind w:firstLine="420" w:firstLineChars="200"/>
        <w:rPr>
          <w:color w:val="auto"/>
          <w:szCs w:val="21"/>
          <w:highlight w:val="none"/>
        </w:rPr>
      </w:pPr>
      <w:r>
        <w:rPr>
          <w:color w:val="auto"/>
          <w:szCs w:val="21"/>
          <w:highlight w:val="none"/>
        </w:rPr>
        <w:t>对</w:t>
      </w:r>
      <w:r>
        <w:rPr>
          <w:rFonts w:hint="eastAsia"/>
          <w:color w:val="auto"/>
          <w:szCs w:val="21"/>
          <w:highlight w:val="none"/>
        </w:rPr>
        <w:t>招标</w:t>
      </w:r>
      <w:r>
        <w:rPr>
          <w:color w:val="auto"/>
          <w:szCs w:val="21"/>
          <w:highlight w:val="none"/>
        </w:rPr>
        <w:t>文件所作的澄清、修改，构成</w:t>
      </w:r>
      <w:r>
        <w:rPr>
          <w:rFonts w:hint="eastAsia"/>
          <w:color w:val="auto"/>
          <w:szCs w:val="21"/>
          <w:highlight w:val="none"/>
        </w:rPr>
        <w:t>招标</w:t>
      </w:r>
      <w:r>
        <w:rPr>
          <w:color w:val="auto"/>
          <w:szCs w:val="21"/>
          <w:highlight w:val="none"/>
        </w:rPr>
        <w:t>文件的组成部分。</w:t>
      </w:r>
    </w:p>
    <w:p w14:paraId="1551F570">
      <w:pPr>
        <w:adjustRightInd w:val="0"/>
        <w:snapToGrid w:val="0"/>
        <w:spacing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如标书制作工具中格式和内容与“江苏政府采购网/中国政府采购网”发布的招标文件不一致的，以上述网站发布的招标文件为准。</w:t>
      </w:r>
    </w:p>
    <w:p w14:paraId="72118ED3">
      <w:pPr>
        <w:adjustRightInd w:val="0"/>
        <w:snapToGrid w:val="0"/>
        <w:spacing w:beforeLines="50" w:line="360" w:lineRule="auto"/>
        <w:ind w:firstLine="422" w:firstLineChars="200"/>
        <w:rPr>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color w:val="auto"/>
          <w:szCs w:val="21"/>
          <w:highlight w:val="none"/>
        </w:rPr>
        <w:t>招标文件中标注</w:t>
      </w:r>
      <w:r>
        <w:rPr>
          <w:rFonts w:hint="eastAsia" w:ascii="Microsoft New Tai Lue" w:hAnsi="Microsoft New Tai Lue" w:cs="Microsoft New Tai Lue"/>
          <w:bCs/>
          <w:color w:val="auto"/>
          <w:szCs w:val="21"/>
          <w:highlight w:val="none"/>
        </w:rPr>
        <w:t>“</w:t>
      </w:r>
      <w:r>
        <w:rPr>
          <w:rFonts w:ascii="Segoe UI Symbol" w:hAnsi="Segoe UI Symbol" w:cs="Segoe UI Symbol"/>
          <w:b/>
          <w:color w:val="auto"/>
          <w:szCs w:val="21"/>
          <w:highlight w:val="none"/>
        </w:rPr>
        <w:t>★</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
          <w:color w:val="auto"/>
          <w:szCs w:val="21"/>
          <w:highlight w:val="none"/>
        </w:rPr>
        <w:t>符号的条款为实质性要求条款（即重要条款）。</w:t>
      </w:r>
    </w:p>
    <w:p w14:paraId="4B843C3D">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16.2</w:t>
      </w:r>
      <w:r>
        <w:rPr>
          <w:color w:val="auto"/>
          <w:szCs w:val="21"/>
          <w:highlight w:val="none"/>
        </w:rPr>
        <w:t>供应商应仔细阅读和检查</w:t>
      </w:r>
      <w:r>
        <w:rPr>
          <w:rFonts w:hint="eastAsia"/>
          <w:color w:val="auto"/>
          <w:szCs w:val="21"/>
          <w:highlight w:val="none"/>
        </w:rPr>
        <w:t>招标</w:t>
      </w:r>
      <w:r>
        <w:rPr>
          <w:color w:val="auto"/>
          <w:szCs w:val="21"/>
          <w:highlight w:val="none"/>
        </w:rPr>
        <w:t>文件的全部内容。如发现</w:t>
      </w:r>
      <w:r>
        <w:rPr>
          <w:rFonts w:hint="eastAsia"/>
          <w:color w:val="auto"/>
          <w:szCs w:val="21"/>
          <w:highlight w:val="none"/>
        </w:rPr>
        <w:t>招标</w:t>
      </w:r>
      <w:r>
        <w:rPr>
          <w:color w:val="auto"/>
          <w:szCs w:val="21"/>
          <w:highlight w:val="none"/>
        </w:rPr>
        <w:t>文件内容不全，应及时向采购方提出，以便补齐。</w:t>
      </w:r>
    </w:p>
    <w:p w14:paraId="32A89757">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16.3</w:t>
      </w:r>
      <w:r>
        <w:rPr>
          <w:color w:val="auto"/>
          <w:szCs w:val="21"/>
          <w:highlight w:val="none"/>
        </w:rPr>
        <w:t>供应商</w:t>
      </w:r>
      <w:r>
        <w:rPr>
          <w:rFonts w:ascii="Microsoft New Tai Lue" w:hAnsi="Microsoft New Tai Lue" w:cs="Microsoft New Tai Lue"/>
          <w:bCs/>
          <w:color w:val="auto"/>
          <w:szCs w:val="21"/>
          <w:highlight w:val="none"/>
        </w:rPr>
        <w:t>按照招标文件要求编制投标文件。任何对招标文件的忽略或误解，不能作为投标文件存在缺陷或瑕疵的理由，其风险由</w:t>
      </w:r>
      <w:r>
        <w:rPr>
          <w:color w:val="auto"/>
          <w:szCs w:val="21"/>
          <w:highlight w:val="none"/>
        </w:rPr>
        <w:t>供应商</w:t>
      </w:r>
      <w:r>
        <w:rPr>
          <w:rFonts w:ascii="Microsoft New Tai Lue" w:hAnsi="Microsoft New Tai Lue" w:cs="Microsoft New Tai Lue"/>
          <w:bCs/>
          <w:color w:val="auto"/>
          <w:szCs w:val="21"/>
          <w:highlight w:val="none"/>
        </w:rPr>
        <w:t>承担。</w:t>
      </w:r>
    </w:p>
    <w:p w14:paraId="0BE99B53">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16.4本项目</w:t>
      </w:r>
      <w:r>
        <w:rPr>
          <w:rFonts w:hint="eastAsia" w:ascii="Microsoft New Tai Lue" w:hAnsi="Microsoft New Tai Lue" w:cs="Microsoft New Tai Lue"/>
          <w:color w:val="auto"/>
          <w:szCs w:val="21"/>
          <w:highlight w:val="none"/>
        </w:rPr>
        <w:t>招标</w:t>
      </w:r>
      <w:r>
        <w:rPr>
          <w:rFonts w:ascii="Microsoft New Tai Lue" w:hAnsi="Microsoft New Tai Lue" w:cs="Microsoft New Tai Lue"/>
          <w:color w:val="auto"/>
          <w:szCs w:val="21"/>
          <w:highlight w:val="none"/>
        </w:rPr>
        <w:t>文件如包括多个</w:t>
      </w:r>
      <w:r>
        <w:rPr>
          <w:rFonts w:hint="eastAsia" w:ascii="Microsoft New Tai Lue" w:hAnsi="Microsoft New Tai Lue" w:cs="Microsoft New Tai Lue"/>
          <w:color w:val="auto"/>
          <w:szCs w:val="21"/>
          <w:highlight w:val="none"/>
        </w:rPr>
        <w:t>分包</w:t>
      </w:r>
      <w:r>
        <w:rPr>
          <w:rFonts w:ascii="Microsoft New Tai Lue" w:hAnsi="Microsoft New Tai Lue" w:cs="Microsoft New Tai Lue"/>
          <w:color w:val="auto"/>
          <w:szCs w:val="21"/>
          <w:highlight w:val="none"/>
        </w:rPr>
        <w:t>，则除非特别说明，</w:t>
      </w:r>
      <w:r>
        <w:rPr>
          <w:rFonts w:hint="eastAsia" w:ascii="Microsoft New Tai Lue" w:hAnsi="Microsoft New Tai Lue" w:cs="Microsoft New Tai Lue"/>
          <w:color w:val="auto"/>
          <w:szCs w:val="21"/>
          <w:highlight w:val="none"/>
        </w:rPr>
        <w:t>招标</w:t>
      </w:r>
      <w:r>
        <w:rPr>
          <w:rFonts w:ascii="Microsoft New Tai Lue" w:hAnsi="Microsoft New Tai Lue" w:cs="Microsoft New Tai Lue"/>
          <w:color w:val="auto"/>
          <w:szCs w:val="21"/>
          <w:highlight w:val="none"/>
        </w:rPr>
        <w:t>文件所列各项要求均为各</w:t>
      </w:r>
      <w:r>
        <w:rPr>
          <w:rFonts w:hint="eastAsia" w:ascii="Microsoft New Tai Lue" w:hAnsi="Microsoft New Tai Lue" w:cs="Microsoft New Tai Lue"/>
          <w:color w:val="auto"/>
          <w:szCs w:val="21"/>
          <w:highlight w:val="none"/>
        </w:rPr>
        <w:t>分包</w:t>
      </w:r>
      <w:r>
        <w:rPr>
          <w:rFonts w:ascii="Microsoft New Tai Lue" w:hAnsi="Microsoft New Tai Lue" w:cs="Microsoft New Tai Lue"/>
          <w:color w:val="auto"/>
          <w:szCs w:val="21"/>
          <w:highlight w:val="none"/>
        </w:rPr>
        <w:t>通用要求。</w:t>
      </w:r>
    </w:p>
    <w:bookmarkEnd w:id="107"/>
    <w:p w14:paraId="52C4EC8A">
      <w:pPr>
        <w:pStyle w:val="3"/>
        <w:spacing w:line="360" w:lineRule="auto"/>
        <w:ind w:left="0" w:leftChars="0" w:right="210"/>
        <w:rPr>
          <w:rFonts w:ascii="Microsoft New Tai Lue" w:hAnsi="Microsoft New Tai Lue" w:cs="Microsoft New Tai Lue"/>
          <w:color w:val="auto"/>
          <w:highlight w:val="none"/>
        </w:rPr>
      </w:pPr>
      <w:bookmarkStart w:id="108" w:name="_Toc103848541"/>
      <w:bookmarkStart w:id="109" w:name="_Toc96347873"/>
      <w:bookmarkStart w:id="110" w:name="_Toc107246232"/>
      <w:bookmarkStart w:id="111" w:name="_Toc104560855"/>
      <w:bookmarkStart w:id="112" w:name="_Toc100905218"/>
      <w:r>
        <w:rPr>
          <w:rFonts w:ascii="Microsoft New Tai Lue" w:hAnsi="Microsoft New Tai Lue" w:cs="Microsoft New Tai Lue"/>
          <w:color w:val="auto"/>
          <w:highlight w:val="none"/>
        </w:rPr>
        <w:t>17.招标文件的澄清或者修改</w:t>
      </w:r>
      <w:bookmarkEnd w:id="108"/>
      <w:bookmarkEnd w:id="109"/>
      <w:bookmarkEnd w:id="110"/>
      <w:bookmarkEnd w:id="111"/>
      <w:bookmarkEnd w:id="112"/>
    </w:p>
    <w:p w14:paraId="4EFB493C">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bookmarkStart w:id="113" w:name="_Toc100905219"/>
      <w:r>
        <w:rPr>
          <w:rFonts w:ascii="Microsoft New Tai Lue" w:hAnsi="Microsoft New Tai Lue" w:cs="Microsoft New Tai Lue"/>
          <w:color w:val="auto"/>
          <w:szCs w:val="21"/>
          <w:highlight w:val="none"/>
        </w:rPr>
        <w:t>17.1采购方可以对已发出的招标文件进行必要的澄清或者修改</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澄清或者修改应当在原公告发布媒体上发布澄清公告</w:t>
      </w:r>
      <w:r>
        <w:rPr>
          <w:rFonts w:hint="eastAsia" w:ascii="Microsoft New Tai Lue" w:hAnsi="Microsoft New Tai Lue" w:cs="Microsoft New Tai Lue"/>
          <w:color w:val="auto"/>
          <w:szCs w:val="21"/>
          <w:highlight w:val="none"/>
        </w:rPr>
        <w:t>，</w:t>
      </w:r>
      <w:r>
        <w:rPr>
          <w:color w:val="auto"/>
          <w:szCs w:val="21"/>
          <w:highlight w:val="none"/>
        </w:rPr>
        <w:t>任何口头答复、通知无效</w:t>
      </w:r>
      <w:r>
        <w:rPr>
          <w:rFonts w:ascii="Microsoft New Tai Lue" w:hAnsi="Microsoft New Tai Lue" w:cs="Microsoft New Tai Lue"/>
          <w:color w:val="auto"/>
          <w:szCs w:val="21"/>
          <w:highlight w:val="none"/>
        </w:rPr>
        <w:t>。澄清或者修改的内容为招标文件的组成部分</w:t>
      </w:r>
      <w:r>
        <w:rPr>
          <w:color w:val="auto"/>
          <w:szCs w:val="21"/>
          <w:highlight w:val="none"/>
        </w:rPr>
        <w:t>并具有法律效力，</w:t>
      </w:r>
      <w:r>
        <w:rPr>
          <w:rFonts w:hint="eastAsia"/>
          <w:color w:val="auto"/>
          <w:szCs w:val="21"/>
          <w:highlight w:val="none"/>
        </w:rPr>
        <w:t>招标</w:t>
      </w:r>
      <w:r>
        <w:rPr>
          <w:color w:val="auto"/>
          <w:szCs w:val="21"/>
          <w:highlight w:val="none"/>
        </w:rPr>
        <w:t>文件、澄清或修改在同一内容表述上不一致的，以日期后者的为准。</w:t>
      </w:r>
    </w:p>
    <w:p w14:paraId="50DD7B0A">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；不足15日的，采购方应当顺延提交投标文件的截止时间。</w:t>
      </w:r>
    </w:p>
    <w:p w14:paraId="1C879ADD">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17.3投标人应在提交投标文件截止时间前，关注原公告媒体有关本项目的更正公告，根据更正公告内容自行决定是否需要重新制作和提交投标文件，并承担由此产生的相应责任。</w:t>
      </w:r>
    </w:p>
    <w:bookmarkEnd w:id="113"/>
    <w:p w14:paraId="354684E6">
      <w:pPr>
        <w:pStyle w:val="3"/>
        <w:spacing w:line="360" w:lineRule="auto"/>
        <w:ind w:left="0" w:leftChars="0" w:right="210"/>
        <w:rPr>
          <w:rFonts w:ascii="Microsoft New Tai Lue" w:hAnsi="Microsoft New Tai Lue" w:cs="Microsoft New Tai Lue"/>
          <w:color w:val="auto"/>
          <w:highlight w:val="none"/>
        </w:rPr>
      </w:pPr>
      <w:bookmarkStart w:id="114" w:name="_Toc107246233"/>
      <w:bookmarkStart w:id="115" w:name="_Toc104560856"/>
      <w:bookmarkStart w:id="116" w:name="_Toc91836558"/>
      <w:bookmarkStart w:id="117" w:name="_Toc80264708"/>
      <w:r>
        <w:rPr>
          <w:rFonts w:ascii="Microsoft New Tai Lue" w:hAnsi="Microsoft New Tai Lue" w:cs="Microsoft New Tai Lue"/>
          <w:color w:val="auto"/>
          <w:highlight w:val="none"/>
        </w:rPr>
        <w:t>三．投标文件</w:t>
      </w:r>
      <w:bookmarkEnd w:id="114"/>
      <w:bookmarkEnd w:id="115"/>
      <w:bookmarkEnd w:id="116"/>
    </w:p>
    <w:p w14:paraId="538AAABA">
      <w:pPr>
        <w:pStyle w:val="3"/>
        <w:spacing w:line="360" w:lineRule="auto"/>
        <w:ind w:left="0" w:leftChars="0" w:right="210"/>
        <w:rPr>
          <w:rFonts w:ascii="Microsoft New Tai Lue" w:hAnsi="Microsoft New Tai Lue" w:cs="Microsoft New Tai Lue"/>
          <w:color w:val="auto"/>
          <w:highlight w:val="none"/>
        </w:rPr>
      </w:pPr>
      <w:bookmarkStart w:id="118" w:name="_Toc104560857"/>
      <w:bookmarkStart w:id="119" w:name="_Toc107246234"/>
      <w:bookmarkStart w:id="120" w:name="_Toc103848543"/>
      <w:bookmarkStart w:id="121" w:name="_Toc96347875"/>
      <w:bookmarkStart w:id="122" w:name="_Toc100905221"/>
      <w:r>
        <w:rPr>
          <w:rFonts w:ascii="Microsoft New Tai Lue" w:hAnsi="Microsoft New Tai Lue" w:cs="Microsoft New Tai Lue"/>
          <w:color w:val="auto"/>
          <w:highlight w:val="none"/>
        </w:rPr>
        <w:t>18.投标文件的组成</w:t>
      </w:r>
      <w:bookmarkEnd w:id="118"/>
      <w:bookmarkEnd w:id="119"/>
      <w:bookmarkEnd w:id="120"/>
    </w:p>
    <w:p w14:paraId="52CB43B7">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18.1投标文件由</w:t>
      </w:r>
      <w:r>
        <w:rPr>
          <w:rFonts w:hint="eastAsia" w:ascii="Microsoft New Tai Lue" w:hAnsi="Microsoft New Tai Lue" w:cs="Microsoft New Tai Lue"/>
          <w:color w:val="auto"/>
          <w:szCs w:val="21"/>
          <w:highlight w:val="none"/>
        </w:rPr>
        <w:t>价格</w:t>
      </w:r>
      <w:r>
        <w:rPr>
          <w:rFonts w:ascii="Microsoft New Tai Lue" w:hAnsi="Microsoft New Tai Lue" w:cs="Microsoft New Tai Lue"/>
          <w:color w:val="auto"/>
          <w:szCs w:val="21"/>
          <w:highlight w:val="none"/>
        </w:rPr>
        <w:t>及商务部分、技术部分以及其他部分组成</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格式见招标文件第六章《</w:t>
      </w:r>
      <w:r>
        <w:rPr>
          <w:rFonts w:hint="eastAsia" w:ascii="Microsoft New Tai Lue" w:hAnsi="Microsoft New Tai Lue" w:cs="Microsoft New Tai Lue"/>
          <w:color w:val="auto"/>
          <w:szCs w:val="21"/>
          <w:highlight w:val="none"/>
        </w:rPr>
        <w:t>投标文件格式</w:t>
      </w: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rPr>
        <w:t>。</w:t>
      </w:r>
    </w:p>
    <w:p w14:paraId="70F2259C">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18.2</w:t>
      </w:r>
      <w:r>
        <w:rPr>
          <w:rFonts w:ascii="Arial" w:hAnsi="宋体" w:cs="Arial"/>
          <w:b/>
          <w:color w:val="auto"/>
          <w:kern w:val="0"/>
          <w:sz w:val="22"/>
          <w:szCs w:val="22"/>
          <w:highlight w:val="none"/>
        </w:rPr>
        <w:t>投标文件</w:t>
      </w:r>
      <w:r>
        <w:rPr>
          <w:rFonts w:hint="eastAsia" w:ascii="Arial" w:hAnsi="宋体" w:cs="Arial"/>
          <w:b/>
          <w:color w:val="auto"/>
          <w:kern w:val="0"/>
          <w:sz w:val="22"/>
          <w:szCs w:val="22"/>
          <w:highlight w:val="none"/>
        </w:rPr>
        <w:t>的价格</w:t>
      </w:r>
      <w:r>
        <w:rPr>
          <w:rFonts w:ascii="Arial" w:hAnsi="宋体" w:cs="Arial"/>
          <w:b/>
          <w:color w:val="auto"/>
          <w:kern w:val="0"/>
          <w:sz w:val="22"/>
          <w:szCs w:val="22"/>
          <w:highlight w:val="none"/>
        </w:rPr>
        <w:t>及商务部分</w:t>
      </w:r>
      <w:r>
        <w:rPr>
          <w:rFonts w:hint="eastAsia" w:ascii="Arial" w:hAnsi="宋体" w:cs="Arial"/>
          <w:b/>
          <w:color w:val="auto"/>
          <w:kern w:val="0"/>
          <w:sz w:val="22"/>
          <w:szCs w:val="22"/>
          <w:highlight w:val="none"/>
        </w:rPr>
        <w:t>，包括但不限于下列文件：</w:t>
      </w:r>
    </w:p>
    <w:p w14:paraId="24E75DCE">
      <w:pPr>
        <w:spacing w:line="360" w:lineRule="auto"/>
        <w:ind w:firstLine="315" w:firstLineChars="150"/>
        <w:jc w:val="left"/>
        <w:rPr>
          <w:color w:val="auto"/>
          <w:szCs w:val="21"/>
          <w:highlight w:val="none"/>
        </w:rPr>
      </w:pPr>
      <w:r>
        <w:rPr>
          <w:rFonts w:hint="eastAsia"/>
          <w:color w:val="auto"/>
          <w:szCs w:val="21"/>
          <w:highlight w:val="none"/>
        </w:rPr>
        <w:t>（1）投标函，格式见附件。</w:t>
      </w:r>
    </w:p>
    <w:p w14:paraId="64BECA2E">
      <w:pPr>
        <w:spacing w:line="360" w:lineRule="auto"/>
        <w:ind w:firstLine="315" w:firstLineChars="150"/>
        <w:jc w:val="left"/>
        <w:rPr>
          <w:color w:val="auto"/>
          <w:szCs w:val="21"/>
          <w:highlight w:val="none"/>
        </w:rPr>
      </w:pPr>
      <w:r>
        <w:rPr>
          <w:rFonts w:hint="eastAsia"/>
          <w:color w:val="auto"/>
          <w:szCs w:val="21"/>
          <w:highlight w:val="none"/>
        </w:rPr>
        <w:t>（2）法定代表人（单位负责人）身份证明，格式见附件。</w:t>
      </w:r>
    </w:p>
    <w:p w14:paraId="31A4799F">
      <w:pPr>
        <w:spacing w:line="360" w:lineRule="auto"/>
        <w:ind w:firstLine="315" w:firstLineChars="150"/>
        <w:jc w:val="left"/>
        <w:rPr>
          <w:color w:val="auto"/>
          <w:szCs w:val="21"/>
          <w:highlight w:val="none"/>
        </w:rPr>
      </w:pPr>
      <w:r>
        <w:rPr>
          <w:rFonts w:hint="eastAsia"/>
          <w:color w:val="auto"/>
          <w:szCs w:val="21"/>
          <w:highlight w:val="none"/>
        </w:rPr>
        <w:t>（3）法定代表人（单位负责人）授权委托书（适用于法人/非法人），格式见附件。</w:t>
      </w:r>
    </w:p>
    <w:p w14:paraId="2600F648">
      <w:pPr>
        <w:spacing w:line="360" w:lineRule="auto"/>
        <w:ind w:firstLine="315" w:firstLineChars="150"/>
        <w:jc w:val="left"/>
        <w:rPr>
          <w:color w:val="auto"/>
          <w:szCs w:val="21"/>
          <w:highlight w:val="none"/>
        </w:rPr>
      </w:pPr>
      <w:r>
        <w:rPr>
          <w:rFonts w:hint="eastAsia"/>
          <w:color w:val="auto"/>
          <w:szCs w:val="21"/>
          <w:highlight w:val="none"/>
        </w:rPr>
        <w:t>（4）开标一览表（总价），格式见附件。</w:t>
      </w:r>
    </w:p>
    <w:p w14:paraId="72A06AEC">
      <w:pPr>
        <w:spacing w:line="360" w:lineRule="auto"/>
        <w:ind w:firstLine="315" w:firstLineChars="150"/>
        <w:jc w:val="left"/>
        <w:rPr>
          <w:color w:val="auto"/>
          <w:szCs w:val="21"/>
          <w:highlight w:val="none"/>
        </w:rPr>
      </w:pPr>
      <w:r>
        <w:rPr>
          <w:rFonts w:hint="eastAsia"/>
          <w:color w:val="auto"/>
          <w:szCs w:val="21"/>
          <w:highlight w:val="none"/>
        </w:rPr>
        <w:t>（5）分项报价表，格式见附件。</w:t>
      </w:r>
    </w:p>
    <w:p w14:paraId="3F6EB170">
      <w:pPr>
        <w:spacing w:line="360" w:lineRule="auto"/>
        <w:ind w:firstLine="315" w:firstLineChars="150"/>
        <w:jc w:val="left"/>
        <w:rPr>
          <w:color w:val="auto"/>
          <w:szCs w:val="21"/>
          <w:highlight w:val="none"/>
        </w:rPr>
      </w:pPr>
      <w:r>
        <w:rPr>
          <w:rFonts w:hint="eastAsia"/>
          <w:color w:val="auto"/>
          <w:szCs w:val="21"/>
          <w:highlight w:val="none"/>
        </w:rPr>
        <w:t>（6）商务条款偏离表，格式见附件。</w:t>
      </w:r>
    </w:p>
    <w:p w14:paraId="2491E26D">
      <w:pPr>
        <w:spacing w:line="360" w:lineRule="auto"/>
        <w:ind w:firstLine="315" w:firstLineChars="150"/>
        <w:jc w:val="left"/>
        <w:rPr>
          <w:color w:val="auto"/>
          <w:szCs w:val="21"/>
          <w:highlight w:val="none"/>
        </w:rPr>
      </w:pPr>
      <w:r>
        <w:rPr>
          <w:rFonts w:hint="eastAsia"/>
          <w:color w:val="auto"/>
          <w:szCs w:val="21"/>
          <w:highlight w:val="none"/>
        </w:rPr>
        <w:t>（7）供应商具备投标资格的证明文件：</w:t>
      </w:r>
    </w:p>
    <w:p w14:paraId="06384114">
      <w:pPr>
        <w:spacing w:line="360" w:lineRule="auto"/>
        <w:ind w:firstLine="315" w:firstLineChars="150"/>
        <w:jc w:val="left"/>
        <w:rPr>
          <w:color w:val="auto"/>
          <w:szCs w:val="21"/>
          <w:highlight w:val="none"/>
        </w:rPr>
      </w:pPr>
      <w:r>
        <w:rPr>
          <w:rFonts w:hint="eastAsia"/>
          <w:color w:val="auto"/>
          <w:szCs w:val="21"/>
          <w:highlight w:val="none"/>
        </w:rPr>
        <w:t>（7-1-1）具有独立承担民事责任的能力。</w:t>
      </w:r>
    </w:p>
    <w:p w14:paraId="406E4F48">
      <w:pPr>
        <w:spacing w:line="360" w:lineRule="auto"/>
        <w:ind w:firstLine="315" w:firstLineChars="150"/>
        <w:jc w:val="left"/>
        <w:rPr>
          <w:color w:val="auto"/>
          <w:szCs w:val="21"/>
          <w:highlight w:val="none"/>
        </w:rPr>
      </w:pPr>
      <w:r>
        <w:rPr>
          <w:rFonts w:hint="eastAsia"/>
          <w:color w:val="auto"/>
          <w:szCs w:val="21"/>
          <w:highlight w:val="none"/>
        </w:rPr>
        <w:t>（a）供应商为企业（包括合伙企业）的，应提供有效的“营业执照”。</w:t>
      </w:r>
    </w:p>
    <w:p w14:paraId="24348720">
      <w:pPr>
        <w:spacing w:line="360" w:lineRule="auto"/>
        <w:ind w:firstLine="315" w:firstLineChars="150"/>
        <w:jc w:val="left"/>
        <w:rPr>
          <w:color w:val="auto"/>
          <w:szCs w:val="21"/>
          <w:highlight w:val="none"/>
        </w:rPr>
      </w:pPr>
      <w:r>
        <w:rPr>
          <w:rFonts w:hint="eastAsia"/>
          <w:color w:val="auto"/>
          <w:szCs w:val="21"/>
          <w:highlight w:val="none"/>
        </w:rPr>
        <w:t>（b）供应商为事业单位的，应提供有效的“事业单位法人证书”。</w:t>
      </w:r>
    </w:p>
    <w:p w14:paraId="03B1E7D1">
      <w:pPr>
        <w:spacing w:line="360" w:lineRule="auto"/>
        <w:ind w:firstLine="315" w:firstLineChars="150"/>
        <w:jc w:val="left"/>
        <w:rPr>
          <w:color w:val="auto"/>
          <w:szCs w:val="21"/>
          <w:highlight w:val="none"/>
        </w:rPr>
      </w:pPr>
      <w:r>
        <w:rPr>
          <w:rFonts w:hint="eastAsia"/>
          <w:color w:val="auto"/>
          <w:szCs w:val="21"/>
          <w:highlight w:val="none"/>
        </w:rPr>
        <w:t>（c）供应商是非企业机构的，应提供有效的“执业许可证”、“登记证书”等证明文件。</w:t>
      </w:r>
    </w:p>
    <w:p w14:paraId="67A2B357">
      <w:pPr>
        <w:spacing w:line="360" w:lineRule="auto"/>
        <w:ind w:firstLine="315" w:firstLineChars="150"/>
        <w:jc w:val="left"/>
        <w:rPr>
          <w:color w:val="auto"/>
          <w:szCs w:val="21"/>
          <w:highlight w:val="none"/>
        </w:rPr>
      </w:pPr>
      <w:r>
        <w:rPr>
          <w:rFonts w:hint="eastAsia"/>
          <w:color w:val="auto"/>
          <w:szCs w:val="21"/>
          <w:highlight w:val="none"/>
        </w:rPr>
        <w:t>（d）供应商是个体工商户的，应提供有效的“个体工商户营业执照”。</w:t>
      </w:r>
    </w:p>
    <w:p w14:paraId="0118D593">
      <w:pPr>
        <w:spacing w:line="360" w:lineRule="auto"/>
        <w:ind w:firstLine="315" w:firstLineChars="150"/>
        <w:jc w:val="left"/>
        <w:rPr>
          <w:color w:val="auto"/>
          <w:szCs w:val="21"/>
          <w:highlight w:val="none"/>
        </w:rPr>
      </w:pPr>
      <w:r>
        <w:rPr>
          <w:rFonts w:hint="eastAsia"/>
          <w:color w:val="auto"/>
          <w:szCs w:val="21"/>
          <w:highlight w:val="none"/>
        </w:rPr>
        <w:t>（e）供应商是自然人的，应提供有效的自然人身份证明。</w:t>
      </w:r>
    </w:p>
    <w:p w14:paraId="6AE4BC2C">
      <w:pPr>
        <w:spacing w:line="360" w:lineRule="auto"/>
        <w:ind w:firstLine="315" w:firstLineChars="150"/>
        <w:jc w:val="left"/>
        <w:rPr>
          <w:color w:val="auto"/>
          <w:szCs w:val="21"/>
          <w:highlight w:val="none"/>
        </w:rPr>
      </w:pPr>
      <w:r>
        <w:rPr>
          <w:rFonts w:hint="eastAsia"/>
          <w:color w:val="auto"/>
          <w:szCs w:val="21"/>
          <w:highlight w:val="none"/>
        </w:rPr>
        <w:t>（f）若本项目允许分支机构参加投标，则分支机构参加投标的，此处可提供该分支机构或其所属法人或其他组织的相应证明文件。</w:t>
      </w:r>
    </w:p>
    <w:p w14:paraId="2779D4E6">
      <w:pPr>
        <w:spacing w:line="360" w:lineRule="auto"/>
        <w:ind w:firstLine="315" w:firstLineChars="150"/>
        <w:jc w:val="left"/>
        <w:rPr>
          <w:color w:val="auto"/>
          <w:szCs w:val="21"/>
          <w:highlight w:val="none"/>
        </w:rPr>
      </w:pPr>
      <w:r>
        <w:rPr>
          <w:rFonts w:hint="eastAsia"/>
          <w:color w:val="auto"/>
          <w:szCs w:val="21"/>
          <w:highlight w:val="none"/>
        </w:rPr>
        <w:t>（7-1-2）工商变更登记文件（如需），如发生了单位名称等变更的，需提供工商变更登记文件。</w:t>
      </w:r>
    </w:p>
    <w:p w14:paraId="0CABE205">
      <w:pPr>
        <w:spacing w:line="360" w:lineRule="auto"/>
        <w:ind w:firstLine="315" w:firstLineChars="150"/>
        <w:jc w:val="left"/>
        <w:rPr>
          <w:rFonts w:hint="eastAsia"/>
          <w:color w:val="auto"/>
          <w:szCs w:val="21"/>
          <w:highlight w:val="none"/>
        </w:rPr>
      </w:pPr>
      <w:r>
        <w:rPr>
          <w:rFonts w:hint="eastAsia"/>
          <w:color w:val="auto"/>
          <w:szCs w:val="21"/>
          <w:highlight w:val="none"/>
        </w:rPr>
        <w:t>（7-2）具有良好的商业信誉和健全的财务会计制度。</w:t>
      </w:r>
    </w:p>
    <w:p w14:paraId="1E746B18">
      <w:pPr>
        <w:spacing w:line="360" w:lineRule="auto"/>
        <w:ind w:firstLine="315" w:firstLineChars="150"/>
        <w:jc w:val="left"/>
        <w:rPr>
          <w:rFonts w:hint="eastAsia"/>
          <w:color w:val="auto"/>
          <w:szCs w:val="21"/>
          <w:highlight w:val="none"/>
        </w:rPr>
      </w:pPr>
      <w:r>
        <w:rPr>
          <w:rFonts w:hint="eastAsia"/>
          <w:color w:val="auto"/>
          <w:szCs w:val="21"/>
          <w:highlight w:val="none"/>
        </w:rPr>
        <w:t>（7-3）具有履行合同所必需的设备和专业技术能力，格式见附件。</w:t>
      </w:r>
    </w:p>
    <w:p w14:paraId="3FB4069E">
      <w:pPr>
        <w:spacing w:line="360" w:lineRule="auto"/>
        <w:ind w:firstLine="315" w:firstLineChars="150"/>
        <w:jc w:val="left"/>
        <w:rPr>
          <w:rFonts w:hint="eastAsia"/>
          <w:color w:val="auto"/>
          <w:szCs w:val="21"/>
          <w:highlight w:val="none"/>
        </w:rPr>
      </w:pPr>
      <w:r>
        <w:rPr>
          <w:rFonts w:hint="eastAsia"/>
          <w:color w:val="auto"/>
          <w:szCs w:val="21"/>
          <w:highlight w:val="none"/>
        </w:rPr>
        <w:t>（7-4）有依法缴纳税收的良好记录。</w:t>
      </w:r>
    </w:p>
    <w:p w14:paraId="6CAC7962">
      <w:pPr>
        <w:spacing w:line="360" w:lineRule="auto"/>
        <w:ind w:firstLine="315" w:firstLineChars="150"/>
        <w:jc w:val="left"/>
        <w:rPr>
          <w:rFonts w:hint="eastAsia"/>
          <w:color w:val="auto"/>
          <w:szCs w:val="21"/>
          <w:highlight w:val="none"/>
        </w:rPr>
      </w:pPr>
      <w:r>
        <w:rPr>
          <w:rFonts w:hint="eastAsia"/>
          <w:color w:val="auto"/>
          <w:szCs w:val="21"/>
          <w:highlight w:val="none"/>
        </w:rPr>
        <w:t>（7-5）有依法缴纳社会保障资金的良好记录。</w:t>
      </w:r>
    </w:p>
    <w:p w14:paraId="74CBE31C">
      <w:pPr>
        <w:spacing w:line="360" w:lineRule="auto"/>
        <w:ind w:firstLine="315" w:firstLineChars="150"/>
        <w:jc w:val="left"/>
        <w:rPr>
          <w:rFonts w:hint="eastAsia"/>
          <w:color w:val="auto"/>
          <w:szCs w:val="21"/>
          <w:highlight w:val="none"/>
        </w:rPr>
      </w:pPr>
      <w:r>
        <w:rPr>
          <w:rFonts w:hint="eastAsia"/>
          <w:color w:val="auto"/>
          <w:szCs w:val="21"/>
          <w:highlight w:val="none"/>
        </w:rPr>
        <w:t>（7-6）参加政府采购活动前三年内，在经营活动中没有重大违法记录，格式见附件。</w:t>
      </w:r>
    </w:p>
    <w:p w14:paraId="6739B41E">
      <w:pPr>
        <w:spacing w:line="360" w:lineRule="auto"/>
        <w:ind w:firstLine="315" w:firstLineChars="150"/>
        <w:jc w:val="left"/>
        <w:rPr>
          <w:rFonts w:hint="eastAsia"/>
          <w:color w:val="auto"/>
          <w:szCs w:val="21"/>
          <w:highlight w:val="none"/>
        </w:rPr>
      </w:pPr>
      <w:r>
        <w:rPr>
          <w:rFonts w:hint="eastAsia"/>
          <w:color w:val="auto"/>
          <w:szCs w:val="21"/>
          <w:highlight w:val="none"/>
        </w:rPr>
        <w:t>（7-7）无不良信用记录承诺函（供应商自行查询适用），格式见附件。</w:t>
      </w:r>
    </w:p>
    <w:p w14:paraId="37C66D17">
      <w:pPr>
        <w:spacing w:line="360" w:lineRule="auto"/>
        <w:ind w:firstLine="315" w:firstLineChars="150"/>
        <w:jc w:val="left"/>
        <w:rPr>
          <w:rFonts w:hint="eastAsia"/>
          <w:color w:val="auto"/>
          <w:szCs w:val="21"/>
          <w:highlight w:val="none"/>
        </w:rPr>
      </w:pPr>
      <w:r>
        <w:rPr>
          <w:rFonts w:hint="eastAsia"/>
          <w:color w:val="auto"/>
          <w:szCs w:val="21"/>
          <w:highlight w:val="none"/>
        </w:rPr>
        <w:t>（7-8）招标文件要求的其它实质性资格资信证明文件。</w:t>
      </w:r>
    </w:p>
    <w:p w14:paraId="540CF8AF">
      <w:pPr>
        <w:spacing w:line="360" w:lineRule="auto"/>
        <w:ind w:firstLine="315" w:firstLineChars="150"/>
        <w:jc w:val="left"/>
        <w:rPr>
          <w:rFonts w:hint="eastAsia"/>
          <w:color w:val="auto"/>
          <w:szCs w:val="21"/>
          <w:highlight w:val="none"/>
        </w:rPr>
      </w:pPr>
      <w:r>
        <w:rPr>
          <w:rFonts w:hint="eastAsia"/>
          <w:color w:val="auto"/>
          <w:szCs w:val="21"/>
          <w:highlight w:val="none"/>
        </w:rPr>
        <w:t>（8）公章授权书（如需），格式见附件。</w:t>
      </w:r>
    </w:p>
    <w:p w14:paraId="56B5426D">
      <w:pPr>
        <w:spacing w:line="360" w:lineRule="auto"/>
        <w:ind w:firstLine="315" w:firstLineChars="150"/>
        <w:jc w:val="left"/>
        <w:rPr>
          <w:rFonts w:hint="eastAsia"/>
          <w:color w:val="auto"/>
          <w:szCs w:val="21"/>
          <w:highlight w:val="none"/>
        </w:rPr>
      </w:pPr>
      <w:r>
        <w:rPr>
          <w:rFonts w:hint="eastAsia"/>
          <w:color w:val="auto"/>
          <w:szCs w:val="21"/>
          <w:highlight w:val="none"/>
        </w:rPr>
        <w:t>（</w:t>
      </w:r>
      <w:r>
        <w:rPr>
          <w:rFonts w:hint="eastAsia"/>
          <w:color w:val="auto"/>
          <w:szCs w:val="21"/>
          <w:highlight w:val="none"/>
          <w:lang w:val="en-US" w:eastAsia="zh-CN"/>
        </w:rPr>
        <w:t>9</w:t>
      </w:r>
      <w:r>
        <w:rPr>
          <w:rFonts w:hint="eastAsia"/>
          <w:color w:val="auto"/>
          <w:szCs w:val="21"/>
          <w:highlight w:val="none"/>
        </w:rPr>
        <w:t>）工作业绩，格式见附件。</w:t>
      </w:r>
    </w:p>
    <w:p w14:paraId="64611AB2">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18.3</w:t>
      </w:r>
      <w:r>
        <w:rPr>
          <w:rFonts w:ascii="Arial" w:hAnsi="宋体" w:cs="Arial"/>
          <w:b/>
          <w:color w:val="auto"/>
          <w:sz w:val="22"/>
          <w:szCs w:val="22"/>
          <w:highlight w:val="none"/>
          <w:lang w:val="zh-CN"/>
        </w:rPr>
        <w:t>投标文件</w:t>
      </w:r>
      <w:r>
        <w:rPr>
          <w:rFonts w:hint="eastAsia" w:ascii="Arial" w:hAnsi="宋体" w:cs="Arial"/>
          <w:b/>
          <w:color w:val="auto"/>
          <w:sz w:val="22"/>
          <w:szCs w:val="22"/>
          <w:highlight w:val="none"/>
          <w:lang w:val="zh-CN"/>
        </w:rPr>
        <w:t>的技术</w:t>
      </w:r>
      <w:r>
        <w:rPr>
          <w:rFonts w:ascii="Arial" w:hAnsi="宋体" w:cs="Arial"/>
          <w:b/>
          <w:color w:val="auto"/>
          <w:sz w:val="22"/>
          <w:szCs w:val="22"/>
          <w:highlight w:val="none"/>
          <w:lang w:val="zh-CN"/>
        </w:rPr>
        <w:t>部分</w:t>
      </w:r>
      <w:r>
        <w:rPr>
          <w:rFonts w:hint="eastAsia" w:ascii="Arial" w:hAnsi="宋体" w:cs="Arial"/>
          <w:b/>
          <w:color w:val="auto"/>
          <w:sz w:val="22"/>
          <w:szCs w:val="22"/>
          <w:highlight w:val="none"/>
          <w:lang w:val="zh-CN"/>
        </w:rPr>
        <w:t>，包括但不限于下</w:t>
      </w:r>
      <w:r>
        <w:rPr>
          <w:rFonts w:hint="eastAsia" w:ascii="Arial" w:hAnsi="Arial" w:cs="Arial"/>
          <w:b/>
          <w:color w:val="auto"/>
          <w:sz w:val="22"/>
          <w:szCs w:val="22"/>
          <w:highlight w:val="none"/>
          <w:lang w:val="zh-CN"/>
        </w:rPr>
        <w:t>列文件：</w:t>
      </w:r>
    </w:p>
    <w:p w14:paraId="378C0621">
      <w:pPr>
        <w:spacing w:line="360" w:lineRule="auto"/>
        <w:ind w:firstLine="315" w:firstLineChars="150"/>
        <w:jc w:val="left"/>
        <w:rPr>
          <w:rFonts w:hint="eastAsia"/>
          <w:color w:val="auto"/>
          <w:szCs w:val="21"/>
          <w:highlight w:val="none"/>
        </w:rPr>
      </w:pPr>
      <w:r>
        <w:rPr>
          <w:rFonts w:hint="eastAsia"/>
          <w:color w:val="auto"/>
          <w:szCs w:val="21"/>
          <w:highlight w:val="none"/>
        </w:rPr>
        <w:t>（1）技术条款偏离表，格式见附件。</w:t>
      </w:r>
    </w:p>
    <w:p w14:paraId="08A569E0">
      <w:pPr>
        <w:spacing w:line="360" w:lineRule="auto"/>
        <w:ind w:firstLine="315" w:firstLineChars="150"/>
        <w:jc w:val="left"/>
        <w:rPr>
          <w:rFonts w:hint="eastAsia"/>
          <w:color w:val="auto"/>
          <w:szCs w:val="21"/>
          <w:highlight w:val="none"/>
        </w:rPr>
      </w:pPr>
      <w:r>
        <w:rPr>
          <w:rFonts w:hint="eastAsia"/>
          <w:color w:val="auto"/>
          <w:szCs w:val="21"/>
          <w:highlight w:val="none"/>
        </w:rPr>
        <w:t>（2）人员团队，格式见附件。</w:t>
      </w:r>
    </w:p>
    <w:p w14:paraId="52FA1388">
      <w:pPr>
        <w:spacing w:line="360" w:lineRule="auto"/>
        <w:ind w:firstLine="315" w:firstLineChars="150"/>
        <w:jc w:val="left"/>
        <w:rPr>
          <w:rFonts w:hint="eastAsia"/>
          <w:color w:val="auto"/>
          <w:szCs w:val="21"/>
          <w:highlight w:val="none"/>
        </w:rPr>
      </w:pPr>
      <w:r>
        <w:rPr>
          <w:rFonts w:hint="eastAsia"/>
          <w:color w:val="auto"/>
          <w:szCs w:val="21"/>
          <w:highlight w:val="none"/>
        </w:rPr>
        <w:t>（3）工作场所，格式见附件。</w:t>
      </w:r>
    </w:p>
    <w:p w14:paraId="0414C3EA">
      <w:pPr>
        <w:spacing w:line="360" w:lineRule="auto"/>
        <w:ind w:firstLine="315" w:firstLineChars="150"/>
        <w:jc w:val="left"/>
        <w:rPr>
          <w:rFonts w:hint="eastAsia"/>
          <w:color w:val="auto"/>
          <w:szCs w:val="21"/>
          <w:highlight w:val="none"/>
        </w:rPr>
      </w:pPr>
      <w:r>
        <w:rPr>
          <w:rFonts w:hint="eastAsia"/>
          <w:color w:val="auto"/>
          <w:szCs w:val="21"/>
          <w:highlight w:val="none"/>
        </w:rPr>
        <w:t>（4）抽样设备，格式见附件。</w:t>
      </w:r>
    </w:p>
    <w:p w14:paraId="76F3F977">
      <w:pPr>
        <w:spacing w:line="360" w:lineRule="auto"/>
        <w:ind w:firstLine="315" w:firstLineChars="150"/>
        <w:jc w:val="left"/>
        <w:rPr>
          <w:rFonts w:hint="eastAsia"/>
          <w:color w:val="auto"/>
          <w:szCs w:val="21"/>
          <w:highlight w:val="none"/>
        </w:rPr>
      </w:pPr>
      <w:r>
        <w:rPr>
          <w:rFonts w:hint="eastAsia"/>
          <w:color w:val="auto"/>
          <w:szCs w:val="21"/>
          <w:highlight w:val="none"/>
        </w:rPr>
        <w:t>（5）检验设备，格式见附件。</w:t>
      </w:r>
    </w:p>
    <w:p w14:paraId="1EFD4E1C">
      <w:pPr>
        <w:spacing w:line="360" w:lineRule="auto"/>
        <w:ind w:firstLine="315" w:firstLineChars="150"/>
        <w:jc w:val="left"/>
        <w:rPr>
          <w:rFonts w:hint="eastAsia"/>
          <w:color w:val="auto"/>
          <w:szCs w:val="21"/>
          <w:highlight w:val="none"/>
        </w:rPr>
      </w:pPr>
      <w:r>
        <w:rPr>
          <w:rFonts w:hint="eastAsia"/>
          <w:color w:val="auto"/>
          <w:szCs w:val="21"/>
          <w:highlight w:val="none"/>
        </w:rPr>
        <w:t>（6）质量控制，格式见附件。</w:t>
      </w:r>
    </w:p>
    <w:p w14:paraId="0197765E">
      <w:pPr>
        <w:spacing w:line="360" w:lineRule="auto"/>
        <w:ind w:firstLine="315" w:firstLineChars="150"/>
        <w:jc w:val="left"/>
        <w:rPr>
          <w:rFonts w:hint="eastAsia"/>
          <w:color w:val="auto"/>
          <w:szCs w:val="21"/>
          <w:highlight w:val="none"/>
        </w:rPr>
      </w:pPr>
      <w:r>
        <w:rPr>
          <w:rFonts w:hint="eastAsia"/>
          <w:color w:val="auto"/>
          <w:szCs w:val="21"/>
          <w:highlight w:val="none"/>
        </w:rPr>
        <w:t>（7）复检能力，格式见附件。</w:t>
      </w:r>
    </w:p>
    <w:p w14:paraId="012CBEDF">
      <w:pPr>
        <w:spacing w:line="360" w:lineRule="auto"/>
        <w:ind w:firstLine="315" w:firstLineChars="150"/>
        <w:jc w:val="left"/>
        <w:rPr>
          <w:rFonts w:hint="eastAsia"/>
          <w:color w:val="auto"/>
          <w:szCs w:val="21"/>
          <w:highlight w:val="none"/>
        </w:rPr>
      </w:pPr>
      <w:r>
        <w:rPr>
          <w:rFonts w:hint="eastAsia"/>
          <w:color w:val="auto"/>
          <w:szCs w:val="21"/>
          <w:highlight w:val="none"/>
        </w:rPr>
        <w:t>（8）合格备份样品再利用工作情况，格式见附件。</w:t>
      </w:r>
    </w:p>
    <w:p w14:paraId="24CE82BB">
      <w:pPr>
        <w:spacing w:line="360" w:lineRule="auto"/>
        <w:ind w:firstLine="315" w:firstLineChars="150"/>
        <w:jc w:val="left"/>
        <w:rPr>
          <w:rFonts w:hint="eastAsia"/>
          <w:color w:val="auto"/>
          <w:szCs w:val="21"/>
          <w:highlight w:val="none"/>
        </w:rPr>
      </w:pPr>
      <w:r>
        <w:rPr>
          <w:rFonts w:hint="eastAsia"/>
          <w:color w:val="auto"/>
          <w:szCs w:val="21"/>
          <w:highlight w:val="none"/>
        </w:rPr>
        <w:t>（9）管理制度与工作质量。</w:t>
      </w:r>
    </w:p>
    <w:p w14:paraId="0E6437CD">
      <w:pPr>
        <w:spacing w:line="360" w:lineRule="auto"/>
        <w:ind w:firstLine="315" w:firstLineChars="150"/>
        <w:jc w:val="left"/>
        <w:rPr>
          <w:rFonts w:hint="eastAsia"/>
          <w:color w:val="auto"/>
          <w:szCs w:val="21"/>
          <w:highlight w:val="none"/>
        </w:rPr>
      </w:pPr>
      <w:r>
        <w:rPr>
          <w:rFonts w:hint="eastAsia"/>
          <w:color w:val="auto"/>
          <w:szCs w:val="21"/>
          <w:highlight w:val="none"/>
        </w:rPr>
        <w:t>（9-1）管理制度，格式见附件。</w:t>
      </w:r>
    </w:p>
    <w:p w14:paraId="49A3352A">
      <w:pPr>
        <w:spacing w:line="360" w:lineRule="auto"/>
        <w:ind w:firstLine="315" w:firstLineChars="150"/>
        <w:jc w:val="left"/>
        <w:rPr>
          <w:rFonts w:hint="eastAsia"/>
          <w:color w:val="auto"/>
          <w:szCs w:val="21"/>
          <w:highlight w:val="none"/>
        </w:rPr>
      </w:pPr>
      <w:r>
        <w:rPr>
          <w:rFonts w:hint="eastAsia"/>
          <w:color w:val="auto"/>
          <w:szCs w:val="21"/>
          <w:highlight w:val="none"/>
        </w:rPr>
        <w:t>（9-2）管理制度落实和工作执行情况。</w:t>
      </w:r>
    </w:p>
    <w:p w14:paraId="4D0C0004">
      <w:pPr>
        <w:spacing w:line="360" w:lineRule="auto"/>
        <w:ind w:firstLine="315" w:firstLineChars="150"/>
        <w:jc w:val="left"/>
        <w:rPr>
          <w:rFonts w:hint="eastAsia"/>
          <w:color w:val="auto"/>
          <w:szCs w:val="21"/>
          <w:highlight w:val="none"/>
        </w:rPr>
      </w:pPr>
      <w:r>
        <w:rPr>
          <w:rFonts w:hint="eastAsia"/>
          <w:color w:val="auto"/>
          <w:szCs w:val="21"/>
          <w:highlight w:val="none"/>
        </w:rPr>
        <w:t>（10）快速响应服务时效。</w:t>
      </w:r>
    </w:p>
    <w:p w14:paraId="3A5B09CB">
      <w:pPr>
        <w:spacing w:line="360" w:lineRule="auto"/>
        <w:ind w:firstLine="315" w:firstLineChars="150"/>
        <w:jc w:val="left"/>
        <w:rPr>
          <w:rFonts w:hint="eastAsia"/>
          <w:color w:val="auto"/>
          <w:szCs w:val="21"/>
          <w:highlight w:val="none"/>
        </w:rPr>
      </w:pPr>
      <w:r>
        <w:rPr>
          <w:rFonts w:hint="eastAsia"/>
          <w:color w:val="auto"/>
          <w:szCs w:val="21"/>
          <w:highlight w:val="none"/>
        </w:rPr>
        <w:t>（11）实施方案。</w:t>
      </w:r>
    </w:p>
    <w:p w14:paraId="5FF4D3C2">
      <w:pPr>
        <w:spacing w:line="360" w:lineRule="auto"/>
        <w:ind w:firstLine="315" w:firstLineChars="150"/>
        <w:jc w:val="left"/>
        <w:rPr>
          <w:rFonts w:hint="eastAsia"/>
          <w:color w:val="auto"/>
          <w:szCs w:val="21"/>
          <w:highlight w:val="none"/>
        </w:rPr>
      </w:pPr>
      <w:r>
        <w:rPr>
          <w:rFonts w:hint="eastAsia"/>
          <w:color w:val="auto"/>
          <w:szCs w:val="21"/>
          <w:highlight w:val="none"/>
        </w:rPr>
        <w:t>（12）突发事件应急处置预案。</w:t>
      </w:r>
    </w:p>
    <w:p w14:paraId="7886D593">
      <w:pPr>
        <w:spacing w:line="360" w:lineRule="auto"/>
        <w:ind w:firstLine="315" w:firstLineChars="150"/>
        <w:jc w:val="left"/>
        <w:rPr>
          <w:rFonts w:hint="eastAsia"/>
          <w:color w:val="auto"/>
          <w:szCs w:val="21"/>
          <w:highlight w:val="none"/>
        </w:rPr>
      </w:pPr>
      <w:r>
        <w:rPr>
          <w:rFonts w:hint="eastAsia"/>
          <w:color w:val="auto"/>
          <w:szCs w:val="21"/>
          <w:highlight w:val="none"/>
        </w:rPr>
        <w:t>（13）分析报告。</w:t>
      </w:r>
    </w:p>
    <w:p w14:paraId="7FA498C4">
      <w:pPr>
        <w:spacing w:line="360" w:lineRule="auto"/>
        <w:ind w:firstLine="315" w:firstLineChars="150"/>
        <w:jc w:val="left"/>
        <w:rPr>
          <w:rFonts w:hint="eastAsia"/>
          <w:color w:val="auto"/>
          <w:szCs w:val="21"/>
          <w:highlight w:val="none"/>
        </w:rPr>
      </w:pPr>
      <w:r>
        <w:rPr>
          <w:rFonts w:hint="eastAsia"/>
          <w:color w:val="auto"/>
          <w:szCs w:val="21"/>
          <w:highlight w:val="none"/>
        </w:rPr>
        <w:t>（14）检测能力。</w:t>
      </w:r>
    </w:p>
    <w:p w14:paraId="22E79B21">
      <w:pPr>
        <w:adjustRightInd w:val="0"/>
        <w:snapToGrid w:val="0"/>
        <w:spacing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18.4投标文件</w:t>
      </w:r>
      <w:r>
        <w:rPr>
          <w:rFonts w:hint="eastAsia" w:ascii="Microsoft New Tai Lue" w:hAnsi="Microsoft New Tai Lue" w:cs="Microsoft New Tai Lue"/>
          <w:b/>
          <w:color w:val="auto"/>
          <w:szCs w:val="21"/>
          <w:highlight w:val="none"/>
        </w:rPr>
        <w:t>的其他</w:t>
      </w:r>
      <w:r>
        <w:rPr>
          <w:rFonts w:ascii="Microsoft New Tai Lue" w:hAnsi="Microsoft New Tai Lue" w:cs="Microsoft New Tai Lue"/>
          <w:b/>
          <w:color w:val="auto"/>
          <w:szCs w:val="21"/>
          <w:highlight w:val="none"/>
        </w:rPr>
        <w:t>部分</w:t>
      </w:r>
    </w:p>
    <w:p w14:paraId="5121AE6F">
      <w:pPr>
        <w:adjustRightInd w:val="0"/>
        <w:snapToGrid w:val="0"/>
        <w:spacing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18.4.1投标文件的其他部分由投标人根据编制投标文件需要提供的其他相关文件组成。</w:t>
      </w:r>
    </w:p>
    <w:p w14:paraId="1B4EA967">
      <w:pPr>
        <w:pStyle w:val="3"/>
        <w:spacing w:line="360" w:lineRule="auto"/>
        <w:ind w:left="0" w:leftChars="0" w:right="210"/>
        <w:rPr>
          <w:rFonts w:ascii="Segoe UI Symbol" w:hAnsi="Segoe UI Symbol" w:cs="Segoe UI Symbol"/>
          <w:color w:val="auto"/>
          <w:szCs w:val="21"/>
          <w:highlight w:val="none"/>
        </w:rPr>
      </w:pPr>
      <w:bookmarkStart w:id="123" w:name="_Toc107246235"/>
      <w:bookmarkStart w:id="124" w:name="_Toc104560858"/>
      <w:r>
        <w:rPr>
          <w:rFonts w:hint="eastAsia" w:ascii="Microsoft New Tai Lue" w:hAnsi="Microsoft New Tai Lue" w:cs="Microsoft New Tai Lue"/>
          <w:color w:val="auto"/>
          <w:highlight w:val="none"/>
        </w:rPr>
        <w:t>1</w:t>
      </w:r>
      <w:r>
        <w:rPr>
          <w:rFonts w:ascii="Microsoft New Tai Lue" w:hAnsi="Microsoft New Tai Lue" w:cs="Microsoft New Tai Lue"/>
          <w:color w:val="auto"/>
          <w:highlight w:val="none"/>
        </w:rPr>
        <w:t>9</w:t>
      </w:r>
      <w:r>
        <w:rPr>
          <w:rFonts w:hint="eastAsia" w:ascii="Microsoft New Tai Lue" w:hAnsi="Microsoft New Tai Lue" w:cs="Microsoft New Tai Lue"/>
          <w:color w:val="auto"/>
          <w:highlight w:val="none"/>
        </w:rPr>
        <w:t>.投标文件编制的原则</w:t>
      </w:r>
      <w:bookmarkEnd w:id="123"/>
    </w:p>
    <w:bookmarkEnd w:id="124"/>
    <w:p w14:paraId="7D6844CD">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19.1</w:t>
      </w:r>
      <w:r>
        <w:rPr>
          <w:rFonts w:hint="eastAsia"/>
          <w:color w:val="auto"/>
          <w:szCs w:val="21"/>
          <w:highlight w:val="none"/>
        </w:rPr>
        <w:t>投标人</w:t>
      </w:r>
      <w:r>
        <w:rPr>
          <w:color w:val="auto"/>
          <w:szCs w:val="21"/>
          <w:highlight w:val="none"/>
        </w:rPr>
        <w:t>应在认真阅读</w:t>
      </w:r>
      <w:r>
        <w:rPr>
          <w:rFonts w:hint="eastAsia"/>
          <w:color w:val="auto"/>
          <w:szCs w:val="21"/>
          <w:highlight w:val="none"/>
        </w:rPr>
        <w:t>招标</w:t>
      </w:r>
      <w:r>
        <w:rPr>
          <w:color w:val="auto"/>
          <w:szCs w:val="21"/>
          <w:highlight w:val="none"/>
        </w:rPr>
        <w:t>文件所有内容的基础上，按照</w:t>
      </w:r>
      <w:r>
        <w:rPr>
          <w:rFonts w:hint="eastAsia"/>
          <w:color w:val="auto"/>
          <w:szCs w:val="21"/>
          <w:highlight w:val="none"/>
        </w:rPr>
        <w:t>招标</w:t>
      </w:r>
      <w:r>
        <w:rPr>
          <w:color w:val="auto"/>
          <w:szCs w:val="21"/>
          <w:highlight w:val="none"/>
        </w:rPr>
        <w:t>文件的要求编制完整的</w:t>
      </w:r>
      <w:r>
        <w:rPr>
          <w:rFonts w:hint="eastAsia"/>
          <w:color w:val="auto"/>
          <w:szCs w:val="21"/>
          <w:highlight w:val="none"/>
        </w:rPr>
        <w:t>投标</w:t>
      </w:r>
      <w:r>
        <w:rPr>
          <w:color w:val="auto"/>
          <w:szCs w:val="21"/>
          <w:highlight w:val="none"/>
        </w:rPr>
        <w:t>文件。</w:t>
      </w:r>
      <w:r>
        <w:rPr>
          <w:rFonts w:hint="eastAsia"/>
          <w:color w:val="auto"/>
          <w:szCs w:val="21"/>
          <w:highlight w:val="none"/>
        </w:rPr>
        <w:t>招标</w:t>
      </w:r>
      <w:r>
        <w:rPr>
          <w:color w:val="auto"/>
          <w:szCs w:val="21"/>
          <w:highlight w:val="none"/>
        </w:rPr>
        <w:t>文件中对</w:t>
      </w:r>
      <w:r>
        <w:rPr>
          <w:rFonts w:hint="eastAsia"/>
          <w:color w:val="auto"/>
          <w:szCs w:val="21"/>
          <w:highlight w:val="none"/>
        </w:rPr>
        <w:t>投标</w:t>
      </w:r>
      <w:r>
        <w:rPr>
          <w:color w:val="auto"/>
          <w:szCs w:val="21"/>
          <w:highlight w:val="none"/>
        </w:rPr>
        <w:t>文件格式有要求的，</w:t>
      </w:r>
      <w:r>
        <w:rPr>
          <w:rFonts w:hint="eastAsia"/>
          <w:color w:val="auto"/>
          <w:szCs w:val="21"/>
          <w:highlight w:val="none"/>
        </w:rPr>
        <w:t>投标人</w:t>
      </w:r>
      <w:r>
        <w:rPr>
          <w:color w:val="auto"/>
          <w:szCs w:val="21"/>
          <w:highlight w:val="none"/>
        </w:rPr>
        <w:t>应按格式逐项填写内容。</w:t>
      </w:r>
    </w:p>
    <w:p w14:paraId="012DE7C5">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19.2</w:t>
      </w:r>
      <w:r>
        <w:rPr>
          <w:rFonts w:hint="eastAsia"/>
          <w:color w:val="auto"/>
          <w:szCs w:val="21"/>
          <w:highlight w:val="none"/>
        </w:rPr>
        <w:t>投标人</w:t>
      </w:r>
      <w:r>
        <w:rPr>
          <w:color w:val="auto"/>
          <w:szCs w:val="21"/>
          <w:highlight w:val="none"/>
        </w:rPr>
        <w:t>必须保证</w:t>
      </w:r>
      <w:r>
        <w:rPr>
          <w:rFonts w:hint="eastAsia"/>
          <w:color w:val="auto"/>
          <w:szCs w:val="21"/>
          <w:highlight w:val="none"/>
        </w:rPr>
        <w:t>投标</w:t>
      </w:r>
      <w:r>
        <w:rPr>
          <w:color w:val="auto"/>
          <w:szCs w:val="21"/>
          <w:highlight w:val="none"/>
        </w:rPr>
        <w:t>文件所提供的全部资料真实可靠。</w:t>
      </w:r>
    </w:p>
    <w:p w14:paraId="5D2B6CAB">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19.3</w:t>
      </w:r>
      <w:r>
        <w:rPr>
          <w:rFonts w:hint="eastAsia"/>
          <w:color w:val="auto"/>
          <w:szCs w:val="21"/>
          <w:highlight w:val="none"/>
        </w:rPr>
        <w:t>投标</w:t>
      </w:r>
      <w:r>
        <w:rPr>
          <w:color w:val="auto"/>
          <w:szCs w:val="21"/>
          <w:highlight w:val="none"/>
        </w:rPr>
        <w:t>文件须对</w:t>
      </w:r>
      <w:r>
        <w:rPr>
          <w:rFonts w:hint="eastAsia"/>
          <w:color w:val="auto"/>
          <w:szCs w:val="21"/>
          <w:highlight w:val="none"/>
        </w:rPr>
        <w:t>招标</w:t>
      </w:r>
      <w:r>
        <w:rPr>
          <w:color w:val="auto"/>
          <w:szCs w:val="21"/>
          <w:highlight w:val="none"/>
        </w:rPr>
        <w:t>文件中的内容做出实质性和完整的响应。</w:t>
      </w:r>
    </w:p>
    <w:p w14:paraId="16052B23">
      <w:pPr>
        <w:pStyle w:val="3"/>
        <w:spacing w:line="360" w:lineRule="auto"/>
        <w:ind w:left="0" w:leftChars="0" w:right="210"/>
        <w:rPr>
          <w:rFonts w:ascii="Segoe UI Symbol" w:hAnsi="Segoe UI Symbol" w:cs="Segoe UI Symbol"/>
          <w:color w:val="auto"/>
          <w:szCs w:val="21"/>
          <w:highlight w:val="none"/>
        </w:rPr>
      </w:pPr>
      <w:bookmarkStart w:id="125" w:name="_Toc107246236"/>
      <w:r>
        <w:rPr>
          <w:rFonts w:ascii="Microsoft New Tai Lue" w:hAnsi="Microsoft New Tai Lue" w:cs="Microsoft New Tai Lue"/>
          <w:color w:val="auto"/>
          <w:highlight w:val="none"/>
        </w:rPr>
        <w:t>20</w:t>
      </w:r>
      <w:r>
        <w:rPr>
          <w:rFonts w:hint="eastAsia" w:ascii="Microsoft New Tai Lue" w:hAnsi="Microsoft New Tai Lue" w:cs="Microsoft New Tai Lue"/>
          <w:color w:val="auto"/>
          <w:highlight w:val="none"/>
        </w:rPr>
        <w:t>.投标报价</w:t>
      </w:r>
      <w:bookmarkEnd w:id="125"/>
    </w:p>
    <w:p w14:paraId="3D61128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hint="default" w:ascii="Segoe UI Symbol" w:hAnsi="Segoe UI Symbol" w:eastAsia="宋体" w:cs="Segoe UI Symbol"/>
          <w:b w:val="0"/>
          <w:bCs/>
          <w:color w:val="auto"/>
          <w:szCs w:val="21"/>
          <w:highlight w:val="none"/>
          <w:lang w:val="en-US" w:eastAsia="zh-CN"/>
        </w:rPr>
      </w:pPr>
      <w:r>
        <w:rPr>
          <w:rFonts w:hint="eastAsia" w:ascii="Segoe UI Symbol" w:hAnsi="Segoe UI Symbol" w:cs="Segoe UI Symbol"/>
          <w:b w:val="0"/>
          <w:bCs/>
          <w:color w:val="auto"/>
          <w:szCs w:val="21"/>
          <w:highlight w:val="none"/>
          <w:lang w:val="en-US" w:eastAsia="zh-CN"/>
        </w:rPr>
        <w:t>20.1所有投标均以人民币报价，应包括国家规定的增值税税金。</w:t>
      </w:r>
    </w:p>
    <w:p w14:paraId="0823F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20.</w:t>
      </w:r>
      <w:r>
        <w:rPr>
          <w:rFonts w:hint="eastAsia" w:ascii="Microsoft New Tai Lue" w:hAnsi="Microsoft New Tai Lue" w:cs="Microsoft New Tai Lue"/>
          <w:b/>
          <w:bCs/>
          <w:color w:val="auto"/>
          <w:szCs w:val="21"/>
          <w:highlight w:val="none"/>
          <w:lang w:val="en-US" w:eastAsia="zh-CN"/>
        </w:rPr>
        <w:t>2</w:t>
      </w:r>
      <w:r>
        <w:rPr>
          <w:rFonts w:ascii="Microsoft New Tai Lue" w:hAnsi="Microsoft New Tai Lue" w:cs="Microsoft New Tai Lue"/>
          <w:b/>
          <w:color w:val="auto"/>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auto"/>
          <w:szCs w:val="21"/>
          <w:highlight w:val="none"/>
        </w:rPr>
        <w:t>。</w:t>
      </w:r>
    </w:p>
    <w:p w14:paraId="7FD4F642">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20.</w:t>
      </w:r>
      <w:r>
        <w:rPr>
          <w:rFonts w:hint="eastAsia" w:ascii="Microsoft New Tai Lue" w:hAnsi="Microsoft New Tai Lue" w:cs="Microsoft New Tai Lue"/>
          <w:bCs/>
          <w:color w:val="auto"/>
          <w:szCs w:val="21"/>
          <w:highlight w:val="none"/>
          <w:lang w:val="en-US" w:eastAsia="zh-CN"/>
        </w:rPr>
        <w:t>3</w:t>
      </w:r>
      <w:r>
        <w:rPr>
          <w:rFonts w:hint="eastAsia"/>
          <w:color w:val="auto"/>
          <w:szCs w:val="21"/>
          <w:highlight w:val="none"/>
        </w:rPr>
        <w:t>投标人</w:t>
      </w:r>
      <w:r>
        <w:rPr>
          <w:color w:val="auto"/>
          <w:szCs w:val="21"/>
          <w:highlight w:val="none"/>
        </w:rPr>
        <w:t>应按照本项目要求的内容，报出总价与分项明细报价。</w:t>
      </w:r>
      <w:r>
        <w:rPr>
          <w:rFonts w:hint="eastAsia"/>
          <w:color w:val="auto"/>
          <w:szCs w:val="21"/>
          <w:highlight w:val="none"/>
        </w:rPr>
        <w:t>投标</w:t>
      </w:r>
      <w:r>
        <w:rPr>
          <w:color w:val="auto"/>
          <w:szCs w:val="21"/>
          <w:highlight w:val="none"/>
        </w:rPr>
        <w:t>报价应包括为完成本项目所发生的一切费用和税费，包括代垫费用（差旅费、住宿费、通讯费等）、增值税及其他附加税等杂项支出在内的一切费用和税费，</w:t>
      </w:r>
      <w:r>
        <w:rPr>
          <w:rFonts w:hint="eastAsia"/>
          <w:color w:val="auto"/>
          <w:szCs w:val="21"/>
          <w:highlight w:val="none"/>
        </w:rPr>
        <w:t>除招标</w:t>
      </w:r>
      <w:r>
        <w:rPr>
          <w:color w:val="auto"/>
          <w:szCs w:val="21"/>
          <w:highlight w:val="none"/>
        </w:rPr>
        <w:t>文件规定外，采购人将不再支付报价以外的任何费用。</w:t>
      </w:r>
      <w:r>
        <w:rPr>
          <w:rFonts w:hint="eastAsia"/>
          <w:color w:val="auto"/>
          <w:szCs w:val="21"/>
          <w:highlight w:val="none"/>
        </w:rPr>
        <w:t>如发生漏缺、少项，都被视为投标人的让利行为。投标人</w:t>
      </w:r>
      <w:r>
        <w:rPr>
          <w:color w:val="auto"/>
          <w:szCs w:val="21"/>
          <w:highlight w:val="none"/>
        </w:rPr>
        <w:t>估算错误的风险一律由</w:t>
      </w:r>
      <w:r>
        <w:rPr>
          <w:rFonts w:hint="eastAsia"/>
          <w:color w:val="auto"/>
          <w:szCs w:val="21"/>
          <w:highlight w:val="none"/>
        </w:rPr>
        <w:t>投标人</w:t>
      </w:r>
      <w:r>
        <w:rPr>
          <w:color w:val="auto"/>
          <w:szCs w:val="21"/>
          <w:highlight w:val="none"/>
        </w:rPr>
        <w:t>自行承担</w:t>
      </w:r>
      <w:r>
        <w:rPr>
          <w:rFonts w:hint="eastAsia"/>
          <w:color w:val="auto"/>
          <w:szCs w:val="21"/>
          <w:highlight w:val="none"/>
        </w:rPr>
        <w:t>。</w:t>
      </w:r>
    </w:p>
    <w:p w14:paraId="22DF17EC">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20.</w:t>
      </w:r>
      <w:r>
        <w:rPr>
          <w:rFonts w:hint="eastAsia" w:ascii="Microsoft New Tai Lue" w:hAnsi="Microsoft New Tai Lue" w:cs="Microsoft New Tai Lue"/>
          <w:bCs/>
          <w:color w:val="auto"/>
          <w:szCs w:val="21"/>
          <w:highlight w:val="none"/>
          <w:lang w:val="en-US" w:eastAsia="zh-CN"/>
        </w:rPr>
        <w:t>4</w:t>
      </w:r>
      <w:r>
        <w:rPr>
          <w:rFonts w:hint="eastAsia"/>
          <w:color w:val="auto"/>
          <w:szCs w:val="21"/>
          <w:highlight w:val="none"/>
        </w:rPr>
        <w:t>投标人</w:t>
      </w:r>
      <w:r>
        <w:rPr>
          <w:color w:val="auto"/>
          <w:szCs w:val="21"/>
          <w:highlight w:val="none"/>
        </w:rPr>
        <w:t>要按</w:t>
      </w:r>
      <w:r>
        <w:rPr>
          <w:rFonts w:hint="eastAsia"/>
          <w:color w:val="auto"/>
          <w:szCs w:val="21"/>
          <w:highlight w:val="none"/>
        </w:rPr>
        <w:t>开标</w:t>
      </w:r>
      <w:r>
        <w:rPr>
          <w:color w:val="auto"/>
          <w:szCs w:val="21"/>
          <w:highlight w:val="none"/>
        </w:rPr>
        <w:t>一览表、分项报价表的内容填写</w:t>
      </w:r>
      <w:r>
        <w:rPr>
          <w:rFonts w:hint="eastAsia"/>
          <w:color w:val="auto"/>
          <w:szCs w:val="21"/>
          <w:highlight w:val="none"/>
        </w:rPr>
        <w:t>投标</w:t>
      </w:r>
      <w:r>
        <w:rPr>
          <w:color w:val="auto"/>
          <w:szCs w:val="21"/>
          <w:highlight w:val="none"/>
        </w:rPr>
        <w:t>报价及其它事项，并由法定代表人（单位负责人）或授权代表签署。分项报价表的总价应和</w:t>
      </w:r>
      <w:r>
        <w:rPr>
          <w:rFonts w:hint="eastAsia"/>
          <w:color w:val="auto"/>
          <w:szCs w:val="21"/>
          <w:highlight w:val="none"/>
        </w:rPr>
        <w:t>开标</w:t>
      </w:r>
      <w:r>
        <w:rPr>
          <w:color w:val="auto"/>
          <w:szCs w:val="21"/>
          <w:highlight w:val="none"/>
        </w:rPr>
        <w:t>一览表的</w:t>
      </w:r>
      <w:r>
        <w:rPr>
          <w:rFonts w:hint="eastAsia"/>
          <w:color w:val="auto"/>
          <w:szCs w:val="21"/>
          <w:highlight w:val="none"/>
        </w:rPr>
        <w:t>投标</w:t>
      </w:r>
      <w:r>
        <w:rPr>
          <w:color w:val="auto"/>
          <w:szCs w:val="21"/>
          <w:highlight w:val="none"/>
        </w:rPr>
        <w:t>总价相一致，包括</w:t>
      </w:r>
      <w:r>
        <w:rPr>
          <w:rFonts w:hint="eastAsia"/>
          <w:color w:val="auto"/>
          <w:szCs w:val="21"/>
          <w:highlight w:val="none"/>
        </w:rPr>
        <w:t>投标人</w:t>
      </w:r>
      <w:r>
        <w:rPr>
          <w:color w:val="auto"/>
          <w:szCs w:val="21"/>
          <w:highlight w:val="none"/>
        </w:rPr>
        <w:t>为完成本项目所发生的一切费用相关的所有税费。如分项报价表的总价和</w:t>
      </w:r>
      <w:r>
        <w:rPr>
          <w:rFonts w:hint="eastAsia"/>
          <w:color w:val="auto"/>
          <w:szCs w:val="21"/>
          <w:highlight w:val="none"/>
        </w:rPr>
        <w:t>开标</w:t>
      </w:r>
      <w:r>
        <w:rPr>
          <w:color w:val="auto"/>
          <w:szCs w:val="21"/>
          <w:highlight w:val="none"/>
        </w:rPr>
        <w:t>一览表的</w:t>
      </w:r>
      <w:r>
        <w:rPr>
          <w:rFonts w:hint="eastAsia"/>
          <w:color w:val="auto"/>
          <w:szCs w:val="21"/>
          <w:highlight w:val="none"/>
        </w:rPr>
        <w:t>投标</w:t>
      </w:r>
      <w:r>
        <w:rPr>
          <w:color w:val="auto"/>
          <w:szCs w:val="21"/>
          <w:highlight w:val="none"/>
        </w:rPr>
        <w:t>总价不一致的，按照本须知规定的内容执行。</w:t>
      </w:r>
    </w:p>
    <w:p w14:paraId="7E17AF90">
      <w:pPr>
        <w:adjustRightInd w:val="0"/>
        <w:snapToGrid w:val="0"/>
        <w:spacing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20.</w:t>
      </w:r>
      <w:r>
        <w:rPr>
          <w:rFonts w:hint="eastAsia" w:ascii="Microsoft New Tai Lue" w:hAnsi="Microsoft New Tai Lue" w:cs="Microsoft New Tai Lue"/>
          <w:bCs/>
          <w:color w:val="auto"/>
          <w:szCs w:val="21"/>
          <w:highlight w:val="none"/>
          <w:lang w:val="en-US" w:eastAsia="zh-CN"/>
        </w:rPr>
        <w:t>5</w:t>
      </w:r>
      <w:r>
        <w:rPr>
          <w:rFonts w:hint="eastAsia"/>
          <w:color w:val="auto"/>
          <w:szCs w:val="21"/>
          <w:highlight w:val="none"/>
        </w:rPr>
        <w:t>投标</w:t>
      </w:r>
      <w:r>
        <w:rPr>
          <w:color w:val="auto"/>
          <w:szCs w:val="21"/>
          <w:highlight w:val="none"/>
        </w:rPr>
        <w:t>报价的其他要求见</w:t>
      </w:r>
      <w:r>
        <w:rPr>
          <w:rFonts w:hint="eastAsia"/>
          <w:b/>
          <w:color w:val="auto"/>
          <w:szCs w:val="21"/>
          <w:highlight w:val="none"/>
        </w:rPr>
        <w:t>投标人</w:t>
      </w:r>
      <w:r>
        <w:rPr>
          <w:b/>
          <w:color w:val="auto"/>
          <w:szCs w:val="21"/>
          <w:highlight w:val="none"/>
        </w:rPr>
        <w:t>须知前附表</w:t>
      </w:r>
      <w:r>
        <w:rPr>
          <w:color w:val="auto"/>
          <w:szCs w:val="21"/>
          <w:highlight w:val="none"/>
        </w:rPr>
        <w:t>。</w:t>
      </w:r>
    </w:p>
    <w:bookmarkEnd w:id="121"/>
    <w:bookmarkEnd w:id="122"/>
    <w:p w14:paraId="554FD070">
      <w:pPr>
        <w:pStyle w:val="3"/>
        <w:spacing w:line="360" w:lineRule="auto"/>
        <w:ind w:left="0" w:leftChars="0" w:right="210"/>
        <w:rPr>
          <w:rFonts w:ascii="Microsoft New Tai Lue" w:hAnsi="Microsoft New Tai Lue" w:cs="Microsoft New Tai Lue"/>
          <w:color w:val="auto"/>
          <w:highlight w:val="none"/>
        </w:rPr>
      </w:pPr>
      <w:bookmarkStart w:id="126" w:name="_Toc107246237"/>
      <w:bookmarkStart w:id="127" w:name="_Toc103848545"/>
      <w:bookmarkStart w:id="128" w:name="_Toc104560859"/>
      <w:bookmarkStart w:id="129" w:name="_Toc100905224"/>
      <w:bookmarkStart w:id="130" w:name="_Toc103848544"/>
      <w:bookmarkStart w:id="131" w:name="_Toc100905223"/>
      <w:bookmarkStart w:id="132" w:name="_Toc96347878"/>
      <w:r>
        <w:rPr>
          <w:rFonts w:ascii="Microsoft New Tai Lue" w:hAnsi="Microsoft New Tai Lue" w:cs="Microsoft New Tai Lue"/>
          <w:color w:val="auto"/>
          <w:highlight w:val="none"/>
        </w:rPr>
        <w:t>21.投标有效期</w:t>
      </w:r>
      <w:bookmarkEnd w:id="126"/>
      <w:bookmarkEnd w:id="127"/>
      <w:bookmarkEnd w:id="128"/>
      <w:bookmarkEnd w:id="129"/>
    </w:p>
    <w:p w14:paraId="3EFABD08">
      <w:pPr>
        <w:adjustRightInd w:val="0"/>
        <w:snapToGrid w:val="0"/>
        <w:spacing w:beforeLines="50" w:line="360" w:lineRule="auto"/>
        <w:ind w:firstLine="422" w:firstLineChars="200"/>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Cs/>
          <w:color w:val="auto"/>
          <w:szCs w:val="21"/>
          <w:highlight w:val="none"/>
        </w:rPr>
        <w:t>21.1投标有效期见</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，在此期间投标文件对投标人具有法律约束力，以保证采购人有足够的时间完成评标、定标以及签订合同。投标有效期从</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规定的投标截止之日起计算。</w:t>
      </w:r>
      <w:r>
        <w:rPr>
          <w:rFonts w:ascii="Microsoft New Tai Lue" w:hAnsi="Microsoft New Tai Lue" w:cs="Microsoft New Tai Lue"/>
          <w:b/>
          <w:bCs/>
          <w:color w:val="auto"/>
          <w:szCs w:val="21"/>
          <w:highlight w:val="none"/>
        </w:rPr>
        <w:t>投标有效期不足的，在评标时将其视为无效投标。</w:t>
      </w:r>
    </w:p>
    <w:p w14:paraId="58A92167">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49B015AB">
      <w:pPr>
        <w:pStyle w:val="3"/>
        <w:spacing w:line="360" w:lineRule="auto"/>
        <w:ind w:left="0" w:leftChars="0" w:right="210"/>
        <w:rPr>
          <w:rFonts w:ascii="Microsoft New Tai Lue" w:hAnsi="Microsoft New Tai Lue" w:cs="Microsoft New Tai Lue"/>
          <w:color w:val="auto"/>
          <w:highlight w:val="none"/>
        </w:rPr>
      </w:pPr>
      <w:bookmarkStart w:id="133" w:name="_Toc107246238"/>
      <w:bookmarkStart w:id="134" w:name="_Toc104560860"/>
      <w:r>
        <w:rPr>
          <w:rFonts w:ascii="Microsoft New Tai Lue" w:hAnsi="Microsoft New Tai Lue" w:cs="Microsoft New Tai Lue"/>
          <w:color w:val="auto"/>
          <w:highlight w:val="none"/>
        </w:rPr>
        <w:t>22.投标保证金</w:t>
      </w:r>
      <w:bookmarkEnd w:id="130"/>
      <w:bookmarkEnd w:id="131"/>
      <w:bookmarkEnd w:id="132"/>
      <w:bookmarkEnd w:id="133"/>
      <w:bookmarkEnd w:id="134"/>
    </w:p>
    <w:p w14:paraId="07649298">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bookmarkStart w:id="135" w:name="_Toc420487862"/>
      <w:bookmarkStart w:id="136" w:name="_Toc519241651"/>
      <w:bookmarkStart w:id="137" w:name="_Toc466452044"/>
      <w:bookmarkStart w:id="138" w:name="_Toc96347879"/>
      <w:bookmarkStart w:id="139" w:name="_Toc68159552"/>
      <w:bookmarkStart w:id="140" w:name="_Toc420657357"/>
      <w:r>
        <w:rPr>
          <w:rFonts w:ascii="Microsoft New Tai Lue" w:hAnsi="Microsoft New Tai Lue" w:cs="Microsoft New Tai Lue"/>
          <w:bCs/>
          <w:color w:val="auto"/>
          <w:szCs w:val="21"/>
          <w:highlight w:val="none"/>
        </w:rPr>
        <w:t>22.1本项目是否交纳投标保证金见</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w:t>
      </w:r>
    </w:p>
    <w:p w14:paraId="04137328">
      <w:pPr>
        <w:adjustRightInd w:val="0"/>
        <w:snapToGrid w:val="0"/>
        <w:spacing w:beforeLines="50" w:line="360" w:lineRule="auto"/>
        <w:ind w:firstLine="422" w:firstLineChars="200"/>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Cs/>
          <w:color w:val="auto"/>
          <w:szCs w:val="21"/>
          <w:highlight w:val="none"/>
        </w:rPr>
        <w:t>22.2</w:t>
      </w:r>
      <w:r>
        <w:rPr>
          <w:rFonts w:hint="eastAsia" w:ascii="Microsoft New Tai Lue" w:hAnsi="Microsoft New Tai Lue" w:cs="Microsoft New Tai Lue"/>
          <w:bCs/>
          <w:color w:val="auto"/>
          <w:szCs w:val="21"/>
          <w:highlight w:val="none"/>
        </w:rPr>
        <w:t>投标人按照</w:t>
      </w:r>
      <w:r>
        <w:rPr>
          <w:rFonts w:ascii="Microsoft New Tai Lue" w:hAnsi="Microsoft New Tai Lue" w:cs="Microsoft New Tai Lue"/>
          <w:b/>
          <w:bCs/>
          <w:color w:val="auto"/>
          <w:szCs w:val="21"/>
          <w:highlight w:val="none"/>
        </w:rPr>
        <w:t>投标人须知前附表</w:t>
      </w:r>
      <w:r>
        <w:rPr>
          <w:rFonts w:hint="eastAsia" w:ascii="Microsoft New Tai Lue" w:hAnsi="Microsoft New Tai Lue" w:cs="Microsoft New Tai Lue"/>
          <w:bCs/>
          <w:color w:val="auto"/>
          <w:szCs w:val="21"/>
          <w:highlight w:val="none"/>
        </w:rPr>
        <w:t>要求的</w:t>
      </w:r>
      <w:r>
        <w:rPr>
          <w:rFonts w:ascii="Microsoft New Tai Lue" w:hAnsi="Microsoft New Tai Lue" w:cs="Microsoft New Tai Lue"/>
          <w:bCs/>
          <w:color w:val="auto"/>
          <w:szCs w:val="21"/>
          <w:highlight w:val="none"/>
        </w:rPr>
        <w:t>形式，在</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规定的投标截止时间前，向采购方提交</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规定的投标保证金(数额采用四舍五入，计算至元)。投标保证金有效期应与</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规定的投标有效期一致。</w:t>
      </w:r>
      <w:r>
        <w:rPr>
          <w:rFonts w:hint="eastAsia" w:ascii="Segoe UI Symbol" w:hAnsi="Segoe UI Symbol" w:cs="Segoe UI Symbol"/>
          <w:b/>
          <w:color w:val="auto"/>
          <w:szCs w:val="21"/>
          <w:highlight w:val="none"/>
        </w:rPr>
        <w:t>投标人未按规定缴纳投标保证金的或</w:t>
      </w:r>
      <w:r>
        <w:rPr>
          <w:rFonts w:hint="eastAsia" w:ascii="Microsoft New Tai Lue" w:hAnsi="Microsoft New Tai Lue" w:cs="Microsoft New Tai Lue"/>
          <w:b/>
          <w:bCs/>
          <w:color w:val="auto"/>
          <w:szCs w:val="21"/>
          <w:highlight w:val="none"/>
        </w:rPr>
        <w:t>由于到账时间晚于投标截止时间的，或者票据错误、印鉴不清等原因导致不能到账的，其投标无效。</w:t>
      </w:r>
    </w:p>
    <w:p w14:paraId="6D4AE379">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22.3联合体投标的，可以由联合体中的一方或者共同提交投标保证金。以一方名义提交投标保证金的，对联合体各方均具有约束力。</w:t>
      </w:r>
    </w:p>
    <w:p w14:paraId="3D067D4A">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22.4未中标的投标人的投标保证金，将在中标通知书发出后5个工作日内退还，但因投标人自身原因导致无法及时退还的除外。</w:t>
      </w:r>
    </w:p>
    <w:p w14:paraId="1CD98A6A">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22.5中标的投标人的投标保证金，将在政府采购合同签订后5个工作日内退还中标人。</w:t>
      </w:r>
    </w:p>
    <w:p w14:paraId="33AF0B82">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22.6投标人有以下情形之一的，投标保证金可以不予退还：</w:t>
      </w:r>
    </w:p>
    <w:bookmarkEnd w:id="135"/>
    <w:bookmarkEnd w:id="136"/>
    <w:bookmarkEnd w:id="137"/>
    <w:bookmarkEnd w:id="138"/>
    <w:bookmarkEnd w:id="139"/>
    <w:bookmarkEnd w:id="140"/>
    <w:p w14:paraId="24FF313A">
      <w:pPr>
        <w:spacing w:line="360" w:lineRule="auto"/>
        <w:ind w:firstLine="315" w:firstLineChars="150"/>
        <w:jc w:val="left"/>
        <w:rPr>
          <w:color w:val="auto"/>
          <w:szCs w:val="21"/>
          <w:highlight w:val="none"/>
        </w:rPr>
      </w:pPr>
      <w:bookmarkStart w:id="141" w:name="_Toc103848546"/>
      <w:bookmarkStart w:id="142" w:name="_Toc104560861"/>
      <w:bookmarkStart w:id="143" w:name="_Toc100905225"/>
      <w:bookmarkStart w:id="144" w:name="_Toc96347880"/>
      <w:r>
        <w:rPr>
          <w:color w:val="auto"/>
          <w:szCs w:val="21"/>
          <w:highlight w:val="none"/>
        </w:rPr>
        <w:t>（1）</w:t>
      </w:r>
      <w:r>
        <w:rPr>
          <w:rFonts w:hint="eastAsia"/>
          <w:color w:val="auto"/>
          <w:szCs w:val="21"/>
          <w:highlight w:val="none"/>
        </w:rPr>
        <w:t>投标人</w:t>
      </w:r>
      <w:r>
        <w:rPr>
          <w:color w:val="auto"/>
          <w:szCs w:val="21"/>
          <w:highlight w:val="none"/>
        </w:rPr>
        <w:t>在</w:t>
      </w:r>
      <w:r>
        <w:rPr>
          <w:rFonts w:hint="eastAsia"/>
          <w:color w:val="auto"/>
          <w:szCs w:val="21"/>
          <w:highlight w:val="none"/>
        </w:rPr>
        <w:t>招标</w:t>
      </w:r>
      <w:r>
        <w:rPr>
          <w:color w:val="auto"/>
          <w:szCs w:val="21"/>
          <w:highlight w:val="none"/>
        </w:rPr>
        <w:t>文件规定的</w:t>
      </w:r>
      <w:r>
        <w:rPr>
          <w:rFonts w:hint="eastAsia"/>
          <w:color w:val="auto"/>
          <w:szCs w:val="21"/>
          <w:highlight w:val="none"/>
        </w:rPr>
        <w:t>投标</w:t>
      </w:r>
      <w:r>
        <w:rPr>
          <w:color w:val="auto"/>
          <w:szCs w:val="21"/>
          <w:highlight w:val="none"/>
        </w:rPr>
        <w:t>有效期内撤销其</w:t>
      </w:r>
      <w:r>
        <w:rPr>
          <w:rFonts w:hint="eastAsia"/>
          <w:color w:val="auto"/>
          <w:szCs w:val="21"/>
          <w:highlight w:val="none"/>
        </w:rPr>
        <w:t>投标</w:t>
      </w:r>
      <w:r>
        <w:rPr>
          <w:color w:val="auto"/>
          <w:szCs w:val="21"/>
          <w:highlight w:val="none"/>
        </w:rPr>
        <w:t>文件；</w:t>
      </w:r>
    </w:p>
    <w:p w14:paraId="68A96C69">
      <w:pPr>
        <w:spacing w:line="360" w:lineRule="auto"/>
        <w:ind w:firstLine="315" w:firstLineChars="150"/>
        <w:jc w:val="left"/>
        <w:rPr>
          <w:color w:val="auto"/>
          <w:szCs w:val="21"/>
          <w:highlight w:val="none"/>
        </w:rPr>
      </w:pPr>
      <w:r>
        <w:rPr>
          <w:color w:val="auto"/>
          <w:szCs w:val="21"/>
          <w:highlight w:val="none"/>
        </w:rPr>
        <w:t>（2）</w:t>
      </w:r>
      <w:r>
        <w:rPr>
          <w:rFonts w:hint="eastAsia"/>
          <w:color w:val="auto"/>
          <w:szCs w:val="21"/>
          <w:highlight w:val="none"/>
        </w:rPr>
        <w:t>投标人在投标文件中提供</w:t>
      </w:r>
      <w:r>
        <w:rPr>
          <w:color w:val="auto"/>
          <w:szCs w:val="21"/>
          <w:highlight w:val="none"/>
        </w:rPr>
        <w:t>虚假材料</w:t>
      </w:r>
      <w:r>
        <w:rPr>
          <w:rFonts w:hint="eastAsia"/>
          <w:color w:val="auto"/>
          <w:szCs w:val="21"/>
          <w:highlight w:val="none"/>
        </w:rPr>
        <w:t>的</w:t>
      </w:r>
      <w:r>
        <w:rPr>
          <w:color w:val="auto"/>
          <w:szCs w:val="21"/>
          <w:highlight w:val="none"/>
        </w:rPr>
        <w:t>；</w:t>
      </w:r>
    </w:p>
    <w:p w14:paraId="2272C9E0">
      <w:pPr>
        <w:spacing w:line="360" w:lineRule="auto"/>
        <w:ind w:firstLine="315" w:firstLineChars="150"/>
        <w:jc w:val="left"/>
        <w:rPr>
          <w:color w:val="auto"/>
          <w:szCs w:val="21"/>
          <w:highlight w:val="none"/>
        </w:rPr>
      </w:pPr>
      <w:r>
        <w:rPr>
          <w:rFonts w:hint="eastAsia"/>
          <w:color w:val="auto"/>
          <w:szCs w:val="21"/>
          <w:highlight w:val="none"/>
        </w:rPr>
        <w:t>（3）投标人在本次采购活动中存在</w:t>
      </w:r>
      <w:r>
        <w:rPr>
          <w:color w:val="auto"/>
          <w:szCs w:val="21"/>
          <w:highlight w:val="none"/>
        </w:rPr>
        <w:t>恶意串通</w:t>
      </w:r>
      <w:r>
        <w:rPr>
          <w:rFonts w:hint="eastAsia"/>
          <w:color w:val="auto"/>
          <w:szCs w:val="21"/>
          <w:highlight w:val="none"/>
        </w:rPr>
        <w:t>行为的</w:t>
      </w:r>
      <w:r>
        <w:rPr>
          <w:color w:val="auto"/>
          <w:szCs w:val="21"/>
          <w:highlight w:val="none"/>
        </w:rPr>
        <w:t>；</w:t>
      </w:r>
    </w:p>
    <w:p w14:paraId="42861DF6">
      <w:pPr>
        <w:spacing w:line="360" w:lineRule="auto"/>
        <w:ind w:firstLine="315" w:firstLineChars="150"/>
        <w:jc w:val="left"/>
        <w:rPr>
          <w:color w:val="auto"/>
          <w:szCs w:val="21"/>
          <w:highlight w:val="none"/>
        </w:rPr>
      </w:pPr>
      <w:r>
        <w:rPr>
          <w:color w:val="auto"/>
          <w:szCs w:val="21"/>
          <w:highlight w:val="none"/>
        </w:rPr>
        <w:t>（4）</w:t>
      </w:r>
      <w:r>
        <w:rPr>
          <w:rFonts w:hint="eastAsia"/>
          <w:color w:val="auto"/>
          <w:szCs w:val="21"/>
          <w:highlight w:val="none"/>
        </w:rPr>
        <w:t>中标人</w:t>
      </w:r>
      <w:r>
        <w:rPr>
          <w:color w:val="auto"/>
          <w:szCs w:val="21"/>
          <w:highlight w:val="none"/>
        </w:rPr>
        <w:t>未能按规定交纳采购代理服务费；</w:t>
      </w:r>
    </w:p>
    <w:p w14:paraId="1D231E6E">
      <w:pPr>
        <w:spacing w:line="360" w:lineRule="auto"/>
        <w:ind w:firstLine="315" w:firstLineChars="150"/>
        <w:jc w:val="left"/>
        <w:rPr>
          <w:color w:val="auto"/>
          <w:szCs w:val="21"/>
          <w:highlight w:val="none"/>
        </w:rPr>
      </w:pPr>
      <w:r>
        <w:rPr>
          <w:color w:val="auto"/>
          <w:szCs w:val="21"/>
          <w:highlight w:val="none"/>
        </w:rPr>
        <w:t>（5）</w:t>
      </w:r>
      <w:r>
        <w:rPr>
          <w:rFonts w:hint="eastAsia"/>
          <w:color w:val="auto"/>
          <w:szCs w:val="21"/>
          <w:highlight w:val="none"/>
        </w:rPr>
        <w:t>中标人</w:t>
      </w:r>
      <w:r>
        <w:rPr>
          <w:color w:val="auto"/>
          <w:szCs w:val="21"/>
          <w:highlight w:val="none"/>
        </w:rPr>
        <w:t>在收到</w:t>
      </w:r>
      <w:r>
        <w:rPr>
          <w:rFonts w:hint="eastAsia"/>
          <w:color w:val="auto"/>
          <w:szCs w:val="21"/>
          <w:highlight w:val="none"/>
        </w:rPr>
        <w:t>中标</w:t>
      </w:r>
      <w:r>
        <w:rPr>
          <w:color w:val="auto"/>
          <w:szCs w:val="21"/>
          <w:highlight w:val="none"/>
        </w:rPr>
        <w:t>通知书后，无正当理由不与采购人订立合同，在签订合同时向采购人提出附加条件，或者不按照</w:t>
      </w:r>
      <w:r>
        <w:rPr>
          <w:rFonts w:hint="eastAsia"/>
          <w:color w:val="auto"/>
          <w:szCs w:val="21"/>
          <w:highlight w:val="none"/>
        </w:rPr>
        <w:t>招标</w:t>
      </w:r>
      <w:r>
        <w:rPr>
          <w:color w:val="auto"/>
          <w:szCs w:val="21"/>
          <w:highlight w:val="none"/>
        </w:rPr>
        <w:t>文件要求提交履约保证金（如有）；</w:t>
      </w:r>
    </w:p>
    <w:p w14:paraId="62244E4C">
      <w:pPr>
        <w:spacing w:line="360" w:lineRule="auto"/>
        <w:ind w:firstLine="315" w:firstLineChars="150"/>
        <w:jc w:val="left"/>
        <w:rPr>
          <w:color w:val="auto"/>
          <w:szCs w:val="21"/>
          <w:highlight w:val="none"/>
        </w:rPr>
      </w:pPr>
      <w:r>
        <w:rPr>
          <w:color w:val="auto"/>
          <w:szCs w:val="21"/>
          <w:highlight w:val="none"/>
        </w:rPr>
        <w:t>（6）</w:t>
      </w:r>
      <w:r>
        <w:rPr>
          <w:rFonts w:hint="eastAsia"/>
          <w:color w:val="auto"/>
          <w:szCs w:val="21"/>
          <w:highlight w:val="none"/>
        </w:rPr>
        <w:t>招标</w:t>
      </w:r>
      <w:r>
        <w:rPr>
          <w:color w:val="auto"/>
          <w:szCs w:val="21"/>
          <w:highlight w:val="none"/>
        </w:rPr>
        <w:t>文件规定的其他可以不予退还</w:t>
      </w:r>
      <w:r>
        <w:rPr>
          <w:rFonts w:hint="eastAsia"/>
          <w:color w:val="auto"/>
          <w:szCs w:val="21"/>
          <w:highlight w:val="none"/>
        </w:rPr>
        <w:t>投标</w:t>
      </w:r>
      <w:r>
        <w:rPr>
          <w:color w:val="auto"/>
          <w:szCs w:val="21"/>
          <w:highlight w:val="none"/>
        </w:rPr>
        <w:t>保证金的情形。</w:t>
      </w:r>
    </w:p>
    <w:p w14:paraId="43299732">
      <w:pPr>
        <w:pStyle w:val="3"/>
        <w:spacing w:line="360" w:lineRule="auto"/>
        <w:ind w:left="0" w:leftChars="0" w:right="210"/>
        <w:rPr>
          <w:rFonts w:ascii="Microsoft New Tai Lue" w:hAnsi="Microsoft New Tai Lue" w:cs="Microsoft New Tai Lue"/>
          <w:color w:val="auto"/>
          <w:highlight w:val="none"/>
        </w:rPr>
      </w:pPr>
      <w:bookmarkStart w:id="145" w:name="_Toc107246239"/>
      <w:r>
        <w:rPr>
          <w:rFonts w:ascii="Microsoft New Tai Lue" w:hAnsi="Microsoft New Tai Lue" w:cs="Microsoft New Tai Lue"/>
          <w:color w:val="auto"/>
          <w:highlight w:val="none"/>
        </w:rPr>
        <w:t>23.投标文件的</w:t>
      </w:r>
      <w:r>
        <w:rPr>
          <w:rFonts w:hint="eastAsia" w:ascii="Microsoft New Tai Lue" w:hAnsi="Microsoft New Tai Lue" w:cs="Microsoft New Tai Lue"/>
          <w:color w:val="auto"/>
          <w:highlight w:val="none"/>
        </w:rPr>
        <w:t>制作和</w:t>
      </w:r>
      <w:r>
        <w:rPr>
          <w:rFonts w:ascii="Microsoft New Tai Lue" w:hAnsi="Microsoft New Tai Lue" w:cs="Microsoft New Tai Lue"/>
          <w:color w:val="auto"/>
          <w:highlight w:val="none"/>
        </w:rPr>
        <w:t>签署</w:t>
      </w:r>
      <w:bookmarkEnd w:id="141"/>
      <w:bookmarkEnd w:id="142"/>
      <w:bookmarkEnd w:id="143"/>
      <w:bookmarkEnd w:id="144"/>
      <w:bookmarkEnd w:id="145"/>
    </w:p>
    <w:p w14:paraId="56F453C2">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23.1</w:t>
      </w:r>
      <w:r>
        <w:rPr>
          <w:rFonts w:hint="eastAsia" w:ascii="Microsoft New Tai Lue" w:hAnsi="Microsoft New Tai Lue" w:cs="Microsoft New Tai Lue"/>
          <w:bCs/>
          <w:color w:val="auto"/>
          <w:szCs w:val="21"/>
          <w:highlight w:val="none"/>
        </w:rPr>
        <w:t>投标人应当按照《操作手册》规定，在招标公告规定的投标截止时间前制作并上传电子投标文件。</w:t>
      </w:r>
      <w:r>
        <w:rPr>
          <w:rFonts w:hint="eastAsia" w:ascii="Microsoft New Tai Lue" w:hAnsi="Microsoft New Tai Lue" w:cs="Microsoft New Tai Lue"/>
          <w:bCs/>
          <w:color w:val="auto"/>
          <w:szCs w:val="21"/>
          <w:highlight w:val="none"/>
          <w:lang w:val="en-US" w:eastAsia="zh-CN"/>
        </w:rPr>
        <w:t>采购</w:t>
      </w:r>
      <w:r>
        <w:rPr>
          <w:rFonts w:hint="eastAsia" w:ascii="Microsoft New Tai Lue" w:hAnsi="Microsoft New Tai Lue" w:cs="Microsoft New Tai Lue"/>
          <w:bCs/>
          <w:color w:val="auto"/>
          <w:szCs w:val="21"/>
          <w:highlight w:val="none"/>
        </w:rPr>
        <w:t>代理机构拒绝接收提交投标文件截止时间后上传的任何电子投标文件</w:t>
      </w:r>
      <w:r>
        <w:rPr>
          <w:color w:val="auto"/>
          <w:szCs w:val="21"/>
          <w:highlight w:val="none"/>
        </w:rPr>
        <w:t>。</w:t>
      </w:r>
    </w:p>
    <w:p w14:paraId="0A02D6F0">
      <w:pPr>
        <w:adjustRightInd w:val="0"/>
        <w:snapToGrid w:val="0"/>
        <w:spacing w:beforeLines="50" w:line="360" w:lineRule="auto"/>
        <w:ind w:firstLine="422" w:firstLineChars="200"/>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Cs/>
          <w:color w:val="auto"/>
          <w:szCs w:val="21"/>
          <w:highlight w:val="none"/>
        </w:rPr>
        <w:t>23.2</w:t>
      </w:r>
      <w:r>
        <w:rPr>
          <w:rFonts w:hint="eastAsia" w:ascii="Microsoft New Tai Lue" w:hAnsi="Microsoft New Tai Lue" w:cs="Microsoft New Tai Lue"/>
          <w:b/>
          <w:bCs w:val="0"/>
          <w:color w:val="auto"/>
          <w:szCs w:val="21"/>
          <w:highlight w:val="none"/>
        </w:rPr>
        <w:t>投标文件</w:t>
      </w:r>
      <w:r>
        <w:rPr>
          <w:rFonts w:ascii="Microsoft New Tai Lue" w:hAnsi="Microsoft New Tai Lue" w:cs="Microsoft New Tai Lue"/>
          <w:b/>
          <w:bCs/>
          <w:color w:val="auto"/>
          <w:szCs w:val="21"/>
          <w:highlight w:val="none"/>
        </w:rPr>
        <w:t>应加盖公章并由</w:t>
      </w:r>
      <w:r>
        <w:rPr>
          <w:rFonts w:hint="eastAsia" w:ascii="Microsoft New Tai Lue" w:hAnsi="Microsoft New Tai Lue" w:cs="Microsoft New Tai Lue"/>
          <w:b/>
          <w:bCs/>
          <w:color w:val="auto"/>
          <w:szCs w:val="21"/>
          <w:highlight w:val="none"/>
        </w:rPr>
        <w:t>投标人</w:t>
      </w:r>
      <w:r>
        <w:rPr>
          <w:rFonts w:ascii="Microsoft New Tai Lue" w:hAnsi="Microsoft New Tai Lue" w:cs="Microsoft New Tai Lue"/>
          <w:b/>
          <w:bCs/>
          <w:color w:val="auto"/>
          <w:szCs w:val="21"/>
          <w:highlight w:val="none"/>
        </w:rPr>
        <w:t>法定代表人</w:t>
      </w:r>
      <w:r>
        <w:rPr>
          <w:rFonts w:hint="eastAsia" w:ascii="Microsoft New Tai Lue" w:hAnsi="Microsoft New Tai Lue" w:cs="Microsoft New Tai Lue"/>
          <w:b/>
          <w:bCs/>
          <w:color w:val="auto"/>
          <w:szCs w:val="21"/>
          <w:highlight w:val="none"/>
        </w:rPr>
        <w:t>（单位</w:t>
      </w:r>
      <w:r>
        <w:rPr>
          <w:rFonts w:ascii="Microsoft New Tai Lue" w:hAnsi="Microsoft New Tai Lue" w:cs="Microsoft New Tai Lue"/>
          <w:b/>
          <w:bCs/>
          <w:color w:val="auto"/>
          <w:szCs w:val="21"/>
          <w:highlight w:val="none"/>
        </w:rPr>
        <w:t>负责人</w:t>
      </w:r>
      <w:r>
        <w:rPr>
          <w:rFonts w:hint="eastAsia" w:ascii="Microsoft New Tai Lue" w:hAnsi="Microsoft New Tai Lue" w:cs="Microsoft New Tai Lue"/>
          <w:b/>
          <w:bCs/>
          <w:color w:val="auto"/>
          <w:szCs w:val="21"/>
          <w:highlight w:val="none"/>
        </w:rPr>
        <w:t>）</w:t>
      </w:r>
      <w:r>
        <w:rPr>
          <w:rFonts w:ascii="Microsoft New Tai Lue" w:hAnsi="Microsoft New Tai Lue" w:cs="Microsoft New Tai Lue"/>
          <w:b/>
          <w:bCs/>
          <w:color w:val="auto"/>
          <w:szCs w:val="21"/>
          <w:highlight w:val="none"/>
        </w:rPr>
        <w:t>或其授权代表签字。授权代表须提供法定代表人以书面形式出具的</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
          <w:bCs/>
          <w:color w:val="auto"/>
          <w:szCs w:val="21"/>
          <w:highlight w:val="none"/>
        </w:rPr>
        <w:t>法定代表人授权书”（原件，由</w:t>
      </w:r>
      <w:r>
        <w:rPr>
          <w:rFonts w:hint="eastAsia" w:ascii="Microsoft New Tai Lue" w:hAnsi="Microsoft New Tai Lue" w:cs="Microsoft New Tai Lue"/>
          <w:b/>
          <w:bCs/>
          <w:color w:val="auto"/>
          <w:szCs w:val="21"/>
          <w:highlight w:val="none"/>
        </w:rPr>
        <w:t>法定代表人</w:t>
      </w:r>
      <w:r>
        <w:rPr>
          <w:rFonts w:ascii="Microsoft New Tai Lue" w:hAnsi="Microsoft New Tai Lue" w:cs="Microsoft New Tai Lue"/>
          <w:b/>
          <w:bCs/>
          <w:color w:val="auto"/>
          <w:szCs w:val="21"/>
          <w:highlight w:val="none"/>
        </w:rPr>
        <w:t>签章并加盖企业公章。）授权其负责本项目投标。</w:t>
      </w:r>
    </w:p>
    <w:p w14:paraId="089CB6A8">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23.3投标文件规定盖章的地方，应盖单位公章（文件中的单位盖章、印章、公章等处均仅指与</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名称全称相一致的标准公章</w:t>
      </w:r>
      <w:r>
        <w:rPr>
          <w:rFonts w:hint="eastAsia" w:ascii="Microsoft New Tai Lue" w:hAnsi="Microsoft New Tai Lue" w:cs="Microsoft New Tai Lue"/>
          <w:bCs/>
          <w:color w:val="auto"/>
          <w:szCs w:val="21"/>
          <w:highlight w:val="none"/>
        </w:rPr>
        <w:t>，如投标人为自然人可不加盖公章，仅由本人签字）。</w:t>
      </w:r>
    </w:p>
    <w:p w14:paraId="384B3AF1">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23.4如投标过程中投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p>
    <w:p w14:paraId="7A92EE54">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w:t>
      </w:r>
      <w:r>
        <w:rPr>
          <w:rFonts w:hint="eastAsia" w:ascii="Microsoft New Tai Lue" w:hAnsi="Microsoft New Tai Lue" w:cs="Microsoft New Tai Lue"/>
          <w:bCs/>
          <w:color w:val="auto"/>
          <w:szCs w:val="21"/>
          <w:highlight w:val="none"/>
          <w:lang w:val="en-US" w:eastAsia="zh-CN"/>
        </w:rPr>
        <w:t>5</w:t>
      </w:r>
      <w:r>
        <w:rPr>
          <w:rFonts w:ascii="Microsoft New Tai Lue" w:hAnsi="Microsoft New Tai Lue" w:cs="Microsoft New Tai Lue"/>
          <w:bCs/>
          <w:color w:val="auto"/>
          <w:szCs w:val="21"/>
          <w:highlight w:val="none"/>
        </w:rPr>
        <w:t>除</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方有效</w:t>
      </w:r>
      <w:r>
        <w:rPr>
          <w:rFonts w:ascii="Microsoft New Tai Lue" w:hAnsi="Microsoft New Tai Lue" w:cs="Microsoft New Tai Lue"/>
          <w:bCs/>
          <w:color w:val="auto"/>
          <w:szCs w:val="21"/>
          <w:highlight w:val="none"/>
        </w:rPr>
        <w:t>。</w:t>
      </w:r>
    </w:p>
    <w:p w14:paraId="521F03BB">
      <w:pPr>
        <w:pStyle w:val="3"/>
        <w:spacing w:line="360" w:lineRule="auto"/>
        <w:ind w:left="0" w:leftChars="0" w:right="210"/>
        <w:rPr>
          <w:rFonts w:ascii="Microsoft New Tai Lue" w:hAnsi="Microsoft New Tai Lue" w:cs="Microsoft New Tai Lue"/>
          <w:color w:val="auto"/>
          <w:highlight w:val="none"/>
        </w:rPr>
      </w:pPr>
      <w:bookmarkStart w:id="146" w:name="_Toc107246240"/>
      <w:r>
        <w:rPr>
          <w:rFonts w:ascii="Microsoft New Tai Lue" w:hAnsi="Microsoft New Tai Lue" w:cs="Microsoft New Tai Lue"/>
          <w:color w:val="auto"/>
          <w:highlight w:val="none"/>
        </w:rPr>
        <w:t>四．投标文件的递交</w:t>
      </w:r>
      <w:bookmarkEnd w:id="146"/>
    </w:p>
    <w:p w14:paraId="40A93F49">
      <w:pPr>
        <w:pStyle w:val="3"/>
        <w:spacing w:line="360" w:lineRule="auto"/>
        <w:ind w:left="0" w:leftChars="0" w:right="210"/>
        <w:rPr>
          <w:rFonts w:hint="eastAsia" w:ascii="Microsoft New Tai Lue" w:hAnsi="Microsoft New Tai Lue" w:eastAsia="宋体" w:cs="Microsoft New Tai Lue"/>
          <w:color w:val="auto"/>
          <w:highlight w:val="none"/>
          <w:lang w:val="en-US" w:eastAsia="zh-CN"/>
        </w:rPr>
      </w:pPr>
      <w:bookmarkStart w:id="147" w:name="_Toc104560863"/>
      <w:bookmarkStart w:id="148" w:name="_Toc96347881"/>
      <w:bookmarkStart w:id="149" w:name="_Toc107246241"/>
      <w:bookmarkStart w:id="150" w:name="_Toc100905226"/>
      <w:bookmarkStart w:id="151" w:name="_Toc103848548"/>
      <w:r>
        <w:rPr>
          <w:rFonts w:ascii="Microsoft New Tai Lue" w:hAnsi="Microsoft New Tai Lue" w:cs="Microsoft New Tai Lue"/>
          <w:color w:val="auto"/>
          <w:highlight w:val="none"/>
        </w:rPr>
        <w:t>24.投标文件的</w:t>
      </w:r>
      <w:bookmarkEnd w:id="147"/>
      <w:bookmarkEnd w:id="148"/>
      <w:bookmarkEnd w:id="149"/>
      <w:bookmarkEnd w:id="150"/>
      <w:bookmarkEnd w:id="151"/>
      <w:r>
        <w:rPr>
          <w:rFonts w:hint="eastAsia" w:ascii="Microsoft New Tai Lue" w:hAnsi="Microsoft New Tai Lue" w:cs="Microsoft New Tai Lue"/>
          <w:color w:val="auto"/>
          <w:highlight w:val="none"/>
          <w:lang w:val="en-US" w:eastAsia="zh-CN"/>
        </w:rPr>
        <w:t>递交</w:t>
      </w:r>
    </w:p>
    <w:p w14:paraId="7C27CD00">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bookmarkStart w:id="152" w:name="_Toc96347882"/>
      <w:bookmarkStart w:id="153" w:name="_Toc97561941"/>
      <w:bookmarkStart w:id="154" w:name="_Toc11464"/>
      <w:bookmarkStart w:id="155" w:name="_Toc51928343"/>
      <w:bookmarkStart w:id="156" w:name="_Toc89586904"/>
      <w:bookmarkStart w:id="157" w:name="_Toc48151397"/>
      <w:bookmarkStart w:id="158" w:name="_Toc40202948"/>
      <w:bookmarkStart w:id="159" w:name="_Toc100905227"/>
      <w:bookmarkStart w:id="160" w:name="_Toc38931800"/>
      <w:bookmarkStart w:id="161" w:name="_Toc46939510"/>
      <w:bookmarkStart w:id="162" w:name="_Toc38931614"/>
      <w:bookmarkStart w:id="163" w:name="_Toc46219699"/>
      <w:bookmarkStart w:id="164" w:name="_Toc38933357"/>
      <w:bookmarkStart w:id="165" w:name="_Toc50528805"/>
      <w:bookmarkStart w:id="166" w:name="_Toc11952"/>
      <w:bookmarkStart w:id="167" w:name="_Toc5042"/>
      <w:bookmarkStart w:id="168" w:name="_Toc4536"/>
      <w:bookmarkStart w:id="169" w:name="_Toc469850063"/>
      <w:bookmarkStart w:id="170" w:name="_Toc46960670"/>
      <w:bookmarkStart w:id="171" w:name="_Toc103848549"/>
      <w:bookmarkStart w:id="172" w:name="_Toc19963"/>
      <w:bookmarkStart w:id="173" w:name="_Toc91399404"/>
      <w:r>
        <w:rPr>
          <w:rFonts w:hint="eastAsia" w:ascii="Microsoft New Tai Lue" w:hAnsi="Microsoft New Tai Lue" w:cs="Microsoft New Tai Lue"/>
          <w:bCs/>
          <w:color w:val="auto"/>
          <w:szCs w:val="21"/>
          <w:highlight w:val="none"/>
        </w:rPr>
        <w:t>投标人应当按照《操作手册》规定，在招标公告规定的投标截止时间前制作并上传电子投标文件。招标代理机构拒绝接收提交投标文件截止时间后上传的任何电子投标文件。</w:t>
      </w:r>
      <w:bookmarkStart w:id="174" w:name="_Toc104560864"/>
    </w:p>
    <w:p w14:paraId="3556C7AD">
      <w:pPr>
        <w:pStyle w:val="3"/>
        <w:spacing w:line="360" w:lineRule="auto"/>
        <w:ind w:left="0" w:leftChars="0" w:right="210"/>
        <w:rPr>
          <w:rFonts w:ascii="Microsoft New Tai Lue" w:hAnsi="Microsoft New Tai Lue" w:cs="Microsoft New Tai Lue"/>
          <w:color w:val="auto"/>
          <w:highlight w:val="none"/>
        </w:rPr>
      </w:pPr>
      <w:bookmarkStart w:id="175" w:name="_Toc107246242"/>
      <w:r>
        <w:rPr>
          <w:rFonts w:ascii="Microsoft New Tai Lue" w:hAnsi="Microsoft New Tai Lue" w:cs="Microsoft New Tai Lue"/>
          <w:color w:val="auto"/>
          <w:highlight w:val="none"/>
        </w:rPr>
        <w:t>25.</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rFonts w:hint="eastAsia" w:ascii="Microsoft New Tai Lue" w:hAnsi="Microsoft New Tai Lue" w:cs="Microsoft New Tai Lue"/>
          <w:color w:val="auto"/>
          <w:highlight w:val="none"/>
        </w:rPr>
        <w:t>投标文件</w:t>
      </w:r>
      <w:r>
        <w:rPr>
          <w:rFonts w:hint="eastAsia" w:ascii="Microsoft New Tai Lue" w:hAnsi="Microsoft New Tai Lue" w:cs="Microsoft New Tai Lue"/>
          <w:color w:val="auto"/>
          <w:highlight w:val="none"/>
          <w:lang w:val="en-US" w:eastAsia="zh-CN"/>
        </w:rPr>
        <w:t>的</w:t>
      </w:r>
      <w:r>
        <w:rPr>
          <w:rFonts w:hint="eastAsia" w:ascii="Microsoft New Tai Lue" w:hAnsi="Microsoft New Tai Lue" w:cs="Microsoft New Tai Lue"/>
          <w:color w:val="auto"/>
          <w:highlight w:val="none"/>
        </w:rPr>
        <w:t>解密</w:t>
      </w:r>
      <w:bookmarkEnd w:id="175"/>
    </w:p>
    <w:p w14:paraId="7C9DD1CA">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bookmarkStart w:id="176" w:name="_Toc96347883"/>
      <w:r>
        <w:rPr>
          <w:rFonts w:hint="eastAsia" w:ascii="Microsoft New Tai Lue" w:hAnsi="Microsoft New Tai Lue" w:cs="Microsoft New Tai Lue"/>
          <w:bCs/>
          <w:color w:val="auto"/>
          <w:szCs w:val="21"/>
          <w:highlight w:val="none"/>
        </w:rPr>
        <w:t>25.1投标人应当按照《操作手册》规定，在“苏采云”系统规定的时间内对投标文件进行解密。</w:t>
      </w:r>
    </w:p>
    <w:p w14:paraId="1CC0B988">
      <w:pPr>
        <w:adjustRightInd w:val="0"/>
        <w:snapToGrid w:val="0"/>
        <w:spacing w:beforeLines="50" w:line="360" w:lineRule="auto"/>
        <w:ind w:firstLine="420" w:firstLineChars="200"/>
        <w:rPr>
          <w:rFonts w:ascii="Microsoft New Tai Lue" w:hAnsi="Microsoft New Tai Lue" w:cs="Microsoft New Tai Lue"/>
          <w:b/>
          <w:bCs/>
          <w:color w:val="auto"/>
          <w:szCs w:val="21"/>
          <w:highlight w:val="none"/>
        </w:rPr>
      </w:pPr>
      <w:r>
        <w:rPr>
          <w:rFonts w:hint="eastAsia" w:ascii="Microsoft New Tai Lue" w:hAnsi="Microsoft New Tai Lue" w:cs="Microsoft New Tai Lue"/>
          <w:bCs/>
          <w:color w:val="auto"/>
          <w:szCs w:val="21"/>
          <w:highlight w:val="none"/>
        </w:rPr>
        <w:t>25.2投标人应充分考虑网络环境、网络带宽等因素可能对投标产生的影响，如因投标人自身原因造成的电子投标文件解密不成功的，做无效投标处理。</w:t>
      </w:r>
    </w:p>
    <w:p w14:paraId="3E77B143">
      <w:pPr>
        <w:pStyle w:val="3"/>
        <w:spacing w:line="360" w:lineRule="auto"/>
        <w:ind w:left="0" w:leftChars="0" w:right="210"/>
        <w:rPr>
          <w:rFonts w:ascii="Microsoft New Tai Lue" w:hAnsi="Microsoft New Tai Lue" w:cs="Microsoft New Tai Lue"/>
          <w:color w:val="auto"/>
          <w:highlight w:val="none"/>
        </w:rPr>
      </w:pPr>
      <w:bookmarkStart w:id="177" w:name="_Toc104560865"/>
      <w:bookmarkStart w:id="178" w:name="_Toc103848550"/>
      <w:bookmarkStart w:id="179" w:name="_Toc107246243"/>
      <w:bookmarkStart w:id="180" w:name="_Toc100905228"/>
      <w:r>
        <w:rPr>
          <w:rFonts w:ascii="Microsoft New Tai Lue" w:hAnsi="Microsoft New Tai Lue" w:cs="Microsoft New Tai Lue"/>
          <w:color w:val="auto"/>
          <w:highlight w:val="none"/>
        </w:rPr>
        <w:t>26.投标文件的修改和撤回</w:t>
      </w:r>
      <w:bookmarkEnd w:id="176"/>
      <w:bookmarkEnd w:id="177"/>
      <w:bookmarkEnd w:id="178"/>
      <w:bookmarkEnd w:id="179"/>
      <w:bookmarkEnd w:id="180"/>
    </w:p>
    <w:bookmarkEnd w:id="117"/>
    <w:p w14:paraId="63285FA4">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26.1</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在递交投标文件后，可以修改或撤回其投标文件，但这种修改和撤回，必须在规定的投标截止时间前，以书面形式通知</w:t>
      </w:r>
      <w:r>
        <w:rPr>
          <w:rFonts w:hint="eastAsia" w:ascii="Microsoft New Tai Lue" w:hAnsi="Microsoft New Tai Lue" w:cs="Microsoft New Tai Lue"/>
          <w:bCs/>
          <w:color w:val="auto"/>
          <w:szCs w:val="21"/>
          <w:highlight w:val="none"/>
        </w:rPr>
        <w:t>采购方</w:t>
      </w:r>
      <w:r>
        <w:rPr>
          <w:rFonts w:ascii="Microsoft New Tai Lue" w:hAnsi="Microsoft New Tai Lue" w:cs="Microsoft New Tai Lue"/>
          <w:bCs/>
          <w:color w:val="auto"/>
          <w:szCs w:val="21"/>
          <w:highlight w:val="none"/>
        </w:rPr>
        <w:t>。</w:t>
      </w:r>
    </w:p>
    <w:p w14:paraId="137F3DA9">
      <w:pPr>
        <w:spacing w:line="360" w:lineRule="auto"/>
        <w:ind w:firstLine="420" w:firstLineChars="200"/>
        <w:jc w:val="left"/>
        <w:rPr>
          <w:color w:val="auto"/>
          <w:szCs w:val="21"/>
          <w:highlight w:val="none"/>
        </w:rPr>
      </w:pPr>
      <w:r>
        <w:rPr>
          <w:rFonts w:ascii="Microsoft New Tai Lue" w:hAnsi="Microsoft New Tai Lue" w:cs="Microsoft New Tai Lue"/>
          <w:bCs/>
          <w:color w:val="auto"/>
          <w:szCs w:val="21"/>
          <w:highlight w:val="none"/>
        </w:rPr>
        <w:t>26.2</w:t>
      </w:r>
      <w:r>
        <w:rPr>
          <w:rFonts w:hint="eastAsia"/>
          <w:color w:val="auto"/>
          <w:szCs w:val="21"/>
          <w:highlight w:val="none"/>
        </w:rPr>
        <w:t>投标人</w:t>
      </w:r>
      <w:r>
        <w:rPr>
          <w:color w:val="auto"/>
          <w:szCs w:val="21"/>
          <w:highlight w:val="none"/>
        </w:rPr>
        <w:t>对</w:t>
      </w:r>
      <w:r>
        <w:rPr>
          <w:rFonts w:hint="eastAsia"/>
          <w:color w:val="auto"/>
          <w:szCs w:val="21"/>
          <w:highlight w:val="none"/>
        </w:rPr>
        <w:t>投标</w:t>
      </w:r>
      <w:r>
        <w:rPr>
          <w:color w:val="auto"/>
          <w:szCs w:val="21"/>
          <w:highlight w:val="none"/>
        </w:rPr>
        <w:t>文件的补充、修改的内容应当按照采购文件要求签署、盖章后，作为</w:t>
      </w:r>
      <w:r>
        <w:rPr>
          <w:rFonts w:hint="eastAsia"/>
          <w:color w:val="auto"/>
          <w:szCs w:val="21"/>
          <w:highlight w:val="none"/>
        </w:rPr>
        <w:t>投标</w:t>
      </w:r>
      <w:r>
        <w:rPr>
          <w:color w:val="auto"/>
          <w:szCs w:val="21"/>
          <w:highlight w:val="none"/>
        </w:rPr>
        <w:t>文件的组成部分。</w:t>
      </w:r>
    </w:p>
    <w:p w14:paraId="20963774">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26.3 在投标截止时间之后，</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不得对其投标文件作任何修改。</w:t>
      </w:r>
    </w:p>
    <w:p w14:paraId="6971799E">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26.4 在投标截止时间至采购文件中规定的投标有效期满之间的这段时间内，</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不得撤回其投标。</w:t>
      </w:r>
    </w:p>
    <w:p w14:paraId="6B1D2C34">
      <w:pPr>
        <w:pStyle w:val="3"/>
        <w:spacing w:line="360" w:lineRule="auto"/>
        <w:ind w:left="0" w:leftChars="0" w:right="210"/>
        <w:rPr>
          <w:rFonts w:ascii="Microsoft New Tai Lue" w:hAnsi="Microsoft New Tai Lue" w:cs="Microsoft New Tai Lue"/>
          <w:color w:val="auto"/>
          <w:highlight w:val="none"/>
        </w:rPr>
      </w:pPr>
      <w:bookmarkStart w:id="181" w:name="_Toc107246244"/>
      <w:bookmarkStart w:id="182" w:name="_Toc103848551"/>
      <w:bookmarkStart w:id="183" w:name="_Toc104560866"/>
      <w:r>
        <w:rPr>
          <w:rFonts w:ascii="Microsoft New Tai Lue" w:hAnsi="Microsoft New Tai Lue" w:cs="Microsoft New Tai Lue"/>
          <w:color w:val="auto"/>
          <w:highlight w:val="none"/>
        </w:rPr>
        <w:t>27.诚实信用</w:t>
      </w:r>
      <w:bookmarkEnd w:id="181"/>
      <w:bookmarkEnd w:id="182"/>
      <w:bookmarkEnd w:id="183"/>
    </w:p>
    <w:p w14:paraId="49887B7A">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27.1投标人应当遵循公平竞争的原则，不得恶意串通，不得妨碍其他投标人的竞争行为，不得损害采购人或者其他投标人的合法权益。</w:t>
      </w:r>
    </w:p>
    <w:p w14:paraId="7055893D">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27.2在评标过程中发现投标人有上述情形的，评标委员会应当认定其投标无效，并书面报告本级财政部门。</w:t>
      </w:r>
    </w:p>
    <w:p w14:paraId="3CC9E5AC">
      <w:pPr>
        <w:pStyle w:val="3"/>
        <w:spacing w:line="360" w:lineRule="auto"/>
        <w:ind w:left="0" w:leftChars="0" w:right="210"/>
        <w:rPr>
          <w:rFonts w:ascii="Microsoft New Tai Lue" w:hAnsi="Microsoft New Tai Lue" w:cs="Microsoft New Tai Lue"/>
          <w:color w:val="auto"/>
          <w:highlight w:val="none"/>
        </w:rPr>
      </w:pPr>
      <w:bookmarkStart w:id="184" w:name="_Toc107246245"/>
      <w:r>
        <w:rPr>
          <w:rFonts w:ascii="Microsoft New Tai Lue" w:hAnsi="Microsoft New Tai Lue" w:cs="Microsoft New Tai Lue"/>
          <w:color w:val="auto"/>
          <w:highlight w:val="none"/>
        </w:rPr>
        <w:t>五．开标和评标</w:t>
      </w:r>
      <w:bookmarkEnd w:id="184"/>
      <w:bookmarkStart w:id="185" w:name="_Toc96347885"/>
    </w:p>
    <w:p w14:paraId="665D181D">
      <w:pPr>
        <w:pStyle w:val="3"/>
        <w:spacing w:line="360" w:lineRule="auto"/>
        <w:ind w:left="0" w:leftChars="0" w:right="210"/>
        <w:rPr>
          <w:rFonts w:ascii="Microsoft New Tai Lue" w:hAnsi="Microsoft New Tai Lue" w:cs="Microsoft New Tai Lue"/>
          <w:color w:val="auto"/>
          <w:highlight w:val="none"/>
        </w:rPr>
      </w:pPr>
      <w:bookmarkStart w:id="186" w:name="_Toc100905230"/>
      <w:bookmarkStart w:id="187" w:name="_Toc104560868"/>
      <w:bookmarkStart w:id="188" w:name="_Toc103848553"/>
      <w:bookmarkStart w:id="189" w:name="_Toc107246246"/>
      <w:r>
        <w:rPr>
          <w:rFonts w:ascii="Microsoft New Tai Lue" w:hAnsi="Microsoft New Tai Lue" w:cs="Microsoft New Tai Lue"/>
          <w:color w:val="auto"/>
          <w:highlight w:val="none"/>
        </w:rPr>
        <w:t>28.开标</w:t>
      </w:r>
      <w:bookmarkEnd w:id="185"/>
      <w:bookmarkEnd w:id="186"/>
      <w:bookmarkEnd w:id="187"/>
      <w:bookmarkEnd w:id="188"/>
      <w:bookmarkEnd w:id="189"/>
    </w:p>
    <w:p w14:paraId="53522CD7">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bookmarkStart w:id="190" w:name="_Toc96347886"/>
      <w:r>
        <w:rPr>
          <w:rFonts w:hint="eastAsia" w:ascii="Microsoft New Tai Lue" w:hAnsi="Microsoft New Tai Lue" w:cs="Microsoft New Tai Lue"/>
          <w:bCs/>
          <w:color w:val="auto"/>
          <w:szCs w:val="21"/>
          <w:highlight w:val="none"/>
        </w:rPr>
        <w:t>28.1代理机构在招标公告中规定的时间和地点组织公开开标。投标人按照《操作手册》规定参加开标活动，并在“苏采云”系统规定的时间内对投标文件进行解密。“苏采云”系统公布各投标人名称和投标价格。</w:t>
      </w:r>
    </w:p>
    <w:p w14:paraId="281942FC">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28.2 投标人在开标过程中涉及到的投标文件解密、开标结果确认等工作，应按照《操作手册》规定执行。</w:t>
      </w:r>
    </w:p>
    <w:p w14:paraId="15A42ADB">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28.3投标人不足3家的，不得开标。</w:t>
      </w:r>
    </w:p>
    <w:p w14:paraId="4543936E">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28.4投标人代表对开标过程和开标记录有疑义，以及认为采购方相关工作人员有需要回避的情形的，应当根据《操作手册》规定提出。</w:t>
      </w:r>
    </w:p>
    <w:p w14:paraId="2BEEBF5D">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28.5公开招标数额标准以上的采购项目，投标截止后投标人不足3家或者通过资格审查或符合性审查的投标人不足3家的，除采购任务取消情形外，按照以下方式处理：</w:t>
      </w:r>
    </w:p>
    <w:p w14:paraId="3A4B31B1">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（1）招标文件存在不合理条款或者招标程序不符合规定的，采购人、采购代理机构改正后依法重新招标；</w:t>
      </w:r>
    </w:p>
    <w:p w14:paraId="738EC4FB">
      <w:pPr>
        <w:adjustRightInd w:val="0"/>
        <w:snapToGrid w:val="0"/>
        <w:spacing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（2）招标文件没有不合理条款、招标程序符合规定，需要采用其他采购方式采购的，采购人依法报财政部门批准，经批准后，可变更为其他采购方式采购。</w:t>
      </w:r>
    </w:p>
    <w:p w14:paraId="171458EF">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28.6投标人未参加开标的，视同认可开标结果。</w:t>
      </w:r>
      <w:bookmarkEnd w:id="190"/>
      <w:bookmarkStart w:id="191" w:name="_Toc100905231"/>
    </w:p>
    <w:p w14:paraId="15C123A8">
      <w:pPr>
        <w:pStyle w:val="3"/>
        <w:spacing w:line="360" w:lineRule="auto"/>
        <w:ind w:left="0" w:leftChars="0" w:right="210"/>
        <w:rPr>
          <w:rFonts w:ascii="Microsoft New Tai Lue" w:hAnsi="Microsoft New Tai Lue" w:cs="Microsoft New Tai Lue"/>
          <w:color w:val="auto"/>
          <w:highlight w:val="none"/>
        </w:rPr>
      </w:pPr>
      <w:bookmarkStart w:id="192" w:name="_Toc107246247"/>
      <w:r>
        <w:rPr>
          <w:rFonts w:ascii="Microsoft New Tai Lue" w:hAnsi="Microsoft New Tai Lue" w:cs="Microsoft New Tai Lue"/>
          <w:color w:val="auto"/>
          <w:highlight w:val="none"/>
        </w:rPr>
        <w:t>29.</w:t>
      </w:r>
      <w:r>
        <w:rPr>
          <w:rFonts w:hint="eastAsia" w:ascii="Microsoft New Tai Lue" w:hAnsi="Microsoft New Tai Lue" w:cs="Microsoft New Tai Lue"/>
          <w:color w:val="auto"/>
          <w:highlight w:val="none"/>
        </w:rPr>
        <w:t>资格性审查</w:t>
      </w:r>
      <w:bookmarkEnd w:id="192"/>
    </w:p>
    <w:p w14:paraId="0B6375D5">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bookmarkStart w:id="193" w:name="_Toc104560869"/>
      <w:bookmarkStart w:id="194" w:name="_Toc103848554"/>
      <w:r>
        <w:rPr>
          <w:rFonts w:ascii="Microsoft New Tai Lue" w:hAnsi="Microsoft New Tai Lue" w:cs="Microsoft New Tai Lue"/>
          <w:bCs/>
          <w:color w:val="auto"/>
          <w:szCs w:val="21"/>
          <w:highlight w:val="none"/>
        </w:rPr>
        <w:t>29.1投标文件的资格性检查。公开招标采购项目开标结束后，</w:t>
      </w:r>
      <w:r>
        <w:rPr>
          <w:rFonts w:hint="eastAsia" w:ascii="Microsoft New Tai Lue" w:hAnsi="Microsoft New Tai Lue" w:cs="Microsoft New Tai Lue"/>
          <w:bCs/>
          <w:color w:val="auto"/>
          <w:szCs w:val="21"/>
          <w:highlight w:val="none"/>
        </w:rPr>
        <w:t>采购人或采购代理机构</w:t>
      </w:r>
      <w:r>
        <w:rPr>
          <w:rFonts w:ascii="Microsoft New Tai Lue" w:hAnsi="Microsoft New Tai Lue" w:cs="Microsoft New Tai Lue"/>
          <w:bCs/>
          <w:color w:val="auto"/>
          <w:szCs w:val="21"/>
          <w:highlight w:val="none"/>
        </w:rPr>
        <w:t>应依法对投标人的资格进行审查。</w:t>
      </w:r>
      <w:r>
        <w:rPr>
          <w:rFonts w:hint="eastAsia" w:ascii="Microsoft New Tai Lue" w:hAnsi="Microsoft New Tai Lue" w:cs="Microsoft New Tai Lue"/>
          <w:bCs/>
          <w:color w:val="auto"/>
          <w:szCs w:val="21"/>
          <w:highlight w:val="none"/>
        </w:rPr>
        <w:t>资格审查合格的投标人不足3家的，不进行评标。</w:t>
      </w:r>
    </w:p>
    <w:p w14:paraId="5A62F86E">
      <w:pPr>
        <w:adjustRightInd w:val="0"/>
        <w:snapToGrid w:val="0"/>
        <w:spacing w:beforeLines="50" w:line="360" w:lineRule="auto"/>
        <w:ind w:firstLine="422" w:firstLineChars="200"/>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29.2</w:t>
      </w:r>
      <w:r>
        <w:rPr>
          <w:rFonts w:ascii="Microsoft New Tai Lue" w:hAnsi="Microsoft New Tai Lue" w:cs="Microsoft New Tai Lue"/>
          <w:b/>
          <w:color w:val="auto"/>
          <w:szCs w:val="21"/>
          <w:highlight w:val="none"/>
        </w:rPr>
        <w:t>投标人不具备招标文件规定的投标人资格条件的</w:t>
      </w:r>
      <w:r>
        <w:rPr>
          <w:rFonts w:ascii="Microsoft New Tai Lue" w:hAnsi="Microsoft New Tai Lue" w:cs="Microsoft New Tai Lue"/>
          <w:b/>
          <w:bCs/>
          <w:color w:val="auto"/>
          <w:szCs w:val="21"/>
          <w:highlight w:val="none"/>
        </w:rPr>
        <w:t>，应在资格审查时按照无效投标处理</w:t>
      </w:r>
      <w:r>
        <w:rPr>
          <w:rFonts w:hint="eastAsia" w:ascii="Microsoft New Tai Lue" w:hAnsi="Microsoft New Tai Lue" w:cs="Microsoft New Tai Lue"/>
          <w:b/>
          <w:bCs/>
          <w:color w:val="auto"/>
          <w:szCs w:val="21"/>
          <w:highlight w:val="none"/>
        </w:rPr>
        <w:t>。</w:t>
      </w:r>
    </w:p>
    <w:p w14:paraId="720F3228">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29.3已经进行资格预审的，可以不再对</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资格进行审查，资格预审合格的</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在评</w:t>
      </w:r>
      <w:r>
        <w:rPr>
          <w:rFonts w:hint="eastAsia" w:ascii="Microsoft New Tai Lue" w:hAnsi="Microsoft New Tai Lue" w:cs="Microsoft New Tai Lue"/>
          <w:bCs/>
          <w:color w:val="auto"/>
          <w:szCs w:val="21"/>
          <w:highlight w:val="none"/>
        </w:rPr>
        <w:t>标</w:t>
      </w:r>
      <w:r>
        <w:rPr>
          <w:rFonts w:ascii="Microsoft New Tai Lue" w:hAnsi="Microsoft New Tai Lue" w:cs="Microsoft New Tai Lue"/>
          <w:bCs/>
          <w:color w:val="auto"/>
          <w:szCs w:val="21"/>
          <w:highlight w:val="none"/>
        </w:rPr>
        <w:t>阶段资格发生变化的，应当通知采购方。</w:t>
      </w:r>
    </w:p>
    <w:p w14:paraId="4FCC0062">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hint="eastAsia" w:ascii="Microsoft New Tai Lue" w:hAnsi="Microsoft New Tai Lue" w:cs="Microsoft New Tai Lue"/>
          <w:color w:val="auto"/>
          <w:sz w:val="21"/>
          <w:szCs w:val="21"/>
        </w:rPr>
        <w:t>2</w:t>
      </w:r>
      <w:r>
        <w:rPr>
          <w:rFonts w:hint="default" w:ascii="Microsoft New Tai Lue" w:hAnsi="Microsoft New Tai Lue" w:cs="Microsoft New Tai Lue"/>
          <w:color w:val="auto"/>
          <w:sz w:val="21"/>
          <w:szCs w:val="21"/>
        </w:rPr>
        <w:t>9.4</w:t>
      </w:r>
      <w:r>
        <w:rPr>
          <w:rFonts w:hint="eastAsia" w:ascii="Microsoft New Tai Lue" w:hAnsi="Microsoft New Tai Lue" w:cs="Microsoft New Tai Lue"/>
          <w:color w:val="auto"/>
          <w:sz w:val="21"/>
          <w:szCs w:val="21"/>
        </w:rPr>
        <w:t>本项目信用记录查询截止</w:t>
      </w:r>
      <w:r>
        <w:rPr>
          <w:rFonts w:hint="eastAsia" w:ascii="Microsoft New Tai Lue" w:hAnsi="Microsoft New Tai Lue" w:cs="Microsoft New Tai Lue"/>
          <w:color w:val="auto"/>
          <w:sz w:val="21"/>
          <w:szCs w:val="21"/>
          <w:lang w:val="en-US" w:eastAsia="zh-CN"/>
        </w:rPr>
        <w:t>时间</w:t>
      </w:r>
      <w:r>
        <w:rPr>
          <w:rFonts w:hint="eastAsia" w:ascii="Microsoft New Tai Lue" w:hAnsi="Microsoft New Tai Lue" w:cs="Microsoft New Tai Lue"/>
          <w:color w:val="auto"/>
          <w:sz w:val="21"/>
          <w:szCs w:val="21"/>
        </w:rPr>
        <w:t>点见</w:t>
      </w:r>
      <w:r>
        <w:rPr>
          <w:rFonts w:hint="eastAsia" w:ascii="Microsoft New Tai Lue" w:hAnsi="Microsoft New Tai Lue" w:cs="Microsoft New Tai Lue"/>
          <w:b/>
          <w:color w:val="auto"/>
          <w:sz w:val="21"/>
          <w:szCs w:val="21"/>
        </w:rPr>
        <w:t>投标人须知前附表</w:t>
      </w:r>
      <w:r>
        <w:rPr>
          <w:rFonts w:hint="eastAsia" w:ascii="Microsoft New Tai Lue" w:hAnsi="Microsoft New Tai Lue" w:cs="Microsoft New Tai Lue"/>
          <w:color w:val="auto"/>
          <w:sz w:val="21"/>
          <w:szCs w:val="21"/>
        </w:rPr>
        <w:t>。</w:t>
      </w:r>
    </w:p>
    <w:p w14:paraId="4079BD60">
      <w:pPr>
        <w:pStyle w:val="3"/>
        <w:spacing w:line="360" w:lineRule="auto"/>
        <w:ind w:left="0" w:leftChars="0" w:right="210"/>
        <w:rPr>
          <w:rFonts w:ascii="Microsoft New Tai Lue" w:hAnsi="Microsoft New Tai Lue" w:cs="Microsoft New Tai Lue"/>
          <w:color w:val="auto"/>
          <w:highlight w:val="none"/>
        </w:rPr>
      </w:pPr>
      <w:bookmarkStart w:id="195" w:name="_Toc107246248"/>
      <w:r>
        <w:rPr>
          <w:rFonts w:ascii="Microsoft New Tai Lue" w:hAnsi="Microsoft New Tai Lue" w:cs="Microsoft New Tai Lue"/>
          <w:color w:val="auto"/>
          <w:highlight w:val="none"/>
        </w:rPr>
        <w:t>30.评标</w:t>
      </w:r>
      <w:bookmarkEnd w:id="193"/>
      <w:bookmarkEnd w:id="194"/>
      <w:bookmarkEnd w:id="195"/>
    </w:p>
    <w:p w14:paraId="2CC96346">
      <w:pPr>
        <w:pStyle w:val="3"/>
        <w:spacing w:line="360" w:lineRule="auto"/>
        <w:ind w:left="0" w:leftChars="0" w:right="210"/>
        <w:rPr>
          <w:rFonts w:ascii="Microsoft New Tai Lue" w:hAnsi="Microsoft New Tai Lue" w:cs="Microsoft New Tai Lue"/>
          <w:color w:val="auto"/>
          <w:highlight w:val="none"/>
        </w:rPr>
      </w:pPr>
      <w:bookmarkStart w:id="196" w:name="_Toc104560870"/>
      <w:bookmarkStart w:id="197" w:name="_Toc107246249"/>
      <w:bookmarkStart w:id="198" w:name="_Toc103848555"/>
      <w:r>
        <w:rPr>
          <w:rFonts w:ascii="Microsoft New Tai Lue" w:hAnsi="Microsoft New Tai Lue" w:cs="Microsoft New Tai Lue"/>
          <w:color w:val="auto"/>
          <w:highlight w:val="none"/>
        </w:rPr>
        <w:t>30.1评标委员会</w:t>
      </w:r>
      <w:bookmarkEnd w:id="196"/>
      <w:bookmarkEnd w:id="197"/>
      <w:bookmarkEnd w:id="198"/>
    </w:p>
    <w:p w14:paraId="51CE7563">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30.1.1评标委员会</w:t>
      </w:r>
      <w:r>
        <w:rPr>
          <w:rFonts w:hint="eastAsia" w:ascii="Microsoft New Tai Lue" w:hAnsi="Microsoft New Tai Lue" w:cs="Microsoft New Tai Lue"/>
          <w:bCs/>
          <w:color w:val="auto"/>
          <w:szCs w:val="21"/>
          <w:highlight w:val="none"/>
        </w:rPr>
        <w:t>成员组成</w:t>
      </w:r>
      <w:r>
        <w:rPr>
          <w:rFonts w:ascii="Microsoft New Tai Lue" w:hAnsi="Microsoft New Tai Lue" w:cs="Microsoft New Tai Lue"/>
          <w:bCs/>
          <w:color w:val="auto"/>
          <w:szCs w:val="21"/>
          <w:highlight w:val="none"/>
        </w:rPr>
        <w:t>见</w:t>
      </w:r>
      <w:r>
        <w:rPr>
          <w:rFonts w:ascii="Microsoft New Tai Lue" w:hAnsi="Microsoft New Tai Lue" w:cs="Microsoft New Tai Lue"/>
          <w:b/>
          <w:bCs/>
          <w:color w:val="auto"/>
          <w:szCs w:val="21"/>
          <w:highlight w:val="none"/>
        </w:rPr>
        <w:t>投标人须知前附表</w:t>
      </w:r>
      <w:r>
        <w:rPr>
          <w:rFonts w:hint="eastAsia" w:ascii="Microsoft New Tai Lue" w:hAnsi="Microsoft New Tai Lue" w:cs="Microsoft New Tai Lue"/>
          <w:bCs/>
          <w:color w:val="auto"/>
          <w:szCs w:val="21"/>
          <w:highlight w:val="none"/>
        </w:rPr>
        <w:t>，负责具体评标事务，并独立履行职责。</w:t>
      </w:r>
    </w:p>
    <w:p w14:paraId="508594CE">
      <w:pPr>
        <w:pStyle w:val="3"/>
        <w:spacing w:line="360" w:lineRule="auto"/>
        <w:ind w:left="0" w:leftChars="0" w:right="210"/>
        <w:rPr>
          <w:rFonts w:ascii="Microsoft New Tai Lue" w:hAnsi="Microsoft New Tai Lue" w:cs="Microsoft New Tai Lue"/>
          <w:color w:val="auto"/>
          <w:highlight w:val="none"/>
        </w:rPr>
      </w:pPr>
      <w:bookmarkStart w:id="199" w:name="_Toc104560871"/>
      <w:bookmarkStart w:id="200" w:name="_Toc103848556"/>
      <w:bookmarkStart w:id="201" w:name="_Toc107246250"/>
      <w:r>
        <w:rPr>
          <w:rFonts w:ascii="Microsoft New Tai Lue" w:hAnsi="Microsoft New Tai Lue" w:cs="Microsoft New Tai Lue"/>
          <w:color w:val="auto"/>
          <w:highlight w:val="none"/>
        </w:rPr>
        <w:t>30.2</w:t>
      </w:r>
      <w:bookmarkEnd w:id="199"/>
      <w:bookmarkEnd w:id="200"/>
      <w:r>
        <w:rPr>
          <w:rFonts w:hint="eastAsia" w:ascii="Microsoft New Tai Lue" w:hAnsi="Microsoft New Tai Lue" w:cs="Microsoft New Tai Lue"/>
          <w:color w:val="auto"/>
          <w:highlight w:val="none"/>
        </w:rPr>
        <w:t>符合性审查</w:t>
      </w:r>
      <w:bookmarkEnd w:id="201"/>
      <w:r>
        <w:rPr>
          <w:rFonts w:ascii="Microsoft New Tai Lue" w:hAnsi="Microsoft New Tai Lue" w:cs="Microsoft New Tai Lue"/>
          <w:color w:val="auto"/>
          <w:highlight w:val="none"/>
        </w:rPr>
        <w:t xml:space="preserve"> </w:t>
      </w:r>
    </w:p>
    <w:p w14:paraId="4FB6F517">
      <w:pPr>
        <w:adjustRightInd w:val="0"/>
        <w:snapToGrid w:val="0"/>
        <w:spacing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3B48F0B8">
      <w:pPr>
        <w:adjustRightInd w:val="0"/>
        <w:snapToGrid w:val="0"/>
        <w:spacing w:beforeLines="50" w:line="360" w:lineRule="auto"/>
        <w:ind w:firstLine="422" w:firstLineChars="200"/>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30.2.2如果投标文件没有响应</w:t>
      </w:r>
      <w:r>
        <w:rPr>
          <w:rFonts w:hint="eastAsia" w:ascii="Microsoft New Tai Lue" w:hAnsi="Microsoft New Tai Lue" w:cs="Microsoft New Tai Lue"/>
          <w:b/>
          <w:bCs/>
          <w:color w:val="auto"/>
          <w:szCs w:val="21"/>
          <w:highlight w:val="none"/>
        </w:rPr>
        <w:t>招标</w:t>
      </w:r>
      <w:r>
        <w:rPr>
          <w:rFonts w:ascii="Microsoft New Tai Lue" w:hAnsi="Microsoft New Tai Lue" w:cs="Microsoft New Tai Lue"/>
          <w:b/>
          <w:bCs/>
          <w:color w:val="auto"/>
          <w:szCs w:val="21"/>
          <w:highlight w:val="none"/>
        </w:rPr>
        <w:t>文件</w:t>
      </w:r>
      <w:r>
        <w:rPr>
          <w:rFonts w:hint="eastAsia" w:ascii="Microsoft New Tai Lue" w:hAnsi="Microsoft New Tai Lue" w:cs="Microsoft New Tai Lue"/>
          <w:b/>
          <w:bCs/>
          <w:color w:val="auto"/>
          <w:szCs w:val="21"/>
          <w:highlight w:val="none"/>
        </w:rPr>
        <w:t>实质性</w:t>
      </w:r>
      <w:r>
        <w:rPr>
          <w:rFonts w:ascii="Microsoft New Tai Lue" w:hAnsi="Microsoft New Tai Lue" w:cs="Microsoft New Tai Lue"/>
          <w:b/>
          <w:bCs/>
          <w:color w:val="auto"/>
          <w:szCs w:val="21"/>
          <w:highlight w:val="none"/>
        </w:rPr>
        <w:t>要求，</w:t>
      </w:r>
      <w:r>
        <w:rPr>
          <w:rFonts w:hint="eastAsia" w:ascii="Microsoft New Tai Lue" w:hAnsi="Microsoft New Tai Lue" w:cs="Microsoft New Tai Lue"/>
          <w:b/>
          <w:bCs/>
          <w:color w:val="auto"/>
          <w:szCs w:val="21"/>
          <w:highlight w:val="none"/>
        </w:rPr>
        <w:t>评标委员会</w:t>
      </w:r>
      <w:r>
        <w:rPr>
          <w:rFonts w:ascii="Microsoft New Tai Lue" w:hAnsi="Microsoft New Tai Lue" w:cs="Microsoft New Tai Lue"/>
          <w:b/>
          <w:bCs/>
          <w:color w:val="auto"/>
          <w:szCs w:val="21"/>
          <w:highlight w:val="none"/>
        </w:rPr>
        <w:t>将予以拒绝，</w:t>
      </w:r>
      <w:r>
        <w:rPr>
          <w:rFonts w:hint="eastAsia" w:ascii="Microsoft New Tai Lue" w:hAnsi="Microsoft New Tai Lue" w:cs="Microsoft New Tai Lue"/>
          <w:b/>
          <w:bCs/>
          <w:color w:val="auto"/>
          <w:szCs w:val="21"/>
          <w:highlight w:val="none"/>
        </w:rPr>
        <w:t>投标人</w:t>
      </w:r>
      <w:r>
        <w:rPr>
          <w:rFonts w:ascii="Microsoft New Tai Lue" w:hAnsi="Microsoft New Tai Lue" w:cs="Microsoft New Tai Lue"/>
          <w:b/>
          <w:bCs/>
          <w:color w:val="auto"/>
          <w:szCs w:val="21"/>
          <w:highlight w:val="none"/>
        </w:rPr>
        <w:t>不得通过修改或撤销不</w:t>
      </w:r>
      <w:r>
        <w:rPr>
          <w:rFonts w:hint="eastAsia" w:ascii="Microsoft New Tai Lue" w:hAnsi="Microsoft New Tai Lue" w:cs="Microsoft New Tai Lue"/>
          <w:b/>
          <w:bCs/>
          <w:color w:val="auto"/>
          <w:szCs w:val="21"/>
          <w:highlight w:val="none"/>
          <w:lang w:val="en-US" w:eastAsia="zh-CN"/>
        </w:rPr>
        <w:t>符</w:t>
      </w:r>
      <w:r>
        <w:rPr>
          <w:rFonts w:ascii="Microsoft New Tai Lue" w:hAnsi="Microsoft New Tai Lue" w:cs="Microsoft New Tai Lue"/>
          <w:b/>
          <w:bCs/>
          <w:color w:val="auto"/>
          <w:szCs w:val="21"/>
          <w:highlight w:val="none"/>
        </w:rPr>
        <w:t>合要求的偏离或保留而使其投标成为实质性响应的投标。</w:t>
      </w:r>
    </w:p>
    <w:p w14:paraId="20AC6F45">
      <w:pPr>
        <w:adjustRightInd w:val="0"/>
        <w:snapToGrid w:val="0"/>
        <w:spacing w:beforeLines="50" w:line="360" w:lineRule="auto"/>
        <w:ind w:firstLine="422" w:firstLineChars="200"/>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30.2.3投标文件有下列情况之一的，在符合性检查时按照无效投标处理：</w:t>
      </w:r>
    </w:p>
    <w:p w14:paraId="18C5FBA6">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（1）投标人在“苏采云”系统规定的时间内未成功解密电子投标文件的；</w:t>
      </w:r>
    </w:p>
    <w:p w14:paraId="45869014">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（2）投标人未按照招标文件要求上传电子投标文件的；</w:t>
      </w:r>
    </w:p>
    <w:p w14:paraId="4A9D1ABB">
      <w:pPr>
        <w:spacing w:line="360" w:lineRule="auto"/>
        <w:ind w:firstLine="315" w:firstLineChars="150"/>
        <w:jc w:val="left"/>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（3）同一投标人提交两个（含两个）以上不同的投标报价的</w:t>
      </w:r>
      <w:r>
        <w:rPr>
          <w:rFonts w:hint="eastAsia" w:ascii="Microsoft New Tai Lue" w:hAnsi="Microsoft New Tai Lue" w:cs="Microsoft New Tai Lue"/>
          <w:color w:val="auto"/>
          <w:szCs w:val="21"/>
          <w:highlight w:val="none"/>
          <w:lang w:eastAsia="zh-CN"/>
        </w:rPr>
        <w:t>；</w:t>
      </w:r>
    </w:p>
    <w:p w14:paraId="40726280">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4</w:t>
      </w:r>
      <w:r>
        <w:rPr>
          <w:rFonts w:ascii="Microsoft New Tai Lue" w:hAnsi="Microsoft New Tai Lue" w:cs="Microsoft New Tai Lue"/>
          <w:color w:val="auto"/>
          <w:szCs w:val="21"/>
          <w:highlight w:val="none"/>
        </w:rPr>
        <w:t>）未按照招标文件规定要求签署、盖章的；</w:t>
      </w:r>
    </w:p>
    <w:p w14:paraId="7DDC3149">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5</w:t>
      </w:r>
      <w:r>
        <w:rPr>
          <w:rFonts w:ascii="Microsoft New Tai Lue" w:hAnsi="Microsoft New Tai Lue" w:cs="Microsoft New Tai Lue"/>
          <w:color w:val="auto"/>
          <w:szCs w:val="21"/>
          <w:highlight w:val="none"/>
        </w:rPr>
        <w:t>）报价超过招标文件中规定的预算金额或者最高限价的；</w:t>
      </w:r>
    </w:p>
    <w:p w14:paraId="101DCA7C">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6</w:t>
      </w:r>
      <w:r>
        <w:rPr>
          <w:rFonts w:hint="eastAsia" w:ascii="Microsoft New Tai Lue" w:hAnsi="Microsoft New Tai Lue" w:cs="Microsoft New Tai Lue"/>
          <w:color w:val="auto"/>
          <w:szCs w:val="21"/>
          <w:highlight w:val="none"/>
        </w:rPr>
        <w:t>）投标文件中承诺的投标有效期不满足招标文件中载明的投标有效期的；</w:t>
      </w:r>
    </w:p>
    <w:p w14:paraId="3BFCFD9C">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7</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未按照招标文件规定提交投标保证金的；</w:t>
      </w:r>
    </w:p>
    <w:p w14:paraId="17A5DA3A">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8</w:t>
      </w: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rPr>
        <w:t>不符合招标文件中规定的实质性要求和条件的；</w:t>
      </w:r>
    </w:p>
    <w:p w14:paraId="765D9733">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w:t>
      </w:r>
      <w:r>
        <w:rPr>
          <w:rFonts w:hint="eastAsia" w:ascii="Microsoft New Tai Lue" w:hAnsi="Microsoft New Tai Lue" w:cs="Microsoft New Tai Lue"/>
          <w:color w:val="auto"/>
          <w:szCs w:val="21"/>
          <w:highlight w:val="none"/>
          <w:lang w:val="en-US" w:eastAsia="zh-CN"/>
        </w:rPr>
        <w:t>9</w:t>
      </w:r>
      <w:r>
        <w:rPr>
          <w:rFonts w:hint="eastAsia" w:ascii="Microsoft New Tai Lue" w:hAnsi="Microsoft New Tai Lue" w:cs="Microsoft New Tai Lue"/>
          <w:color w:val="auto"/>
          <w:szCs w:val="21"/>
          <w:highlight w:val="none"/>
          <w:lang w:eastAsia="zh-CN"/>
        </w:rPr>
        <w:t>）</w:t>
      </w:r>
      <w:r>
        <w:rPr>
          <w:rFonts w:ascii="Microsoft New Tai Lue" w:hAnsi="Microsoft New Tai Lue" w:cs="Microsoft New Tai Lue"/>
          <w:color w:val="auto"/>
          <w:szCs w:val="21"/>
          <w:highlight w:val="none"/>
        </w:rPr>
        <w:t>投标文件含有采购人不能接受的附加条件的；</w:t>
      </w:r>
    </w:p>
    <w:p w14:paraId="4342BA15">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10</w:t>
      </w:r>
      <w:r>
        <w:rPr>
          <w:rFonts w:ascii="Microsoft New Tai Lue" w:hAnsi="Microsoft New Tai Lue" w:cs="Microsoft New Tai Lue"/>
          <w:color w:val="auto"/>
          <w:szCs w:val="21"/>
          <w:highlight w:val="none"/>
        </w:rPr>
        <w:t>）投标文件不符合招标文件中规定的其它实质性要求的；</w:t>
      </w:r>
    </w:p>
    <w:p w14:paraId="07346BE1">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11</w:t>
      </w:r>
      <w:r>
        <w:rPr>
          <w:rFonts w:ascii="Microsoft New Tai Lue" w:hAnsi="Microsoft New Tai Lue" w:cs="Microsoft New Tai Lue"/>
          <w:color w:val="auto"/>
          <w:szCs w:val="21"/>
          <w:highlight w:val="none"/>
        </w:rPr>
        <w:t>）现行法律、法规、规章和招标文件规定的其他无效情形。</w:t>
      </w:r>
    </w:p>
    <w:bookmarkEnd w:id="191"/>
    <w:p w14:paraId="0BA79DCB">
      <w:pPr>
        <w:pStyle w:val="3"/>
        <w:spacing w:line="360" w:lineRule="auto"/>
        <w:ind w:left="0" w:leftChars="0" w:right="210"/>
        <w:rPr>
          <w:rFonts w:ascii="Microsoft New Tai Lue" w:hAnsi="Microsoft New Tai Lue" w:cs="Microsoft New Tai Lue"/>
          <w:color w:val="auto"/>
          <w:highlight w:val="none"/>
        </w:rPr>
      </w:pPr>
      <w:bookmarkStart w:id="202" w:name="_Toc103848557"/>
      <w:bookmarkStart w:id="203" w:name="_Toc107246251"/>
      <w:bookmarkStart w:id="204" w:name="_Toc104560872"/>
      <w:r>
        <w:rPr>
          <w:rFonts w:ascii="Microsoft New Tai Lue" w:hAnsi="Microsoft New Tai Lue" w:cs="Microsoft New Tai Lue"/>
          <w:color w:val="auto"/>
          <w:highlight w:val="none"/>
        </w:rPr>
        <w:t>30.3投标文件澄清</w:t>
      </w:r>
      <w:bookmarkEnd w:id="202"/>
      <w:bookmarkEnd w:id="203"/>
      <w:bookmarkEnd w:id="204"/>
    </w:p>
    <w:p w14:paraId="0A9E50C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30.3.1对于投标文件中含义不明确、同类问题表述不一致或者有明显文字和计算错误的内容，评标委员会应当以书面形式要求投标人作出必要的澄清、说明或者补正。</w:t>
      </w:r>
    </w:p>
    <w:p w14:paraId="4B9BDD0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30.3.2投标人的澄清、说明或者补正应当采用书面形式，并加盖公章，或者由法定代表人或其授权的代表签字。投标人的澄清、说明或者补正不得超出投标文件的范围或者改变投标文件的实质性内容。</w:t>
      </w:r>
    </w:p>
    <w:p w14:paraId="15AF74B0">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30.3.3评标委员会不接受投标人主动提出的澄清、说明。</w:t>
      </w:r>
    </w:p>
    <w:p w14:paraId="469AF0D9">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30.3.4有效的书面澄清材料，是投标文件的补充材料，成为投标文件的组成部分。</w:t>
      </w:r>
    </w:p>
    <w:p w14:paraId="2E932DA6">
      <w:pPr>
        <w:spacing w:line="360" w:lineRule="auto"/>
        <w:ind w:firstLine="420" w:firstLineChars="200"/>
        <w:jc w:val="left"/>
        <w:rPr>
          <w:rFonts w:ascii="Microsoft New Tai Lue" w:hAnsi="Microsoft New Tai Lue" w:cs="Microsoft New Tai Lue"/>
          <w:color w:val="auto"/>
          <w:szCs w:val="21"/>
          <w:highlight w:val="none"/>
        </w:rPr>
      </w:pPr>
      <w:r>
        <w:rPr>
          <w:rFonts w:hint="default" w:ascii="Microsoft New Tai Lue" w:hAnsi="Microsoft New Tai Lue" w:cs="Microsoft New Tai Lue"/>
          <w:color w:val="auto"/>
          <w:szCs w:val="21"/>
          <w:highlight w:val="none"/>
        </w:rPr>
        <w:t>30.3.5</w:t>
      </w:r>
      <w:r>
        <w:rPr>
          <w:rFonts w:hint="eastAsia"/>
          <w:color w:val="auto"/>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569182C">
      <w:pPr>
        <w:pStyle w:val="3"/>
        <w:spacing w:line="360" w:lineRule="auto"/>
        <w:ind w:left="0" w:leftChars="0" w:right="210"/>
        <w:rPr>
          <w:rFonts w:ascii="Microsoft New Tai Lue" w:hAnsi="Microsoft New Tai Lue" w:cs="Microsoft New Tai Lue"/>
          <w:color w:val="auto"/>
          <w:highlight w:val="none"/>
        </w:rPr>
      </w:pPr>
      <w:bookmarkStart w:id="205" w:name="_Toc107246252"/>
      <w:r>
        <w:rPr>
          <w:rFonts w:ascii="Microsoft New Tai Lue" w:hAnsi="Microsoft New Tai Lue" w:cs="Microsoft New Tai Lue"/>
          <w:color w:val="auto"/>
          <w:highlight w:val="none"/>
        </w:rPr>
        <w:t>30.4</w:t>
      </w:r>
      <w:bookmarkEnd w:id="205"/>
      <w:r>
        <w:rPr>
          <w:rFonts w:hint="eastAsia" w:ascii="Microsoft New Tai Lue" w:hAnsi="Microsoft New Tai Lue" w:cs="Microsoft New Tai Lue"/>
          <w:color w:val="auto"/>
          <w:highlight w:val="none"/>
        </w:rPr>
        <w:t>报价修正</w:t>
      </w:r>
    </w:p>
    <w:p w14:paraId="27323C78">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30.4.1投标文件报价出现前后不一致的，除招标文件另有规定外，按照下列规定修正：</w:t>
      </w:r>
    </w:p>
    <w:p w14:paraId="6FE45F9E">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（1）投标文件中开标一览表（报价表）内容与投标文件中相应内容不一致的，以开标一览表</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报价表</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为准；</w:t>
      </w:r>
    </w:p>
    <w:p w14:paraId="3FB95B12">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（2）大写金额和小写金额不一致的，以大写金额为准；</w:t>
      </w:r>
    </w:p>
    <w:p w14:paraId="532E7322">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（3）单价金额小数点或者百分比有明显错位的，以开标一览表的总价为准，并修改单价；</w:t>
      </w:r>
    </w:p>
    <w:p w14:paraId="2DF014CE">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（4）总价金额与按单价汇总金额不一致的，以单价金额计算结果为准。</w:t>
      </w:r>
    </w:p>
    <w:p w14:paraId="2862552B">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同时出现两种以上不一致的，按照前款规定的顺序修正。修正后的报价按照上述规定经投标人确认后产生约束力，投标人不确认的，其投标无效。</w:t>
      </w:r>
    </w:p>
    <w:p w14:paraId="614BBC2E">
      <w:pPr>
        <w:pStyle w:val="3"/>
        <w:spacing w:line="360" w:lineRule="auto"/>
        <w:ind w:left="0" w:leftChars="0" w:right="210"/>
        <w:rPr>
          <w:rFonts w:ascii="Microsoft New Tai Lue" w:hAnsi="Microsoft New Tai Lue" w:cs="Microsoft New Tai Lue"/>
          <w:color w:val="auto"/>
          <w:highlight w:val="none"/>
        </w:rPr>
      </w:pPr>
      <w:bookmarkStart w:id="206" w:name="_Toc103848558"/>
      <w:bookmarkStart w:id="207" w:name="_Toc104560873"/>
      <w:bookmarkStart w:id="208" w:name="_Toc107246253"/>
      <w:r>
        <w:rPr>
          <w:rFonts w:ascii="Microsoft New Tai Lue" w:hAnsi="Microsoft New Tai Lue" w:cs="Microsoft New Tai Lue"/>
          <w:color w:val="auto"/>
          <w:highlight w:val="none"/>
        </w:rPr>
        <w:t>30.5同品牌多家投标人处理原则</w:t>
      </w:r>
      <w:bookmarkEnd w:id="206"/>
      <w:bookmarkEnd w:id="207"/>
      <w:bookmarkEnd w:id="208"/>
    </w:p>
    <w:p w14:paraId="150484B0">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02BB406">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633C44C">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30.5.3非单一产品采购项目，根据采购项目技术构成、产品价格比重等合理确定核心产品，核心产品见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。多家投标人提供的核心产品品牌相同的，按前两款规定处理。</w:t>
      </w:r>
    </w:p>
    <w:p w14:paraId="303BCD41">
      <w:pPr>
        <w:pStyle w:val="3"/>
        <w:spacing w:line="360" w:lineRule="auto"/>
        <w:ind w:left="0" w:leftChars="0" w:right="210"/>
        <w:rPr>
          <w:rFonts w:ascii="Microsoft New Tai Lue" w:hAnsi="Microsoft New Tai Lue" w:cs="Microsoft New Tai Lue"/>
          <w:color w:val="auto"/>
          <w:highlight w:val="none"/>
        </w:rPr>
      </w:pPr>
      <w:bookmarkStart w:id="209" w:name="_Toc107246254"/>
      <w:bookmarkStart w:id="210" w:name="_Toc103848559"/>
      <w:bookmarkStart w:id="211" w:name="_Toc104560874"/>
      <w:r>
        <w:rPr>
          <w:rFonts w:ascii="Microsoft New Tai Lue" w:hAnsi="Microsoft New Tai Lue" w:cs="Microsoft New Tai Lue"/>
          <w:color w:val="auto"/>
          <w:highlight w:val="none"/>
        </w:rPr>
        <w:t>30.6比较与评价</w:t>
      </w:r>
      <w:bookmarkEnd w:id="209"/>
      <w:bookmarkEnd w:id="210"/>
      <w:bookmarkEnd w:id="211"/>
    </w:p>
    <w:p w14:paraId="403154B9">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30.6.1评标委员会应当按照招标文件中</w:t>
      </w:r>
      <w:r>
        <w:rPr>
          <w:rFonts w:hint="eastAsia" w:ascii="Microsoft New Tai Lue" w:hAnsi="Microsoft New Tai Lue" w:cs="Microsoft New Tai Lue"/>
          <w:color w:val="auto"/>
          <w:szCs w:val="21"/>
          <w:highlight w:val="none"/>
        </w:rPr>
        <w:t>第五章《</w:t>
      </w:r>
      <w:r>
        <w:rPr>
          <w:rFonts w:ascii="Microsoft New Tai Lue" w:hAnsi="Microsoft New Tai Lue" w:cs="Microsoft New Tai Lue"/>
          <w:color w:val="auto"/>
          <w:szCs w:val="21"/>
          <w:highlight w:val="none"/>
        </w:rPr>
        <w:t>评标</w:t>
      </w:r>
      <w:r>
        <w:rPr>
          <w:rFonts w:hint="eastAsia" w:ascii="Microsoft New Tai Lue" w:hAnsi="Microsoft New Tai Lue" w:cs="Microsoft New Tai Lue"/>
          <w:color w:val="auto"/>
          <w:szCs w:val="21"/>
          <w:highlight w:val="none"/>
        </w:rPr>
        <w:t>方法</w:t>
      </w:r>
      <w:r>
        <w:rPr>
          <w:rFonts w:ascii="Microsoft New Tai Lue" w:hAnsi="Microsoft New Tai Lue" w:cs="Microsoft New Tai Lue"/>
          <w:color w:val="auto"/>
          <w:szCs w:val="21"/>
          <w:highlight w:val="none"/>
        </w:rPr>
        <w:t>和</w:t>
      </w:r>
      <w:r>
        <w:rPr>
          <w:rFonts w:hint="eastAsia" w:ascii="Microsoft New Tai Lue" w:hAnsi="Microsoft New Tai Lue" w:cs="Microsoft New Tai Lue"/>
          <w:color w:val="auto"/>
          <w:szCs w:val="21"/>
          <w:highlight w:val="none"/>
        </w:rPr>
        <w:t>评标</w:t>
      </w:r>
      <w:r>
        <w:rPr>
          <w:rFonts w:ascii="Microsoft New Tai Lue" w:hAnsi="Microsoft New Tai Lue" w:cs="Microsoft New Tai Lue"/>
          <w:color w:val="auto"/>
          <w:szCs w:val="21"/>
          <w:highlight w:val="none"/>
        </w:rPr>
        <w:t>标准</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，对符合性审查合格的投标文件进行比较与评价。</w:t>
      </w:r>
    </w:p>
    <w:p w14:paraId="34D086A7">
      <w:pPr>
        <w:pStyle w:val="3"/>
        <w:spacing w:line="360" w:lineRule="auto"/>
        <w:ind w:left="0" w:leftChars="0" w:right="210"/>
        <w:rPr>
          <w:rFonts w:ascii="Microsoft New Tai Lue" w:hAnsi="Microsoft New Tai Lue" w:cs="Microsoft New Tai Lue"/>
          <w:color w:val="auto"/>
          <w:highlight w:val="none"/>
        </w:rPr>
      </w:pPr>
      <w:bookmarkStart w:id="212" w:name="_Toc107246255"/>
      <w:r>
        <w:rPr>
          <w:rFonts w:ascii="Microsoft New Tai Lue" w:hAnsi="Microsoft New Tai Lue" w:cs="Microsoft New Tai Lue"/>
          <w:color w:val="auto"/>
          <w:highlight w:val="none"/>
        </w:rPr>
        <w:t>30.7</w:t>
      </w:r>
      <w:r>
        <w:rPr>
          <w:rFonts w:hint="eastAsia" w:ascii="Microsoft New Tai Lue" w:hAnsi="Microsoft New Tai Lue" w:cs="Microsoft New Tai Lue"/>
          <w:color w:val="auto"/>
          <w:highlight w:val="none"/>
        </w:rPr>
        <w:t>编写评标报告</w:t>
      </w:r>
      <w:bookmarkEnd w:id="212"/>
    </w:p>
    <w:p w14:paraId="5A0A8A66">
      <w:pPr>
        <w:spacing w:line="360" w:lineRule="auto"/>
        <w:ind w:firstLine="420" w:firstLineChars="20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0.7.1评标委员会根据全体评标成员签字的原始评标记录和评标结果编写评标报告</w:t>
      </w:r>
      <w:r>
        <w:rPr>
          <w:rFonts w:hint="eastAsia" w:ascii="Microsoft New Tai Lue" w:hAnsi="Microsoft New Tai Lue" w:cs="Microsoft New Tai Lue"/>
          <w:color w:val="auto"/>
          <w:szCs w:val="21"/>
          <w:highlight w:val="none"/>
        </w:rPr>
        <w:t>。</w:t>
      </w:r>
    </w:p>
    <w:p w14:paraId="189E476A">
      <w:pPr>
        <w:pStyle w:val="3"/>
        <w:tabs>
          <w:tab w:val="left" w:pos="5882"/>
        </w:tabs>
        <w:spacing w:line="360" w:lineRule="auto"/>
        <w:ind w:left="0" w:leftChars="0" w:right="210"/>
        <w:rPr>
          <w:rFonts w:ascii="Microsoft New Tai Lue" w:hAnsi="Microsoft New Tai Lue" w:cs="Microsoft New Tai Lue"/>
          <w:color w:val="auto"/>
          <w:highlight w:val="none"/>
        </w:rPr>
      </w:pPr>
      <w:bookmarkStart w:id="213" w:name="_Toc107246256"/>
      <w:bookmarkStart w:id="214" w:name="_Toc103848561"/>
      <w:bookmarkStart w:id="215" w:name="_Toc104560876"/>
      <w:r>
        <w:rPr>
          <w:rFonts w:ascii="Microsoft New Tai Lue" w:hAnsi="Microsoft New Tai Lue" w:cs="Microsoft New Tai Lue"/>
          <w:color w:val="auto"/>
          <w:highlight w:val="none"/>
        </w:rPr>
        <w:t>30.8评标过程的保密</w:t>
      </w:r>
      <w:bookmarkEnd w:id="213"/>
      <w:bookmarkEnd w:id="214"/>
      <w:bookmarkEnd w:id="215"/>
      <w:r>
        <w:rPr>
          <w:rFonts w:ascii="Microsoft New Tai Lue" w:hAnsi="Microsoft New Tai Lue" w:cs="Microsoft New Tai Lue"/>
          <w:color w:val="auto"/>
          <w:highlight w:val="none"/>
        </w:rPr>
        <w:tab/>
      </w:r>
    </w:p>
    <w:p w14:paraId="4ED6756D">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30.8.1</w:t>
      </w:r>
      <w:r>
        <w:rPr>
          <w:rFonts w:hint="eastAsia" w:ascii="Microsoft New Tai Lue" w:hAnsi="Microsoft New Tai Lue" w:cs="Microsoft New Tai Lue"/>
          <w:color w:val="auto"/>
          <w:szCs w:val="21"/>
          <w:highlight w:val="none"/>
        </w:rPr>
        <w:t>评标委员会成员名单在评标结果公示前应当保密。</w:t>
      </w:r>
    </w:p>
    <w:p w14:paraId="4D7276C7">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0.8.2</w:t>
      </w:r>
      <w:r>
        <w:rPr>
          <w:rFonts w:hint="eastAsia" w:ascii="Microsoft New Tai Lue" w:hAnsi="Microsoft New Tai Lue" w:cs="Microsoft New Tai Lue"/>
          <w:color w:val="auto"/>
          <w:szCs w:val="21"/>
          <w:highlight w:val="none"/>
        </w:rPr>
        <w:t>采购方应当</w:t>
      </w:r>
      <w:r>
        <w:rPr>
          <w:rFonts w:ascii="Microsoft New Tai Lue" w:hAnsi="Microsoft New Tai Lue" w:cs="Microsoft New Tai Lue"/>
          <w:color w:val="auto"/>
          <w:szCs w:val="21"/>
          <w:highlight w:val="none"/>
        </w:rPr>
        <w:t>采取必要</w:t>
      </w:r>
      <w:r>
        <w:rPr>
          <w:rFonts w:hint="eastAsia" w:ascii="Microsoft New Tai Lue" w:hAnsi="Microsoft New Tai Lue" w:cs="Microsoft New Tai Lue"/>
          <w:color w:val="auto"/>
          <w:szCs w:val="21"/>
          <w:highlight w:val="none"/>
        </w:rPr>
        <w:t>的</w:t>
      </w:r>
      <w:r>
        <w:rPr>
          <w:rFonts w:ascii="Microsoft New Tai Lue" w:hAnsi="Microsoft New Tai Lue" w:cs="Microsoft New Tai Lue"/>
          <w:color w:val="auto"/>
          <w:szCs w:val="21"/>
          <w:highlight w:val="none"/>
        </w:rPr>
        <w:t>措施，保证评标在严格保密的情况下进行。</w:t>
      </w:r>
    </w:p>
    <w:p w14:paraId="08386C06">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30.8.3</w:t>
      </w:r>
      <w:r>
        <w:rPr>
          <w:rFonts w:hint="eastAsia" w:ascii="Microsoft New Tai Lue" w:hAnsi="Microsoft New Tai Lue" w:cs="Microsoft New Tai Lue"/>
          <w:color w:val="auto"/>
          <w:szCs w:val="21"/>
          <w:highlight w:val="none"/>
        </w:rPr>
        <w:t>有关人员对评标情况以及在评标过程中获悉的国家秘密、商业秘密负有保密责任。</w:t>
      </w:r>
    </w:p>
    <w:p w14:paraId="5818B9A4">
      <w:pPr>
        <w:pStyle w:val="3"/>
        <w:spacing w:line="360" w:lineRule="auto"/>
        <w:ind w:left="0" w:leftChars="0" w:right="210"/>
        <w:rPr>
          <w:rFonts w:ascii="Microsoft New Tai Lue" w:hAnsi="Microsoft New Tai Lue" w:cs="Microsoft New Tai Lue"/>
          <w:color w:val="auto"/>
          <w:highlight w:val="none"/>
        </w:rPr>
      </w:pPr>
      <w:bookmarkStart w:id="216" w:name="_Toc107246257"/>
      <w:r>
        <w:rPr>
          <w:rFonts w:ascii="Microsoft New Tai Lue" w:hAnsi="Microsoft New Tai Lue" w:cs="Microsoft New Tai Lue"/>
          <w:color w:val="auto"/>
          <w:highlight w:val="none"/>
        </w:rPr>
        <w:t>六．</w:t>
      </w:r>
      <w:r>
        <w:rPr>
          <w:rFonts w:hint="eastAsia" w:ascii="Microsoft New Tai Lue" w:hAnsi="Microsoft New Tai Lue" w:cs="Microsoft New Tai Lue"/>
          <w:color w:val="auto"/>
          <w:highlight w:val="none"/>
        </w:rPr>
        <w:t>确定中标</w:t>
      </w:r>
      <w:bookmarkEnd w:id="216"/>
    </w:p>
    <w:p w14:paraId="381C692B">
      <w:pPr>
        <w:pStyle w:val="3"/>
        <w:spacing w:line="360" w:lineRule="auto"/>
        <w:ind w:left="0" w:leftChars="0" w:right="210"/>
        <w:rPr>
          <w:rFonts w:ascii="Microsoft New Tai Lue" w:hAnsi="Microsoft New Tai Lue" w:cs="Microsoft New Tai Lue"/>
          <w:color w:val="auto"/>
          <w:highlight w:val="none"/>
        </w:rPr>
      </w:pPr>
      <w:bookmarkStart w:id="217" w:name="_Toc104560878"/>
      <w:bookmarkStart w:id="218" w:name="_Toc103848563"/>
      <w:bookmarkStart w:id="219" w:name="_Toc107246258"/>
      <w:r>
        <w:rPr>
          <w:rFonts w:ascii="Microsoft New Tai Lue" w:hAnsi="Microsoft New Tai Lue" w:cs="Microsoft New Tai Lue"/>
          <w:color w:val="auto"/>
          <w:highlight w:val="none"/>
        </w:rPr>
        <w:t>31.确定中标</w:t>
      </w:r>
      <w:bookmarkEnd w:id="217"/>
      <w:bookmarkEnd w:id="218"/>
      <w:r>
        <w:rPr>
          <w:rFonts w:hint="eastAsia" w:ascii="Microsoft New Tai Lue" w:hAnsi="Microsoft New Tai Lue" w:cs="Microsoft New Tai Lue"/>
          <w:color w:val="auto"/>
          <w:highlight w:val="none"/>
        </w:rPr>
        <w:t>人</w:t>
      </w:r>
      <w:bookmarkEnd w:id="219"/>
    </w:p>
    <w:p w14:paraId="3C75D2E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31.1采用最低评标价法的，评标结果按投标报价由低到高顺序排列。投标报价相同的并列。投标文件满足招标文件全部实质性要求且投标报价最低的投标人为排名第一的中标候选人。</w:t>
      </w:r>
    </w:p>
    <w:p w14:paraId="0036A200">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A9363D5">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w:t>
      </w:r>
      <w:r>
        <w:rPr>
          <w:rFonts w:hint="eastAsia" w:ascii="Microsoft New Tai Lue" w:hAnsi="Microsoft New Tai Lue" w:cs="Microsoft New Tai Lue"/>
          <w:color w:val="auto"/>
          <w:szCs w:val="21"/>
          <w:highlight w:val="none"/>
        </w:rPr>
        <w:t>.3中标候选人并列的，由采购人或者采购人委托评标委员会按照</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规定的方式确定中标人。</w:t>
      </w:r>
    </w:p>
    <w:p w14:paraId="4864DB9D">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31.4评审结束后，中标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名单将省级以上财政部门指定的媒体上公告中标结果，中标公告期为1个工作日</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公告媒体</w:t>
      </w:r>
      <w:r>
        <w:rPr>
          <w:rFonts w:hint="eastAsia" w:ascii="Microsoft New Tai Lue" w:hAnsi="Microsoft New Tai Lue" w:cs="Microsoft New Tai Lue"/>
          <w:color w:val="auto"/>
          <w:szCs w:val="21"/>
          <w:highlight w:val="none"/>
        </w:rPr>
        <w:t>见</w:t>
      </w:r>
      <w:r>
        <w:rPr>
          <w:rFonts w:hint="eastAsia" w:ascii="Microsoft New Tai Lue" w:hAnsi="Microsoft New Tai Lue" w:cs="Microsoft New Tai Lue"/>
          <w:b/>
          <w:color w:val="auto"/>
          <w:szCs w:val="21"/>
          <w:highlight w:val="none"/>
        </w:rPr>
        <w:t>投标人</w:t>
      </w:r>
      <w:r>
        <w:rPr>
          <w:rFonts w:ascii="Microsoft New Tai Lue" w:hAnsi="Microsoft New Tai Lue" w:cs="Microsoft New Tai Lue"/>
          <w:b/>
          <w:color w:val="auto"/>
          <w:szCs w:val="21"/>
          <w:highlight w:val="none"/>
        </w:rPr>
        <w:t>须知</w:t>
      </w:r>
      <w:r>
        <w:rPr>
          <w:rFonts w:hint="eastAsia" w:ascii="Microsoft New Tai Lue" w:hAnsi="Microsoft New Tai Lue" w:cs="Microsoft New Tai Lue"/>
          <w:b/>
          <w:color w:val="auto"/>
          <w:szCs w:val="21"/>
          <w:highlight w:val="none"/>
        </w:rPr>
        <w:t>前附表。</w:t>
      </w:r>
    </w:p>
    <w:p w14:paraId="4E4E2ACC">
      <w:pPr>
        <w:pStyle w:val="3"/>
        <w:spacing w:line="360" w:lineRule="auto"/>
        <w:ind w:left="0" w:leftChars="0" w:right="210"/>
        <w:rPr>
          <w:rFonts w:ascii="Microsoft New Tai Lue" w:hAnsi="Microsoft New Tai Lue" w:cs="Microsoft New Tai Lue"/>
          <w:color w:val="auto"/>
          <w:highlight w:val="none"/>
        </w:rPr>
      </w:pPr>
      <w:bookmarkStart w:id="220" w:name="_Toc103848564"/>
      <w:bookmarkStart w:id="221" w:name="_Toc104560879"/>
      <w:bookmarkStart w:id="222" w:name="_Toc107246259"/>
      <w:r>
        <w:rPr>
          <w:rFonts w:ascii="Microsoft New Tai Lue" w:hAnsi="Microsoft New Tai Lue" w:cs="Microsoft New Tai Lue"/>
          <w:color w:val="auto"/>
          <w:highlight w:val="none"/>
        </w:rPr>
        <w:t>32.中标通知书</w:t>
      </w:r>
      <w:bookmarkEnd w:id="220"/>
      <w:bookmarkEnd w:id="221"/>
      <w:bookmarkEnd w:id="222"/>
    </w:p>
    <w:p w14:paraId="7568F014">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32.1采购代理机构将在中标公告发布的同时向中标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发出中标通知书。</w:t>
      </w:r>
    </w:p>
    <w:p w14:paraId="0480FF8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32.2中标通知书将是合同的组成部分。对采购人和中标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均具有法律效力。</w:t>
      </w:r>
    </w:p>
    <w:p w14:paraId="037D2045">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32.3</w:t>
      </w:r>
      <w:bookmarkStart w:id="223" w:name="_Toc103848560"/>
      <w:bookmarkStart w:id="224" w:name="_Toc104560875"/>
      <w:r>
        <w:rPr>
          <w:rFonts w:ascii="Microsoft New Tai Lue" w:hAnsi="Microsoft New Tai Lue" w:cs="Microsoft New Tai Lue"/>
          <w:color w:val="auto"/>
          <w:szCs w:val="21"/>
          <w:highlight w:val="none"/>
        </w:rPr>
        <w:t>中标通知书发出后</w:t>
      </w:r>
      <w:r>
        <w:rPr>
          <w:rFonts w:hint="eastAsia" w:ascii="Microsoft New Tai Lue" w:hAnsi="Microsoft New Tai Lue" w:cs="Microsoft New Tai Lue"/>
          <w:color w:val="auto"/>
          <w:szCs w:val="21"/>
          <w:highlight w:val="none"/>
        </w:rPr>
        <w:t>，中标人无正当理由不得放弃中标，否则将依法承担法律责任。</w:t>
      </w:r>
    </w:p>
    <w:p w14:paraId="0C41C1AA">
      <w:pPr>
        <w:pStyle w:val="3"/>
        <w:spacing w:line="360" w:lineRule="auto"/>
        <w:ind w:left="0" w:leftChars="0" w:right="210"/>
        <w:rPr>
          <w:rFonts w:ascii="Microsoft New Tai Lue" w:hAnsi="Microsoft New Tai Lue" w:cs="Microsoft New Tai Lue"/>
          <w:color w:val="auto"/>
          <w:highlight w:val="none"/>
        </w:rPr>
      </w:pPr>
      <w:bookmarkStart w:id="225" w:name="_Toc107246260"/>
      <w:r>
        <w:rPr>
          <w:rFonts w:ascii="Microsoft New Tai Lue" w:hAnsi="Microsoft New Tai Lue" w:cs="Microsoft New Tai Lue"/>
          <w:color w:val="auto"/>
          <w:highlight w:val="none"/>
        </w:rPr>
        <w:t>33.废标</w:t>
      </w:r>
      <w:bookmarkEnd w:id="223"/>
      <w:bookmarkEnd w:id="224"/>
      <w:bookmarkEnd w:id="225"/>
    </w:p>
    <w:p w14:paraId="3473369F">
      <w:pPr>
        <w:spacing w:line="360" w:lineRule="auto"/>
        <w:ind w:firstLine="316" w:firstLineChars="150"/>
        <w:jc w:val="left"/>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color w:val="auto"/>
          <w:szCs w:val="21"/>
          <w:highlight w:val="none"/>
        </w:rPr>
        <w:t>33</w:t>
      </w:r>
      <w:r>
        <w:rPr>
          <w:rFonts w:hint="eastAsia" w:ascii="Microsoft New Tai Lue" w:hAnsi="Microsoft New Tai Lue" w:cs="Microsoft New Tai Lue"/>
          <w:b/>
          <w:color w:val="auto"/>
          <w:szCs w:val="21"/>
          <w:highlight w:val="none"/>
        </w:rPr>
        <w:t>.1出现下列情形之一的，应予废标：</w:t>
      </w:r>
    </w:p>
    <w:p w14:paraId="6F4ED143">
      <w:pPr>
        <w:spacing w:line="360" w:lineRule="auto"/>
        <w:ind w:firstLine="315" w:firstLineChars="15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（1）符合专业条件的投标人或者对招标文件作实质响应的投标人不足三家的；</w:t>
      </w:r>
    </w:p>
    <w:p w14:paraId="1E95AB6B">
      <w:pPr>
        <w:spacing w:line="360" w:lineRule="auto"/>
        <w:ind w:firstLine="315" w:firstLineChars="15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（2）出现影响采购公正的违法、违规行为的；</w:t>
      </w:r>
    </w:p>
    <w:p w14:paraId="148A57B8">
      <w:pPr>
        <w:spacing w:line="360" w:lineRule="auto"/>
        <w:ind w:firstLine="315" w:firstLineChars="15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（3）投标人的报价均超过了采购预算，采购人不能支付的；</w:t>
      </w:r>
    </w:p>
    <w:p w14:paraId="0C2158F3">
      <w:pPr>
        <w:spacing w:line="360" w:lineRule="auto"/>
        <w:ind w:firstLine="315" w:firstLineChars="15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（4）因重大变故，采购任务取消的。</w:t>
      </w:r>
    </w:p>
    <w:p w14:paraId="188AE0AD">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33.2</w:t>
      </w:r>
      <w:r>
        <w:rPr>
          <w:rFonts w:hint="eastAsia" w:ascii="Microsoft New Tai Lue" w:hAnsi="Microsoft New Tai Lue" w:cs="Microsoft New Tai Lue"/>
          <w:color w:val="auto"/>
          <w:szCs w:val="21"/>
          <w:highlight w:val="none"/>
        </w:rPr>
        <w:t>废标后，采购人将废标理由通知所有投标人。</w:t>
      </w:r>
    </w:p>
    <w:p w14:paraId="42F45072">
      <w:pPr>
        <w:pStyle w:val="3"/>
        <w:spacing w:line="360" w:lineRule="auto"/>
        <w:ind w:left="0" w:leftChars="0" w:right="210"/>
        <w:rPr>
          <w:rFonts w:ascii="Microsoft New Tai Lue" w:hAnsi="Microsoft New Tai Lue" w:cs="Microsoft New Tai Lue"/>
          <w:color w:val="auto"/>
          <w:highlight w:val="none"/>
        </w:rPr>
      </w:pPr>
      <w:bookmarkStart w:id="226" w:name="_Toc107246261"/>
      <w:bookmarkStart w:id="227" w:name="_Toc104560880"/>
      <w:bookmarkStart w:id="228" w:name="_Toc103848565"/>
      <w:bookmarkStart w:id="229" w:name="_Toc513029237"/>
      <w:bookmarkStart w:id="230" w:name="_Toc16938553"/>
      <w:bookmarkStart w:id="231" w:name="_Toc20823309"/>
      <w:r>
        <w:rPr>
          <w:rFonts w:ascii="Microsoft New Tai Lue" w:hAnsi="Microsoft New Tai Lue" w:cs="Microsoft New Tai Lue"/>
          <w:color w:val="auto"/>
          <w:highlight w:val="none"/>
        </w:rPr>
        <w:t>34.签订合同</w:t>
      </w:r>
      <w:bookmarkEnd w:id="226"/>
      <w:bookmarkEnd w:id="227"/>
      <w:bookmarkEnd w:id="228"/>
    </w:p>
    <w:p w14:paraId="61815EC7">
      <w:pPr>
        <w:spacing w:line="360" w:lineRule="auto"/>
        <w:ind w:firstLine="420" w:firstLineChars="20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4.1中标人、采购人应当自中标通知书发出之日起30日内，按照招标文件和中标人投标文件的规定签订书面合同。所签订的合同不得对招标文件确定的事项和中标人投标文件作实质性修改。</w:t>
      </w:r>
    </w:p>
    <w:p w14:paraId="138160B4">
      <w:pPr>
        <w:spacing w:line="360" w:lineRule="auto"/>
        <w:ind w:firstLine="420" w:firstLineChars="20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4.2中标人</w:t>
      </w:r>
      <w:r>
        <w:rPr>
          <w:rFonts w:hint="eastAsia" w:ascii="Microsoft New Tai Lue" w:hAnsi="Microsoft New Tai Lue" w:cs="Microsoft New Tai Lue"/>
          <w:color w:val="auto"/>
          <w:szCs w:val="21"/>
          <w:highlight w:val="none"/>
        </w:rPr>
        <w:t>拒绝</w:t>
      </w:r>
      <w:r>
        <w:rPr>
          <w:rFonts w:ascii="Microsoft New Tai Lue" w:hAnsi="Microsoft New Tai Lue" w:cs="Microsoft New Tai Lue"/>
          <w:color w:val="auto"/>
          <w:szCs w:val="21"/>
          <w:highlight w:val="none"/>
        </w:rPr>
        <w:t>与采购人签订合同的，采购人</w:t>
      </w:r>
      <w:r>
        <w:rPr>
          <w:rFonts w:hint="eastAsia" w:ascii="Microsoft New Tai Lue" w:hAnsi="Microsoft New Tai Lue" w:cs="Microsoft New Tai Lue"/>
          <w:color w:val="auto"/>
          <w:szCs w:val="21"/>
          <w:highlight w:val="none"/>
        </w:rPr>
        <w:t>可以</w:t>
      </w:r>
      <w:r>
        <w:rPr>
          <w:rFonts w:ascii="Microsoft New Tai Lue" w:hAnsi="Microsoft New Tai Lue" w:cs="Microsoft New Tai Lue"/>
          <w:color w:val="auto"/>
          <w:szCs w:val="21"/>
          <w:highlight w:val="none"/>
        </w:rPr>
        <w:t>按照评</w:t>
      </w:r>
      <w:r>
        <w:rPr>
          <w:rFonts w:hint="eastAsia" w:ascii="Microsoft New Tai Lue" w:hAnsi="Microsoft New Tai Lue" w:cs="Microsoft New Tai Lue"/>
          <w:color w:val="auto"/>
          <w:szCs w:val="21"/>
          <w:highlight w:val="none"/>
        </w:rPr>
        <w:t>标</w:t>
      </w:r>
      <w:r>
        <w:rPr>
          <w:rFonts w:ascii="Microsoft New Tai Lue" w:hAnsi="Microsoft New Tai Lue" w:cs="Microsoft New Tai Lue"/>
          <w:color w:val="auto"/>
          <w:szCs w:val="21"/>
          <w:highlight w:val="none"/>
        </w:rPr>
        <w:t>报告推荐的中标候选人名单排序，确定下一候选人为中标人，</w:t>
      </w:r>
      <w:r>
        <w:rPr>
          <w:rFonts w:hint="eastAsia" w:ascii="Microsoft New Tai Lue" w:hAnsi="Microsoft New Tai Lue" w:cs="Microsoft New Tai Lue"/>
          <w:color w:val="auto"/>
          <w:szCs w:val="21"/>
          <w:highlight w:val="none"/>
        </w:rPr>
        <w:t>也可以</w:t>
      </w:r>
      <w:r>
        <w:rPr>
          <w:rFonts w:ascii="Microsoft New Tai Lue" w:hAnsi="Microsoft New Tai Lue" w:cs="Microsoft New Tai Lue"/>
          <w:color w:val="auto"/>
          <w:szCs w:val="21"/>
          <w:highlight w:val="none"/>
        </w:rPr>
        <w:t>重新开展政府采购活动。</w:t>
      </w:r>
    </w:p>
    <w:p w14:paraId="18E8D63A">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34.3联合体中标的，联合体各方应当共同与采购人签订合同，就中标项目向采购人承担连带责任。</w:t>
      </w:r>
    </w:p>
    <w:p w14:paraId="63C576DC">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34.4</w:t>
      </w:r>
      <w:r>
        <w:rPr>
          <w:rFonts w:hint="eastAsia" w:ascii="Microsoft New Tai Lue" w:hAnsi="Microsoft New Tai Lue" w:cs="Microsoft New Tai Lue"/>
          <w:color w:val="auto"/>
          <w:szCs w:val="21"/>
          <w:highlight w:val="none"/>
        </w:rPr>
        <w:t>政府采购合同不能转包</w:t>
      </w:r>
      <w:r>
        <w:rPr>
          <w:rFonts w:ascii="Microsoft New Tai Lue" w:hAnsi="Microsoft New Tai Lue" w:cs="Microsoft New Tai Lue"/>
          <w:color w:val="auto"/>
          <w:szCs w:val="21"/>
          <w:highlight w:val="none"/>
        </w:rPr>
        <w:t>。未经采购人同意，中标人也不得采用分包的形式履行合同，否则采购人有权终止合同。转包或分包造成采购人损失的，中标人应承担相应赔偿责任。</w:t>
      </w:r>
    </w:p>
    <w:p w14:paraId="6B30775C">
      <w:pPr>
        <w:pStyle w:val="3"/>
        <w:spacing w:line="360" w:lineRule="auto"/>
        <w:ind w:left="0" w:leftChars="0" w:right="210"/>
        <w:rPr>
          <w:rFonts w:ascii="Microsoft New Tai Lue" w:hAnsi="Microsoft New Tai Lue" w:cs="Microsoft New Tai Lue"/>
          <w:color w:val="auto"/>
          <w:szCs w:val="21"/>
          <w:highlight w:val="none"/>
        </w:rPr>
      </w:pPr>
      <w:bookmarkStart w:id="232" w:name="_Toc103848567"/>
      <w:bookmarkStart w:id="233" w:name="_Toc107246262"/>
      <w:bookmarkStart w:id="234" w:name="_Toc104560881"/>
      <w:r>
        <w:rPr>
          <w:rFonts w:ascii="Microsoft New Tai Lue" w:hAnsi="Microsoft New Tai Lue" w:cs="Microsoft New Tai Lue"/>
          <w:color w:val="auto"/>
          <w:szCs w:val="21"/>
          <w:highlight w:val="none"/>
        </w:rPr>
        <w:t>35.履约保证金</w:t>
      </w:r>
      <w:bookmarkEnd w:id="232"/>
      <w:bookmarkEnd w:id="233"/>
      <w:bookmarkEnd w:id="234"/>
    </w:p>
    <w:p w14:paraId="1C0A38DF">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35.1本项目是否缴纳履约保证金见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07ECA59A">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35.2</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规定交纳履约保证金的，中标人在签订采购合同前，向采购人提交履约保证金。联合体成交的，履约保证金以联合体各方或联合体中牵头人的名义提交。</w:t>
      </w:r>
    </w:p>
    <w:p w14:paraId="0D4359E4">
      <w:pPr>
        <w:spacing w:line="360" w:lineRule="auto"/>
        <w:ind w:firstLine="422" w:firstLineChars="200"/>
        <w:jc w:val="left"/>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color w:val="auto"/>
          <w:szCs w:val="21"/>
          <w:highlight w:val="none"/>
        </w:rPr>
        <w:t>35.3中标人没有按照</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的规定提交履约保证金的，视为放弃中标，其投标保证金不予退还。</w:t>
      </w:r>
    </w:p>
    <w:bookmarkEnd w:id="229"/>
    <w:bookmarkEnd w:id="230"/>
    <w:bookmarkEnd w:id="231"/>
    <w:p w14:paraId="76CA7C7D">
      <w:pPr>
        <w:pStyle w:val="3"/>
        <w:spacing w:line="360" w:lineRule="auto"/>
        <w:ind w:left="0" w:leftChars="0" w:right="210"/>
        <w:rPr>
          <w:rFonts w:ascii="Microsoft New Tai Lue" w:hAnsi="Microsoft New Tai Lue" w:cs="Microsoft New Tai Lue"/>
          <w:color w:val="auto"/>
          <w:highlight w:val="none"/>
        </w:rPr>
      </w:pPr>
      <w:bookmarkStart w:id="235" w:name="_Toc107246263"/>
      <w:r>
        <w:rPr>
          <w:rFonts w:ascii="Microsoft New Tai Lue" w:hAnsi="Microsoft New Tai Lue" w:cs="Microsoft New Tai Lue"/>
          <w:color w:val="auto"/>
          <w:highlight w:val="none"/>
        </w:rPr>
        <w:t>七．</w:t>
      </w:r>
      <w:bookmarkStart w:id="236" w:name="_Toc103848569"/>
      <w:r>
        <w:rPr>
          <w:rFonts w:hint="eastAsia" w:ascii="Microsoft New Tai Lue" w:hAnsi="Microsoft New Tai Lue" w:cs="Microsoft New Tai Lue"/>
          <w:color w:val="auto"/>
          <w:highlight w:val="none"/>
        </w:rPr>
        <w:t>询问与质疑</w:t>
      </w:r>
      <w:bookmarkEnd w:id="235"/>
    </w:p>
    <w:bookmarkEnd w:id="236"/>
    <w:p w14:paraId="633CDFC4">
      <w:pPr>
        <w:pStyle w:val="3"/>
        <w:spacing w:line="360" w:lineRule="auto"/>
        <w:ind w:left="0" w:leftChars="0" w:right="210"/>
        <w:rPr>
          <w:rFonts w:ascii="Microsoft New Tai Lue" w:hAnsi="Microsoft New Tai Lue" w:cs="Microsoft New Tai Lue"/>
          <w:color w:val="auto"/>
          <w:szCs w:val="21"/>
          <w:highlight w:val="none"/>
        </w:rPr>
      </w:pPr>
      <w:bookmarkStart w:id="237" w:name="_Toc104560883"/>
      <w:bookmarkStart w:id="238" w:name="_Toc102117305"/>
      <w:bookmarkStart w:id="239" w:name="_Toc107246264"/>
      <w:r>
        <w:rPr>
          <w:rFonts w:ascii="Microsoft New Tai Lue" w:hAnsi="Microsoft New Tai Lue" w:cs="Microsoft New Tai Lue"/>
          <w:color w:val="auto"/>
          <w:szCs w:val="21"/>
          <w:highlight w:val="none"/>
        </w:rPr>
        <w:t>36.询问</w:t>
      </w:r>
      <w:bookmarkEnd w:id="237"/>
      <w:bookmarkEnd w:id="238"/>
      <w:bookmarkEnd w:id="239"/>
    </w:p>
    <w:p w14:paraId="5BF94C15">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36.1</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对政府采购活动事项有疑问的，可依法提出询问，并按</w:t>
      </w:r>
      <w:r>
        <w:rPr>
          <w:rFonts w:hint="eastAsia" w:ascii="Microsoft New Tai Lue" w:hAnsi="Microsoft New Tai Lue" w:cs="Microsoft New Tai Lue"/>
          <w:b/>
          <w:color w:val="auto"/>
          <w:szCs w:val="21"/>
          <w:highlight w:val="none"/>
        </w:rPr>
        <w:t>投标人</w:t>
      </w:r>
      <w:r>
        <w:rPr>
          <w:rFonts w:ascii="Microsoft New Tai Lue" w:hAnsi="Microsoft New Tai Lue" w:cs="Microsoft New Tai Lue"/>
          <w:b/>
          <w:color w:val="auto"/>
          <w:szCs w:val="21"/>
          <w:highlight w:val="none"/>
        </w:rPr>
        <w:t>须知前附表</w:t>
      </w:r>
      <w:r>
        <w:rPr>
          <w:rFonts w:ascii="Microsoft New Tai Lue" w:hAnsi="Microsoft New Tai Lue" w:cs="Microsoft New Tai Lue"/>
          <w:color w:val="auto"/>
          <w:szCs w:val="21"/>
          <w:highlight w:val="none"/>
        </w:rPr>
        <w:t>载明的形式通知采购方。</w:t>
      </w:r>
    </w:p>
    <w:p w14:paraId="27D77F6D">
      <w:pPr>
        <w:spacing w:line="360" w:lineRule="auto"/>
        <w:ind w:firstLine="420" w:firstLineChars="200"/>
        <w:jc w:val="left"/>
        <w:rPr>
          <w:color w:val="auto"/>
          <w:szCs w:val="21"/>
          <w:highlight w:val="none"/>
        </w:rPr>
      </w:pPr>
      <w:r>
        <w:rPr>
          <w:rFonts w:ascii="Microsoft New Tai Lue" w:hAnsi="Microsoft New Tai Lue" w:cs="Microsoft New Tai Lue"/>
          <w:color w:val="auto"/>
          <w:szCs w:val="21"/>
          <w:highlight w:val="none"/>
        </w:rPr>
        <w:t>36.2采购方对</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依法提出的询问，在3个工作日内作出答复，但答复的内容不得涉及商</w:t>
      </w:r>
      <w:r>
        <w:rPr>
          <w:color w:val="auto"/>
          <w:szCs w:val="21"/>
          <w:highlight w:val="none"/>
        </w:rPr>
        <w:t>业秘密。</w:t>
      </w:r>
    </w:p>
    <w:p w14:paraId="00515673">
      <w:pPr>
        <w:pStyle w:val="3"/>
        <w:spacing w:line="360" w:lineRule="auto"/>
        <w:ind w:left="0" w:leftChars="0" w:right="210"/>
        <w:rPr>
          <w:rFonts w:ascii="Microsoft New Tai Lue" w:hAnsi="Microsoft New Tai Lue" w:cs="Microsoft New Tai Lue"/>
          <w:color w:val="auto"/>
          <w:szCs w:val="21"/>
          <w:highlight w:val="none"/>
        </w:rPr>
      </w:pPr>
      <w:bookmarkStart w:id="240" w:name="_Toc107246265"/>
      <w:bookmarkStart w:id="241" w:name="_Toc104560884"/>
      <w:bookmarkStart w:id="242" w:name="_Toc102117306"/>
      <w:r>
        <w:rPr>
          <w:rFonts w:ascii="Microsoft New Tai Lue" w:hAnsi="Microsoft New Tai Lue" w:cs="Microsoft New Tai Lue"/>
          <w:color w:val="auto"/>
          <w:szCs w:val="21"/>
          <w:highlight w:val="none"/>
        </w:rPr>
        <w:t>37.质疑</w:t>
      </w:r>
      <w:bookmarkEnd w:id="240"/>
      <w:bookmarkEnd w:id="241"/>
      <w:bookmarkEnd w:id="242"/>
    </w:p>
    <w:p w14:paraId="68E91121">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37.1</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投标人</w:t>
      </w:r>
      <w:r>
        <w:rPr>
          <w:rFonts w:ascii="Microsoft New Tai Lue" w:hAnsi="Microsoft New Tai Lue" w:cs="Microsoft New Tai Lue"/>
          <w:b/>
          <w:color w:val="auto"/>
          <w:szCs w:val="21"/>
          <w:highlight w:val="none"/>
        </w:rPr>
        <w:t>须知前附表</w:t>
      </w:r>
      <w:r>
        <w:rPr>
          <w:rFonts w:ascii="Microsoft New Tai Lue" w:hAnsi="Microsoft New Tai Lue" w:cs="Microsoft New Tai Lue"/>
          <w:color w:val="auto"/>
          <w:szCs w:val="21"/>
          <w:highlight w:val="none"/>
        </w:rPr>
        <w:t>的要求向采购方提出质疑。采购方将以书面形式答复质疑供应商，但答复的内容不涉及商业秘密。</w:t>
      </w:r>
      <w:r>
        <w:rPr>
          <w:rFonts w:hint="eastAsia" w:ascii="Microsoft New Tai Lue" w:hAnsi="Microsoft New Tai Lue" w:cs="Microsoft New Tai Lue"/>
          <w:color w:val="auto"/>
          <w:szCs w:val="21"/>
          <w:highlight w:val="none"/>
        </w:rPr>
        <w:t>投标人</w:t>
      </w:r>
      <w:r>
        <w:rPr>
          <w:rFonts w:ascii="Microsoft New Tai Lue" w:hAnsi="Microsoft New Tai Lue" w:cs="Microsoft New Tai Lue"/>
          <w:color w:val="auto"/>
          <w:szCs w:val="21"/>
          <w:highlight w:val="none"/>
        </w:rPr>
        <w:t>在法定质疑期内针对同一采购程序环节的质疑必须一次性提出。</w:t>
      </w:r>
    </w:p>
    <w:p w14:paraId="2539961E">
      <w:pPr>
        <w:spacing w:line="360" w:lineRule="auto"/>
        <w:ind w:firstLine="420" w:firstLineChars="20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7</w:t>
      </w:r>
      <w:r>
        <w:rPr>
          <w:rFonts w:hint="eastAsia" w:ascii="Microsoft New Tai Lue" w:hAnsi="Microsoft New Tai Lue" w:cs="Microsoft New Tai Lue"/>
          <w:color w:val="auto"/>
          <w:szCs w:val="21"/>
          <w:highlight w:val="none"/>
        </w:rPr>
        <w:t>.2</w:t>
      </w:r>
      <w:r>
        <w:rPr>
          <w:rFonts w:ascii="Microsoft New Tai Lue" w:hAnsi="Microsoft New Tai Lue" w:cs="Microsoft New Tai Lue"/>
          <w:color w:val="auto"/>
          <w:szCs w:val="21"/>
          <w:highlight w:val="none"/>
        </w:rPr>
        <w:t>以联合体形式参加</w:t>
      </w:r>
      <w:r>
        <w:rPr>
          <w:rFonts w:hint="eastAsia" w:ascii="Microsoft New Tai Lue" w:hAnsi="Microsoft New Tai Lue" w:cs="Microsoft New Tai Lue"/>
          <w:color w:val="auto"/>
          <w:szCs w:val="21"/>
          <w:highlight w:val="none"/>
        </w:rPr>
        <w:t>投标</w:t>
      </w:r>
      <w:r>
        <w:rPr>
          <w:rFonts w:ascii="Microsoft New Tai Lue" w:hAnsi="Microsoft New Tai Lue" w:cs="Microsoft New Tai Lue"/>
          <w:color w:val="auto"/>
          <w:szCs w:val="21"/>
          <w:highlight w:val="none"/>
        </w:rPr>
        <w:t>的，应当由组成联合体的所有供应商共同提出</w:t>
      </w:r>
      <w:r>
        <w:rPr>
          <w:rFonts w:hint="eastAsia" w:ascii="Microsoft New Tai Lue" w:hAnsi="Microsoft New Tai Lue" w:cs="Microsoft New Tai Lue"/>
          <w:color w:val="auto"/>
          <w:szCs w:val="21"/>
          <w:highlight w:val="none"/>
        </w:rPr>
        <w:t>。</w:t>
      </w:r>
    </w:p>
    <w:p w14:paraId="668E7A72">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37.</w:t>
      </w: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质疑函</w:t>
      </w:r>
      <w:r>
        <w:rPr>
          <w:rFonts w:hint="eastAsia" w:ascii="Microsoft New Tai Lue" w:hAnsi="Microsoft New Tai Lue" w:cs="Microsoft New Tai Lue"/>
          <w:color w:val="auto"/>
          <w:szCs w:val="21"/>
          <w:highlight w:val="none"/>
        </w:rPr>
        <w:t>应</w:t>
      </w:r>
      <w:r>
        <w:rPr>
          <w:rFonts w:ascii="Microsoft New Tai Lue" w:hAnsi="Microsoft New Tai Lue" w:cs="Microsoft New Tai Lue"/>
          <w:color w:val="auto"/>
          <w:szCs w:val="21"/>
          <w:highlight w:val="none"/>
        </w:rPr>
        <w:t>使用财政部制定的范本文件。</w:t>
      </w:r>
    </w:p>
    <w:p w14:paraId="7C075AE1">
      <w:pPr>
        <w:pStyle w:val="3"/>
        <w:spacing w:line="360" w:lineRule="auto"/>
        <w:ind w:left="0" w:leftChars="0" w:right="210"/>
        <w:rPr>
          <w:rFonts w:ascii="Microsoft New Tai Lue" w:hAnsi="Microsoft New Tai Lue" w:cs="Microsoft New Tai Lue"/>
          <w:color w:val="auto"/>
          <w:highlight w:val="none"/>
        </w:rPr>
      </w:pPr>
      <w:bookmarkStart w:id="243" w:name="_Toc107246266"/>
      <w:r>
        <w:rPr>
          <w:rFonts w:ascii="Microsoft New Tai Lue" w:hAnsi="Microsoft New Tai Lue" w:cs="Microsoft New Tai Lue"/>
          <w:color w:val="auto"/>
          <w:highlight w:val="none"/>
        </w:rPr>
        <w:t>八．其他</w:t>
      </w:r>
      <w:bookmarkEnd w:id="243"/>
    </w:p>
    <w:p w14:paraId="3A8D0834">
      <w:pPr>
        <w:pStyle w:val="3"/>
        <w:spacing w:line="360" w:lineRule="auto"/>
        <w:ind w:left="0" w:leftChars="0" w:right="210"/>
        <w:rPr>
          <w:rFonts w:ascii="Microsoft New Tai Lue" w:hAnsi="Microsoft New Tai Lue" w:cs="Microsoft New Tai Lue"/>
          <w:color w:val="auto"/>
          <w:szCs w:val="21"/>
          <w:highlight w:val="none"/>
        </w:rPr>
      </w:pPr>
      <w:bookmarkStart w:id="244" w:name="_Toc103848572"/>
      <w:bookmarkStart w:id="245" w:name="_Toc107246267"/>
      <w:bookmarkStart w:id="246" w:name="_Toc104560886"/>
      <w:r>
        <w:rPr>
          <w:rFonts w:ascii="Microsoft New Tai Lue" w:hAnsi="Microsoft New Tai Lue" w:cs="Microsoft New Tai Lue"/>
          <w:color w:val="auto"/>
          <w:szCs w:val="21"/>
          <w:highlight w:val="none"/>
        </w:rPr>
        <w:t>38.招标代理服务费</w:t>
      </w:r>
      <w:bookmarkEnd w:id="244"/>
      <w:bookmarkEnd w:id="245"/>
      <w:bookmarkEnd w:id="246"/>
    </w:p>
    <w:p w14:paraId="0AFA5CC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38.1中标人是否交纳招标代理服务费及相关要求见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4D1A3D1A">
      <w:pPr>
        <w:pStyle w:val="3"/>
        <w:spacing w:line="360" w:lineRule="auto"/>
        <w:ind w:left="0" w:leftChars="0" w:right="210"/>
        <w:rPr>
          <w:rFonts w:ascii="Microsoft New Tai Lue" w:hAnsi="Microsoft New Tai Lue" w:cs="Microsoft New Tai Lue"/>
          <w:color w:val="auto"/>
          <w:szCs w:val="21"/>
          <w:highlight w:val="none"/>
        </w:rPr>
      </w:pPr>
      <w:bookmarkStart w:id="247" w:name="_Toc107246268"/>
      <w:bookmarkStart w:id="248" w:name="_Toc104560887"/>
      <w:bookmarkStart w:id="249" w:name="_Toc103848573"/>
      <w:r>
        <w:rPr>
          <w:rFonts w:ascii="Microsoft New Tai Lue" w:hAnsi="Microsoft New Tai Lue" w:cs="Microsoft New Tai Lue"/>
          <w:color w:val="auto"/>
          <w:szCs w:val="21"/>
          <w:highlight w:val="none"/>
        </w:rPr>
        <w:t>39.其他规定</w:t>
      </w:r>
      <w:bookmarkEnd w:id="247"/>
      <w:bookmarkEnd w:id="248"/>
      <w:bookmarkEnd w:id="249"/>
    </w:p>
    <w:p w14:paraId="0099D740">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39.1投标文件的其他规定见</w:t>
      </w:r>
      <w:r>
        <w:rPr>
          <w:rFonts w:ascii="Microsoft New Tai Lue" w:hAnsi="Microsoft New Tai Lue" w:cs="Microsoft New Tai Lue"/>
          <w:b/>
          <w:color w:val="auto"/>
          <w:szCs w:val="21"/>
          <w:highlight w:val="none"/>
        </w:rPr>
        <w:t>投标人须知前附</w:t>
      </w:r>
      <w:r>
        <w:rPr>
          <w:rFonts w:ascii="Microsoft New Tai Lue" w:hAnsi="Microsoft New Tai Lue" w:cs="Microsoft New Tai Lue"/>
          <w:color w:val="auto"/>
          <w:szCs w:val="21"/>
          <w:highlight w:val="none"/>
        </w:rPr>
        <w:t>表。</w:t>
      </w:r>
    </w:p>
    <w:p w14:paraId="02AE4ABA">
      <w:pPr>
        <w:pStyle w:val="3"/>
        <w:spacing w:line="360" w:lineRule="auto"/>
        <w:ind w:left="0" w:leftChars="0" w:right="210"/>
        <w:rPr>
          <w:rFonts w:ascii="Microsoft New Tai Lue" w:hAnsi="Microsoft New Tai Lue" w:cs="Microsoft New Tai Lue"/>
          <w:color w:val="auto"/>
          <w:szCs w:val="21"/>
          <w:highlight w:val="none"/>
        </w:rPr>
      </w:pPr>
      <w:bookmarkStart w:id="250" w:name="_Toc104560888"/>
      <w:bookmarkStart w:id="251" w:name="_Toc107246269"/>
      <w:bookmarkStart w:id="252" w:name="_Toc103848574"/>
      <w:r>
        <w:rPr>
          <w:rFonts w:ascii="Microsoft New Tai Lue" w:hAnsi="Microsoft New Tai Lue" w:cs="Microsoft New Tai Lue"/>
          <w:color w:val="auto"/>
          <w:szCs w:val="21"/>
          <w:highlight w:val="none"/>
        </w:rPr>
        <w:t>40.文件解释权</w:t>
      </w:r>
      <w:bookmarkEnd w:id="250"/>
      <w:bookmarkEnd w:id="251"/>
      <w:bookmarkEnd w:id="252"/>
    </w:p>
    <w:p w14:paraId="2B53D011">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40.1本招标文件的解释权归采购人（或采购代理机构）所有。</w:t>
      </w:r>
    </w:p>
    <w:bookmarkEnd w:id="36"/>
    <w:p w14:paraId="5C8FC92E">
      <w:pPr>
        <w:pStyle w:val="32"/>
        <w:rPr>
          <w:rFonts w:ascii="Microsoft New Tai Lue" w:hAnsi="Microsoft New Tai Lue" w:cs="Microsoft New Tai Lue"/>
          <w:color w:val="auto"/>
          <w:highlight w:val="none"/>
        </w:rPr>
      </w:pPr>
      <w:bookmarkStart w:id="253" w:name="_Toc91836563"/>
      <w:r>
        <w:rPr>
          <w:rFonts w:ascii="Microsoft New Tai Lue" w:hAnsi="Microsoft New Tai Lue" w:cs="Microsoft New Tai Lue"/>
          <w:color w:val="auto"/>
          <w:highlight w:val="none"/>
        </w:rPr>
        <w:br w:type="page"/>
      </w:r>
      <w:bookmarkStart w:id="254" w:name="_Toc107246270"/>
      <w:r>
        <w:rPr>
          <w:rFonts w:ascii="Microsoft New Tai Lue" w:hAnsi="Microsoft New Tai Lue" w:cs="Microsoft New Tai Lue"/>
          <w:color w:val="auto"/>
          <w:highlight w:val="none"/>
        </w:rPr>
        <w:t>第三章 政府采购合同条款</w:t>
      </w:r>
      <w:bookmarkEnd w:id="253"/>
      <w:r>
        <w:rPr>
          <w:rFonts w:ascii="Microsoft New Tai Lue" w:hAnsi="Microsoft New Tai Lue" w:cs="Microsoft New Tai Lue"/>
          <w:color w:val="auto"/>
          <w:highlight w:val="none"/>
        </w:rPr>
        <w:t>及格式</w:t>
      </w:r>
      <w:bookmarkEnd w:id="254"/>
    </w:p>
    <w:p w14:paraId="1C22704D">
      <w:pPr>
        <w:pStyle w:val="13"/>
        <w:spacing w:line="560" w:lineRule="exact"/>
        <w:jc w:val="center"/>
        <w:rPr>
          <w:rFonts w:hint="eastAsia" w:ascii="方正小标宋_GBK" w:hAnsi="方正小标宋_GBK" w:eastAsia="方正小标宋_GBK" w:cs="方正小标宋_GBK"/>
          <w:b w:val="0"/>
          <w:bCs w:val="0"/>
          <w:color w:val="auto"/>
          <w:sz w:val="44"/>
          <w:szCs w:val="44"/>
          <w:highlight w:val="none"/>
        </w:rPr>
      </w:pPr>
      <w:bookmarkStart w:id="255" w:name="_Toc43902853"/>
      <w:bookmarkEnd w:id="255"/>
      <w:bookmarkStart w:id="256" w:name="_Hlk170913060"/>
    </w:p>
    <w:p w14:paraId="4F0EF923">
      <w:pPr>
        <w:pStyle w:val="13"/>
        <w:spacing w:line="56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江苏省市场监督管理局食品安全抽检监测服务合同（国抽）</w:t>
      </w:r>
    </w:p>
    <w:p w14:paraId="6BB6BCF4">
      <w:pPr>
        <w:pStyle w:val="13"/>
        <w:spacing w:line="560" w:lineRule="exact"/>
        <w:jc w:val="left"/>
        <w:rPr>
          <w:rFonts w:hint="eastAsia" w:ascii="宋体" w:hAnsi="宋体" w:eastAsia="宋体" w:cs="宋体"/>
          <w:color w:val="auto"/>
          <w:sz w:val="21"/>
          <w:szCs w:val="21"/>
          <w:highlight w:val="none"/>
        </w:rPr>
      </w:pPr>
    </w:p>
    <w:p w14:paraId="1AA86539">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1．本合同是根据《中华人民共和国民法典》和江苏省市场监督管理局有关规定制定，旨在加强对项目的管理，保证项目实施。</w:t>
      </w:r>
    </w:p>
    <w:p w14:paraId="1AB5CB79">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2．本合同由江苏省市场监督管理局（简称甲方）和项目受托方负责人（简称乙方）共同签订。</w:t>
      </w:r>
    </w:p>
    <w:p w14:paraId="4ACBDD84">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3．本合同未尽事项，可由当事人附页另行约定，并作为本合同的组成部分。</w:t>
      </w:r>
    </w:p>
    <w:p w14:paraId="361BCD88">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4．当事人使用本合同时约定无需填写的条款，应在该条款处注明“无”等字样。</w:t>
      </w:r>
    </w:p>
    <w:p w14:paraId="4FACBEE3">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eastAsia="方正仿宋_GBK"/>
          <w:b w:val="0"/>
          <w:bCs w:val="0"/>
          <w:color w:val="auto"/>
          <w:sz w:val="32"/>
          <w:szCs w:val="32"/>
          <w:highlight w:val="none"/>
        </w:rPr>
        <w:sectPr>
          <w:footerReference r:id="rId4" w:type="default"/>
          <w:pgSz w:w="11905" w:h="16838"/>
          <w:pgMar w:top="1440" w:right="1803" w:bottom="1440" w:left="1803" w:header="850" w:footer="992" w:gutter="0"/>
          <w:pgBorders>
            <w:top w:val="none" w:sz="0" w:space="0"/>
            <w:left w:val="none" w:sz="0" w:space="0"/>
            <w:bottom w:val="none" w:sz="0" w:space="0"/>
            <w:right w:val="none" w:sz="0" w:space="0"/>
          </w:pgBorders>
          <w:pgNumType w:fmt="decimal"/>
          <w:cols w:space="0" w:num="1"/>
          <w:rtlGutter w:val="0"/>
          <w:docGrid w:type="lines" w:linePitch="317" w:charSpace="0"/>
        </w:sectPr>
      </w:pPr>
      <w:r>
        <w:rPr>
          <w:rFonts w:hint="eastAsia" w:ascii="宋体" w:hAnsi="宋体" w:eastAsia="宋体" w:cs="宋体"/>
          <w:b w:val="0"/>
          <w:bCs w:val="0"/>
          <w:color w:val="auto"/>
          <w:sz w:val="21"/>
          <w:szCs w:val="21"/>
          <w:highlight w:val="none"/>
        </w:rPr>
        <w:t>5．本合同一式叁份，具有同等法律效力，甲方贰份、乙方壹份。</w:t>
      </w:r>
    </w:p>
    <w:p w14:paraId="53C8A1C0">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p>
    <w:p w14:paraId="0C1CBB20">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pacing w:val="-28"/>
          <w:sz w:val="21"/>
          <w:szCs w:val="21"/>
          <w:highlight w:val="none"/>
          <w:u w:val="single"/>
          <w:lang w:val="en-US" w:eastAsia="zh-CN"/>
        </w:rPr>
      </w:pPr>
      <w:r>
        <w:rPr>
          <w:rFonts w:hint="eastAsia" w:ascii="宋体" w:hAnsi="宋体" w:eastAsia="宋体" w:cs="宋体"/>
          <w:b w:val="0"/>
          <w:bCs w:val="0"/>
          <w:color w:val="auto"/>
          <w:sz w:val="21"/>
          <w:szCs w:val="21"/>
          <w:highlight w:val="none"/>
        </w:rPr>
        <w:t>项目名称：</w:t>
      </w:r>
      <w:r>
        <w:rPr>
          <w:rFonts w:hint="eastAsia" w:ascii="宋体" w:hAnsi="宋体" w:eastAsia="宋体" w:cs="宋体"/>
          <w:b w:val="0"/>
          <w:bCs w:val="0"/>
          <w:color w:val="auto"/>
          <w:sz w:val="21"/>
          <w:szCs w:val="21"/>
          <w:highlight w:val="none"/>
          <w:u w:val="single"/>
          <w:lang w:val="en-US" w:eastAsia="zh-CN"/>
        </w:rPr>
        <w:t xml:space="preserve">                                      </w:t>
      </w:r>
    </w:p>
    <w:p w14:paraId="60E5218A">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rPr>
        <w:t>项目编号：</w:t>
      </w:r>
      <w:r>
        <w:rPr>
          <w:rFonts w:hint="eastAsia" w:ascii="宋体" w:hAnsi="宋体" w:eastAsia="宋体" w:cs="宋体"/>
          <w:b w:val="0"/>
          <w:bCs w:val="0"/>
          <w:color w:val="auto"/>
          <w:sz w:val="21"/>
          <w:szCs w:val="21"/>
          <w:highlight w:val="none"/>
          <w:u w:val="single"/>
          <w:lang w:val="en-US" w:eastAsia="zh-CN"/>
        </w:rPr>
        <w:t xml:space="preserve">                    </w:t>
      </w:r>
    </w:p>
    <w:p w14:paraId="6568AAFA">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项目委托单位（甲方）：江苏省市场监督管理局</w:t>
      </w:r>
      <w:r>
        <w:rPr>
          <w:rFonts w:hint="eastAsia" w:ascii="宋体" w:hAnsi="宋体" w:eastAsia="宋体" w:cs="宋体"/>
          <w:b w:val="0"/>
          <w:bCs w:val="0"/>
          <w:color w:val="auto"/>
          <w:sz w:val="21"/>
          <w:szCs w:val="21"/>
          <w:highlight w:val="none"/>
        </w:rPr>
        <w:tab/>
      </w:r>
    </w:p>
    <w:p w14:paraId="1F85D007">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地址：南京市鼓楼区草场门大街107号</w:t>
      </w:r>
    </w:p>
    <w:p w14:paraId="29AEBCD4">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邮编：210036</w:t>
      </w:r>
    </w:p>
    <w:p w14:paraId="28BAF315">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甲方负责人：</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p>
    <w:p w14:paraId="1E17856D">
      <w:pPr>
        <w:pageBreakBefore w:val="0"/>
        <w:widowControl w:val="0"/>
        <w:kinsoku/>
        <w:wordWrap/>
        <w:overflowPunct/>
        <w:topLinePunct w:val="0"/>
        <w:autoSpaceDE/>
        <w:autoSpaceDN/>
        <w:bidi w:val="0"/>
        <w:adjustRightInd/>
        <w:spacing w:line="360" w:lineRule="auto"/>
        <w:ind w:left="0"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联系电话：</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  </w:t>
      </w:r>
    </w:p>
    <w:p w14:paraId="1D98FD0B">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p>
    <w:p w14:paraId="23491AFC">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项目承担单位（乙方）：</w:t>
      </w:r>
      <w:r>
        <w:rPr>
          <w:rFonts w:hint="eastAsia" w:ascii="宋体" w:hAnsi="宋体" w:eastAsia="宋体" w:cs="宋体"/>
          <w:b w:val="0"/>
          <w:bCs w:val="0"/>
          <w:color w:val="auto"/>
          <w:sz w:val="21"/>
          <w:szCs w:val="21"/>
          <w:highlight w:val="none"/>
          <w:u w:val="single"/>
        </w:rPr>
        <w:t xml:space="preserve">                                      </w:t>
      </w:r>
    </w:p>
    <w:p w14:paraId="52EC294E">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color w:val="auto"/>
          <w:sz w:val="21"/>
          <w:szCs w:val="21"/>
          <w:highlight w:val="none"/>
          <w:u w:val="single"/>
        </w:rPr>
        <w:t xml:space="preserve">                                                      </w:t>
      </w:r>
    </w:p>
    <w:p w14:paraId="6BC65DEE">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单位开户名：</w:t>
      </w:r>
      <w:r>
        <w:rPr>
          <w:rFonts w:hint="eastAsia" w:ascii="宋体" w:hAnsi="宋体" w:eastAsia="宋体" w:cs="宋体"/>
          <w:b w:val="0"/>
          <w:bCs w:val="0"/>
          <w:color w:val="auto"/>
          <w:sz w:val="21"/>
          <w:szCs w:val="21"/>
          <w:highlight w:val="none"/>
          <w:u w:val="single"/>
        </w:rPr>
        <w:t xml:space="preserve">                                                </w:t>
      </w:r>
    </w:p>
    <w:p w14:paraId="6A80021F">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开户银行（全称）：</w:t>
      </w:r>
      <w:r>
        <w:rPr>
          <w:rFonts w:hint="eastAsia" w:ascii="宋体" w:hAnsi="宋体" w:eastAsia="宋体" w:cs="宋体"/>
          <w:b w:val="0"/>
          <w:bCs w:val="0"/>
          <w:color w:val="auto"/>
          <w:sz w:val="21"/>
          <w:szCs w:val="21"/>
          <w:highlight w:val="none"/>
          <w:u w:val="single"/>
        </w:rPr>
        <w:t xml:space="preserve">                                          </w:t>
      </w:r>
    </w:p>
    <w:p w14:paraId="46D14399">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银行账号：</w:t>
      </w:r>
      <w:r>
        <w:rPr>
          <w:rFonts w:hint="eastAsia" w:ascii="宋体" w:hAnsi="宋体" w:eastAsia="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   </w:t>
      </w:r>
    </w:p>
    <w:p w14:paraId="2A0D38B2">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乙方负责人：</w:t>
      </w:r>
      <w:r>
        <w:rPr>
          <w:rFonts w:hint="eastAsia" w:ascii="宋体" w:hAnsi="宋体" w:eastAsia="宋体" w:cs="宋体"/>
          <w:b w:val="0"/>
          <w:bCs w:val="0"/>
          <w:color w:val="auto"/>
          <w:sz w:val="21"/>
          <w:szCs w:val="21"/>
          <w:highlight w:val="none"/>
          <w:u w:val="single"/>
        </w:rPr>
        <w:t xml:space="preserve">            </w:t>
      </w:r>
    </w:p>
    <w:p w14:paraId="051C4B89">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u w:val="single"/>
        </w:rPr>
      </w:pPr>
      <w:r>
        <w:rPr>
          <w:rFonts w:hint="eastAsia" w:ascii="宋体" w:hAnsi="宋体" w:cs="宋体"/>
          <w:b w:val="0"/>
          <w:bCs w:val="0"/>
          <w:color w:val="auto"/>
          <w:sz w:val="21"/>
          <w:szCs w:val="21"/>
          <w:highlight w:val="none"/>
          <w:lang w:val="en-US" w:eastAsia="zh-CN"/>
        </w:rPr>
        <w:t>联系</w:t>
      </w:r>
      <w:r>
        <w:rPr>
          <w:rFonts w:hint="eastAsia" w:ascii="宋体" w:hAnsi="宋体" w:eastAsia="宋体" w:cs="宋体"/>
          <w:b w:val="0"/>
          <w:bCs w:val="0"/>
          <w:color w:val="auto"/>
          <w:sz w:val="21"/>
          <w:szCs w:val="21"/>
          <w:highlight w:val="none"/>
        </w:rPr>
        <w:t>电话：</w:t>
      </w:r>
      <w:r>
        <w:rPr>
          <w:rFonts w:hint="eastAsia" w:ascii="宋体" w:hAnsi="宋体" w:eastAsia="宋体" w:cs="宋体"/>
          <w:b w:val="0"/>
          <w:bCs w:val="0"/>
          <w:color w:val="auto"/>
          <w:sz w:val="21"/>
          <w:szCs w:val="21"/>
          <w:highlight w:val="none"/>
          <w:u w:val="single"/>
        </w:rPr>
        <w:t xml:space="preserve">              </w:t>
      </w:r>
    </w:p>
    <w:p w14:paraId="61E3DB5E">
      <w:pPr>
        <w:pStyle w:val="13"/>
        <w:pageBreakBefore w:val="0"/>
        <w:widowControl w:val="0"/>
        <w:kinsoku/>
        <w:wordWrap/>
        <w:overflowPunct/>
        <w:topLinePunct w:val="0"/>
        <w:autoSpaceDE/>
        <w:autoSpaceDN/>
        <w:bidi w:val="0"/>
        <w:adjustRightInd/>
        <w:spacing w:after="0" w:line="360" w:lineRule="auto"/>
        <w:ind w:left="0" w:firstLine="420" w:firstLineChars="200"/>
        <w:jc w:val="left"/>
        <w:textAlignment w:val="auto"/>
        <w:rPr>
          <w:rFonts w:hint="eastAsia" w:ascii="宋体" w:hAnsi="宋体" w:eastAsia="宋体" w:cs="宋体"/>
          <w:b w:val="0"/>
          <w:bCs w:val="0"/>
          <w:color w:val="auto"/>
          <w:sz w:val="21"/>
          <w:szCs w:val="21"/>
          <w:highlight w:val="none"/>
        </w:rPr>
        <w:sectPr>
          <w:footerReference r:id="rId5" w:type="default"/>
          <w:footerReference r:id="rId6" w:type="even"/>
          <w:pgSz w:w="11905" w:h="16838"/>
          <w:pgMar w:top="1440" w:right="1803" w:bottom="1440" w:left="1803" w:header="850" w:footer="992" w:gutter="0"/>
          <w:pgBorders>
            <w:top w:val="none" w:sz="0" w:space="0"/>
            <w:left w:val="none" w:sz="0" w:space="0"/>
            <w:bottom w:val="none" w:sz="0" w:space="0"/>
            <w:right w:val="none" w:sz="0" w:space="0"/>
          </w:pgBorders>
          <w:pgNumType w:fmt="decimal"/>
          <w:cols w:space="0" w:num="1"/>
          <w:rtlGutter w:val="0"/>
          <w:docGrid w:type="lines" w:linePitch="317" w:charSpace="0"/>
        </w:sectPr>
      </w:pPr>
    </w:p>
    <w:p w14:paraId="69E86BDB">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双方经过平等协商，在真实、充分地表达各自意愿的基础上，根据《中华人民共和国民法典》合同编的规定，签订本合同，并由双方共同恪守：</w:t>
      </w:r>
    </w:p>
    <w:p w14:paraId="25BF64A4">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一、服务内容</w:t>
      </w:r>
    </w:p>
    <w:p w14:paraId="7B740598">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（一）抽检地区、类型及批次: </w:t>
      </w:r>
      <w:r>
        <w:rPr>
          <w:rFonts w:hint="eastAsia" w:ascii="宋体" w:hAnsi="宋体" w:eastAsia="宋体" w:cs="宋体"/>
          <w:b w:val="0"/>
          <w:bCs w:val="0"/>
          <w:color w:val="auto"/>
          <w:sz w:val="21"/>
          <w:szCs w:val="21"/>
          <w:highlight w:val="none"/>
          <w:u w:val="single"/>
        </w:rPr>
        <w:t xml:space="preserve">                                               </w:t>
      </w:r>
    </w:p>
    <w:p w14:paraId="54FC8A0A">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（二）抽检对象：根据</w:t>
      </w:r>
      <w:r>
        <w:rPr>
          <w:rFonts w:hint="eastAsia" w:ascii="宋体" w:hAnsi="宋体" w:eastAsia="宋体" w:cs="宋体"/>
          <w:b w:val="0"/>
          <w:bCs w:val="0"/>
          <w:sz w:val="21"/>
          <w:szCs w:val="21"/>
          <w:lang w:val="en-US" w:eastAsia="zh-CN"/>
        </w:rPr>
        <w:t>江苏</w:t>
      </w:r>
      <w:r>
        <w:rPr>
          <w:rFonts w:hint="eastAsia" w:ascii="宋体" w:hAnsi="宋体" w:eastAsia="宋体" w:cs="宋体"/>
          <w:b w:val="0"/>
          <w:bCs w:val="0"/>
          <w:sz w:val="21"/>
          <w:szCs w:val="21"/>
        </w:rPr>
        <w:t>省市场</w:t>
      </w:r>
      <w:r>
        <w:rPr>
          <w:rFonts w:hint="eastAsia" w:ascii="宋体" w:hAnsi="宋体" w:eastAsia="宋体" w:cs="宋体"/>
          <w:b w:val="0"/>
          <w:bCs w:val="0"/>
          <w:sz w:val="21"/>
          <w:szCs w:val="21"/>
          <w:lang w:val="en-US" w:eastAsia="zh-CN"/>
        </w:rPr>
        <w:t>监督管理局</w:t>
      </w:r>
      <w:r>
        <w:rPr>
          <w:rFonts w:hint="eastAsia" w:ascii="宋体" w:hAnsi="宋体" w:eastAsia="宋体" w:cs="宋体"/>
          <w:b w:val="0"/>
          <w:bCs w:val="0"/>
          <w:color w:val="auto"/>
          <w:sz w:val="21"/>
          <w:szCs w:val="21"/>
          <w:highlight w:val="none"/>
        </w:rPr>
        <w:t>食品安全抽检任务安排及相关要求确定。</w:t>
      </w:r>
    </w:p>
    <w:p w14:paraId="2B76AEE2">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（三）抽检任务：</w:t>
      </w:r>
      <w:r>
        <w:rPr>
          <w:rFonts w:hint="eastAsia" w:ascii="宋体" w:hAnsi="宋体" w:eastAsia="宋体" w:cs="宋体"/>
          <w:b w:val="0"/>
          <w:bCs w:val="0"/>
          <w:color w:val="auto"/>
          <w:sz w:val="21"/>
          <w:szCs w:val="21"/>
          <w:highlight w:val="none"/>
          <w:u w:val="single"/>
        </w:rPr>
        <w:t xml:space="preserve">                                                           </w:t>
      </w:r>
    </w:p>
    <w:p w14:paraId="05533F9C">
      <w:pPr>
        <w:pStyle w:val="13"/>
        <w:pageBreakBefore w:val="0"/>
        <w:widowControl w:val="0"/>
        <w:kinsoku/>
        <w:wordWrap/>
        <w:overflowPunct/>
        <w:topLinePunct w:val="0"/>
        <w:autoSpaceDE/>
        <w:autoSpaceDN/>
        <w:bidi w:val="0"/>
        <w:adjustRightInd/>
        <w:snapToGrid w:val="0"/>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（四）抽检要求：乙方根据甲方相关要求完成抽检样品的抽样、运输、储存以及检验工作，按时上报检验数据，并对抽检质量负责。</w:t>
      </w:r>
    </w:p>
    <w:p w14:paraId="2A552554">
      <w:pPr>
        <w:pStyle w:val="13"/>
        <w:pageBreakBefore w:val="0"/>
        <w:widowControl w:val="0"/>
        <w:kinsoku/>
        <w:wordWrap/>
        <w:overflowPunct/>
        <w:topLinePunct w:val="0"/>
        <w:autoSpaceDE/>
        <w:autoSpaceDN/>
        <w:bidi w:val="0"/>
        <w:adjustRightInd/>
        <w:snapToGrid w:val="0"/>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（五）检验报告：乙方严格按照法律法规规定及甲方相关要求进行检验，并对出具的检验报告负责。</w:t>
      </w:r>
    </w:p>
    <w:p w14:paraId="7F6F649D">
      <w:pPr>
        <w:pStyle w:val="13"/>
        <w:pageBreakBefore w:val="0"/>
        <w:widowControl w:val="0"/>
        <w:kinsoku/>
        <w:wordWrap/>
        <w:overflowPunct/>
        <w:topLinePunct w:val="0"/>
        <w:autoSpaceDE/>
        <w:autoSpaceDN/>
        <w:bidi w:val="0"/>
        <w:adjustRightInd/>
        <w:snapToGrid w:val="0"/>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（六）抽检及结果报送时限要求：乙方按照法律法规规定及甲方相关要求进行报送。</w:t>
      </w:r>
    </w:p>
    <w:p w14:paraId="749B126D">
      <w:pPr>
        <w:pStyle w:val="13"/>
        <w:pageBreakBefore w:val="0"/>
        <w:widowControl w:val="0"/>
        <w:kinsoku/>
        <w:wordWrap/>
        <w:overflowPunct/>
        <w:topLinePunct w:val="0"/>
        <w:autoSpaceDE/>
        <w:autoSpaceDN/>
        <w:bidi w:val="0"/>
        <w:adjustRightInd/>
        <w:snapToGrid w:val="0"/>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（七）项目验收：甲方对乙方抽检工作完成进度和完成质量、检验结果和检验报告的规范性等进行审查验收。</w:t>
      </w:r>
    </w:p>
    <w:p w14:paraId="40FB359E">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二、甲方的权利和义务</w:t>
      </w:r>
    </w:p>
    <w:p w14:paraId="6DD1B9A8">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（一）负责工作任务的下达和资金</w:t>
      </w:r>
      <w:r>
        <w:rPr>
          <w:rFonts w:hint="eastAsia" w:ascii="宋体" w:hAnsi="宋体" w:eastAsia="宋体" w:cs="宋体"/>
          <w:b w:val="0"/>
          <w:bCs w:val="0"/>
          <w:sz w:val="21"/>
          <w:szCs w:val="21"/>
        </w:rPr>
        <w:t>的及时</w:t>
      </w:r>
      <w:r>
        <w:rPr>
          <w:rFonts w:hint="eastAsia" w:ascii="宋体" w:hAnsi="宋体" w:eastAsia="宋体" w:cs="宋体"/>
          <w:b w:val="0"/>
          <w:bCs w:val="0"/>
          <w:color w:val="auto"/>
          <w:sz w:val="21"/>
          <w:szCs w:val="21"/>
          <w:highlight w:val="none"/>
        </w:rPr>
        <w:t>拨付。</w:t>
      </w:r>
    </w:p>
    <w:p w14:paraId="355B92D7">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（二）提供食品安全抽检工作中涉及的非标准检验方法。</w:t>
      </w:r>
    </w:p>
    <w:p w14:paraId="68B17E19">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（三）提供抽检工作所需相关文书。</w:t>
      </w:r>
    </w:p>
    <w:p w14:paraId="3C1AA073">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（四）对乙方完成任务情况及抽检工作质量进行检查考核，并依规定采取相应的处理措施。</w:t>
      </w:r>
    </w:p>
    <w:p w14:paraId="1DE65244">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三、乙方的权利和义务</w:t>
      </w:r>
    </w:p>
    <w:p w14:paraId="64F2A813">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（一）按照法律法规及《食品安全抽样检验管理办法》的规定规范开展食品安全抽检</w:t>
      </w:r>
      <w:r>
        <w:rPr>
          <w:rFonts w:hint="eastAsia" w:ascii="宋体" w:hAnsi="宋体" w:cs="宋体"/>
          <w:b w:val="0"/>
          <w:bCs w:val="0"/>
          <w:color w:val="auto"/>
          <w:sz w:val="21"/>
          <w:szCs w:val="21"/>
          <w:highlight w:val="none"/>
          <w:lang w:val="en-US" w:eastAsia="zh-CN"/>
        </w:rPr>
        <w:t>检验</w:t>
      </w:r>
      <w:r>
        <w:rPr>
          <w:rFonts w:hint="eastAsia" w:ascii="宋体" w:hAnsi="宋体" w:eastAsia="宋体" w:cs="宋体"/>
          <w:b w:val="0"/>
          <w:bCs w:val="0"/>
          <w:color w:val="auto"/>
          <w:sz w:val="21"/>
          <w:szCs w:val="21"/>
          <w:highlight w:val="none"/>
        </w:rPr>
        <w:t>任务。遵守工作规定及相关要求，确保具备所承担抽检任务涉及食品以及检验项目的检验能力和相关资质（非标准检验方法除外），能够对检验结论进行准确判定。本合同范围的抽样检验服务，应由乙方直接供应，不得转让他人供应；乙方不得租赁或借用他人检验设备完成所承担的抽检任务。未经甲方书面同意，不得分包。</w:t>
      </w:r>
    </w:p>
    <w:p w14:paraId="462FFBB1">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（二）具备保证完成抽检</w:t>
      </w:r>
      <w:r>
        <w:rPr>
          <w:rFonts w:hint="eastAsia" w:ascii="宋体" w:hAnsi="宋体" w:eastAsia="宋体" w:cs="宋体"/>
          <w:b w:val="0"/>
          <w:bCs w:val="0"/>
          <w:sz w:val="21"/>
          <w:szCs w:val="21"/>
        </w:rPr>
        <w:t>检验</w:t>
      </w:r>
      <w:r>
        <w:rPr>
          <w:rFonts w:hint="eastAsia" w:ascii="宋体" w:hAnsi="宋体" w:eastAsia="宋体" w:cs="宋体"/>
          <w:b w:val="0"/>
          <w:bCs w:val="0"/>
          <w:color w:val="auto"/>
          <w:sz w:val="21"/>
          <w:szCs w:val="21"/>
          <w:highlight w:val="none"/>
        </w:rPr>
        <w:t>任务所需的仪器设备、实验室环境、技术人员等工作条件，并在任务实施过程中予以保持。</w:t>
      </w:r>
    </w:p>
    <w:p w14:paraId="496BAA6D">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（三）按照甲方要求，及时完成符合要求的抽样地点、抽检单位类型的样品采集工作。</w:t>
      </w:r>
    </w:p>
    <w:p w14:paraId="2FF6BAF6">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（四）拥有安全有效的实验室信息化管理系统和信息分析汇总人员，保证按时完成高质量的食品安全抽检数据上报工作。</w:t>
      </w:r>
    </w:p>
    <w:p w14:paraId="607F80C8">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五）按时上报样品信息、如实报告检验结果和抽检工作总结。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以及其他重大异常情况等），应当按照甲方相关要求及时报告。</w:t>
      </w:r>
    </w:p>
    <w:p w14:paraId="0F278340">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（六）严格遵守甲方关于抽检工作各环节的时间</w:t>
      </w:r>
      <w:r>
        <w:rPr>
          <w:rFonts w:hint="eastAsia" w:ascii="宋体" w:hAnsi="宋体" w:eastAsia="宋体" w:cs="宋体"/>
          <w:b w:val="0"/>
          <w:bCs w:val="0"/>
          <w:sz w:val="21"/>
          <w:szCs w:val="21"/>
        </w:rPr>
        <w:t>进度</w:t>
      </w:r>
      <w:r>
        <w:rPr>
          <w:rFonts w:hint="eastAsia" w:ascii="宋体" w:hAnsi="宋体" w:eastAsia="宋体" w:cs="宋体"/>
          <w:b w:val="0"/>
          <w:bCs w:val="0"/>
          <w:color w:val="auto"/>
          <w:sz w:val="21"/>
          <w:szCs w:val="21"/>
          <w:highlight w:val="none"/>
        </w:rPr>
        <w:t>安排，及时将检验报告和规定的材料及有关情况报送甲方。对于无法按时上报的情况要事先向甲方书面说明情况。</w:t>
      </w:r>
    </w:p>
    <w:p w14:paraId="37F7140C">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（七）按时完成所承担任务抽检数据的小结分析工作，及时提交至任务牵头机构，牵头机构做好分析总结并按照甲方要求报告。</w:t>
      </w:r>
    </w:p>
    <w:p w14:paraId="5A42739F">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（八）按照经费使用的各项规定进行资金的管理，严格按预算开支范围列支，专款专用，提高资金使用有效性。</w:t>
      </w:r>
    </w:p>
    <w:p w14:paraId="2E54DBE7">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bookmarkStart w:id="257" w:name="OLE_LINK1"/>
      <w:r>
        <w:rPr>
          <w:rFonts w:hint="eastAsia" w:ascii="宋体" w:hAnsi="宋体" w:eastAsia="宋体" w:cs="宋体"/>
          <w:b w:val="0"/>
          <w:bCs w:val="0"/>
          <w:color w:val="auto"/>
          <w:sz w:val="21"/>
          <w:szCs w:val="21"/>
          <w:highlight w:val="none"/>
        </w:rPr>
        <w:t>（</w:t>
      </w:r>
      <w:r>
        <w:rPr>
          <w:rFonts w:hint="eastAsia" w:ascii="宋体" w:hAnsi="宋体" w:cs="宋体"/>
          <w:b w:val="0"/>
          <w:bCs w:val="0"/>
          <w:color w:val="auto"/>
          <w:sz w:val="21"/>
          <w:szCs w:val="21"/>
          <w:highlight w:val="none"/>
          <w:lang w:val="en-US" w:eastAsia="zh-CN"/>
        </w:rPr>
        <w:t>九</w:t>
      </w:r>
      <w:r>
        <w:rPr>
          <w:rFonts w:hint="eastAsia" w:ascii="宋体" w:hAnsi="宋体" w:eastAsia="宋体" w:cs="宋体"/>
          <w:b w:val="0"/>
          <w:bCs w:val="0"/>
          <w:color w:val="auto"/>
          <w:sz w:val="21"/>
          <w:szCs w:val="21"/>
          <w:highlight w:val="none"/>
        </w:rPr>
        <w:t>）</w:t>
      </w:r>
      <w:bookmarkEnd w:id="257"/>
      <w:r>
        <w:rPr>
          <w:rFonts w:hint="eastAsia" w:ascii="宋体" w:hAnsi="宋体" w:eastAsia="宋体" w:cs="宋体"/>
          <w:b w:val="0"/>
          <w:bCs w:val="0"/>
          <w:color w:val="auto"/>
          <w:sz w:val="21"/>
          <w:szCs w:val="21"/>
          <w:highlight w:val="none"/>
        </w:rPr>
        <w:t>接受甲方对抽检工作质量和经费使用情况的监督检查和考核。</w:t>
      </w:r>
    </w:p>
    <w:p w14:paraId="36809CC2">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（十）检验报告出具单位名称应与投标法人单位一致，不一致时，需提供报告出具单位合法性证明材料，以及与投标法人单位之间的关系证明。</w:t>
      </w:r>
    </w:p>
    <w:p w14:paraId="51FFA12C">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（十一）严格遵守法律法规的规定和抽检工作有关纪律要求。</w:t>
      </w:r>
    </w:p>
    <w:p w14:paraId="3A53014C">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1、不得在开展抽样工作前事先通知被抽检食品生产经营单位；</w:t>
      </w:r>
    </w:p>
    <w:p w14:paraId="7FD55DBA">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2、不得以承担抽检任务的名义向被抽检食品生产经营单位和其他单位承揽业务；</w:t>
      </w:r>
    </w:p>
    <w:p w14:paraId="5ED017A7">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3、在承担抽检任务期间，不与食品生产经营单位签订同类食品的有偿服务协议及其它与本单位利益相关的工作；</w:t>
      </w:r>
    </w:p>
    <w:p w14:paraId="480D5F9C">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4、不得接受被抽检企业的馈赠，不发生利用抽检工作牟取利益的其它行为；</w:t>
      </w:r>
    </w:p>
    <w:p w14:paraId="7C6BF2B0">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5、开展抽检工作，不得收取被抽检食品生产经营单位费用；</w:t>
      </w:r>
    </w:p>
    <w:p w14:paraId="223E440C">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6、不得以各种形式利用抽检结果参与有偿活动，不开展食品推荐、评比活动，不向受检食品生产经营单位发放抽检合格证书或牌匾；</w:t>
      </w:r>
    </w:p>
    <w:p w14:paraId="563A80F2">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7、如与食品生产、经营企业存在股权、期权持有或被持有关系，或与食品生产经营企业存在长期有偿服务合同等可能影响食品安全抽检公平、公正情况的，应向甲方报告并主动回避相应食品大类的抽检工作。</w:t>
      </w:r>
    </w:p>
    <w:p w14:paraId="50F2A20B">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8、遵守保密纪律要求。未经甲方同意，不得以任何方式向被抽检食品生产经营单位或其他单位、人员以及公众透露任何与检验任务、检验结果有关的信息。</w:t>
      </w:r>
    </w:p>
    <w:p w14:paraId="555E75C8">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（十</w:t>
      </w:r>
      <w:r>
        <w:rPr>
          <w:rFonts w:hint="eastAsia" w:ascii="宋体" w:hAnsi="宋体" w:cs="宋体"/>
          <w:b w:val="0"/>
          <w:bCs w:val="0"/>
          <w:color w:val="auto"/>
          <w:sz w:val="21"/>
          <w:szCs w:val="21"/>
          <w:highlight w:val="none"/>
          <w:lang w:val="en-US" w:eastAsia="zh-CN"/>
        </w:rPr>
        <w:t>二</w:t>
      </w:r>
      <w:r>
        <w:rPr>
          <w:rFonts w:hint="eastAsia" w:ascii="宋体" w:hAnsi="宋体" w:eastAsia="宋体" w:cs="宋体"/>
          <w:b w:val="0"/>
          <w:bCs w:val="0"/>
          <w:color w:val="auto"/>
          <w:sz w:val="21"/>
          <w:szCs w:val="21"/>
          <w:highlight w:val="none"/>
        </w:rPr>
        <w:t>）未经甲方同意，不得单方面拒绝或放弃履行承检义务。</w:t>
      </w:r>
    </w:p>
    <w:p w14:paraId="5E5D0190">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四、合同金额</w:t>
      </w:r>
    </w:p>
    <w:p w14:paraId="459E42ED">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合同</w:t>
      </w:r>
      <w:r>
        <w:rPr>
          <w:rFonts w:hint="eastAsia" w:ascii="宋体" w:hAnsi="宋体" w:cs="宋体"/>
          <w:b w:val="0"/>
          <w:bCs w:val="0"/>
          <w:color w:val="auto"/>
          <w:sz w:val="21"/>
          <w:szCs w:val="21"/>
          <w:highlight w:val="none"/>
          <w:lang w:val="en-US" w:eastAsia="zh-CN"/>
        </w:rPr>
        <w:t>金额</w:t>
      </w:r>
      <w:r>
        <w:rPr>
          <w:rFonts w:hint="eastAsia" w:ascii="宋体" w:hAnsi="宋体" w:eastAsia="宋体" w:cs="宋体"/>
          <w:b w:val="0"/>
          <w:bCs w:val="0"/>
          <w:color w:val="auto"/>
          <w:sz w:val="21"/>
          <w:szCs w:val="21"/>
          <w:highlight w:val="none"/>
        </w:rPr>
        <w:t>为</w:t>
      </w:r>
      <w:r>
        <w:rPr>
          <w:rFonts w:hint="eastAsia" w:ascii="宋体" w:hAnsi="宋体" w:eastAsia="宋体" w:cs="宋体"/>
          <w:b w:val="0"/>
          <w:bCs w:val="0"/>
          <w:sz w:val="21"/>
          <w:szCs w:val="21"/>
          <w:lang w:val="en-US" w:eastAsia="zh-CN"/>
        </w:rPr>
        <w:t>中标金额：人民币</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元</w:t>
      </w:r>
      <w:r>
        <w:rPr>
          <w:rFonts w:hint="eastAsia" w:ascii="宋体" w:hAnsi="宋体" w:eastAsia="宋体" w:cs="宋体"/>
          <w:b w:val="0"/>
          <w:bCs w:val="0"/>
          <w:sz w:val="21"/>
          <w:szCs w:val="21"/>
          <w:lang w:val="en-US" w:eastAsia="zh-CN"/>
        </w:rPr>
        <w:t>整</w:t>
      </w:r>
      <w:r>
        <w:rPr>
          <w:rFonts w:hint="eastAsia" w:ascii="宋体" w:hAnsi="宋体" w:eastAsia="宋体" w:cs="宋体"/>
          <w:b w:val="0"/>
          <w:bCs w:val="0"/>
          <w:color w:val="auto"/>
          <w:sz w:val="21"/>
          <w:szCs w:val="21"/>
          <w:highlight w:val="none"/>
        </w:rPr>
        <w:t>。</w:t>
      </w:r>
    </w:p>
    <w:p w14:paraId="64FA19A8">
      <w:pPr>
        <w:pageBreakBefore w:val="0"/>
        <w:widowControl w:val="0"/>
        <w:numPr>
          <w:ilvl w:val="0"/>
          <w:numId w:val="0"/>
        </w:numPr>
        <w:kinsoku/>
        <w:wordWrap/>
        <w:overflowPunct/>
        <w:topLinePunct w:val="0"/>
        <w:autoSpaceDE/>
        <w:autoSpaceDN/>
        <w:bidi w:val="0"/>
        <w:adjustRightIn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五、</w:t>
      </w:r>
      <w:r>
        <w:rPr>
          <w:rFonts w:hint="eastAsia" w:ascii="宋体" w:hAnsi="宋体" w:eastAsia="宋体" w:cs="宋体"/>
          <w:color w:val="auto"/>
          <w:sz w:val="21"/>
          <w:szCs w:val="21"/>
          <w:highlight w:val="none"/>
        </w:rPr>
        <w:t>项目验收</w:t>
      </w:r>
    </w:p>
    <w:p w14:paraId="6968742C">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1、验收主体：甲方组织开展项目验收。</w:t>
      </w:r>
    </w:p>
    <w:p w14:paraId="252EC4C0">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2、验收时间：在约定的服务内容全部完成后。</w:t>
      </w:r>
    </w:p>
    <w:p w14:paraId="277AF5F8">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3、验收方式：包括但不限于甲方召开项目验收会、要求乙方提供自查报告、审阅书面证明材料等。</w:t>
      </w:r>
    </w:p>
    <w:p w14:paraId="56AFF23E">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4、验收评价：包括但不限于尾款结算、下阶段招标等。</w:t>
      </w:r>
    </w:p>
    <w:p w14:paraId="3A07A54F">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5、验收程序：按照验收</w:t>
      </w:r>
      <w:r>
        <w:rPr>
          <w:rFonts w:hint="eastAsia" w:ascii="宋体" w:hAnsi="宋体" w:eastAsia="宋体" w:cs="宋体"/>
          <w:color w:val="000000" w:themeColor="text1"/>
          <w:sz w:val="21"/>
          <w:szCs w:val="21"/>
          <w14:textFill>
            <w14:solidFill>
              <w14:schemeClr w14:val="tx1"/>
            </w14:solidFill>
          </w14:textFill>
        </w:rPr>
        <w:t>通知</w:t>
      </w:r>
      <w:r>
        <w:rPr>
          <w:rFonts w:hint="eastAsia" w:ascii="宋体" w:hAnsi="宋体" w:eastAsia="宋体" w:cs="宋体"/>
          <w:color w:val="auto"/>
          <w:sz w:val="21"/>
          <w:szCs w:val="21"/>
          <w:highlight w:val="none"/>
        </w:rPr>
        <w:t>、机构自查、</w:t>
      </w:r>
      <w:r>
        <w:rPr>
          <w:rFonts w:hint="eastAsia" w:ascii="宋体" w:hAnsi="宋体" w:eastAsia="宋体" w:cs="宋体"/>
          <w:color w:val="000000" w:themeColor="text1"/>
          <w:sz w:val="21"/>
          <w:szCs w:val="21"/>
          <w14:textFill>
            <w14:solidFill>
              <w14:schemeClr w14:val="tx1"/>
            </w14:solidFill>
          </w14:textFill>
        </w:rPr>
        <w:t>报告提交、</w:t>
      </w:r>
      <w:r>
        <w:rPr>
          <w:rFonts w:hint="eastAsia" w:ascii="宋体" w:hAnsi="宋体" w:eastAsia="宋体" w:cs="宋体"/>
          <w:color w:val="auto"/>
          <w:sz w:val="21"/>
          <w:szCs w:val="21"/>
          <w:highlight w:val="none"/>
        </w:rPr>
        <w:t>验收评审、</w:t>
      </w:r>
      <w:r>
        <w:rPr>
          <w:rFonts w:hint="eastAsia" w:ascii="宋体" w:hAnsi="宋体" w:eastAsia="宋体" w:cs="宋体"/>
          <w:color w:val="000000" w:themeColor="text1"/>
          <w:sz w:val="21"/>
          <w:szCs w:val="21"/>
          <w14:textFill>
            <w14:solidFill>
              <w14:schemeClr w14:val="tx1"/>
            </w14:solidFill>
          </w14:textFill>
        </w:rPr>
        <w:t>作出</w:t>
      </w:r>
      <w:r>
        <w:rPr>
          <w:rFonts w:hint="eastAsia" w:ascii="宋体" w:hAnsi="宋体" w:eastAsia="宋体" w:cs="宋体"/>
          <w:color w:val="auto"/>
          <w:sz w:val="21"/>
          <w:szCs w:val="21"/>
          <w:highlight w:val="none"/>
        </w:rPr>
        <w:t>评价、</w:t>
      </w:r>
      <w:r>
        <w:rPr>
          <w:rFonts w:hint="eastAsia" w:ascii="宋体" w:hAnsi="宋体" w:eastAsia="宋体" w:cs="宋体"/>
          <w:color w:val="000000" w:themeColor="text1"/>
          <w:sz w:val="21"/>
          <w:szCs w:val="21"/>
          <w14:textFill>
            <w14:solidFill>
              <w14:schemeClr w14:val="tx1"/>
            </w14:solidFill>
          </w14:textFill>
        </w:rPr>
        <w:t>工作指导</w:t>
      </w:r>
      <w:r>
        <w:rPr>
          <w:rFonts w:hint="eastAsia" w:ascii="宋体" w:hAnsi="宋体" w:eastAsia="宋体" w:cs="宋体"/>
          <w:color w:val="auto"/>
          <w:sz w:val="21"/>
          <w:szCs w:val="21"/>
          <w:highlight w:val="none"/>
        </w:rPr>
        <w:t>的流程组织验收。</w:t>
      </w:r>
    </w:p>
    <w:p w14:paraId="3334E9F0">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cs="宋体"/>
          <w:color w:val="auto"/>
          <w:szCs w:val="21"/>
          <w:highlight w:val="none"/>
        </w:rPr>
      </w:pPr>
      <w:r>
        <w:rPr>
          <w:rFonts w:hint="eastAsia" w:ascii="宋体" w:hAnsi="宋体" w:eastAsia="宋体" w:cs="宋体"/>
          <w:color w:val="auto"/>
          <w:sz w:val="21"/>
          <w:szCs w:val="21"/>
          <w:highlight w:val="none"/>
        </w:rPr>
        <w:t>6、验收内容：</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包括但不限于整体任务情况、均衡推进度、数据质量、结果准确性、报告规范性、分析报告的科学性等。</w:t>
      </w:r>
    </w:p>
    <w:p w14:paraId="7798CB28">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六、经费支付</w:t>
      </w:r>
    </w:p>
    <w:p w14:paraId="6265FA56">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bookmarkStart w:id="258" w:name="OLE_LINK2"/>
      <w:r>
        <w:rPr>
          <w:rFonts w:hint="eastAsia" w:ascii="宋体" w:hAnsi="宋体" w:eastAsia="宋体" w:cs="宋体"/>
          <w:b w:val="0"/>
          <w:bCs w:val="0"/>
          <w:color w:val="auto"/>
          <w:sz w:val="21"/>
          <w:szCs w:val="21"/>
          <w:highlight w:val="none"/>
          <w:lang w:val="en-US" w:eastAsia="zh-CN"/>
        </w:rPr>
        <w:t>合同生效后一个月内，</w:t>
      </w: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甲方先行向乙方</w:t>
      </w:r>
      <w:r>
        <w:rPr>
          <w:rFonts w:hint="eastAsia" w:ascii="宋体" w:hAnsi="宋体" w:eastAsia="宋体" w:cs="宋体"/>
          <w:b w:val="0"/>
          <w:bCs w:val="0"/>
          <w:color w:val="auto"/>
          <w:sz w:val="21"/>
          <w:szCs w:val="21"/>
          <w:highlight w:val="none"/>
          <w:lang w:val="en-US" w:eastAsia="zh-CN"/>
        </w:rPr>
        <w:t>支付</w:t>
      </w:r>
      <w:r>
        <w:rPr>
          <w:rFonts w:hint="eastAsia" w:ascii="宋体" w:hAnsi="宋体" w:cs="宋体"/>
          <w:b w:val="0"/>
          <w:bCs w:val="0"/>
          <w:color w:val="auto"/>
          <w:sz w:val="21"/>
          <w:szCs w:val="21"/>
          <w:highlight w:val="none"/>
          <w:lang w:val="en-US" w:eastAsia="zh-CN"/>
        </w:rPr>
        <w:t>合同金额</w:t>
      </w:r>
      <w:r>
        <w:rPr>
          <w:rFonts w:hint="eastAsia" w:ascii="宋体" w:hAnsi="宋体" w:eastAsia="宋体" w:cs="宋体"/>
          <w:b w:val="0"/>
          <w:bCs w:val="0"/>
          <w:color w:val="auto"/>
          <w:sz w:val="21"/>
          <w:szCs w:val="21"/>
          <w:highlight w:val="none"/>
          <w:lang w:val="en-US" w:eastAsia="zh-CN"/>
        </w:rPr>
        <w:t>的50%。2026年</w:t>
      </w:r>
      <w:r>
        <w:rPr>
          <w:rFonts w:hint="eastAsia" w:ascii="宋体" w:hAnsi="宋体" w:cs="宋体"/>
          <w:b w:val="0"/>
          <w:bCs w:val="0"/>
          <w:color w:val="auto"/>
          <w:sz w:val="21"/>
          <w:szCs w:val="21"/>
          <w:highlight w:val="none"/>
          <w:lang w:val="en-US" w:eastAsia="zh-CN"/>
        </w:rPr>
        <w:t>12</w:t>
      </w:r>
      <w:r>
        <w:rPr>
          <w:rFonts w:hint="eastAsia" w:ascii="宋体" w:hAnsi="宋体" w:eastAsia="宋体" w:cs="宋体"/>
          <w:b w:val="0"/>
          <w:bCs w:val="0"/>
          <w:color w:val="auto"/>
          <w:sz w:val="21"/>
          <w:szCs w:val="21"/>
          <w:highlight w:val="none"/>
          <w:lang w:val="en-US" w:eastAsia="zh-CN"/>
        </w:rPr>
        <w:t>月</w:t>
      </w:r>
      <w:r>
        <w:rPr>
          <w:rFonts w:hint="eastAsia" w:ascii="宋体" w:hAnsi="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lang w:val="en-US" w:eastAsia="zh-CN"/>
        </w:rPr>
        <w:t>日前，乙方应</w:t>
      </w:r>
      <w:r>
        <w:rPr>
          <w:rFonts w:hint="eastAsia" w:ascii="宋体" w:hAnsi="宋体" w:eastAsia="宋体" w:cs="宋体"/>
          <w:b w:val="0"/>
          <w:bCs w:val="0"/>
          <w:color w:val="auto"/>
          <w:sz w:val="21"/>
          <w:szCs w:val="21"/>
          <w:highlight w:val="none"/>
        </w:rPr>
        <w:t>完成任务</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甲方应在验收通过后30日内向乙方支付剩余费用。</w:t>
      </w:r>
      <w:bookmarkEnd w:id="258"/>
    </w:p>
    <w:p w14:paraId="74798ED5">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乙方银行账号：</w:t>
      </w:r>
      <w:r>
        <w:rPr>
          <w:rFonts w:hint="eastAsia" w:ascii="宋体" w:hAnsi="宋体" w:eastAsia="宋体" w:cs="宋体"/>
          <w:b w:val="0"/>
          <w:bCs w:val="0"/>
          <w:color w:val="auto"/>
          <w:sz w:val="21"/>
          <w:szCs w:val="21"/>
          <w:highlight w:val="none"/>
          <w:u w:val="single"/>
        </w:rPr>
        <w:t xml:space="preserve">                                         </w:t>
      </w:r>
    </w:p>
    <w:p w14:paraId="4D3D122D">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七、违约责任</w:t>
      </w:r>
    </w:p>
    <w:p w14:paraId="124533E4">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（一）甲方如出现未提供抽检计划或未拨付相关经费等行为，乙方可停止执行甲方提出的抽检检验任务。</w:t>
      </w:r>
    </w:p>
    <w:p w14:paraId="3062D106">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（二）对乙方出现的如下情形，甲方有权扣除其部分或全部检验费用、解除合同并取消检验资格：</w:t>
      </w:r>
    </w:p>
    <w:p w14:paraId="56A7FFB2">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1、未经许可分包抽样或检验任务的；</w:t>
      </w:r>
    </w:p>
    <w:p w14:paraId="314E1744">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2、拒绝、阻挠、逃避甲方对抽检工作质量和经费使用情况开展的监督检查和考核；</w:t>
      </w:r>
    </w:p>
    <w:p w14:paraId="3A9FC5BB">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3、未按时完成承检工作、数据上报、工作总结以及其他抽检</w:t>
      </w:r>
      <w:r>
        <w:rPr>
          <w:rFonts w:hint="eastAsia" w:ascii="宋体" w:hAnsi="宋体" w:eastAsia="宋体" w:cs="宋体"/>
          <w:b w:val="0"/>
          <w:bCs w:val="0"/>
          <w:sz w:val="21"/>
          <w:szCs w:val="21"/>
        </w:rPr>
        <w:t>检验</w:t>
      </w:r>
      <w:r>
        <w:rPr>
          <w:rFonts w:hint="eastAsia" w:ascii="宋体" w:hAnsi="宋体" w:eastAsia="宋体" w:cs="宋体"/>
          <w:b w:val="0"/>
          <w:bCs w:val="0"/>
          <w:color w:val="auto"/>
          <w:sz w:val="21"/>
          <w:szCs w:val="21"/>
          <w:highlight w:val="none"/>
        </w:rPr>
        <w:t>等资料，并未向甲方提出合理说明的；</w:t>
      </w:r>
    </w:p>
    <w:p w14:paraId="3A5955CD">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4、未经甲方许可减少或调换抽样检验品种、批次、项目或抽样区域、环节的；</w:t>
      </w:r>
    </w:p>
    <w:p w14:paraId="4713413C">
      <w:pPr>
        <w:pageBreakBefore w:val="0"/>
        <w:widowControl w:val="0"/>
        <w:kinsoku/>
        <w:wordWrap/>
        <w:overflowPunct/>
        <w:topLinePunct w:val="0"/>
        <w:autoSpaceDE/>
        <w:autoSpaceDN/>
        <w:bidi w:val="0"/>
        <w:adjustRightIn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5、未通过甲方验收。</w:t>
      </w:r>
    </w:p>
    <w:p w14:paraId="05D7C062">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（三）对乙方出现的如下情形，造成不良结果的，甲方将不再委托检验任务、解除合同直至追究法律责任：</w:t>
      </w:r>
    </w:p>
    <w:p w14:paraId="39E6E589">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1、出具虚假、错误检验数据和报告的；</w:t>
      </w:r>
    </w:p>
    <w:p w14:paraId="49986B36">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2、违反保密规定，向甲方以外单位或被抽检方泄露检验结果；</w:t>
      </w:r>
    </w:p>
    <w:p w14:paraId="416C2723">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3、超资质范围出具检验报告、未按照规定时限出具检验报告；</w:t>
      </w:r>
    </w:p>
    <w:p w14:paraId="4DCBA8ED">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4、因运输、保存不当导致备份样品丢失或损毁的；</w:t>
      </w:r>
    </w:p>
    <w:p w14:paraId="2D86F349">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5、乙方持有食品生产、经营企业股权、期权或与食品生产经营企业存在长期有偿服务合同等可能影响食品安全抽检公平、公正情况而未向甲方备案；</w:t>
      </w:r>
    </w:p>
    <w:p w14:paraId="4196930B">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6、乙方出具的检验报告单位名称与投标法人不一致，又未提供相关证明文件的。</w:t>
      </w:r>
    </w:p>
    <w:p w14:paraId="5B59E4BB">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八、争议解决</w:t>
      </w:r>
    </w:p>
    <w:p w14:paraId="4F37FEC0">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因合同产生的争议，由甲乙双方友好协商解决。协商不成时，双方均有权向甲方所在地人民法院提起诉讼。</w:t>
      </w:r>
    </w:p>
    <w:p w14:paraId="0EAE27CC">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九、合同生效</w:t>
      </w:r>
    </w:p>
    <w:p w14:paraId="74BEDCEF">
      <w:pPr>
        <w:pStyle w:val="13"/>
        <w:pageBreakBefore w:val="0"/>
        <w:widowControl w:val="0"/>
        <w:kinsoku/>
        <w:wordWrap/>
        <w:overflowPunct/>
        <w:topLinePunct w:val="0"/>
        <w:autoSpaceDE/>
        <w:autoSpaceDN/>
        <w:bidi w:val="0"/>
        <w:adjustRightInd/>
        <w:spacing w:after="0" w:line="360" w:lineRule="auto"/>
        <w:ind w:left="0"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合同经双方法定代表人或授权代表人签字并加盖单位公章后生效。</w:t>
      </w:r>
    </w:p>
    <w:p w14:paraId="19893383">
      <w:pPr>
        <w:pStyle w:val="13"/>
        <w:pageBreakBefore w:val="0"/>
        <w:widowControl w:val="0"/>
        <w:kinsoku/>
        <w:wordWrap/>
        <w:overflowPunct/>
        <w:topLinePunct w:val="0"/>
        <w:autoSpaceDE/>
        <w:autoSpaceDN/>
        <w:bidi w:val="0"/>
        <w:adjustRightInd/>
        <w:spacing w:after="0" w:line="360" w:lineRule="auto"/>
        <w:ind w:left="0" w:firstLine="420" w:firstLineChars="200"/>
        <w:textAlignment w:val="auto"/>
        <w:rPr>
          <w:rFonts w:hint="eastAsia" w:ascii="宋体" w:hAnsi="宋体" w:cs="方正仿宋_GBK"/>
          <w:color w:val="auto"/>
          <w:szCs w:val="21"/>
          <w:highlight w:val="none"/>
        </w:rPr>
      </w:pPr>
      <w:r>
        <w:rPr>
          <w:rFonts w:hint="eastAsia" w:ascii="宋体" w:hAnsi="宋体" w:eastAsia="宋体" w:cs="宋体"/>
          <w:b w:val="0"/>
          <w:bCs w:val="0"/>
          <w:color w:val="auto"/>
          <w:sz w:val="21"/>
          <w:szCs w:val="21"/>
          <w:highlight w:val="none"/>
        </w:rPr>
        <w:t>本项目合同期限为：合同签订之日起至20</w:t>
      </w:r>
      <w:r>
        <w:rPr>
          <w:rFonts w:hint="eastAsia" w:ascii="宋体" w:hAnsi="宋体" w:eastAsia="宋体" w:cs="宋体"/>
          <w:b w:val="0"/>
          <w:bCs w:val="0"/>
          <w:color w:val="auto"/>
          <w:sz w:val="21"/>
          <w:szCs w:val="21"/>
          <w:highlight w:val="none"/>
          <w:lang w:val="en-US" w:eastAsia="zh-CN"/>
        </w:rPr>
        <w:t>26</w:t>
      </w:r>
      <w:r>
        <w:rPr>
          <w:rFonts w:hint="eastAsia" w:ascii="宋体" w:hAnsi="宋体" w:eastAsia="宋体" w:cs="宋体"/>
          <w:b w:val="0"/>
          <w:bCs w:val="0"/>
          <w:color w:val="auto"/>
          <w:sz w:val="21"/>
          <w:szCs w:val="21"/>
          <w:highlight w:val="none"/>
        </w:rPr>
        <w:t>年</w:t>
      </w:r>
      <w:r>
        <w:rPr>
          <w:rFonts w:hint="eastAsia" w:ascii="宋体" w:hAnsi="宋体" w:cs="宋体"/>
          <w:b w:val="0"/>
          <w:bCs w:val="0"/>
          <w:color w:val="auto"/>
          <w:sz w:val="21"/>
          <w:szCs w:val="21"/>
          <w:highlight w:val="none"/>
          <w:lang w:val="en-US" w:eastAsia="zh-CN"/>
        </w:rPr>
        <w:t>12</w:t>
      </w:r>
      <w:r>
        <w:rPr>
          <w:rFonts w:hint="eastAsia" w:ascii="宋体" w:hAnsi="宋体" w:eastAsia="宋体" w:cs="宋体"/>
          <w:b w:val="0"/>
          <w:bCs w:val="0"/>
          <w:color w:val="auto"/>
          <w:sz w:val="21"/>
          <w:szCs w:val="21"/>
          <w:highlight w:val="none"/>
        </w:rPr>
        <w:t>月</w:t>
      </w:r>
      <w:r>
        <w:rPr>
          <w:rFonts w:hint="eastAsia" w:ascii="宋体" w:hAnsi="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rPr>
        <w:t>日。在合同执行过程中，如需变更合同内容，应由甲乙双方共同协商，签订补充文件。补充签订的文件与本合同具有同等法律效力。</w:t>
      </w:r>
      <w:bookmarkEnd w:id="256"/>
    </w:p>
    <w:p w14:paraId="51F71EF3">
      <w:pPr>
        <w:pStyle w:val="13"/>
        <w:spacing w:after="0" w:line="360" w:lineRule="auto"/>
        <w:ind w:firstLine="420" w:firstLineChars="200"/>
        <w:rPr>
          <w:rFonts w:hint="eastAsia" w:ascii="宋体" w:hAnsi="宋体" w:cs="方正仿宋_GBK"/>
          <w:b/>
          <w:bCs/>
          <w:color w:val="auto"/>
          <w:szCs w:val="21"/>
          <w:highlight w:val="none"/>
        </w:rPr>
      </w:pPr>
      <w:r>
        <w:rPr>
          <w:rFonts w:hint="eastAsia" w:ascii="宋体" w:hAnsi="宋体" w:cs="方正仿宋_GBK"/>
          <w:color w:val="auto"/>
          <w:szCs w:val="21"/>
          <w:highlight w:val="none"/>
        </w:rPr>
        <w:t xml:space="preserve">甲方：江苏省市场监督管理局（单位盖章） </w:t>
      </w:r>
    </w:p>
    <w:p w14:paraId="5AD9A070">
      <w:pPr>
        <w:pStyle w:val="13"/>
        <w:spacing w:after="0" w:line="360" w:lineRule="auto"/>
        <w:ind w:firstLine="420" w:firstLineChars="200"/>
        <w:rPr>
          <w:rFonts w:hint="eastAsia" w:ascii="宋体" w:hAnsi="宋体" w:cs="方正仿宋_GBK"/>
          <w:b/>
          <w:bCs/>
          <w:color w:val="auto"/>
          <w:szCs w:val="21"/>
          <w:highlight w:val="none"/>
        </w:rPr>
      </w:pPr>
      <w:r>
        <w:rPr>
          <w:rFonts w:hint="eastAsia" w:ascii="宋体" w:hAnsi="宋体" w:cs="方正仿宋_GBK"/>
          <w:color w:val="auto"/>
          <w:szCs w:val="21"/>
          <w:highlight w:val="none"/>
        </w:rPr>
        <w:t>法定代表人或授权代表人：</w:t>
      </w:r>
    </w:p>
    <w:p w14:paraId="2995797D">
      <w:pPr>
        <w:pStyle w:val="13"/>
        <w:spacing w:after="0" w:line="360" w:lineRule="auto"/>
        <w:ind w:firstLine="422" w:firstLineChars="200"/>
        <w:rPr>
          <w:rFonts w:hint="eastAsia" w:ascii="宋体" w:hAnsi="宋体" w:cs="方正仿宋_GBK"/>
          <w:b/>
          <w:bCs/>
          <w:color w:val="auto"/>
          <w:szCs w:val="21"/>
          <w:highlight w:val="none"/>
        </w:rPr>
      </w:pPr>
    </w:p>
    <w:p w14:paraId="794D6E63">
      <w:pPr>
        <w:pStyle w:val="13"/>
        <w:spacing w:after="0" w:line="360" w:lineRule="auto"/>
        <w:ind w:firstLine="420" w:firstLineChars="200"/>
        <w:rPr>
          <w:rFonts w:hint="eastAsia" w:ascii="宋体" w:hAnsi="宋体" w:cs="方正仿宋_GBK"/>
          <w:b/>
          <w:bCs/>
          <w:color w:val="auto"/>
          <w:szCs w:val="21"/>
          <w:highlight w:val="none"/>
        </w:rPr>
      </w:pPr>
      <w:r>
        <w:rPr>
          <w:rFonts w:ascii="宋体" w:hAnsi="宋体"/>
          <w:color w:val="auto"/>
          <w:szCs w:val="21"/>
          <w:highlight w:val="none"/>
        </w:rPr>
        <w:t>202</w:t>
      </w:r>
      <w:r>
        <w:rPr>
          <w:rFonts w:hint="eastAsia" w:ascii="宋体" w:hAnsi="宋体"/>
          <w:color w:val="auto"/>
          <w:szCs w:val="21"/>
          <w:highlight w:val="none"/>
          <w:lang w:val="en-US" w:eastAsia="zh-CN"/>
        </w:rPr>
        <w:t>6</w:t>
      </w:r>
      <w:r>
        <w:rPr>
          <w:rFonts w:hint="eastAsia" w:ascii="宋体" w:hAnsi="宋体" w:cs="方正仿宋_GBK"/>
          <w:color w:val="auto"/>
          <w:szCs w:val="21"/>
          <w:highlight w:val="none"/>
        </w:rPr>
        <w:t>年</w:t>
      </w:r>
      <w:r>
        <w:rPr>
          <w:rFonts w:ascii="宋体" w:hAnsi="宋体"/>
          <w:color w:val="auto"/>
          <w:szCs w:val="21"/>
          <w:highlight w:val="none"/>
        </w:rPr>
        <w:t xml:space="preserve"> </w:t>
      </w:r>
      <w:r>
        <w:rPr>
          <w:rFonts w:hint="eastAsia" w:ascii="宋体" w:hAnsi="宋体" w:cs="方正仿宋_GBK"/>
          <w:color w:val="auto"/>
          <w:szCs w:val="21"/>
          <w:highlight w:val="none"/>
        </w:rPr>
        <w:t>月 日</w:t>
      </w:r>
    </w:p>
    <w:p w14:paraId="2F076FD3">
      <w:pPr>
        <w:pStyle w:val="13"/>
        <w:spacing w:after="0" w:line="360" w:lineRule="auto"/>
        <w:ind w:firstLine="420" w:firstLineChars="200"/>
        <w:rPr>
          <w:rFonts w:hint="eastAsia" w:ascii="宋体" w:hAnsi="宋体" w:cs="方正仿宋_GBK"/>
          <w:color w:val="auto"/>
          <w:szCs w:val="21"/>
          <w:highlight w:val="none"/>
        </w:rPr>
      </w:pPr>
    </w:p>
    <w:p w14:paraId="0AB44258">
      <w:pPr>
        <w:pStyle w:val="13"/>
        <w:spacing w:after="0" w:line="360" w:lineRule="auto"/>
        <w:ind w:firstLine="420" w:firstLineChars="200"/>
        <w:rPr>
          <w:rFonts w:hint="eastAsia" w:ascii="宋体" w:hAnsi="宋体" w:cs="方正仿宋_GBK"/>
          <w:b/>
          <w:bCs/>
          <w:color w:val="auto"/>
          <w:szCs w:val="21"/>
          <w:highlight w:val="none"/>
        </w:rPr>
      </w:pPr>
      <w:r>
        <w:rPr>
          <w:rFonts w:hint="eastAsia" w:ascii="宋体" w:hAnsi="宋体" w:cs="方正仿宋_GBK"/>
          <w:color w:val="auto"/>
          <w:szCs w:val="21"/>
          <w:highlight w:val="none"/>
        </w:rPr>
        <w:t>乙方：</w:t>
      </w:r>
    </w:p>
    <w:p w14:paraId="4C1D20A3">
      <w:pPr>
        <w:pStyle w:val="13"/>
        <w:spacing w:after="0" w:line="360" w:lineRule="auto"/>
        <w:ind w:firstLine="420" w:firstLineChars="200"/>
        <w:rPr>
          <w:rFonts w:hint="eastAsia" w:ascii="宋体" w:hAnsi="宋体" w:cs="方正仿宋_GBK"/>
          <w:b/>
          <w:bCs/>
          <w:color w:val="auto"/>
          <w:szCs w:val="21"/>
          <w:highlight w:val="none"/>
        </w:rPr>
      </w:pPr>
      <w:r>
        <w:rPr>
          <w:rFonts w:hint="eastAsia" w:ascii="宋体" w:hAnsi="宋体" w:cs="方正仿宋_GBK"/>
          <w:color w:val="auto"/>
          <w:szCs w:val="21"/>
          <w:highlight w:val="none"/>
        </w:rPr>
        <w:t>法定代表人或授权代表人：</w:t>
      </w:r>
    </w:p>
    <w:p w14:paraId="31AC698A">
      <w:pPr>
        <w:pStyle w:val="13"/>
        <w:spacing w:after="0" w:line="360" w:lineRule="auto"/>
        <w:ind w:firstLine="422" w:firstLineChars="200"/>
        <w:rPr>
          <w:rFonts w:hint="eastAsia" w:ascii="宋体" w:hAnsi="宋体" w:cs="方正仿宋_GBK"/>
          <w:b/>
          <w:bCs/>
          <w:color w:val="auto"/>
          <w:szCs w:val="21"/>
          <w:highlight w:val="none"/>
        </w:rPr>
      </w:pPr>
    </w:p>
    <w:p w14:paraId="3ADDC47E">
      <w:pPr>
        <w:pStyle w:val="13"/>
        <w:spacing w:after="0" w:line="360" w:lineRule="auto"/>
        <w:ind w:firstLine="420" w:firstLineChars="200"/>
        <w:rPr>
          <w:rFonts w:hint="eastAsia" w:ascii="宋体" w:hAnsi="宋体" w:cs="方正仿宋_GBK"/>
          <w:b/>
          <w:bCs/>
          <w:color w:val="auto"/>
          <w:szCs w:val="21"/>
          <w:highlight w:val="none"/>
        </w:rPr>
      </w:pPr>
      <w:r>
        <w:rPr>
          <w:rFonts w:hint="eastAsia" w:ascii="宋体" w:hAnsi="宋体" w:cs="方正仿宋_GBK"/>
          <w:color w:val="auto"/>
          <w:szCs w:val="21"/>
          <w:highlight w:val="none"/>
        </w:rPr>
        <w:t xml:space="preserve">（单位盖章） </w:t>
      </w:r>
    </w:p>
    <w:p w14:paraId="1723CB53">
      <w:pPr>
        <w:spacing w:line="360" w:lineRule="auto"/>
        <w:ind w:firstLine="420" w:firstLineChars="200"/>
        <w:rPr>
          <w:rFonts w:hint="eastAsia" w:ascii="宋体" w:hAnsi="宋体" w:cs="方正仿宋_GBK"/>
          <w:color w:val="auto"/>
          <w:szCs w:val="21"/>
          <w:highlight w:val="none"/>
        </w:rPr>
      </w:pPr>
      <w:r>
        <w:rPr>
          <w:rFonts w:ascii="宋体" w:hAnsi="宋体"/>
          <w:color w:val="auto"/>
          <w:szCs w:val="21"/>
          <w:highlight w:val="none"/>
        </w:rPr>
        <w:t>202</w:t>
      </w:r>
      <w:r>
        <w:rPr>
          <w:rFonts w:hint="eastAsia" w:ascii="宋体" w:hAnsi="宋体"/>
          <w:color w:val="auto"/>
          <w:szCs w:val="21"/>
          <w:highlight w:val="none"/>
          <w:lang w:val="en-US" w:eastAsia="zh-CN"/>
        </w:rPr>
        <w:t>6</w:t>
      </w:r>
      <w:r>
        <w:rPr>
          <w:rFonts w:hint="eastAsia" w:ascii="宋体" w:hAnsi="宋体" w:cs="方正仿宋_GBK"/>
          <w:color w:val="auto"/>
          <w:szCs w:val="21"/>
          <w:highlight w:val="none"/>
        </w:rPr>
        <w:t>年</w:t>
      </w:r>
      <w:r>
        <w:rPr>
          <w:rFonts w:ascii="宋体" w:hAnsi="宋体"/>
          <w:color w:val="auto"/>
          <w:szCs w:val="21"/>
          <w:highlight w:val="none"/>
        </w:rPr>
        <w:t xml:space="preserve"> </w:t>
      </w:r>
      <w:r>
        <w:rPr>
          <w:rFonts w:hint="eastAsia" w:ascii="宋体" w:hAnsi="宋体" w:cs="方正仿宋_GBK"/>
          <w:color w:val="auto"/>
          <w:szCs w:val="21"/>
          <w:highlight w:val="none"/>
        </w:rPr>
        <w:t>月 日</w:t>
      </w:r>
    </w:p>
    <w:p w14:paraId="4AEB8550">
      <w:pPr>
        <w:widowControl/>
        <w:spacing w:line="240" w:lineRule="auto"/>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r>
    </w:p>
    <w:p w14:paraId="48F6D20E">
      <w:pPr>
        <w:pStyle w:val="32"/>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第四章 </w:t>
      </w:r>
      <w:bookmarkStart w:id="259" w:name="_Toc91836564"/>
      <w:bookmarkStart w:id="260" w:name="_Toc107246271"/>
      <w:r>
        <w:rPr>
          <w:rFonts w:ascii="Microsoft New Tai Lue" w:hAnsi="Microsoft New Tai Lue" w:cs="Microsoft New Tai Lue"/>
          <w:color w:val="auto"/>
          <w:highlight w:val="none"/>
        </w:rPr>
        <w:t>采购需求</w:t>
      </w:r>
      <w:bookmarkEnd w:id="259"/>
      <w:bookmarkEnd w:id="260"/>
    </w:p>
    <w:p w14:paraId="79269F18">
      <w:pPr>
        <w:keepNext w:val="0"/>
        <w:keepLines w:val="0"/>
        <w:pageBreakBefore w:val="0"/>
        <w:widowControl w:val="0"/>
        <w:kinsoku/>
        <w:wordWrap/>
        <w:overflowPunct/>
        <w:topLinePunct w:val="0"/>
        <w:autoSpaceDE/>
        <w:autoSpaceDN/>
        <w:bidi w:val="0"/>
        <w:spacing w:line="400" w:lineRule="exact"/>
        <w:ind w:firstLine="422" w:firstLineChars="200"/>
        <w:outlineLvl w:val="0"/>
        <w:rPr>
          <w:rFonts w:hint="eastAsia" w:ascii="宋体" w:hAnsi="宋体" w:cs="宋体"/>
          <w:b/>
          <w:color w:val="auto"/>
          <w:szCs w:val="21"/>
          <w:highlight w:val="none"/>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项目概况</w:t>
      </w:r>
    </w:p>
    <w:p w14:paraId="5461A97C">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为高质量完成食品安全抽检监测任务，现向全国范围内进行检验机构公开招标，承担</w:t>
      </w:r>
      <w:r>
        <w:rPr>
          <w:rFonts w:hint="eastAsia" w:ascii="宋体" w:hAnsi="宋体" w:cs="宋体"/>
          <w:color w:val="auto"/>
          <w:szCs w:val="21"/>
          <w:highlight w:val="none"/>
          <w:lang w:eastAsia="zh-CN"/>
        </w:rPr>
        <w:t>2026年中央转移支付食品安全抽检技术服务（第四季度）</w:t>
      </w:r>
      <w:r>
        <w:rPr>
          <w:rFonts w:hint="eastAsia" w:ascii="宋体" w:hAnsi="宋体" w:cs="宋体"/>
          <w:color w:val="auto"/>
          <w:szCs w:val="21"/>
          <w:highlight w:val="none"/>
        </w:rPr>
        <w:t>。</w:t>
      </w:r>
    </w:p>
    <w:p w14:paraId="57F6F631">
      <w:pPr>
        <w:keepNext w:val="0"/>
        <w:keepLines w:val="0"/>
        <w:pageBreakBefore w:val="0"/>
        <w:widowControl w:val="0"/>
        <w:kinsoku/>
        <w:wordWrap/>
        <w:overflowPunct/>
        <w:topLinePunct w:val="0"/>
        <w:autoSpaceDE/>
        <w:autoSpaceDN/>
        <w:bidi w:val="0"/>
        <w:spacing w:line="400" w:lineRule="exact"/>
        <w:ind w:firstLine="422" w:firstLineChars="200"/>
        <w:outlineLvl w:val="0"/>
        <w:rPr>
          <w:rFonts w:hint="eastAsia" w:ascii="宋体" w:hAnsi="宋体" w:cs="宋体"/>
          <w:b/>
          <w:color w:val="auto"/>
          <w:szCs w:val="21"/>
          <w:highlight w:val="none"/>
        </w:rPr>
      </w:pPr>
      <w:r>
        <w:rPr>
          <w:rFonts w:hint="eastAsia" w:ascii="宋体" w:hAnsi="宋体" w:cs="宋体"/>
          <w:b/>
          <w:color w:val="auto"/>
          <w:szCs w:val="21"/>
          <w:highlight w:val="none"/>
        </w:rPr>
        <w:t>2</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项目基本情况</w:t>
      </w:r>
    </w:p>
    <w:p w14:paraId="6E1EA23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2026年中央转移支付食品安全抽检技术服务（第四季度）</w:t>
      </w:r>
    </w:p>
    <w:p w14:paraId="45B40AD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一）抽检批次及经费。计划抽检4198批次，其中监督抽检2885批次、风险抽检1313批次。按照支出标准，监督抽检（含专项）1750元/批次，需经费504.875万元；风险抽检1600元/批次，需经费210.08万元。共计需经费714.955万元。</w:t>
      </w:r>
    </w:p>
    <w:p w14:paraId="431F0665">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二）区域及依据。抽样区域覆盖全省，抽检品种覆盖粮食加工品、食用油、油脂及其制品、调味品等37个大类食品，检测项目按照总局《食品安全监督抽检实施细则》（2026年版）和《2026年全国食品安全风险抽检计划》执行。</w:t>
      </w:r>
    </w:p>
    <w:p w14:paraId="0663E277">
      <w:pPr>
        <w:keepNext w:val="0"/>
        <w:keepLines w:val="0"/>
        <w:pageBreakBefore w:val="0"/>
        <w:widowControl w:val="0"/>
        <w:kinsoku/>
        <w:wordWrap/>
        <w:overflowPunct/>
        <w:topLinePunct w:val="0"/>
        <w:autoSpaceDE/>
        <w:autoSpaceDN/>
        <w:bidi w:val="0"/>
        <w:spacing w:line="400" w:lineRule="exact"/>
        <w:ind w:firstLine="422" w:firstLineChars="200"/>
        <w:outlineLvl w:val="0"/>
        <w:rPr>
          <w:rFonts w:hint="eastAsia" w:ascii="宋体" w:hAnsi="宋体" w:cs="宋体"/>
          <w:b/>
          <w:color w:val="auto"/>
          <w:szCs w:val="21"/>
          <w:highlight w:val="none"/>
        </w:rPr>
      </w:pPr>
      <w:r>
        <w:rPr>
          <w:rFonts w:hint="eastAsia" w:ascii="宋体" w:hAnsi="宋体" w:cs="宋体"/>
          <w:b/>
          <w:color w:val="auto"/>
          <w:szCs w:val="21"/>
          <w:highlight w:val="none"/>
        </w:rPr>
        <w:t>3</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基本需求</w:t>
      </w:r>
    </w:p>
    <w:p w14:paraId="659AFCC7">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3.1食品抽检服务任务类型</w:t>
      </w:r>
    </w:p>
    <w:p w14:paraId="340FE223">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采购人</w:t>
      </w:r>
      <w:r>
        <w:rPr>
          <w:rFonts w:hint="eastAsia" w:ascii="宋体" w:hAnsi="宋体" w:cs="宋体"/>
          <w:color w:val="auto"/>
          <w:szCs w:val="21"/>
          <w:highlight w:val="none"/>
          <w:lang w:eastAsia="zh-CN"/>
        </w:rPr>
        <w:t>2026年中央转移支付食品安全抽检技术服务（第四季度）</w:t>
      </w:r>
      <w:r>
        <w:rPr>
          <w:rFonts w:hint="eastAsia" w:ascii="宋体" w:hAnsi="宋体" w:cs="宋体"/>
          <w:color w:val="auto"/>
          <w:szCs w:val="21"/>
          <w:highlight w:val="none"/>
        </w:rPr>
        <w:t>任务类型见附件1。</w:t>
      </w:r>
    </w:p>
    <w:p w14:paraId="48F5B66A">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3.2食品抽检服务内容</w:t>
      </w:r>
    </w:p>
    <w:p w14:paraId="5B85A019">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采购人</w:t>
      </w:r>
      <w:r>
        <w:rPr>
          <w:rFonts w:hint="eastAsia" w:ascii="宋体" w:hAnsi="宋体" w:cs="宋体"/>
          <w:color w:val="auto"/>
          <w:szCs w:val="21"/>
          <w:highlight w:val="none"/>
          <w:lang w:eastAsia="zh-CN"/>
        </w:rPr>
        <w:t>2026年中央转移支付食品安全抽检技术服务（第四季度）</w:t>
      </w:r>
      <w:r>
        <w:rPr>
          <w:rFonts w:hint="eastAsia" w:ascii="宋体" w:hAnsi="宋体" w:cs="宋体"/>
          <w:color w:val="auto"/>
          <w:szCs w:val="21"/>
          <w:highlight w:val="none"/>
        </w:rPr>
        <w:t>的内容见附件2。</w:t>
      </w:r>
    </w:p>
    <w:p w14:paraId="49A0258F">
      <w:pPr>
        <w:keepNext w:val="0"/>
        <w:keepLines w:val="0"/>
        <w:pageBreakBefore w:val="0"/>
        <w:widowControl w:val="0"/>
        <w:kinsoku/>
        <w:wordWrap/>
        <w:overflowPunct/>
        <w:topLinePunct w:val="0"/>
        <w:autoSpaceDE/>
        <w:autoSpaceDN/>
        <w:bidi w:val="0"/>
        <w:spacing w:line="400" w:lineRule="exact"/>
        <w:ind w:firstLine="422" w:firstLineChars="200"/>
        <w:outlineLvl w:val="0"/>
        <w:rPr>
          <w:rFonts w:hint="eastAsia" w:ascii="宋体" w:hAnsi="宋体" w:cs="宋体"/>
          <w:b/>
          <w:color w:val="auto"/>
          <w:szCs w:val="21"/>
          <w:highlight w:val="none"/>
        </w:rPr>
      </w:pPr>
      <w:r>
        <w:rPr>
          <w:rFonts w:hint="eastAsia" w:ascii="宋体" w:hAnsi="宋体" w:cs="宋体"/>
          <w:b/>
          <w:color w:val="auto"/>
          <w:szCs w:val="21"/>
          <w:highlight w:val="none"/>
        </w:rPr>
        <w:t>4</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技术要求</w:t>
      </w:r>
    </w:p>
    <w:p w14:paraId="5664EEA4">
      <w:pPr>
        <w:keepNext w:val="0"/>
        <w:keepLines w:val="0"/>
        <w:pageBreakBefore w:val="0"/>
        <w:widowControl w:val="0"/>
        <w:kinsoku/>
        <w:wordWrap/>
        <w:overflowPunct/>
        <w:topLinePunct w:val="0"/>
        <w:autoSpaceDE/>
        <w:autoSpaceDN/>
        <w:bidi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4.1法律法规和技术规范</w:t>
      </w:r>
    </w:p>
    <w:p w14:paraId="6329FDCF">
      <w:pPr>
        <w:keepNext w:val="0"/>
        <w:keepLines w:val="0"/>
        <w:pageBreakBefore w:val="0"/>
        <w:widowControl w:val="0"/>
        <w:kinsoku/>
        <w:wordWrap/>
        <w:overflowPunct/>
        <w:topLinePunct w:val="0"/>
        <w:autoSpaceDE/>
        <w:autoSpaceDN/>
        <w:bidi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（1）《中华人民共和国食品安全法》（中华人民共和国主席令 第二十一号）</w:t>
      </w:r>
    </w:p>
    <w:p w14:paraId="41D1B1C1">
      <w:pPr>
        <w:keepNext w:val="0"/>
        <w:keepLines w:val="0"/>
        <w:pageBreakBefore w:val="0"/>
        <w:widowControl w:val="0"/>
        <w:kinsoku/>
        <w:wordWrap/>
        <w:overflowPunct/>
        <w:topLinePunct w:val="0"/>
        <w:autoSpaceDE/>
        <w:autoSpaceDN/>
        <w:bidi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（2）《中华人民共和国食品安全法实施条例》（中华人民共和国国务院令 第721号）</w:t>
      </w:r>
    </w:p>
    <w:p w14:paraId="28EE9003">
      <w:pPr>
        <w:keepNext w:val="0"/>
        <w:keepLines w:val="0"/>
        <w:pageBreakBefore w:val="0"/>
        <w:widowControl w:val="0"/>
        <w:kinsoku/>
        <w:wordWrap/>
        <w:overflowPunct/>
        <w:topLinePunct w:val="0"/>
        <w:autoSpaceDE/>
        <w:autoSpaceDN/>
        <w:bidi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（3）《食品安全抽样检验管理办法》（国家市场监督管理总局令 第15号）</w:t>
      </w:r>
    </w:p>
    <w:p w14:paraId="1B80DF5D">
      <w:pPr>
        <w:keepNext w:val="0"/>
        <w:keepLines w:val="0"/>
        <w:pageBreakBefore w:val="0"/>
        <w:widowControl w:val="0"/>
        <w:kinsoku/>
        <w:wordWrap/>
        <w:overflowPunct/>
        <w:topLinePunct w:val="0"/>
        <w:autoSpaceDE/>
        <w:autoSpaceDN/>
        <w:bidi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（4）《食品安全抽样检验工作规范》（市监食检发〔2023〕76号）</w:t>
      </w:r>
    </w:p>
    <w:p w14:paraId="5B063B94">
      <w:pPr>
        <w:keepNext w:val="0"/>
        <w:keepLines w:val="0"/>
        <w:pageBreakBefore w:val="0"/>
        <w:widowControl w:val="0"/>
        <w:kinsoku/>
        <w:wordWrap/>
        <w:overflowPunct/>
        <w:topLinePunct w:val="0"/>
        <w:autoSpaceDE/>
        <w:autoSpaceDN/>
        <w:bidi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（5）《食用农产品抽样检验和核查处置规定》（国市监食检〔2020〕184 号）</w:t>
      </w:r>
    </w:p>
    <w:p w14:paraId="2B751AD1">
      <w:pPr>
        <w:keepNext w:val="0"/>
        <w:keepLines w:val="0"/>
        <w:pageBreakBefore w:val="0"/>
        <w:widowControl w:val="0"/>
        <w:kinsoku/>
        <w:wordWrap/>
        <w:overflowPunct/>
        <w:topLinePunct w:val="0"/>
        <w:autoSpaceDE/>
        <w:autoSpaceDN/>
        <w:bidi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（6）《市场监管总局办公厅关于推进食品抽检合格备份样品合理利用的通知》（市监食检发〔2021〕106 号）</w:t>
      </w:r>
    </w:p>
    <w:p w14:paraId="4F6B0819">
      <w:pPr>
        <w:keepNext w:val="0"/>
        <w:keepLines w:val="0"/>
        <w:pageBreakBefore w:val="0"/>
        <w:widowControl w:val="0"/>
        <w:kinsoku/>
        <w:wordWrap/>
        <w:overflowPunct/>
        <w:topLinePunct w:val="0"/>
        <w:autoSpaceDE/>
        <w:autoSpaceDN/>
        <w:bidi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（7）《江苏省食品安全条例》（2024年1月26日江苏省第十四届人民代表大会第二次会议通过）</w:t>
      </w:r>
    </w:p>
    <w:p w14:paraId="17B214FF">
      <w:pPr>
        <w:keepNext w:val="0"/>
        <w:keepLines w:val="0"/>
        <w:pageBreakBefore w:val="0"/>
        <w:widowControl w:val="0"/>
        <w:kinsoku/>
        <w:wordWrap/>
        <w:overflowPunct/>
        <w:topLinePunct w:val="0"/>
        <w:autoSpaceDE/>
        <w:autoSpaceDN/>
        <w:bidi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w:t>
      </w:r>
      <w:r>
        <w:rPr>
          <w:rFonts w:hint="eastAsia" w:ascii="宋体" w:hAnsi="宋体" w:cs="宋体"/>
          <w:color w:val="auto"/>
          <w:szCs w:val="21"/>
          <w:highlight w:val="none"/>
          <w:lang w:val="en-US" w:eastAsia="zh-CN"/>
        </w:rPr>
        <w:t>全国</w:t>
      </w:r>
      <w:r>
        <w:rPr>
          <w:rFonts w:hint="eastAsia" w:ascii="宋体" w:hAnsi="宋体" w:cs="宋体"/>
          <w:color w:val="auto"/>
          <w:szCs w:val="21"/>
          <w:highlight w:val="none"/>
        </w:rPr>
        <w:t>食品安全监督抽检实施细则》（</w:t>
      </w:r>
      <w:r>
        <w:rPr>
          <w:rFonts w:hint="eastAsia" w:ascii="宋体" w:hAnsi="宋体" w:cs="宋体"/>
          <w:color w:val="auto"/>
          <w:szCs w:val="21"/>
          <w:highlight w:val="none"/>
          <w:lang w:eastAsia="zh-CN"/>
        </w:rPr>
        <w:t>2026</w:t>
      </w:r>
      <w:r>
        <w:rPr>
          <w:rFonts w:hint="eastAsia" w:ascii="宋体" w:hAnsi="宋体" w:cs="宋体"/>
          <w:color w:val="auto"/>
          <w:szCs w:val="21"/>
          <w:highlight w:val="none"/>
        </w:rPr>
        <w:t>年版）（市监食检（司）函【2026】32号）</w:t>
      </w:r>
    </w:p>
    <w:p w14:paraId="261D0932">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注：以上标准如有更新，按最新标准执行。</w:t>
      </w:r>
    </w:p>
    <w:p w14:paraId="75F00D76">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4.2主要技术要求</w:t>
      </w:r>
    </w:p>
    <w:p w14:paraId="56D4D17D">
      <w:pPr>
        <w:keepNext w:val="0"/>
        <w:keepLines w:val="0"/>
        <w:pageBreakBefore w:val="0"/>
        <w:widowControl w:val="0"/>
        <w:kinsoku/>
        <w:wordWrap/>
        <w:overflowPunct/>
        <w:topLinePunct w:val="0"/>
        <w:autoSpaceDE/>
        <w:autoSpaceDN/>
        <w:bidi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4.2.1抽样环节</w:t>
      </w:r>
    </w:p>
    <w:p w14:paraId="1E254DDB">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表1 抽样环节主要技术内容和标准</w:t>
      </w:r>
    </w:p>
    <w:tbl>
      <w:tblPr>
        <w:tblStyle w:val="34"/>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724"/>
        <w:gridCol w:w="970"/>
        <w:gridCol w:w="5692"/>
      </w:tblGrid>
      <w:tr w14:paraId="20C1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49" w:type="dxa"/>
            <w:shd w:val="clear" w:color="auto" w:fill="auto"/>
            <w:vAlign w:val="center"/>
          </w:tcPr>
          <w:p w14:paraId="111FEE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694" w:type="dxa"/>
            <w:gridSpan w:val="2"/>
            <w:vAlign w:val="center"/>
          </w:tcPr>
          <w:p w14:paraId="78089F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服务名称</w:t>
            </w:r>
          </w:p>
        </w:tc>
        <w:tc>
          <w:tcPr>
            <w:tcW w:w="5692" w:type="dxa"/>
            <w:shd w:val="clear" w:color="auto" w:fill="auto"/>
            <w:vAlign w:val="center"/>
          </w:tcPr>
          <w:p w14:paraId="7D9FE9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服务内容和标准</w:t>
            </w:r>
          </w:p>
        </w:tc>
      </w:tr>
      <w:tr w14:paraId="3359A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49" w:type="dxa"/>
            <w:shd w:val="clear" w:color="auto" w:fill="auto"/>
            <w:vAlign w:val="center"/>
          </w:tcPr>
          <w:p w14:paraId="1D2D639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694" w:type="dxa"/>
            <w:gridSpan w:val="2"/>
            <w:vAlign w:val="center"/>
          </w:tcPr>
          <w:p w14:paraId="484C8CD6">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抽样单位确定</w:t>
            </w:r>
          </w:p>
        </w:tc>
        <w:tc>
          <w:tcPr>
            <w:tcW w:w="5692" w:type="dxa"/>
            <w:shd w:val="clear" w:color="auto" w:fill="auto"/>
            <w:vAlign w:val="center"/>
          </w:tcPr>
          <w:p w14:paraId="0013DAF1">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采购人自行抽样或者委托供应商抽样。</w:t>
            </w:r>
          </w:p>
        </w:tc>
      </w:tr>
      <w:tr w14:paraId="2DEB8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7632E5FA">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694" w:type="dxa"/>
            <w:gridSpan w:val="2"/>
            <w:vAlign w:val="center"/>
          </w:tcPr>
          <w:p w14:paraId="45C3C3E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抽样前准备</w:t>
            </w:r>
          </w:p>
        </w:tc>
        <w:tc>
          <w:tcPr>
            <w:tcW w:w="5692" w:type="dxa"/>
            <w:shd w:val="clear" w:color="auto" w:fill="auto"/>
            <w:vAlign w:val="center"/>
          </w:tcPr>
          <w:p w14:paraId="1DF58DD5">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抽样单位应当建立食品抽样管理制度，明确岗位职责、抽样流程和工作纪律。</w:t>
            </w:r>
          </w:p>
        </w:tc>
      </w:tr>
      <w:tr w14:paraId="6327F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19E8C4C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694" w:type="dxa"/>
            <w:gridSpan w:val="2"/>
            <w:vAlign w:val="center"/>
          </w:tcPr>
          <w:p w14:paraId="214AD146">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抽样人员确定</w:t>
            </w:r>
          </w:p>
        </w:tc>
        <w:tc>
          <w:tcPr>
            <w:tcW w:w="5692" w:type="dxa"/>
            <w:shd w:val="clear" w:color="auto" w:fill="auto"/>
            <w:vAlign w:val="center"/>
          </w:tcPr>
          <w:p w14:paraId="05DA1EA9">
            <w:pPr>
              <w:keepNext w:val="0"/>
              <w:keepLines w:val="0"/>
              <w:widowControl/>
              <w:numPr>
                <w:ilvl w:val="0"/>
                <w:numId w:val="1"/>
              </w:numPr>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独立的食品抽样人员数量、能力等要求与服务需求相匹配。</w:t>
            </w:r>
          </w:p>
          <w:p w14:paraId="740E6C0C">
            <w:pPr>
              <w:keepNext w:val="0"/>
              <w:keepLines w:val="0"/>
              <w:widowControl/>
              <w:numPr>
                <w:ilvl w:val="0"/>
                <w:numId w:val="1"/>
              </w:numPr>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实施抽检分离，随机确定抽样人员，抽样人员与检验人员不得为同一人。</w:t>
            </w:r>
          </w:p>
          <w:p w14:paraId="575EBA2B">
            <w:pPr>
              <w:keepNext w:val="0"/>
              <w:keepLines w:val="0"/>
              <w:widowControl/>
              <w:numPr>
                <w:ilvl w:val="0"/>
                <w:numId w:val="1"/>
              </w:numPr>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抽样人员执行抽样任务时不得少于两人。</w:t>
            </w:r>
          </w:p>
          <w:p w14:paraId="5CAD64C6">
            <w:pPr>
              <w:keepNext w:val="0"/>
              <w:keepLines w:val="0"/>
              <w:widowControl/>
              <w:numPr>
                <w:ilvl w:val="0"/>
                <w:numId w:val="1"/>
              </w:numPr>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在集中交易市场、商场、超市、便利店等销售场所开展的食用农产品监督抽检工作，委托抽样的应当不少于两名监管人员参与抽样。</w:t>
            </w:r>
          </w:p>
        </w:tc>
      </w:tr>
      <w:tr w14:paraId="7F60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749" w:type="dxa"/>
            <w:shd w:val="clear" w:color="auto" w:fill="auto"/>
            <w:vAlign w:val="center"/>
          </w:tcPr>
          <w:p w14:paraId="53BCD93A">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694" w:type="dxa"/>
            <w:gridSpan w:val="2"/>
            <w:vAlign w:val="center"/>
          </w:tcPr>
          <w:p w14:paraId="0E0CA2DC">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抽样前培训</w:t>
            </w:r>
          </w:p>
        </w:tc>
        <w:tc>
          <w:tcPr>
            <w:tcW w:w="5692" w:type="dxa"/>
            <w:shd w:val="clear" w:color="auto" w:fill="auto"/>
            <w:vAlign w:val="center"/>
          </w:tcPr>
          <w:p w14:paraId="7BB9EE92">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抽样前应当对抽样人员进行培训，并做好相关记录。抽样人员应当熟悉食品安全法律、法规、规章和食品安全标准等的相关规定，熟练使用国家食品安全抽样检验信息系统。</w:t>
            </w:r>
          </w:p>
        </w:tc>
      </w:tr>
      <w:tr w14:paraId="42A9F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4B03C041">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724" w:type="dxa"/>
            <w:vMerge w:val="restart"/>
            <w:vAlign w:val="center"/>
          </w:tcPr>
          <w:p w14:paraId="387E2028">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现场抽样</w:t>
            </w:r>
          </w:p>
        </w:tc>
        <w:tc>
          <w:tcPr>
            <w:tcW w:w="970" w:type="dxa"/>
            <w:vAlign w:val="center"/>
          </w:tcPr>
          <w:p w14:paraId="4520F3AC">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w:t>
            </w:r>
          </w:p>
          <w:p w14:paraId="4E22BA04">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告知</w:t>
            </w:r>
          </w:p>
        </w:tc>
        <w:tc>
          <w:tcPr>
            <w:tcW w:w="5692" w:type="dxa"/>
            <w:shd w:val="clear" w:color="auto" w:fill="auto"/>
            <w:vAlign w:val="center"/>
          </w:tcPr>
          <w:p w14:paraId="696E8179">
            <w:pPr>
              <w:keepNext w:val="0"/>
              <w:keepLines w:val="0"/>
              <w:widowControl/>
              <w:numPr>
                <w:ilvl w:val="0"/>
                <w:numId w:val="2"/>
              </w:numPr>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抽样工作不得预先通知食品生产经营者。</w:t>
            </w:r>
          </w:p>
          <w:p w14:paraId="6B35E270">
            <w:pPr>
              <w:keepNext w:val="0"/>
              <w:keepLines w:val="0"/>
              <w:widowControl/>
              <w:numPr>
                <w:ilvl w:val="0"/>
                <w:numId w:val="2"/>
              </w:numPr>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抽样人员应当按规定向被抽样单位出示有效身份证明文件、《食品安全抽样检验告知书》、《食品安全抽样检验任务委托书》，告知其依法享有的权利和应当承担的义务，并使用规范用语。</w:t>
            </w:r>
          </w:p>
        </w:tc>
      </w:tr>
      <w:tr w14:paraId="18997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59B3957C">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724" w:type="dxa"/>
            <w:vMerge w:val="continue"/>
            <w:vAlign w:val="center"/>
          </w:tcPr>
          <w:p w14:paraId="0717FD8A">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4C832B45">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信息</w:t>
            </w:r>
          </w:p>
          <w:p w14:paraId="4EB63753">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核查</w:t>
            </w:r>
          </w:p>
        </w:tc>
        <w:tc>
          <w:tcPr>
            <w:tcW w:w="5692" w:type="dxa"/>
            <w:shd w:val="clear" w:color="auto" w:fill="auto"/>
            <w:vAlign w:val="center"/>
          </w:tcPr>
          <w:p w14:paraId="3A27AF3E">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抽样人员应当核查被抽样单位提供的营业执照、许可证等相关证件。必要时，可核查进货查验记录、合法进货凭证等可追溯信息。</w:t>
            </w:r>
          </w:p>
        </w:tc>
      </w:tr>
      <w:tr w14:paraId="4BB71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49" w:type="dxa"/>
            <w:shd w:val="clear" w:color="auto" w:fill="auto"/>
            <w:vAlign w:val="center"/>
          </w:tcPr>
          <w:p w14:paraId="19F93806">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724" w:type="dxa"/>
            <w:vMerge w:val="continue"/>
            <w:vAlign w:val="center"/>
          </w:tcPr>
          <w:p w14:paraId="136B45C2">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64F41C2F">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样品</w:t>
            </w:r>
          </w:p>
          <w:p w14:paraId="1D064616">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抽取</w:t>
            </w:r>
          </w:p>
        </w:tc>
        <w:tc>
          <w:tcPr>
            <w:tcW w:w="5692" w:type="dxa"/>
            <w:shd w:val="clear" w:color="auto" w:fill="auto"/>
            <w:vAlign w:val="center"/>
          </w:tcPr>
          <w:p w14:paraId="18345CFE">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（1）抽样人员可以从食品经营者的经营场所、仓库以及食品生产者的成品库待销产品中随机抽取样品，不得由被抽样单位自行提供样品。</w:t>
            </w:r>
          </w:p>
          <w:p w14:paraId="35FE51E7">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（2）抽样数量原则上应当满足检验和复检的要求。</w:t>
            </w:r>
          </w:p>
          <w:p w14:paraId="40276F86">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（3）对易腐烂变质的蔬菜、水果等食用农产品样品，需进行均质备份样品的，应当在现场抽样时主动向被抽样单位告知确认，在现场或实验室进行均质备份样品时，采取拍照或摄像等方式进行记录。</w:t>
            </w:r>
          </w:p>
          <w:p w14:paraId="6A6E03B7">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（4）</w:t>
            </w:r>
            <w:r>
              <w:rPr>
                <w:rFonts w:hint="eastAsia" w:ascii="宋体" w:hAnsi="宋体" w:eastAsia="宋体" w:cs="宋体"/>
                <w:color w:val="auto"/>
                <w:kern w:val="0"/>
                <w:sz w:val="21"/>
                <w:szCs w:val="21"/>
                <w:highlight w:val="none"/>
              </w:rPr>
              <w:t>抽样现场的设备，包括平板、打印机、无菌袋、测温枪等类似设备应能满足项目需求。</w:t>
            </w:r>
          </w:p>
        </w:tc>
      </w:tr>
      <w:tr w14:paraId="48111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55E66AE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724" w:type="dxa"/>
            <w:vMerge w:val="continue"/>
            <w:vAlign w:val="center"/>
          </w:tcPr>
          <w:p w14:paraId="1DF0BC2B">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4276F346">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封样</w:t>
            </w:r>
          </w:p>
          <w:p w14:paraId="514D52F4">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签字</w:t>
            </w:r>
          </w:p>
        </w:tc>
        <w:tc>
          <w:tcPr>
            <w:tcW w:w="5692" w:type="dxa"/>
            <w:shd w:val="clear" w:color="auto" w:fill="auto"/>
            <w:vAlign w:val="center"/>
          </w:tcPr>
          <w:p w14:paraId="218E70FC">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Style w:val="85"/>
                <w:rFonts w:hint="eastAsia" w:ascii="宋体" w:hAnsi="宋体" w:eastAsia="宋体" w:cs="宋体"/>
                <w:color w:val="auto"/>
                <w:sz w:val="21"/>
                <w:szCs w:val="21"/>
                <w:highlight w:val="none"/>
              </w:rPr>
              <w:t>抽样人员应当采取有效的防拆封措施，对检验样品和复检备份样品分别封样，并贴上《食品安全抽样检验封条》。</w:t>
            </w:r>
          </w:p>
          <w:p w14:paraId="72151480">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Style w:val="85"/>
                <w:rFonts w:hint="eastAsia" w:ascii="宋体" w:hAnsi="宋体" w:eastAsia="宋体" w:cs="宋体"/>
                <w:color w:val="auto"/>
                <w:sz w:val="21"/>
                <w:szCs w:val="21"/>
                <w:highlight w:val="none"/>
              </w:rPr>
              <w:t>封条上应当由抽样人员(含参与抽样的监管人员)和被抽样单位签字或者盖章确认。</w:t>
            </w:r>
          </w:p>
          <w:p w14:paraId="1C1219BE">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Style w:val="85"/>
                <w:rFonts w:hint="eastAsia" w:ascii="宋体" w:hAnsi="宋体" w:eastAsia="宋体" w:cs="宋体"/>
                <w:color w:val="auto"/>
                <w:sz w:val="21"/>
                <w:szCs w:val="21"/>
                <w:highlight w:val="none"/>
              </w:rPr>
              <w:t>食用农产品需在实验室均质后留存复检备份样品的，现场还应当填写一份信息完整、签字或者盖章确认的封条，用于封存均质后的备份样品。</w:t>
            </w:r>
          </w:p>
        </w:tc>
      </w:tr>
      <w:tr w14:paraId="77AC1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49" w:type="dxa"/>
            <w:shd w:val="clear" w:color="auto" w:fill="auto"/>
            <w:vAlign w:val="center"/>
          </w:tcPr>
          <w:p w14:paraId="2645899B">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724" w:type="dxa"/>
            <w:vMerge w:val="continue"/>
            <w:vAlign w:val="center"/>
          </w:tcPr>
          <w:p w14:paraId="7FC4C82F">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4EF2A6B1">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抽样单填写</w:t>
            </w:r>
          </w:p>
        </w:tc>
        <w:tc>
          <w:tcPr>
            <w:tcW w:w="5692" w:type="dxa"/>
            <w:shd w:val="clear" w:color="auto" w:fill="auto"/>
            <w:vAlign w:val="center"/>
          </w:tcPr>
          <w:p w14:paraId="1C753FB1">
            <w:pPr>
              <w:keepNext w:val="0"/>
              <w:keepLines w:val="0"/>
              <w:widowControl/>
              <w:numPr>
                <w:ilvl w:val="0"/>
                <w:numId w:val="3"/>
              </w:numPr>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抽样人员应当使用《食品安全抽样检验抽样单》，详细记录抽样信息，记录保存期限不得少于两年。</w:t>
            </w:r>
          </w:p>
          <w:p w14:paraId="440F4100">
            <w:pPr>
              <w:keepNext w:val="0"/>
              <w:keepLines w:val="0"/>
              <w:widowControl/>
              <w:numPr>
                <w:ilvl w:val="0"/>
                <w:numId w:val="3"/>
              </w:numPr>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抽样文书应当字迹工整、清晰，容易辨认，不得随意更改。</w:t>
            </w:r>
          </w:p>
          <w:p w14:paraId="5197BCEC">
            <w:pPr>
              <w:keepNext w:val="0"/>
              <w:keepLines w:val="0"/>
              <w:widowControl/>
              <w:numPr>
                <w:ilvl w:val="0"/>
                <w:numId w:val="3"/>
              </w:numPr>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抽样单填写完毕后，应当由抽样人员（含参与抽样的监管人员)和被抽样单位签字或盖章确认。</w:t>
            </w:r>
          </w:p>
          <w:p w14:paraId="70BCA7C6">
            <w:pPr>
              <w:keepNext w:val="0"/>
              <w:keepLines w:val="0"/>
              <w:widowControl/>
              <w:numPr>
                <w:ilvl w:val="0"/>
                <w:numId w:val="3"/>
              </w:numPr>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如需更改信息应当由被抽样单位确认，其中营业执照、经营许可证、生产许可证等证照信息以及样品标称信息如需更改，由两名抽样人员签字或抽样单位盖章确认即可。</w:t>
            </w:r>
          </w:p>
        </w:tc>
      </w:tr>
      <w:tr w14:paraId="7AB46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49" w:type="dxa"/>
            <w:shd w:val="clear" w:color="auto" w:fill="auto"/>
            <w:vAlign w:val="center"/>
          </w:tcPr>
          <w:p w14:paraId="075F103C">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724" w:type="dxa"/>
            <w:vMerge w:val="continue"/>
            <w:vAlign w:val="center"/>
          </w:tcPr>
          <w:p w14:paraId="4870F3E3">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6496A305">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现场信息采集</w:t>
            </w:r>
          </w:p>
        </w:tc>
        <w:tc>
          <w:tcPr>
            <w:tcW w:w="5692" w:type="dxa"/>
            <w:shd w:val="clear" w:color="auto" w:fill="auto"/>
            <w:vAlign w:val="center"/>
          </w:tcPr>
          <w:p w14:paraId="6E8B0EE1">
            <w:pPr>
              <w:keepNext w:val="0"/>
              <w:keepLines w:val="0"/>
              <w:widowControl/>
              <w:numPr>
                <w:ilvl w:val="0"/>
                <w:numId w:val="4"/>
              </w:numPr>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抽样人员应当通过拍照等方式对抽样场所、证照信息、贮存环境、样品信息、农产品票证（如有）、防护措施等进行现场信息采集。</w:t>
            </w:r>
          </w:p>
          <w:p w14:paraId="22BF407A">
            <w:pPr>
              <w:keepNext w:val="0"/>
              <w:keepLines w:val="0"/>
              <w:widowControl/>
              <w:numPr>
                <w:ilvl w:val="0"/>
                <w:numId w:val="4"/>
              </w:numPr>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信息采集的设备，包括执法记录仪、相机等类似设备应能满足项目需求，完整记录抽样现场过程（视频、音频、清晰照片）。</w:t>
            </w:r>
          </w:p>
        </w:tc>
      </w:tr>
      <w:tr w14:paraId="6B4CB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49" w:type="dxa"/>
            <w:shd w:val="clear" w:color="auto" w:fill="auto"/>
            <w:vAlign w:val="center"/>
          </w:tcPr>
          <w:p w14:paraId="566CFD4C">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724" w:type="dxa"/>
            <w:vMerge w:val="continue"/>
            <w:vAlign w:val="center"/>
          </w:tcPr>
          <w:p w14:paraId="2789D590">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41C3B28C">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费用</w:t>
            </w:r>
          </w:p>
          <w:p w14:paraId="40FEE5F0">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支付</w:t>
            </w:r>
          </w:p>
        </w:tc>
        <w:tc>
          <w:tcPr>
            <w:tcW w:w="5692" w:type="dxa"/>
            <w:shd w:val="clear" w:color="auto" w:fill="auto"/>
            <w:vAlign w:val="center"/>
          </w:tcPr>
          <w:p w14:paraId="4F432605">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抽样人员应当向被抽样单位支付样品购置费并索取发票（或相关购物凭证）及所购样品明细，可现场支付费用或先出具《食品安全抽样检验样品购置费用告知书》随后支付费用。 </w:t>
            </w:r>
          </w:p>
        </w:tc>
      </w:tr>
      <w:tr w14:paraId="39F9B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749" w:type="dxa"/>
            <w:shd w:val="clear" w:color="auto" w:fill="auto"/>
            <w:vAlign w:val="center"/>
          </w:tcPr>
          <w:p w14:paraId="1AD349FF">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724" w:type="dxa"/>
            <w:vMerge w:val="continue"/>
            <w:vAlign w:val="center"/>
          </w:tcPr>
          <w:p w14:paraId="31AC25F5">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5B86050E">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文书</w:t>
            </w:r>
          </w:p>
          <w:p w14:paraId="0C855183">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交付</w:t>
            </w:r>
          </w:p>
        </w:tc>
        <w:tc>
          <w:tcPr>
            <w:tcW w:w="5692" w:type="dxa"/>
            <w:shd w:val="clear" w:color="auto" w:fill="auto"/>
            <w:vAlign w:val="center"/>
          </w:tcPr>
          <w:p w14:paraId="1D8AC704">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抽样人员应当将填写完整的《食品安全抽样检验告知书》《食品安全抽样检验抽样单》《食品安全抽样检验样品购置费用告知书》（如有）和《食品安全抽样检验工作质量及工作纪律反馈单》交付被抽样单位。</w:t>
            </w:r>
          </w:p>
          <w:p w14:paraId="3BC69C4B">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（2）应将被抽样单位在《食品安全抽样检验工作质量及工作纪律反馈单》上填写完整的回执单收回。</w:t>
            </w:r>
          </w:p>
        </w:tc>
      </w:tr>
      <w:tr w14:paraId="272C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48147FDC">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724" w:type="dxa"/>
            <w:vMerge w:val="continue"/>
            <w:vAlign w:val="center"/>
          </w:tcPr>
          <w:p w14:paraId="26BEB69D">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2963E1D5">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样品</w:t>
            </w:r>
          </w:p>
          <w:p w14:paraId="17D66352">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运输</w:t>
            </w:r>
          </w:p>
        </w:tc>
        <w:tc>
          <w:tcPr>
            <w:tcW w:w="5692" w:type="dxa"/>
            <w:shd w:val="clear" w:color="auto" w:fill="auto"/>
            <w:vAlign w:val="center"/>
          </w:tcPr>
          <w:p w14:paraId="2EA50B5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p>
          <w:p w14:paraId="0296C980">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（2）抽样人员应当根据样品特性和检验目的进行合理贮存、运输。</w:t>
            </w:r>
          </w:p>
          <w:p w14:paraId="677ED3F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（3）对于易碎，冷藏、冷冻或有其他特殊贮运条件等要求的样品，抽样人员应当采取适当措施，保证样品运输过程符合标准或样品标示要求的运输条件。</w:t>
            </w:r>
          </w:p>
          <w:p w14:paraId="4F6CCC34">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kern w:val="0"/>
                <w:sz w:val="21"/>
                <w:szCs w:val="21"/>
                <w:highlight w:val="none"/>
              </w:rPr>
              <w:t>用于样品运输的设备，如普通车辆、冷链运输车辆、车载冰箱、保温箱等类似设备，其设备类型、运载能力和数量应能满足项目需求。</w:t>
            </w:r>
          </w:p>
        </w:tc>
      </w:tr>
      <w:tr w14:paraId="36509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0FFBF042">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724" w:type="dxa"/>
            <w:vMerge w:val="continue"/>
            <w:vAlign w:val="center"/>
          </w:tcPr>
          <w:p w14:paraId="4C901F8F">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645013FD">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特殊情形处理</w:t>
            </w:r>
          </w:p>
        </w:tc>
        <w:tc>
          <w:tcPr>
            <w:tcW w:w="5692" w:type="dxa"/>
            <w:shd w:val="clear" w:color="auto" w:fill="auto"/>
            <w:vAlign w:val="center"/>
          </w:tcPr>
          <w:p w14:paraId="65D4460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抽样人员应当按照食品安全抽样检验相关工作规范，对拒绝抽样、不予抽样、特殊情况等情形及时处置或报告。</w:t>
            </w:r>
          </w:p>
        </w:tc>
      </w:tr>
      <w:tr w14:paraId="646B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2B1FC680">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724" w:type="dxa"/>
            <w:vMerge w:val="restart"/>
            <w:vAlign w:val="center"/>
          </w:tcPr>
          <w:p w14:paraId="5F8DE905">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网络抽样</w:t>
            </w:r>
          </w:p>
        </w:tc>
        <w:tc>
          <w:tcPr>
            <w:tcW w:w="970" w:type="dxa"/>
            <w:vAlign w:val="center"/>
          </w:tcPr>
          <w:p w14:paraId="002FB25A">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信息</w:t>
            </w:r>
          </w:p>
          <w:p w14:paraId="2A5E41CE">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核查</w:t>
            </w:r>
          </w:p>
        </w:tc>
        <w:tc>
          <w:tcPr>
            <w:tcW w:w="5692" w:type="dxa"/>
            <w:shd w:val="clear" w:color="auto" w:fill="auto"/>
            <w:vAlign w:val="center"/>
          </w:tcPr>
          <w:p w14:paraId="6B1C44F3">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抽样人员应当确认网络食品交易经营者或食品生产企业（含委托加工方、受委托加工方）中至少有一方处于采购人监管辖区内，同时核查营业执照、许可证等相关证件。</w:t>
            </w:r>
          </w:p>
        </w:tc>
      </w:tr>
      <w:tr w14:paraId="518FB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jc w:val="center"/>
        </w:trPr>
        <w:tc>
          <w:tcPr>
            <w:tcW w:w="749" w:type="dxa"/>
            <w:shd w:val="clear" w:color="auto" w:fill="auto"/>
            <w:vAlign w:val="center"/>
          </w:tcPr>
          <w:p w14:paraId="45E2D89F">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724" w:type="dxa"/>
            <w:vMerge w:val="continue"/>
            <w:vAlign w:val="center"/>
          </w:tcPr>
          <w:p w14:paraId="34F91C0E">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377D86D7">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样品</w:t>
            </w:r>
          </w:p>
          <w:p w14:paraId="682E5B4A">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购买</w:t>
            </w:r>
          </w:p>
        </w:tc>
        <w:tc>
          <w:tcPr>
            <w:tcW w:w="5692" w:type="dxa"/>
            <w:shd w:val="clear" w:color="auto" w:fill="auto"/>
            <w:vAlign w:val="center"/>
          </w:tcPr>
          <w:p w14:paraId="3553E002">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使用已备案的账户登录网络交易平台，检索平台内的拟抽检食品，以消费者身份购买样品，使用已备案的付款账户向被抽样单位支付费用（含样品费、打包费、运输费等），索要支付凭证（发票或收据）。被抽样单位无法提供发票或收据的，网络支付截图和订单明细可作为购样凭证。</w:t>
            </w:r>
          </w:p>
        </w:tc>
      </w:tr>
      <w:tr w14:paraId="6B581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49" w:type="dxa"/>
            <w:shd w:val="clear" w:color="auto" w:fill="auto"/>
            <w:vAlign w:val="center"/>
          </w:tcPr>
          <w:p w14:paraId="2CB81A8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w:t>
            </w:r>
          </w:p>
        </w:tc>
        <w:tc>
          <w:tcPr>
            <w:tcW w:w="724" w:type="dxa"/>
            <w:vMerge w:val="continue"/>
            <w:vAlign w:val="center"/>
          </w:tcPr>
          <w:p w14:paraId="0D5FBF2B">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595D83A9">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购买过程的信息采集</w:t>
            </w:r>
          </w:p>
        </w:tc>
        <w:tc>
          <w:tcPr>
            <w:tcW w:w="5692" w:type="dxa"/>
            <w:shd w:val="clear" w:color="auto" w:fill="auto"/>
            <w:vAlign w:val="center"/>
          </w:tcPr>
          <w:p w14:paraId="75274D14">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购买样品过程中应当通过截图、拍照或者录像等方式采集样品展示页信息、网页上被抽样单位的证照、支付记录、成功下单后的订单信息等。</w:t>
            </w:r>
          </w:p>
        </w:tc>
      </w:tr>
      <w:tr w14:paraId="09335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4D91113A">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18</w:t>
            </w:r>
          </w:p>
        </w:tc>
        <w:tc>
          <w:tcPr>
            <w:tcW w:w="724" w:type="dxa"/>
            <w:vMerge w:val="continue"/>
            <w:vAlign w:val="center"/>
          </w:tcPr>
          <w:p w14:paraId="265F3522">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6BC65A00">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拆包、查验及封样过程的信息采集</w:t>
            </w:r>
          </w:p>
        </w:tc>
        <w:tc>
          <w:tcPr>
            <w:tcW w:w="5692" w:type="dxa"/>
            <w:shd w:val="clear" w:color="auto" w:fill="auto"/>
            <w:vAlign w:val="center"/>
          </w:tcPr>
          <w:p w14:paraId="095BA79D">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（1）收到物流包裹后，由不少于两名抽样人员共同对物流单据记载的订单信息进行核对，确认无误后拆包、查验，对检验样品和复检备份样品分别封样。</w:t>
            </w:r>
          </w:p>
          <w:p w14:paraId="1736B5DB">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（2）拆包、查验、封样过程应当拍照及录像，留存足以证明样品来源的关键影像资料。</w:t>
            </w:r>
          </w:p>
        </w:tc>
      </w:tr>
      <w:tr w14:paraId="4BB7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49" w:type="dxa"/>
            <w:shd w:val="clear" w:color="auto" w:fill="auto"/>
            <w:vAlign w:val="center"/>
          </w:tcPr>
          <w:p w14:paraId="01B093B2">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w:t>
            </w:r>
          </w:p>
        </w:tc>
        <w:tc>
          <w:tcPr>
            <w:tcW w:w="724" w:type="dxa"/>
            <w:vMerge w:val="continue"/>
            <w:vAlign w:val="center"/>
          </w:tcPr>
          <w:p w14:paraId="464D2AB2">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4977D9EE">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文书</w:t>
            </w:r>
          </w:p>
          <w:p w14:paraId="78E58A09">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填写及交付</w:t>
            </w:r>
          </w:p>
        </w:tc>
        <w:tc>
          <w:tcPr>
            <w:tcW w:w="5692" w:type="dxa"/>
            <w:shd w:val="clear" w:color="auto" w:fill="auto"/>
            <w:vAlign w:val="center"/>
          </w:tcPr>
          <w:p w14:paraId="16AC72DE">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应当完整填写《食品安全抽样检验抽样单》。《食品安全抽样检验抽样单》和《食品安全抽样检验封条》不需要被抽样单位签字或盖章确认，也不需要交付被抽样单位，如需更改信息可由两名抽样人员签名确认或抽样单位盖章确认。</w:t>
            </w:r>
          </w:p>
        </w:tc>
      </w:tr>
      <w:tr w14:paraId="0A155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632AE7C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w:t>
            </w:r>
          </w:p>
        </w:tc>
        <w:tc>
          <w:tcPr>
            <w:tcW w:w="724" w:type="dxa"/>
            <w:vMerge w:val="continue"/>
            <w:vAlign w:val="center"/>
          </w:tcPr>
          <w:p w14:paraId="5E777988">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1C74BBE0">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特殊情况处理</w:t>
            </w:r>
          </w:p>
        </w:tc>
        <w:tc>
          <w:tcPr>
            <w:tcW w:w="5692" w:type="dxa"/>
            <w:shd w:val="clear" w:color="auto" w:fill="auto"/>
            <w:vAlign w:val="center"/>
          </w:tcPr>
          <w:p w14:paraId="38ECEDCA">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（1）对于收到的食品为不同生产批次的，选取其中满足检验及复检要求的某一批次食品为抽检样品，其余不同批次食品应当单独封样，同复检备份样品一并管理，并在抽样单备注栏说明。</w:t>
            </w:r>
          </w:p>
          <w:p w14:paraId="7D346162">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（2）若无任何一批次满足检验及复检要求的，抽样单位可向采购人申请调整检验项目等，经同意后可对某一批次样品进行检验。</w:t>
            </w:r>
          </w:p>
        </w:tc>
      </w:tr>
    </w:tbl>
    <w:p w14:paraId="151B1BEB">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26232456">
      <w:pPr>
        <w:spacing w:line="5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4.2.2检验环节</w:t>
      </w:r>
    </w:p>
    <w:p w14:paraId="3A1C3CAB">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表2 检验环节主要技术内容和标准</w:t>
      </w:r>
    </w:p>
    <w:tbl>
      <w:tblPr>
        <w:tblStyle w:val="34"/>
        <w:tblW w:w="8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0"/>
        <w:gridCol w:w="5767"/>
      </w:tblGrid>
      <w:tr w14:paraId="53860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7" w:type="dxa"/>
            <w:shd w:val="clear" w:color="auto" w:fill="auto"/>
            <w:vAlign w:val="center"/>
          </w:tcPr>
          <w:p w14:paraId="7E2B8C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700" w:type="dxa"/>
            <w:vAlign w:val="center"/>
          </w:tcPr>
          <w:p w14:paraId="21875A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服务名称</w:t>
            </w:r>
          </w:p>
        </w:tc>
        <w:tc>
          <w:tcPr>
            <w:tcW w:w="5767" w:type="dxa"/>
            <w:shd w:val="clear" w:color="auto" w:fill="auto"/>
            <w:vAlign w:val="center"/>
          </w:tcPr>
          <w:p w14:paraId="07F47D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服务内容和标准</w:t>
            </w:r>
          </w:p>
        </w:tc>
      </w:tr>
      <w:tr w14:paraId="735CD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17" w:type="dxa"/>
            <w:shd w:val="clear" w:color="auto" w:fill="auto"/>
            <w:vAlign w:val="center"/>
          </w:tcPr>
          <w:p w14:paraId="61AAE59A">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700" w:type="dxa"/>
            <w:vAlign w:val="center"/>
          </w:tcPr>
          <w:p w14:paraId="330A9737">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供应商确定</w:t>
            </w:r>
          </w:p>
        </w:tc>
        <w:tc>
          <w:tcPr>
            <w:tcW w:w="5767" w:type="dxa"/>
            <w:shd w:val="clear" w:color="auto" w:fill="auto"/>
            <w:vAlign w:val="center"/>
          </w:tcPr>
          <w:p w14:paraId="0A8967AC">
            <w:pPr>
              <w:keepNext w:val="0"/>
              <w:keepLines w:val="0"/>
              <w:widowControl/>
              <w:numPr>
                <w:ilvl w:val="0"/>
                <w:numId w:val="5"/>
              </w:numPr>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采购人根据政府采购、食品安全等法律法规要求确定供应商。</w:t>
            </w:r>
          </w:p>
          <w:p w14:paraId="282E3416">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（2）未经采购人同意，供应商不得分包或者转包检验任务。</w:t>
            </w:r>
          </w:p>
        </w:tc>
      </w:tr>
      <w:tr w14:paraId="75B86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17" w:type="dxa"/>
            <w:shd w:val="clear" w:color="auto" w:fill="auto"/>
            <w:vAlign w:val="center"/>
          </w:tcPr>
          <w:p w14:paraId="073FA2EA">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700" w:type="dxa"/>
            <w:vAlign w:val="center"/>
          </w:tcPr>
          <w:p w14:paraId="3CBF85E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检验人员管理</w:t>
            </w:r>
          </w:p>
        </w:tc>
        <w:tc>
          <w:tcPr>
            <w:tcW w:w="5767" w:type="dxa"/>
            <w:shd w:val="clear" w:color="auto" w:fill="auto"/>
            <w:vAlign w:val="center"/>
          </w:tcPr>
          <w:p w14:paraId="03A6F35E">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（1）食品检验人员数量、专业领域、工作年限等要求与服务需求相匹配。</w:t>
            </w:r>
          </w:p>
          <w:p w14:paraId="02A25E80">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（2）建立检验人员持证上岗制度，加强食品安全法律法规、标准规范、质量控制要求、实验室安全与防护知识等方面的培训考核，确保检验人员能力持续满足承检工作需求。</w:t>
            </w:r>
          </w:p>
        </w:tc>
      </w:tr>
      <w:tr w14:paraId="05AE0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17" w:type="dxa"/>
            <w:shd w:val="clear" w:color="auto" w:fill="auto"/>
            <w:vAlign w:val="center"/>
          </w:tcPr>
          <w:p w14:paraId="3CF9854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700" w:type="dxa"/>
            <w:vAlign w:val="center"/>
          </w:tcPr>
          <w:p w14:paraId="0C874FCA">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样品接收与保存</w:t>
            </w:r>
          </w:p>
        </w:tc>
        <w:tc>
          <w:tcPr>
            <w:tcW w:w="5767" w:type="dxa"/>
            <w:shd w:val="clear" w:color="auto" w:fill="auto"/>
            <w:vAlign w:val="center"/>
          </w:tcPr>
          <w:p w14:paraId="68CE30CB">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供应商接收样品时，应当查验、记录样品的外观、状态、封条有无破损以及其他可能对检验结论产生影响的情况，并核对样品与抽样文书信息。样品移交时，规范填写《食品安全抽样检验样品移交确认单》。</w:t>
            </w:r>
          </w:p>
          <w:p w14:paraId="62C5F27A">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（2）对符合要求的样品，供应商应当在抽样后五个工作日内完成样品接收工作，将检验样品和复检备份样品分别加贴相应标识后，按照要求入库存放。</w:t>
            </w:r>
          </w:p>
          <w:p w14:paraId="7D1FBAA0">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p>
          <w:p w14:paraId="7A5C805F">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w:t>
            </w:r>
            <w:r>
              <w:rPr>
                <w:rStyle w:val="85"/>
                <w:rFonts w:hint="eastAsia" w:ascii="宋体" w:hAnsi="宋体" w:cs="宋体"/>
                <w:color w:val="auto"/>
                <w:sz w:val="21"/>
                <w:szCs w:val="21"/>
                <w:highlight w:val="none"/>
                <w:lang w:val="en-US" w:eastAsia="zh-CN"/>
              </w:rPr>
              <w:t>4</w:t>
            </w:r>
            <w:r>
              <w:rPr>
                <w:rStyle w:val="85"/>
                <w:rFonts w:hint="eastAsia" w:ascii="宋体" w:hAnsi="宋体" w:eastAsia="宋体" w:cs="宋体"/>
                <w:color w:val="auto"/>
                <w:sz w:val="21"/>
                <w:szCs w:val="21"/>
                <w:highlight w:val="none"/>
              </w:rPr>
              <w:t>）抽样检验的样品由供应商保存。供应商应当建立样品保管制度，严禁样品被随意调换、拆封。对于复检备份样品的调取或使用，应当经相关负责人签字确认后方可进行。</w:t>
            </w:r>
          </w:p>
          <w:p w14:paraId="012B22EC">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w:t>
            </w:r>
            <w:r>
              <w:rPr>
                <w:rStyle w:val="85"/>
                <w:rFonts w:hint="eastAsia" w:ascii="宋体" w:hAnsi="宋体" w:cs="宋体"/>
                <w:color w:val="auto"/>
                <w:sz w:val="21"/>
                <w:szCs w:val="21"/>
                <w:highlight w:val="none"/>
                <w:lang w:val="en-US" w:eastAsia="zh-CN"/>
              </w:rPr>
              <w:t>5</w:t>
            </w:r>
            <w:r>
              <w:rPr>
                <w:rStyle w:val="85"/>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样品储存场所容量、环境、温度控制等与服务需求相匹配。</w:t>
            </w:r>
          </w:p>
        </w:tc>
      </w:tr>
      <w:tr w14:paraId="46F3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7" w:type="dxa"/>
            <w:shd w:val="clear" w:color="auto" w:fill="auto"/>
            <w:vAlign w:val="center"/>
          </w:tcPr>
          <w:p w14:paraId="63028B2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700" w:type="dxa"/>
            <w:vAlign w:val="center"/>
          </w:tcPr>
          <w:p w14:paraId="6B4609EF">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检验过程</w:t>
            </w:r>
          </w:p>
        </w:tc>
        <w:tc>
          <w:tcPr>
            <w:tcW w:w="5767" w:type="dxa"/>
            <w:shd w:val="clear" w:color="auto" w:fill="auto"/>
            <w:vAlign w:val="center"/>
          </w:tcPr>
          <w:p w14:paraId="5CCCC69B">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（1）监督抽检应当按照食品安全标准、注册或者备案的特殊食品产品技术要求以及国家有关规定确定的检验项目和检验方法进行。</w:t>
            </w:r>
          </w:p>
          <w:p w14:paraId="44725750">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（2）风险</w:t>
            </w:r>
            <w:r>
              <w:rPr>
                <w:rStyle w:val="85"/>
                <w:rFonts w:hint="eastAsia" w:ascii="宋体" w:hAnsi="宋体" w:eastAsia="宋体" w:cs="宋体"/>
                <w:color w:val="auto"/>
                <w:sz w:val="21"/>
                <w:szCs w:val="21"/>
                <w:highlight w:val="none"/>
                <w:lang w:val="en-US" w:eastAsia="zh-CN"/>
              </w:rPr>
              <w:t>抽检</w:t>
            </w:r>
            <w:r>
              <w:rPr>
                <w:rStyle w:val="85"/>
                <w:rFonts w:hint="eastAsia" w:ascii="宋体" w:hAnsi="宋体" w:eastAsia="宋体" w:cs="宋体"/>
                <w:color w:val="auto"/>
                <w:sz w:val="21"/>
                <w:szCs w:val="21"/>
                <w:highlight w:val="none"/>
              </w:rPr>
              <w:t>工作中，在没有前款规定的检验方法的情况下，可以采用其他检验方法。</w:t>
            </w:r>
          </w:p>
          <w:p w14:paraId="59285A76">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（3）在不影响样品检验结果的前提下，供应商应当对检验样品采取相应的措施（如分装或者重新包装编号），以保证不会发生人为原因导致不公正的情况。</w:t>
            </w:r>
          </w:p>
          <w:p w14:paraId="40A17A32">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（4）供应商应当按照标准或相关规定制备样品，必要时制定作业指导书，认真记录制样过程关键信息。</w:t>
            </w:r>
          </w:p>
          <w:p w14:paraId="7512AFFC">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（5）供应商应当建立检验结果复验程序（微生物、螨、寄生虫项目除外），在检验结果不合格或存疑等情况时，应当对同批次样品进行再次检验并保存原始记录，确保数据准确可靠。</w:t>
            </w:r>
          </w:p>
          <w:p w14:paraId="3EE51BD9">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（6）微生物项目不合格的，应当由微生物检验领域关键技术人员（与样品检验人员非同一人）对检验过程中影响结果的关键因素进行复核。</w:t>
            </w:r>
          </w:p>
          <w:p w14:paraId="40590A36">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kern w:val="0"/>
                <w:sz w:val="21"/>
                <w:szCs w:val="21"/>
                <w:highlight w:val="none"/>
              </w:rPr>
            </w:pPr>
            <w:r>
              <w:rPr>
                <w:rStyle w:val="85"/>
                <w:rFonts w:hint="eastAsia" w:ascii="宋体" w:hAnsi="宋体" w:eastAsia="宋体" w:cs="宋体"/>
                <w:color w:val="auto"/>
                <w:sz w:val="21"/>
                <w:szCs w:val="21"/>
                <w:highlight w:val="none"/>
              </w:rPr>
              <w:t>（7）</w:t>
            </w:r>
            <w:r>
              <w:rPr>
                <w:rFonts w:hint="eastAsia" w:ascii="宋体" w:hAnsi="宋体" w:eastAsia="宋体" w:cs="宋体"/>
                <w:color w:val="auto"/>
                <w:kern w:val="0"/>
                <w:sz w:val="21"/>
                <w:szCs w:val="21"/>
                <w:highlight w:val="none"/>
              </w:rPr>
              <w:t>拟用于开展食品检验工作的实验场所面积、环境、布局和组成部分等与服务需求相匹配。</w:t>
            </w:r>
          </w:p>
          <w:p w14:paraId="38A42473">
            <w:pPr>
              <w:keepNext w:val="0"/>
              <w:keepLines w:val="0"/>
              <w:widowControl/>
              <w:suppressLineNumbers w:val="0"/>
              <w:spacing w:before="0" w:beforeAutospacing="0" w:after="0" w:afterAutospacing="0" w:line="320" w:lineRule="exact"/>
              <w:ind w:left="0" w:right="0"/>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（8）检验设备的仪器型号、等级、精密度、运行状况和数量应能满足项目需求。</w:t>
            </w:r>
          </w:p>
        </w:tc>
      </w:tr>
      <w:tr w14:paraId="77582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17" w:type="dxa"/>
            <w:shd w:val="clear" w:color="auto" w:fill="auto"/>
            <w:vAlign w:val="center"/>
          </w:tcPr>
          <w:p w14:paraId="3FBF4AC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1700" w:type="dxa"/>
            <w:vAlign w:val="center"/>
          </w:tcPr>
          <w:p w14:paraId="295FD5EA">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检验记录</w:t>
            </w:r>
          </w:p>
        </w:tc>
        <w:tc>
          <w:tcPr>
            <w:tcW w:w="5767" w:type="dxa"/>
            <w:shd w:val="clear" w:color="auto" w:fill="auto"/>
            <w:vAlign w:val="center"/>
          </w:tcPr>
          <w:p w14:paraId="3EEB85D3">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（1）检验原始记录必须如实填写，保证真实、准确、完整、清晰、可溯源，不得随意更改。</w:t>
            </w:r>
          </w:p>
          <w:p w14:paraId="3903C1F9">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（2）确有必要更改的，更改处应当经检验人员签字或盖章确认，采用电子化原始记录的，应当保留更改痕迹。</w:t>
            </w:r>
          </w:p>
        </w:tc>
      </w:tr>
      <w:tr w14:paraId="76692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817" w:type="dxa"/>
            <w:shd w:val="clear" w:color="auto" w:fill="auto"/>
            <w:vAlign w:val="center"/>
          </w:tcPr>
          <w:p w14:paraId="02462166">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1700" w:type="dxa"/>
            <w:vAlign w:val="center"/>
          </w:tcPr>
          <w:p w14:paraId="62719FD8">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结果质量控制</w:t>
            </w:r>
          </w:p>
        </w:tc>
        <w:tc>
          <w:tcPr>
            <w:tcW w:w="5767" w:type="dxa"/>
            <w:shd w:val="clear" w:color="auto" w:fill="auto"/>
            <w:vAlign w:val="center"/>
          </w:tcPr>
          <w:p w14:paraId="1CA3F7AC">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供应商应当选取加标回收、人员比对、设备比对或实验室间比对等质控方式确保数据的准确性。</w:t>
            </w:r>
          </w:p>
        </w:tc>
      </w:tr>
      <w:tr w14:paraId="4EA66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jc w:val="center"/>
        </w:trPr>
        <w:tc>
          <w:tcPr>
            <w:tcW w:w="817" w:type="dxa"/>
            <w:shd w:val="clear" w:color="auto" w:fill="auto"/>
            <w:vAlign w:val="center"/>
          </w:tcPr>
          <w:p w14:paraId="1844D31F">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1700" w:type="dxa"/>
            <w:vAlign w:val="center"/>
          </w:tcPr>
          <w:p w14:paraId="5500C72A">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检验报告</w:t>
            </w:r>
          </w:p>
        </w:tc>
        <w:tc>
          <w:tcPr>
            <w:tcW w:w="5767" w:type="dxa"/>
            <w:shd w:val="clear" w:color="auto" w:fill="auto"/>
            <w:vAlign w:val="center"/>
          </w:tcPr>
          <w:p w14:paraId="3840573B">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（1）供应商应当按规定格式出具检验报告，检验报告应当内容真实完整、数据准确。</w:t>
            </w:r>
          </w:p>
          <w:p w14:paraId="1B14185A">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（2）供应商应当自收到样品之日起二十个工作日内出具检验报告。采购人与供应商另有约定的，从其约定。</w:t>
            </w:r>
          </w:p>
          <w:p w14:paraId="3A446B4B">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（3）食品安全抽样检验实行供应商与检验人负责制。供应商出具的食品安全检验报告应当加盖机构公章或检验检测专用章，并有检验人的签名或者盖章。供应商和检验人对出具的检验报告负责。</w:t>
            </w:r>
          </w:p>
        </w:tc>
      </w:tr>
      <w:tr w14:paraId="28B37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817" w:type="dxa"/>
            <w:shd w:val="clear" w:color="auto" w:fill="auto"/>
            <w:vAlign w:val="center"/>
          </w:tcPr>
          <w:p w14:paraId="7A9C102A">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1700" w:type="dxa"/>
            <w:vAlign w:val="center"/>
          </w:tcPr>
          <w:p w14:paraId="7246BCCE">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检验过程特殊情况</w:t>
            </w:r>
          </w:p>
        </w:tc>
        <w:tc>
          <w:tcPr>
            <w:tcW w:w="5767" w:type="dxa"/>
            <w:shd w:val="clear" w:color="auto" w:fill="auto"/>
            <w:vAlign w:val="center"/>
          </w:tcPr>
          <w:p w14:paraId="494083EB">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检验过程中遇有样品失效或者其他情况致使检验无法进行的，供应商必须如实记录有关情况，提供充分的证明材料，并将有关情况报告采购人。</w:t>
            </w:r>
          </w:p>
        </w:tc>
      </w:tr>
      <w:tr w14:paraId="693B9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17" w:type="dxa"/>
            <w:shd w:val="clear" w:color="auto" w:fill="auto"/>
            <w:vAlign w:val="center"/>
          </w:tcPr>
          <w:p w14:paraId="53A5D085">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1700" w:type="dxa"/>
            <w:vAlign w:val="center"/>
          </w:tcPr>
          <w:p w14:paraId="0986DD05">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风险信息限时报送</w:t>
            </w:r>
          </w:p>
        </w:tc>
        <w:tc>
          <w:tcPr>
            <w:tcW w:w="5767" w:type="dxa"/>
            <w:shd w:val="clear" w:color="auto" w:fill="auto"/>
            <w:vAlign w:val="center"/>
          </w:tcPr>
          <w:p w14:paraId="0ED0CAEB">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p>
        </w:tc>
      </w:tr>
      <w:tr w14:paraId="673CA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817" w:type="dxa"/>
            <w:shd w:val="clear" w:color="auto" w:fill="auto"/>
            <w:vAlign w:val="center"/>
          </w:tcPr>
          <w:p w14:paraId="582D26EE">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1700" w:type="dxa"/>
            <w:vAlign w:val="center"/>
          </w:tcPr>
          <w:p w14:paraId="449180D0">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合格样品、未发现问题样品检验报告的报送</w:t>
            </w:r>
          </w:p>
        </w:tc>
        <w:tc>
          <w:tcPr>
            <w:tcW w:w="5767" w:type="dxa"/>
            <w:shd w:val="clear" w:color="auto" w:fill="auto"/>
            <w:vAlign w:val="center"/>
          </w:tcPr>
          <w:p w14:paraId="4DFE2DE5">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供应商应当在检验结论作出后七个工作日内将检验结论报送采购人。</w:t>
            </w:r>
          </w:p>
        </w:tc>
      </w:tr>
      <w:tr w14:paraId="16394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17" w:type="dxa"/>
            <w:shd w:val="clear" w:color="auto" w:fill="auto"/>
            <w:vAlign w:val="center"/>
          </w:tcPr>
          <w:p w14:paraId="7748DF79">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1700" w:type="dxa"/>
            <w:vAlign w:val="center"/>
          </w:tcPr>
          <w:p w14:paraId="155FD90F">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不合格样品、问题样品检验报告的报送</w:t>
            </w:r>
          </w:p>
        </w:tc>
        <w:tc>
          <w:tcPr>
            <w:tcW w:w="5767" w:type="dxa"/>
            <w:shd w:val="clear" w:color="auto" w:fill="auto"/>
            <w:vAlign w:val="center"/>
          </w:tcPr>
          <w:p w14:paraId="68C0724E">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供应商应当在检验结论作出后两个工作日内将检验报告及《食品安全抽样检验告知书》《食品安全抽样检验抽样单》《食品安全抽样检验结果通知书》《食品安全</w:t>
            </w:r>
            <w:r>
              <w:rPr>
                <w:rStyle w:val="85"/>
                <w:rFonts w:hint="eastAsia" w:ascii="宋体" w:hAnsi="宋体" w:eastAsia="宋体" w:cs="宋体"/>
                <w:color w:val="auto"/>
                <w:sz w:val="21"/>
                <w:szCs w:val="21"/>
                <w:highlight w:val="none"/>
                <w:lang w:eastAsia="zh-CN"/>
              </w:rPr>
              <w:t>风险抽检</w:t>
            </w:r>
            <w:r>
              <w:rPr>
                <w:rStyle w:val="85"/>
                <w:rFonts w:hint="eastAsia" w:ascii="宋体" w:hAnsi="宋体" w:eastAsia="宋体" w:cs="宋体"/>
                <w:color w:val="auto"/>
                <w:sz w:val="21"/>
                <w:szCs w:val="21"/>
                <w:highlight w:val="none"/>
              </w:rPr>
              <w:t>结果通知书》等有关材料报送采购人，并按照相关规定及时配合通报。</w:t>
            </w:r>
          </w:p>
        </w:tc>
      </w:tr>
    </w:tbl>
    <w:p w14:paraId="12BC86BC">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r>
    </w:p>
    <w:p w14:paraId="309CADAB">
      <w:pPr>
        <w:jc w:val="both"/>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主要仪器设备表</w:t>
      </w:r>
    </w:p>
    <w:tbl>
      <w:tblPr>
        <w:tblStyle w:val="34"/>
        <w:tblW w:w="7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559"/>
        <w:gridCol w:w="2268"/>
        <w:gridCol w:w="2694"/>
        <w:gridCol w:w="709"/>
      </w:tblGrid>
      <w:tr w14:paraId="6F64C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04" w:type="dxa"/>
            <w:vAlign w:val="center"/>
          </w:tcPr>
          <w:p w14:paraId="7DC20BB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559" w:type="dxa"/>
            <w:vAlign w:val="center"/>
          </w:tcPr>
          <w:p w14:paraId="0AC58D0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268" w:type="dxa"/>
            <w:vAlign w:val="center"/>
          </w:tcPr>
          <w:p w14:paraId="316B259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设备</w:t>
            </w:r>
            <w:r>
              <w:rPr>
                <w:rFonts w:hint="default" w:ascii="宋体" w:hAnsi="宋体" w:cs="宋体"/>
                <w:color w:val="auto"/>
                <w:szCs w:val="21"/>
                <w:highlight w:val="none"/>
              </w:rPr>
              <w:t>名称</w:t>
            </w:r>
          </w:p>
        </w:tc>
        <w:tc>
          <w:tcPr>
            <w:tcW w:w="2694" w:type="dxa"/>
            <w:vAlign w:val="center"/>
          </w:tcPr>
          <w:p w14:paraId="64CEF5EE">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lang w:eastAsia="zh-CN"/>
              </w:rPr>
            </w:pPr>
            <w:r>
              <w:rPr>
                <w:rFonts w:hint="eastAsia" w:ascii="Microsoft New Tai Lue" w:hAnsi="Microsoft New Tai Lue" w:cs="Microsoft New Tai Lue"/>
                <w:color w:val="auto"/>
                <w:szCs w:val="21"/>
                <w:highlight w:val="none"/>
                <w:lang w:val="en-US" w:eastAsia="zh-CN"/>
              </w:rPr>
              <w:t>台数</w:t>
            </w:r>
          </w:p>
        </w:tc>
        <w:tc>
          <w:tcPr>
            <w:tcW w:w="709" w:type="dxa"/>
            <w:vAlign w:val="center"/>
          </w:tcPr>
          <w:p w14:paraId="0369BCD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039CB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0626DCE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59" w:type="dxa"/>
            <w:vMerge w:val="restart"/>
            <w:vAlign w:val="center"/>
          </w:tcPr>
          <w:p w14:paraId="673EDD1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en-US" w:bidi="zh-CN"/>
              </w:rPr>
              <w:t>供应商</w:t>
            </w:r>
            <w:r>
              <w:rPr>
                <w:rFonts w:hint="eastAsia" w:ascii="宋体" w:hAnsi="宋体"/>
                <w:color w:val="auto"/>
                <w:kern w:val="0"/>
                <w:szCs w:val="21"/>
                <w:highlight w:val="none"/>
                <w:lang w:val="zh-CN" w:bidi="zh-CN"/>
              </w:rPr>
              <w:t>应配备满足采购人检验检测项目需求的检验设备</w:t>
            </w:r>
          </w:p>
        </w:tc>
        <w:tc>
          <w:tcPr>
            <w:tcW w:w="2268" w:type="dxa"/>
            <w:vAlign w:val="center"/>
          </w:tcPr>
          <w:p w14:paraId="4E4230B1">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液相色谱串联质谱联用仪</w:t>
            </w:r>
          </w:p>
        </w:tc>
        <w:tc>
          <w:tcPr>
            <w:tcW w:w="2694" w:type="dxa"/>
            <w:vMerge w:val="restart"/>
            <w:vAlign w:val="center"/>
          </w:tcPr>
          <w:p w14:paraId="3E04BB9B">
            <w:pPr>
              <w:keepNext w:val="0"/>
              <w:keepLines w:val="0"/>
              <w:suppressLineNumbers w:val="0"/>
              <w:spacing w:before="0" w:beforeAutospacing="0" w:after="0" w:afterAutospacing="0"/>
              <w:ind w:left="0" w:right="0"/>
              <w:jc w:val="center"/>
              <w:rPr>
                <w:rFonts w:hint="default" w:ascii="宋体" w:hAnsi="宋体" w:eastAsia="宋体" w:cs="宋体"/>
                <w:color w:val="auto"/>
                <w:szCs w:val="21"/>
                <w:highlight w:val="none"/>
                <w:lang w:val="en-US" w:eastAsia="zh-CN"/>
              </w:rPr>
            </w:pPr>
            <w:r>
              <w:rPr>
                <w:rFonts w:hint="eastAsia" w:ascii="宋体" w:hAnsi="宋体" w:cs="宋体"/>
                <w:color w:val="auto"/>
                <w:highlight w:val="none"/>
              </w:rPr>
              <w:t>具备</w:t>
            </w:r>
            <w:r>
              <w:rPr>
                <w:rFonts w:hint="eastAsia" w:ascii="宋体" w:hAnsi="宋体" w:cs="宋体"/>
                <w:color w:val="auto"/>
                <w:highlight w:val="none"/>
                <w:lang w:val="en-US" w:eastAsia="zh-CN"/>
              </w:rPr>
              <w:t>至少6</w:t>
            </w:r>
            <w:r>
              <w:rPr>
                <w:rFonts w:hint="eastAsia" w:ascii="宋体" w:hAnsi="宋体" w:cs="宋体"/>
                <w:color w:val="auto"/>
                <w:highlight w:val="none"/>
              </w:rPr>
              <w:t>类设备每类同时配备至少1台</w:t>
            </w:r>
          </w:p>
        </w:tc>
        <w:tc>
          <w:tcPr>
            <w:tcW w:w="709" w:type="dxa"/>
            <w:vAlign w:val="center"/>
          </w:tcPr>
          <w:p w14:paraId="42FBC55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25A95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4" w:type="dxa"/>
            <w:vAlign w:val="center"/>
          </w:tcPr>
          <w:p w14:paraId="701E82E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559" w:type="dxa"/>
            <w:vMerge w:val="continue"/>
            <w:vAlign w:val="center"/>
          </w:tcPr>
          <w:p w14:paraId="1941630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1C1A255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气相色谱质谱联用仪</w:t>
            </w:r>
          </w:p>
        </w:tc>
        <w:tc>
          <w:tcPr>
            <w:tcW w:w="2694" w:type="dxa"/>
            <w:vMerge w:val="continue"/>
            <w:vAlign w:val="center"/>
          </w:tcPr>
          <w:p w14:paraId="2E3B4AD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54BE4F6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6B1F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274BF93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559" w:type="dxa"/>
            <w:vMerge w:val="continue"/>
            <w:vAlign w:val="center"/>
          </w:tcPr>
          <w:p w14:paraId="335C0900">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30E0283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电感耦合等离子体质谱仪</w:t>
            </w:r>
          </w:p>
        </w:tc>
        <w:tc>
          <w:tcPr>
            <w:tcW w:w="2694" w:type="dxa"/>
            <w:vMerge w:val="continue"/>
            <w:vAlign w:val="center"/>
          </w:tcPr>
          <w:p w14:paraId="572BEAF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7653514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0CEEC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4" w:type="dxa"/>
            <w:vAlign w:val="center"/>
          </w:tcPr>
          <w:p w14:paraId="58D2827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559" w:type="dxa"/>
            <w:vMerge w:val="continue"/>
            <w:vAlign w:val="center"/>
          </w:tcPr>
          <w:p w14:paraId="1420C30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4794866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离子色谱仪</w:t>
            </w:r>
          </w:p>
        </w:tc>
        <w:tc>
          <w:tcPr>
            <w:tcW w:w="2694" w:type="dxa"/>
            <w:vMerge w:val="continue"/>
            <w:vAlign w:val="center"/>
          </w:tcPr>
          <w:p w14:paraId="3519B68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0851D8E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64DCE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4" w:type="dxa"/>
            <w:vAlign w:val="center"/>
          </w:tcPr>
          <w:p w14:paraId="2285BD2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559" w:type="dxa"/>
            <w:vMerge w:val="continue"/>
            <w:vAlign w:val="center"/>
          </w:tcPr>
          <w:p w14:paraId="15244EB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0AAC87A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高效液相色谱仪</w:t>
            </w:r>
          </w:p>
        </w:tc>
        <w:tc>
          <w:tcPr>
            <w:tcW w:w="2694" w:type="dxa"/>
            <w:vMerge w:val="continue"/>
            <w:vAlign w:val="center"/>
          </w:tcPr>
          <w:p w14:paraId="2A20E64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2EA1AD8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4FA41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4" w:type="dxa"/>
            <w:vAlign w:val="center"/>
          </w:tcPr>
          <w:p w14:paraId="4B62414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559" w:type="dxa"/>
            <w:vMerge w:val="continue"/>
            <w:vAlign w:val="center"/>
          </w:tcPr>
          <w:p w14:paraId="1589F30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510C5AB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气相色谱仪</w:t>
            </w:r>
          </w:p>
        </w:tc>
        <w:tc>
          <w:tcPr>
            <w:tcW w:w="2694" w:type="dxa"/>
            <w:vMerge w:val="continue"/>
            <w:vAlign w:val="center"/>
          </w:tcPr>
          <w:p w14:paraId="2D67265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42E85C6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5F9A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4" w:type="dxa"/>
            <w:vAlign w:val="center"/>
          </w:tcPr>
          <w:p w14:paraId="2FCD98A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559" w:type="dxa"/>
            <w:vMerge w:val="continue"/>
            <w:vAlign w:val="center"/>
          </w:tcPr>
          <w:p w14:paraId="4C7AC660">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330DC21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原子吸收光谱仪</w:t>
            </w:r>
          </w:p>
        </w:tc>
        <w:tc>
          <w:tcPr>
            <w:tcW w:w="2694" w:type="dxa"/>
            <w:vMerge w:val="continue"/>
            <w:vAlign w:val="center"/>
          </w:tcPr>
          <w:p w14:paraId="685BC7B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0A07D58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78E4A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4" w:type="dxa"/>
            <w:vAlign w:val="center"/>
          </w:tcPr>
          <w:p w14:paraId="3028D1C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559" w:type="dxa"/>
            <w:vMerge w:val="continue"/>
            <w:vAlign w:val="center"/>
          </w:tcPr>
          <w:p w14:paraId="7D5D17F1">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5D55C441">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原子荧光光谱仪</w:t>
            </w:r>
          </w:p>
        </w:tc>
        <w:tc>
          <w:tcPr>
            <w:tcW w:w="2694" w:type="dxa"/>
            <w:vMerge w:val="continue"/>
            <w:vAlign w:val="center"/>
          </w:tcPr>
          <w:p w14:paraId="5B64D9E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221B765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44158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4" w:type="dxa"/>
            <w:vAlign w:val="center"/>
          </w:tcPr>
          <w:p w14:paraId="5A4AE13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559" w:type="dxa"/>
            <w:vMerge w:val="continue"/>
            <w:vAlign w:val="center"/>
          </w:tcPr>
          <w:p w14:paraId="25A3D3D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17DFDEC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PCR检测仪</w:t>
            </w:r>
          </w:p>
        </w:tc>
        <w:tc>
          <w:tcPr>
            <w:tcW w:w="2694" w:type="dxa"/>
            <w:vMerge w:val="continue"/>
            <w:vAlign w:val="center"/>
          </w:tcPr>
          <w:p w14:paraId="2CCE446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469681A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bl>
    <w:p w14:paraId="316FDDD8">
      <w:pPr>
        <w:rPr>
          <w:rFonts w:hint="eastAsia" w:ascii="宋体" w:hAnsi="宋体" w:cs="宋体"/>
          <w:color w:val="auto"/>
          <w:szCs w:val="21"/>
          <w:highlight w:val="none"/>
        </w:rPr>
      </w:pPr>
    </w:p>
    <w:p w14:paraId="2BE3C435">
      <w:pPr>
        <w:spacing w:line="560" w:lineRule="exact"/>
        <w:ind w:left="641"/>
        <w:rPr>
          <w:rFonts w:hint="eastAsia" w:ascii="宋体" w:hAnsi="宋体" w:cs="宋体"/>
          <w:color w:val="auto"/>
          <w:szCs w:val="21"/>
          <w:highlight w:val="none"/>
        </w:rPr>
      </w:pPr>
      <w:r>
        <w:rPr>
          <w:rFonts w:hint="eastAsia" w:ascii="宋体" w:hAnsi="宋体" w:cs="宋体"/>
          <w:color w:val="auto"/>
          <w:szCs w:val="21"/>
          <w:highlight w:val="none"/>
        </w:rPr>
        <w:t>4.2.3数据汇总、分析报告与复检环节</w:t>
      </w:r>
    </w:p>
    <w:p w14:paraId="788BE3FA">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表3 数据处理上报、分析报告与复检环节主要技术内容和标准</w:t>
      </w:r>
    </w:p>
    <w:tbl>
      <w:tblPr>
        <w:tblStyle w:val="34"/>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724"/>
        <w:gridCol w:w="993"/>
        <w:gridCol w:w="5800"/>
      </w:tblGrid>
      <w:tr w14:paraId="7F8E9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shd w:val="clear" w:color="auto" w:fill="auto"/>
            <w:vAlign w:val="center"/>
          </w:tcPr>
          <w:p w14:paraId="244638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717" w:type="dxa"/>
            <w:gridSpan w:val="2"/>
            <w:vAlign w:val="center"/>
          </w:tcPr>
          <w:p w14:paraId="11C496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服务名称</w:t>
            </w:r>
          </w:p>
        </w:tc>
        <w:tc>
          <w:tcPr>
            <w:tcW w:w="5800" w:type="dxa"/>
            <w:shd w:val="clear" w:color="auto" w:fill="auto"/>
            <w:vAlign w:val="center"/>
          </w:tcPr>
          <w:p w14:paraId="4C0F05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服务内容和标准</w:t>
            </w:r>
          </w:p>
        </w:tc>
      </w:tr>
      <w:tr w14:paraId="1C141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33" w:type="dxa"/>
            <w:shd w:val="clear" w:color="auto" w:fill="auto"/>
            <w:vAlign w:val="center"/>
          </w:tcPr>
          <w:p w14:paraId="29B3005A">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717" w:type="dxa"/>
            <w:gridSpan w:val="2"/>
            <w:vAlign w:val="center"/>
          </w:tcPr>
          <w:p w14:paraId="15F04C6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数据汇总</w:t>
            </w:r>
          </w:p>
        </w:tc>
        <w:tc>
          <w:tcPr>
            <w:tcW w:w="5800" w:type="dxa"/>
            <w:shd w:val="clear" w:color="auto" w:fill="auto"/>
            <w:vAlign w:val="center"/>
          </w:tcPr>
          <w:p w14:paraId="7CF17362">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数据统计分析、结果信息报送人员数量、能力等要求与服务需求相匹配。</w:t>
            </w:r>
          </w:p>
          <w:p w14:paraId="74AE8ED6">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根据采购人要求按时完成抽检数据的统计汇总和及时上报，并对数据质量负责。</w:t>
            </w:r>
          </w:p>
        </w:tc>
      </w:tr>
      <w:tr w14:paraId="15604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833" w:type="dxa"/>
            <w:shd w:val="clear" w:color="auto" w:fill="auto"/>
            <w:vAlign w:val="center"/>
          </w:tcPr>
          <w:p w14:paraId="38C136B7">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717" w:type="dxa"/>
            <w:gridSpan w:val="2"/>
            <w:vAlign w:val="center"/>
          </w:tcPr>
          <w:p w14:paraId="30886CE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分析报告</w:t>
            </w:r>
          </w:p>
        </w:tc>
        <w:tc>
          <w:tcPr>
            <w:tcW w:w="5800" w:type="dxa"/>
            <w:shd w:val="clear" w:color="auto" w:fill="auto"/>
            <w:vAlign w:val="center"/>
          </w:tcPr>
          <w:p w14:paraId="2DCFA9FA">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在检验工作完成后按采购人要求提供分析报告，包含但不限于任务抽检情况、结果分析、风险警示、工作建议等方面内容。</w:t>
            </w:r>
          </w:p>
        </w:tc>
      </w:tr>
      <w:tr w14:paraId="18468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33" w:type="dxa"/>
            <w:shd w:val="clear" w:color="auto" w:fill="auto"/>
            <w:vAlign w:val="center"/>
          </w:tcPr>
          <w:p w14:paraId="40CDDB35">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724" w:type="dxa"/>
            <w:vMerge w:val="restart"/>
            <w:vAlign w:val="center"/>
          </w:tcPr>
          <w:p w14:paraId="4363378F">
            <w:pPr>
              <w:keepNext w:val="0"/>
              <w:keepLines w:val="0"/>
              <w:widowControl/>
              <w:suppressLineNumbers w:val="0"/>
              <w:spacing w:before="0" w:beforeAutospacing="0" w:after="0" w:afterAutospacing="0" w:line="320" w:lineRule="exact"/>
              <w:ind w:left="0" w:right="0"/>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复检处理</w:t>
            </w:r>
          </w:p>
        </w:tc>
        <w:tc>
          <w:tcPr>
            <w:tcW w:w="993" w:type="dxa"/>
            <w:vAlign w:val="center"/>
          </w:tcPr>
          <w:p w14:paraId="404C5875">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复检备份样品移交</w:t>
            </w:r>
          </w:p>
        </w:tc>
        <w:tc>
          <w:tcPr>
            <w:tcW w:w="5800" w:type="dxa"/>
            <w:shd w:val="clear" w:color="auto" w:fill="auto"/>
            <w:vAlign w:val="center"/>
          </w:tcPr>
          <w:p w14:paraId="415A073E">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（1）初检机构应当自复检机构确定之日起三个工作日内，将备份样品移交至复检机构并填写《复检备份样品确认单》。因客观原因不能按时移交的，经受理复检的市场监管部门同意，可以延长三个工作日。</w:t>
            </w:r>
          </w:p>
          <w:p w14:paraId="341D88D9">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p>
        </w:tc>
      </w:tr>
      <w:tr w14:paraId="60077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833" w:type="dxa"/>
            <w:shd w:val="clear" w:color="auto" w:fill="auto"/>
            <w:vAlign w:val="center"/>
          </w:tcPr>
          <w:p w14:paraId="5EF802DB">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724" w:type="dxa"/>
            <w:vMerge w:val="continue"/>
            <w:vAlign w:val="center"/>
          </w:tcPr>
          <w:p w14:paraId="43C206E7">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p>
        </w:tc>
        <w:tc>
          <w:tcPr>
            <w:tcW w:w="993" w:type="dxa"/>
            <w:vAlign w:val="center"/>
          </w:tcPr>
          <w:p w14:paraId="31B88196">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复检</w:t>
            </w:r>
          </w:p>
          <w:p w14:paraId="235A32F1">
            <w:pPr>
              <w:keepNext w:val="0"/>
              <w:keepLines w:val="0"/>
              <w:widowControl/>
              <w:suppressLineNumbers w:val="0"/>
              <w:spacing w:before="0" w:beforeAutospacing="0" w:after="0" w:afterAutospacing="0" w:line="320" w:lineRule="exact"/>
              <w:ind w:left="0" w:right="0"/>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实施</w:t>
            </w:r>
          </w:p>
        </w:tc>
        <w:tc>
          <w:tcPr>
            <w:tcW w:w="5800" w:type="dxa"/>
            <w:shd w:val="clear" w:color="auto" w:fill="auto"/>
            <w:vAlign w:val="center"/>
          </w:tcPr>
          <w:p w14:paraId="4C0BDA7B">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 xml:space="preserve">初检机构可以派员观察复检实施过程，复检机构应当予以配合。初检机构派出观察复检过程的人员，应当遵守复检机构的相关规定，不得干扰复检工作。 </w:t>
            </w:r>
          </w:p>
        </w:tc>
      </w:tr>
    </w:tbl>
    <w:p w14:paraId="7F372B12">
      <w:pPr>
        <w:widowControl/>
        <w:spacing w:line="560" w:lineRule="exact"/>
        <w:jc w:val="both"/>
        <w:rPr>
          <w:rFonts w:hint="eastAsia" w:ascii="宋体" w:hAnsi="宋体" w:cs="宋体"/>
          <w:color w:val="auto"/>
          <w:szCs w:val="21"/>
          <w:highlight w:val="none"/>
        </w:rPr>
      </w:pPr>
    </w:p>
    <w:p w14:paraId="31CE20DF">
      <w:pPr>
        <w:spacing w:line="560" w:lineRule="exact"/>
        <w:ind w:left="641"/>
        <w:rPr>
          <w:rFonts w:hint="eastAsia" w:ascii="宋体" w:hAnsi="宋体" w:eastAsia="宋体" w:cs="宋体"/>
          <w:color w:val="auto"/>
          <w:szCs w:val="21"/>
          <w:highlight w:val="none"/>
        </w:rPr>
      </w:pPr>
      <w:r>
        <w:rPr>
          <w:rFonts w:hint="eastAsia" w:ascii="宋体" w:hAnsi="宋体" w:eastAsia="宋体" w:cs="宋体"/>
          <w:color w:val="auto"/>
          <w:szCs w:val="21"/>
          <w:highlight w:val="none"/>
        </w:rPr>
        <w:t>4.2.4其他服务要求</w:t>
      </w:r>
    </w:p>
    <w:p w14:paraId="0F51505A">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表4 其他服务内容和标准</w:t>
      </w:r>
    </w:p>
    <w:tbl>
      <w:tblPr>
        <w:tblStyle w:val="34"/>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50"/>
        <w:gridCol w:w="5450"/>
      </w:tblGrid>
      <w:tr w14:paraId="3722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751DAC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2150" w:type="dxa"/>
            <w:vAlign w:val="center"/>
          </w:tcPr>
          <w:p w14:paraId="00D0F0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服务名称</w:t>
            </w:r>
          </w:p>
        </w:tc>
        <w:tc>
          <w:tcPr>
            <w:tcW w:w="5450" w:type="dxa"/>
            <w:shd w:val="clear" w:color="auto" w:fill="auto"/>
            <w:vAlign w:val="center"/>
          </w:tcPr>
          <w:p w14:paraId="300ECD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服务内容和标准</w:t>
            </w:r>
          </w:p>
        </w:tc>
      </w:tr>
      <w:tr w14:paraId="5C251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403489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2150" w:type="dxa"/>
            <w:vAlign w:val="center"/>
          </w:tcPr>
          <w:p w14:paraId="2F304F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人员团队配置</w:t>
            </w:r>
          </w:p>
        </w:tc>
        <w:tc>
          <w:tcPr>
            <w:tcW w:w="5450" w:type="dxa"/>
            <w:shd w:val="clear" w:color="auto" w:fill="auto"/>
            <w:vAlign w:val="center"/>
          </w:tcPr>
          <w:p w14:paraId="339A8191">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（1）岗位配置合理、分工明确，团队人员稳定、专业符合项目需求。</w:t>
            </w:r>
          </w:p>
          <w:p w14:paraId="09BAA7DA">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（2）项目负责人的学历、职称、工作年限、工作经验等与服务需求相匹配。</w:t>
            </w:r>
          </w:p>
          <w:p w14:paraId="2AE64007">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（3）食品领域高水平检验和技术管理人员数量、职称、工作年限、工作经验等与服务需求相匹配。</w:t>
            </w:r>
          </w:p>
          <w:p w14:paraId="3D92637B">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lang w:eastAsia="zh-CN"/>
              </w:rPr>
              <w:t>（</w:t>
            </w:r>
            <w:r>
              <w:rPr>
                <w:rStyle w:val="85"/>
                <w:rFonts w:hint="eastAsia" w:ascii="宋体" w:hAnsi="宋体" w:eastAsia="宋体" w:cs="宋体"/>
                <w:color w:val="auto"/>
                <w:sz w:val="21"/>
                <w:szCs w:val="21"/>
                <w:highlight w:val="none"/>
                <w:lang w:val="en-US" w:eastAsia="zh-CN"/>
              </w:rPr>
              <w:t>4</w:t>
            </w:r>
            <w:r>
              <w:rPr>
                <w:rStyle w:val="85"/>
                <w:rFonts w:hint="eastAsia" w:ascii="宋体" w:hAnsi="宋体" w:eastAsia="宋体" w:cs="宋体"/>
                <w:color w:val="auto"/>
                <w:sz w:val="21"/>
                <w:szCs w:val="21"/>
                <w:highlight w:val="none"/>
                <w:lang w:eastAsia="zh-CN"/>
              </w:rPr>
              <w:t>）项目组成员一旦确定，</w:t>
            </w:r>
            <w:r>
              <w:rPr>
                <w:rStyle w:val="85"/>
                <w:rFonts w:hint="eastAsia" w:ascii="宋体" w:hAnsi="宋体" w:eastAsia="宋体" w:cs="宋体"/>
                <w:color w:val="auto"/>
                <w:sz w:val="21"/>
                <w:szCs w:val="21"/>
                <w:highlight w:val="none"/>
                <w:lang w:val="en-US" w:eastAsia="zh-CN"/>
              </w:rPr>
              <w:t>中标</w:t>
            </w:r>
            <w:r>
              <w:rPr>
                <w:rStyle w:val="85"/>
                <w:rFonts w:hint="eastAsia" w:ascii="宋体" w:hAnsi="宋体" w:eastAsia="宋体" w:cs="宋体"/>
                <w:color w:val="auto"/>
                <w:sz w:val="21"/>
                <w:szCs w:val="21"/>
                <w:highlight w:val="none"/>
                <w:lang w:eastAsia="zh-CN"/>
              </w:rPr>
              <w:t>后原则上不再变更，若变更，须征得</w:t>
            </w:r>
            <w:r>
              <w:rPr>
                <w:rStyle w:val="85"/>
                <w:rFonts w:hint="eastAsia" w:ascii="宋体" w:hAnsi="宋体" w:eastAsia="宋体" w:cs="宋体"/>
                <w:color w:val="auto"/>
                <w:sz w:val="21"/>
                <w:szCs w:val="21"/>
                <w:highlight w:val="none"/>
                <w:lang w:val="en-US" w:eastAsia="zh-CN"/>
              </w:rPr>
              <w:t>采购</w:t>
            </w:r>
            <w:r>
              <w:rPr>
                <w:rStyle w:val="85"/>
                <w:rFonts w:hint="eastAsia" w:ascii="宋体" w:hAnsi="宋体" w:eastAsia="宋体" w:cs="宋体"/>
                <w:color w:val="auto"/>
                <w:sz w:val="21"/>
                <w:szCs w:val="21"/>
                <w:highlight w:val="none"/>
                <w:lang w:eastAsia="zh-CN"/>
              </w:rPr>
              <w:t>人同意</w:t>
            </w:r>
            <w:r>
              <w:rPr>
                <w:rStyle w:val="85"/>
                <w:rFonts w:hint="eastAsia" w:ascii="宋体" w:hAnsi="宋体" w:eastAsia="宋体" w:cs="宋体"/>
                <w:color w:val="auto"/>
                <w:sz w:val="21"/>
                <w:szCs w:val="21"/>
                <w:highlight w:val="none"/>
              </w:rPr>
              <w:t>。</w:t>
            </w:r>
          </w:p>
        </w:tc>
      </w:tr>
      <w:tr w14:paraId="4FC4E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13556A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2150" w:type="dxa"/>
            <w:vAlign w:val="center"/>
          </w:tcPr>
          <w:p w14:paraId="37E2CDE7">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合格备份样品再利用工作</w:t>
            </w:r>
          </w:p>
        </w:tc>
        <w:tc>
          <w:tcPr>
            <w:tcW w:w="5450" w:type="dxa"/>
            <w:shd w:val="clear" w:color="auto" w:fill="auto"/>
            <w:vAlign w:val="center"/>
          </w:tcPr>
          <w:p w14:paraId="59975FB6">
            <w:pPr>
              <w:keepNext w:val="0"/>
              <w:keepLines w:val="0"/>
              <w:widowControl/>
              <w:suppressLineNumbers w:val="0"/>
              <w:spacing w:before="0" w:beforeAutospacing="0" w:after="0" w:afterAutospacing="0" w:line="320" w:lineRule="exact"/>
              <w:ind w:left="0" w:right="0"/>
              <w:jc w:val="left"/>
              <w:textAlignment w:val="center"/>
              <w:rPr>
                <w:rStyle w:val="85"/>
                <w:rFonts w:hint="default" w:ascii="宋体" w:hAnsi="宋体" w:cs="宋体"/>
                <w:color w:val="auto"/>
                <w:szCs w:val="21"/>
                <w:highlight w:val="none"/>
              </w:rPr>
            </w:pPr>
            <w:r>
              <w:rPr>
                <w:rStyle w:val="85"/>
                <w:rFonts w:hint="eastAsia" w:ascii="宋体" w:hAnsi="宋体" w:eastAsia="宋体" w:cs="宋体"/>
                <w:color w:val="auto"/>
                <w:sz w:val="21"/>
                <w:szCs w:val="21"/>
                <w:highlight w:val="none"/>
                <w:lang w:eastAsia="zh-CN"/>
              </w:rPr>
              <w:t>（</w:t>
            </w:r>
            <w:r>
              <w:rPr>
                <w:rStyle w:val="85"/>
                <w:rFonts w:hint="eastAsia" w:ascii="宋体" w:hAnsi="宋体" w:cs="宋体"/>
                <w:color w:val="auto"/>
                <w:sz w:val="21"/>
                <w:szCs w:val="21"/>
                <w:highlight w:val="none"/>
                <w:lang w:val="en-US" w:eastAsia="zh-CN"/>
              </w:rPr>
              <w:t>1</w:t>
            </w:r>
            <w:r>
              <w:rPr>
                <w:rStyle w:val="85"/>
                <w:rFonts w:hint="eastAsia" w:ascii="宋体" w:hAnsi="宋体" w:eastAsia="宋体" w:cs="宋体"/>
                <w:color w:val="auto"/>
                <w:sz w:val="21"/>
                <w:szCs w:val="21"/>
                <w:highlight w:val="none"/>
                <w:lang w:eastAsia="zh-CN"/>
              </w:rPr>
              <w:t>）按照样品标识的保存条件和法定时限要求，提供样品保管服务，并按照要求开展合格备份样品再利用工作</w:t>
            </w:r>
            <w:r>
              <w:rPr>
                <w:rStyle w:val="85"/>
                <w:rFonts w:hint="eastAsia" w:ascii="宋体" w:hAnsi="宋体" w:eastAsia="宋体" w:cs="宋体"/>
                <w:color w:val="auto"/>
                <w:sz w:val="21"/>
                <w:szCs w:val="21"/>
                <w:highlight w:val="none"/>
              </w:rPr>
              <w:t>。</w:t>
            </w:r>
          </w:p>
          <w:p w14:paraId="26E74545">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w:t>
            </w:r>
            <w:r>
              <w:rPr>
                <w:rStyle w:val="85"/>
                <w:rFonts w:hint="eastAsia" w:ascii="宋体" w:hAnsi="宋体" w:cs="宋体"/>
                <w:color w:val="auto"/>
                <w:sz w:val="21"/>
                <w:szCs w:val="21"/>
                <w:highlight w:val="none"/>
                <w:lang w:val="en-US" w:eastAsia="zh-CN"/>
              </w:rPr>
              <w:t>2</w:t>
            </w:r>
            <w:r>
              <w:rPr>
                <w:rStyle w:val="85"/>
                <w:rFonts w:hint="eastAsia" w:ascii="宋体" w:hAnsi="宋体" w:eastAsia="宋体" w:cs="宋体"/>
                <w:color w:val="auto"/>
                <w:sz w:val="21"/>
                <w:szCs w:val="21"/>
                <w:highlight w:val="none"/>
              </w:rPr>
              <w:t>）积极配合采购人按规范程序和有关要求，对合格备份样品开展合理再利用。</w:t>
            </w:r>
            <w:r>
              <w:rPr>
                <w:rStyle w:val="85"/>
                <w:rFonts w:hint="eastAsia" w:ascii="宋体" w:hAnsi="宋体" w:eastAsia="宋体" w:cs="宋体"/>
                <w:color w:val="auto"/>
                <w:sz w:val="21"/>
                <w:szCs w:val="21"/>
                <w:highlight w:val="none"/>
                <w:lang w:eastAsia="zh-CN"/>
              </w:rPr>
              <w:t>合格备份样品的所有权归</w:t>
            </w:r>
            <w:r>
              <w:rPr>
                <w:rStyle w:val="85"/>
                <w:rFonts w:hint="eastAsia" w:ascii="宋体" w:hAnsi="宋体" w:eastAsia="宋体" w:cs="宋体"/>
                <w:color w:val="auto"/>
                <w:sz w:val="21"/>
                <w:szCs w:val="21"/>
                <w:highlight w:val="none"/>
                <w:lang w:val="en-US" w:eastAsia="zh-CN"/>
              </w:rPr>
              <w:t>采购</w:t>
            </w:r>
            <w:r>
              <w:rPr>
                <w:rStyle w:val="85"/>
                <w:rFonts w:hint="eastAsia" w:ascii="宋体" w:hAnsi="宋体" w:eastAsia="宋体" w:cs="宋体"/>
                <w:color w:val="auto"/>
                <w:sz w:val="21"/>
                <w:szCs w:val="21"/>
                <w:highlight w:val="none"/>
                <w:lang w:eastAsia="zh-CN"/>
              </w:rPr>
              <w:t>人所有</w:t>
            </w:r>
            <w:r>
              <w:rPr>
                <w:rStyle w:val="85"/>
                <w:rFonts w:hint="eastAsia" w:ascii="宋体" w:hAnsi="宋体" w:eastAsia="宋体" w:cs="宋体"/>
                <w:color w:val="auto"/>
                <w:sz w:val="21"/>
                <w:szCs w:val="21"/>
                <w:highlight w:val="none"/>
              </w:rPr>
              <w:t>。</w:t>
            </w:r>
          </w:p>
          <w:p w14:paraId="56C8A48A">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w:t>
            </w:r>
            <w:r>
              <w:rPr>
                <w:rStyle w:val="85"/>
                <w:rFonts w:hint="eastAsia" w:ascii="宋体" w:hAnsi="宋体" w:cs="宋体"/>
                <w:color w:val="auto"/>
                <w:sz w:val="21"/>
                <w:szCs w:val="21"/>
                <w:highlight w:val="none"/>
                <w:lang w:val="en-US" w:eastAsia="zh-CN"/>
              </w:rPr>
              <w:t>3</w:t>
            </w:r>
            <w:r>
              <w:rPr>
                <w:rStyle w:val="85"/>
                <w:rFonts w:hint="eastAsia" w:ascii="宋体" w:hAnsi="宋体" w:eastAsia="宋体" w:cs="宋体"/>
                <w:color w:val="auto"/>
                <w:sz w:val="21"/>
                <w:szCs w:val="21"/>
                <w:highlight w:val="none"/>
              </w:rPr>
              <w:t>）</w:t>
            </w:r>
            <w:r>
              <w:rPr>
                <w:rStyle w:val="85"/>
                <w:rFonts w:hint="eastAsia" w:ascii="宋体" w:hAnsi="宋体" w:eastAsia="宋体" w:cs="宋体"/>
                <w:color w:val="auto"/>
                <w:sz w:val="21"/>
                <w:szCs w:val="21"/>
                <w:highlight w:val="none"/>
                <w:lang w:val="en-US" w:eastAsia="zh-CN"/>
              </w:rPr>
              <w:t>积极配合采购人</w:t>
            </w:r>
            <w:r>
              <w:rPr>
                <w:rStyle w:val="85"/>
                <w:rFonts w:hint="eastAsia" w:ascii="宋体" w:hAnsi="宋体" w:eastAsia="宋体" w:cs="宋体"/>
                <w:color w:val="auto"/>
                <w:sz w:val="21"/>
                <w:szCs w:val="21"/>
                <w:highlight w:val="none"/>
              </w:rPr>
              <w:t>对结论不合格的备份样品进行保存及处理，并保留样品保存和处理记录。</w:t>
            </w:r>
          </w:p>
        </w:tc>
      </w:tr>
      <w:tr w14:paraId="56AC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819" w:type="dxa"/>
            <w:shd w:val="clear" w:color="auto" w:fill="auto"/>
            <w:vAlign w:val="center"/>
          </w:tcPr>
          <w:p w14:paraId="628BFFD8">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2150" w:type="dxa"/>
            <w:vAlign w:val="center"/>
          </w:tcPr>
          <w:p w14:paraId="5CDDCD3B">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管理制度</w:t>
            </w:r>
          </w:p>
        </w:tc>
        <w:tc>
          <w:tcPr>
            <w:tcW w:w="5450" w:type="dxa"/>
            <w:shd w:val="clear" w:color="auto" w:fill="auto"/>
            <w:vAlign w:val="center"/>
          </w:tcPr>
          <w:p w14:paraId="7F8BDD7E">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管理制度具备人员工作规范、抽样、检验、样品管理、复验、结果上报等全流程工作的具体要求。</w:t>
            </w:r>
          </w:p>
        </w:tc>
      </w:tr>
      <w:tr w14:paraId="6EC3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19" w:type="dxa"/>
            <w:shd w:val="clear" w:color="auto" w:fill="auto"/>
            <w:vAlign w:val="center"/>
          </w:tcPr>
          <w:p w14:paraId="332A7902">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2150" w:type="dxa"/>
            <w:vAlign w:val="center"/>
          </w:tcPr>
          <w:p w14:paraId="368698A9">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快速响应服务时效</w:t>
            </w:r>
          </w:p>
        </w:tc>
        <w:tc>
          <w:tcPr>
            <w:tcW w:w="5450" w:type="dxa"/>
            <w:shd w:val="clear" w:color="auto" w:fill="auto"/>
            <w:vAlign w:val="center"/>
          </w:tcPr>
          <w:p w14:paraId="1B0F6E6C">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具备在项目需要时到达现场进行应急抽样的快速响应服务时效。</w:t>
            </w:r>
          </w:p>
        </w:tc>
      </w:tr>
      <w:tr w14:paraId="05D1B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819" w:type="dxa"/>
            <w:shd w:val="clear" w:color="auto" w:fill="auto"/>
            <w:vAlign w:val="center"/>
          </w:tcPr>
          <w:p w14:paraId="46D9E281">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2150" w:type="dxa"/>
            <w:vAlign w:val="center"/>
          </w:tcPr>
          <w:p w14:paraId="29ABE94A">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实施方案</w:t>
            </w:r>
          </w:p>
        </w:tc>
        <w:tc>
          <w:tcPr>
            <w:tcW w:w="5450" w:type="dxa"/>
            <w:shd w:val="clear" w:color="auto" w:fill="auto"/>
            <w:vAlign w:val="center"/>
          </w:tcPr>
          <w:p w14:paraId="6E786681">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实施方案应当包括但不限于抽样、检验、数据填报与分析汇总、质量控制、特色服务等各项内容。</w:t>
            </w:r>
          </w:p>
        </w:tc>
      </w:tr>
      <w:tr w14:paraId="34EC9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19" w:type="dxa"/>
            <w:shd w:val="clear" w:color="auto" w:fill="auto"/>
            <w:vAlign w:val="center"/>
          </w:tcPr>
          <w:p w14:paraId="208E22E1">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2150" w:type="dxa"/>
            <w:vAlign w:val="center"/>
          </w:tcPr>
          <w:p w14:paraId="1776B6B2">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突发事件应急处置</w:t>
            </w:r>
          </w:p>
          <w:p w14:paraId="7E751CD3">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预案</w:t>
            </w:r>
          </w:p>
        </w:tc>
        <w:tc>
          <w:tcPr>
            <w:tcW w:w="5450" w:type="dxa"/>
            <w:shd w:val="clear" w:color="auto" w:fill="auto"/>
            <w:vAlign w:val="center"/>
          </w:tcPr>
          <w:p w14:paraId="241CB417">
            <w:pPr>
              <w:keepNext w:val="0"/>
              <w:keepLines w:val="0"/>
              <w:widowControl/>
              <w:numPr>
                <w:ilvl w:val="-1"/>
                <w:numId w:val="0"/>
              </w:numPr>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应具有专门应对突发事件且符合项目需求的专业人员、专业设备和应急处置预案。</w:t>
            </w:r>
          </w:p>
        </w:tc>
      </w:tr>
      <w:tr w14:paraId="3A828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819" w:type="dxa"/>
            <w:shd w:val="clear" w:color="auto" w:fill="auto"/>
            <w:vAlign w:val="center"/>
          </w:tcPr>
          <w:p w14:paraId="4474667D">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2150" w:type="dxa"/>
            <w:vAlign w:val="center"/>
          </w:tcPr>
          <w:p w14:paraId="66521663">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工作业绩</w:t>
            </w:r>
          </w:p>
        </w:tc>
        <w:tc>
          <w:tcPr>
            <w:tcW w:w="5450" w:type="dxa"/>
            <w:shd w:val="clear" w:color="auto" w:fill="auto"/>
            <w:vAlign w:val="center"/>
          </w:tcPr>
          <w:p w14:paraId="64D39216">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（1）承担食品安全抽样检验工作任务及类似项目情况，包括常规任务、应急及专项任务。</w:t>
            </w:r>
          </w:p>
          <w:p w14:paraId="6525DF52">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（2）工作业绩应能证明供应商的服务能力。</w:t>
            </w:r>
          </w:p>
        </w:tc>
      </w:tr>
      <w:tr w14:paraId="2C751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19" w:type="dxa"/>
            <w:shd w:val="clear" w:color="auto" w:fill="auto"/>
            <w:vAlign w:val="center"/>
          </w:tcPr>
          <w:p w14:paraId="19FDA551">
            <w:pPr>
              <w:keepNext w:val="0"/>
              <w:keepLines w:val="0"/>
              <w:widowControl/>
              <w:suppressLineNumbers w:val="0"/>
              <w:spacing w:before="0" w:beforeAutospacing="0" w:after="0" w:afterAutospacing="0" w:line="320" w:lineRule="exact"/>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2150" w:type="dxa"/>
            <w:vAlign w:val="center"/>
          </w:tcPr>
          <w:p w14:paraId="3DCAA01C">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工作质量状况</w:t>
            </w:r>
          </w:p>
        </w:tc>
        <w:tc>
          <w:tcPr>
            <w:tcW w:w="5450" w:type="dxa"/>
            <w:shd w:val="clear" w:color="auto" w:fill="auto"/>
            <w:vAlign w:val="center"/>
          </w:tcPr>
          <w:p w14:paraId="098DEB77">
            <w:pPr>
              <w:keepNext w:val="0"/>
              <w:keepLines w:val="0"/>
              <w:widowControl/>
              <w:suppressLineNumbers w:val="0"/>
              <w:spacing w:before="0" w:beforeAutospacing="0" w:after="0" w:afterAutospacing="0" w:line="320" w:lineRule="exact"/>
              <w:ind w:left="0" w:right="0"/>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在承担食品安全抽检任务中，因工作质量问题被通报的情况。</w:t>
            </w:r>
          </w:p>
        </w:tc>
      </w:tr>
    </w:tbl>
    <w:p w14:paraId="10D94E15">
      <w:pPr>
        <w:widowControl/>
        <w:spacing w:line="560" w:lineRule="exact"/>
        <w:jc w:val="both"/>
        <w:rPr>
          <w:rFonts w:hint="eastAsia" w:ascii="宋体" w:hAnsi="宋体" w:cs="宋体"/>
          <w:color w:val="auto"/>
          <w:szCs w:val="21"/>
          <w:highlight w:val="none"/>
        </w:rPr>
      </w:pPr>
    </w:p>
    <w:p w14:paraId="0447A03D">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4.2.5管理考核</w:t>
      </w:r>
    </w:p>
    <w:p w14:paraId="270BF86F">
      <w:pPr>
        <w:pStyle w:val="15"/>
        <w:spacing w:after="0" w:line="400" w:lineRule="exact"/>
        <w:ind w:left="0" w:leftChars="0"/>
        <w:rPr>
          <w:rFonts w:hint="eastAsia" w:ascii="宋体" w:hAnsi="宋体" w:cs="宋体"/>
          <w:color w:val="auto"/>
          <w:szCs w:val="21"/>
          <w:highlight w:val="none"/>
        </w:rPr>
      </w:pPr>
      <w:r>
        <w:rPr>
          <w:rFonts w:hint="eastAsia" w:ascii="宋体" w:hAnsi="宋体" w:cs="宋体"/>
          <w:color w:val="auto"/>
          <w:szCs w:val="21"/>
          <w:highlight w:val="none"/>
        </w:rPr>
        <w:t>在服务周期内，供应商应确保其能力水平持续满足法律、法规、标准、规范性文件和采购人的要求，并接受采购人组织的数据质量考核、日常考核和技术考核等。</w:t>
      </w:r>
    </w:p>
    <w:p w14:paraId="331FC850">
      <w:pPr>
        <w:pStyle w:val="15"/>
        <w:spacing w:after="0" w:line="400" w:lineRule="exact"/>
        <w:ind w:left="0" w:leftChars="0"/>
        <w:rPr>
          <w:rFonts w:hint="eastAsia" w:ascii="宋体" w:hAnsi="宋体" w:cs="宋体"/>
          <w:color w:val="auto"/>
          <w:szCs w:val="21"/>
          <w:highlight w:val="none"/>
        </w:rPr>
      </w:pPr>
      <w:r>
        <w:rPr>
          <w:rFonts w:hint="eastAsia" w:ascii="宋体" w:hAnsi="宋体" w:cs="宋体"/>
          <w:color w:val="auto"/>
          <w:szCs w:val="21"/>
          <w:highlight w:val="none"/>
        </w:rPr>
        <w:t>4.2.5.1 数据质量考核</w:t>
      </w:r>
    </w:p>
    <w:p w14:paraId="400EF0C5">
      <w:pPr>
        <w:pStyle w:val="15"/>
        <w:spacing w:after="0" w:line="400" w:lineRule="exact"/>
        <w:ind w:left="0" w:leftChars="0"/>
        <w:rPr>
          <w:rFonts w:hint="eastAsia" w:ascii="宋体" w:hAnsi="宋体" w:cs="宋体"/>
          <w:color w:val="auto"/>
          <w:szCs w:val="21"/>
          <w:highlight w:val="none"/>
        </w:rPr>
      </w:pPr>
      <w:r>
        <w:rPr>
          <w:rFonts w:hint="eastAsia" w:ascii="宋体" w:hAnsi="宋体" w:cs="宋体"/>
          <w:color w:val="auto"/>
          <w:szCs w:val="21"/>
          <w:highlight w:val="none"/>
        </w:rPr>
        <w:t>采购人对供应商在国家食品安全抽样检验信息系统中填报的抽样检验数据的准确性、规范性、及时性等进行抽查。</w:t>
      </w:r>
    </w:p>
    <w:p w14:paraId="52B0FEB9">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4.2.5.2 日常考核</w:t>
      </w:r>
    </w:p>
    <w:p w14:paraId="4BE2C75C">
      <w:pPr>
        <w:pStyle w:val="15"/>
        <w:spacing w:after="0" w:line="400" w:lineRule="exact"/>
        <w:ind w:left="0" w:leftChars="0"/>
        <w:rPr>
          <w:rFonts w:hint="eastAsia" w:ascii="宋体" w:hAnsi="宋体" w:cs="宋体"/>
          <w:color w:val="auto"/>
          <w:szCs w:val="21"/>
          <w:highlight w:val="none"/>
        </w:rPr>
      </w:pPr>
      <w:r>
        <w:rPr>
          <w:rFonts w:hint="eastAsia" w:ascii="宋体" w:hAnsi="宋体" w:cs="宋体"/>
          <w:color w:val="auto"/>
          <w:szCs w:val="21"/>
          <w:highlight w:val="none"/>
        </w:rPr>
        <w:t>采购人对供应商在任务执行过程中开展的管理考核，包括任务完成时效、均衡推进、问题发现率、复检异议认可、抽样覆盖率、抽样方案和分析报告质量、重大问题及时报告、应急服务响应等相关情况。</w:t>
      </w:r>
    </w:p>
    <w:p w14:paraId="0AC81C40">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4.2.5.3 技术考核</w:t>
      </w:r>
    </w:p>
    <w:p w14:paraId="23FA19CC">
      <w:pPr>
        <w:pStyle w:val="15"/>
        <w:spacing w:after="0" w:line="400" w:lineRule="exact"/>
        <w:ind w:left="0" w:leftChars="0"/>
        <w:rPr>
          <w:rFonts w:hint="eastAsia" w:ascii="宋体" w:hAnsi="宋体" w:cs="宋体"/>
          <w:color w:val="auto"/>
          <w:szCs w:val="21"/>
          <w:highlight w:val="none"/>
        </w:rPr>
      </w:pPr>
      <w:r>
        <w:rPr>
          <w:rFonts w:hint="eastAsia" w:ascii="宋体" w:hAnsi="宋体" w:cs="宋体"/>
          <w:color w:val="auto"/>
          <w:szCs w:val="21"/>
          <w:highlight w:val="none"/>
        </w:rPr>
        <w:t>采购人对供应商在任务执行过程中开展的专项考核，包括盲样考核、留样复核、报告考核、现场检查、飞行检查等。</w:t>
      </w:r>
    </w:p>
    <w:p w14:paraId="5E9FEAD0">
      <w:pPr>
        <w:spacing w:line="400" w:lineRule="exact"/>
        <w:ind w:firstLine="422" w:firstLineChars="200"/>
        <w:outlineLvl w:val="0"/>
        <w:rPr>
          <w:rFonts w:hint="eastAsia" w:ascii="宋体" w:hAnsi="宋体" w:cs="宋体"/>
          <w:b/>
          <w:color w:val="auto"/>
          <w:szCs w:val="21"/>
          <w:highlight w:val="none"/>
        </w:rPr>
      </w:pPr>
      <w:r>
        <w:rPr>
          <w:rFonts w:hint="eastAsia" w:ascii="宋体" w:hAnsi="宋体" w:cs="宋体"/>
          <w:b/>
          <w:color w:val="auto"/>
          <w:szCs w:val="21"/>
          <w:highlight w:val="none"/>
        </w:rPr>
        <w:t>5</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商务要求</w:t>
      </w:r>
    </w:p>
    <w:p w14:paraId="44EE7AE3">
      <w:pPr>
        <w:pStyle w:val="77"/>
        <w:spacing w:line="40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服务期限：自合同签订之日起至</w:t>
      </w:r>
      <w:r>
        <w:rPr>
          <w:rFonts w:hint="eastAsia" w:ascii="宋体" w:hAnsi="宋体" w:eastAsia="宋体" w:cs="宋体"/>
          <w:color w:val="auto"/>
          <w:sz w:val="21"/>
          <w:szCs w:val="21"/>
          <w:highlight w:val="none"/>
          <w:lang w:eastAsia="zh-CN"/>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前</w:t>
      </w:r>
      <w:r>
        <w:rPr>
          <w:rFonts w:hint="eastAsia" w:ascii="宋体" w:hAnsi="宋体" w:eastAsia="宋体" w:cs="宋体"/>
          <w:color w:val="auto"/>
          <w:sz w:val="21"/>
          <w:szCs w:val="21"/>
          <w:highlight w:val="none"/>
        </w:rPr>
        <w:t>完成。</w:t>
      </w:r>
    </w:p>
    <w:p w14:paraId="34DB5B8A">
      <w:pPr>
        <w:pStyle w:val="77"/>
        <w:spacing w:line="40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服务范围：</w:t>
      </w:r>
      <w:r>
        <w:rPr>
          <w:rFonts w:hint="eastAsia" w:ascii="宋体" w:hAnsi="宋体" w:eastAsia="宋体" w:cs="宋体"/>
          <w:color w:val="auto"/>
          <w:sz w:val="21"/>
          <w:szCs w:val="21"/>
          <w:highlight w:val="none"/>
          <w:lang w:eastAsia="zh-CN"/>
        </w:rPr>
        <w:t>2026年中央转移支付食品安全抽检技术服务（第四季度）</w:t>
      </w:r>
    </w:p>
    <w:p w14:paraId="3C07CAFF">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5.3 付款进度和方式</w:t>
      </w:r>
    </w:p>
    <w:p w14:paraId="76CC28BF">
      <w:pPr>
        <w:spacing w:line="400" w:lineRule="exact"/>
        <w:ind w:firstLine="420" w:firstLineChars="200"/>
        <w:rPr>
          <w:rFonts w:hint="eastAsia" w:ascii="宋体" w:hAnsi="宋体" w:cs="方正仿宋_GBK"/>
          <w:color w:val="auto"/>
          <w:szCs w:val="21"/>
          <w:highlight w:val="none"/>
        </w:rPr>
      </w:pPr>
      <w:r>
        <w:rPr>
          <w:rFonts w:hint="eastAsia" w:ascii="宋体" w:hAnsi="宋体" w:cs="方正仿宋_GBK"/>
          <w:color w:val="auto"/>
          <w:szCs w:val="21"/>
          <w:highlight w:val="none"/>
        </w:rPr>
        <w:t>合同生效后一个月内，</w:t>
      </w:r>
      <w:r>
        <w:rPr>
          <w:rFonts w:hint="eastAsia" w:ascii="宋体" w:hAnsi="宋体" w:cs="方正仿宋_GBK"/>
          <w:color w:val="auto"/>
          <w:szCs w:val="21"/>
          <w:highlight w:val="none"/>
          <w:lang w:val="en-US" w:eastAsia="zh-CN"/>
        </w:rPr>
        <w:t>采购人</w:t>
      </w:r>
      <w:r>
        <w:rPr>
          <w:rFonts w:hint="eastAsia" w:ascii="宋体" w:hAnsi="宋体" w:cs="方正仿宋_GBK"/>
          <w:color w:val="auto"/>
          <w:szCs w:val="21"/>
          <w:highlight w:val="none"/>
        </w:rPr>
        <w:t>先行向</w:t>
      </w:r>
      <w:r>
        <w:rPr>
          <w:rFonts w:hint="eastAsia" w:ascii="宋体" w:hAnsi="宋体" w:cs="方正仿宋_GBK"/>
          <w:color w:val="auto"/>
          <w:szCs w:val="21"/>
          <w:highlight w:val="none"/>
          <w:lang w:val="en-US" w:eastAsia="zh-CN"/>
        </w:rPr>
        <w:t>供应商</w:t>
      </w:r>
      <w:r>
        <w:rPr>
          <w:rFonts w:hint="eastAsia" w:ascii="宋体" w:hAnsi="宋体" w:cs="方正仿宋_GBK"/>
          <w:color w:val="auto"/>
          <w:szCs w:val="21"/>
          <w:highlight w:val="none"/>
        </w:rPr>
        <w:t>支付合同金额的50%。2026年</w:t>
      </w:r>
      <w:r>
        <w:rPr>
          <w:rFonts w:hint="eastAsia" w:ascii="宋体" w:hAnsi="宋体" w:cs="方正仿宋_GBK"/>
          <w:color w:val="auto"/>
          <w:szCs w:val="21"/>
          <w:highlight w:val="none"/>
          <w:lang w:val="en-US" w:eastAsia="zh-CN"/>
        </w:rPr>
        <w:t>12</w:t>
      </w:r>
      <w:r>
        <w:rPr>
          <w:rFonts w:hint="eastAsia" w:ascii="宋体" w:hAnsi="宋体" w:cs="方正仿宋_GBK"/>
          <w:color w:val="auto"/>
          <w:szCs w:val="21"/>
          <w:highlight w:val="none"/>
        </w:rPr>
        <w:t>月</w:t>
      </w:r>
      <w:r>
        <w:rPr>
          <w:rFonts w:hint="eastAsia" w:ascii="宋体" w:hAnsi="宋体" w:cs="方正仿宋_GBK"/>
          <w:color w:val="auto"/>
          <w:szCs w:val="21"/>
          <w:highlight w:val="none"/>
          <w:lang w:val="en-US" w:eastAsia="zh-CN"/>
        </w:rPr>
        <w:t>10</w:t>
      </w:r>
      <w:r>
        <w:rPr>
          <w:rFonts w:hint="eastAsia" w:ascii="宋体" w:hAnsi="宋体" w:cs="方正仿宋_GBK"/>
          <w:color w:val="auto"/>
          <w:szCs w:val="21"/>
          <w:highlight w:val="none"/>
        </w:rPr>
        <w:t>日前，</w:t>
      </w:r>
      <w:r>
        <w:rPr>
          <w:rFonts w:hint="eastAsia" w:ascii="宋体" w:hAnsi="宋体" w:cs="方正仿宋_GBK"/>
          <w:color w:val="auto"/>
          <w:szCs w:val="21"/>
          <w:highlight w:val="none"/>
          <w:lang w:val="en-US" w:eastAsia="zh-CN"/>
        </w:rPr>
        <w:t>供应商</w:t>
      </w:r>
      <w:r>
        <w:rPr>
          <w:rFonts w:hint="eastAsia" w:ascii="宋体" w:hAnsi="宋体" w:cs="方正仿宋_GBK"/>
          <w:color w:val="auto"/>
          <w:szCs w:val="21"/>
          <w:highlight w:val="none"/>
        </w:rPr>
        <w:t>应完成任务。</w:t>
      </w:r>
      <w:r>
        <w:rPr>
          <w:rFonts w:hint="eastAsia" w:ascii="宋体" w:hAnsi="宋体" w:cs="方正仿宋_GBK"/>
          <w:color w:val="auto"/>
          <w:szCs w:val="21"/>
          <w:highlight w:val="none"/>
          <w:lang w:val="en-US" w:eastAsia="zh-CN"/>
        </w:rPr>
        <w:t>采购人</w:t>
      </w:r>
      <w:r>
        <w:rPr>
          <w:rFonts w:hint="eastAsia" w:ascii="宋体" w:hAnsi="宋体" w:cs="方正仿宋_GBK"/>
          <w:color w:val="auto"/>
          <w:szCs w:val="21"/>
          <w:highlight w:val="none"/>
        </w:rPr>
        <w:t>应在验收通过后30日内向</w:t>
      </w:r>
      <w:r>
        <w:rPr>
          <w:rFonts w:hint="eastAsia" w:ascii="宋体" w:hAnsi="宋体" w:cs="方正仿宋_GBK"/>
          <w:color w:val="auto"/>
          <w:szCs w:val="21"/>
          <w:highlight w:val="none"/>
          <w:lang w:val="en-US" w:eastAsia="zh-CN"/>
        </w:rPr>
        <w:t>供应商</w:t>
      </w:r>
      <w:r>
        <w:rPr>
          <w:rFonts w:hint="eastAsia" w:ascii="宋体" w:hAnsi="宋体" w:cs="方正仿宋_GBK"/>
          <w:color w:val="auto"/>
          <w:szCs w:val="21"/>
          <w:highlight w:val="none"/>
        </w:rPr>
        <w:t>支付剩余费用。</w:t>
      </w:r>
    </w:p>
    <w:p w14:paraId="7F3E0A73">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5.4 履约验收</w:t>
      </w:r>
    </w:p>
    <w:p w14:paraId="0BCC37A0">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5.4.1验收程序</w:t>
      </w:r>
    </w:p>
    <w:p w14:paraId="1ED5A53B">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原则上按照通知验收、机构自查、验收评审、综合评价、整改复查的流程组织开展验收工作。</w:t>
      </w:r>
    </w:p>
    <w:p w14:paraId="30776902">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5.4.2验收内容</w:t>
      </w:r>
    </w:p>
    <w:p w14:paraId="2EDD31CD">
      <w:pPr>
        <w:widowControl/>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验收内容包括：计划执行情况、任务完成质量、分析报告质量、机构综合考核情况以及合同规定的其他履约情况等。履约验收的内容和标准</w:t>
      </w:r>
      <w:r>
        <w:rPr>
          <w:rFonts w:hint="eastAsia" w:ascii="宋体" w:hAnsi="宋体" w:cs="宋体"/>
          <w:color w:val="auto"/>
          <w:szCs w:val="21"/>
          <w:highlight w:val="none"/>
          <w:lang w:val="en-US" w:eastAsia="zh-CN"/>
        </w:rPr>
        <w:t>详见下表</w:t>
      </w:r>
      <w:r>
        <w:rPr>
          <w:rFonts w:hint="eastAsia" w:ascii="宋体" w:hAnsi="宋体" w:cs="宋体"/>
          <w:color w:val="auto"/>
          <w:szCs w:val="21"/>
          <w:highlight w:val="none"/>
        </w:rPr>
        <w:t>。</w:t>
      </w:r>
    </w:p>
    <w:p w14:paraId="4C2C0396">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表5 履约验收项目表</w:t>
      </w:r>
    </w:p>
    <w:tbl>
      <w:tblPr>
        <w:tblStyle w:val="34"/>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806"/>
        <w:gridCol w:w="1459"/>
        <w:gridCol w:w="4253"/>
        <w:gridCol w:w="1185"/>
      </w:tblGrid>
      <w:tr w14:paraId="3CE6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21" w:type="dxa"/>
            <w:vAlign w:val="center"/>
          </w:tcPr>
          <w:p w14:paraId="283A7C30">
            <w:pPr>
              <w:keepNext w:val="0"/>
              <w:keepLines w:val="0"/>
              <w:suppressLineNumbers w:val="0"/>
              <w:spacing w:before="0" w:beforeAutospacing="0" w:after="0" w:afterAutospacing="0" w:line="32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265" w:type="dxa"/>
            <w:gridSpan w:val="2"/>
            <w:vAlign w:val="center"/>
          </w:tcPr>
          <w:p w14:paraId="0153A3BA">
            <w:pPr>
              <w:keepNext w:val="0"/>
              <w:keepLines w:val="0"/>
              <w:suppressLineNumbers w:val="0"/>
              <w:spacing w:before="0" w:beforeAutospacing="0" w:after="0" w:afterAutospacing="0" w:line="32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验收内容</w:t>
            </w:r>
          </w:p>
        </w:tc>
        <w:tc>
          <w:tcPr>
            <w:tcW w:w="4253" w:type="dxa"/>
            <w:vAlign w:val="center"/>
          </w:tcPr>
          <w:p w14:paraId="531ED9D4">
            <w:pPr>
              <w:keepNext w:val="0"/>
              <w:keepLines w:val="0"/>
              <w:suppressLineNumbers w:val="0"/>
              <w:spacing w:before="0" w:beforeAutospacing="0" w:after="0" w:afterAutospacing="0" w:line="32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验收标准</w:t>
            </w:r>
          </w:p>
        </w:tc>
        <w:tc>
          <w:tcPr>
            <w:tcW w:w="1185" w:type="dxa"/>
            <w:vAlign w:val="center"/>
          </w:tcPr>
          <w:p w14:paraId="5E66EF6D">
            <w:pPr>
              <w:keepNext w:val="0"/>
              <w:keepLines w:val="0"/>
              <w:suppressLineNumbers w:val="0"/>
              <w:spacing w:before="0" w:beforeAutospacing="0" w:after="0" w:afterAutospacing="0" w:line="32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证明材料</w:t>
            </w:r>
          </w:p>
        </w:tc>
      </w:tr>
      <w:tr w14:paraId="4F74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21" w:type="dxa"/>
            <w:vAlign w:val="center"/>
          </w:tcPr>
          <w:p w14:paraId="6097298E">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2265" w:type="dxa"/>
            <w:gridSpan w:val="2"/>
            <w:vAlign w:val="center"/>
          </w:tcPr>
          <w:p w14:paraId="5972CF2F">
            <w:pPr>
              <w:keepNext w:val="0"/>
              <w:keepLines w:val="0"/>
              <w:widowControl/>
              <w:suppressLineNumbers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计划执行情况</w:t>
            </w:r>
          </w:p>
        </w:tc>
        <w:tc>
          <w:tcPr>
            <w:tcW w:w="4253" w:type="dxa"/>
            <w:vAlign w:val="center"/>
          </w:tcPr>
          <w:p w14:paraId="790D64E2">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抽检的类型、品种、批次、区域、环节、场所等符合采购人的要求。</w:t>
            </w:r>
          </w:p>
        </w:tc>
        <w:tc>
          <w:tcPr>
            <w:tcW w:w="1185" w:type="dxa"/>
            <w:vAlign w:val="center"/>
          </w:tcPr>
          <w:p w14:paraId="3ABA48A0">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p>
        </w:tc>
      </w:tr>
      <w:tr w14:paraId="00BF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821" w:type="dxa"/>
            <w:vAlign w:val="center"/>
          </w:tcPr>
          <w:p w14:paraId="6727D809">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2265" w:type="dxa"/>
            <w:gridSpan w:val="2"/>
            <w:vAlign w:val="center"/>
          </w:tcPr>
          <w:p w14:paraId="72D8C290">
            <w:pPr>
              <w:keepNext w:val="0"/>
              <w:keepLines w:val="0"/>
              <w:widowControl/>
              <w:suppressLineNumbers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任务完成时限</w:t>
            </w:r>
          </w:p>
        </w:tc>
        <w:tc>
          <w:tcPr>
            <w:tcW w:w="4253" w:type="dxa"/>
            <w:vAlign w:val="center"/>
          </w:tcPr>
          <w:p w14:paraId="1BD12713">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任务完成时限和均衡推进度符合采购人的要求。</w:t>
            </w:r>
          </w:p>
        </w:tc>
        <w:tc>
          <w:tcPr>
            <w:tcW w:w="1185" w:type="dxa"/>
            <w:vAlign w:val="center"/>
          </w:tcPr>
          <w:p w14:paraId="5A57A962">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p>
        </w:tc>
      </w:tr>
      <w:tr w14:paraId="6BF02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21" w:type="dxa"/>
            <w:vAlign w:val="center"/>
          </w:tcPr>
          <w:p w14:paraId="6119E520">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806" w:type="dxa"/>
            <w:vMerge w:val="restart"/>
            <w:vAlign w:val="center"/>
          </w:tcPr>
          <w:p w14:paraId="35020E01">
            <w:pPr>
              <w:keepNext w:val="0"/>
              <w:keepLines w:val="0"/>
              <w:widowControl/>
              <w:suppressLineNumbers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任务完成质量</w:t>
            </w:r>
          </w:p>
        </w:tc>
        <w:tc>
          <w:tcPr>
            <w:tcW w:w="1459" w:type="dxa"/>
            <w:vAlign w:val="center"/>
          </w:tcPr>
          <w:p w14:paraId="4665DDAF">
            <w:pPr>
              <w:keepNext w:val="0"/>
              <w:keepLines w:val="0"/>
              <w:widowControl/>
              <w:suppressLineNumbers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问题发现率</w:t>
            </w:r>
          </w:p>
        </w:tc>
        <w:tc>
          <w:tcPr>
            <w:tcW w:w="4253" w:type="dxa"/>
            <w:vAlign w:val="center"/>
          </w:tcPr>
          <w:p w14:paraId="10CDEDA6">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不合格/问题样品发现率符合采购人的要求。</w:t>
            </w:r>
          </w:p>
        </w:tc>
        <w:tc>
          <w:tcPr>
            <w:tcW w:w="1185" w:type="dxa"/>
            <w:vAlign w:val="center"/>
          </w:tcPr>
          <w:p w14:paraId="4C7A35E4">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p>
        </w:tc>
      </w:tr>
      <w:tr w14:paraId="7DADE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21" w:type="dxa"/>
            <w:vAlign w:val="center"/>
          </w:tcPr>
          <w:p w14:paraId="552FC2F0">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w:t>
            </w:r>
          </w:p>
        </w:tc>
        <w:tc>
          <w:tcPr>
            <w:tcW w:w="806" w:type="dxa"/>
            <w:vMerge w:val="continue"/>
            <w:vAlign w:val="center"/>
          </w:tcPr>
          <w:p w14:paraId="41FD667B">
            <w:pPr>
              <w:keepNext w:val="0"/>
              <w:keepLines w:val="0"/>
              <w:widowControl/>
              <w:suppressLineNumbers w:val="0"/>
              <w:spacing w:before="0" w:beforeAutospacing="0" w:after="0" w:afterAutospacing="0" w:line="320" w:lineRule="exact"/>
              <w:ind w:left="0" w:right="0" w:firstLine="562"/>
              <w:jc w:val="center"/>
              <w:rPr>
                <w:rFonts w:hint="eastAsia" w:ascii="宋体" w:hAnsi="宋体" w:cs="宋体"/>
                <w:color w:val="auto"/>
                <w:kern w:val="0"/>
                <w:szCs w:val="21"/>
                <w:highlight w:val="none"/>
              </w:rPr>
            </w:pPr>
          </w:p>
        </w:tc>
        <w:tc>
          <w:tcPr>
            <w:tcW w:w="1459" w:type="dxa"/>
            <w:vAlign w:val="center"/>
          </w:tcPr>
          <w:p w14:paraId="61C8B57D">
            <w:pPr>
              <w:keepNext w:val="0"/>
              <w:keepLines w:val="0"/>
              <w:widowControl/>
              <w:suppressLineNumbers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数据质量</w:t>
            </w:r>
          </w:p>
        </w:tc>
        <w:tc>
          <w:tcPr>
            <w:tcW w:w="4253" w:type="dxa"/>
            <w:vAlign w:val="center"/>
          </w:tcPr>
          <w:p w14:paraId="3B0B8AB0">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被抽查数据的准确性、规范性以及数据退修率等符合采购人的要求。</w:t>
            </w:r>
          </w:p>
        </w:tc>
        <w:tc>
          <w:tcPr>
            <w:tcW w:w="1185" w:type="dxa"/>
            <w:vAlign w:val="center"/>
          </w:tcPr>
          <w:p w14:paraId="6D46639E">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p>
        </w:tc>
      </w:tr>
      <w:tr w14:paraId="14061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821" w:type="dxa"/>
            <w:vAlign w:val="center"/>
          </w:tcPr>
          <w:p w14:paraId="105D4EAA">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w:t>
            </w:r>
          </w:p>
        </w:tc>
        <w:tc>
          <w:tcPr>
            <w:tcW w:w="806" w:type="dxa"/>
            <w:vMerge w:val="continue"/>
            <w:vAlign w:val="center"/>
          </w:tcPr>
          <w:p w14:paraId="7FCB29E3">
            <w:pPr>
              <w:keepNext w:val="0"/>
              <w:keepLines w:val="0"/>
              <w:widowControl/>
              <w:suppressLineNumbers w:val="0"/>
              <w:spacing w:before="0" w:beforeAutospacing="0" w:after="0" w:afterAutospacing="0" w:line="320" w:lineRule="exact"/>
              <w:ind w:left="0" w:right="0" w:firstLine="562"/>
              <w:jc w:val="center"/>
              <w:rPr>
                <w:rFonts w:hint="eastAsia" w:ascii="宋体" w:hAnsi="宋体" w:cs="宋体"/>
                <w:color w:val="auto"/>
                <w:kern w:val="0"/>
                <w:szCs w:val="21"/>
                <w:highlight w:val="none"/>
              </w:rPr>
            </w:pPr>
          </w:p>
        </w:tc>
        <w:tc>
          <w:tcPr>
            <w:tcW w:w="1459" w:type="dxa"/>
            <w:vAlign w:val="center"/>
          </w:tcPr>
          <w:p w14:paraId="72AE3031">
            <w:pPr>
              <w:keepNext w:val="0"/>
              <w:keepLines w:val="0"/>
              <w:widowControl/>
              <w:suppressLineNumbers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复检异议</w:t>
            </w:r>
          </w:p>
        </w:tc>
        <w:tc>
          <w:tcPr>
            <w:tcW w:w="4253" w:type="dxa"/>
            <w:vAlign w:val="center"/>
          </w:tcPr>
          <w:p w14:paraId="14741BD0">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复检被推翻原结论、异议被认可的情况。</w:t>
            </w:r>
          </w:p>
        </w:tc>
        <w:tc>
          <w:tcPr>
            <w:tcW w:w="1185" w:type="dxa"/>
            <w:vAlign w:val="center"/>
          </w:tcPr>
          <w:p w14:paraId="65360819">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p>
        </w:tc>
      </w:tr>
      <w:tr w14:paraId="1EBA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821" w:type="dxa"/>
            <w:vAlign w:val="center"/>
          </w:tcPr>
          <w:p w14:paraId="6D778D07">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6</w:t>
            </w:r>
          </w:p>
        </w:tc>
        <w:tc>
          <w:tcPr>
            <w:tcW w:w="2265" w:type="dxa"/>
            <w:gridSpan w:val="2"/>
            <w:vAlign w:val="center"/>
          </w:tcPr>
          <w:p w14:paraId="7DB5F7A6">
            <w:pPr>
              <w:keepNext w:val="0"/>
              <w:keepLines w:val="0"/>
              <w:widowControl/>
              <w:suppressLineNumbers w:val="0"/>
              <w:spacing w:before="0" w:beforeAutospacing="0" w:after="0" w:afterAutospacing="0" w:line="320" w:lineRule="exact"/>
              <w:ind w:left="0" w:right="0"/>
              <w:jc w:val="center"/>
              <w:rPr>
                <w:rFonts w:hint="eastAsia" w:ascii="宋体" w:hAnsi="宋体" w:cs="宋体"/>
                <w:color w:val="auto"/>
                <w:kern w:val="0"/>
                <w:szCs w:val="21"/>
                <w:highlight w:val="none"/>
              </w:rPr>
            </w:pPr>
            <w:r>
              <w:rPr>
                <w:rStyle w:val="85"/>
                <w:rFonts w:hint="default" w:ascii="宋体" w:hAnsi="宋体" w:eastAsia="宋体" w:cs="宋体"/>
                <w:color w:val="auto"/>
                <w:sz w:val="21"/>
                <w:szCs w:val="21"/>
                <w:highlight w:val="none"/>
              </w:rPr>
              <w:t>分析报告质量</w:t>
            </w:r>
          </w:p>
        </w:tc>
        <w:tc>
          <w:tcPr>
            <w:tcW w:w="4253" w:type="dxa"/>
            <w:vAlign w:val="center"/>
          </w:tcPr>
          <w:p w14:paraId="07F26890">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cs="宋体"/>
                <w:color w:val="auto"/>
                <w:kern w:val="0"/>
                <w:szCs w:val="21"/>
                <w:highlight w:val="none"/>
              </w:rPr>
            </w:pPr>
            <w:r>
              <w:rPr>
                <w:rStyle w:val="85"/>
                <w:rFonts w:hint="default" w:ascii="宋体" w:hAnsi="宋体" w:eastAsia="宋体" w:cs="宋体"/>
                <w:color w:val="auto"/>
                <w:sz w:val="21"/>
                <w:szCs w:val="21"/>
                <w:highlight w:val="none"/>
              </w:rPr>
              <w:t>分析报告全面、详实、有针对性，风险提示清晰明确、建议切实可行，</w:t>
            </w:r>
            <w:r>
              <w:rPr>
                <w:rFonts w:hint="eastAsia" w:ascii="宋体" w:hAnsi="宋体" w:cs="宋体"/>
                <w:color w:val="auto"/>
                <w:kern w:val="0"/>
                <w:szCs w:val="21"/>
                <w:highlight w:val="none"/>
              </w:rPr>
              <w:t>符合采购人的要求。</w:t>
            </w:r>
          </w:p>
        </w:tc>
        <w:tc>
          <w:tcPr>
            <w:tcW w:w="1185" w:type="dxa"/>
            <w:vAlign w:val="center"/>
          </w:tcPr>
          <w:p w14:paraId="58ADD5BB">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p>
        </w:tc>
      </w:tr>
      <w:tr w14:paraId="38FDE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21" w:type="dxa"/>
            <w:vAlign w:val="center"/>
          </w:tcPr>
          <w:p w14:paraId="5E1A48F3">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7</w:t>
            </w:r>
          </w:p>
        </w:tc>
        <w:tc>
          <w:tcPr>
            <w:tcW w:w="2265" w:type="dxa"/>
            <w:gridSpan w:val="2"/>
            <w:vAlign w:val="center"/>
          </w:tcPr>
          <w:p w14:paraId="4DC6D7BB">
            <w:pPr>
              <w:keepNext w:val="0"/>
              <w:keepLines w:val="0"/>
              <w:widowControl/>
              <w:suppressLineNumbers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服务保障支撑监管的情况</w:t>
            </w:r>
          </w:p>
        </w:tc>
        <w:tc>
          <w:tcPr>
            <w:tcW w:w="4253" w:type="dxa"/>
            <w:vAlign w:val="center"/>
          </w:tcPr>
          <w:p w14:paraId="12321D3A">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应急响应、服务保障等监管特殊要求</w:t>
            </w:r>
            <w:r>
              <w:rPr>
                <w:rFonts w:hint="eastAsia" w:ascii="宋体" w:hAnsi="宋体" w:cs="宋体"/>
                <w:color w:val="auto"/>
                <w:kern w:val="0"/>
                <w:szCs w:val="21"/>
                <w:highlight w:val="none"/>
              </w:rPr>
              <w:t>符合采购人的要求。</w:t>
            </w:r>
          </w:p>
        </w:tc>
        <w:tc>
          <w:tcPr>
            <w:tcW w:w="1185" w:type="dxa"/>
            <w:vAlign w:val="center"/>
          </w:tcPr>
          <w:p w14:paraId="46841CBA">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p>
        </w:tc>
      </w:tr>
      <w:tr w14:paraId="2D24B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21" w:type="dxa"/>
            <w:vAlign w:val="center"/>
          </w:tcPr>
          <w:p w14:paraId="6AA7A680">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8</w:t>
            </w:r>
          </w:p>
        </w:tc>
        <w:tc>
          <w:tcPr>
            <w:tcW w:w="2265" w:type="dxa"/>
            <w:gridSpan w:val="2"/>
            <w:vAlign w:val="center"/>
          </w:tcPr>
          <w:p w14:paraId="5CE90EF0">
            <w:pPr>
              <w:keepNext w:val="0"/>
              <w:keepLines w:val="0"/>
              <w:widowControl/>
              <w:suppressLineNumbers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工作纪律情况</w:t>
            </w:r>
          </w:p>
        </w:tc>
        <w:tc>
          <w:tcPr>
            <w:tcW w:w="4253" w:type="dxa"/>
            <w:vAlign w:val="center"/>
          </w:tcPr>
          <w:p w14:paraId="199A17FE">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遵守法律法规、抽样和检验纪律等符合采购人的要求。</w:t>
            </w:r>
          </w:p>
        </w:tc>
        <w:tc>
          <w:tcPr>
            <w:tcW w:w="1185" w:type="dxa"/>
            <w:vAlign w:val="center"/>
          </w:tcPr>
          <w:p w14:paraId="195F0CE1">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p>
        </w:tc>
      </w:tr>
      <w:tr w14:paraId="5CDA9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821" w:type="dxa"/>
            <w:vAlign w:val="center"/>
          </w:tcPr>
          <w:p w14:paraId="74145C30">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9</w:t>
            </w:r>
          </w:p>
        </w:tc>
        <w:tc>
          <w:tcPr>
            <w:tcW w:w="2265" w:type="dxa"/>
            <w:gridSpan w:val="2"/>
            <w:vAlign w:val="center"/>
          </w:tcPr>
          <w:p w14:paraId="523328B7">
            <w:pPr>
              <w:keepNext w:val="0"/>
              <w:keepLines w:val="0"/>
              <w:widowControl/>
              <w:suppressLineNumbers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合同规定的其他履约情况</w:t>
            </w:r>
          </w:p>
        </w:tc>
        <w:tc>
          <w:tcPr>
            <w:tcW w:w="4253" w:type="dxa"/>
            <w:vAlign w:val="center"/>
          </w:tcPr>
          <w:p w14:paraId="308829AC">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符合合同书要求。</w:t>
            </w:r>
          </w:p>
        </w:tc>
        <w:tc>
          <w:tcPr>
            <w:tcW w:w="1185" w:type="dxa"/>
            <w:vAlign w:val="center"/>
          </w:tcPr>
          <w:p w14:paraId="01F11B16">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p>
        </w:tc>
      </w:tr>
      <w:tr w14:paraId="1EE75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1" w:type="dxa"/>
            <w:vAlign w:val="center"/>
          </w:tcPr>
          <w:p w14:paraId="376CD5C6">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w:t>
            </w:r>
          </w:p>
        </w:tc>
        <w:tc>
          <w:tcPr>
            <w:tcW w:w="2265" w:type="dxa"/>
            <w:gridSpan w:val="2"/>
            <w:vAlign w:val="center"/>
          </w:tcPr>
          <w:p w14:paraId="4578FA28">
            <w:pPr>
              <w:keepNext w:val="0"/>
              <w:keepLines w:val="0"/>
              <w:widowControl/>
              <w:suppressLineNumbers w:val="0"/>
              <w:spacing w:before="0" w:beforeAutospacing="0" w:after="0" w:afterAutospacing="0" w:line="320" w:lineRule="exact"/>
              <w:ind w:left="0" w:right="0"/>
              <w:jc w:val="center"/>
              <w:rPr>
                <w:rFonts w:hint="eastAsia" w:ascii="宋体" w:hAnsi="宋体" w:cs="宋体"/>
                <w:color w:val="auto"/>
                <w:kern w:val="0"/>
                <w:szCs w:val="21"/>
                <w:highlight w:val="none"/>
              </w:rPr>
            </w:pPr>
            <w:r>
              <w:rPr>
                <w:rFonts w:hint="eastAsia" w:ascii="宋体" w:hAnsi="宋体" w:cs="宋体"/>
                <w:color w:val="auto"/>
                <w:spacing w:val="-10"/>
                <w:kern w:val="0"/>
                <w:szCs w:val="21"/>
                <w:highlight w:val="none"/>
              </w:rPr>
              <w:t>采购人认为需要的其他验收内容</w:t>
            </w:r>
          </w:p>
        </w:tc>
        <w:tc>
          <w:tcPr>
            <w:tcW w:w="4253" w:type="dxa"/>
            <w:vAlign w:val="center"/>
          </w:tcPr>
          <w:p w14:paraId="0B94370C">
            <w:pPr>
              <w:keepNext w:val="0"/>
              <w:keepLines w:val="0"/>
              <w:widowControl/>
              <w:suppressLineNumbers w:val="0"/>
              <w:adjustRightInd w:val="0"/>
              <w:snapToGrid w:val="0"/>
              <w:spacing w:before="0" w:beforeAutospacing="0" w:after="0" w:afterAutospacing="0" w:line="320" w:lineRule="exact"/>
              <w:ind w:left="0" w:right="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185" w:type="dxa"/>
            <w:vAlign w:val="center"/>
          </w:tcPr>
          <w:p w14:paraId="42ED45D9">
            <w:pPr>
              <w:keepNext w:val="0"/>
              <w:keepLines w:val="0"/>
              <w:widowControl/>
              <w:suppressLineNumbers w:val="0"/>
              <w:adjustRightInd w:val="0"/>
              <w:snapToGrid w:val="0"/>
              <w:spacing w:before="0" w:beforeAutospacing="0" w:after="0" w:afterAutospacing="0" w:line="320" w:lineRule="exact"/>
              <w:ind w:left="0" w:right="0"/>
              <w:jc w:val="center"/>
              <w:rPr>
                <w:rFonts w:hint="eastAsia" w:ascii="宋体" w:hAnsi="宋体" w:cs="宋体"/>
                <w:color w:val="auto"/>
                <w:kern w:val="0"/>
                <w:szCs w:val="21"/>
                <w:highlight w:val="none"/>
              </w:rPr>
            </w:pPr>
          </w:p>
        </w:tc>
      </w:tr>
    </w:tbl>
    <w:p w14:paraId="3B7F622D">
      <w:pPr>
        <w:spacing w:line="560" w:lineRule="exact"/>
        <w:rPr>
          <w:rFonts w:hint="eastAsia" w:ascii="宋体" w:hAnsi="宋体" w:cs="宋体"/>
          <w:color w:val="auto"/>
          <w:szCs w:val="21"/>
          <w:highlight w:val="none"/>
        </w:rPr>
      </w:pPr>
    </w:p>
    <w:p w14:paraId="366C9935">
      <w:pPr>
        <w:spacing w:line="360" w:lineRule="auto"/>
        <w:ind w:firstLine="422" w:firstLineChars="200"/>
        <w:rPr>
          <w:rFonts w:hint="eastAsia" w:ascii="宋体" w:hAnsi="宋体" w:cs="方正黑体_GBK"/>
          <w:b/>
          <w:color w:val="auto"/>
          <w:szCs w:val="21"/>
          <w:highlight w:val="none"/>
        </w:rPr>
      </w:pPr>
      <w:r>
        <w:rPr>
          <w:rFonts w:hint="eastAsia" w:ascii="宋体" w:hAnsi="宋体" w:cs="方正黑体_GBK"/>
          <w:b/>
          <w:color w:val="auto"/>
          <w:szCs w:val="21"/>
          <w:highlight w:val="none"/>
        </w:rPr>
        <w:t>附件：</w:t>
      </w:r>
    </w:p>
    <w:p w14:paraId="38180532">
      <w:pPr>
        <w:spacing w:line="360" w:lineRule="auto"/>
        <w:ind w:firstLine="422" w:firstLineChars="200"/>
        <w:rPr>
          <w:rFonts w:hint="eastAsia" w:ascii="宋体" w:hAnsi="宋体" w:cs="方正黑体_GBK"/>
          <w:b/>
          <w:color w:val="auto"/>
          <w:szCs w:val="21"/>
          <w:highlight w:val="none"/>
        </w:rPr>
      </w:pPr>
      <w:r>
        <w:rPr>
          <w:rFonts w:hint="eastAsia" w:ascii="宋体" w:hAnsi="宋体" w:cs="方正黑体_GBK"/>
          <w:b/>
          <w:color w:val="auto"/>
          <w:szCs w:val="21"/>
          <w:highlight w:val="none"/>
        </w:rPr>
        <w:t>1、</w:t>
      </w:r>
      <w:r>
        <w:rPr>
          <w:rFonts w:hint="eastAsia" w:ascii="宋体" w:hAnsi="宋体" w:cs="方正黑体_GBK"/>
          <w:b/>
          <w:color w:val="auto"/>
          <w:szCs w:val="21"/>
          <w:highlight w:val="none"/>
          <w:lang w:eastAsia="zh-CN"/>
        </w:rPr>
        <w:t>2026年中央转移支付食品安全抽检技术服务（第四季度）</w:t>
      </w:r>
      <w:r>
        <w:rPr>
          <w:rFonts w:hint="eastAsia" w:ascii="宋体" w:hAnsi="宋体" w:cs="方正黑体_GBK"/>
          <w:b/>
          <w:color w:val="auto"/>
          <w:szCs w:val="21"/>
          <w:highlight w:val="none"/>
        </w:rPr>
        <w:t>任务类型</w:t>
      </w:r>
    </w:p>
    <w:p w14:paraId="50AC269F">
      <w:pPr>
        <w:spacing w:line="360" w:lineRule="auto"/>
        <w:ind w:firstLine="422" w:firstLineChars="200"/>
        <w:rPr>
          <w:rFonts w:hint="eastAsia" w:ascii="宋体" w:hAnsi="宋体" w:cs="方正黑体_GBK"/>
          <w:b/>
          <w:color w:val="auto"/>
          <w:szCs w:val="21"/>
          <w:highlight w:val="none"/>
        </w:rPr>
      </w:pPr>
      <w:r>
        <w:rPr>
          <w:rFonts w:hint="eastAsia" w:ascii="宋体" w:hAnsi="宋体" w:cs="方正黑体_GBK"/>
          <w:b/>
          <w:color w:val="auto"/>
          <w:szCs w:val="21"/>
          <w:highlight w:val="none"/>
        </w:rPr>
        <w:t>2、</w:t>
      </w:r>
      <w:r>
        <w:rPr>
          <w:rFonts w:hint="eastAsia" w:ascii="宋体" w:hAnsi="宋体" w:cs="方正黑体_GBK"/>
          <w:b/>
          <w:color w:val="auto"/>
          <w:szCs w:val="21"/>
          <w:highlight w:val="none"/>
          <w:lang w:eastAsia="zh-CN"/>
        </w:rPr>
        <w:t>2026年中央转移支付食品安全抽检技术服务（第四季度）</w:t>
      </w:r>
      <w:r>
        <w:rPr>
          <w:rFonts w:hint="eastAsia" w:ascii="宋体" w:hAnsi="宋体" w:cs="方正黑体_GBK"/>
          <w:b/>
          <w:color w:val="auto"/>
          <w:szCs w:val="21"/>
          <w:highlight w:val="none"/>
        </w:rPr>
        <w:t>政府采购计划明细表</w:t>
      </w:r>
    </w:p>
    <w:p w14:paraId="70067892">
      <w:pPr>
        <w:pStyle w:val="3"/>
        <w:spacing w:line="360" w:lineRule="auto"/>
        <w:ind w:left="0" w:leftChars="0" w:right="210"/>
        <w:rPr>
          <w:rFonts w:ascii="Microsoft New Tai Lue" w:hAnsi="Microsoft New Tai Lue" w:cs="Microsoft New Tai Lue"/>
          <w:color w:val="auto"/>
          <w:szCs w:val="21"/>
          <w:highlight w:val="none"/>
        </w:rPr>
        <w:sectPr>
          <w:footerReference r:id="rId7" w:type="default"/>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p>
    <w:p w14:paraId="031AEF7D">
      <w:pPr>
        <w:pStyle w:val="3"/>
        <w:spacing w:line="360" w:lineRule="auto"/>
        <w:ind w:left="0" w:leftChars="0" w:right="21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附件1</w:t>
      </w:r>
      <w:r>
        <w:rPr>
          <w:rFonts w:hint="eastAsia" w:ascii="Microsoft New Tai Lue" w:hAnsi="Microsoft New Tai Lue" w:cs="Microsoft New Tai Lue"/>
          <w:color w:val="auto"/>
          <w:szCs w:val="21"/>
          <w:highlight w:val="none"/>
        </w:rPr>
        <w:t xml:space="preserve"> </w:t>
      </w:r>
      <w:r>
        <w:rPr>
          <w:rFonts w:hint="eastAsia" w:ascii="Microsoft New Tai Lue" w:hAnsi="Microsoft New Tai Lue" w:cs="Microsoft New Tai Lue"/>
          <w:color w:val="auto"/>
          <w:szCs w:val="21"/>
          <w:highlight w:val="none"/>
          <w:lang w:eastAsia="zh-CN"/>
        </w:rPr>
        <w:t>2026年中央转移支付食品安全抽检技术服务（第四季度）</w:t>
      </w:r>
      <w:r>
        <w:rPr>
          <w:rFonts w:hint="eastAsia" w:ascii="Microsoft New Tai Lue" w:hAnsi="Microsoft New Tai Lue" w:cs="Microsoft New Tai Lue"/>
          <w:color w:val="auto"/>
          <w:szCs w:val="21"/>
          <w:highlight w:val="none"/>
        </w:rPr>
        <w:t>任务类型</w:t>
      </w:r>
    </w:p>
    <w:p w14:paraId="41D9E635">
      <w:pPr>
        <w:pStyle w:val="3"/>
        <w:spacing w:line="360" w:lineRule="auto"/>
        <w:ind w:left="0" w:leftChars="0" w:right="210"/>
        <w:jc w:val="center"/>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2026年中央转移支付食品安全抽检技术服务（第四季度）</w:t>
      </w:r>
      <w:r>
        <w:rPr>
          <w:rFonts w:hint="eastAsia" w:ascii="Microsoft New Tai Lue" w:hAnsi="Microsoft New Tai Lue" w:cs="Microsoft New Tai Lue"/>
          <w:color w:val="auto"/>
          <w:szCs w:val="21"/>
          <w:highlight w:val="none"/>
        </w:rPr>
        <w:t>任务类型</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5"/>
        <w:gridCol w:w="2595"/>
        <w:gridCol w:w="2596"/>
        <w:gridCol w:w="5193"/>
      </w:tblGrid>
      <w:tr w14:paraId="2EB45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exact"/>
          <w:jc w:val="center"/>
        </w:trPr>
        <w:tc>
          <w:tcPr>
            <w:tcW w:w="2595" w:type="dxa"/>
            <w:vMerge w:val="restart"/>
            <w:vAlign w:val="center"/>
          </w:tcPr>
          <w:p w14:paraId="07AFAA65">
            <w:pPr>
              <w:pStyle w:val="16"/>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auto"/>
                <w:kern w:val="0"/>
                <w:sz w:val="21"/>
                <w:szCs w:val="21"/>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抽检类型</w:t>
            </w:r>
          </w:p>
        </w:tc>
        <w:tc>
          <w:tcPr>
            <w:tcW w:w="5191" w:type="dxa"/>
            <w:gridSpan w:val="2"/>
            <w:vAlign w:val="center"/>
          </w:tcPr>
          <w:p w14:paraId="01F512DB">
            <w:pPr>
              <w:pStyle w:val="16"/>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auto"/>
                <w:kern w:val="0"/>
                <w:sz w:val="21"/>
                <w:szCs w:val="21"/>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中央转移支付抽检</w:t>
            </w:r>
          </w:p>
        </w:tc>
        <w:tc>
          <w:tcPr>
            <w:tcW w:w="5193" w:type="dxa"/>
            <w:vAlign w:val="center"/>
          </w:tcPr>
          <w:p w14:paraId="04752C1A">
            <w:pPr>
              <w:pStyle w:val="16"/>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auto"/>
                <w:kern w:val="0"/>
                <w:sz w:val="21"/>
                <w:szCs w:val="21"/>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单价</w:t>
            </w:r>
          </w:p>
        </w:tc>
      </w:tr>
      <w:tr w14:paraId="7C98C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exact"/>
          <w:jc w:val="center"/>
        </w:trPr>
        <w:tc>
          <w:tcPr>
            <w:tcW w:w="2595" w:type="dxa"/>
            <w:vMerge w:val="continue"/>
            <w:vAlign w:val="center"/>
          </w:tcPr>
          <w:p w14:paraId="1FC965B7">
            <w:pPr>
              <w:pStyle w:val="16"/>
              <w:keepNext w:val="0"/>
              <w:keepLines w:val="0"/>
              <w:suppressLineNumbers w:val="0"/>
              <w:spacing w:before="0" w:beforeAutospacing="0" w:after="0" w:afterAutospacing="0"/>
              <w:ind w:right="0"/>
              <w:jc w:val="center"/>
              <w:rPr>
                <w:rFonts w:hint="eastAsia" w:ascii="宋体" w:hAnsi="宋体" w:eastAsia="宋体" w:cs="宋体"/>
                <w:color w:val="auto"/>
                <w:kern w:val="0"/>
                <w:sz w:val="21"/>
                <w:szCs w:val="21"/>
                <w:highlight w:val="none"/>
                <w:vertAlign w:val="baseline"/>
              </w:rPr>
            </w:pPr>
          </w:p>
        </w:tc>
        <w:tc>
          <w:tcPr>
            <w:tcW w:w="2595" w:type="dxa"/>
            <w:vAlign w:val="center"/>
          </w:tcPr>
          <w:p w14:paraId="120073C5">
            <w:pPr>
              <w:pStyle w:val="16"/>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auto"/>
                <w:kern w:val="0"/>
                <w:sz w:val="21"/>
                <w:szCs w:val="21"/>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批次</w:t>
            </w:r>
          </w:p>
        </w:tc>
        <w:tc>
          <w:tcPr>
            <w:tcW w:w="2596" w:type="dxa"/>
            <w:vAlign w:val="center"/>
          </w:tcPr>
          <w:p w14:paraId="33B965B7">
            <w:pPr>
              <w:pStyle w:val="16"/>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auto"/>
                <w:kern w:val="0"/>
                <w:sz w:val="21"/>
                <w:szCs w:val="21"/>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采购预算</w:t>
            </w:r>
          </w:p>
        </w:tc>
        <w:tc>
          <w:tcPr>
            <w:tcW w:w="5193" w:type="dxa"/>
            <w:vMerge w:val="restart"/>
            <w:vAlign w:val="center"/>
          </w:tcPr>
          <w:p w14:paraId="1C7924C6">
            <w:pPr>
              <w:pStyle w:val="16"/>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监督抽检：1750元</w:t>
            </w:r>
            <w:r>
              <w:rPr>
                <w:rStyle w:val="114"/>
                <w:rFonts w:hint="eastAsia" w:ascii="宋体" w:hAnsi="宋体" w:eastAsia="宋体" w:cs="宋体"/>
                <w:color w:val="auto"/>
                <w:sz w:val="21"/>
                <w:szCs w:val="21"/>
                <w:highlight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 xml:space="preserve">批次；                  </w:t>
            </w:r>
          </w:p>
          <w:p w14:paraId="4199FA21">
            <w:pPr>
              <w:pStyle w:val="16"/>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
                <w:bCs/>
                <w:i w:val="0"/>
                <w:iCs w:val="0"/>
                <w:color w:val="auto"/>
                <w:kern w:val="0"/>
                <w:sz w:val="21"/>
                <w:szCs w:val="21"/>
                <w:highlight w:val="none"/>
                <w:u w:val="none"/>
                <w:lang w:val="en-US" w:eastAsia="zh-CN" w:bidi="ar"/>
              </w:rPr>
            </w:pPr>
          </w:p>
          <w:p w14:paraId="61C921BF">
            <w:pPr>
              <w:pStyle w:val="16"/>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color w:val="auto"/>
                <w:kern w:val="0"/>
                <w:sz w:val="21"/>
                <w:szCs w:val="21"/>
                <w:highlight w:val="none"/>
                <w:vertAlign w:val="baseline"/>
              </w:rPr>
            </w:pPr>
            <w:r>
              <w:rPr>
                <w:rFonts w:hint="eastAsia" w:ascii="宋体" w:hAnsi="宋体" w:eastAsia="宋体" w:cs="宋体"/>
                <w:b/>
                <w:bCs/>
                <w:i w:val="0"/>
                <w:iCs w:val="0"/>
                <w:color w:val="auto"/>
                <w:kern w:val="0"/>
                <w:sz w:val="21"/>
                <w:szCs w:val="21"/>
                <w:highlight w:val="none"/>
                <w:u w:val="none"/>
                <w:lang w:val="en-US" w:eastAsia="zh-CN" w:bidi="ar"/>
              </w:rPr>
              <w:t>风险抽检：1600元/批次；</w:t>
            </w:r>
          </w:p>
        </w:tc>
      </w:tr>
      <w:tr w14:paraId="7F905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exact"/>
          <w:jc w:val="center"/>
        </w:trPr>
        <w:tc>
          <w:tcPr>
            <w:tcW w:w="2595" w:type="dxa"/>
            <w:vAlign w:val="center"/>
          </w:tcPr>
          <w:p w14:paraId="6FF490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vertAlign w:val="baseline"/>
              </w:rPr>
            </w:pPr>
            <w:r>
              <w:rPr>
                <w:rFonts w:hint="eastAsia" w:ascii="宋体" w:hAnsi="宋体" w:eastAsia="宋体" w:cs="宋体"/>
                <w:b/>
                <w:bCs/>
                <w:i w:val="0"/>
                <w:iCs w:val="0"/>
                <w:color w:val="auto"/>
                <w:kern w:val="0"/>
                <w:sz w:val="21"/>
                <w:szCs w:val="21"/>
                <w:highlight w:val="none"/>
                <w:u w:val="none"/>
                <w:lang w:val="en-US" w:eastAsia="zh-CN" w:bidi="ar"/>
              </w:rPr>
              <w:t>合计</w:t>
            </w:r>
          </w:p>
        </w:tc>
        <w:tc>
          <w:tcPr>
            <w:tcW w:w="2595" w:type="dxa"/>
            <w:vAlign w:val="center"/>
          </w:tcPr>
          <w:p w14:paraId="3C4BF7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vertAlign w:val="baseline"/>
              </w:rPr>
            </w:pPr>
            <w:r>
              <w:rPr>
                <w:rFonts w:hint="eastAsia" w:ascii="宋体" w:hAnsi="宋体" w:cs="宋体"/>
                <w:color w:val="auto"/>
                <w:kern w:val="0"/>
                <w:szCs w:val="21"/>
                <w:highlight w:val="none"/>
                <w:u w:val="none"/>
                <w:lang w:bidi="ar"/>
              </w:rPr>
              <w:t>4198</w:t>
            </w:r>
          </w:p>
        </w:tc>
        <w:tc>
          <w:tcPr>
            <w:tcW w:w="2596" w:type="dxa"/>
            <w:vAlign w:val="center"/>
          </w:tcPr>
          <w:p w14:paraId="3BBC65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vertAlign w:val="baseline"/>
              </w:rPr>
            </w:pPr>
            <w:r>
              <w:rPr>
                <w:rFonts w:hint="eastAsia" w:ascii="宋体" w:hAnsi="宋体" w:cs="宋体"/>
                <w:color w:val="auto"/>
                <w:kern w:val="0"/>
                <w:szCs w:val="21"/>
                <w:highlight w:val="none"/>
                <w:u w:val="none"/>
                <w:lang w:bidi="ar"/>
              </w:rPr>
              <w:t>714.955</w:t>
            </w:r>
          </w:p>
        </w:tc>
        <w:tc>
          <w:tcPr>
            <w:tcW w:w="5193" w:type="dxa"/>
            <w:vMerge w:val="continue"/>
            <w:vAlign w:val="center"/>
          </w:tcPr>
          <w:p w14:paraId="77648396">
            <w:pPr>
              <w:pStyle w:val="16"/>
              <w:keepNext w:val="0"/>
              <w:keepLines w:val="0"/>
              <w:suppressLineNumbers w:val="0"/>
              <w:spacing w:before="0" w:beforeAutospacing="0" w:after="0" w:afterAutospacing="0"/>
              <w:ind w:right="0"/>
              <w:jc w:val="center"/>
              <w:rPr>
                <w:rFonts w:hint="eastAsia" w:ascii="宋体" w:hAnsi="宋体" w:eastAsia="宋体" w:cs="宋体"/>
                <w:color w:val="auto"/>
                <w:kern w:val="0"/>
                <w:sz w:val="21"/>
                <w:szCs w:val="21"/>
                <w:highlight w:val="none"/>
                <w:vertAlign w:val="baseline"/>
              </w:rPr>
            </w:pPr>
          </w:p>
        </w:tc>
      </w:tr>
      <w:tr w14:paraId="3D1D3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exact"/>
          <w:jc w:val="center"/>
        </w:trPr>
        <w:tc>
          <w:tcPr>
            <w:tcW w:w="2595" w:type="dxa"/>
            <w:vAlign w:val="center"/>
          </w:tcPr>
          <w:p w14:paraId="19F568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vertAlign w:val="baseli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2595" w:type="dxa"/>
            <w:vAlign w:val="center"/>
          </w:tcPr>
          <w:p w14:paraId="52A625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vertAlign w:val="baseline"/>
              </w:rPr>
            </w:pPr>
            <w:r>
              <w:rPr>
                <w:rFonts w:hint="eastAsia" w:ascii="宋体" w:hAnsi="宋体" w:cs="宋体"/>
                <w:color w:val="auto"/>
                <w:kern w:val="0"/>
                <w:szCs w:val="21"/>
                <w:highlight w:val="none"/>
                <w:u w:val="none"/>
                <w:lang w:bidi="ar"/>
              </w:rPr>
              <w:t>2885</w:t>
            </w:r>
          </w:p>
        </w:tc>
        <w:tc>
          <w:tcPr>
            <w:tcW w:w="2596" w:type="dxa"/>
            <w:vAlign w:val="center"/>
          </w:tcPr>
          <w:p w14:paraId="4C398D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vertAlign w:val="baseline"/>
              </w:rPr>
            </w:pPr>
            <w:r>
              <w:rPr>
                <w:rFonts w:hint="eastAsia" w:ascii="宋体" w:hAnsi="宋体" w:cs="宋体"/>
                <w:color w:val="auto"/>
                <w:kern w:val="0"/>
                <w:szCs w:val="21"/>
                <w:highlight w:val="none"/>
                <w:u w:val="none"/>
                <w:lang w:bidi="ar"/>
              </w:rPr>
              <w:t>504.875</w:t>
            </w:r>
          </w:p>
        </w:tc>
        <w:tc>
          <w:tcPr>
            <w:tcW w:w="5193" w:type="dxa"/>
            <w:vMerge w:val="continue"/>
            <w:vAlign w:val="center"/>
          </w:tcPr>
          <w:p w14:paraId="482295F5">
            <w:pPr>
              <w:pStyle w:val="16"/>
              <w:keepNext w:val="0"/>
              <w:keepLines w:val="0"/>
              <w:suppressLineNumbers w:val="0"/>
              <w:spacing w:before="0" w:beforeAutospacing="0" w:after="0" w:afterAutospacing="0"/>
              <w:ind w:right="0"/>
              <w:jc w:val="center"/>
              <w:rPr>
                <w:rFonts w:hint="eastAsia" w:ascii="宋体" w:hAnsi="宋体" w:eastAsia="宋体" w:cs="宋体"/>
                <w:color w:val="auto"/>
                <w:kern w:val="0"/>
                <w:sz w:val="21"/>
                <w:szCs w:val="21"/>
                <w:highlight w:val="none"/>
                <w:vertAlign w:val="baseline"/>
              </w:rPr>
            </w:pPr>
          </w:p>
        </w:tc>
      </w:tr>
      <w:tr w14:paraId="4578C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exact"/>
          <w:jc w:val="center"/>
        </w:trPr>
        <w:tc>
          <w:tcPr>
            <w:tcW w:w="2595" w:type="dxa"/>
            <w:vAlign w:val="center"/>
          </w:tcPr>
          <w:p w14:paraId="5F0762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vertAlign w:val="baseli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2595" w:type="dxa"/>
            <w:vAlign w:val="center"/>
          </w:tcPr>
          <w:p w14:paraId="00F61F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vertAlign w:val="baseline"/>
              </w:rPr>
            </w:pPr>
            <w:r>
              <w:rPr>
                <w:rFonts w:hint="eastAsia" w:ascii="宋体" w:hAnsi="宋体" w:cs="宋体"/>
                <w:color w:val="auto"/>
                <w:kern w:val="0"/>
                <w:szCs w:val="21"/>
                <w:highlight w:val="none"/>
                <w:u w:val="none"/>
                <w:lang w:bidi="ar"/>
              </w:rPr>
              <w:t>1313</w:t>
            </w:r>
          </w:p>
        </w:tc>
        <w:tc>
          <w:tcPr>
            <w:tcW w:w="2596" w:type="dxa"/>
            <w:vAlign w:val="center"/>
          </w:tcPr>
          <w:p w14:paraId="6BBBC6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vertAlign w:val="baseline"/>
              </w:rPr>
            </w:pPr>
            <w:r>
              <w:rPr>
                <w:rFonts w:hint="eastAsia" w:ascii="宋体" w:hAnsi="宋体" w:cs="宋体"/>
                <w:color w:val="auto"/>
                <w:kern w:val="0"/>
                <w:szCs w:val="21"/>
                <w:highlight w:val="none"/>
                <w:u w:val="none"/>
                <w:lang w:bidi="ar"/>
              </w:rPr>
              <w:t>210.08</w:t>
            </w:r>
          </w:p>
        </w:tc>
        <w:tc>
          <w:tcPr>
            <w:tcW w:w="5193" w:type="dxa"/>
            <w:vMerge w:val="continue"/>
            <w:vAlign w:val="center"/>
          </w:tcPr>
          <w:p w14:paraId="39661E00">
            <w:pPr>
              <w:pStyle w:val="16"/>
              <w:keepNext w:val="0"/>
              <w:keepLines w:val="0"/>
              <w:suppressLineNumbers w:val="0"/>
              <w:spacing w:before="0" w:beforeAutospacing="0" w:after="0" w:afterAutospacing="0"/>
              <w:ind w:right="0"/>
              <w:jc w:val="center"/>
              <w:rPr>
                <w:rFonts w:hint="eastAsia" w:ascii="宋体" w:hAnsi="宋体" w:eastAsia="宋体" w:cs="宋体"/>
                <w:color w:val="auto"/>
                <w:kern w:val="0"/>
                <w:sz w:val="21"/>
                <w:szCs w:val="21"/>
                <w:highlight w:val="none"/>
                <w:vertAlign w:val="baseline"/>
              </w:rPr>
            </w:pPr>
          </w:p>
        </w:tc>
      </w:tr>
    </w:tbl>
    <w:p w14:paraId="4B79840B">
      <w:pPr>
        <w:ind w:firstLine="420" w:firstLineChars="200"/>
        <w:rPr>
          <w:rFonts w:hint="eastAsia" w:ascii="宋体" w:hAnsi="宋体" w:cs="宋体"/>
          <w:color w:val="auto"/>
          <w:szCs w:val="21"/>
          <w:highlight w:val="none"/>
        </w:rPr>
      </w:pPr>
    </w:p>
    <w:p w14:paraId="2C6ECB11">
      <w:pPr>
        <w:rPr>
          <w:color w:val="auto"/>
          <w:highlight w:val="none"/>
        </w:rPr>
        <w:sectPr>
          <w:pgSz w:w="16838" w:h="11905" w:orient="landscape"/>
          <w:pgMar w:top="1803" w:right="1440" w:bottom="1803" w:left="1440" w:header="850" w:footer="992" w:gutter="0"/>
          <w:pgBorders>
            <w:top w:val="none" w:sz="0" w:space="0"/>
            <w:left w:val="none" w:sz="0" w:space="0"/>
            <w:bottom w:val="none" w:sz="0" w:space="0"/>
            <w:right w:val="none" w:sz="0" w:space="0"/>
          </w:pgBorders>
          <w:cols w:space="0" w:num="1"/>
          <w:rtlGutter w:val="0"/>
          <w:docGrid w:type="lines" w:linePitch="317" w:charSpace="0"/>
        </w:sectPr>
      </w:pPr>
    </w:p>
    <w:p w14:paraId="0879AE07">
      <w:pPr>
        <w:pStyle w:val="3"/>
        <w:spacing w:line="360" w:lineRule="auto"/>
        <w:ind w:left="0" w:leftChars="0" w:right="21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附件2：</w:t>
      </w:r>
      <w:r>
        <w:rPr>
          <w:rFonts w:hint="eastAsia" w:ascii="Microsoft New Tai Lue" w:hAnsi="Microsoft New Tai Lue" w:cs="Microsoft New Tai Lue"/>
          <w:color w:val="auto"/>
          <w:szCs w:val="21"/>
          <w:highlight w:val="none"/>
          <w:lang w:eastAsia="zh-CN"/>
        </w:rPr>
        <w:t>2026年中央转移支付食品安全抽检技术服务（第四季度）</w:t>
      </w:r>
      <w:r>
        <w:rPr>
          <w:rFonts w:hint="eastAsia" w:ascii="Microsoft New Tai Lue" w:hAnsi="Microsoft New Tai Lue" w:cs="Microsoft New Tai Lue"/>
          <w:color w:val="auto"/>
          <w:szCs w:val="21"/>
          <w:highlight w:val="none"/>
        </w:rPr>
        <w:t>政府采购计划明细表</w:t>
      </w:r>
    </w:p>
    <w:p w14:paraId="57C861BC">
      <w:pPr>
        <w:pStyle w:val="3"/>
        <w:spacing w:line="360" w:lineRule="auto"/>
        <w:ind w:left="0" w:leftChars="0" w:right="210"/>
        <w:jc w:val="center"/>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2026年中央转移支付食品安全抽检技术服务（第四季度）</w:t>
      </w:r>
      <w:r>
        <w:rPr>
          <w:rFonts w:hint="eastAsia" w:ascii="Microsoft New Tai Lue" w:hAnsi="Microsoft New Tai Lue" w:cs="Microsoft New Tai Lue"/>
          <w:color w:val="auto"/>
          <w:szCs w:val="21"/>
          <w:highlight w:val="none"/>
        </w:rPr>
        <w:t>政府采购计划明细表</w:t>
      </w:r>
    </w:p>
    <w:tbl>
      <w:tblPr>
        <w:tblStyle w:val="34"/>
        <w:tblW w:w="140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1"/>
        <w:gridCol w:w="2618"/>
        <w:gridCol w:w="1317"/>
        <w:gridCol w:w="1791"/>
        <w:gridCol w:w="1623"/>
        <w:gridCol w:w="1118"/>
        <w:gridCol w:w="1769"/>
        <w:gridCol w:w="1547"/>
        <w:gridCol w:w="1494"/>
      </w:tblGrid>
      <w:tr w14:paraId="4C817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 w:hRule="atLeast"/>
          <w:jc w:val="center"/>
        </w:trPr>
        <w:tc>
          <w:tcPr>
            <w:tcW w:w="7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D100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分包序号</w:t>
            </w:r>
          </w:p>
        </w:tc>
        <w:tc>
          <w:tcPr>
            <w:tcW w:w="26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EF51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抽检品类</w:t>
            </w:r>
          </w:p>
        </w:tc>
        <w:tc>
          <w:tcPr>
            <w:tcW w:w="473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0EE5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监督抽检</w:t>
            </w:r>
          </w:p>
        </w:tc>
        <w:tc>
          <w:tcPr>
            <w:tcW w:w="44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B52E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风险抽检</w:t>
            </w:r>
          </w:p>
        </w:tc>
        <w:tc>
          <w:tcPr>
            <w:tcW w:w="14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0D6D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采购预算（万元）</w:t>
            </w:r>
          </w:p>
        </w:tc>
      </w:tr>
      <w:tr w14:paraId="3D731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 w:hRule="atLeast"/>
          <w:jc w:val="center"/>
        </w:trPr>
        <w:tc>
          <w:tcPr>
            <w:tcW w:w="7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92DC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6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13ED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6B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批次数</w:t>
            </w:r>
          </w:p>
        </w:tc>
        <w:tc>
          <w:tcPr>
            <w:tcW w:w="1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C7B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测算单价   （万元/批次）</w:t>
            </w:r>
          </w:p>
        </w:tc>
        <w:tc>
          <w:tcPr>
            <w:tcW w:w="1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969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采购预算（万元）</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2DE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批次数</w:t>
            </w:r>
          </w:p>
        </w:tc>
        <w:tc>
          <w:tcPr>
            <w:tcW w:w="1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C12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测算单价   （万元/批次）</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308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采购预算（万元）</w:t>
            </w:r>
          </w:p>
        </w:tc>
        <w:tc>
          <w:tcPr>
            <w:tcW w:w="14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44E9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r>
      <w:tr w14:paraId="7A28A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D2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合计</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D00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2885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F7C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AC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504.875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24A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1313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A6C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AC3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210.08</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DB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714.955</w:t>
            </w:r>
          </w:p>
        </w:tc>
      </w:tr>
      <w:tr w14:paraId="395FF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A53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1B3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酒类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A03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C3A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D68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713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32A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ACC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11.36</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17E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38.66</w:t>
            </w:r>
          </w:p>
        </w:tc>
      </w:tr>
      <w:tr w14:paraId="34204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86C8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29E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淀粉及淀粉制品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C9E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A5D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C8D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11.375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CBD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06E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738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D7B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14.095</w:t>
            </w:r>
          </w:p>
        </w:tc>
      </w:tr>
      <w:tr w14:paraId="78EBF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EB85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CFB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炒货食品及坚果制品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B01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9FB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D25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33.075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F92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A61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260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D4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35.795</w:t>
            </w:r>
          </w:p>
        </w:tc>
      </w:tr>
      <w:tr w14:paraId="59E5E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D8A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036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蛋制品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D27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A1F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E37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487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DF7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4D9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1B8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6.57</w:t>
            </w:r>
          </w:p>
        </w:tc>
      </w:tr>
      <w:tr w14:paraId="7540B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8DAA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759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鲜蛋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1DB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0DF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A14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339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FCD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162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E3F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5.095</w:t>
            </w:r>
          </w:p>
        </w:tc>
      </w:tr>
      <w:tr w14:paraId="0E6A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2CE8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403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蜂产品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69A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A5B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9EA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2.275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4A2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46B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30A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0.96</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A1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3.235</w:t>
            </w:r>
          </w:p>
        </w:tc>
      </w:tr>
      <w:tr w14:paraId="33E41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EB74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C17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速冻食品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D72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6B3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E64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978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99A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A10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7CA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28.77</w:t>
            </w:r>
          </w:p>
        </w:tc>
      </w:tr>
      <w:tr w14:paraId="4204E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A2CE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C54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薯类和膨化食品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1DE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8AD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7EE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4.025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569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F80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568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5EE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10.745</w:t>
            </w:r>
          </w:p>
        </w:tc>
      </w:tr>
      <w:tr w14:paraId="19FAD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38B1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5D9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E71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2D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144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CFD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471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2BA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8.48</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03C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14.43</w:t>
            </w:r>
          </w:p>
        </w:tc>
      </w:tr>
      <w:tr w14:paraId="40763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7536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0CA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调味品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20C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337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A8D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31.15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A2C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C6D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3A0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23.36</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B7E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54.51</w:t>
            </w:r>
          </w:p>
        </w:tc>
      </w:tr>
      <w:tr w14:paraId="34295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F506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06E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肉制品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B8A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ED0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D16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20.825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764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786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4D0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14.72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21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35.545</w:t>
            </w:r>
          </w:p>
        </w:tc>
      </w:tr>
      <w:tr w14:paraId="0F554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0FC3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0B5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乳制品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0C9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499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15E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69A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E8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509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83A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5.45</w:t>
            </w:r>
          </w:p>
        </w:tc>
      </w:tr>
      <w:tr w14:paraId="4D7C6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8AA3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82B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糖果制品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278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49C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3F8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B09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21F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8FD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7.04</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EAB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15.09</w:t>
            </w:r>
          </w:p>
        </w:tc>
      </w:tr>
      <w:tr w14:paraId="3AEA3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7105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264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茶叶及相关制品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CFA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A01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CAA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04B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244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93E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FEE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19.47</w:t>
            </w:r>
          </w:p>
        </w:tc>
      </w:tr>
      <w:tr w14:paraId="0C16A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9F5F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7F6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食品添加剂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7FE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14D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FB8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684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80B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38D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BDF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1.925</w:t>
            </w:r>
          </w:p>
        </w:tc>
      </w:tr>
      <w:tr w14:paraId="512AB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8D7B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AD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6AA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FA5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770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9.275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C3D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CBE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7A6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5.28</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8DF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14.555</w:t>
            </w:r>
          </w:p>
        </w:tc>
      </w:tr>
      <w:tr w14:paraId="15AFF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CF62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B9D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糕点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BF1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556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AF2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83.475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D1A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ECD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31E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F9E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87.475</w:t>
            </w:r>
          </w:p>
        </w:tc>
      </w:tr>
      <w:tr w14:paraId="2B827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27B0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163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豆类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4CB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B4C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DEA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0.7</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C77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FE1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0EA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64C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0.7</w:t>
            </w:r>
          </w:p>
        </w:tc>
      </w:tr>
      <w:tr w14:paraId="417BF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E288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A88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应急专项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054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2FD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363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252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000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1D6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486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r>
      <w:tr w14:paraId="0ACF2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1B89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2F4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697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2F10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83F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292.075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51D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E9A5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BDB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FA9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399.115</w:t>
            </w:r>
          </w:p>
        </w:tc>
      </w:tr>
      <w:tr w14:paraId="3E56D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A7F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502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方便食品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E07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487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450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7.525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B0F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7F8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CFB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6.24</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CC3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13.765</w:t>
            </w:r>
          </w:p>
        </w:tc>
      </w:tr>
      <w:tr w14:paraId="2961A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D263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EE3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饼干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36E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D0B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8AA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5.775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54C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2BF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BF9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C36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5.775</w:t>
            </w:r>
          </w:p>
        </w:tc>
      </w:tr>
      <w:tr w14:paraId="3E248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47EA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F8F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罐头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2BE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9C7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14D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C2B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A61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055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263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7.55</w:t>
            </w:r>
          </w:p>
        </w:tc>
      </w:tr>
      <w:tr w14:paraId="34633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511F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950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食用油、油脂及其制品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3AC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C3D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FEF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4D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24E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9D1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12.48</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FC0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19.13</w:t>
            </w:r>
          </w:p>
        </w:tc>
      </w:tr>
      <w:tr w14:paraId="4F735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DFF3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946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粮食加工品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06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2E8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D3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40.6</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DA8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544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BE7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BA7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53.72</w:t>
            </w:r>
          </w:p>
        </w:tc>
      </w:tr>
      <w:tr w14:paraId="41562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4A70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F32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可可及焙烤咖啡产品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C34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17B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E08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1DD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22F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E2C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B51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2.26</w:t>
            </w:r>
          </w:p>
        </w:tc>
      </w:tr>
      <w:tr w14:paraId="7F507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EE6B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06F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冷冻饮品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165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7B7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17E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AC2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FF1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95C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3F8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w:t>
            </w:r>
          </w:p>
        </w:tc>
      </w:tr>
      <w:tr w14:paraId="033B5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BE9B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4D3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生干坚果与籽类食品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157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66E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FB9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456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510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EE6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ADD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r>
      <w:tr w14:paraId="77785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314A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BAF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水产品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074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8CF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868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CD7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D88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86D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15B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15.55</w:t>
            </w:r>
          </w:p>
        </w:tc>
      </w:tr>
      <w:tr w14:paraId="7D8DD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8A96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49B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畜禽肉及副产品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C52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5EE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3AF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25C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475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934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551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15.17</w:t>
            </w:r>
          </w:p>
        </w:tc>
      </w:tr>
      <w:tr w14:paraId="4701B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B52A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2BD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饮料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4ED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FAF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3F7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A8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E2E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BB7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07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39.3</w:t>
            </w:r>
          </w:p>
        </w:tc>
      </w:tr>
      <w:tr w14:paraId="5F5A5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2A01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4D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保健食品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305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69F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300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5.775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35A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CDB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454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4.64</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C34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10.415</w:t>
            </w:r>
          </w:p>
        </w:tc>
      </w:tr>
      <w:tr w14:paraId="31189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4715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BBC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食糖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E19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5FE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A06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2.275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3B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A7F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2C8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3DF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4.995</w:t>
            </w:r>
          </w:p>
        </w:tc>
      </w:tr>
      <w:tr w14:paraId="2D1B7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6B3F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79B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水产制品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008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131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BD4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14.525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9C0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BB7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99E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5.28</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95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19.805</w:t>
            </w:r>
          </w:p>
        </w:tc>
      </w:tr>
      <w:tr w14:paraId="06F8D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3086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763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蔬菜制品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D38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972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917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1E4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3E2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381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10.88</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539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26.63</w:t>
            </w:r>
          </w:p>
        </w:tc>
      </w:tr>
      <w:tr w14:paraId="65ABB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82CB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A74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EFB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BF2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D66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18.55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D4A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666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D6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98D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22.07</w:t>
            </w:r>
          </w:p>
        </w:tc>
      </w:tr>
      <w:tr w14:paraId="2C249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36CB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859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34A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B15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749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A3D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7D9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D72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A6B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r>
      <w:tr w14:paraId="24B9C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D74D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5EE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餐饮食品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B25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2AD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CA6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24.675</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667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119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414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18.88</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1D8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43.555</w:t>
            </w:r>
          </w:p>
        </w:tc>
      </w:tr>
      <w:tr w14:paraId="7048A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2702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560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特殊膳食食品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819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8A1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1DE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2A8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6C6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1B7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0D3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r>
      <w:tr w14:paraId="00A8E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AECB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769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6F1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71BF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938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210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FD80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F3E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5DF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315.84</w:t>
            </w:r>
          </w:p>
        </w:tc>
      </w:tr>
    </w:tbl>
    <w:p w14:paraId="0C231BE8">
      <w:pPr>
        <w:rPr>
          <w:rFonts w:hint="eastAsia" w:ascii="宋体" w:hAnsi="宋体"/>
          <w:color w:val="auto"/>
          <w:szCs w:val="21"/>
          <w:highlight w:val="none"/>
        </w:rPr>
      </w:pPr>
    </w:p>
    <w:p w14:paraId="49A8EB1B">
      <w:pPr>
        <w:rPr>
          <w:color w:val="auto"/>
          <w:highlight w:val="none"/>
        </w:rPr>
        <w:sectPr>
          <w:pgSz w:w="16838" w:h="11905" w:orient="landscape"/>
          <w:pgMar w:top="1803" w:right="1440" w:bottom="1803" w:left="1440" w:header="850" w:footer="992" w:gutter="0"/>
          <w:pgBorders>
            <w:top w:val="none" w:sz="0" w:space="0"/>
            <w:left w:val="none" w:sz="0" w:space="0"/>
            <w:bottom w:val="none" w:sz="0" w:space="0"/>
            <w:right w:val="none" w:sz="0" w:space="0"/>
          </w:pgBorders>
          <w:cols w:space="0" w:num="1"/>
          <w:rtlGutter w:val="0"/>
          <w:docGrid w:type="lines" w:linePitch="317" w:charSpace="0"/>
        </w:sectPr>
      </w:pPr>
    </w:p>
    <w:p w14:paraId="51623063">
      <w:pPr>
        <w:pStyle w:val="32"/>
        <w:rPr>
          <w:rFonts w:ascii="Microsoft New Tai Lue" w:hAnsi="Microsoft New Tai Lue" w:cs="Microsoft New Tai Lue"/>
          <w:color w:val="auto"/>
          <w:highlight w:val="none"/>
        </w:rPr>
      </w:pPr>
      <w:bookmarkStart w:id="261" w:name="_Toc107246272"/>
      <w:r>
        <w:rPr>
          <w:rFonts w:ascii="Microsoft New Tai Lue" w:hAnsi="Microsoft New Tai Lue" w:cs="Microsoft New Tai Lue"/>
          <w:color w:val="auto"/>
          <w:highlight w:val="none"/>
        </w:rPr>
        <w:t>第五章 评标方法与评标标准</w:t>
      </w:r>
      <w:bookmarkEnd w:id="261"/>
    </w:p>
    <w:p w14:paraId="029DD8D6">
      <w:pPr>
        <w:pStyle w:val="16"/>
        <w:spacing w:line="360" w:lineRule="auto"/>
        <w:ind w:left="0" w:leftChars="0" w:firstLine="480" w:firstLineChars="200"/>
        <w:rPr>
          <w:b w:val="0"/>
          <w:color w:val="auto"/>
          <w:highlight w:val="none"/>
        </w:rPr>
      </w:pPr>
      <w:r>
        <w:rPr>
          <w:rFonts w:hint="eastAsia"/>
          <w:b w:val="0"/>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5FB7ACDC">
      <w:pPr>
        <w:pStyle w:val="16"/>
        <w:spacing w:line="360" w:lineRule="auto"/>
        <w:ind w:left="0" w:leftChars="0" w:firstLine="482" w:firstLineChars="200"/>
        <w:rPr>
          <w:rFonts w:hint="eastAsia"/>
          <w:color w:val="auto"/>
          <w:highlight w:val="none"/>
        </w:rPr>
      </w:pPr>
      <w:r>
        <w:rPr>
          <w:rFonts w:hint="eastAsia"/>
          <w:color w:val="auto"/>
          <w:highlight w:val="none"/>
        </w:rPr>
        <w:t>本项目兼投不兼中：</w:t>
      </w:r>
      <w:r>
        <w:rPr>
          <w:rFonts w:hint="eastAsia"/>
          <w:color w:val="auto"/>
          <w:highlight w:val="none"/>
          <w:lang w:val="en-US" w:eastAsia="zh-CN"/>
        </w:rPr>
        <w:t>供应商</w:t>
      </w:r>
      <w:r>
        <w:rPr>
          <w:rFonts w:hint="eastAsia"/>
          <w:color w:val="auto"/>
          <w:highlight w:val="none"/>
        </w:rPr>
        <w:t>可投标多个包，但至多只能中标一个包。评审按包号正顺序进行评审，</w:t>
      </w:r>
      <w:r>
        <w:rPr>
          <w:rFonts w:hint="eastAsia"/>
          <w:color w:val="auto"/>
          <w:highlight w:val="none"/>
          <w:lang w:val="en-US" w:eastAsia="zh-CN"/>
        </w:rPr>
        <w:t>供应商</w:t>
      </w:r>
      <w:r>
        <w:rPr>
          <w:rFonts w:hint="eastAsia"/>
          <w:color w:val="auto"/>
          <w:highlight w:val="none"/>
        </w:rPr>
        <w:t>在前一包中被推荐为第一中标候选人后，其投标文件在后续包中按照无效投标处理。</w:t>
      </w:r>
    </w:p>
    <w:tbl>
      <w:tblPr>
        <w:tblStyle w:val="34"/>
        <w:tblW w:w="50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0"/>
        <w:gridCol w:w="759"/>
        <w:gridCol w:w="5776"/>
        <w:gridCol w:w="694"/>
      </w:tblGrid>
      <w:tr w14:paraId="34FF0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blHeader/>
          <w:jc w:val="center"/>
        </w:trPr>
        <w:tc>
          <w:tcPr>
            <w:tcW w:w="686" w:type="pct"/>
            <w:vAlign w:val="center"/>
          </w:tcPr>
          <w:p w14:paraId="588EC206">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类别</w:t>
            </w:r>
          </w:p>
        </w:tc>
        <w:tc>
          <w:tcPr>
            <w:tcW w:w="453" w:type="pct"/>
            <w:vAlign w:val="center"/>
          </w:tcPr>
          <w:p w14:paraId="2BBDFB0E">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评审内容</w:t>
            </w:r>
          </w:p>
        </w:tc>
        <w:tc>
          <w:tcPr>
            <w:tcW w:w="3446" w:type="pct"/>
            <w:vAlign w:val="center"/>
          </w:tcPr>
          <w:p w14:paraId="61CEF050">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评分标准</w:t>
            </w:r>
          </w:p>
        </w:tc>
        <w:tc>
          <w:tcPr>
            <w:tcW w:w="414" w:type="pct"/>
            <w:vAlign w:val="center"/>
          </w:tcPr>
          <w:p w14:paraId="1579F2BC">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分值</w:t>
            </w:r>
          </w:p>
        </w:tc>
      </w:tr>
      <w:tr w14:paraId="5C90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Align w:val="center"/>
          </w:tcPr>
          <w:p w14:paraId="3F8D0E41">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报价部分（10分）</w:t>
            </w:r>
          </w:p>
        </w:tc>
        <w:tc>
          <w:tcPr>
            <w:tcW w:w="453" w:type="pct"/>
            <w:vAlign w:val="center"/>
          </w:tcPr>
          <w:p w14:paraId="72421CD9">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投标报价</w:t>
            </w:r>
          </w:p>
        </w:tc>
        <w:tc>
          <w:tcPr>
            <w:tcW w:w="3446" w:type="pct"/>
            <w:vAlign w:val="center"/>
          </w:tcPr>
          <w:p w14:paraId="40395B72">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价格分统一采用低价优先法，即满足招标文件要求且投标价格最低的投标报价为评标基准价，其价格分为满分。其他供应商的价格分统一按照下列公式计算：投标报价得分＝（评标基准价/投标报价）×10％×100</w:t>
            </w:r>
            <w:r>
              <w:rPr>
                <w:rFonts w:hint="eastAsia" w:ascii="宋体" w:hAnsi="宋体" w:cs="宋体"/>
                <w:color w:val="auto"/>
                <w:kern w:val="0"/>
                <w:highlight w:val="none"/>
                <w:lang w:val="zh-CN"/>
              </w:rPr>
              <w:t>。</w:t>
            </w:r>
          </w:p>
        </w:tc>
        <w:tc>
          <w:tcPr>
            <w:tcW w:w="414" w:type="pct"/>
            <w:vAlign w:val="center"/>
          </w:tcPr>
          <w:p w14:paraId="46A236E2">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10分</w:t>
            </w:r>
          </w:p>
        </w:tc>
      </w:tr>
      <w:tr w14:paraId="3C9E5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restart"/>
            <w:vAlign w:val="center"/>
          </w:tcPr>
          <w:p w14:paraId="70EC085E">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技术部分（</w:t>
            </w:r>
            <w:r>
              <w:rPr>
                <w:rFonts w:hint="eastAsia" w:ascii="宋体" w:hAnsi="宋体" w:cs="宋体"/>
                <w:color w:val="auto"/>
                <w:kern w:val="0"/>
                <w:highlight w:val="none"/>
                <w:lang w:val="en-US" w:eastAsia="zh-CN"/>
              </w:rPr>
              <w:t>82</w:t>
            </w:r>
            <w:r>
              <w:rPr>
                <w:rFonts w:hint="eastAsia" w:ascii="宋体" w:hAnsi="宋体" w:eastAsia="宋体" w:cs="宋体"/>
                <w:color w:val="auto"/>
                <w:kern w:val="0"/>
                <w:highlight w:val="none"/>
              </w:rPr>
              <w:t>分）</w:t>
            </w:r>
          </w:p>
        </w:tc>
        <w:tc>
          <w:tcPr>
            <w:tcW w:w="453" w:type="pct"/>
            <w:vAlign w:val="center"/>
          </w:tcPr>
          <w:p w14:paraId="35A5F007">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人员团队</w:t>
            </w:r>
          </w:p>
        </w:tc>
        <w:tc>
          <w:tcPr>
            <w:tcW w:w="3446" w:type="pct"/>
            <w:vAlign w:val="center"/>
          </w:tcPr>
          <w:p w14:paraId="26764056">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对拟指派的项目团队的人员数量、人员构成、专业程度等情况进行评价，其中：</w:t>
            </w:r>
          </w:p>
          <w:p w14:paraId="35D0742E">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（1）独立抽样人员达到1</w:t>
            </w:r>
            <w:r>
              <w:rPr>
                <w:rFonts w:hint="eastAsia" w:ascii="宋体" w:hAnsi="宋体" w:eastAsia="宋体" w:cs="宋体"/>
                <w:color w:val="auto"/>
                <w:kern w:val="0"/>
                <w:highlight w:val="none"/>
              </w:rPr>
              <w:t>6</w:t>
            </w:r>
            <w:r>
              <w:rPr>
                <w:rFonts w:hint="eastAsia" w:ascii="宋体" w:hAnsi="宋体" w:eastAsia="宋体" w:cs="宋体"/>
                <w:color w:val="auto"/>
                <w:kern w:val="0"/>
                <w:highlight w:val="none"/>
                <w:lang w:val="zh-CN"/>
              </w:rPr>
              <w:t>人，得</w:t>
            </w:r>
            <w:r>
              <w:rPr>
                <w:rFonts w:hint="default" w:ascii="宋体" w:hAnsi="宋体" w:eastAsia="宋体" w:cs="宋体"/>
                <w:color w:val="auto"/>
                <w:kern w:val="0"/>
                <w:highlight w:val="none"/>
                <w:lang w:val="en-US"/>
              </w:rPr>
              <w:t>4</w:t>
            </w:r>
            <w:r>
              <w:rPr>
                <w:rFonts w:hint="eastAsia" w:ascii="宋体" w:hAnsi="宋体" w:eastAsia="宋体" w:cs="宋体"/>
                <w:color w:val="auto"/>
                <w:kern w:val="0"/>
                <w:highlight w:val="none"/>
                <w:lang w:val="zh-CN"/>
              </w:rPr>
              <w:t>分；</w:t>
            </w:r>
            <w:r>
              <w:rPr>
                <w:rFonts w:hint="eastAsia" w:ascii="宋体" w:hAnsi="宋体" w:eastAsia="宋体" w:cs="宋体"/>
                <w:color w:val="auto"/>
                <w:kern w:val="0"/>
                <w:highlight w:val="none"/>
              </w:rPr>
              <w:t>14</w:t>
            </w:r>
            <w:r>
              <w:rPr>
                <w:rFonts w:hint="eastAsia" w:ascii="宋体" w:hAnsi="宋体" w:eastAsia="宋体" w:cs="宋体"/>
                <w:color w:val="auto"/>
                <w:kern w:val="0"/>
                <w:highlight w:val="none"/>
                <w:lang w:val="zh-CN"/>
              </w:rPr>
              <w:t>-1</w:t>
            </w:r>
            <w:r>
              <w:rPr>
                <w:rFonts w:hint="eastAsia" w:ascii="宋体" w:hAnsi="宋体" w:eastAsia="宋体" w:cs="宋体"/>
                <w:color w:val="auto"/>
                <w:kern w:val="0"/>
                <w:highlight w:val="none"/>
              </w:rPr>
              <w:t>5</w:t>
            </w:r>
            <w:r>
              <w:rPr>
                <w:rFonts w:hint="eastAsia" w:ascii="宋体" w:hAnsi="宋体" w:eastAsia="宋体" w:cs="宋体"/>
                <w:color w:val="auto"/>
                <w:kern w:val="0"/>
                <w:highlight w:val="none"/>
                <w:lang w:val="zh-CN"/>
              </w:rPr>
              <w:t>人，得</w:t>
            </w:r>
            <w:r>
              <w:rPr>
                <w:rFonts w:hint="default" w:ascii="宋体" w:hAnsi="宋体" w:eastAsia="宋体" w:cs="宋体"/>
                <w:color w:val="auto"/>
                <w:kern w:val="0"/>
                <w:highlight w:val="none"/>
                <w:lang w:val="en-US"/>
              </w:rPr>
              <w:t>3</w:t>
            </w:r>
            <w:r>
              <w:rPr>
                <w:rFonts w:hint="eastAsia" w:ascii="宋体" w:hAnsi="宋体" w:eastAsia="宋体" w:cs="宋体"/>
                <w:color w:val="auto"/>
                <w:kern w:val="0"/>
                <w:highlight w:val="none"/>
                <w:lang w:val="zh-CN"/>
              </w:rPr>
              <w:t>分；</w:t>
            </w:r>
            <w:r>
              <w:rPr>
                <w:rFonts w:hint="eastAsia" w:ascii="宋体" w:hAnsi="宋体" w:eastAsia="宋体" w:cs="宋体"/>
                <w:color w:val="auto"/>
                <w:kern w:val="0"/>
                <w:highlight w:val="none"/>
              </w:rPr>
              <w:t>12</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13</w:t>
            </w:r>
            <w:r>
              <w:rPr>
                <w:rFonts w:hint="eastAsia" w:ascii="宋体" w:hAnsi="宋体" w:eastAsia="宋体" w:cs="宋体"/>
                <w:color w:val="auto"/>
                <w:kern w:val="0"/>
                <w:highlight w:val="none"/>
                <w:lang w:val="zh-CN"/>
              </w:rPr>
              <w:t>人，得</w:t>
            </w:r>
            <w:r>
              <w:rPr>
                <w:rFonts w:hint="default" w:ascii="宋体" w:hAnsi="宋体" w:eastAsia="宋体" w:cs="宋体"/>
                <w:color w:val="auto"/>
                <w:kern w:val="0"/>
                <w:highlight w:val="none"/>
                <w:lang w:val="en-US"/>
              </w:rPr>
              <w:t>2</w:t>
            </w:r>
            <w:r>
              <w:rPr>
                <w:rFonts w:hint="eastAsia" w:ascii="宋体" w:hAnsi="宋体" w:eastAsia="宋体" w:cs="宋体"/>
                <w:color w:val="auto"/>
                <w:kern w:val="0"/>
                <w:highlight w:val="none"/>
                <w:lang w:val="zh-CN"/>
              </w:rPr>
              <w:t>分；</w:t>
            </w:r>
            <w:r>
              <w:rPr>
                <w:rFonts w:hint="eastAsia" w:ascii="宋体" w:hAnsi="宋体" w:eastAsia="宋体" w:cs="宋体"/>
                <w:color w:val="auto"/>
                <w:kern w:val="0"/>
                <w:highlight w:val="none"/>
              </w:rPr>
              <w:t>10-11</w:t>
            </w:r>
            <w:r>
              <w:rPr>
                <w:rFonts w:hint="eastAsia" w:ascii="宋体" w:hAnsi="宋体" w:eastAsia="宋体" w:cs="宋体"/>
                <w:color w:val="auto"/>
                <w:kern w:val="0"/>
                <w:highlight w:val="none"/>
                <w:lang w:val="zh-CN"/>
              </w:rPr>
              <w:t>人，得</w:t>
            </w:r>
            <w:r>
              <w:rPr>
                <w:rFonts w:hint="default" w:ascii="宋体" w:hAnsi="宋体" w:eastAsia="宋体" w:cs="宋体"/>
                <w:color w:val="auto"/>
                <w:kern w:val="0"/>
                <w:highlight w:val="none"/>
                <w:lang w:val="en-US"/>
              </w:rPr>
              <w:t>1</w:t>
            </w:r>
            <w:r>
              <w:rPr>
                <w:rFonts w:hint="eastAsia" w:ascii="宋体" w:hAnsi="宋体" w:eastAsia="宋体" w:cs="宋体"/>
                <w:color w:val="auto"/>
                <w:kern w:val="0"/>
                <w:highlight w:val="none"/>
                <w:lang w:val="zh-CN"/>
              </w:rPr>
              <w:t>分；</w:t>
            </w:r>
            <w:r>
              <w:rPr>
                <w:rFonts w:hint="eastAsia" w:ascii="宋体" w:hAnsi="宋体" w:eastAsia="宋体" w:cs="宋体"/>
                <w:color w:val="auto"/>
                <w:highlight w:val="none"/>
              </w:rPr>
              <w:t>其他不得分</w:t>
            </w:r>
            <w:r>
              <w:rPr>
                <w:rFonts w:hint="eastAsia" w:ascii="宋体" w:hAnsi="宋体" w:eastAsia="宋体" w:cs="宋体"/>
                <w:color w:val="auto"/>
                <w:kern w:val="0"/>
                <w:highlight w:val="none"/>
              </w:rPr>
              <w:t>；</w:t>
            </w:r>
          </w:p>
          <w:p w14:paraId="160DD0E7">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（2）工作满2年及以上的专职食品检验人员达到45人，得</w:t>
            </w:r>
            <w:r>
              <w:rPr>
                <w:rFonts w:hint="default" w:ascii="宋体" w:hAnsi="宋体" w:eastAsia="宋体" w:cs="宋体"/>
                <w:color w:val="auto"/>
                <w:kern w:val="0"/>
                <w:highlight w:val="none"/>
                <w:lang w:val="en-US"/>
              </w:rPr>
              <w:t>4</w:t>
            </w:r>
            <w:r>
              <w:rPr>
                <w:rFonts w:hint="eastAsia" w:ascii="宋体" w:hAnsi="宋体" w:eastAsia="宋体" w:cs="宋体"/>
                <w:color w:val="auto"/>
                <w:kern w:val="0"/>
                <w:highlight w:val="none"/>
                <w:lang w:val="zh-CN"/>
              </w:rPr>
              <w:t>分；40-44人，得</w:t>
            </w:r>
            <w:r>
              <w:rPr>
                <w:rFonts w:hint="default" w:ascii="宋体" w:hAnsi="宋体" w:eastAsia="宋体" w:cs="宋体"/>
                <w:color w:val="auto"/>
                <w:kern w:val="0"/>
                <w:highlight w:val="none"/>
                <w:lang w:val="en-US"/>
              </w:rPr>
              <w:t>3</w:t>
            </w:r>
            <w:r>
              <w:rPr>
                <w:rFonts w:hint="eastAsia" w:ascii="宋体" w:hAnsi="宋体" w:eastAsia="宋体" w:cs="宋体"/>
                <w:color w:val="auto"/>
                <w:kern w:val="0"/>
                <w:highlight w:val="none"/>
                <w:lang w:val="zh-CN"/>
              </w:rPr>
              <w:t>分；35-39人，得</w:t>
            </w:r>
            <w:r>
              <w:rPr>
                <w:rFonts w:hint="default" w:ascii="宋体" w:hAnsi="宋体" w:eastAsia="宋体" w:cs="宋体"/>
                <w:color w:val="auto"/>
                <w:kern w:val="0"/>
                <w:highlight w:val="none"/>
                <w:lang w:val="en-US"/>
              </w:rPr>
              <w:t>2</w:t>
            </w:r>
            <w:r>
              <w:rPr>
                <w:rFonts w:hint="eastAsia" w:ascii="宋体" w:hAnsi="宋体" w:eastAsia="宋体" w:cs="宋体"/>
                <w:color w:val="auto"/>
                <w:kern w:val="0"/>
                <w:highlight w:val="none"/>
                <w:lang w:val="zh-CN"/>
              </w:rPr>
              <w:t>分；30-34人，得</w:t>
            </w:r>
            <w:r>
              <w:rPr>
                <w:rFonts w:hint="default" w:ascii="宋体" w:hAnsi="宋体" w:eastAsia="宋体" w:cs="宋体"/>
                <w:color w:val="auto"/>
                <w:kern w:val="0"/>
                <w:highlight w:val="none"/>
                <w:lang w:val="en-US"/>
              </w:rPr>
              <w:t>1</w:t>
            </w:r>
            <w:r>
              <w:rPr>
                <w:rFonts w:hint="eastAsia" w:ascii="宋体" w:hAnsi="宋体" w:eastAsia="宋体" w:cs="宋体"/>
                <w:color w:val="auto"/>
                <w:kern w:val="0"/>
                <w:highlight w:val="none"/>
                <w:lang w:val="zh-CN"/>
              </w:rPr>
              <w:t>分；</w:t>
            </w:r>
            <w:r>
              <w:rPr>
                <w:rFonts w:hint="eastAsia" w:ascii="宋体" w:hAnsi="宋体" w:eastAsia="宋体" w:cs="宋体"/>
                <w:color w:val="auto"/>
                <w:highlight w:val="none"/>
              </w:rPr>
              <w:t>其他不得分</w:t>
            </w:r>
            <w:r>
              <w:rPr>
                <w:rFonts w:hint="eastAsia" w:ascii="宋体" w:hAnsi="宋体" w:eastAsia="宋体" w:cs="宋体"/>
                <w:color w:val="auto"/>
                <w:kern w:val="0"/>
                <w:highlight w:val="none"/>
                <w:lang w:val="zh-CN"/>
              </w:rPr>
              <w:t>；</w:t>
            </w:r>
          </w:p>
          <w:p w14:paraId="3BF254FD">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3</w:t>
            </w:r>
            <w:r>
              <w:rPr>
                <w:rFonts w:hint="eastAsia" w:ascii="宋体" w:hAnsi="宋体" w:eastAsia="宋体" w:cs="宋体"/>
                <w:color w:val="auto"/>
                <w:kern w:val="0"/>
                <w:highlight w:val="none"/>
                <w:lang w:val="zh-CN"/>
              </w:rPr>
              <w:t>）具备从事数据统计分析、</w:t>
            </w:r>
            <w:r>
              <w:rPr>
                <w:rFonts w:hint="eastAsia" w:ascii="宋体" w:hAnsi="宋体" w:eastAsia="宋体" w:cs="宋体"/>
                <w:color w:val="auto"/>
                <w:kern w:val="0"/>
                <w:highlight w:val="none"/>
              </w:rPr>
              <w:t>数据质量审核</w:t>
            </w:r>
            <w:r>
              <w:rPr>
                <w:rFonts w:hint="eastAsia" w:ascii="宋体" w:hAnsi="宋体" w:eastAsia="宋体" w:cs="宋体"/>
                <w:color w:val="auto"/>
                <w:kern w:val="0"/>
                <w:highlight w:val="none"/>
                <w:lang w:val="zh-CN"/>
              </w:rPr>
              <w:t>的人员达到5人，得</w:t>
            </w: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CN"/>
              </w:rPr>
              <w:t>分；3-4人，得</w:t>
            </w:r>
            <w:r>
              <w:rPr>
                <w:rFonts w:hint="eastAsia" w:ascii="宋体" w:hAnsi="宋体" w:eastAsia="宋体" w:cs="宋体"/>
                <w:color w:val="auto"/>
                <w:kern w:val="0"/>
                <w:highlight w:val="none"/>
              </w:rPr>
              <w:t>0.6</w:t>
            </w:r>
            <w:r>
              <w:rPr>
                <w:rFonts w:hint="eastAsia" w:ascii="宋体" w:hAnsi="宋体" w:eastAsia="宋体" w:cs="宋体"/>
                <w:color w:val="auto"/>
                <w:kern w:val="0"/>
                <w:highlight w:val="none"/>
                <w:lang w:val="zh-CN"/>
              </w:rPr>
              <w:t>分；1-2人，得</w:t>
            </w:r>
            <w:r>
              <w:rPr>
                <w:rFonts w:hint="eastAsia" w:ascii="宋体" w:hAnsi="宋体" w:eastAsia="宋体" w:cs="宋体"/>
                <w:color w:val="auto"/>
                <w:kern w:val="0"/>
                <w:highlight w:val="none"/>
              </w:rPr>
              <w:t>0.3</w:t>
            </w:r>
            <w:r>
              <w:rPr>
                <w:rFonts w:hint="eastAsia" w:ascii="宋体" w:hAnsi="宋体" w:eastAsia="宋体" w:cs="宋体"/>
                <w:color w:val="auto"/>
                <w:kern w:val="0"/>
                <w:highlight w:val="none"/>
                <w:lang w:val="zh-CN"/>
              </w:rPr>
              <w:t>分，</w:t>
            </w:r>
            <w:r>
              <w:rPr>
                <w:rFonts w:hint="eastAsia" w:ascii="宋体" w:hAnsi="宋体" w:eastAsia="宋体" w:cs="宋体"/>
                <w:color w:val="auto"/>
                <w:highlight w:val="none"/>
              </w:rPr>
              <w:t>其他不得分</w:t>
            </w:r>
            <w:r>
              <w:rPr>
                <w:rFonts w:hint="eastAsia" w:ascii="宋体" w:hAnsi="宋体" w:eastAsia="宋体" w:cs="宋体"/>
                <w:color w:val="auto"/>
                <w:kern w:val="0"/>
                <w:highlight w:val="none"/>
                <w:lang w:val="zh-CN"/>
              </w:rPr>
              <w:t>；</w:t>
            </w:r>
          </w:p>
          <w:p w14:paraId="4B4EB160">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4</w:t>
            </w:r>
            <w:r>
              <w:rPr>
                <w:rFonts w:hint="eastAsia" w:ascii="宋体" w:hAnsi="宋体" w:eastAsia="宋体" w:cs="宋体"/>
                <w:color w:val="auto"/>
                <w:kern w:val="0"/>
                <w:highlight w:val="none"/>
                <w:lang w:val="zh-CN"/>
              </w:rPr>
              <w:t>）工作满2年及以上的食品检验业务领域</w:t>
            </w:r>
            <w:r>
              <w:rPr>
                <w:rFonts w:hint="eastAsia" w:ascii="宋体" w:hAnsi="宋体" w:cs="宋体"/>
                <w:color w:val="auto"/>
                <w:kern w:val="0"/>
                <w:highlight w:val="none"/>
                <w:lang w:val="zh-CN"/>
              </w:rPr>
              <w:t>（食品、化学、生物等与食品检测相关专业）</w:t>
            </w:r>
            <w:r>
              <w:rPr>
                <w:rFonts w:hint="eastAsia" w:ascii="宋体" w:hAnsi="宋体" w:eastAsia="宋体" w:cs="宋体"/>
                <w:color w:val="auto"/>
                <w:kern w:val="0"/>
                <w:highlight w:val="none"/>
                <w:lang w:val="zh-CN"/>
              </w:rPr>
              <w:t>正高级技术职称人员达到6人，得</w:t>
            </w: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CN"/>
              </w:rPr>
              <w:t>分；4-5人，得</w:t>
            </w:r>
            <w:r>
              <w:rPr>
                <w:rFonts w:hint="eastAsia" w:ascii="宋体" w:hAnsi="宋体" w:eastAsia="宋体" w:cs="宋体"/>
                <w:color w:val="auto"/>
                <w:kern w:val="0"/>
                <w:highlight w:val="none"/>
              </w:rPr>
              <w:t>0.8</w:t>
            </w:r>
            <w:r>
              <w:rPr>
                <w:rFonts w:hint="eastAsia" w:ascii="宋体" w:hAnsi="宋体" w:eastAsia="宋体" w:cs="宋体"/>
                <w:color w:val="auto"/>
                <w:kern w:val="0"/>
                <w:highlight w:val="none"/>
                <w:lang w:val="zh-CN"/>
              </w:rPr>
              <w:t>分；2-3人，得</w:t>
            </w:r>
            <w:r>
              <w:rPr>
                <w:rFonts w:hint="eastAsia" w:ascii="宋体" w:hAnsi="宋体" w:eastAsia="宋体" w:cs="宋体"/>
                <w:color w:val="auto"/>
                <w:kern w:val="0"/>
                <w:highlight w:val="none"/>
              </w:rPr>
              <w:t>0.6</w:t>
            </w:r>
            <w:r>
              <w:rPr>
                <w:rFonts w:hint="eastAsia" w:ascii="宋体" w:hAnsi="宋体" w:eastAsia="宋体" w:cs="宋体"/>
                <w:color w:val="auto"/>
                <w:kern w:val="0"/>
                <w:highlight w:val="none"/>
                <w:lang w:val="zh-CN"/>
              </w:rPr>
              <w:t>分；仅有1人，得</w:t>
            </w:r>
            <w:r>
              <w:rPr>
                <w:rFonts w:hint="eastAsia" w:ascii="宋体" w:hAnsi="宋体" w:eastAsia="宋体" w:cs="宋体"/>
                <w:color w:val="auto"/>
                <w:kern w:val="0"/>
                <w:highlight w:val="none"/>
              </w:rPr>
              <w:t>0.3</w:t>
            </w:r>
            <w:r>
              <w:rPr>
                <w:rFonts w:hint="eastAsia" w:ascii="宋体" w:hAnsi="宋体" w:eastAsia="宋体" w:cs="宋体"/>
                <w:color w:val="auto"/>
                <w:kern w:val="0"/>
                <w:highlight w:val="none"/>
                <w:lang w:val="zh-CN"/>
              </w:rPr>
              <w:t>分，</w:t>
            </w:r>
            <w:r>
              <w:rPr>
                <w:rFonts w:hint="eastAsia" w:ascii="宋体" w:hAnsi="宋体" w:eastAsia="宋体" w:cs="宋体"/>
                <w:color w:val="auto"/>
                <w:highlight w:val="none"/>
              </w:rPr>
              <w:t>其他不得分</w:t>
            </w:r>
            <w:r>
              <w:rPr>
                <w:rFonts w:hint="eastAsia" w:ascii="宋体" w:hAnsi="宋体" w:eastAsia="宋体" w:cs="宋体"/>
                <w:color w:val="auto"/>
                <w:kern w:val="0"/>
                <w:highlight w:val="none"/>
                <w:lang w:val="zh-CN"/>
              </w:rPr>
              <w:t>；</w:t>
            </w:r>
          </w:p>
          <w:p w14:paraId="36BBEA99">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5</w:t>
            </w:r>
            <w:r>
              <w:rPr>
                <w:rFonts w:hint="eastAsia" w:ascii="宋体" w:hAnsi="宋体" w:eastAsia="宋体" w:cs="宋体"/>
                <w:color w:val="auto"/>
                <w:kern w:val="0"/>
                <w:highlight w:val="none"/>
                <w:lang w:val="zh-CN"/>
              </w:rPr>
              <w:t>）工作满2年及以上的食品检验业务领域</w:t>
            </w:r>
            <w:r>
              <w:rPr>
                <w:rFonts w:hint="eastAsia" w:ascii="宋体" w:hAnsi="宋体" w:cs="宋体"/>
                <w:color w:val="auto"/>
                <w:kern w:val="0"/>
                <w:highlight w:val="none"/>
                <w:lang w:val="zh-CN"/>
              </w:rPr>
              <w:t>（食品、化学、生物等与食品检测相关专业）</w:t>
            </w:r>
            <w:r>
              <w:rPr>
                <w:rFonts w:hint="eastAsia" w:ascii="宋体" w:hAnsi="宋体" w:eastAsia="宋体" w:cs="宋体"/>
                <w:color w:val="auto"/>
                <w:kern w:val="0"/>
                <w:highlight w:val="none"/>
                <w:lang w:val="zh-CN"/>
              </w:rPr>
              <w:t>副高级技术职称人员达到6人，得</w:t>
            </w: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CN"/>
              </w:rPr>
              <w:t>分；4-5人，得</w:t>
            </w:r>
            <w:r>
              <w:rPr>
                <w:rFonts w:hint="eastAsia" w:ascii="宋体" w:hAnsi="宋体" w:eastAsia="宋体" w:cs="宋体"/>
                <w:color w:val="auto"/>
                <w:kern w:val="0"/>
                <w:highlight w:val="none"/>
              </w:rPr>
              <w:t>0.8</w:t>
            </w:r>
            <w:r>
              <w:rPr>
                <w:rFonts w:hint="eastAsia" w:ascii="宋体" w:hAnsi="宋体" w:eastAsia="宋体" w:cs="宋体"/>
                <w:color w:val="auto"/>
                <w:kern w:val="0"/>
                <w:highlight w:val="none"/>
                <w:lang w:val="zh-CN"/>
              </w:rPr>
              <w:t>分；2-3人，得</w:t>
            </w:r>
            <w:r>
              <w:rPr>
                <w:rFonts w:hint="eastAsia" w:ascii="宋体" w:hAnsi="宋体" w:eastAsia="宋体" w:cs="宋体"/>
                <w:color w:val="auto"/>
                <w:kern w:val="0"/>
                <w:highlight w:val="none"/>
              </w:rPr>
              <w:t>0.6</w:t>
            </w:r>
            <w:r>
              <w:rPr>
                <w:rFonts w:hint="eastAsia" w:ascii="宋体" w:hAnsi="宋体" w:eastAsia="宋体" w:cs="宋体"/>
                <w:color w:val="auto"/>
                <w:kern w:val="0"/>
                <w:highlight w:val="none"/>
                <w:lang w:val="zh-CN"/>
              </w:rPr>
              <w:t>分；仅有1人，得</w:t>
            </w:r>
            <w:r>
              <w:rPr>
                <w:rFonts w:hint="eastAsia" w:ascii="宋体" w:hAnsi="宋体" w:eastAsia="宋体" w:cs="宋体"/>
                <w:color w:val="auto"/>
                <w:kern w:val="0"/>
                <w:highlight w:val="none"/>
              </w:rPr>
              <w:t>0.3分</w:t>
            </w:r>
            <w:r>
              <w:rPr>
                <w:rFonts w:hint="eastAsia" w:ascii="宋体" w:hAnsi="宋体" w:eastAsia="宋体" w:cs="宋体"/>
                <w:color w:val="auto"/>
                <w:kern w:val="0"/>
                <w:highlight w:val="none"/>
                <w:lang w:val="zh-CN"/>
              </w:rPr>
              <w:t>，</w:t>
            </w:r>
            <w:r>
              <w:rPr>
                <w:rFonts w:hint="eastAsia" w:ascii="宋体" w:hAnsi="宋体" w:eastAsia="宋体" w:cs="宋体"/>
                <w:color w:val="auto"/>
                <w:highlight w:val="none"/>
              </w:rPr>
              <w:t>其他不得分</w:t>
            </w:r>
            <w:r>
              <w:rPr>
                <w:rFonts w:hint="eastAsia" w:ascii="宋体" w:hAnsi="宋体" w:eastAsia="宋体" w:cs="宋体"/>
                <w:color w:val="auto"/>
                <w:kern w:val="0"/>
                <w:highlight w:val="none"/>
                <w:lang w:val="zh-CN"/>
              </w:rPr>
              <w:t>；</w:t>
            </w:r>
          </w:p>
          <w:p w14:paraId="7EF230BF">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highlight w:val="none"/>
                <w:lang w:val="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6</w:t>
            </w:r>
            <w:r>
              <w:rPr>
                <w:rFonts w:hint="eastAsia" w:ascii="宋体" w:hAnsi="宋体" w:eastAsia="宋体" w:cs="宋体"/>
                <w:color w:val="auto"/>
                <w:kern w:val="0"/>
                <w:highlight w:val="none"/>
                <w:lang w:val="zh-CN"/>
              </w:rPr>
              <w:t>）项目负责人能力：具备研究生学历，具有食品、化学、生物等与食品检测相关专业的正高级职称，且从事食品抽检工作年限5年以上，得</w:t>
            </w:r>
            <w:r>
              <w:rPr>
                <w:rFonts w:hint="default" w:ascii="宋体" w:hAnsi="宋体" w:eastAsia="宋体" w:cs="宋体"/>
                <w:color w:val="auto"/>
                <w:kern w:val="0"/>
                <w:highlight w:val="none"/>
                <w:lang w:val="en-US"/>
              </w:rPr>
              <w:t>2</w:t>
            </w:r>
            <w:r>
              <w:rPr>
                <w:rFonts w:hint="eastAsia" w:ascii="宋体" w:hAnsi="宋体" w:eastAsia="宋体" w:cs="宋体"/>
                <w:color w:val="auto"/>
                <w:kern w:val="0"/>
                <w:highlight w:val="none"/>
                <w:lang w:val="zh-CN"/>
              </w:rPr>
              <w:t>分；具备本科学历，具有食品、化学、生物等与食品检测相关专业的高级职称，且从事食品抽检工作年限3年以上，得</w:t>
            </w:r>
            <w:r>
              <w:rPr>
                <w:rFonts w:hint="default" w:ascii="宋体" w:hAnsi="宋体" w:eastAsia="宋体" w:cs="宋体"/>
                <w:color w:val="auto"/>
                <w:kern w:val="0"/>
                <w:highlight w:val="none"/>
                <w:lang w:val="en-US"/>
              </w:rPr>
              <w:t>1</w:t>
            </w:r>
            <w:r>
              <w:rPr>
                <w:rFonts w:hint="eastAsia" w:ascii="宋体" w:hAnsi="宋体" w:eastAsia="宋体" w:cs="宋体"/>
                <w:color w:val="auto"/>
                <w:kern w:val="0"/>
                <w:highlight w:val="none"/>
                <w:lang w:val="zh-CN"/>
              </w:rPr>
              <w:t>分；不符合上述要求的，不得分。</w:t>
            </w:r>
          </w:p>
          <w:p w14:paraId="2A606FF2">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b/>
                <w:bCs/>
                <w:color w:val="auto"/>
                <w:kern w:val="0"/>
                <w:highlight w:val="none"/>
                <w:lang w:val="zh-CN"/>
              </w:rPr>
            </w:pPr>
            <w:r>
              <w:rPr>
                <w:rFonts w:hint="eastAsia" w:ascii="宋体" w:hAnsi="宋体" w:eastAsia="宋体" w:cs="宋体"/>
                <w:b/>
                <w:bCs/>
                <w:color w:val="auto"/>
                <w:kern w:val="0"/>
                <w:highlight w:val="none"/>
              </w:rPr>
              <w:t>注：</w:t>
            </w:r>
            <w:r>
              <w:rPr>
                <w:rFonts w:hint="eastAsia" w:ascii="宋体" w:hAnsi="宋体" w:eastAsia="宋体" w:cs="宋体"/>
                <w:b/>
                <w:bCs/>
                <w:color w:val="auto"/>
                <w:kern w:val="0"/>
                <w:highlight w:val="none"/>
                <w:lang w:val="zh-CN"/>
              </w:rPr>
              <w:t>须按招标文件要求的格式提供人员清单，附相关人员的学历证书、职称证书、</w:t>
            </w:r>
            <w:r>
              <w:rPr>
                <w:rFonts w:hint="eastAsia" w:ascii="宋体" w:hAnsi="宋体" w:cs="宋体"/>
                <w:b/>
                <w:bCs/>
                <w:color w:val="auto"/>
                <w:kern w:val="0"/>
                <w:highlight w:val="none"/>
                <w:lang w:val="en-US" w:eastAsia="zh-CN"/>
              </w:rPr>
              <w:t>供应商为其缴纳的</w:t>
            </w:r>
            <w:r>
              <w:rPr>
                <w:rFonts w:hint="eastAsia" w:ascii="宋体" w:hAnsi="宋体" w:eastAsia="宋体" w:cs="宋体"/>
                <w:b/>
                <w:bCs/>
                <w:color w:val="auto"/>
                <w:kern w:val="0"/>
                <w:highlight w:val="none"/>
                <w:lang w:val="zh-CN"/>
              </w:rPr>
              <w:t>近</w:t>
            </w:r>
            <w:r>
              <w:rPr>
                <w:rFonts w:hint="eastAsia" w:ascii="宋体" w:hAnsi="宋体" w:cs="宋体"/>
                <w:b/>
                <w:bCs/>
                <w:color w:val="auto"/>
                <w:kern w:val="0"/>
                <w:highlight w:val="none"/>
                <w:lang w:val="en-US" w:eastAsia="zh-CN"/>
              </w:rPr>
              <w:t>三个月</w:t>
            </w:r>
            <w:r>
              <w:rPr>
                <w:rFonts w:hint="eastAsia" w:ascii="宋体" w:hAnsi="宋体" w:eastAsia="宋体" w:cs="宋体"/>
                <w:b/>
                <w:bCs/>
                <w:color w:val="auto"/>
                <w:kern w:val="0"/>
                <w:highlight w:val="none"/>
                <w:lang w:val="zh-CN"/>
              </w:rPr>
              <w:t>（202</w:t>
            </w:r>
            <w:r>
              <w:rPr>
                <w:rFonts w:hint="eastAsia" w:ascii="宋体" w:hAnsi="宋体" w:cs="宋体"/>
                <w:b/>
                <w:bCs/>
                <w:color w:val="auto"/>
                <w:kern w:val="0"/>
                <w:highlight w:val="none"/>
                <w:lang w:val="en-US" w:eastAsia="zh-CN"/>
              </w:rPr>
              <w:t>6</w:t>
            </w:r>
            <w:r>
              <w:rPr>
                <w:rFonts w:hint="eastAsia" w:ascii="宋体" w:hAnsi="宋体" w:eastAsia="宋体" w:cs="宋体"/>
                <w:b/>
                <w:bCs/>
                <w:color w:val="auto"/>
                <w:kern w:val="0"/>
                <w:highlight w:val="none"/>
                <w:lang w:val="zh-CN"/>
              </w:rPr>
              <w:t>年</w:t>
            </w:r>
            <w:r>
              <w:rPr>
                <w:rFonts w:hint="eastAsia" w:ascii="宋体" w:hAnsi="宋体" w:cs="宋体"/>
                <w:b/>
                <w:bCs/>
                <w:color w:val="auto"/>
                <w:kern w:val="0"/>
                <w:highlight w:val="none"/>
                <w:lang w:val="en-US" w:eastAsia="zh-CN"/>
              </w:rPr>
              <w:t>5</w:t>
            </w:r>
            <w:r>
              <w:rPr>
                <w:rFonts w:hint="eastAsia" w:ascii="宋体" w:hAnsi="宋体" w:eastAsia="宋体" w:cs="宋体"/>
                <w:b/>
                <w:bCs/>
                <w:color w:val="auto"/>
                <w:kern w:val="0"/>
                <w:highlight w:val="none"/>
                <w:lang w:val="zh-CN"/>
              </w:rPr>
              <w:t>月-202</w:t>
            </w:r>
            <w:r>
              <w:rPr>
                <w:rFonts w:hint="eastAsia" w:ascii="宋体" w:hAnsi="宋体" w:cs="宋体"/>
                <w:b/>
                <w:bCs/>
                <w:color w:val="auto"/>
                <w:kern w:val="0"/>
                <w:highlight w:val="none"/>
                <w:lang w:val="en-US" w:eastAsia="zh-CN"/>
              </w:rPr>
              <w:t>6</w:t>
            </w:r>
            <w:r>
              <w:rPr>
                <w:rFonts w:hint="eastAsia" w:ascii="宋体" w:hAnsi="宋体" w:eastAsia="宋体" w:cs="宋体"/>
                <w:b/>
                <w:bCs/>
                <w:color w:val="auto"/>
                <w:kern w:val="0"/>
                <w:highlight w:val="none"/>
                <w:lang w:val="zh-CN"/>
              </w:rPr>
              <w:t>年</w:t>
            </w:r>
            <w:r>
              <w:rPr>
                <w:rFonts w:hint="eastAsia" w:ascii="宋体" w:hAnsi="宋体" w:cs="宋体"/>
                <w:b/>
                <w:bCs/>
                <w:color w:val="auto"/>
                <w:kern w:val="0"/>
                <w:highlight w:val="none"/>
                <w:lang w:val="en-US" w:eastAsia="zh-CN"/>
              </w:rPr>
              <w:t>7</w:t>
            </w:r>
            <w:r>
              <w:rPr>
                <w:rFonts w:hint="eastAsia" w:ascii="宋体" w:hAnsi="宋体" w:eastAsia="宋体" w:cs="宋体"/>
                <w:b/>
                <w:bCs/>
                <w:color w:val="auto"/>
                <w:kern w:val="0"/>
                <w:highlight w:val="none"/>
                <w:lang w:val="zh-CN"/>
              </w:rPr>
              <w:t>月）中任一月份的社保记录等证明材料，劳务派遣人员提供用工合同复印件</w:t>
            </w:r>
            <w:r>
              <w:rPr>
                <w:rFonts w:hint="eastAsia" w:ascii="宋体" w:hAnsi="宋体" w:cs="宋体"/>
                <w:b/>
                <w:bCs/>
                <w:color w:val="auto"/>
                <w:kern w:val="0"/>
                <w:highlight w:val="none"/>
                <w:lang w:val="en-US" w:eastAsia="zh-CN"/>
              </w:rPr>
              <w:t>和用工单位为其缴纳的</w:t>
            </w:r>
            <w:r>
              <w:rPr>
                <w:rFonts w:hint="eastAsia" w:ascii="宋体" w:hAnsi="宋体" w:eastAsia="宋体" w:cs="宋体"/>
                <w:b/>
                <w:bCs/>
                <w:color w:val="auto"/>
                <w:kern w:val="0"/>
                <w:highlight w:val="none"/>
                <w:lang w:val="zh-CN"/>
              </w:rPr>
              <w:t>近</w:t>
            </w:r>
            <w:r>
              <w:rPr>
                <w:rFonts w:hint="eastAsia" w:ascii="宋体" w:hAnsi="宋体" w:cs="宋体"/>
                <w:b/>
                <w:bCs/>
                <w:color w:val="auto"/>
                <w:kern w:val="0"/>
                <w:highlight w:val="none"/>
                <w:lang w:val="en-US" w:eastAsia="zh-CN"/>
              </w:rPr>
              <w:t>三个月</w:t>
            </w:r>
            <w:r>
              <w:rPr>
                <w:rFonts w:hint="eastAsia" w:ascii="宋体" w:hAnsi="宋体" w:eastAsia="宋体" w:cs="宋体"/>
                <w:b/>
                <w:bCs/>
                <w:color w:val="auto"/>
                <w:kern w:val="0"/>
                <w:highlight w:val="none"/>
                <w:lang w:val="zh-CN"/>
              </w:rPr>
              <w:t>（202</w:t>
            </w:r>
            <w:r>
              <w:rPr>
                <w:rFonts w:hint="eastAsia" w:ascii="宋体" w:hAnsi="宋体" w:cs="宋体"/>
                <w:b/>
                <w:bCs/>
                <w:color w:val="auto"/>
                <w:kern w:val="0"/>
                <w:highlight w:val="none"/>
                <w:lang w:val="en-US" w:eastAsia="zh-CN"/>
              </w:rPr>
              <w:t>6</w:t>
            </w:r>
            <w:r>
              <w:rPr>
                <w:rFonts w:hint="eastAsia" w:ascii="宋体" w:hAnsi="宋体" w:eastAsia="宋体" w:cs="宋体"/>
                <w:b/>
                <w:bCs/>
                <w:color w:val="auto"/>
                <w:kern w:val="0"/>
                <w:highlight w:val="none"/>
                <w:lang w:val="zh-CN"/>
              </w:rPr>
              <w:t>年</w:t>
            </w:r>
            <w:r>
              <w:rPr>
                <w:rFonts w:hint="eastAsia" w:ascii="宋体" w:hAnsi="宋体" w:cs="宋体"/>
                <w:b/>
                <w:bCs/>
                <w:color w:val="auto"/>
                <w:kern w:val="0"/>
                <w:highlight w:val="none"/>
                <w:lang w:val="en-US" w:eastAsia="zh-CN"/>
              </w:rPr>
              <w:t>5</w:t>
            </w:r>
            <w:r>
              <w:rPr>
                <w:rFonts w:hint="eastAsia" w:ascii="宋体" w:hAnsi="宋体" w:eastAsia="宋体" w:cs="宋体"/>
                <w:b/>
                <w:bCs/>
                <w:color w:val="auto"/>
                <w:kern w:val="0"/>
                <w:highlight w:val="none"/>
                <w:lang w:val="zh-CN"/>
              </w:rPr>
              <w:t>月-202</w:t>
            </w:r>
            <w:r>
              <w:rPr>
                <w:rFonts w:hint="eastAsia" w:ascii="宋体" w:hAnsi="宋体" w:cs="宋体"/>
                <w:b/>
                <w:bCs/>
                <w:color w:val="auto"/>
                <w:kern w:val="0"/>
                <w:highlight w:val="none"/>
                <w:lang w:val="en-US" w:eastAsia="zh-CN"/>
              </w:rPr>
              <w:t>6</w:t>
            </w:r>
            <w:r>
              <w:rPr>
                <w:rFonts w:hint="eastAsia" w:ascii="宋体" w:hAnsi="宋体" w:eastAsia="宋体" w:cs="宋体"/>
                <w:b/>
                <w:bCs/>
                <w:color w:val="auto"/>
                <w:kern w:val="0"/>
                <w:highlight w:val="none"/>
                <w:lang w:val="zh-CN"/>
              </w:rPr>
              <w:t>年</w:t>
            </w:r>
            <w:r>
              <w:rPr>
                <w:rFonts w:hint="eastAsia" w:ascii="宋体" w:hAnsi="宋体" w:cs="宋体"/>
                <w:b/>
                <w:bCs/>
                <w:color w:val="auto"/>
                <w:kern w:val="0"/>
                <w:highlight w:val="none"/>
                <w:lang w:val="en-US" w:eastAsia="zh-CN"/>
              </w:rPr>
              <w:t>7</w:t>
            </w:r>
            <w:r>
              <w:rPr>
                <w:rFonts w:hint="eastAsia" w:ascii="宋体" w:hAnsi="宋体" w:eastAsia="宋体" w:cs="宋体"/>
                <w:b/>
                <w:bCs/>
                <w:color w:val="auto"/>
                <w:kern w:val="0"/>
                <w:highlight w:val="none"/>
                <w:lang w:val="zh-CN"/>
              </w:rPr>
              <w:t>月）中任一月份的社保记录，未提供有效证明材料的不得分。劳务派遣用工只能在临时性、辅助性或者替代性的工作岗位上实施</w:t>
            </w:r>
            <w:r>
              <w:rPr>
                <w:rFonts w:hint="eastAsia" w:ascii="宋体" w:hAnsi="宋体" w:cs="宋体"/>
                <w:b/>
                <w:bCs/>
                <w:color w:val="auto"/>
                <w:kern w:val="0"/>
                <w:highlight w:val="none"/>
                <w:lang w:val="zh-CN"/>
              </w:rPr>
              <w:t>。</w:t>
            </w:r>
            <w:r>
              <w:rPr>
                <w:rFonts w:hint="eastAsia" w:ascii="宋体" w:hAnsi="宋体" w:eastAsia="宋体" w:cs="宋体"/>
                <w:b/>
                <w:bCs/>
                <w:color w:val="auto"/>
                <w:kern w:val="0"/>
                <w:highlight w:val="none"/>
                <w:lang w:val="zh-CN"/>
              </w:rPr>
              <w:t>（</w:t>
            </w:r>
            <w:r>
              <w:rPr>
                <w:rFonts w:hint="eastAsia" w:ascii="宋体" w:hAnsi="宋体" w:eastAsia="宋体" w:cs="宋体"/>
                <w:b/>
                <w:bCs/>
                <w:color w:val="auto"/>
                <w:kern w:val="0"/>
                <w:highlight w:val="none"/>
              </w:rPr>
              <w:t>1</w:t>
            </w:r>
            <w:r>
              <w:rPr>
                <w:rFonts w:hint="eastAsia" w:ascii="宋体" w:hAnsi="宋体" w:eastAsia="宋体" w:cs="宋体"/>
                <w:b/>
                <w:bCs/>
                <w:color w:val="auto"/>
                <w:kern w:val="0"/>
                <w:highlight w:val="none"/>
                <w:lang w:val="zh-CN"/>
              </w:rPr>
              <w:t>）-（</w:t>
            </w:r>
            <w:r>
              <w:rPr>
                <w:rFonts w:hint="eastAsia" w:ascii="宋体" w:hAnsi="宋体" w:eastAsia="宋体" w:cs="宋体"/>
                <w:b/>
                <w:bCs/>
                <w:color w:val="auto"/>
                <w:kern w:val="0"/>
                <w:highlight w:val="none"/>
              </w:rPr>
              <w:t>2</w:t>
            </w:r>
            <w:r>
              <w:rPr>
                <w:rFonts w:hint="eastAsia" w:ascii="宋体" w:hAnsi="宋体" w:eastAsia="宋体" w:cs="宋体"/>
                <w:b/>
                <w:bCs/>
                <w:color w:val="auto"/>
                <w:kern w:val="0"/>
                <w:highlight w:val="none"/>
                <w:lang w:val="zh-CN"/>
              </w:rPr>
              <w:t>）人员不重复计分；（</w:t>
            </w:r>
            <w:r>
              <w:rPr>
                <w:rFonts w:hint="eastAsia" w:ascii="宋体" w:hAnsi="宋体" w:eastAsia="宋体" w:cs="宋体"/>
                <w:b/>
                <w:bCs/>
                <w:color w:val="auto"/>
                <w:kern w:val="0"/>
                <w:highlight w:val="none"/>
              </w:rPr>
              <w:t>4</w:t>
            </w:r>
            <w:r>
              <w:rPr>
                <w:rFonts w:hint="eastAsia" w:ascii="宋体" w:hAnsi="宋体" w:eastAsia="宋体" w:cs="宋体"/>
                <w:b/>
                <w:bCs/>
                <w:color w:val="auto"/>
                <w:kern w:val="0"/>
                <w:highlight w:val="none"/>
                <w:lang w:val="zh-CN"/>
              </w:rPr>
              <w:t>）-（</w:t>
            </w:r>
            <w:r>
              <w:rPr>
                <w:rFonts w:hint="eastAsia" w:ascii="宋体" w:hAnsi="宋体" w:eastAsia="宋体" w:cs="宋体"/>
                <w:b/>
                <w:bCs/>
                <w:color w:val="auto"/>
                <w:kern w:val="0"/>
                <w:highlight w:val="none"/>
              </w:rPr>
              <w:t>5</w:t>
            </w:r>
            <w:r>
              <w:rPr>
                <w:rFonts w:hint="eastAsia" w:ascii="宋体" w:hAnsi="宋体" w:eastAsia="宋体" w:cs="宋体"/>
                <w:b/>
                <w:bCs/>
                <w:color w:val="auto"/>
                <w:kern w:val="0"/>
                <w:highlight w:val="none"/>
                <w:lang w:val="zh-CN"/>
              </w:rPr>
              <w:t>）一人只计一证，不重复计分，按最高级别赋分。</w:t>
            </w:r>
          </w:p>
          <w:p w14:paraId="3A0EBE9D">
            <w:pPr>
              <w:keepNext w:val="0"/>
              <w:keepLines w:val="0"/>
              <w:suppressLineNumbers w:val="0"/>
              <w:snapToGrid w:val="0"/>
              <w:spacing w:before="0" w:beforeAutospacing="0" w:after="0" w:afterAutospacing="0" w:line="320" w:lineRule="exact"/>
              <w:ind w:left="0" w:right="0"/>
              <w:jc w:val="left"/>
              <w:rPr>
                <w:rFonts w:hint="eastAsia" w:eastAsia="宋体"/>
                <w:lang w:eastAsia="zh-CN"/>
              </w:rPr>
            </w:pPr>
            <w:r>
              <w:rPr>
                <w:rFonts w:hint="eastAsia"/>
                <w:b/>
                <w:bCs/>
                <w:lang w:val="en-US" w:eastAsia="zh-CN"/>
              </w:rPr>
              <w:t>若</w:t>
            </w:r>
            <w:r>
              <w:rPr>
                <w:rFonts w:hint="eastAsia" w:ascii="宋体" w:hAnsi="宋体" w:eastAsia="宋体" w:cs="宋体"/>
                <w:b/>
                <w:bCs/>
                <w:color w:val="auto"/>
                <w:kern w:val="0"/>
                <w:highlight w:val="none"/>
              </w:rPr>
              <w:t>人员团队</w:t>
            </w:r>
            <w:r>
              <w:rPr>
                <w:rFonts w:hint="eastAsia" w:ascii="宋体" w:hAnsi="宋体" w:eastAsia="宋体" w:cs="宋体"/>
                <w:b/>
                <w:bCs/>
                <w:color w:val="auto"/>
                <w:kern w:val="0"/>
                <w:highlight w:val="none"/>
                <w:lang w:val="en-US" w:eastAsia="zh-CN"/>
              </w:rPr>
              <w:t>成员</w:t>
            </w:r>
            <w:r>
              <w:rPr>
                <w:rFonts w:hint="eastAsia"/>
                <w:b/>
                <w:bCs/>
              </w:rPr>
              <w:t>因属于事业单位、企业退休人员、</w:t>
            </w:r>
            <w:r>
              <w:rPr>
                <w:rFonts w:hint="eastAsia"/>
                <w:b/>
                <w:bCs/>
                <w:lang w:val="en-US" w:eastAsia="zh-CN"/>
              </w:rPr>
              <w:t>退</w:t>
            </w:r>
            <w:r>
              <w:rPr>
                <w:rFonts w:hint="eastAsia"/>
                <w:b/>
                <w:bCs/>
              </w:rPr>
              <w:t>役军人等客观原因无法提供</w:t>
            </w:r>
            <w:r>
              <w:rPr>
                <w:rFonts w:hint="eastAsia" w:ascii="宋体" w:hAnsi="宋体" w:eastAsia="宋体" w:cs="宋体"/>
                <w:b/>
                <w:bCs/>
                <w:color w:val="auto"/>
                <w:kern w:val="0"/>
                <w:highlight w:val="none"/>
                <w:lang w:val="zh-CN"/>
              </w:rPr>
              <w:t>社保记录</w:t>
            </w:r>
            <w:r>
              <w:rPr>
                <w:rFonts w:hint="eastAsia"/>
                <w:b/>
                <w:bCs/>
              </w:rPr>
              <w:t>缴费证明，必须出具相关证明材料，否则一律按未提供</w:t>
            </w:r>
            <w:r>
              <w:rPr>
                <w:rFonts w:hint="eastAsia" w:ascii="宋体" w:hAnsi="宋体" w:eastAsia="宋体" w:cs="宋体"/>
                <w:b/>
                <w:bCs/>
                <w:color w:val="auto"/>
                <w:kern w:val="0"/>
                <w:highlight w:val="none"/>
                <w:lang w:val="zh-CN"/>
              </w:rPr>
              <w:t>社保记录</w:t>
            </w:r>
            <w:r>
              <w:rPr>
                <w:rFonts w:hint="eastAsia"/>
                <w:b/>
                <w:bCs/>
              </w:rPr>
              <w:t>证明材料处理</w:t>
            </w:r>
            <w:r>
              <w:rPr>
                <w:rFonts w:hint="eastAsia"/>
                <w:b/>
                <w:bCs/>
                <w:lang w:eastAsia="zh-CN"/>
              </w:rPr>
              <w:t>。</w:t>
            </w:r>
          </w:p>
        </w:tc>
        <w:tc>
          <w:tcPr>
            <w:tcW w:w="414" w:type="pct"/>
            <w:vAlign w:val="center"/>
          </w:tcPr>
          <w:p w14:paraId="0CA8B1BB">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default" w:ascii="宋体" w:hAnsi="宋体" w:eastAsia="宋体" w:cs="宋体"/>
                <w:color w:val="auto"/>
                <w:kern w:val="0"/>
                <w:highlight w:val="none"/>
                <w:lang w:val="en-US"/>
              </w:rPr>
              <w:t>13</w:t>
            </w:r>
            <w:r>
              <w:rPr>
                <w:rFonts w:hint="eastAsia" w:ascii="宋体" w:hAnsi="宋体" w:eastAsia="宋体" w:cs="宋体"/>
                <w:color w:val="auto"/>
                <w:kern w:val="0"/>
                <w:highlight w:val="none"/>
              </w:rPr>
              <w:t>分</w:t>
            </w:r>
          </w:p>
        </w:tc>
      </w:tr>
      <w:tr w14:paraId="3102C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4B6B3B11">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p>
        </w:tc>
        <w:tc>
          <w:tcPr>
            <w:tcW w:w="453" w:type="pct"/>
            <w:vAlign w:val="center"/>
          </w:tcPr>
          <w:p w14:paraId="59B4F23E">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工作场所</w:t>
            </w:r>
          </w:p>
        </w:tc>
        <w:tc>
          <w:tcPr>
            <w:tcW w:w="3446" w:type="pct"/>
            <w:vAlign w:val="center"/>
          </w:tcPr>
          <w:p w14:paraId="503FFE87">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开展食品安全抽样检验工作实验场所面积：</w:t>
            </w:r>
          </w:p>
          <w:p w14:paraId="3A04C675">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1、面积≥</w:t>
            </w:r>
            <w:r>
              <w:rPr>
                <w:rFonts w:hint="eastAsia" w:ascii="宋体" w:hAnsi="宋体" w:eastAsia="宋体" w:cs="宋体"/>
                <w:color w:val="auto"/>
                <w:kern w:val="0"/>
                <w:highlight w:val="none"/>
              </w:rPr>
              <w:t>5000</w:t>
            </w:r>
            <w:r>
              <w:rPr>
                <w:rFonts w:hint="eastAsia" w:ascii="宋体" w:hAnsi="宋体" w:eastAsia="宋体" w:cs="宋体"/>
                <w:color w:val="auto"/>
                <w:kern w:val="0"/>
                <w:highlight w:val="none"/>
                <w:lang w:val="zh-CN"/>
              </w:rPr>
              <w:t xml:space="preserve"> </w:t>
            </w:r>
            <w:r>
              <w:rPr>
                <w:rFonts w:hint="eastAsia" w:ascii="宋体" w:hAnsi="宋体" w:eastAsia="宋体" w:cs="宋体"/>
                <w:color w:val="auto"/>
                <w:kern w:val="0"/>
                <w:highlight w:val="none"/>
              </w:rPr>
              <w:t>m</w:t>
            </w:r>
            <w:r>
              <w:rPr>
                <w:rFonts w:hint="eastAsia" w:ascii="宋体" w:hAnsi="宋体" w:eastAsia="宋体" w:cs="宋体"/>
                <w:color w:val="auto"/>
                <w:kern w:val="0"/>
                <w:highlight w:val="none"/>
                <w:vertAlign w:val="superscript"/>
              </w:rPr>
              <w:t>2</w:t>
            </w:r>
            <w:r>
              <w:rPr>
                <w:rFonts w:hint="eastAsia" w:ascii="宋体" w:hAnsi="宋体" w:eastAsia="宋体" w:cs="宋体"/>
                <w:color w:val="auto"/>
                <w:kern w:val="0"/>
                <w:highlight w:val="none"/>
                <w:lang w:val="zh-CN"/>
              </w:rPr>
              <w:t>，得</w:t>
            </w:r>
            <w:r>
              <w:rPr>
                <w:rFonts w:hint="eastAsia" w:ascii="宋体" w:hAnsi="宋体" w:eastAsia="宋体" w:cs="宋体"/>
                <w:color w:val="auto"/>
                <w:kern w:val="0"/>
                <w:highlight w:val="none"/>
              </w:rPr>
              <w:t xml:space="preserve"> 5 </w:t>
            </w:r>
            <w:r>
              <w:rPr>
                <w:rFonts w:hint="eastAsia" w:ascii="宋体" w:hAnsi="宋体" w:eastAsia="宋体" w:cs="宋体"/>
                <w:color w:val="auto"/>
                <w:kern w:val="0"/>
                <w:highlight w:val="none"/>
                <w:lang w:val="zh-CN"/>
              </w:rPr>
              <w:t>分</w:t>
            </w:r>
            <w:r>
              <w:rPr>
                <w:rFonts w:hint="eastAsia" w:ascii="宋体" w:hAnsi="宋体" w:cs="宋体"/>
                <w:color w:val="auto"/>
                <w:kern w:val="0"/>
                <w:highlight w:val="none"/>
                <w:lang w:val="zh-CN"/>
              </w:rPr>
              <w:t>；</w:t>
            </w:r>
          </w:p>
          <w:p w14:paraId="4D869EFB">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2、</w:t>
            </w:r>
            <w:r>
              <w:rPr>
                <w:rFonts w:hint="eastAsia" w:ascii="宋体" w:hAnsi="宋体" w:eastAsia="宋体" w:cs="宋体"/>
                <w:color w:val="auto"/>
                <w:kern w:val="0"/>
                <w:highlight w:val="none"/>
              </w:rPr>
              <w:t>3</w:t>
            </w:r>
            <w:r>
              <w:rPr>
                <w:rFonts w:hint="eastAsia" w:ascii="宋体" w:hAnsi="宋体" w:eastAsia="宋体" w:cs="宋体"/>
                <w:color w:val="auto"/>
                <w:kern w:val="0"/>
                <w:highlight w:val="none"/>
                <w:lang w:val="zh-CN"/>
              </w:rPr>
              <w:t xml:space="preserve">000 </w:t>
            </w:r>
            <w:r>
              <w:rPr>
                <w:rFonts w:hint="eastAsia" w:ascii="宋体" w:hAnsi="宋体" w:eastAsia="宋体" w:cs="宋体"/>
                <w:color w:val="auto"/>
                <w:kern w:val="0"/>
                <w:highlight w:val="none"/>
              </w:rPr>
              <w:t>m</w:t>
            </w:r>
            <w:r>
              <w:rPr>
                <w:rFonts w:hint="eastAsia" w:ascii="宋体" w:hAnsi="宋体" w:eastAsia="宋体" w:cs="宋体"/>
                <w:color w:val="auto"/>
                <w:kern w:val="0"/>
                <w:highlight w:val="none"/>
                <w:vertAlign w:val="superscript"/>
              </w:rPr>
              <w:t>2</w:t>
            </w:r>
            <w:r>
              <w:rPr>
                <w:rFonts w:hint="eastAsia" w:ascii="宋体" w:hAnsi="宋体" w:eastAsia="宋体" w:cs="宋体"/>
                <w:color w:val="auto"/>
                <w:kern w:val="0"/>
                <w:highlight w:val="none"/>
                <w:lang w:val="zh-CN"/>
              </w:rPr>
              <w:t>≤面积＜</w:t>
            </w:r>
            <w:r>
              <w:rPr>
                <w:rFonts w:hint="eastAsia" w:ascii="宋体" w:hAnsi="宋体" w:eastAsia="宋体" w:cs="宋体"/>
                <w:color w:val="auto"/>
                <w:kern w:val="0"/>
                <w:highlight w:val="none"/>
              </w:rPr>
              <w:t>5</w:t>
            </w:r>
            <w:r>
              <w:rPr>
                <w:rFonts w:hint="eastAsia" w:ascii="宋体" w:hAnsi="宋体" w:eastAsia="宋体" w:cs="宋体"/>
                <w:color w:val="auto"/>
                <w:kern w:val="0"/>
                <w:highlight w:val="none"/>
                <w:lang w:val="zh-CN"/>
              </w:rPr>
              <w:t xml:space="preserve">000 </w:t>
            </w:r>
            <w:r>
              <w:rPr>
                <w:rFonts w:hint="eastAsia" w:ascii="宋体" w:hAnsi="宋体" w:eastAsia="宋体" w:cs="宋体"/>
                <w:color w:val="auto"/>
                <w:kern w:val="0"/>
                <w:highlight w:val="none"/>
              </w:rPr>
              <w:t>m</w:t>
            </w:r>
            <w:r>
              <w:rPr>
                <w:rFonts w:hint="eastAsia" w:ascii="宋体" w:hAnsi="宋体" w:eastAsia="宋体" w:cs="宋体"/>
                <w:color w:val="auto"/>
                <w:kern w:val="0"/>
                <w:highlight w:val="none"/>
                <w:vertAlign w:val="superscript"/>
              </w:rPr>
              <w:t>2</w:t>
            </w:r>
            <w:r>
              <w:rPr>
                <w:rFonts w:hint="eastAsia" w:ascii="宋体" w:hAnsi="宋体" w:eastAsia="宋体" w:cs="宋体"/>
                <w:color w:val="auto"/>
                <w:kern w:val="0"/>
                <w:highlight w:val="none"/>
                <w:lang w:val="zh-CN"/>
              </w:rPr>
              <w:t>，得</w:t>
            </w:r>
            <w:r>
              <w:rPr>
                <w:rFonts w:hint="eastAsia" w:ascii="宋体" w:hAnsi="宋体" w:eastAsia="宋体" w:cs="宋体"/>
                <w:color w:val="auto"/>
                <w:kern w:val="0"/>
                <w:highlight w:val="none"/>
              </w:rPr>
              <w:t xml:space="preserve"> 3 </w:t>
            </w:r>
            <w:r>
              <w:rPr>
                <w:rFonts w:hint="eastAsia" w:ascii="宋体" w:hAnsi="宋体" w:eastAsia="宋体" w:cs="宋体"/>
                <w:color w:val="auto"/>
                <w:kern w:val="0"/>
                <w:highlight w:val="none"/>
                <w:lang w:val="zh-CN"/>
              </w:rPr>
              <w:t>分</w:t>
            </w:r>
            <w:r>
              <w:rPr>
                <w:rFonts w:hint="eastAsia" w:ascii="宋体" w:hAnsi="宋体" w:cs="宋体"/>
                <w:color w:val="auto"/>
                <w:kern w:val="0"/>
                <w:highlight w:val="none"/>
                <w:lang w:val="zh-CN"/>
              </w:rPr>
              <w:t>；</w:t>
            </w:r>
          </w:p>
          <w:p w14:paraId="1E85BC3A">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 xml:space="preserve">3、2000 </w:t>
            </w:r>
            <w:r>
              <w:rPr>
                <w:rFonts w:hint="eastAsia" w:ascii="宋体" w:hAnsi="宋体" w:eastAsia="宋体" w:cs="宋体"/>
                <w:color w:val="auto"/>
                <w:kern w:val="0"/>
                <w:highlight w:val="none"/>
              </w:rPr>
              <w:t>m</w:t>
            </w:r>
            <w:r>
              <w:rPr>
                <w:rFonts w:hint="eastAsia" w:ascii="宋体" w:hAnsi="宋体" w:eastAsia="宋体" w:cs="宋体"/>
                <w:color w:val="auto"/>
                <w:kern w:val="0"/>
                <w:highlight w:val="none"/>
                <w:vertAlign w:val="superscript"/>
              </w:rPr>
              <w:t>2</w:t>
            </w:r>
            <w:r>
              <w:rPr>
                <w:rFonts w:hint="eastAsia" w:ascii="宋体" w:hAnsi="宋体" w:eastAsia="宋体" w:cs="宋体"/>
                <w:color w:val="auto"/>
                <w:kern w:val="0"/>
                <w:highlight w:val="none"/>
                <w:lang w:val="zh-CN"/>
              </w:rPr>
              <w:t>≤面积＜</w:t>
            </w:r>
            <w:r>
              <w:rPr>
                <w:rFonts w:hint="eastAsia" w:ascii="宋体" w:hAnsi="宋体" w:eastAsia="宋体" w:cs="宋体"/>
                <w:color w:val="auto"/>
                <w:kern w:val="0"/>
                <w:highlight w:val="none"/>
              </w:rPr>
              <w:t>3</w:t>
            </w:r>
            <w:r>
              <w:rPr>
                <w:rFonts w:hint="eastAsia" w:ascii="宋体" w:hAnsi="宋体" w:eastAsia="宋体" w:cs="宋体"/>
                <w:color w:val="auto"/>
                <w:kern w:val="0"/>
                <w:highlight w:val="none"/>
                <w:lang w:val="zh-CN"/>
              </w:rPr>
              <w:t xml:space="preserve">000 </w:t>
            </w:r>
            <w:r>
              <w:rPr>
                <w:rFonts w:hint="eastAsia" w:ascii="宋体" w:hAnsi="宋体" w:eastAsia="宋体" w:cs="宋体"/>
                <w:color w:val="auto"/>
                <w:kern w:val="0"/>
                <w:highlight w:val="none"/>
              </w:rPr>
              <w:t>m</w:t>
            </w:r>
            <w:r>
              <w:rPr>
                <w:rFonts w:hint="eastAsia" w:ascii="宋体" w:hAnsi="宋体" w:eastAsia="宋体" w:cs="宋体"/>
                <w:color w:val="auto"/>
                <w:kern w:val="0"/>
                <w:highlight w:val="none"/>
                <w:vertAlign w:val="superscript"/>
              </w:rPr>
              <w:t>2</w:t>
            </w:r>
            <w:r>
              <w:rPr>
                <w:rFonts w:hint="eastAsia" w:ascii="宋体" w:hAnsi="宋体" w:eastAsia="宋体" w:cs="宋体"/>
                <w:color w:val="auto"/>
                <w:kern w:val="0"/>
                <w:highlight w:val="none"/>
                <w:lang w:val="zh-CN"/>
              </w:rPr>
              <w:t>，得</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1</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分</w:t>
            </w:r>
            <w:r>
              <w:rPr>
                <w:rFonts w:hint="eastAsia" w:ascii="宋体" w:hAnsi="宋体" w:cs="宋体"/>
                <w:color w:val="auto"/>
                <w:kern w:val="0"/>
                <w:highlight w:val="none"/>
                <w:lang w:val="zh-CN"/>
              </w:rPr>
              <w:t>；</w:t>
            </w:r>
          </w:p>
          <w:p w14:paraId="29CE94D9">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 xml:space="preserve">4、面积＜2000 </w:t>
            </w:r>
            <w:r>
              <w:rPr>
                <w:rFonts w:hint="eastAsia" w:ascii="宋体" w:hAnsi="宋体" w:eastAsia="宋体" w:cs="宋体"/>
                <w:color w:val="auto"/>
                <w:kern w:val="0"/>
                <w:highlight w:val="none"/>
              </w:rPr>
              <w:t>m</w:t>
            </w:r>
            <w:r>
              <w:rPr>
                <w:rFonts w:hint="eastAsia" w:ascii="宋体" w:hAnsi="宋体" w:eastAsia="宋体" w:cs="宋体"/>
                <w:color w:val="auto"/>
                <w:kern w:val="0"/>
                <w:highlight w:val="none"/>
                <w:vertAlign w:val="superscript"/>
              </w:rPr>
              <w:t>2</w:t>
            </w:r>
            <w:r>
              <w:rPr>
                <w:rFonts w:hint="eastAsia" w:ascii="宋体" w:hAnsi="宋体" w:eastAsia="宋体" w:cs="宋体"/>
                <w:color w:val="auto"/>
                <w:kern w:val="0"/>
                <w:highlight w:val="none"/>
                <w:lang w:val="zh-CN"/>
              </w:rPr>
              <w:t>，不得分。</w:t>
            </w:r>
          </w:p>
          <w:p w14:paraId="295DE1CA">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rPr>
            </w:pPr>
            <w:r>
              <w:rPr>
                <w:rFonts w:hint="eastAsia" w:ascii="宋体" w:hAnsi="宋体" w:eastAsia="宋体" w:cs="宋体"/>
                <w:b/>
                <w:bCs/>
                <w:color w:val="auto"/>
                <w:kern w:val="0"/>
                <w:highlight w:val="none"/>
                <w:lang w:val="zh-CN"/>
              </w:rPr>
              <w:t>注：（1）供应商须承诺抽样检验的实验室为供应商拥有，并提供承诺书。采购人有权在合同签订前进行现场考察，一旦发现弄虚作假，将取消中标资格，并报有关部门严肃处理；（2）提供</w:t>
            </w:r>
            <w:r>
              <w:rPr>
                <w:rFonts w:hint="eastAsia" w:ascii="宋体" w:hAnsi="宋体" w:eastAsia="宋体" w:cs="宋体"/>
                <w:b/>
                <w:bCs/>
                <w:color w:val="auto"/>
                <w:kern w:val="0"/>
                <w:highlight w:val="none"/>
              </w:rPr>
              <w:t>食品</w:t>
            </w:r>
            <w:r>
              <w:rPr>
                <w:rFonts w:hint="eastAsia" w:ascii="宋体" w:hAnsi="宋体" w:eastAsia="宋体" w:cs="宋体"/>
                <w:b/>
                <w:bCs/>
                <w:color w:val="auto"/>
                <w:kern w:val="0"/>
                <w:highlight w:val="none"/>
                <w:lang w:val="zh-CN"/>
              </w:rPr>
              <w:t>抽样检验工作实验场所的房产证或所有权证明文件或有效的房屋租赁合同及发票复印件；（3）提供抽样检验工作实验场所的平面布局图，并提供各组成部分面积清单；（4）未达到上述要求或未提供有效证明文件的不得分。</w:t>
            </w:r>
          </w:p>
        </w:tc>
        <w:tc>
          <w:tcPr>
            <w:tcW w:w="414" w:type="pct"/>
            <w:vAlign w:val="center"/>
          </w:tcPr>
          <w:p w14:paraId="57F3CF9A">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5分</w:t>
            </w:r>
          </w:p>
        </w:tc>
      </w:tr>
      <w:tr w14:paraId="408CA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74F1E050">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p>
        </w:tc>
        <w:tc>
          <w:tcPr>
            <w:tcW w:w="453" w:type="pct"/>
            <w:vAlign w:val="center"/>
          </w:tcPr>
          <w:p w14:paraId="3F2141EA">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抽样设备</w:t>
            </w:r>
          </w:p>
        </w:tc>
        <w:tc>
          <w:tcPr>
            <w:tcW w:w="3446" w:type="pct"/>
            <w:vAlign w:val="center"/>
          </w:tcPr>
          <w:p w14:paraId="6BE5CCE2">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（1）用于食品抽样的车辆达到8辆，得</w:t>
            </w: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CN"/>
              </w:rPr>
              <w:t>分；</w:t>
            </w:r>
            <w:r>
              <w:rPr>
                <w:rFonts w:hint="eastAsia" w:ascii="宋体" w:hAnsi="宋体" w:eastAsia="宋体" w:cs="宋体"/>
                <w:color w:val="auto"/>
                <w:highlight w:val="none"/>
              </w:rPr>
              <w:t>其他不得分</w:t>
            </w:r>
            <w:r>
              <w:rPr>
                <w:rFonts w:hint="eastAsia" w:ascii="宋体" w:hAnsi="宋体" w:eastAsia="宋体" w:cs="宋体"/>
                <w:color w:val="auto"/>
                <w:kern w:val="0"/>
                <w:highlight w:val="none"/>
              </w:rPr>
              <w:t>；</w:t>
            </w:r>
          </w:p>
          <w:p w14:paraId="39CE5CD1">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（2）用于食品抽样的冷链运输车辆达到</w:t>
            </w: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CN"/>
              </w:rPr>
              <w:t>辆，得</w:t>
            </w:r>
            <w:r>
              <w:rPr>
                <w:rFonts w:hint="eastAsia" w:ascii="宋体" w:hAnsi="宋体" w:cs="宋体"/>
                <w:color w:val="auto"/>
                <w:kern w:val="0"/>
                <w:highlight w:val="none"/>
                <w:lang w:val="en-US" w:eastAsia="zh-CN"/>
              </w:rPr>
              <w:t>0.5</w:t>
            </w:r>
            <w:r>
              <w:rPr>
                <w:rFonts w:hint="eastAsia" w:ascii="宋体" w:hAnsi="宋体" w:eastAsia="宋体" w:cs="宋体"/>
                <w:color w:val="auto"/>
                <w:kern w:val="0"/>
                <w:highlight w:val="none"/>
                <w:lang w:val="zh-CN"/>
              </w:rPr>
              <w:t>分；</w:t>
            </w:r>
            <w:r>
              <w:rPr>
                <w:rFonts w:hint="eastAsia" w:ascii="宋体" w:hAnsi="宋体" w:eastAsia="宋体" w:cs="宋体"/>
                <w:color w:val="auto"/>
                <w:highlight w:val="none"/>
              </w:rPr>
              <w:t>其他不得分</w:t>
            </w:r>
            <w:r>
              <w:rPr>
                <w:rFonts w:hint="eastAsia" w:ascii="宋体" w:hAnsi="宋体" w:eastAsia="宋体" w:cs="宋体"/>
                <w:color w:val="auto"/>
                <w:kern w:val="0"/>
                <w:highlight w:val="none"/>
              </w:rPr>
              <w:t>；</w:t>
            </w:r>
          </w:p>
          <w:p w14:paraId="2E40DEA5">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（3）用于食品保存的车载冰箱达到4台得</w:t>
            </w:r>
            <w:r>
              <w:rPr>
                <w:rFonts w:hint="eastAsia" w:ascii="宋体" w:hAnsi="宋体" w:cs="宋体"/>
                <w:color w:val="auto"/>
                <w:kern w:val="0"/>
                <w:highlight w:val="none"/>
                <w:lang w:val="en-US" w:eastAsia="zh-CN"/>
              </w:rPr>
              <w:t>0.5</w:t>
            </w:r>
            <w:r>
              <w:rPr>
                <w:rFonts w:hint="eastAsia" w:ascii="宋体" w:hAnsi="宋体" w:eastAsia="宋体" w:cs="宋体"/>
                <w:color w:val="auto"/>
                <w:kern w:val="0"/>
                <w:highlight w:val="none"/>
                <w:lang w:val="zh-CN"/>
              </w:rPr>
              <w:t>分；</w:t>
            </w:r>
            <w:r>
              <w:rPr>
                <w:rFonts w:hint="eastAsia" w:ascii="宋体" w:hAnsi="宋体" w:eastAsia="宋体" w:cs="宋体"/>
                <w:color w:val="auto"/>
                <w:highlight w:val="none"/>
              </w:rPr>
              <w:t>其他不得分</w:t>
            </w:r>
            <w:r>
              <w:rPr>
                <w:rFonts w:hint="eastAsia" w:ascii="宋体" w:hAnsi="宋体" w:eastAsia="宋体" w:cs="宋体"/>
                <w:color w:val="auto"/>
                <w:kern w:val="0"/>
                <w:highlight w:val="none"/>
              </w:rPr>
              <w:t>；</w:t>
            </w:r>
          </w:p>
          <w:p w14:paraId="5813EAF9">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（4）用于食品保存的食品保温箱达到6个得</w:t>
            </w:r>
            <w:r>
              <w:rPr>
                <w:rFonts w:hint="eastAsia" w:ascii="宋体" w:hAnsi="宋体" w:cs="宋体"/>
                <w:color w:val="auto"/>
                <w:kern w:val="0"/>
                <w:highlight w:val="none"/>
                <w:lang w:val="en-US" w:eastAsia="zh-CN"/>
              </w:rPr>
              <w:t>0.5</w:t>
            </w:r>
            <w:r>
              <w:rPr>
                <w:rFonts w:hint="eastAsia" w:ascii="宋体" w:hAnsi="宋体" w:eastAsia="宋体" w:cs="宋体"/>
                <w:color w:val="auto"/>
                <w:kern w:val="0"/>
                <w:highlight w:val="none"/>
                <w:lang w:val="zh-CN"/>
              </w:rPr>
              <w:t>分；</w:t>
            </w:r>
            <w:r>
              <w:rPr>
                <w:rFonts w:hint="eastAsia" w:ascii="宋体" w:hAnsi="宋体" w:eastAsia="宋体" w:cs="宋体"/>
                <w:color w:val="auto"/>
                <w:highlight w:val="none"/>
              </w:rPr>
              <w:t>其他不得分</w:t>
            </w:r>
            <w:r>
              <w:rPr>
                <w:rFonts w:hint="eastAsia" w:ascii="宋体" w:hAnsi="宋体" w:eastAsia="宋体" w:cs="宋体"/>
                <w:color w:val="auto"/>
                <w:kern w:val="0"/>
                <w:highlight w:val="none"/>
              </w:rPr>
              <w:t>；</w:t>
            </w:r>
          </w:p>
          <w:p w14:paraId="24068792">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（5）用于抽样过程取证的执法记录仪达到6部，得</w:t>
            </w:r>
            <w:r>
              <w:rPr>
                <w:rFonts w:hint="eastAsia" w:ascii="宋体" w:hAnsi="宋体" w:cs="宋体"/>
                <w:color w:val="auto"/>
                <w:kern w:val="0"/>
                <w:highlight w:val="none"/>
                <w:lang w:val="en-US" w:eastAsia="zh-CN"/>
              </w:rPr>
              <w:t>0.5</w:t>
            </w:r>
            <w:r>
              <w:rPr>
                <w:rFonts w:hint="eastAsia" w:ascii="宋体" w:hAnsi="宋体" w:eastAsia="宋体" w:cs="宋体"/>
                <w:color w:val="auto"/>
                <w:kern w:val="0"/>
                <w:highlight w:val="none"/>
                <w:lang w:val="zh-CN"/>
              </w:rPr>
              <w:t>分；</w:t>
            </w:r>
            <w:r>
              <w:rPr>
                <w:rFonts w:hint="eastAsia" w:ascii="宋体" w:hAnsi="宋体" w:eastAsia="宋体" w:cs="宋体"/>
                <w:color w:val="auto"/>
                <w:highlight w:val="none"/>
              </w:rPr>
              <w:t>其他不得分</w:t>
            </w:r>
            <w:r>
              <w:rPr>
                <w:rFonts w:hint="eastAsia" w:ascii="宋体" w:hAnsi="宋体" w:eastAsia="宋体" w:cs="宋体"/>
                <w:color w:val="auto"/>
                <w:kern w:val="0"/>
                <w:highlight w:val="none"/>
                <w:lang w:val="zh-CN"/>
              </w:rPr>
              <w:t>；</w:t>
            </w:r>
          </w:p>
          <w:p w14:paraId="5EBB0134">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zh-CN"/>
              </w:rPr>
              <w:t>（6）具备食品保存用专用冷藏库</w:t>
            </w:r>
            <w:r>
              <w:rPr>
                <w:rFonts w:hint="eastAsia" w:ascii="宋体" w:hAnsi="宋体" w:eastAsia="宋体" w:cs="宋体"/>
                <w:color w:val="auto"/>
                <w:kern w:val="0"/>
                <w:highlight w:val="none"/>
              </w:rPr>
              <w:t>或</w:t>
            </w:r>
            <w:r>
              <w:rPr>
                <w:rFonts w:hint="eastAsia" w:ascii="宋体" w:hAnsi="宋体" w:eastAsia="宋体" w:cs="宋体"/>
                <w:color w:val="auto"/>
                <w:kern w:val="0"/>
                <w:highlight w:val="none"/>
                <w:lang w:val="zh-CN"/>
              </w:rPr>
              <w:t>冷冻库的，得</w:t>
            </w: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CN"/>
              </w:rPr>
              <w:t>分；</w:t>
            </w:r>
            <w:r>
              <w:rPr>
                <w:rFonts w:hint="eastAsia" w:ascii="宋体" w:hAnsi="宋体" w:eastAsia="宋体" w:cs="宋体"/>
                <w:color w:val="auto"/>
                <w:highlight w:val="none"/>
              </w:rPr>
              <w:t>其他不得分。</w:t>
            </w:r>
          </w:p>
          <w:p w14:paraId="6A1D98A4">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rPr>
            </w:pPr>
            <w:r>
              <w:rPr>
                <w:rFonts w:hint="eastAsia" w:ascii="宋体" w:hAnsi="宋体" w:eastAsia="宋体" w:cs="宋体"/>
                <w:b/>
                <w:bCs/>
                <w:color w:val="auto"/>
                <w:kern w:val="0"/>
                <w:highlight w:val="none"/>
              </w:rPr>
              <w:t>注：</w:t>
            </w:r>
            <w:r>
              <w:rPr>
                <w:rFonts w:hint="eastAsia" w:ascii="宋体" w:hAnsi="宋体" w:eastAsia="宋体" w:cs="宋体"/>
                <w:b/>
                <w:bCs/>
                <w:color w:val="auto"/>
                <w:kern w:val="0"/>
                <w:highlight w:val="none"/>
                <w:lang w:val="zh-CN"/>
              </w:rPr>
              <w:t>须提供有效的购置发票</w:t>
            </w:r>
            <w:r>
              <w:rPr>
                <w:rFonts w:hint="eastAsia" w:ascii="宋体" w:hAnsi="宋体" w:cs="宋体"/>
                <w:b/>
                <w:bCs/>
                <w:color w:val="auto"/>
                <w:kern w:val="0"/>
                <w:highlight w:val="none"/>
                <w:lang w:val="en-US" w:eastAsia="zh-CN"/>
              </w:rPr>
              <w:t>或</w:t>
            </w:r>
            <w:r>
              <w:rPr>
                <w:rFonts w:hint="eastAsia" w:ascii="宋体" w:hAnsi="宋体" w:eastAsia="宋体" w:cs="宋体"/>
                <w:b/>
                <w:bCs/>
                <w:color w:val="auto"/>
                <w:kern w:val="0"/>
                <w:highlight w:val="none"/>
                <w:lang w:val="zh-CN"/>
              </w:rPr>
              <w:t>相关证明材料。车辆可为自有或租赁，须提供购置发票或车辆行驶证复印件，租赁车辆</w:t>
            </w:r>
            <w:r>
              <w:rPr>
                <w:rFonts w:hint="eastAsia" w:ascii="宋体" w:hAnsi="宋体" w:cs="宋体"/>
                <w:b/>
                <w:bCs/>
                <w:color w:val="auto"/>
                <w:kern w:val="0"/>
                <w:szCs w:val="21"/>
                <w:highlight w:val="none"/>
                <w:lang w:val="en-US" w:eastAsia="zh-CN"/>
              </w:rPr>
              <w:t>另</w:t>
            </w:r>
            <w:r>
              <w:rPr>
                <w:rFonts w:hint="eastAsia" w:ascii="宋体" w:hAnsi="宋体" w:eastAsia="宋体" w:cs="宋体"/>
                <w:b/>
                <w:bCs/>
                <w:color w:val="auto"/>
                <w:kern w:val="0"/>
                <w:highlight w:val="none"/>
                <w:lang w:val="zh-CN"/>
              </w:rPr>
              <w:t>须提供有效租赁合同复印件，租赁期须覆盖整个招标任务履行期。冷藏库和冷冻库另</w:t>
            </w:r>
            <w:r>
              <w:rPr>
                <w:rFonts w:hint="eastAsia" w:ascii="宋体" w:hAnsi="宋体" w:eastAsia="宋体" w:cs="宋体"/>
                <w:b/>
                <w:color w:val="auto"/>
                <w:kern w:val="0"/>
                <w:highlight w:val="none"/>
                <w:lang w:val="zh-CN"/>
              </w:rPr>
              <w:t>须</w:t>
            </w:r>
            <w:r>
              <w:rPr>
                <w:rFonts w:hint="eastAsia" w:ascii="宋体" w:hAnsi="宋体" w:eastAsia="宋体" w:cs="宋体"/>
                <w:b/>
                <w:bCs/>
                <w:color w:val="auto"/>
                <w:kern w:val="0"/>
                <w:highlight w:val="none"/>
                <w:lang w:val="zh-CN"/>
              </w:rPr>
              <w:t>提供冷库温度等参数校准证书。</w:t>
            </w:r>
          </w:p>
        </w:tc>
        <w:tc>
          <w:tcPr>
            <w:tcW w:w="414" w:type="pct"/>
            <w:vAlign w:val="center"/>
          </w:tcPr>
          <w:p w14:paraId="48DC5D11">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cs="宋体"/>
                <w:color w:val="auto"/>
                <w:kern w:val="0"/>
                <w:highlight w:val="none"/>
                <w:lang w:val="en-US" w:eastAsia="zh-CN"/>
              </w:rPr>
              <w:t>4</w:t>
            </w:r>
            <w:r>
              <w:rPr>
                <w:rFonts w:hint="eastAsia" w:ascii="宋体" w:hAnsi="宋体" w:eastAsia="宋体" w:cs="宋体"/>
                <w:color w:val="auto"/>
                <w:kern w:val="0"/>
                <w:highlight w:val="none"/>
              </w:rPr>
              <w:t>分</w:t>
            </w:r>
          </w:p>
        </w:tc>
      </w:tr>
      <w:tr w14:paraId="26549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7FC95FC2">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p>
        </w:tc>
        <w:tc>
          <w:tcPr>
            <w:tcW w:w="453" w:type="pct"/>
            <w:vAlign w:val="center"/>
          </w:tcPr>
          <w:p w14:paraId="59CD64C6">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检验设备</w:t>
            </w:r>
          </w:p>
        </w:tc>
        <w:tc>
          <w:tcPr>
            <w:tcW w:w="3446" w:type="pct"/>
            <w:vAlign w:val="center"/>
          </w:tcPr>
          <w:p w14:paraId="6FF3CC17">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1、供应商应配备满足采购人检验检测项目需求的检验设备：</w:t>
            </w:r>
          </w:p>
          <w:p w14:paraId="30F7FAAF">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（1）液相色谱串联质谱联用仪；</w:t>
            </w:r>
          </w:p>
          <w:p w14:paraId="14DC76F9">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（2）气相色谱质谱联用仪；</w:t>
            </w:r>
          </w:p>
          <w:p w14:paraId="35CC68BF">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（3）电感耦合等离子体质谱仪；</w:t>
            </w:r>
          </w:p>
          <w:p w14:paraId="1625F1FE">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（4）离子色谱仪；</w:t>
            </w:r>
          </w:p>
          <w:p w14:paraId="4D7D458C">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（5）高效液相色谱仪；</w:t>
            </w:r>
          </w:p>
          <w:p w14:paraId="6C2A58F1">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（6）气相色谱仪；</w:t>
            </w:r>
          </w:p>
          <w:p w14:paraId="20EB4599">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（7）原子吸收光谱仪；</w:t>
            </w:r>
          </w:p>
          <w:p w14:paraId="0B7F57B4">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（8）原子荧光光谱仪；</w:t>
            </w:r>
          </w:p>
          <w:p w14:paraId="5E85B730">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9</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PCR检测仪</w:t>
            </w:r>
            <w:r>
              <w:rPr>
                <w:rFonts w:hint="eastAsia" w:ascii="宋体" w:hAnsi="宋体" w:eastAsia="宋体" w:cs="宋体"/>
                <w:color w:val="auto"/>
                <w:kern w:val="0"/>
                <w:highlight w:val="none"/>
                <w:lang w:val="zh-CN"/>
              </w:rPr>
              <w:t>；</w:t>
            </w:r>
          </w:p>
          <w:p w14:paraId="00FFB618">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highlight w:val="none"/>
              </w:rPr>
              <w:t>具备以上9类设备每类同时配备至少1台，得</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分；具备以上8类设备每类同时配备至少1台，得</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分；具备以上7类设备每类同时配备至少1台，得1分；其他不得分。</w:t>
            </w:r>
          </w:p>
          <w:p w14:paraId="49F9C5E8">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2、在满足前述检验设备能力要求的基础上对多配备的设备评分：</w:t>
            </w:r>
          </w:p>
          <w:p w14:paraId="27C1636D">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（1）液相色谱三重四</w:t>
            </w:r>
            <w:r>
              <w:rPr>
                <w:rFonts w:hint="eastAsia" w:ascii="宋体" w:hAnsi="宋体" w:cs="宋体"/>
                <w:color w:val="auto"/>
                <w:kern w:val="0"/>
                <w:highlight w:val="none"/>
                <w:lang w:val="en-US" w:eastAsia="zh-CN"/>
              </w:rPr>
              <w:t>极</w:t>
            </w:r>
            <w:r>
              <w:rPr>
                <w:rFonts w:hint="eastAsia" w:ascii="宋体" w:hAnsi="宋体" w:eastAsia="宋体" w:cs="宋体"/>
                <w:color w:val="auto"/>
                <w:kern w:val="0"/>
                <w:highlight w:val="none"/>
                <w:lang w:val="zh-CN"/>
              </w:rPr>
              <w:t>杆质谱联用仪；</w:t>
            </w:r>
          </w:p>
          <w:p w14:paraId="30CE0E6A">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（2）气相色谱质谱联用仪；</w:t>
            </w:r>
          </w:p>
          <w:p w14:paraId="15C6FC48">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（3）电感耦合等离子体质谱仪；</w:t>
            </w:r>
          </w:p>
          <w:p w14:paraId="625E640B">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以上3类设备每类同时配备2台及以上且满足招标文件要求的，得</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en-US" w:eastAsia="zh-CN"/>
              </w:rPr>
              <w:t>3</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分，不满足不得分；</w:t>
            </w:r>
          </w:p>
          <w:p w14:paraId="33E24A35">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rPr>
            </w:pPr>
            <w:r>
              <w:rPr>
                <w:rFonts w:hint="eastAsia" w:ascii="宋体" w:hAnsi="宋体" w:eastAsia="宋体" w:cs="宋体"/>
                <w:b/>
                <w:color w:val="auto"/>
                <w:kern w:val="0"/>
                <w:highlight w:val="none"/>
                <w:lang w:val="zh-CN"/>
              </w:rPr>
              <w:t>注：须提供有效的检定或校准证书、购置发票、检验原始记录、设备照片和存放位置等复印件，表明能有效应用在食品检验检测上</w:t>
            </w:r>
            <w:r>
              <w:rPr>
                <w:rFonts w:hint="eastAsia" w:ascii="宋体" w:hAnsi="宋体" w:cs="宋体"/>
                <w:b/>
                <w:color w:val="auto"/>
                <w:kern w:val="0"/>
                <w:highlight w:val="none"/>
                <w:lang w:val="zh-CN"/>
              </w:rPr>
              <w:t>；</w:t>
            </w:r>
            <w:r>
              <w:rPr>
                <w:rFonts w:hint="eastAsia" w:ascii="宋体" w:hAnsi="宋体" w:eastAsia="宋体" w:cs="宋体"/>
                <w:b/>
                <w:color w:val="auto"/>
                <w:szCs w:val="21"/>
                <w:highlight w:val="none"/>
                <w:lang w:val="en-US" w:eastAsia="zh-CN"/>
              </w:rPr>
              <w:t>租赁检验设备另须提供租赁合同</w:t>
            </w:r>
            <w:r>
              <w:rPr>
                <w:rFonts w:hint="eastAsia" w:ascii="宋体" w:hAnsi="宋体" w:eastAsia="宋体" w:cs="宋体"/>
                <w:b/>
                <w:color w:val="auto"/>
                <w:kern w:val="0"/>
                <w:highlight w:val="none"/>
                <w:lang w:val="zh-CN"/>
              </w:rPr>
              <w:t>。</w:t>
            </w:r>
          </w:p>
        </w:tc>
        <w:tc>
          <w:tcPr>
            <w:tcW w:w="414" w:type="pct"/>
            <w:vAlign w:val="center"/>
          </w:tcPr>
          <w:p w14:paraId="3024DCD5">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8分</w:t>
            </w:r>
          </w:p>
        </w:tc>
      </w:tr>
      <w:tr w14:paraId="59AA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370A0A69">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p>
        </w:tc>
        <w:tc>
          <w:tcPr>
            <w:tcW w:w="453" w:type="pct"/>
            <w:vAlign w:val="center"/>
          </w:tcPr>
          <w:p w14:paraId="3E0F1279">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质量控制</w:t>
            </w:r>
          </w:p>
        </w:tc>
        <w:tc>
          <w:tcPr>
            <w:tcW w:w="3446" w:type="pct"/>
            <w:vAlign w:val="center"/>
          </w:tcPr>
          <w:p w14:paraId="162E1B23">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kern w:val="0"/>
                <w:highlight w:val="none"/>
              </w:rPr>
            </w:pPr>
            <w:r>
              <w:rPr>
                <w:rFonts w:hint="eastAsia" w:ascii="宋体" w:hAnsi="宋体" w:eastAsia="宋体" w:cs="宋体"/>
                <w:color w:val="auto"/>
                <w:kern w:val="0"/>
                <w:highlight w:val="none"/>
                <w:lang w:val="zh-CN"/>
              </w:rPr>
              <w:t>自202</w:t>
            </w:r>
            <w:r>
              <w:rPr>
                <w:rFonts w:hint="eastAsia" w:ascii="宋体" w:hAnsi="宋体" w:eastAsia="宋体" w:cs="宋体"/>
                <w:color w:val="auto"/>
                <w:kern w:val="0"/>
                <w:highlight w:val="none"/>
                <w:lang w:val="en-US" w:eastAsia="zh-CN"/>
              </w:rPr>
              <w:t>5</w:t>
            </w:r>
            <w:r>
              <w:rPr>
                <w:rFonts w:hint="eastAsia" w:ascii="宋体" w:hAnsi="宋体" w:eastAsia="宋体" w:cs="宋体"/>
                <w:color w:val="auto"/>
                <w:kern w:val="0"/>
                <w:highlight w:val="none"/>
                <w:lang w:val="zh-CN"/>
              </w:rPr>
              <w:t>年</w:t>
            </w:r>
            <w:r>
              <w:rPr>
                <w:rFonts w:hint="eastAsia" w:ascii="宋体" w:hAnsi="宋体" w:cs="宋体"/>
                <w:color w:val="auto"/>
                <w:kern w:val="0"/>
                <w:highlight w:val="none"/>
                <w:lang w:val="en-US" w:eastAsia="zh-CN"/>
              </w:rPr>
              <w:t>7</w:t>
            </w:r>
            <w:r>
              <w:rPr>
                <w:rFonts w:hint="eastAsia" w:ascii="宋体" w:hAnsi="宋体" w:eastAsia="宋体" w:cs="宋体"/>
                <w:color w:val="auto"/>
                <w:kern w:val="0"/>
                <w:highlight w:val="none"/>
                <w:lang w:val="zh-CN"/>
              </w:rPr>
              <w:t>月1日以来，供应商参加过相关机构组织的食品检测项目的实验室能力验证或市场监管部门组织的盲样考核，并获得满意结果的，</w:t>
            </w:r>
            <w:r>
              <w:rPr>
                <w:rFonts w:hint="eastAsia" w:ascii="宋体" w:hAnsi="宋体" w:eastAsia="宋体" w:cs="宋体"/>
                <w:color w:val="auto"/>
                <w:kern w:val="0"/>
                <w:highlight w:val="none"/>
              </w:rPr>
              <w:t>具备全部9个领域，得5分；具备8个领域，得3分；具备7个领域，得2分；具备</w:t>
            </w:r>
            <w:r>
              <w:rPr>
                <w:rFonts w:hint="eastAsia" w:ascii="宋体" w:hAnsi="宋体" w:eastAsia="宋体" w:cs="宋体"/>
                <w:color w:val="auto"/>
                <w:kern w:val="0"/>
                <w:highlight w:val="none"/>
                <w:lang w:val="en-US" w:eastAsia="zh-CN"/>
              </w:rPr>
              <w:t>5-6</w:t>
            </w:r>
            <w:r>
              <w:rPr>
                <w:rFonts w:hint="eastAsia" w:ascii="宋体" w:hAnsi="宋体" w:eastAsia="宋体" w:cs="宋体"/>
                <w:color w:val="auto"/>
                <w:kern w:val="0"/>
                <w:highlight w:val="none"/>
              </w:rPr>
              <w:t>个领域，得1分；</w:t>
            </w:r>
            <w:r>
              <w:rPr>
                <w:rFonts w:hint="eastAsia" w:ascii="宋体" w:hAnsi="宋体" w:eastAsia="宋体" w:cs="宋体"/>
                <w:color w:val="auto"/>
                <w:highlight w:val="none"/>
              </w:rPr>
              <w:t>其他</w:t>
            </w:r>
            <w:r>
              <w:rPr>
                <w:rFonts w:hint="eastAsia" w:ascii="宋体" w:hAnsi="宋体" w:eastAsia="宋体" w:cs="宋体"/>
                <w:color w:val="auto"/>
                <w:kern w:val="0"/>
                <w:highlight w:val="none"/>
              </w:rPr>
              <w:t>不得分。（9个领域为：农药残留、兽药残留、重金属、真菌毒素、食品添加剂、非法添加、微生物、营养元素、动物源性成分</w:t>
            </w:r>
            <w:r>
              <w:rPr>
                <w:rFonts w:hint="eastAsia" w:ascii="宋体" w:hAnsi="宋体" w:cs="宋体"/>
                <w:color w:val="auto"/>
                <w:kern w:val="0"/>
                <w:highlight w:val="none"/>
                <w:lang w:val="en-US" w:eastAsia="zh-CN"/>
              </w:rPr>
              <w:t>/转基因成分</w:t>
            </w:r>
            <w:r>
              <w:rPr>
                <w:rFonts w:hint="eastAsia" w:ascii="宋体" w:hAnsi="宋体" w:eastAsia="宋体" w:cs="宋体"/>
                <w:color w:val="auto"/>
                <w:kern w:val="0"/>
                <w:highlight w:val="none"/>
              </w:rPr>
              <w:t>）</w:t>
            </w:r>
          </w:p>
          <w:p w14:paraId="471FAB6B">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rPr>
            </w:pPr>
            <w:r>
              <w:rPr>
                <w:rFonts w:hint="eastAsia" w:ascii="宋体" w:hAnsi="宋体" w:eastAsia="宋体" w:cs="宋体"/>
                <w:b/>
                <w:bCs/>
                <w:color w:val="auto"/>
                <w:kern w:val="0"/>
                <w:highlight w:val="none"/>
                <w:lang w:val="zh-CN"/>
              </w:rPr>
              <w:t>注：</w:t>
            </w:r>
            <w:r>
              <w:rPr>
                <w:rFonts w:hint="eastAsia" w:ascii="宋体" w:hAnsi="宋体" w:eastAsia="宋体" w:cs="宋体"/>
                <w:b/>
                <w:color w:val="auto"/>
                <w:kern w:val="0"/>
                <w:highlight w:val="none"/>
                <w:lang w:val="zh-CN"/>
              </w:rPr>
              <w:t>须</w:t>
            </w:r>
            <w:r>
              <w:rPr>
                <w:rFonts w:hint="eastAsia" w:ascii="宋体" w:hAnsi="宋体" w:eastAsia="宋体" w:cs="宋体"/>
                <w:b/>
                <w:bCs/>
                <w:color w:val="auto"/>
                <w:kern w:val="0"/>
                <w:highlight w:val="none"/>
                <w:lang w:val="zh-CN"/>
              </w:rPr>
              <w:t>提供能力验证报告或证明结果满意的证书复印件，获得不满意结果的或未提供有效证明文件的不得分。</w:t>
            </w:r>
          </w:p>
        </w:tc>
        <w:tc>
          <w:tcPr>
            <w:tcW w:w="414" w:type="pct"/>
            <w:vAlign w:val="center"/>
          </w:tcPr>
          <w:p w14:paraId="6D964A06">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5分</w:t>
            </w:r>
          </w:p>
        </w:tc>
      </w:tr>
      <w:tr w14:paraId="0202B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15DF24CB">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p>
        </w:tc>
        <w:tc>
          <w:tcPr>
            <w:tcW w:w="453" w:type="pct"/>
            <w:vAlign w:val="center"/>
          </w:tcPr>
          <w:p w14:paraId="6D3F75BE">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复检能力</w:t>
            </w:r>
          </w:p>
        </w:tc>
        <w:tc>
          <w:tcPr>
            <w:tcW w:w="3446" w:type="pct"/>
            <w:vAlign w:val="center"/>
          </w:tcPr>
          <w:p w14:paraId="3F525F7F">
            <w:pPr>
              <w:keepNext w:val="0"/>
              <w:keepLines w:val="0"/>
              <w:suppressLineNumbers w:val="0"/>
              <w:autoSpaceDE w:val="0"/>
              <w:autoSpaceDN w:val="0"/>
              <w:adjustRightInd w:val="0"/>
              <w:snapToGrid w:val="0"/>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CN"/>
              </w:rPr>
              <w:t>供应商进入市场监管总局、国家卫生健康委和农业农村部公布的食品复检机构名录的，得</w:t>
            </w: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CN"/>
              </w:rPr>
              <w:t>分。</w:t>
            </w:r>
          </w:p>
          <w:p w14:paraId="5C0EE1E7">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b/>
                <w:bCs/>
                <w:color w:val="auto"/>
                <w:kern w:val="0"/>
                <w:highlight w:val="none"/>
                <w:lang w:val="zh-CN"/>
              </w:rPr>
            </w:pPr>
            <w:r>
              <w:rPr>
                <w:rFonts w:hint="eastAsia" w:ascii="宋体" w:hAnsi="宋体" w:eastAsia="宋体" w:cs="宋体"/>
                <w:b/>
                <w:bCs/>
                <w:color w:val="auto"/>
                <w:kern w:val="0"/>
                <w:highlight w:val="none"/>
                <w:lang w:val="zh-CN"/>
              </w:rPr>
              <w:t>注：</w:t>
            </w:r>
            <w:r>
              <w:rPr>
                <w:rFonts w:hint="eastAsia" w:ascii="宋体" w:hAnsi="宋体" w:eastAsia="宋体" w:cs="宋体"/>
                <w:b/>
                <w:color w:val="auto"/>
                <w:kern w:val="0"/>
                <w:highlight w:val="none"/>
                <w:lang w:val="zh-CN"/>
              </w:rPr>
              <w:t>须</w:t>
            </w:r>
            <w:r>
              <w:rPr>
                <w:rFonts w:hint="eastAsia" w:ascii="宋体" w:hAnsi="宋体" w:eastAsia="宋体" w:cs="宋体"/>
                <w:b/>
                <w:bCs/>
                <w:color w:val="auto"/>
                <w:kern w:val="0"/>
                <w:highlight w:val="none"/>
                <w:lang w:val="zh-CN"/>
              </w:rPr>
              <w:t>提供复检机构证明材料或其</w:t>
            </w:r>
            <w:r>
              <w:rPr>
                <w:rFonts w:hint="eastAsia" w:ascii="宋体" w:hAnsi="宋体" w:eastAsia="宋体" w:cs="宋体"/>
                <w:b/>
                <w:bCs/>
                <w:color w:val="auto"/>
                <w:kern w:val="0"/>
                <w:highlight w:val="none"/>
              </w:rPr>
              <w:t>他</w:t>
            </w:r>
            <w:r>
              <w:rPr>
                <w:rFonts w:hint="eastAsia" w:ascii="宋体" w:hAnsi="宋体" w:eastAsia="宋体" w:cs="宋体"/>
                <w:b/>
                <w:bCs/>
                <w:color w:val="auto"/>
                <w:kern w:val="0"/>
                <w:highlight w:val="none"/>
                <w:lang w:val="zh-CN"/>
              </w:rPr>
              <w:t>有效证明材料。</w:t>
            </w:r>
          </w:p>
          <w:p w14:paraId="0896F242">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2、自202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ascii="宋体" w:hAnsi="宋体" w:cs="宋体"/>
                <w:color w:val="auto"/>
                <w:highlight w:val="none"/>
                <w:lang w:val="en-US" w:eastAsia="zh-CN"/>
              </w:rPr>
              <w:t>7</w:t>
            </w:r>
            <w:r>
              <w:rPr>
                <w:rFonts w:hint="eastAsia" w:ascii="宋体" w:hAnsi="宋体" w:eastAsia="宋体" w:cs="宋体"/>
                <w:color w:val="auto"/>
                <w:highlight w:val="none"/>
              </w:rPr>
              <w:t>月1日以来，累计开展复检的情况（以出具复检报告时间为准）：</w:t>
            </w:r>
          </w:p>
          <w:p w14:paraId="14B1E22D">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食品复检报告量高于</w:t>
            </w:r>
            <w:r>
              <w:rPr>
                <w:rFonts w:hint="eastAsia" w:ascii="宋体" w:hAnsi="宋体" w:cs="宋体"/>
                <w:color w:val="auto"/>
                <w:highlight w:val="none"/>
                <w:lang w:val="en-US" w:eastAsia="zh-CN"/>
              </w:rPr>
              <w:t>40</w:t>
            </w:r>
            <w:r>
              <w:rPr>
                <w:rFonts w:hint="eastAsia" w:ascii="宋体" w:hAnsi="宋体" w:eastAsia="宋体" w:cs="宋体"/>
                <w:color w:val="auto"/>
                <w:highlight w:val="none"/>
              </w:rPr>
              <w:t>（含）</w:t>
            </w:r>
            <w:r>
              <w:rPr>
                <w:rFonts w:hint="eastAsia" w:ascii="宋体" w:hAnsi="宋体" w:eastAsia="宋体" w:cs="宋体"/>
                <w:color w:val="auto"/>
                <w:highlight w:val="none"/>
                <w:lang w:val="zh-CN"/>
              </w:rPr>
              <w:t>份的，得</w:t>
            </w:r>
            <w:r>
              <w:rPr>
                <w:rFonts w:hint="eastAsia" w:ascii="宋体" w:hAnsi="宋体" w:eastAsia="宋体" w:cs="宋体"/>
                <w:color w:val="auto"/>
                <w:highlight w:val="none"/>
              </w:rPr>
              <w:t xml:space="preserve"> 1 </w:t>
            </w:r>
            <w:r>
              <w:rPr>
                <w:rFonts w:hint="eastAsia" w:ascii="宋体" w:hAnsi="宋体" w:eastAsia="宋体" w:cs="宋体"/>
                <w:color w:val="auto"/>
                <w:highlight w:val="none"/>
                <w:lang w:val="zh-CN"/>
              </w:rPr>
              <w:t>分；</w:t>
            </w:r>
          </w:p>
          <w:p w14:paraId="01897B6E">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食品复检报告量为</w:t>
            </w:r>
            <w:r>
              <w:rPr>
                <w:rFonts w:hint="eastAsia" w:ascii="宋体" w:hAnsi="宋体" w:eastAsia="宋体" w:cs="宋体"/>
                <w:color w:val="auto"/>
                <w:highlight w:val="none"/>
              </w:rPr>
              <w:t>20（含）</w:t>
            </w:r>
            <w:r>
              <w:rPr>
                <w:rFonts w:hint="eastAsia" w:ascii="宋体" w:hAnsi="宋体" w:eastAsia="宋体" w:cs="宋体"/>
                <w:color w:val="auto"/>
                <w:highlight w:val="none"/>
                <w:lang w:val="zh-CN"/>
              </w:rPr>
              <w:t>~</w:t>
            </w:r>
            <w:r>
              <w:rPr>
                <w:rFonts w:hint="eastAsia" w:ascii="宋体" w:hAnsi="宋体" w:cs="宋体"/>
                <w:color w:val="auto"/>
                <w:highlight w:val="none"/>
                <w:lang w:val="en-US" w:eastAsia="zh-CN"/>
              </w:rPr>
              <w:t>40</w:t>
            </w:r>
            <w:r>
              <w:rPr>
                <w:rFonts w:hint="eastAsia" w:ascii="宋体" w:hAnsi="宋体" w:eastAsia="宋体" w:cs="宋体"/>
                <w:color w:val="auto"/>
                <w:highlight w:val="none"/>
                <w:lang w:val="zh-CN"/>
              </w:rPr>
              <w:t>份的，得</w:t>
            </w:r>
            <w:r>
              <w:rPr>
                <w:rFonts w:hint="eastAsia" w:ascii="宋体" w:hAnsi="宋体" w:eastAsia="宋体" w:cs="宋体"/>
                <w:color w:val="auto"/>
                <w:highlight w:val="none"/>
              </w:rPr>
              <w:t xml:space="preserve"> 0.5 </w:t>
            </w:r>
            <w:r>
              <w:rPr>
                <w:rFonts w:hint="eastAsia" w:ascii="宋体" w:hAnsi="宋体" w:eastAsia="宋体" w:cs="宋体"/>
                <w:color w:val="auto"/>
                <w:highlight w:val="none"/>
                <w:lang w:val="zh-CN"/>
              </w:rPr>
              <w:t>分；</w:t>
            </w:r>
          </w:p>
          <w:p w14:paraId="1A77770B">
            <w:pPr>
              <w:keepNext w:val="0"/>
              <w:keepLines w:val="0"/>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食品复检报告量</w:t>
            </w:r>
            <w:r>
              <w:rPr>
                <w:rFonts w:hint="eastAsia" w:ascii="宋体" w:hAnsi="宋体" w:eastAsia="宋体" w:cs="宋体"/>
                <w:color w:val="auto"/>
                <w:highlight w:val="none"/>
              </w:rPr>
              <w:t>小于20</w:t>
            </w:r>
            <w:r>
              <w:rPr>
                <w:rFonts w:hint="eastAsia" w:ascii="宋体" w:hAnsi="宋体" w:eastAsia="宋体" w:cs="宋体"/>
                <w:color w:val="auto"/>
                <w:highlight w:val="none"/>
                <w:lang w:val="zh-CN"/>
              </w:rPr>
              <w:t>份的，</w:t>
            </w:r>
            <w:r>
              <w:rPr>
                <w:rFonts w:hint="eastAsia" w:ascii="宋体" w:hAnsi="宋体" w:eastAsia="宋体" w:cs="宋体"/>
                <w:color w:val="auto"/>
                <w:highlight w:val="none"/>
              </w:rPr>
              <w:t>不得分</w:t>
            </w:r>
            <w:r>
              <w:rPr>
                <w:rFonts w:hint="eastAsia" w:ascii="宋体" w:hAnsi="宋体" w:eastAsia="宋体" w:cs="宋体"/>
                <w:color w:val="auto"/>
                <w:kern w:val="0"/>
                <w:szCs w:val="21"/>
                <w:highlight w:val="none"/>
                <w:lang w:val="zh-CN"/>
              </w:rPr>
              <w:t>。</w:t>
            </w:r>
          </w:p>
          <w:p w14:paraId="49591A02">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rPr>
            </w:pPr>
            <w:r>
              <w:rPr>
                <w:rFonts w:hint="eastAsia" w:ascii="宋体" w:hAnsi="宋体" w:eastAsia="宋体" w:cs="宋体"/>
                <w:b/>
                <w:bCs/>
                <w:color w:val="auto"/>
                <w:kern w:val="0"/>
                <w:highlight w:val="none"/>
                <w:lang w:val="zh-CN"/>
              </w:rPr>
              <w:t>注：</w:t>
            </w:r>
            <w:r>
              <w:rPr>
                <w:rFonts w:hint="eastAsia" w:ascii="宋体" w:hAnsi="宋体" w:eastAsia="宋体" w:cs="宋体"/>
                <w:b/>
                <w:color w:val="auto"/>
                <w:kern w:val="0"/>
                <w:highlight w:val="none"/>
                <w:lang w:val="zh-CN"/>
              </w:rPr>
              <w:t>须</w:t>
            </w:r>
            <w:r>
              <w:rPr>
                <w:rFonts w:hint="eastAsia" w:ascii="宋体" w:hAnsi="宋体" w:eastAsia="宋体" w:cs="宋体"/>
                <w:b/>
                <w:bCs/>
                <w:color w:val="auto"/>
                <w:kern w:val="0"/>
                <w:highlight w:val="none"/>
                <w:lang w:val="zh-CN"/>
              </w:rPr>
              <w:t>提供复检报告复印件或其</w:t>
            </w:r>
            <w:r>
              <w:rPr>
                <w:rFonts w:hint="eastAsia" w:ascii="宋体" w:hAnsi="宋体" w:eastAsia="宋体" w:cs="宋体"/>
                <w:b/>
                <w:bCs/>
                <w:color w:val="auto"/>
                <w:kern w:val="0"/>
                <w:highlight w:val="none"/>
              </w:rPr>
              <w:t>他</w:t>
            </w:r>
            <w:r>
              <w:rPr>
                <w:rFonts w:hint="eastAsia" w:ascii="宋体" w:hAnsi="宋体" w:eastAsia="宋体" w:cs="宋体"/>
                <w:b/>
                <w:bCs/>
                <w:color w:val="auto"/>
                <w:kern w:val="0"/>
                <w:highlight w:val="none"/>
                <w:lang w:val="zh-CN"/>
              </w:rPr>
              <w:t>有效证明材料。</w:t>
            </w:r>
          </w:p>
        </w:tc>
        <w:tc>
          <w:tcPr>
            <w:tcW w:w="414" w:type="pct"/>
            <w:vAlign w:val="center"/>
          </w:tcPr>
          <w:p w14:paraId="0031C8C9">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2分</w:t>
            </w:r>
          </w:p>
        </w:tc>
      </w:tr>
      <w:tr w14:paraId="0C866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67926F1F">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p>
        </w:tc>
        <w:tc>
          <w:tcPr>
            <w:tcW w:w="453" w:type="pct"/>
            <w:vAlign w:val="center"/>
          </w:tcPr>
          <w:p w14:paraId="4FE63403">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合格备份样品再利用工作</w:t>
            </w:r>
          </w:p>
        </w:tc>
        <w:tc>
          <w:tcPr>
            <w:tcW w:w="3446" w:type="pct"/>
            <w:vAlign w:val="center"/>
          </w:tcPr>
          <w:p w14:paraId="3AF58264">
            <w:pPr>
              <w:keepNext w:val="0"/>
              <w:keepLines w:val="0"/>
              <w:suppressLineNumbers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自</w:t>
            </w:r>
            <w:r>
              <w:rPr>
                <w:rFonts w:hint="eastAsia" w:ascii="宋体" w:hAnsi="宋体" w:eastAsia="宋体" w:cs="宋体"/>
                <w:color w:val="auto"/>
                <w:kern w:val="0"/>
                <w:highlight w:val="none"/>
              </w:rPr>
              <w:t>202</w:t>
            </w:r>
            <w:r>
              <w:rPr>
                <w:rFonts w:hint="eastAsia" w:ascii="宋体" w:hAnsi="宋体" w:eastAsia="宋体" w:cs="宋体"/>
                <w:color w:val="auto"/>
                <w:kern w:val="0"/>
                <w:highlight w:val="none"/>
                <w:lang w:val="en-US" w:eastAsia="zh-CN"/>
              </w:rPr>
              <w:t>5</w:t>
            </w:r>
            <w:r>
              <w:rPr>
                <w:rFonts w:hint="eastAsia" w:ascii="宋体" w:hAnsi="宋体" w:eastAsia="宋体" w:cs="宋体"/>
                <w:color w:val="auto"/>
                <w:kern w:val="0"/>
                <w:highlight w:val="none"/>
                <w:lang w:val="zh-CN"/>
              </w:rPr>
              <w:t>年</w:t>
            </w:r>
            <w:r>
              <w:rPr>
                <w:rFonts w:hint="eastAsia" w:ascii="宋体" w:hAnsi="宋体" w:cs="宋体"/>
                <w:color w:val="auto"/>
                <w:kern w:val="0"/>
                <w:highlight w:val="none"/>
                <w:lang w:val="en-US" w:eastAsia="zh-CN"/>
              </w:rPr>
              <w:t>7</w:t>
            </w:r>
            <w:r>
              <w:rPr>
                <w:rFonts w:hint="eastAsia" w:ascii="宋体" w:hAnsi="宋体" w:eastAsia="宋体" w:cs="宋体"/>
                <w:color w:val="auto"/>
                <w:kern w:val="0"/>
                <w:highlight w:val="none"/>
                <w:lang w:val="zh-CN"/>
              </w:rPr>
              <w:t>月1日以来，供应商：</w:t>
            </w:r>
          </w:p>
          <w:p w14:paraId="23818C20">
            <w:pPr>
              <w:keepNext w:val="0"/>
              <w:keepLines w:val="0"/>
              <w:suppressLineNumbers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（1）已建立抽检合格备份样品再利用工作制度机制的，得</w:t>
            </w: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CN"/>
              </w:rPr>
              <w:t>分；</w:t>
            </w:r>
          </w:p>
          <w:p w14:paraId="6B04CDB2">
            <w:pPr>
              <w:keepNext w:val="0"/>
              <w:keepLines w:val="0"/>
              <w:suppressLineNumbers w:val="0"/>
              <w:spacing w:before="0" w:beforeAutospacing="0" w:after="0" w:afterAutospacing="0"/>
              <w:ind w:left="0" w:right="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2</w:t>
            </w:r>
            <w:r>
              <w:rPr>
                <w:rFonts w:hint="eastAsia" w:ascii="宋体" w:hAnsi="宋体" w:eastAsia="宋体" w:cs="宋体"/>
                <w:color w:val="auto"/>
                <w:kern w:val="0"/>
                <w:highlight w:val="none"/>
                <w:lang w:val="zh-CN"/>
              </w:rPr>
              <w:t>）开展的合格备份样品再利用工作取得良好社会效果的（如媒体报道、受益方出具的感谢信等），得</w:t>
            </w:r>
            <w:r>
              <w:rPr>
                <w:rFonts w:hint="eastAsia" w:ascii="宋体" w:hAnsi="宋体" w:eastAsia="宋体" w:cs="宋体"/>
                <w:color w:val="auto"/>
                <w:kern w:val="0"/>
                <w:highlight w:val="none"/>
              </w:rPr>
              <w:t>2</w:t>
            </w:r>
            <w:r>
              <w:rPr>
                <w:rFonts w:hint="eastAsia" w:ascii="宋体" w:hAnsi="宋体" w:eastAsia="宋体" w:cs="宋体"/>
                <w:color w:val="auto"/>
                <w:kern w:val="0"/>
                <w:highlight w:val="none"/>
                <w:lang w:val="zh-CN"/>
              </w:rPr>
              <w:t>分；不符合上述要求的，不得分。</w:t>
            </w:r>
          </w:p>
          <w:p w14:paraId="0F6FE761">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rPr>
            </w:pPr>
            <w:r>
              <w:rPr>
                <w:rFonts w:hint="eastAsia" w:ascii="宋体" w:hAnsi="宋体" w:eastAsia="宋体" w:cs="宋体"/>
                <w:b/>
                <w:bCs/>
                <w:color w:val="auto"/>
                <w:kern w:val="0"/>
                <w:highlight w:val="none"/>
              </w:rPr>
              <w:t>注：</w:t>
            </w:r>
            <w:r>
              <w:rPr>
                <w:rFonts w:hint="eastAsia" w:ascii="宋体" w:hAnsi="宋体" w:eastAsia="宋体" w:cs="宋体"/>
                <w:b/>
                <w:bCs/>
                <w:color w:val="auto"/>
                <w:kern w:val="0"/>
                <w:highlight w:val="none"/>
                <w:lang w:val="zh-CN"/>
              </w:rPr>
              <w:t>须提供相关工作制度、开展情况介绍、预包装食品备样再利用率、良好的社会效应等证明材料。备样再利用方式包括捐赠、拍卖、义卖等方式。</w:t>
            </w:r>
          </w:p>
        </w:tc>
        <w:tc>
          <w:tcPr>
            <w:tcW w:w="414" w:type="pct"/>
            <w:vAlign w:val="center"/>
          </w:tcPr>
          <w:p w14:paraId="6849A4E0">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3分</w:t>
            </w:r>
          </w:p>
        </w:tc>
      </w:tr>
      <w:tr w14:paraId="79B3B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0B367342">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p>
        </w:tc>
        <w:tc>
          <w:tcPr>
            <w:tcW w:w="453" w:type="pct"/>
            <w:vAlign w:val="center"/>
          </w:tcPr>
          <w:p w14:paraId="2CE8F02B">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管理制度与工作质量</w:t>
            </w:r>
          </w:p>
        </w:tc>
        <w:tc>
          <w:tcPr>
            <w:tcW w:w="3446" w:type="pct"/>
            <w:vAlign w:val="center"/>
          </w:tcPr>
          <w:p w14:paraId="1EFD4E69">
            <w:pPr>
              <w:pStyle w:val="16"/>
              <w:keepNext w:val="0"/>
              <w:keepLines w:val="0"/>
              <w:suppressLineNumbers w:val="0"/>
              <w:spacing w:before="0" w:beforeAutospacing="0" w:after="0" w:afterAutospacing="0"/>
              <w:ind w:left="0" w:leftChars="0" w:right="0"/>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1、依据《食品安全抽样检验管理办法》等法律法规规章，建立健全相关制度，</w:t>
            </w:r>
            <w:r>
              <w:rPr>
                <w:rFonts w:hint="eastAsia" w:ascii="宋体" w:hAnsi="宋体" w:eastAsia="宋体" w:cs="宋体"/>
                <w:b w:val="0"/>
                <w:color w:val="auto"/>
                <w:position w:val="0"/>
                <w:sz w:val="21"/>
                <w:szCs w:val="24"/>
                <w:highlight w:val="none"/>
                <w:lang w:val="en-US" w:eastAsia="zh-CN"/>
              </w:rPr>
              <w:t>管理制度</w:t>
            </w:r>
            <w:r>
              <w:rPr>
                <w:rFonts w:hint="eastAsia" w:ascii="宋体" w:hAnsi="宋体" w:eastAsia="宋体" w:cs="宋体"/>
                <w:b w:val="0"/>
                <w:color w:val="auto"/>
                <w:position w:val="0"/>
                <w:sz w:val="21"/>
                <w:szCs w:val="24"/>
                <w:highlight w:val="none"/>
              </w:rPr>
              <w:t>具备全部12个</w:t>
            </w:r>
            <w:r>
              <w:rPr>
                <w:rFonts w:hint="eastAsia" w:ascii="宋体" w:hAnsi="宋体" w:eastAsia="宋体" w:cs="宋体"/>
                <w:b w:val="0"/>
                <w:color w:val="auto"/>
                <w:position w:val="0"/>
                <w:sz w:val="21"/>
                <w:szCs w:val="24"/>
                <w:highlight w:val="none"/>
                <w:lang w:val="en-US" w:eastAsia="zh-CN"/>
              </w:rPr>
              <w:t>方面</w:t>
            </w:r>
            <w:r>
              <w:rPr>
                <w:rFonts w:hint="eastAsia" w:ascii="宋体" w:hAnsi="宋体" w:eastAsia="宋体" w:cs="宋体"/>
                <w:b w:val="0"/>
                <w:color w:val="auto"/>
                <w:position w:val="0"/>
                <w:sz w:val="21"/>
                <w:szCs w:val="24"/>
                <w:highlight w:val="none"/>
              </w:rPr>
              <w:t>，得5分；具备10</w:t>
            </w:r>
            <w:r>
              <w:rPr>
                <w:rFonts w:hint="eastAsia" w:ascii="宋体" w:hAnsi="宋体" w:eastAsia="宋体" w:cs="宋体"/>
                <w:b w:val="0"/>
                <w:color w:val="auto"/>
                <w:position w:val="0"/>
                <w:sz w:val="21"/>
                <w:szCs w:val="24"/>
                <w:highlight w:val="none"/>
                <w:lang w:val="en-US" w:eastAsia="zh-CN"/>
              </w:rPr>
              <w:t>-11</w:t>
            </w:r>
            <w:r>
              <w:rPr>
                <w:rFonts w:hint="eastAsia" w:ascii="宋体" w:hAnsi="宋体" w:eastAsia="宋体" w:cs="宋体"/>
                <w:b w:val="0"/>
                <w:color w:val="auto"/>
                <w:position w:val="0"/>
                <w:sz w:val="21"/>
                <w:szCs w:val="24"/>
                <w:highlight w:val="none"/>
              </w:rPr>
              <w:t>个</w:t>
            </w:r>
            <w:r>
              <w:rPr>
                <w:rFonts w:hint="eastAsia" w:ascii="宋体" w:hAnsi="宋体" w:eastAsia="宋体" w:cs="宋体"/>
                <w:b w:val="0"/>
                <w:color w:val="auto"/>
                <w:position w:val="0"/>
                <w:sz w:val="21"/>
                <w:szCs w:val="24"/>
                <w:highlight w:val="none"/>
                <w:lang w:val="en-US" w:eastAsia="zh-CN"/>
              </w:rPr>
              <w:t>方面</w:t>
            </w:r>
            <w:r>
              <w:rPr>
                <w:rFonts w:hint="eastAsia" w:ascii="宋体" w:hAnsi="宋体" w:eastAsia="宋体" w:cs="宋体"/>
                <w:b w:val="0"/>
                <w:color w:val="auto"/>
                <w:position w:val="0"/>
                <w:sz w:val="21"/>
                <w:szCs w:val="24"/>
                <w:highlight w:val="none"/>
              </w:rPr>
              <w:t>，得3分；具备8</w:t>
            </w:r>
            <w:r>
              <w:rPr>
                <w:rFonts w:hint="eastAsia" w:ascii="宋体" w:hAnsi="宋体" w:eastAsia="宋体" w:cs="宋体"/>
                <w:b w:val="0"/>
                <w:color w:val="auto"/>
                <w:position w:val="0"/>
                <w:sz w:val="21"/>
                <w:szCs w:val="24"/>
                <w:highlight w:val="none"/>
                <w:lang w:val="en-US" w:eastAsia="zh-CN"/>
              </w:rPr>
              <w:t>-9</w:t>
            </w:r>
            <w:r>
              <w:rPr>
                <w:rFonts w:hint="eastAsia" w:ascii="宋体" w:hAnsi="宋体" w:eastAsia="宋体" w:cs="宋体"/>
                <w:b w:val="0"/>
                <w:color w:val="auto"/>
                <w:position w:val="0"/>
                <w:sz w:val="21"/>
                <w:szCs w:val="24"/>
                <w:highlight w:val="none"/>
              </w:rPr>
              <w:t>个</w:t>
            </w:r>
            <w:r>
              <w:rPr>
                <w:rFonts w:hint="eastAsia" w:ascii="宋体" w:hAnsi="宋体" w:eastAsia="宋体" w:cs="宋体"/>
                <w:b w:val="0"/>
                <w:color w:val="auto"/>
                <w:position w:val="0"/>
                <w:sz w:val="21"/>
                <w:szCs w:val="24"/>
                <w:highlight w:val="none"/>
                <w:lang w:val="en-US" w:eastAsia="zh-CN"/>
              </w:rPr>
              <w:t>方面</w:t>
            </w:r>
            <w:r>
              <w:rPr>
                <w:rFonts w:hint="eastAsia" w:ascii="宋体" w:hAnsi="宋体" w:eastAsia="宋体" w:cs="宋体"/>
                <w:b w:val="0"/>
                <w:color w:val="auto"/>
                <w:position w:val="0"/>
                <w:sz w:val="21"/>
                <w:szCs w:val="24"/>
                <w:highlight w:val="none"/>
              </w:rPr>
              <w:t>，得1分；其他不得分。（12个</w:t>
            </w:r>
            <w:r>
              <w:rPr>
                <w:rFonts w:hint="eastAsia" w:ascii="宋体" w:hAnsi="宋体" w:eastAsia="宋体" w:cs="宋体"/>
                <w:b w:val="0"/>
                <w:color w:val="auto"/>
                <w:position w:val="0"/>
                <w:sz w:val="21"/>
                <w:szCs w:val="24"/>
                <w:highlight w:val="none"/>
                <w:lang w:val="en-US" w:eastAsia="zh-CN"/>
              </w:rPr>
              <w:t>方面</w:t>
            </w:r>
            <w:r>
              <w:rPr>
                <w:rFonts w:hint="eastAsia" w:ascii="宋体" w:hAnsi="宋体" w:eastAsia="宋体" w:cs="宋体"/>
                <w:b w:val="0"/>
                <w:color w:val="auto"/>
                <w:position w:val="0"/>
                <w:sz w:val="21"/>
                <w:szCs w:val="24"/>
                <w:highlight w:val="none"/>
              </w:rPr>
              <w:t>为：抽样管理、人员管理、培训、样品管理、复验、信息报送、保密、回避、检验责任追究、档案管理、食品安全舆情应急检验预案、食品安全风险信息报送等制度）</w:t>
            </w:r>
          </w:p>
          <w:p w14:paraId="1CA378AB">
            <w:pPr>
              <w:pStyle w:val="16"/>
              <w:keepNext w:val="0"/>
              <w:keepLines w:val="0"/>
              <w:suppressLineNumbers w:val="0"/>
              <w:spacing w:before="0" w:beforeAutospacing="0" w:after="0" w:afterAutospacing="0"/>
              <w:ind w:left="0" w:leftChars="0" w:right="0"/>
              <w:rPr>
                <w:rFonts w:hint="eastAsia" w:ascii="宋体" w:hAnsi="宋体" w:eastAsia="宋体" w:cs="宋体"/>
                <w:color w:val="auto"/>
                <w:highlight w:val="none"/>
              </w:rPr>
            </w:pPr>
            <w:r>
              <w:rPr>
                <w:rFonts w:hint="eastAsia" w:ascii="宋体" w:hAnsi="宋体" w:eastAsia="宋体" w:cs="宋体"/>
                <w:color w:val="auto"/>
                <w:sz w:val="21"/>
                <w:szCs w:val="21"/>
                <w:highlight w:val="none"/>
              </w:rPr>
              <w:t>注：须提供相关有效证明材料。</w:t>
            </w:r>
          </w:p>
          <w:p w14:paraId="17C88793">
            <w:pPr>
              <w:pStyle w:val="16"/>
              <w:keepNext w:val="0"/>
              <w:keepLines w:val="0"/>
              <w:numPr>
                <w:ilvl w:val="-1"/>
                <w:numId w:val="0"/>
              </w:numPr>
              <w:suppressLineNumbers w:val="0"/>
              <w:spacing w:before="0" w:beforeAutospacing="0" w:after="0" w:afterAutospacing="0"/>
              <w:ind w:left="0" w:leftChars="0" w:right="0"/>
              <w:rPr>
                <w:rFonts w:hint="eastAsia" w:ascii="宋体" w:hAnsi="宋体" w:eastAsia="宋体" w:cs="宋体"/>
                <w:b w:val="0"/>
                <w:color w:val="auto"/>
                <w:position w:val="0"/>
                <w:sz w:val="21"/>
                <w:szCs w:val="24"/>
                <w:highlight w:val="none"/>
                <w:lang w:val="en-US" w:eastAsia="zh-CN"/>
              </w:rPr>
            </w:pPr>
            <w:r>
              <w:rPr>
                <w:rFonts w:hint="eastAsia" w:ascii="宋体" w:hAnsi="宋体" w:eastAsia="宋体" w:cs="宋体"/>
                <w:b w:val="0"/>
                <w:color w:val="auto"/>
                <w:position w:val="0"/>
                <w:sz w:val="21"/>
                <w:szCs w:val="24"/>
                <w:highlight w:val="none"/>
                <w:lang w:val="en-US" w:eastAsia="zh-CN"/>
              </w:rPr>
              <w:t>2、</w:t>
            </w:r>
            <w:r>
              <w:rPr>
                <w:rFonts w:hint="eastAsia" w:ascii="宋体" w:hAnsi="宋体" w:eastAsia="宋体" w:cs="宋体"/>
                <w:b w:val="0"/>
                <w:color w:val="auto"/>
                <w:position w:val="0"/>
                <w:sz w:val="21"/>
                <w:szCs w:val="24"/>
                <w:highlight w:val="none"/>
              </w:rPr>
              <w:t>对管理制度落实和</w:t>
            </w:r>
            <w:r>
              <w:rPr>
                <w:rFonts w:hint="eastAsia" w:ascii="宋体" w:hAnsi="宋体" w:eastAsia="宋体" w:cs="宋体"/>
                <w:b w:val="0"/>
                <w:color w:val="auto"/>
                <w:position w:val="0"/>
                <w:sz w:val="21"/>
                <w:szCs w:val="24"/>
                <w:highlight w:val="none"/>
                <w:lang w:val="en-US" w:eastAsia="zh-CN"/>
              </w:rPr>
              <w:t>工作</w:t>
            </w:r>
            <w:r>
              <w:rPr>
                <w:rFonts w:hint="eastAsia" w:ascii="宋体" w:hAnsi="宋体" w:eastAsia="宋体" w:cs="宋体"/>
                <w:b w:val="0"/>
                <w:color w:val="auto"/>
                <w:position w:val="0"/>
                <w:sz w:val="21"/>
                <w:szCs w:val="24"/>
                <w:highlight w:val="none"/>
              </w:rPr>
              <w:t>执行情况</w:t>
            </w:r>
            <w:r>
              <w:rPr>
                <w:rFonts w:hint="eastAsia" w:ascii="宋体" w:hAnsi="宋体" w:eastAsia="宋体" w:cs="宋体"/>
                <w:b w:val="0"/>
                <w:color w:val="auto"/>
                <w:position w:val="0"/>
                <w:sz w:val="21"/>
                <w:szCs w:val="24"/>
                <w:highlight w:val="none"/>
                <w:lang w:val="en-US" w:eastAsia="zh-CN"/>
              </w:rPr>
              <w:t>进行评分</w:t>
            </w:r>
          </w:p>
          <w:p w14:paraId="65A276AF">
            <w:pPr>
              <w:pStyle w:val="16"/>
              <w:keepNext w:val="0"/>
              <w:keepLines w:val="0"/>
              <w:numPr>
                <w:ilvl w:val="-1"/>
                <w:numId w:val="0"/>
              </w:numPr>
              <w:suppressLineNumbers w:val="0"/>
              <w:spacing w:before="0" w:beforeAutospacing="0" w:after="0" w:afterAutospacing="0"/>
              <w:ind w:left="0" w:leftChars="0" w:right="0"/>
              <w:rPr>
                <w:rFonts w:hint="eastAsia" w:ascii="宋体" w:hAnsi="宋体" w:eastAsia="宋体" w:cs="宋体"/>
                <w:b w:val="0"/>
                <w:color w:val="auto"/>
                <w:position w:val="0"/>
                <w:sz w:val="21"/>
                <w:szCs w:val="24"/>
                <w:highlight w:val="none"/>
                <w:lang w:eastAsia="zh-CN"/>
              </w:rPr>
            </w:pPr>
            <w:r>
              <w:rPr>
                <w:rFonts w:hint="eastAsia" w:ascii="宋体" w:hAnsi="宋体" w:eastAsia="宋体" w:cs="宋体"/>
                <w:b w:val="0"/>
                <w:color w:val="auto"/>
                <w:position w:val="0"/>
                <w:sz w:val="21"/>
                <w:szCs w:val="24"/>
                <w:highlight w:val="none"/>
              </w:rPr>
              <w:t>管理制度落实和</w:t>
            </w:r>
            <w:r>
              <w:rPr>
                <w:rFonts w:hint="eastAsia" w:ascii="宋体" w:hAnsi="宋体" w:eastAsia="宋体" w:cs="宋体"/>
                <w:b w:val="0"/>
                <w:color w:val="auto"/>
                <w:position w:val="0"/>
                <w:sz w:val="21"/>
                <w:szCs w:val="24"/>
                <w:highlight w:val="none"/>
                <w:lang w:val="en-US" w:eastAsia="zh-CN"/>
              </w:rPr>
              <w:t>工作</w:t>
            </w:r>
            <w:r>
              <w:rPr>
                <w:rFonts w:hint="eastAsia" w:ascii="宋体" w:hAnsi="宋体" w:eastAsia="宋体" w:cs="宋体"/>
                <w:b w:val="0"/>
                <w:color w:val="auto"/>
                <w:position w:val="0"/>
                <w:sz w:val="21"/>
                <w:szCs w:val="24"/>
                <w:highlight w:val="none"/>
              </w:rPr>
              <w:t>执行情况包括但不限于管理制度执行情况，工作执行情况，工作质量通报情况</w:t>
            </w:r>
            <w:r>
              <w:rPr>
                <w:rFonts w:hint="eastAsia" w:ascii="宋体" w:hAnsi="宋体" w:eastAsia="宋体" w:cs="宋体"/>
                <w:b w:val="0"/>
                <w:color w:val="auto"/>
                <w:position w:val="0"/>
                <w:sz w:val="21"/>
                <w:szCs w:val="24"/>
                <w:highlight w:val="none"/>
                <w:lang w:eastAsia="zh-CN"/>
              </w:rPr>
              <w:t>。</w:t>
            </w:r>
          </w:p>
          <w:p w14:paraId="78FE05B4">
            <w:pPr>
              <w:pStyle w:val="16"/>
              <w:keepNext w:val="0"/>
              <w:keepLines w:val="0"/>
              <w:numPr>
                <w:ilvl w:val="255"/>
                <w:numId w:val="0"/>
              </w:numPr>
              <w:suppressLineNumbers w:val="0"/>
              <w:spacing w:before="0" w:beforeAutospacing="0" w:after="0" w:afterAutospacing="0"/>
              <w:ind w:right="0"/>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（1）管理制度内容齐全、与现行法律法规一致，工作执行情况好，</w:t>
            </w:r>
            <w:r>
              <w:rPr>
                <w:rFonts w:hint="eastAsia" w:hAnsi="宋体" w:cs="宋体"/>
                <w:b w:val="0"/>
                <w:color w:val="auto"/>
                <w:position w:val="0"/>
                <w:sz w:val="21"/>
                <w:szCs w:val="24"/>
                <w:highlight w:val="none"/>
                <w:lang w:val="en-US" w:eastAsia="zh-CN"/>
              </w:rPr>
              <w:t>完全</w:t>
            </w:r>
            <w:r>
              <w:rPr>
                <w:rFonts w:hint="eastAsia" w:ascii="宋体" w:hAnsi="宋体" w:eastAsia="宋体" w:cs="宋体"/>
                <w:b w:val="0"/>
                <w:color w:val="auto"/>
                <w:position w:val="0"/>
                <w:sz w:val="21"/>
                <w:szCs w:val="24"/>
                <w:highlight w:val="none"/>
              </w:rPr>
              <w:t>落实相关管理制度</w:t>
            </w:r>
            <w:r>
              <w:rPr>
                <w:rFonts w:hint="eastAsia" w:hAnsi="宋体" w:cs="宋体"/>
                <w:b w:val="0"/>
                <w:color w:val="auto"/>
                <w:position w:val="0"/>
                <w:sz w:val="21"/>
                <w:szCs w:val="24"/>
                <w:highlight w:val="none"/>
                <w:lang w:eastAsia="zh-CN"/>
              </w:rPr>
              <w:t>，</w:t>
            </w:r>
            <w:r>
              <w:rPr>
                <w:rFonts w:hint="eastAsia" w:ascii="宋体" w:hAnsi="宋体" w:eastAsia="宋体" w:cs="宋体"/>
                <w:b w:val="0"/>
                <w:color w:val="auto"/>
                <w:position w:val="0"/>
                <w:sz w:val="21"/>
                <w:szCs w:val="24"/>
                <w:highlight w:val="none"/>
              </w:rPr>
              <w:t>得</w:t>
            </w:r>
            <w:r>
              <w:rPr>
                <w:rFonts w:hint="eastAsia" w:ascii="宋体" w:hAnsi="宋体" w:eastAsia="宋体" w:cs="宋体"/>
                <w:b w:val="0"/>
                <w:color w:val="auto"/>
                <w:position w:val="0"/>
                <w:sz w:val="21"/>
                <w:szCs w:val="24"/>
                <w:highlight w:val="none"/>
                <w:lang w:val="en-US" w:eastAsia="zh-CN"/>
              </w:rPr>
              <w:t>5</w:t>
            </w:r>
            <w:r>
              <w:rPr>
                <w:rFonts w:hint="eastAsia" w:ascii="宋体" w:hAnsi="宋体" w:eastAsia="宋体" w:cs="宋体"/>
                <w:b w:val="0"/>
                <w:color w:val="auto"/>
                <w:position w:val="0"/>
                <w:sz w:val="21"/>
                <w:szCs w:val="24"/>
                <w:highlight w:val="none"/>
              </w:rPr>
              <w:t>分；</w:t>
            </w:r>
          </w:p>
          <w:p w14:paraId="347B4E71">
            <w:pPr>
              <w:pStyle w:val="16"/>
              <w:keepNext w:val="0"/>
              <w:keepLines w:val="0"/>
              <w:numPr>
                <w:ilvl w:val="255"/>
                <w:numId w:val="0"/>
              </w:numPr>
              <w:suppressLineNumbers w:val="0"/>
              <w:spacing w:before="0" w:beforeAutospacing="0" w:after="0" w:afterAutospacing="0"/>
              <w:ind w:right="0"/>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（2）管理制度内容较齐全，与现行法律法规</w:t>
            </w:r>
            <w:r>
              <w:rPr>
                <w:rFonts w:hint="eastAsia" w:hAnsi="宋体" w:cs="宋体"/>
                <w:b w:val="0"/>
                <w:color w:val="auto"/>
                <w:position w:val="0"/>
                <w:sz w:val="21"/>
                <w:szCs w:val="24"/>
                <w:highlight w:val="none"/>
                <w:lang w:val="en-US" w:eastAsia="zh-CN"/>
              </w:rPr>
              <w:t>较</w:t>
            </w:r>
            <w:r>
              <w:rPr>
                <w:rFonts w:hint="eastAsia" w:ascii="宋体" w:hAnsi="宋体" w:eastAsia="宋体" w:cs="宋体"/>
                <w:b w:val="0"/>
                <w:color w:val="auto"/>
                <w:position w:val="0"/>
                <w:sz w:val="21"/>
                <w:szCs w:val="24"/>
                <w:highlight w:val="none"/>
              </w:rPr>
              <w:t>一致，工作执行情况</w:t>
            </w:r>
            <w:r>
              <w:rPr>
                <w:rFonts w:hint="eastAsia" w:ascii="宋体" w:hAnsi="宋体" w:eastAsia="宋体" w:cs="宋体"/>
                <w:b w:val="0"/>
                <w:color w:val="auto"/>
                <w:position w:val="0"/>
                <w:sz w:val="21"/>
                <w:szCs w:val="24"/>
                <w:highlight w:val="none"/>
                <w:lang w:val="en-US" w:eastAsia="zh-CN"/>
              </w:rPr>
              <w:t>较</w:t>
            </w:r>
            <w:r>
              <w:rPr>
                <w:rFonts w:hint="eastAsia" w:ascii="宋体" w:hAnsi="宋体" w:eastAsia="宋体" w:cs="宋体"/>
                <w:b w:val="0"/>
                <w:color w:val="auto"/>
                <w:position w:val="0"/>
                <w:sz w:val="21"/>
                <w:szCs w:val="24"/>
                <w:highlight w:val="none"/>
              </w:rPr>
              <w:t>好，</w:t>
            </w:r>
            <w:r>
              <w:rPr>
                <w:rFonts w:hint="eastAsia" w:hAnsi="宋体" w:cs="宋体"/>
                <w:b w:val="0"/>
                <w:color w:val="auto"/>
                <w:position w:val="0"/>
                <w:sz w:val="21"/>
                <w:szCs w:val="24"/>
                <w:highlight w:val="none"/>
                <w:lang w:val="en-US" w:eastAsia="zh-CN"/>
              </w:rPr>
              <w:t>较好落实相关管理制度</w:t>
            </w:r>
            <w:r>
              <w:rPr>
                <w:rFonts w:hint="eastAsia" w:hAnsi="宋体" w:cs="宋体"/>
                <w:b w:val="0"/>
                <w:color w:val="auto"/>
                <w:position w:val="0"/>
                <w:sz w:val="21"/>
                <w:szCs w:val="24"/>
                <w:highlight w:val="none"/>
                <w:lang w:eastAsia="zh-CN"/>
              </w:rPr>
              <w:t>，</w:t>
            </w:r>
            <w:r>
              <w:rPr>
                <w:rFonts w:hint="eastAsia" w:ascii="宋体" w:hAnsi="宋体" w:eastAsia="宋体" w:cs="宋体"/>
                <w:b w:val="0"/>
                <w:color w:val="auto"/>
                <w:position w:val="0"/>
                <w:sz w:val="21"/>
                <w:szCs w:val="24"/>
                <w:highlight w:val="none"/>
              </w:rPr>
              <w:t>得</w:t>
            </w:r>
            <w:r>
              <w:rPr>
                <w:rFonts w:hint="eastAsia" w:ascii="宋体" w:hAnsi="宋体" w:eastAsia="宋体" w:cs="宋体"/>
                <w:b w:val="0"/>
                <w:color w:val="auto"/>
                <w:position w:val="0"/>
                <w:sz w:val="21"/>
                <w:szCs w:val="24"/>
                <w:highlight w:val="none"/>
                <w:lang w:val="en-US" w:eastAsia="zh-CN"/>
              </w:rPr>
              <w:t>3</w:t>
            </w:r>
            <w:r>
              <w:rPr>
                <w:rFonts w:hint="eastAsia" w:ascii="宋体" w:hAnsi="宋体" w:eastAsia="宋体" w:cs="宋体"/>
                <w:b w:val="0"/>
                <w:color w:val="auto"/>
                <w:position w:val="0"/>
                <w:sz w:val="21"/>
                <w:szCs w:val="24"/>
                <w:highlight w:val="none"/>
              </w:rPr>
              <w:t>分；</w:t>
            </w:r>
          </w:p>
          <w:p w14:paraId="136E78E2">
            <w:pPr>
              <w:pStyle w:val="16"/>
              <w:keepNext w:val="0"/>
              <w:keepLines w:val="0"/>
              <w:numPr>
                <w:ilvl w:val="255"/>
                <w:numId w:val="0"/>
              </w:numPr>
              <w:suppressLineNumbers w:val="0"/>
              <w:spacing w:before="0" w:beforeAutospacing="0" w:after="0" w:afterAutospacing="0"/>
              <w:ind w:right="0"/>
              <w:rPr>
                <w:rFonts w:hint="eastAsia" w:ascii="宋体" w:hAnsi="宋体" w:eastAsia="宋体" w:cs="宋体"/>
                <w:b w:val="0"/>
                <w:color w:val="auto"/>
                <w:position w:val="0"/>
                <w:sz w:val="21"/>
                <w:szCs w:val="24"/>
                <w:highlight w:val="none"/>
                <w:lang w:val="en-US" w:eastAsia="zh-CN"/>
              </w:rPr>
            </w:pPr>
            <w:r>
              <w:rPr>
                <w:rFonts w:hint="eastAsia" w:ascii="宋体" w:hAnsi="宋体" w:eastAsia="宋体" w:cs="宋体"/>
                <w:b w:val="0"/>
                <w:color w:val="auto"/>
                <w:position w:val="0"/>
                <w:sz w:val="21"/>
                <w:szCs w:val="24"/>
                <w:highlight w:val="none"/>
              </w:rPr>
              <w:t>（3）管理制度内容</w:t>
            </w:r>
            <w:r>
              <w:rPr>
                <w:rFonts w:hint="eastAsia" w:hAnsi="宋体" w:cs="宋体"/>
                <w:b w:val="0"/>
                <w:color w:val="auto"/>
                <w:position w:val="0"/>
                <w:sz w:val="21"/>
                <w:szCs w:val="24"/>
                <w:highlight w:val="none"/>
                <w:lang w:val="en-US" w:eastAsia="zh-CN"/>
              </w:rPr>
              <w:t>基本</w:t>
            </w:r>
            <w:r>
              <w:rPr>
                <w:rFonts w:hint="eastAsia" w:ascii="宋体" w:hAnsi="宋体" w:eastAsia="宋体" w:cs="宋体"/>
                <w:b w:val="0"/>
                <w:color w:val="auto"/>
                <w:position w:val="0"/>
                <w:sz w:val="21"/>
                <w:szCs w:val="24"/>
                <w:highlight w:val="none"/>
              </w:rPr>
              <w:t>齐全，与现行法律法规</w:t>
            </w:r>
            <w:r>
              <w:rPr>
                <w:rFonts w:hint="eastAsia" w:hAnsi="宋体" w:cs="宋体"/>
                <w:b w:val="0"/>
                <w:color w:val="auto"/>
                <w:position w:val="0"/>
                <w:sz w:val="21"/>
                <w:szCs w:val="24"/>
                <w:highlight w:val="none"/>
                <w:lang w:val="en-US" w:eastAsia="zh-CN"/>
              </w:rPr>
              <w:t>基本</w:t>
            </w:r>
            <w:r>
              <w:rPr>
                <w:rFonts w:hint="eastAsia" w:ascii="宋体" w:hAnsi="宋体" w:eastAsia="宋体" w:cs="宋体"/>
                <w:b w:val="0"/>
                <w:color w:val="auto"/>
                <w:position w:val="0"/>
                <w:sz w:val="21"/>
                <w:szCs w:val="24"/>
                <w:highlight w:val="none"/>
              </w:rPr>
              <w:t>一致</w:t>
            </w:r>
            <w:r>
              <w:rPr>
                <w:rFonts w:hint="eastAsia" w:ascii="宋体" w:hAnsi="宋体" w:eastAsia="宋体" w:cs="宋体"/>
                <w:b w:val="0"/>
                <w:color w:val="auto"/>
                <w:position w:val="0"/>
                <w:sz w:val="21"/>
                <w:szCs w:val="24"/>
                <w:highlight w:val="none"/>
                <w:lang w:eastAsia="zh-CN"/>
              </w:rPr>
              <w:t>，</w:t>
            </w:r>
            <w:r>
              <w:rPr>
                <w:rFonts w:hint="eastAsia" w:ascii="宋体" w:hAnsi="宋体" w:eastAsia="宋体" w:cs="宋体"/>
                <w:b w:val="0"/>
                <w:color w:val="auto"/>
                <w:position w:val="0"/>
                <w:sz w:val="21"/>
                <w:szCs w:val="24"/>
                <w:highlight w:val="none"/>
              </w:rPr>
              <w:t>工作</w:t>
            </w:r>
            <w:r>
              <w:rPr>
                <w:rFonts w:hint="eastAsia" w:ascii="宋体" w:hAnsi="宋体" w:eastAsia="宋体" w:cs="宋体"/>
                <w:b w:val="0"/>
                <w:color w:val="auto"/>
                <w:position w:val="0"/>
                <w:sz w:val="21"/>
                <w:szCs w:val="24"/>
                <w:highlight w:val="none"/>
                <w:lang w:val="en-US" w:eastAsia="zh-CN"/>
              </w:rPr>
              <w:t>执行情况</w:t>
            </w:r>
            <w:r>
              <w:rPr>
                <w:rFonts w:hint="eastAsia" w:hAnsi="宋体" w:cs="宋体"/>
                <w:b w:val="0"/>
                <w:color w:val="auto"/>
                <w:position w:val="0"/>
                <w:sz w:val="21"/>
                <w:szCs w:val="24"/>
                <w:highlight w:val="none"/>
                <w:lang w:val="en-US" w:eastAsia="zh-CN"/>
              </w:rPr>
              <w:t>一般，基本</w:t>
            </w:r>
            <w:r>
              <w:rPr>
                <w:rFonts w:hint="eastAsia" w:ascii="宋体" w:hAnsi="宋体" w:eastAsia="宋体" w:cs="宋体"/>
                <w:b w:val="0"/>
                <w:color w:val="auto"/>
                <w:position w:val="0"/>
                <w:sz w:val="21"/>
                <w:szCs w:val="24"/>
                <w:highlight w:val="none"/>
              </w:rPr>
              <w:t>落实相关管理制度</w:t>
            </w:r>
            <w:r>
              <w:rPr>
                <w:rFonts w:hint="eastAsia" w:ascii="宋体" w:hAnsi="宋体" w:eastAsia="宋体" w:cs="宋体"/>
                <w:b w:val="0"/>
                <w:color w:val="auto"/>
                <w:position w:val="0"/>
                <w:sz w:val="21"/>
                <w:szCs w:val="24"/>
                <w:highlight w:val="none"/>
                <w:lang w:eastAsia="zh-CN"/>
              </w:rPr>
              <w:t>，</w:t>
            </w:r>
            <w:r>
              <w:rPr>
                <w:rFonts w:hint="eastAsia" w:ascii="宋体" w:hAnsi="宋体" w:eastAsia="宋体" w:cs="宋体"/>
                <w:b w:val="0"/>
                <w:color w:val="auto"/>
                <w:position w:val="0"/>
                <w:sz w:val="21"/>
                <w:szCs w:val="24"/>
                <w:highlight w:val="none"/>
                <w:lang w:val="en-US" w:eastAsia="zh-CN"/>
              </w:rPr>
              <w:t>得1分；</w:t>
            </w:r>
          </w:p>
          <w:p w14:paraId="1C44211D">
            <w:pPr>
              <w:pStyle w:val="16"/>
              <w:keepNext w:val="0"/>
              <w:keepLines w:val="0"/>
              <w:numPr>
                <w:ilvl w:val="255"/>
                <w:numId w:val="0"/>
              </w:numPr>
              <w:suppressLineNumbers w:val="0"/>
              <w:spacing w:before="0" w:beforeAutospacing="0" w:after="0" w:afterAutospacing="0"/>
              <w:ind w:right="0"/>
              <w:rPr>
                <w:rFonts w:hint="eastAsia" w:ascii="宋体" w:hAnsi="宋体" w:eastAsia="宋体" w:cs="宋体"/>
                <w:color w:val="auto"/>
                <w:highlight w:val="none"/>
              </w:rPr>
            </w:pPr>
            <w:r>
              <w:rPr>
                <w:rFonts w:hint="eastAsia" w:ascii="宋体" w:hAnsi="宋体" w:eastAsia="宋体" w:cs="宋体"/>
                <w:b w:val="0"/>
                <w:color w:val="auto"/>
                <w:position w:val="0"/>
                <w:sz w:val="21"/>
                <w:szCs w:val="24"/>
                <w:highlight w:val="none"/>
              </w:rPr>
              <w:t>（</w:t>
            </w:r>
            <w:r>
              <w:rPr>
                <w:rFonts w:hint="eastAsia" w:ascii="宋体" w:hAnsi="宋体" w:eastAsia="宋体" w:cs="宋体"/>
                <w:b w:val="0"/>
                <w:color w:val="auto"/>
                <w:position w:val="0"/>
                <w:sz w:val="21"/>
                <w:szCs w:val="24"/>
                <w:highlight w:val="none"/>
                <w:lang w:val="en-US" w:eastAsia="zh-CN"/>
              </w:rPr>
              <w:t>4</w:t>
            </w:r>
            <w:r>
              <w:rPr>
                <w:rFonts w:hint="eastAsia" w:ascii="宋体" w:hAnsi="宋体" w:eastAsia="宋体" w:cs="宋体"/>
                <w:b w:val="0"/>
                <w:color w:val="auto"/>
                <w:position w:val="0"/>
                <w:sz w:val="21"/>
                <w:szCs w:val="24"/>
                <w:highlight w:val="none"/>
              </w:rPr>
              <w:t>）</w:t>
            </w:r>
            <w:r>
              <w:rPr>
                <w:rFonts w:hint="eastAsia" w:ascii="宋体" w:hAnsi="宋体" w:eastAsia="宋体" w:cs="宋体"/>
                <w:b w:val="0"/>
                <w:color w:val="auto"/>
                <w:position w:val="0"/>
                <w:sz w:val="21"/>
                <w:szCs w:val="24"/>
                <w:highlight w:val="none"/>
                <w:lang w:val="en-US" w:eastAsia="zh-CN"/>
              </w:rPr>
              <w:t>未提供</w:t>
            </w:r>
            <w:r>
              <w:rPr>
                <w:rFonts w:hint="eastAsia" w:ascii="宋体" w:hAnsi="宋体" w:eastAsia="宋体" w:cs="宋体"/>
                <w:b w:val="0"/>
                <w:color w:val="auto"/>
                <w:position w:val="0"/>
                <w:sz w:val="21"/>
                <w:szCs w:val="24"/>
                <w:highlight w:val="none"/>
              </w:rPr>
              <w:t>管理制度落实和</w:t>
            </w:r>
            <w:r>
              <w:rPr>
                <w:rFonts w:hint="eastAsia" w:ascii="宋体" w:hAnsi="宋体" w:eastAsia="宋体" w:cs="宋体"/>
                <w:b w:val="0"/>
                <w:color w:val="auto"/>
                <w:position w:val="0"/>
                <w:sz w:val="21"/>
                <w:szCs w:val="24"/>
                <w:highlight w:val="none"/>
                <w:lang w:val="en-US" w:eastAsia="zh-CN"/>
              </w:rPr>
              <w:t>工作</w:t>
            </w:r>
            <w:r>
              <w:rPr>
                <w:rFonts w:hint="eastAsia" w:ascii="宋体" w:hAnsi="宋体" w:eastAsia="宋体" w:cs="宋体"/>
                <w:b w:val="0"/>
                <w:color w:val="auto"/>
                <w:position w:val="0"/>
                <w:sz w:val="21"/>
                <w:szCs w:val="24"/>
                <w:highlight w:val="none"/>
              </w:rPr>
              <w:t>执行情况或在上一年度在承担食品安全抽检任务中，有因工作质量问题被通报的情况的不得分。</w:t>
            </w:r>
          </w:p>
        </w:tc>
        <w:tc>
          <w:tcPr>
            <w:tcW w:w="414" w:type="pct"/>
            <w:vAlign w:val="center"/>
          </w:tcPr>
          <w:p w14:paraId="1447BD5F">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10分</w:t>
            </w:r>
          </w:p>
        </w:tc>
      </w:tr>
      <w:tr w14:paraId="4F655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2EE9127C">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p>
        </w:tc>
        <w:tc>
          <w:tcPr>
            <w:tcW w:w="453" w:type="pct"/>
            <w:vAlign w:val="center"/>
          </w:tcPr>
          <w:p w14:paraId="12B7CEF6">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快速响应服务时效</w:t>
            </w:r>
          </w:p>
        </w:tc>
        <w:tc>
          <w:tcPr>
            <w:tcW w:w="3446" w:type="pct"/>
            <w:vAlign w:val="center"/>
          </w:tcPr>
          <w:p w14:paraId="625A7864">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根据供应商在出现突发状况时到达</w:t>
            </w:r>
            <w:r>
              <w:rPr>
                <w:rFonts w:hint="eastAsia" w:ascii="宋体" w:hAnsi="宋体" w:cs="宋体"/>
                <w:color w:val="auto"/>
                <w:highlight w:val="none"/>
                <w:lang w:val="en-US" w:eastAsia="zh-CN"/>
              </w:rPr>
              <w:t>采购人</w:t>
            </w:r>
            <w:r>
              <w:rPr>
                <w:rFonts w:hint="eastAsia" w:ascii="宋体" w:hAnsi="宋体" w:eastAsia="宋体" w:cs="宋体"/>
                <w:color w:val="auto"/>
                <w:highlight w:val="none"/>
              </w:rPr>
              <w:t>所在地时间进行评分。</w:t>
            </w:r>
          </w:p>
          <w:p w14:paraId="71621243">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2 小时内及时响应到达采购人所在地开展工作的，得 4 分；</w:t>
            </w:r>
          </w:p>
          <w:p w14:paraId="75C0101F">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cs="宋体"/>
                <w:color w:val="auto"/>
                <w:highlight w:val="none"/>
                <w:lang w:val="en-US" w:eastAsia="zh-CN"/>
              </w:rPr>
              <w:t>3</w:t>
            </w:r>
            <w:r>
              <w:rPr>
                <w:rFonts w:hint="eastAsia" w:ascii="宋体" w:hAnsi="宋体" w:eastAsia="宋体" w:cs="宋体"/>
                <w:color w:val="auto"/>
                <w:highlight w:val="none"/>
              </w:rPr>
              <w:t xml:space="preserve"> 小时内及时响应到达采购人所在地开展工作的，得 3 分；</w:t>
            </w:r>
          </w:p>
          <w:p w14:paraId="2E2F56D4">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cs="宋体"/>
                <w:color w:val="auto"/>
                <w:highlight w:val="none"/>
                <w:lang w:val="en-US" w:eastAsia="zh-CN"/>
              </w:rPr>
              <w:t>4</w:t>
            </w:r>
            <w:r>
              <w:rPr>
                <w:rFonts w:hint="eastAsia" w:ascii="宋体" w:hAnsi="宋体" w:eastAsia="宋体" w:cs="宋体"/>
                <w:color w:val="auto"/>
                <w:highlight w:val="none"/>
              </w:rPr>
              <w:t xml:space="preserve"> 小时内及时响应到达采购人所在地开展工作的，得 2 分；</w:t>
            </w:r>
          </w:p>
          <w:p w14:paraId="4F209C97">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cs="宋体"/>
                <w:color w:val="auto"/>
                <w:highlight w:val="none"/>
                <w:lang w:val="en-US" w:eastAsia="zh-CN"/>
              </w:rPr>
              <w:t>5</w:t>
            </w:r>
            <w:r>
              <w:rPr>
                <w:rFonts w:hint="eastAsia" w:ascii="宋体" w:hAnsi="宋体" w:eastAsia="宋体" w:cs="宋体"/>
                <w:color w:val="auto"/>
                <w:highlight w:val="none"/>
              </w:rPr>
              <w:t xml:space="preserve"> 小时内及时响应到达采购人所在地开展工作的，得 1 分；</w:t>
            </w:r>
          </w:p>
          <w:p w14:paraId="67FB16C8">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不符合上述要求的，不得分。</w:t>
            </w:r>
          </w:p>
          <w:p w14:paraId="410D4F26">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rPr>
            </w:pPr>
            <w:r>
              <w:rPr>
                <w:rFonts w:hint="eastAsia" w:ascii="宋体" w:hAnsi="宋体" w:eastAsia="宋体" w:cs="宋体"/>
                <w:color w:val="auto"/>
                <w:highlight w:val="none"/>
              </w:rPr>
              <w:t>注：供应商须提交以供应商实验室为起点至采购人所在地为终点（江苏省南京市鼓楼区草场门大街107号）的全部行程导航截图，</w:t>
            </w:r>
            <w:r>
              <w:rPr>
                <w:rFonts w:hint="eastAsia" w:ascii="宋体" w:hAnsi="宋体" w:eastAsia="宋体" w:cs="宋体"/>
                <w:b/>
                <w:color w:val="auto"/>
                <w:highlight w:val="none"/>
              </w:rPr>
              <w:t>若更换交通工具，须分段截图</w:t>
            </w:r>
            <w:r>
              <w:rPr>
                <w:rFonts w:hint="eastAsia" w:ascii="宋体" w:hAnsi="宋体" w:eastAsia="宋体" w:cs="宋体"/>
                <w:color w:val="auto"/>
                <w:highlight w:val="none"/>
              </w:rPr>
              <w:t>，行程方式包括飞机、火车、汽车等。此外，在供应商已提供的导航截图及时间信息基础上，针对飞机、火车等不同交通方式，将分别增加额外的时间成本，具体为：飞机增加1小时，火车增加0.5小时，以覆盖机场候机、火车站候车的时间成本。</w:t>
            </w:r>
          </w:p>
        </w:tc>
        <w:tc>
          <w:tcPr>
            <w:tcW w:w="414" w:type="pct"/>
            <w:vAlign w:val="center"/>
          </w:tcPr>
          <w:p w14:paraId="541363D0">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4分</w:t>
            </w:r>
          </w:p>
        </w:tc>
      </w:tr>
      <w:tr w14:paraId="15A39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056BFA1F">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p>
        </w:tc>
        <w:tc>
          <w:tcPr>
            <w:tcW w:w="453" w:type="pct"/>
            <w:vAlign w:val="center"/>
          </w:tcPr>
          <w:p w14:paraId="645E71F7">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实施方案</w:t>
            </w:r>
          </w:p>
        </w:tc>
        <w:tc>
          <w:tcPr>
            <w:tcW w:w="3446" w:type="pct"/>
            <w:vAlign w:val="center"/>
          </w:tcPr>
          <w:p w14:paraId="52BBE128">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根据供应商实施方案进行评分。</w:t>
            </w:r>
          </w:p>
          <w:p w14:paraId="145EB67A">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实施方案应包括但不限于任务理解分析、人员分工和培训、工作进度、质量控制及保密、结果报送、工作考核等各项内容。</w:t>
            </w:r>
          </w:p>
          <w:p w14:paraId="44F55046">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（1）实施方案内容完整，科学有效，创新性、可操作性强，得 10 分；</w:t>
            </w:r>
          </w:p>
          <w:p w14:paraId="23362457">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（2）实施方案内容较完整，较科学，较有效，可操作性较强，得 6 分；</w:t>
            </w:r>
          </w:p>
          <w:p w14:paraId="59965526">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（3）实施方案内容完整性、科学性、有效性有欠缺，可操作性不强，得 3 分；</w:t>
            </w:r>
          </w:p>
          <w:p w14:paraId="4823D229">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（4）实施方案内容不完整，可操作性差的得 1 分；</w:t>
            </w:r>
          </w:p>
          <w:p w14:paraId="59D12DE8">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（5）其他或未提供的不得分。</w:t>
            </w:r>
          </w:p>
        </w:tc>
        <w:tc>
          <w:tcPr>
            <w:tcW w:w="414" w:type="pct"/>
            <w:vAlign w:val="center"/>
          </w:tcPr>
          <w:p w14:paraId="11E5A7B5">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10分</w:t>
            </w:r>
          </w:p>
        </w:tc>
      </w:tr>
      <w:tr w14:paraId="75C62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62E4989A">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p>
        </w:tc>
        <w:tc>
          <w:tcPr>
            <w:tcW w:w="453" w:type="pct"/>
            <w:vAlign w:val="center"/>
          </w:tcPr>
          <w:p w14:paraId="48058498">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突发事件应急处置预案</w:t>
            </w:r>
          </w:p>
        </w:tc>
        <w:tc>
          <w:tcPr>
            <w:tcW w:w="3446" w:type="pct"/>
            <w:vAlign w:val="center"/>
          </w:tcPr>
          <w:p w14:paraId="35C14B39">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根据供应商突发事件应急处置预案进行评分。</w:t>
            </w:r>
          </w:p>
          <w:p w14:paraId="7EB3117A">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突发事件应急处置预案包括抽检过程中可能遇到的各类突发情况，以及对应的应急解决处置措施</w:t>
            </w:r>
          </w:p>
          <w:p w14:paraId="482DE3EB">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（1）预案内容全面，处置应对措施科学有效，可操作性强，得10分；</w:t>
            </w:r>
          </w:p>
          <w:p w14:paraId="53E158F3">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（2）预案内容较全面，处置应对措施较科学，较有效，可操作性较强，得6分；</w:t>
            </w:r>
          </w:p>
          <w:p w14:paraId="104896F5">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（3）预案内容不全面，处置应对措施科学性、有效性有欠缺，可操作性不强，得3分；</w:t>
            </w:r>
          </w:p>
          <w:p w14:paraId="6CB79E33">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highlight w:val="none"/>
              </w:rPr>
            </w:pPr>
            <w:r>
              <w:rPr>
                <w:rFonts w:hint="eastAsia" w:ascii="宋体" w:hAnsi="宋体" w:eastAsia="宋体" w:cs="宋体"/>
                <w:color w:val="auto"/>
                <w:highlight w:val="none"/>
              </w:rPr>
              <w:t>（4）预案内容不完整，可操作性差的得1分；</w:t>
            </w:r>
          </w:p>
          <w:p w14:paraId="6A051F82">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kern w:val="0"/>
                <w:highlight w:val="none"/>
              </w:rPr>
            </w:pPr>
            <w:r>
              <w:rPr>
                <w:rFonts w:hint="eastAsia" w:ascii="宋体" w:hAnsi="宋体" w:eastAsia="宋体" w:cs="宋体"/>
                <w:color w:val="auto"/>
                <w:highlight w:val="none"/>
              </w:rPr>
              <w:t>（5）预案不符合服务要求及未提供方案的不得分。</w:t>
            </w:r>
          </w:p>
        </w:tc>
        <w:tc>
          <w:tcPr>
            <w:tcW w:w="414" w:type="pct"/>
            <w:vAlign w:val="center"/>
          </w:tcPr>
          <w:p w14:paraId="6B0F5F14">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10分</w:t>
            </w:r>
          </w:p>
        </w:tc>
      </w:tr>
      <w:tr w14:paraId="2E908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0F348D00">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p>
        </w:tc>
        <w:tc>
          <w:tcPr>
            <w:tcW w:w="453" w:type="pct"/>
            <w:vAlign w:val="center"/>
          </w:tcPr>
          <w:p w14:paraId="26CEC727">
            <w:pPr>
              <w:keepNext w:val="0"/>
              <w:keepLines w:val="0"/>
              <w:suppressLineNumbers w:val="0"/>
              <w:autoSpaceDE w:val="0"/>
              <w:autoSpaceDN w:val="0"/>
              <w:adjustRightInd w:val="0"/>
              <w:snapToGrid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分析</w:t>
            </w:r>
          </w:p>
          <w:p w14:paraId="08C184FA">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szCs w:val="21"/>
                <w:highlight w:val="none"/>
              </w:rPr>
              <w:t>报告</w:t>
            </w:r>
          </w:p>
        </w:tc>
        <w:tc>
          <w:tcPr>
            <w:tcW w:w="3446" w:type="pct"/>
            <w:vAlign w:val="center"/>
          </w:tcPr>
          <w:p w14:paraId="1B911504">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highlight w:val="none"/>
              </w:rPr>
            </w:pPr>
            <w:r>
              <w:rPr>
                <w:rFonts w:hint="eastAsia" w:ascii="宋体" w:hAnsi="宋体" w:eastAsia="宋体" w:cs="宋体"/>
                <w:color w:val="auto"/>
                <w:highlight w:val="none"/>
              </w:rPr>
              <w:t>根据供应商上一年度（202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ascii="宋体" w:hAnsi="宋体" w:cs="宋体"/>
                <w:color w:val="auto"/>
                <w:highlight w:val="none"/>
                <w:lang w:val="en-US" w:eastAsia="zh-CN"/>
              </w:rPr>
              <w:t>7月1日以来</w:t>
            </w:r>
            <w:r>
              <w:rPr>
                <w:rFonts w:hint="eastAsia" w:ascii="宋体" w:hAnsi="宋体" w:eastAsia="宋体" w:cs="宋体"/>
                <w:color w:val="auto"/>
                <w:highlight w:val="none"/>
              </w:rPr>
              <w:t>）分析报告进行评分。</w:t>
            </w:r>
          </w:p>
          <w:p w14:paraId="7B01B894">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highlight w:val="none"/>
              </w:rPr>
            </w:pPr>
            <w:r>
              <w:rPr>
                <w:rFonts w:hint="eastAsia" w:ascii="宋体" w:hAnsi="宋体" w:eastAsia="宋体" w:cs="宋体"/>
                <w:color w:val="auto"/>
                <w:highlight w:val="none"/>
              </w:rPr>
              <w:t>分析报告应包括但不限于任务抽检情况、结果分析、风险警示、工作建议等方面内容。</w:t>
            </w:r>
          </w:p>
          <w:p w14:paraId="2D09D597">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highlight w:val="none"/>
              </w:rPr>
            </w:pPr>
            <w:r>
              <w:rPr>
                <w:rFonts w:hint="eastAsia" w:ascii="宋体" w:hAnsi="宋体" w:eastAsia="宋体" w:cs="宋体"/>
                <w:color w:val="auto"/>
                <w:highlight w:val="none"/>
              </w:rPr>
              <w:t>（1）分析报告内容全面、表述通俗易懂、风险提示清晰明确、建议切实可行，得 5 分；</w:t>
            </w:r>
          </w:p>
          <w:p w14:paraId="35D7B997">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highlight w:val="none"/>
              </w:rPr>
            </w:pPr>
            <w:r>
              <w:rPr>
                <w:rFonts w:hint="eastAsia" w:ascii="宋体" w:hAnsi="宋体" w:eastAsia="宋体" w:cs="宋体"/>
                <w:color w:val="auto"/>
                <w:highlight w:val="none"/>
              </w:rPr>
              <w:t>（2）分析报告内容相对全面、表述较通俗、风险提示较明确、建议较可行，得 4 分；</w:t>
            </w:r>
          </w:p>
          <w:p w14:paraId="12391735">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highlight w:val="none"/>
              </w:rPr>
            </w:pPr>
            <w:r>
              <w:rPr>
                <w:rFonts w:hint="eastAsia" w:ascii="宋体" w:hAnsi="宋体" w:eastAsia="宋体" w:cs="宋体"/>
                <w:color w:val="auto"/>
                <w:highlight w:val="none"/>
              </w:rPr>
              <w:t>（3）分析报告内容存在不足、表述难理解、风险提示模糊不明、建议缺乏可行性，得 3 分；</w:t>
            </w:r>
          </w:p>
          <w:p w14:paraId="47178C6D">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highlight w:val="none"/>
              </w:rPr>
            </w:pPr>
            <w:r>
              <w:rPr>
                <w:rFonts w:hint="eastAsia" w:ascii="宋体" w:hAnsi="宋体" w:eastAsia="宋体" w:cs="宋体"/>
                <w:color w:val="auto"/>
                <w:highlight w:val="none"/>
              </w:rPr>
              <w:t>（4）分析报告内容严重不足、表述混乱、风险提示不明确、建议不可行，得 1 分；</w:t>
            </w:r>
          </w:p>
          <w:p w14:paraId="7A1727E7">
            <w:pPr>
              <w:keepNext w:val="0"/>
              <w:keepLines w:val="0"/>
              <w:suppressLineNumbers w:val="0"/>
              <w:snapToGrid w:val="0"/>
              <w:spacing w:before="0" w:beforeAutospacing="0" w:after="0" w:afterAutospacing="0" w:line="320" w:lineRule="exact"/>
              <w:ind w:left="0" w:right="0"/>
              <w:jc w:val="left"/>
              <w:rPr>
                <w:rFonts w:hint="eastAsia" w:ascii="宋体" w:hAnsi="宋体" w:eastAsia="宋体" w:cs="宋体"/>
                <w:color w:val="auto"/>
                <w:highlight w:val="none"/>
              </w:rPr>
            </w:pPr>
            <w:r>
              <w:rPr>
                <w:rFonts w:hint="eastAsia" w:ascii="宋体" w:hAnsi="宋体" w:eastAsia="宋体" w:cs="宋体"/>
                <w:color w:val="auto"/>
                <w:highlight w:val="none"/>
              </w:rPr>
              <w:t>（5）其他或未提供的不得分。</w:t>
            </w:r>
          </w:p>
        </w:tc>
        <w:tc>
          <w:tcPr>
            <w:tcW w:w="414" w:type="pct"/>
            <w:vAlign w:val="center"/>
          </w:tcPr>
          <w:p w14:paraId="2A558390">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5分</w:t>
            </w:r>
          </w:p>
        </w:tc>
      </w:tr>
      <w:tr w14:paraId="28E3B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6" w:type="pct"/>
            <w:vMerge w:val="continue"/>
            <w:vAlign w:val="center"/>
          </w:tcPr>
          <w:p w14:paraId="72644D88">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p>
        </w:tc>
        <w:tc>
          <w:tcPr>
            <w:tcW w:w="453" w:type="pct"/>
            <w:vAlign w:val="center"/>
          </w:tcPr>
          <w:p w14:paraId="683BB317">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szCs w:val="21"/>
                <w:highlight w:val="none"/>
                <w:lang w:val="en-US" w:eastAsia="zh-CN"/>
              </w:rPr>
              <w:t>检测能力</w:t>
            </w:r>
          </w:p>
        </w:tc>
        <w:tc>
          <w:tcPr>
            <w:tcW w:w="3446" w:type="pct"/>
            <w:vAlign w:val="center"/>
          </w:tcPr>
          <w:p w14:paraId="023BB7D2">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自202</w:t>
            </w: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val="en-US" w:eastAsia="zh-CN" w:bidi="ar"/>
              </w:rPr>
              <w:t>年</w:t>
            </w:r>
            <w:r>
              <w:rPr>
                <w:rFonts w:hint="eastAsia" w:ascii="宋体" w:hAnsi="宋体" w:cs="宋体"/>
                <w:color w:val="auto"/>
                <w:kern w:val="0"/>
                <w:sz w:val="21"/>
                <w:szCs w:val="21"/>
                <w:highlight w:val="none"/>
                <w:lang w:val="en-US" w:eastAsia="zh-CN" w:bidi="ar"/>
              </w:rPr>
              <w:t>7</w:t>
            </w:r>
            <w:r>
              <w:rPr>
                <w:rFonts w:hint="eastAsia" w:ascii="宋体" w:hAnsi="宋体" w:eastAsia="宋体" w:cs="宋体"/>
                <w:color w:val="auto"/>
                <w:kern w:val="0"/>
                <w:sz w:val="21"/>
                <w:szCs w:val="21"/>
                <w:highlight w:val="none"/>
                <w:lang w:val="en-US" w:eastAsia="zh-CN" w:bidi="ar"/>
              </w:rPr>
              <w:t>月1日起供应商发现潜在</w:t>
            </w:r>
            <w:r>
              <w:rPr>
                <w:rFonts w:hint="eastAsia" w:ascii="宋体" w:hAnsi="宋体" w:cs="宋体"/>
                <w:color w:val="auto"/>
                <w:kern w:val="0"/>
                <w:szCs w:val="21"/>
                <w:highlight w:val="none"/>
                <w:lang w:bidi="ar"/>
              </w:rPr>
              <w:t>行业性</w:t>
            </w:r>
            <w:r>
              <w:rPr>
                <w:rFonts w:hint="eastAsia" w:ascii="宋体" w:hAnsi="宋体" w:eastAsia="宋体" w:cs="宋体"/>
                <w:color w:val="auto"/>
                <w:kern w:val="0"/>
                <w:sz w:val="21"/>
                <w:szCs w:val="21"/>
                <w:highlight w:val="none"/>
                <w:lang w:val="en-US" w:eastAsia="zh-CN" w:bidi="ar"/>
              </w:rPr>
              <w:t>、区域性食品安全风险隐患，及时向监管部门报告并被采纳的，</w:t>
            </w:r>
            <w:r>
              <w:rPr>
                <w:rFonts w:hint="eastAsia" w:ascii="宋体" w:hAnsi="宋体" w:cs="宋体"/>
                <w:color w:val="auto"/>
                <w:kern w:val="0"/>
                <w:sz w:val="21"/>
                <w:szCs w:val="21"/>
                <w:highlight w:val="none"/>
                <w:lang w:val="en-US" w:eastAsia="zh-CN" w:bidi="ar"/>
              </w:rPr>
              <w:t>每提供1个</w:t>
            </w:r>
            <w:r>
              <w:rPr>
                <w:rFonts w:hint="eastAsia" w:ascii="宋体" w:hAnsi="宋体" w:eastAsia="宋体" w:cs="宋体"/>
                <w:color w:val="auto"/>
                <w:kern w:val="0"/>
                <w:sz w:val="21"/>
                <w:szCs w:val="21"/>
                <w:highlight w:val="none"/>
                <w:lang w:val="en-US" w:eastAsia="zh-CN" w:bidi="ar"/>
              </w:rPr>
              <w:t>得1分</w:t>
            </w:r>
            <w:r>
              <w:rPr>
                <w:rFonts w:hint="eastAsia" w:ascii="宋体" w:hAnsi="宋体" w:cs="宋体"/>
                <w:color w:val="auto"/>
                <w:kern w:val="0"/>
                <w:sz w:val="21"/>
                <w:szCs w:val="21"/>
                <w:highlight w:val="none"/>
                <w:lang w:val="en-US" w:eastAsia="zh-CN" w:bidi="ar"/>
              </w:rPr>
              <w:t>，满分3分</w:t>
            </w:r>
            <w:r>
              <w:rPr>
                <w:rFonts w:hint="eastAsia" w:ascii="宋体" w:hAnsi="宋体" w:eastAsia="宋体" w:cs="宋体"/>
                <w:color w:val="auto"/>
                <w:kern w:val="0"/>
                <w:sz w:val="21"/>
                <w:szCs w:val="21"/>
                <w:highlight w:val="none"/>
                <w:lang w:val="en-US" w:eastAsia="zh-CN" w:bidi="ar"/>
              </w:rPr>
              <w:t>。</w:t>
            </w:r>
          </w:p>
          <w:p w14:paraId="0A6FA21D">
            <w:pPr>
              <w:keepNext w:val="0"/>
              <w:keepLines w:val="0"/>
              <w:widowControl/>
              <w:suppressLineNumbers w:val="0"/>
              <w:snapToGrid/>
              <w:spacing w:before="0" w:beforeAutospacing="0" w:after="0" w:afterAutospacing="0" w:line="240" w:lineRule="auto"/>
              <w:ind w:left="0" w:right="0"/>
              <w:jc w:val="left"/>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不符合上述要求的，不得分。</w:t>
            </w:r>
          </w:p>
          <w:p w14:paraId="4CE14A74">
            <w:pPr>
              <w:keepNext w:val="0"/>
              <w:keepLines w:val="0"/>
              <w:widowControl/>
              <w:suppressLineNumbers w:val="0"/>
              <w:snapToGrid/>
              <w:spacing w:before="0" w:beforeAutospacing="0" w:after="0" w:afterAutospacing="0" w:line="240" w:lineRule="auto"/>
              <w:ind w:left="0" w:right="0"/>
              <w:jc w:val="left"/>
              <w:rPr>
                <w:rFonts w:hint="eastAsia" w:ascii="宋体" w:hAnsi="宋体" w:eastAsia="宋体" w:cs="宋体"/>
                <w:b/>
                <w:bCs/>
                <w:color w:val="auto"/>
                <w:spacing w:val="-3"/>
                <w:highlight w:val="none"/>
              </w:rPr>
            </w:pPr>
            <w:r>
              <w:rPr>
                <w:rFonts w:hint="eastAsia" w:ascii="宋体" w:hAnsi="宋体" w:eastAsia="宋体" w:cs="宋体"/>
                <w:b/>
                <w:bCs/>
                <w:color w:val="auto"/>
                <w:kern w:val="0"/>
                <w:sz w:val="21"/>
                <w:szCs w:val="21"/>
                <w:highlight w:val="none"/>
                <w:lang w:val="en-US" w:eastAsia="zh-CN" w:bidi="ar"/>
              </w:rPr>
              <w:t>注：须提供监管部门出具的相关证明材料。</w:t>
            </w:r>
          </w:p>
        </w:tc>
        <w:tc>
          <w:tcPr>
            <w:tcW w:w="414" w:type="pct"/>
            <w:vAlign w:val="center"/>
          </w:tcPr>
          <w:p w14:paraId="0C445716">
            <w:pPr>
              <w:keepNext w:val="0"/>
              <w:keepLines w:val="0"/>
              <w:suppressLineNumbers w:val="0"/>
              <w:snapToGrid w:val="0"/>
              <w:spacing w:before="0" w:beforeAutospacing="0" w:after="0" w:afterAutospacing="0" w:line="320" w:lineRule="exact"/>
              <w:ind w:left="0" w:right="0"/>
              <w:jc w:val="center"/>
              <w:rPr>
                <w:rFonts w:hint="default" w:ascii="宋体" w:hAnsi="宋体" w:eastAsia="宋体" w:cs="宋体"/>
                <w:color w:val="auto"/>
                <w:kern w:val="0"/>
                <w:highlight w:val="none"/>
                <w:lang w:val="en-US"/>
              </w:rPr>
            </w:pP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lang w:val="en-US" w:eastAsia="zh-CN"/>
              </w:rPr>
              <w:t>分</w:t>
            </w:r>
          </w:p>
        </w:tc>
      </w:tr>
      <w:tr w14:paraId="279A3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2" w:hRule="atLeast"/>
          <w:jc w:val="center"/>
        </w:trPr>
        <w:tc>
          <w:tcPr>
            <w:tcW w:w="686" w:type="pct"/>
            <w:vAlign w:val="center"/>
          </w:tcPr>
          <w:p w14:paraId="3198E97F">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highlight w:val="none"/>
              </w:rPr>
              <w:t>商务部分（</w:t>
            </w:r>
            <w:r>
              <w:rPr>
                <w:rFonts w:hint="eastAsia" w:ascii="宋体" w:hAnsi="宋体" w:cs="宋体"/>
                <w:color w:val="auto"/>
                <w:kern w:val="0"/>
                <w:highlight w:val="none"/>
                <w:lang w:val="en-US" w:eastAsia="zh-CN"/>
              </w:rPr>
              <w:t>8</w:t>
            </w:r>
            <w:r>
              <w:rPr>
                <w:rFonts w:hint="eastAsia" w:ascii="宋体" w:hAnsi="宋体" w:eastAsia="宋体" w:cs="宋体"/>
                <w:color w:val="auto"/>
                <w:kern w:val="0"/>
                <w:highlight w:val="none"/>
              </w:rPr>
              <w:t>分）</w:t>
            </w:r>
          </w:p>
        </w:tc>
        <w:tc>
          <w:tcPr>
            <w:tcW w:w="453" w:type="pct"/>
            <w:vAlign w:val="center"/>
          </w:tcPr>
          <w:p w14:paraId="6F790C6F">
            <w:pPr>
              <w:keepNext w:val="0"/>
              <w:keepLines w:val="0"/>
              <w:suppressLineNumbers w:val="0"/>
              <w:snapToGrid w:val="0"/>
              <w:spacing w:before="0" w:beforeAutospacing="0" w:after="0" w:afterAutospacing="0" w:line="320" w:lineRule="exact"/>
              <w:ind w:left="0" w:right="0"/>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highlight w:val="none"/>
              </w:rPr>
              <w:t>工作业绩</w:t>
            </w:r>
          </w:p>
        </w:tc>
        <w:tc>
          <w:tcPr>
            <w:tcW w:w="3446" w:type="pct"/>
            <w:vAlign w:val="center"/>
          </w:tcPr>
          <w:p w14:paraId="5D3E1BD5">
            <w:pPr>
              <w:keepNext w:val="0"/>
              <w:keepLines w:val="0"/>
              <w:widowControl/>
              <w:suppressLineNumbers w:val="0"/>
              <w:spacing w:before="0" w:beforeAutospacing="0" w:after="0" w:afterAutospacing="0"/>
              <w:ind w:left="0" w:right="0"/>
              <w:jc w:val="left"/>
              <w:rPr>
                <w:rFonts w:hint="eastAsia" w:ascii="宋体" w:hAnsi="宋体" w:eastAsia="宋体" w:cs="宋体"/>
                <w:color w:val="auto"/>
                <w:spacing w:val="-3"/>
                <w:kern w:val="0"/>
                <w:highlight w:val="none"/>
                <w:lang w:val="zh-CN"/>
              </w:rPr>
            </w:pPr>
            <w:r>
              <w:rPr>
                <w:rFonts w:hint="eastAsia" w:ascii="宋体" w:hAnsi="宋体" w:eastAsia="宋体" w:cs="宋体"/>
                <w:color w:val="auto"/>
                <w:spacing w:val="-3"/>
                <w:kern w:val="0"/>
                <w:highlight w:val="none"/>
              </w:rPr>
              <w:t>上一年度</w:t>
            </w:r>
            <w:r>
              <w:rPr>
                <w:rFonts w:hint="eastAsia" w:ascii="宋体" w:hAnsi="宋体" w:eastAsia="宋体" w:cs="宋体"/>
                <w:color w:val="auto"/>
                <w:spacing w:val="-3"/>
                <w:kern w:val="0"/>
                <w:highlight w:val="none"/>
                <w:lang w:val="zh-CN"/>
              </w:rPr>
              <w:t>（</w:t>
            </w:r>
            <w:r>
              <w:rPr>
                <w:rFonts w:hint="eastAsia" w:ascii="宋体" w:hAnsi="宋体" w:eastAsia="宋体" w:cs="宋体"/>
                <w:color w:val="auto"/>
                <w:spacing w:val="-3"/>
                <w:kern w:val="0"/>
                <w:highlight w:val="none"/>
              </w:rPr>
              <w:t>202</w:t>
            </w:r>
            <w:r>
              <w:rPr>
                <w:rFonts w:hint="eastAsia" w:ascii="宋体" w:hAnsi="宋体" w:eastAsia="宋体" w:cs="宋体"/>
                <w:color w:val="auto"/>
                <w:spacing w:val="-3"/>
                <w:kern w:val="0"/>
                <w:highlight w:val="none"/>
                <w:lang w:val="en-US" w:eastAsia="zh-CN"/>
              </w:rPr>
              <w:t>5</w:t>
            </w:r>
            <w:r>
              <w:rPr>
                <w:rFonts w:hint="eastAsia" w:ascii="宋体" w:hAnsi="宋体" w:eastAsia="宋体" w:cs="宋体"/>
                <w:color w:val="auto"/>
                <w:spacing w:val="-3"/>
                <w:kern w:val="0"/>
                <w:highlight w:val="none"/>
              </w:rPr>
              <w:t>年</w:t>
            </w:r>
            <w:r>
              <w:rPr>
                <w:rFonts w:hint="eastAsia" w:ascii="宋体" w:hAnsi="宋体" w:cs="宋体"/>
                <w:color w:val="auto"/>
                <w:spacing w:val="-3"/>
                <w:kern w:val="0"/>
                <w:highlight w:val="none"/>
                <w:lang w:val="en-US" w:eastAsia="zh-CN"/>
              </w:rPr>
              <w:t>7月1日以来</w:t>
            </w:r>
            <w:r>
              <w:rPr>
                <w:rFonts w:hint="eastAsia" w:ascii="宋体" w:hAnsi="宋体" w:eastAsia="宋体" w:cs="宋体"/>
                <w:color w:val="auto"/>
                <w:spacing w:val="-3"/>
                <w:kern w:val="0"/>
                <w:highlight w:val="none"/>
              </w:rPr>
              <w:t>，</w:t>
            </w:r>
            <w:r>
              <w:rPr>
                <w:rFonts w:hint="eastAsia" w:ascii="宋体" w:hAnsi="宋体" w:eastAsia="宋体" w:cs="宋体"/>
                <w:color w:val="auto"/>
                <w:spacing w:val="-3"/>
                <w:kern w:val="0"/>
                <w:highlight w:val="none"/>
                <w:lang w:val="zh-CN"/>
              </w:rPr>
              <w:t>以</w:t>
            </w:r>
            <w:r>
              <w:rPr>
                <w:rFonts w:hint="eastAsia" w:ascii="宋体" w:hAnsi="宋体" w:eastAsia="宋体" w:cs="宋体"/>
                <w:color w:val="auto"/>
                <w:spacing w:val="-3"/>
                <w:kern w:val="0"/>
                <w:highlight w:val="none"/>
              </w:rPr>
              <w:t>委托</w:t>
            </w:r>
            <w:r>
              <w:rPr>
                <w:rFonts w:hint="eastAsia" w:ascii="宋体" w:hAnsi="宋体" w:eastAsia="宋体" w:cs="宋体"/>
                <w:color w:val="auto"/>
                <w:spacing w:val="-3"/>
                <w:kern w:val="0"/>
                <w:highlight w:val="none"/>
                <w:lang w:val="zh-CN"/>
              </w:rPr>
              <w:t>合同签订时间为准），供应商承担过类似本项目的食品安全</w:t>
            </w:r>
            <w:r>
              <w:rPr>
                <w:rFonts w:hint="eastAsia" w:ascii="宋体" w:hAnsi="宋体" w:eastAsia="宋体" w:cs="宋体"/>
                <w:color w:val="auto"/>
                <w:spacing w:val="-3"/>
                <w:kern w:val="0"/>
                <w:highlight w:val="none"/>
              </w:rPr>
              <w:t>抽检监测</w:t>
            </w:r>
            <w:r>
              <w:rPr>
                <w:rFonts w:hint="eastAsia" w:ascii="宋体" w:hAnsi="宋体" w:eastAsia="宋体" w:cs="宋体"/>
                <w:color w:val="auto"/>
                <w:spacing w:val="-3"/>
                <w:kern w:val="0"/>
                <w:highlight w:val="none"/>
                <w:lang w:val="zh-CN"/>
              </w:rPr>
              <w:t>任务</w:t>
            </w:r>
            <w:r>
              <w:rPr>
                <w:rFonts w:hint="eastAsia" w:ascii="宋体" w:hAnsi="宋体" w:eastAsia="宋体" w:cs="宋体"/>
                <w:color w:val="auto"/>
                <w:spacing w:val="-3"/>
                <w:kern w:val="0"/>
                <w:highlight w:val="none"/>
              </w:rPr>
              <w:t>所出具的报告份数</w:t>
            </w:r>
            <w:r>
              <w:rPr>
                <w:rFonts w:hint="eastAsia" w:ascii="宋体" w:hAnsi="宋体" w:eastAsia="宋体" w:cs="宋体"/>
                <w:color w:val="auto"/>
                <w:spacing w:val="-3"/>
                <w:kern w:val="0"/>
                <w:highlight w:val="none"/>
                <w:lang w:val="zh-CN"/>
              </w:rPr>
              <w:t>：</w:t>
            </w:r>
          </w:p>
          <w:p w14:paraId="0AE5F56C">
            <w:pPr>
              <w:keepNext w:val="0"/>
              <w:keepLines w:val="0"/>
              <w:widowControl/>
              <w:suppressLineNumbers w:val="0"/>
              <w:autoSpaceDE/>
              <w:autoSpaceDN/>
              <w:adjustRightInd/>
              <w:snapToGrid/>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rPr>
              <w:t>1、报告份数</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5000份</w:t>
            </w:r>
            <w:r>
              <w:rPr>
                <w:rFonts w:hint="eastAsia" w:ascii="宋体" w:hAnsi="宋体" w:eastAsia="宋体" w:cs="宋体"/>
                <w:color w:val="auto"/>
                <w:kern w:val="0"/>
                <w:highlight w:val="none"/>
                <w:lang w:val="zh-CN"/>
              </w:rPr>
              <w:t>，得</w:t>
            </w:r>
            <w:r>
              <w:rPr>
                <w:rFonts w:hint="eastAsia" w:ascii="宋体" w:hAnsi="宋体" w:eastAsia="宋体" w:cs="宋体"/>
                <w:color w:val="auto"/>
                <w:kern w:val="0"/>
                <w:highlight w:val="none"/>
              </w:rPr>
              <w:t xml:space="preserve"> </w:t>
            </w:r>
            <w:r>
              <w:rPr>
                <w:rFonts w:hint="eastAsia" w:ascii="宋体" w:hAnsi="宋体" w:cs="宋体"/>
                <w:color w:val="auto"/>
                <w:kern w:val="0"/>
                <w:highlight w:val="none"/>
                <w:lang w:val="en-US" w:eastAsia="zh-CN"/>
              </w:rPr>
              <w:t>8</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分</w:t>
            </w:r>
            <w:r>
              <w:rPr>
                <w:rFonts w:hint="eastAsia" w:ascii="宋体" w:hAnsi="宋体" w:cs="宋体"/>
                <w:color w:val="auto"/>
                <w:kern w:val="0"/>
                <w:highlight w:val="none"/>
                <w:lang w:val="zh-CN"/>
              </w:rPr>
              <w:t>；</w:t>
            </w:r>
          </w:p>
          <w:p w14:paraId="0E7C33C8">
            <w:pPr>
              <w:keepNext w:val="0"/>
              <w:keepLines w:val="0"/>
              <w:widowControl/>
              <w:suppressLineNumbers w:val="0"/>
              <w:autoSpaceDE/>
              <w:autoSpaceDN/>
              <w:adjustRightInd/>
              <w:snapToGrid/>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rPr>
              <w:t>2、4000份</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报告份数</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5000份</w:t>
            </w:r>
            <w:r>
              <w:rPr>
                <w:rFonts w:hint="eastAsia" w:ascii="宋体" w:hAnsi="宋体" w:eastAsia="宋体" w:cs="宋体"/>
                <w:color w:val="auto"/>
                <w:kern w:val="0"/>
                <w:highlight w:val="none"/>
                <w:lang w:val="zh-CN"/>
              </w:rPr>
              <w:t>，得</w:t>
            </w:r>
            <w:r>
              <w:rPr>
                <w:rFonts w:hint="eastAsia" w:ascii="宋体" w:hAnsi="宋体" w:eastAsia="宋体" w:cs="宋体"/>
                <w:color w:val="auto"/>
                <w:kern w:val="0"/>
                <w:highlight w:val="none"/>
              </w:rPr>
              <w:t xml:space="preserve"> </w:t>
            </w:r>
            <w:r>
              <w:rPr>
                <w:rFonts w:hint="eastAsia" w:ascii="宋体" w:hAnsi="宋体" w:cs="宋体"/>
                <w:color w:val="auto"/>
                <w:kern w:val="0"/>
                <w:highlight w:val="none"/>
                <w:lang w:val="en-US" w:eastAsia="zh-CN"/>
              </w:rPr>
              <w:t>6</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分；</w:t>
            </w:r>
          </w:p>
          <w:p w14:paraId="279495C1">
            <w:pPr>
              <w:keepNext w:val="0"/>
              <w:keepLines w:val="0"/>
              <w:widowControl/>
              <w:suppressLineNumbers w:val="0"/>
              <w:autoSpaceDE/>
              <w:autoSpaceDN/>
              <w:adjustRightInd/>
              <w:snapToGrid/>
              <w:spacing w:before="0" w:beforeAutospacing="0" w:after="0" w:afterAutospacing="0"/>
              <w:ind w:left="0" w:right="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rPr>
              <w:t>3、3000份</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报告份数</w:t>
            </w: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4000份</w:t>
            </w:r>
            <w:r>
              <w:rPr>
                <w:rFonts w:hint="eastAsia" w:ascii="宋体" w:hAnsi="宋体" w:eastAsia="宋体" w:cs="宋体"/>
                <w:color w:val="auto"/>
                <w:kern w:val="0"/>
                <w:highlight w:val="none"/>
                <w:lang w:val="zh-CN"/>
              </w:rPr>
              <w:t>，得</w:t>
            </w:r>
            <w:r>
              <w:rPr>
                <w:rFonts w:hint="eastAsia" w:ascii="宋体" w:hAnsi="宋体" w:eastAsia="宋体" w:cs="宋体"/>
                <w:color w:val="auto"/>
                <w:kern w:val="0"/>
                <w:highlight w:val="none"/>
              </w:rPr>
              <w:t xml:space="preserve"> </w:t>
            </w:r>
            <w:r>
              <w:rPr>
                <w:rFonts w:hint="eastAsia" w:ascii="宋体" w:hAnsi="宋体" w:cs="宋体"/>
                <w:color w:val="auto"/>
                <w:kern w:val="0"/>
                <w:highlight w:val="none"/>
                <w:lang w:val="en-US" w:eastAsia="zh-CN"/>
              </w:rPr>
              <w:t>4</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分；</w:t>
            </w:r>
          </w:p>
          <w:p w14:paraId="0AE8D767">
            <w:pPr>
              <w:keepNext w:val="0"/>
              <w:keepLines w:val="0"/>
              <w:widowControl/>
              <w:suppressLineNumbers w:val="0"/>
              <w:spacing w:before="0" w:beforeAutospacing="0" w:after="0" w:afterAutospacing="0"/>
              <w:ind w:left="0" w:right="0"/>
              <w:jc w:val="left"/>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4、报告份数＜3000份，不得分。</w:t>
            </w:r>
          </w:p>
          <w:p w14:paraId="7E1385D2">
            <w:pPr>
              <w:keepNext w:val="0"/>
              <w:keepLines w:val="0"/>
              <w:widowControl/>
              <w:suppressLineNumbers w:val="0"/>
              <w:snapToGrid/>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spacing w:val="-3"/>
                <w:highlight w:val="none"/>
              </w:rPr>
              <w:t>注：供应商须提供合同或委托书等证明文件的主要内容页和签字盖章页的复印件，不具备类似业绩或未提供有效证明文件的不得分。</w:t>
            </w:r>
          </w:p>
        </w:tc>
        <w:tc>
          <w:tcPr>
            <w:tcW w:w="414" w:type="pct"/>
            <w:vAlign w:val="center"/>
          </w:tcPr>
          <w:p w14:paraId="750EBC00">
            <w:pPr>
              <w:keepNext w:val="0"/>
              <w:keepLines w:val="0"/>
              <w:suppressLineNumbers w:val="0"/>
              <w:snapToGrid w:val="0"/>
              <w:spacing w:before="0" w:beforeAutospacing="0" w:after="0" w:afterAutospacing="0" w:line="320" w:lineRule="exact"/>
              <w:ind w:left="0" w:right="0"/>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highlight w:val="none"/>
                <w:lang w:val="en-US" w:eastAsia="zh-CN"/>
              </w:rPr>
              <w:t>8</w:t>
            </w:r>
            <w:r>
              <w:rPr>
                <w:rFonts w:hint="eastAsia" w:ascii="宋体" w:hAnsi="宋体" w:eastAsia="宋体" w:cs="宋体"/>
                <w:color w:val="auto"/>
                <w:kern w:val="0"/>
                <w:highlight w:val="none"/>
              </w:rPr>
              <w:t>分</w:t>
            </w:r>
          </w:p>
        </w:tc>
      </w:tr>
    </w:tbl>
    <w:p w14:paraId="6A5728FD">
      <w:pPr>
        <w:rPr>
          <w:rFonts w:hint="eastAsia"/>
          <w:color w:val="auto"/>
          <w:highlight w:val="none"/>
          <w:lang w:val="en-US" w:eastAsia="zh-CN"/>
        </w:rPr>
      </w:pPr>
    </w:p>
    <w:p w14:paraId="6FE761C9">
      <w:pPr>
        <w:spacing w:line="360" w:lineRule="auto"/>
        <w:rPr>
          <w:rFonts w:ascii="Microsoft New Tai Lue" w:hAnsi="Microsoft New Tai Lue" w:cs="Microsoft New Tai Lue"/>
          <w:b/>
          <w:bCs/>
          <w:color w:val="auto"/>
          <w:kern w:val="0"/>
          <w:szCs w:val="21"/>
          <w:highlight w:val="none"/>
        </w:rPr>
      </w:pPr>
      <w:r>
        <w:rPr>
          <w:rFonts w:hint="eastAsia" w:ascii="Microsoft New Tai Lue" w:hAnsi="Microsoft New Tai Lue" w:cs="Microsoft New Tai Lue"/>
          <w:b/>
          <w:bCs/>
          <w:color w:val="auto"/>
          <w:kern w:val="0"/>
          <w:szCs w:val="21"/>
          <w:highlight w:val="none"/>
        </w:rPr>
        <w:t>注：</w:t>
      </w:r>
    </w:p>
    <w:p w14:paraId="4BCBC280">
      <w:pPr>
        <w:tabs>
          <w:tab w:val="left" w:pos="1080"/>
          <w:tab w:val="left" w:pos="1589"/>
        </w:tabs>
        <w:snapToGrid w:val="0"/>
        <w:spacing w:line="360" w:lineRule="auto"/>
        <w:ind w:firstLine="422" w:firstLineChars="200"/>
        <w:rPr>
          <w:rFonts w:hint="eastAsia" w:ascii="Microsoft New Tai Lue" w:hAnsi="Microsoft New Tai Lue" w:eastAsia="宋体" w:cs="Microsoft New Tai Lue"/>
          <w:b/>
          <w:bCs/>
          <w:color w:val="auto"/>
          <w:szCs w:val="21"/>
          <w:highlight w:val="none"/>
          <w:lang w:val="en-US" w:eastAsia="zh-CN"/>
        </w:rPr>
      </w:pPr>
      <w:bookmarkStart w:id="262" w:name="_Toc91836565"/>
      <w:r>
        <w:rPr>
          <w:rFonts w:hint="eastAsia" w:ascii="Microsoft New Tai Lue" w:hAnsi="Microsoft New Tai Lue" w:cs="Microsoft New Tai Lue"/>
          <w:b/>
          <w:bCs/>
          <w:color w:val="auto"/>
          <w:szCs w:val="21"/>
          <w:highlight w:val="none"/>
          <w:lang w:val="en-US" w:eastAsia="zh-CN"/>
        </w:rPr>
        <w:t>1、评分标准中相关证明材料应当清晰可见，模糊的不得分。</w:t>
      </w:r>
    </w:p>
    <w:p w14:paraId="072918E2">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2、</w:t>
      </w:r>
      <w:r>
        <w:rPr>
          <w:rFonts w:ascii="Microsoft New Tai Lue" w:hAnsi="Microsoft New Tai Lue" w:cs="Microsoft New Tai Lue"/>
          <w:color w:val="auto"/>
          <w:szCs w:val="21"/>
          <w:highlight w:val="none"/>
        </w:rPr>
        <w:t>落实政府采购政策的价格调整：符合第二章《投标人须知》</w:t>
      </w:r>
      <w:r>
        <w:rPr>
          <w:rFonts w:hint="eastAsia" w:ascii="Microsoft New Tai Lue" w:hAnsi="Microsoft New Tai Lue" w:cs="Microsoft New Tai Lue"/>
          <w:color w:val="auto"/>
          <w:szCs w:val="21"/>
          <w:highlight w:val="none"/>
        </w:rPr>
        <w:t>4</w:t>
      </w:r>
      <w:r>
        <w:rPr>
          <w:rFonts w:ascii="Microsoft New Tai Lue" w:hAnsi="Microsoft New Tai Lue" w:cs="Microsoft New Tai Lue"/>
          <w:color w:val="auto"/>
          <w:szCs w:val="21"/>
          <w:highlight w:val="none"/>
        </w:rPr>
        <w:t>条规定情形的，可以享受中小企业扶持政策，用扣除后的价格参加评审。</w:t>
      </w:r>
    </w:p>
    <w:p w14:paraId="4E6A812B">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（1）</w:t>
      </w:r>
      <w:r>
        <w:rPr>
          <w:rFonts w:ascii="Microsoft New Tai Lue" w:hAnsi="Microsoft New Tai Lue" w:cs="Microsoft New Tai Lue"/>
          <w:color w:val="auto"/>
          <w:szCs w:val="21"/>
          <w:highlight w:val="none"/>
        </w:rPr>
        <w:t>对于未预留份额专门面向中小企业采购的采购项目，以及预留份额项目中的非预留部分采购包，对小微企业报价给予10%的扣除，用扣除后的价格参加评审。</w:t>
      </w:r>
    </w:p>
    <w:p w14:paraId="09525FCA">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（2）</w:t>
      </w:r>
      <w:r>
        <w:rPr>
          <w:rFonts w:ascii="Microsoft New Tai Lue" w:hAnsi="Microsoft New Tai Lue" w:cs="Microsoft New Tai Lue"/>
          <w:color w:val="auto"/>
          <w:szCs w:val="21"/>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13176779">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（3）</w:t>
      </w:r>
      <w:r>
        <w:rPr>
          <w:rFonts w:ascii="Microsoft New Tai Lue" w:hAnsi="Microsoft New Tai Lue" w:cs="Microsoft New Tai Lue"/>
          <w:color w:val="auto"/>
          <w:szCs w:val="21"/>
          <w:highlight w:val="none"/>
        </w:rPr>
        <w:t>组成联合体或者接受分包的小微企业与联合体内其他企业、分包企业之间存在直接控股、管理关系的，不享受价格扣除优惠政策。</w:t>
      </w:r>
    </w:p>
    <w:p w14:paraId="4CCE3284">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（4）</w:t>
      </w:r>
      <w:r>
        <w:rPr>
          <w:rFonts w:ascii="Microsoft New Tai Lue" w:hAnsi="Microsoft New Tai Lue" w:cs="Microsoft New Tai Lue"/>
          <w:color w:val="auto"/>
          <w:szCs w:val="21"/>
          <w:highlight w:val="none"/>
        </w:rPr>
        <w:t>价格扣除比例对小型企业和微型企业同等对待，不作区分。</w:t>
      </w:r>
    </w:p>
    <w:p w14:paraId="19504337">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（5）</w:t>
      </w:r>
      <w:r>
        <w:rPr>
          <w:rFonts w:ascii="Microsoft New Tai Lue" w:hAnsi="Microsoft New Tai Lue" w:cs="Microsoft New Tai Lue"/>
          <w:color w:val="auto"/>
          <w:szCs w:val="21"/>
          <w:highlight w:val="none"/>
        </w:rPr>
        <w:t>中小企业参加政府采购活动，应当按照招标文件给定的格式出具《中小企业声明函》，否则不得享受相关中小企业扶持政策。</w:t>
      </w:r>
    </w:p>
    <w:p w14:paraId="7B602A31">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（6）</w:t>
      </w:r>
      <w:r>
        <w:rPr>
          <w:rFonts w:ascii="Microsoft New Tai Lue" w:hAnsi="Microsoft New Tai Lue" w:cs="Microsoft New Tai Lue"/>
          <w:color w:val="auto"/>
          <w:szCs w:val="21"/>
          <w:highlight w:val="none"/>
        </w:rPr>
        <w:t>监狱企业提供了由省级以上监狱管理局、戒毒管理局（含新疆生产建设兵团）出具的属于监狱企业的证明文件的，视同小微企业。</w:t>
      </w:r>
    </w:p>
    <w:p w14:paraId="6DBF6611">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（7）</w:t>
      </w:r>
      <w:r>
        <w:rPr>
          <w:rFonts w:ascii="Microsoft New Tai Lue" w:hAnsi="Microsoft New Tai Lue" w:cs="Microsoft New Tai Lue"/>
          <w:color w:val="auto"/>
          <w:szCs w:val="21"/>
          <w:highlight w:val="none"/>
        </w:rPr>
        <w:t>残疾人福利性单位按招标文件要求提供了《残疾人福利性单位声明函》（见附件）的，视同小微企业。</w:t>
      </w:r>
    </w:p>
    <w:p w14:paraId="608CAB7B">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（8）</w:t>
      </w:r>
      <w:r>
        <w:rPr>
          <w:rFonts w:ascii="Microsoft New Tai Lue" w:hAnsi="Microsoft New Tai Lue" w:cs="Microsoft New Tai Lue"/>
          <w:color w:val="auto"/>
          <w:szCs w:val="21"/>
          <w:highlight w:val="none"/>
        </w:rPr>
        <w:t>若投标人同时属于小型或微型企业、监狱企业、残疾人福利性单位中的两种及以上，将不重复享受小微企业价格扣减的优惠政策。</w:t>
      </w:r>
    </w:p>
    <w:p w14:paraId="5DCCCC1D">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（9）</w:t>
      </w:r>
      <w:r>
        <w:rPr>
          <w:rFonts w:ascii="Microsoft New Tai Lue" w:hAnsi="Microsoft New Tai Lue" w:cs="Microsoft New Tai Lue"/>
          <w:color w:val="auto"/>
          <w:szCs w:val="21"/>
          <w:highlight w:val="none"/>
        </w:rPr>
        <w:t>非政府强制采购的节能产品或环境标志产品，依据品目清单和认证证书实施政府优先采购。优先采购的具体规定（如涉及）__</w:t>
      </w:r>
      <w:r>
        <w:rPr>
          <w:rFonts w:hint="eastAsia" w:ascii="Microsoft New Tai Lue" w:hAnsi="Microsoft New Tai Lue" w:cs="Microsoft New Tai Lue"/>
          <w:color w:val="auto"/>
          <w:szCs w:val="21"/>
          <w:highlight w:val="none"/>
          <w:u w:val="single"/>
        </w:rPr>
        <w:t>/</w:t>
      </w:r>
      <w:r>
        <w:rPr>
          <w:rFonts w:ascii="Microsoft New Tai Lue" w:hAnsi="Microsoft New Tai Lue" w:cs="Microsoft New Tai Lue"/>
          <w:color w:val="auto"/>
          <w:szCs w:val="21"/>
          <w:highlight w:val="none"/>
        </w:rPr>
        <w:t>___。</w:t>
      </w:r>
    </w:p>
    <w:p w14:paraId="3A4C1EA9">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en-US" w:eastAsia="zh-CN"/>
        </w:rPr>
        <w:t>（10）</w:t>
      </w:r>
      <w:r>
        <w:rPr>
          <w:rFonts w:ascii="Microsoft New Tai Lue" w:hAnsi="Microsoft New Tai Lue" w:cs="Microsoft New Tai Lue"/>
          <w:color w:val="auto"/>
          <w:szCs w:val="21"/>
          <w:highlight w:val="none"/>
        </w:rPr>
        <w:t>关于无线局域网认证产品政府采购清单中的产品，优先采购的具体规定（如涉及）__</w:t>
      </w:r>
      <w:r>
        <w:rPr>
          <w:rFonts w:hint="eastAsia" w:ascii="Microsoft New Tai Lue" w:hAnsi="Microsoft New Tai Lue" w:cs="Microsoft New Tai Lue"/>
          <w:color w:val="auto"/>
          <w:szCs w:val="21"/>
          <w:highlight w:val="none"/>
          <w:u w:val="single"/>
        </w:rPr>
        <w:t>/</w:t>
      </w:r>
      <w:r>
        <w:rPr>
          <w:rFonts w:ascii="Microsoft New Tai Lue" w:hAnsi="Microsoft New Tai Lue" w:cs="Microsoft New Tai Lue"/>
          <w:color w:val="auto"/>
          <w:szCs w:val="21"/>
          <w:highlight w:val="none"/>
        </w:rPr>
        <w:t>___。</w:t>
      </w:r>
    </w:p>
    <w:p w14:paraId="5DAE275E">
      <w:pPr>
        <w:pStyle w:val="32"/>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r>
      <w:bookmarkStart w:id="263" w:name="_Toc107246273"/>
      <w:r>
        <w:rPr>
          <w:rFonts w:ascii="Microsoft New Tai Lue" w:hAnsi="Microsoft New Tai Lue" w:cs="Microsoft New Tai Lue"/>
          <w:color w:val="auto"/>
          <w:highlight w:val="none"/>
        </w:rPr>
        <w:t xml:space="preserve">第六章 </w:t>
      </w:r>
      <w:bookmarkEnd w:id="262"/>
      <w:r>
        <w:rPr>
          <w:rFonts w:hint="eastAsia" w:ascii="Microsoft New Tai Lue" w:hAnsi="Microsoft New Tai Lue" w:cs="Microsoft New Tai Lue"/>
          <w:color w:val="auto"/>
          <w:highlight w:val="none"/>
        </w:rPr>
        <w:t>投标文件格式</w:t>
      </w:r>
      <w:bookmarkEnd w:id="263"/>
    </w:p>
    <w:p w14:paraId="42E8C97C">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注：请</w:t>
      </w:r>
      <w:r>
        <w:rPr>
          <w:rFonts w:hint="eastAsia" w:ascii="Microsoft New Tai Lue" w:hAnsi="Microsoft New Tai Lue" w:cs="Microsoft New Tai Lue"/>
          <w:b/>
          <w:bCs/>
          <w:color w:val="auto"/>
          <w:highlight w:val="none"/>
        </w:rPr>
        <w:t>供应商</w:t>
      </w:r>
      <w:r>
        <w:rPr>
          <w:rFonts w:ascii="Microsoft New Tai Lue" w:hAnsi="Microsoft New Tai Lue" w:cs="Microsoft New Tai Lue"/>
          <w:b/>
          <w:bCs/>
          <w:color w:val="auto"/>
          <w:highlight w:val="none"/>
        </w:rPr>
        <w:t>按照以下文件的要求格式、内容，顺序制作投标文件，并请编制目录及页码，否则可能将影响对投标文件的评价。</w:t>
      </w:r>
    </w:p>
    <w:p w14:paraId="6F6EBFD3">
      <w:pPr>
        <w:pStyle w:val="77"/>
        <w:shd w:val="clear" w:color="auto" w:fill="FFFFFF"/>
        <w:spacing w:line="265" w:lineRule="atLeast"/>
        <w:ind w:firstLine="0" w:firstLineChars="0"/>
        <w:rPr>
          <w:rFonts w:ascii="Microsoft New Tai Lue" w:hAnsi="Microsoft New Tai Lue" w:eastAsia="宋体" w:cs="Microsoft New Tai Lue"/>
          <w:b/>
          <w:color w:val="auto"/>
          <w:sz w:val="24"/>
          <w:highlight w:val="none"/>
        </w:rPr>
      </w:pPr>
    </w:p>
    <w:p w14:paraId="6CE86638">
      <w:pPr>
        <w:spacing w:before="100" w:after="100" w:line="360" w:lineRule="auto"/>
        <w:jc w:val="left"/>
        <w:rPr>
          <w:rFonts w:ascii="Microsoft New Tai Lue" w:hAnsi="Microsoft New Tai Lue" w:cs="Microsoft New Tai Lue"/>
          <w:color w:val="auto"/>
          <w:sz w:val="24"/>
          <w:highlight w:val="none"/>
        </w:rPr>
      </w:pPr>
      <w:bookmarkStart w:id="264" w:name="_Toc96347900"/>
      <w:r>
        <w:rPr>
          <w:rFonts w:ascii="Microsoft New Tai Lue" w:hAnsi="Microsoft New Tai Lue" w:cs="Microsoft New Tai Lue"/>
          <w:color w:val="auto"/>
          <w:sz w:val="24"/>
          <w:highlight w:val="none"/>
        </w:rPr>
        <w:br w:type="page"/>
      </w:r>
      <w:r>
        <w:rPr>
          <w:rFonts w:ascii="Microsoft New Tai Lue" w:hAnsi="Microsoft New Tai Lue" w:cs="Microsoft New Tai Lue"/>
          <w:b/>
          <w:color w:val="auto"/>
          <w:sz w:val="40"/>
          <w:szCs w:val="60"/>
          <w:highlight w:val="none"/>
        </w:rPr>
        <w:t>附件</w:t>
      </w:r>
    </w:p>
    <w:p w14:paraId="4C0B64B9">
      <w:pPr>
        <w:spacing w:before="100" w:after="100" w:line="360" w:lineRule="auto"/>
        <w:jc w:val="center"/>
        <w:rPr>
          <w:rFonts w:hint="eastAsia" w:ascii="宋体" w:hAnsi="宋体" w:cs="Microsoft New Tai Lue"/>
          <w:b/>
          <w:color w:val="auto"/>
          <w:sz w:val="44"/>
          <w:szCs w:val="44"/>
          <w:highlight w:val="none"/>
          <w:lang w:eastAsia="zh-CN"/>
        </w:rPr>
      </w:pPr>
      <w:r>
        <w:rPr>
          <w:rFonts w:hint="eastAsia" w:ascii="宋体" w:hAnsi="宋体" w:cs="Microsoft New Tai Lue"/>
          <w:b/>
          <w:color w:val="auto"/>
          <w:sz w:val="44"/>
          <w:szCs w:val="44"/>
          <w:highlight w:val="none"/>
          <w:lang w:eastAsia="zh-CN"/>
        </w:rPr>
        <w:t>2026年中央转移支付食品安全抽检</w:t>
      </w:r>
    </w:p>
    <w:p w14:paraId="45412F87">
      <w:pPr>
        <w:spacing w:before="100" w:after="100" w:line="360" w:lineRule="auto"/>
        <w:jc w:val="center"/>
        <w:rPr>
          <w:rFonts w:hint="eastAsia" w:ascii="宋体" w:hAnsi="宋体" w:eastAsia="宋体" w:cs="Microsoft New Tai Lue"/>
          <w:b/>
          <w:color w:val="auto"/>
          <w:sz w:val="44"/>
          <w:szCs w:val="44"/>
          <w:highlight w:val="none"/>
          <w:lang w:eastAsia="zh-CN"/>
        </w:rPr>
      </w:pPr>
      <w:r>
        <w:rPr>
          <w:rFonts w:hint="eastAsia" w:ascii="宋体" w:hAnsi="宋体" w:cs="Microsoft New Tai Lue"/>
          <w:b/>
          <w:color w:val="auto"/>
          <w:sz w:val="44"/>
          <w:szCs w:val="44"/>
          <w:highlight w:val="none"/>
          <w:lang w:eastAsia="zh-CN"/>
        </w:rPr>
        <w:t>技术服务（</w:t>
      </w:r>
      <w:r>
        <w:rPr>
          <w:rFonts w:hint="eastAsia" w:ascii="宋体" w:hAnsi="宋体" w:cs="Microsoft New Tai Lue"/>
          <w:b/>
          <w:color w:val="auto"/>
          <w:sz w:val="44"/>
          <w:szCs w:val="44"/>
          <w:highlight w:val="none"/>
          <w:lang w:val="en-US" w:eastAsia="zh-CN"/>
        </w:rPr>
        <w:t>第四</w:t>
      </w:r>
      <w:r>
        <w:rPr>
          <w:rFonts w:hint="eastAsia" w:ascii="宋体" w:hAnsi="宋体" w:cs="Microsoft New Tai Lue"/>
          <w:b/>
          <w:color w:val="auto"/>
          <w:sz w:val="44"/>
          <w:szCs w:val="44"/>
          <w:highlight w:val="none"/>
          <w:lang w:eastAsia="zh-CN"/>
        </w:rPr>
        <w:t>季度）</w:t>
      </w:r>
    </w:p>
    <w:p w14:paraId="7F391131">
      <w:pPr>
        <w:adjustRightInd w:val="0"/>
        <w:snapToGrid w:val="0"/>
        <w:spacing w:line="400" w:lineRule="atLeast"/>
        <w:jc w:val="center"/>
        <w:rPr>
          <w:rFonts w:ascii="Microsoft New Tai Lue" w:hAnsi="Microsoft New Tai Lue" w:cs="Microsoft New Tai Lue"/>
          <w:b/>
          <w:color w:val="auto"/>
          <w:sz w:val="72"/>
          <w:szCs w:val="84"/>
          <w:highlight w:val="none"/>
        </w:rPr>
      </w:pPr>
    </w:p>
    <w:p w14:paraId="13586EF9">
      <w:pPr>
        <w:pStyle w:val="19"/>
        <w:jc w:val="center"/>
        <w:rPr>
          <w:rFonts w:ascii="Microsoft New Tai Lue" w:hAnsi="Microsoft New Tai Lue" w:cs="Microsoft New Tai Lue"/>
          <w:b/>
          <w:color w:val="auto"/>
          <w:sz w:val="84"/>
          <w:szCs w:val="84"/>
          <w:highlight w:val="none"/>
        </w:rPr>
      </w:pPr>
      <w:bookmarkStart w:id="265" w:name="_Toc100905255"/>
      <w:r>
        <w:rPr>
          <w:rFonts w:ascii="Microsoft New Tai Lue" w:hAnsi="Microsoft New Tai Lue" w:cs="Microsoft New Tai Lue"/>
          <w:b/>
          <w:color w:val="auto"/>
          <w:sz w:val="84"/>
          <w:szCs w:val="84"/>
          <w:highlight w:val="none"/>
        </w:rPr>
        <w:t>投 标 文 件</w:t>
      </w:r>
      <w:bookmarkEnd w:id="265"/>
    </w:p>
    <w:p w14:paraId="19F98BC4">
      <w:pPr>
        <w:spacing w:line="360" w:lineRule="auto"/>
        <w:ind w:right="640"/>
        <w:jc w:val="center"/>
        <w:rPr>
          <w:rFonts w:ascii="Microsoft New Tai Lue" w:hAnsi="Microsoft New Tai Lue" w:cs="Microsoft New Tai Lue"/>
          <w:b/>
          <w:color w:val="auto"/>
          <w:sz w:val="44"/>
          <w:szCs w:val="44"/>
          <w:highlight w:val="none"/>
        </w:rPr>
      </w:pPr>
    </w:p>
    <w:p w14:paraId="02E4F1D9">
      <w:pPr>
        <w:spacing w:line="360" w:lineRule="auto"/>
        <w:jc w:val="center"/>
        <w:rPr>
          <w:rFonts w:hint="eastAsia" w:ascii="Microsoft New Tai Lue" w:hAnsi="Microsoft New Tai Lue"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项目编号：</w:t>
      </w:r>
      <w:r>
        <w:rPr>
          <w:rFonts w:hint="eastAsia" w:ascii="Microsoft New Tai Lue" w:hAnsi="Microsoft New Tai Lue" w:cs="Microsoft New Tai Lue"/>
          <w:b/>
          <w:color w:val="auto"/>
          <w:sz w:val="44"/>
          <w:szCs w:val="44"/>
          <w:highlight w:val="none"/>
          <w:lang w:val="en-US" w:eastAsia="zh-CN"/>
        </w:rPr>
        <w:t>JSTCC26010105959</w:t>
      </w:r>
    </w:p>
    <w:p w14:paraId="60BC18E9">
      <w:pPr>
        <w:spacing w:line="360" w:lineRule="auto"/>
        <w:jc w:val="center"/>
        <w:rPr>
          <w:rFonts w:hint="eastAsia" w:ascii="Microsoft New Tai Lue" w:hAnsi="Microsoft New Tai Lue"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t>JSZC-320000-JITC-G2026-0333</w:t>
      </w:r>
    </w:p>
    <w:p w14:paraId="3B1F725B">
      <w:pPr>
        <w:spacing w:line="360" w:lineRule="auto"/>
        <w:jc w:val="center"/>
        <w:rPr>
          <w:rFonts w:ascii="Microsoft New Tai Lue" w:hAnsi="Microsoft New Tai Lue" w:cs="Microsoft New Tai Lue"/>
          <w:b/>
          <w:color w:val="auto"/>
          <w:sz w:val="44"/>
          <w:szCs w:val="44"/>
          <w:highlight w:val="none"/>
        </w:rPr>
      </w:pPr>
    </w:p>
    <w:p w14:paraId="61066347">
      <w:pPr>
        <w:spacing w:line="360" w:lineRule="auto"/>
        <w:jc w:val="center"/>
        <w:rPr>
          <w:rFonts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包号：</w:t>
      </w:r>
      <w:r>
        <w:rPr>
          <w:rFonts w:ascii="Microsoft New Tai Lue" w:hAnsi="Microsoft New Tai Lue" w:cs="Microsoft New Tai Lue"/>
          <w:b/>
          <w:color w:val="auto"/>
          <w:sz w:val="32"/>
          <w:szCs w:val="32"/>
          <w:highlight w:val="none"/>
        </w:rPr>
        <w:t>__________</w:t>
      </w:r>
    </w:p>
    <w:p w14:paraId="6C241350">
      <w:pPr>
        <w:pStyle w:val="19"/>
        <w:rPr>
          <w:rFonts w:ascii="Microsoft New Tai Lue" w:hAnsi="Microsoft New Tai Lue" w:cs="Microsoft New Tai Lue"/>
          <w:color w:val="auto"/>
          <w:sz w:val="28"/>
          <w:szCs w:val="28"/>
          <w:highlight w:val="none"/>
        </w:rPr>
      </w:pPr>
    </w:p>
    <w:p w14:paraId="10CF2935">
      <w:pPr>
        <w:pStyle w:val="19"/>
        <w:rPr>
          <w:rFonts w:ascii="Microsoft New Tai Lue" w:hAnsi="Microsoft New Tai Lue" w:cs="Microsoft New Tai Lue"/>
          <w:color w:val="auto"/>
          <w:sz w:val="28"/>
          <w:szCs w:val="28"/>
          <w:highlight w:val="none"/>
        </w:rPr>
      </w:pPr>
    </w:p>
    <w:p w14:paraId="10CDA313">
      <w:pPr>
        <w:pStyle w:val="19"/>
        <w:rPr>
          <w:rFonts w:ascii="Microsoft New Tai Lue" w:hAnsi="Microsoft New Tai Lue" w:cs="Microsoft New Tai Lue"/>
          <w:color w:val="auto"/>
          <w:sz w:val="28"/>
          <w:szCs w:val="28"/>
          <w:highlight w:val="none"/>
        </w:rPr>
      </w:pPr>
    </w:p>
    <w:p w14:paraId="3C8273FF">
      <w:pPr>
        <w:pStyle w:val="19"/>
        <w:rPr>
          <w:rFonts w:ascii="Microsoft New Tai Lue" w:hAnsi="Microsoft New Tai Lue" w:cs="Microsoft New Tai Lue"/>
          <w:color w:val="auto"/>
          <w:sz w:val="28"/>
          <w:szCs w:val="28"/>
          <w:highlight w:val="none"/>
        </w:rPr>
      </w:pPr>
    </w:p>
    <w:p w14:paraId="24197777">
      <w:pPr>
        <w:pStyle w:val="19"/>
        <w:rPr>
          <w:rFonts w:ascii="Microsoft New Tai Lue" w:hAnsi="Microsoft New Tai Lue" w:cs="Microsoft New Tai Lue"/>
          <w:color w:val="auto"/>
          <w:sz w:val="28"/>
          <w:szCs w:val="28"/>
          <w:highlight w:val="none"/>
        </w:rPr>
      </w:pPr>
    </w:p>
    <w:p w14:paraId="703F46C5">
      <w:pPr>
        <w:pStyle w:val="19"/>
        <w:rPr>
          <w:rFonts w:ascii="Microsoft New Tai Lue" w:hAnsi="Microsoft New Tai Lue" w:cs="Microsoft New Tai Lue"/>
          <w:color w:val="auto"/>
          <w:sz w:val="28"/>
          <w:szCs w:val="28"/>
          <w:highlight w:val="none"/>
        </w:rPr>
      </w:pPr>
    </w:p>
    <w:p w14:paraId="368E1DED">
      <w:pPr>
        <w:pStyle w:val="19"/>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lang w:val="en-US" w:eastAsia="zh-CN"/>
        </w:rPr>
        <w:t>供应商</w:t>
      </w:r>
      <w:r>
        <w:rPr>
          <w:rFonts w:ascii="Microsoft New Tai Lue" w:hAnsi="Microsoft New Tai Lue" w:cs="Microsoft New Tai Lue"/>
          <w:b/>
          <w:color w:val="auto"/>
          <w:sz w:val="32"/>
          <w:szCs w:val="24"/>
          <w:highlight w:val="none"/>
        </w:rPr>
        <w:t>名称：</w:t>
      </w:r>
      <w:r>
        <w:rPr>
          <w:rFonts w:hint="eastAsia" w:ascii="Microsoft New Tai Lue" w:hAnsi="Microsoft New Tai Lue" w:cs="Microsoft New Tai Lue"/>
          <w:b/>
          <w:color w:val="auto"/>
          <w:sz w:val="32"/>
          <w:szCs w:val="32"/>
          <w:highlight w:val="none"/>
          <w:u w:val="single"/>
        </w:rPr>
        <w:t>（加盖CA电子公章）</w:t>
      </w:r>
    </w:p>
    <w:p w14:paraId="2911FF2A">
      <w:pPr>
        <w:pStyle w:val="19"/>
        <w:ind w:firstLine="2570" w:firstLineChars="800"/>
        <w:jc w:val="both"/>
        <w:rPr>
          <w:rFonts w:hint="default" w:ascii="Microsoft New Tai Lue" w:hAnsi="Microsoft New Tai Lue" w:eastAsia="宋体" w:cs="Microsoft New Tai Lue"/>
          <w:b/>
          <w:color w:val="auto"/>
          <w:sz w:val="32"/>
          <w:szCs w:val="32"/>
          <w:highlight w:val="none"/>
          <w:u w:val="single"/>
          <w:lang w:val="en-US" w:eastAsia="zh-CN"/>
        </w:rPr>
      </w:pPr>
      <w:r>
        <w:rPr>
          <w:rFonts w:ascii="Microsoft New Tai Lue" w:hAnsi="Microsoft New Tai Lue" w:cs="Microsoft New Tai Lue"/>
          <w:b/>
          <w:color w:val="auto"/>
          <w:sz w:val="32"/>
          <w:szCs w:val="32"/>
          <w:highlight w:val="none"/>
        </w:rPr>
        <w:t>地址：</w:t>
      </w:r>
      <w:r>
        <w:rPr>
          <w:rFonts w:hint="eastAsia" w:ascii="Microsoft New Tai Lue" w:hAnsi="Microsoft New Tai Lue" w:cs="Microsoft New Tai Lue"/>
          <w:b/>
          <w:color w:val="auto"/>
          <w:sz w:val="32"/>
          <w:szCs w:val="32"/>
          <w:highlight w:val="none"/>
          <w:u w:val="single"/>
          <w:lang w:val="en-US" w:eastAsia="zh-CN"/>
        </w:rPr>
        <w:t xml:space="preserve">            </w:t>
      </w:r>
    </w:p>
    <w:p w14:paraId="338F02DE">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二</w:t>
      </w:r>
      <w:r>
        <w:rPr>
          <w:rFonts w:hint="eastAsia" w:ascii="Microsoft New Tai Lue" w:hAnsi="Microsoft New Tai Lue" w:cs="Microsoft New Tai Lue"/>
          <w:b/>
          <w:color w:val="auto"/>
          <w:sz w:val="32"/>
          <w:highlight w:val="none"/>
        </w:rPr>
        <w:t>〇二</w:t>
      </w:r>
      <w:r>
        <w:rPr>
          <w:rFonts w:hint="eastAsia" w:ascii="Microsoft New Tai Lue" w:hAnsi="Microsoft New Tai Lue" w:cs="Microsoft New Tai Lue"/>
          <w:b/>
          <w:color w:val="auto"/>
          <w:sz w:val="32"/>
          <w:highlight w:val="none"/>
          <w:lang w:val="en-US" w:eastAsia="zh-CN"/>
        </w:rPr>
        <w:t>六</w:t>
      </w:r>
      <w:r>
        <w:rPr>
          <w:rFonts w:ascii="Microsoft New Tai Lue" w:hAnsi="Microsoft New Tai Lue" w:cs="Microsoft New Tai Lue"/>
          <w:b/>
          <w:color w:val="auto"/>
          <w:sz w:val="32"/>
          <w:highlight w:val="none"/>
        </w:rPr>
        <w:t>年  月  日</w:t>
      </w:r>
    </w:p>
    <w:p w14:paraId="231B66EF">
      <w:pPr>
        <w:pStyle w:val="32"/>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Microsoft New Tai Lue" w:hAnsi="Microsoft New Tai Lue" w:eastAsia="宋体" w:cs="Microsoft New Tai Lue"/>
          <w:color w:val="auto"/>
          <w:sz w:val="28"/>
          <w:szCs w:val="24"/>
          <w:highlight w:val="none"/>
        </w:rPr>
      </w:pPr>
      <w:r>
        <w:rPr>
          <w:rFonts w:ascii="Microsoft New Tai Lue" w:hAnsi="Microsoft New Tai Lue" w:cs="Microsoft New Tai Lue"/>
          <w:b/>
          <w:color w:val="auto"/>
          <w:highlight w:val="none"/>
        </w:rPr>
        <w:br w:type="page"/>
      </w:r>
      <w:bookmarkEnd w:id="264"/>
      <w:bookmarkStart w:id="266" w:name="_Toc107246274"/>
      <w:bookmarkStart w:id="267" w:name="_Toc103848582"/>
      <w:bookmarkStart w:id="268" w:name="_Toc104560897"/>
      <w:bookmarkStart w:id="269" w:name="_Toc104560893"/>
      <w:r>
        <w:rPr>
          <w:rFonts w:hint="eastAsia" w:ascii="Microsoft New Tai Lue" w:hAnsi="Microsoft New Tai Lue" w:cs="Microsoft New Tai Lue"/>
          <w:color w:val="auto"/>
          <w:highlight w:val="none"/>
          <w:lang w:val="en-US" w:eastAsia="zh-CN"/>
        </w:rPr>
        <w:t>一、</w:t>
      </w:r>
      <w:r>
        <w:rPr>
          <w:rFonts w:hint="eastAsia" w:ascii="Microsoft New Tai Lue" w:hAnsi="Microsoft New Tai Lue" w:eastAsia="宋体" w:cs="Microsoft New Tai Lue"/>
          <w:color w:val="auto"/>
          <w:sz w:val="28"/>
          <w:szCs w:val="24"/>
          <w:highlight w:val="none"/>
        </w:rPr>
        <w:t>价格及商务部分</w:t>
      </w:r>
      <w:bookmarkEnd w:id="266"/>
      <w:bookmarkEnd w:id="267"/>
      <w:bookmarkEnd w:id="268"/>
    </w:p>
    <w:p w14:paraId="7B202693">
      <w:pPr>
        <w:pStyle w:val="32"/>
        <w:spacing w:before="0"/>
        <w:rPr>
          <w:rFonts w:ascii="Microsoft New Tai Lue" w:hAnsi="Microsoft New Tai Lue" w:cs="Microsoft New Tai Lue"/>
          <w:bCs w:val="0"/>
          <w:color w:val="auto"/>
          <w:sz w:val="24"/>
          <w:szCs w:val="24"/>
          <w:highlight w:val="none"/>
        </w:rPr>
      </w:pPr>
      <w:bookmarkStart w:id="270" w:name="_Toc107246275"/>
      <w:r>
        <w:rPr>
          <w:rFonts w:hint="eastAsia" w:ascii="Microsoft New Tai Lue" w:hAnsi="Microsoft New Tai Lue" w:cs="Microsoft New Tai Lue"/>
          <w:bCs w:val="0"/>
          <w:color w:val="auto"/>
          <w:sz w:val="24"/>
          <w:szCs w:val="24"/>
          <w:highlight w:val="none"/>
        </w:rPr>
        <w:t>（1）投标函</w:t>
      </w:r>
      <w:bookmarkEnd w:id="269"/>
      <w:bookmarkEnd w:id="270"/>
    </w:p>
    <w:p w14:paraId="324FFD22">
      <w:pPr>
        <w:keepNext w:val="0"/>
        <w:keepLines w:val="0"/>
        <w:pageBreakBefore w:val="0"/>
        <w:widowControl w:val="0"/>
        <w:kinsoku/>
        <w:wordWrap/>
        <w:overflowPunct/>
        <w:topLinePunct w:val="0"/>
        <w:autoSpaceDE/>
        <w:autoSpaceDN/>
        <w:bidi w:val="0"/>
        <w:adjustRightInd w:val="0"/>
        <w:snapToGrid w:val="0"/>
        <w:spacing w:line="360" w:lineRule="exact"/>
        <w:textAlignment w:val="auto"/>
        <w:rPr>
          <w:color w:val="auto"/>
          <w:szCs w:val="21"/>
          <w:highlight w:val="none"/>
        </w:rPr>
      </w:pPr>
      <w:bookmarkStart w:id="271" w:name="_Toc103848580"/>
      <w:bookmarkStart w:id="272" w:name="_Toc96347902"/>
      <w:r>
        <w:rPr>
          <w:color w:val="auto"/>
          <w:szCs w:val="21"/>
          <w:highlight w:val="none"/>
          <w:u w:val="single"/>
        </w:rPr>
        <w:t xml:space="preserve">                      </w:t>
      </w:r>
      <w:r>
        <w:rPr>
          <w:rFonts w:hint="eastAsia"/>
          <w:color w:val="auto"/>
          <w:szCs w:val="21"/>
          <w:highlight w:val="none"/>
        </w:rPr>
        <w:t>（采购</w:t>
      </w:r>
      <w:r>
        <w:rPr>
          <w:color w:val="auto"/>
          <w:szCs w:val="21"/>
          <w:highlight w:val="none"/>
        </w:rPr>
        <w:t>人）：</w:t>
      </w:r>
    </w:p>
    <w:p w14:paraId="16C3598A">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color w:val="auto"/>
          <w:szCs w:val="21"/>
          <w:highlight w:val="none"/>
        </w:rPr>
      </w:pPr>
      <w:r>
        <w:rPr>
          <w:color w:val="auto"/>
          <w:szCs w:val="21"/>
          <w:highlight w:val="none"/>
          <w:u w:val="single"/>
        </w:rPr>
        <w:t xml:space="preserve">       </w:t>
      </w:r>
      <w:r>
        <w:rPr>
          <w:rFonts w:hint="eastAsia"/>
          <w:color w:val="auto"/>
          <w:szCs w:val="21"/>
          <w:highlight w:val="none"/>
          <w:u w:val="single"/>
          <w:lang w:eastAsia="zh-CN"/>
        </w:rPr>
        <w:t>（</w:t>
      </w:r>
      <w:r>
        <w:rPr>
          <w:rFonts w:hint="eastAsia"/>
          <w:color w:val="auto"/>
          <w:szCs w:val="21"/>
          <w:highlight w:val="none"/>
          <w:u w:val="single"/>
        </w:rPr>
        <w:t>供应商</w:t>
      </w:r>
      <w:r>
        <w:rPr>
          <w:color w:val="auto"/>
          <w:szCs w:val="21"/>
          <w:highlight w:val="none"/>
          <w:u w:val="single"/>
        </w:rPr>
        <w:t>全称</w:t>
      </w:r>
      <w:r>
        <w:rPr>
          <w:rFonts w:hint="eastAsia"/>
          <w:color w:val="auto"/>
          <w:szCs w:val="21"/>
          <w:highlight w:val="none"/>
          <w:u w:val="single"/>
          <w:lang w:eastAsia="zh-CN"/>
        </w:rPr>
        <w:t>）</w:t>
      </w:r>
      <w:r>
        <w:rPr>
          <w:color w:val="auto"/>
          <w:szCs w:val="21"/>
          <w:highlight w:val="none"/>
          <w:u w:val="single"/>
        </w:rPr>
        <w:t xml:space="preserve">   </w:t>
      </w:r>
      <w:r>
        <w:rPr>
          <w:color w:val="auto"/>
          <w:szCs w:val="21"/>
          <w:highlight w:val="none"/>
        </w:rPr>
        <w:t>授权</w:t>
      </w:r>
      <w:r>
        <w:rPr>
          <w:color w:val="auto"/>
          <w:szCs w:val="21"/>
          <w:highlight w:val="none"/>
          <w:u w:val="single"/>
        </w:rPr>
        <w:t xml:space="preserve">    （授权代表姓名）   （职位）</w:t>
      </w:r>
      <w:r>
        <w:rPr>
          <w:color w:val="auto"/>
          <w:szCs w:val="21"/>
          <w:highlight w:val="none"/>
        </w:rPr>
        <w:t>为全权代表，参加贵方组织的</w:t>
      </w:r>
      <w:r>
        <w:rPr>
          <w:color w:val="auto"/>
          <w:szCs w:val="21"/>
          <w:highlight w:val="none"/>
          <w:u w:val="single"/>
        </w:rPr>
        <w:t xml:space="preserve">     （项目名称、项目编号</w:t>
      </w:r>
      <w:r>
        <w:rPr>
          <w:rFonts w:hint="eastAsia"/>
          <w:color w:val="auto"/>
          <w:szCs w:val="21"/>
          <w:highlight w:val="none"/>
          <w:u w:val="single"/>
        </w:rPr>
        <w:t>、包号</w:t>
      </w:r>
      <w:r>
        <w:rPr>
          <w:color w:val="auto"/>
          <w:szCs w:val="21"/>
          <w:highlight w:val="none"/>
          <w:u w:val="single"/>
        </w:rPr>
        <w:t xml:space="preserve">）   </w:t>
      </w:r>
      <w:r>
        <w:rPr>
          <w:rFonts w:hint="eastAsia"/>
          <w:color w:val="auto"/>
          <w:szCs w:val="21"/>
          <w:highlight w:val="none"/>
        </w:rPr>
        <w:t>投标</w:t>
      </w:r>
      <w:r>
        <w:rPr>
          <w:color w:val="auto"/>
          <w:szCs w:val="21"/>
          <w:highlight w:val="none"/>
        </w:rPr>
        <w:t>的有关活动，并对此项目进行</w:t>
      </w:r>
      <w:r>
        <w:rPr>
          <w:rFonts w:hint="eastAsia"/>
          <w:color w:val="auto"/>
          <w:szCs w:val="21"/>
          <w:highlight w:val="none"/>
        </w:rPr>
        <w:t>投标</w:t>
      </w:r>
      <w:r>
        <w:rPr>
          <w:color w:val="auto"/>
          <w:szCs w:val="21"/>
          <w:highlight w:val="none"/>
        </w:rPr>
        <w:t>。</w:t>
      </w:r>
    </w:p>
    <w:p w14:paraId="2D399FC7">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color w:val="auto"/>
          <w:szCs w:val="21"/>
          <w:highlight w:val="none"/>
        </w:rPr>
      </w:pPr>
      <w:r>
        <w:rPr>
          <w:color w:val="auto"/>
          <w:szCs w:val="21"/>
          <w:highlight w:val="none"/>
        </w:rPr>
        <w:t>为此：</w:t>
      </w:r>
    </w:p>
    <w:p w14:paraId="1FEBD9FB">
      <w:pPr>
        <w:pStyle w:val="30"/>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highlight w:val="none"/>
        </w:rPr>
      </w:pPr>
      <w:r>
        <w:rPr>
          <w:rFonts w:hint="eastAsia" w:ascii="Times New Roman" w:hAnsi="Times New Roman"/>
          <w:color w:val="auto"/>
          <w:highlight w:val="none"/>
          <w:lang w:val="en-US" w:eastAsia="zh-CN"/>
        </w:rPr>
        <w:t>1</w:t>
      </w:r>
      <w:r>
        <w:rPr>
          <w:rFonts w:ascii="Times New Roman" w:hAnsi="Times New Roman"/>
          <w:color w:val="auto"/>
          <w:highlight w:val="none"/>
        </w:rPr>
        <w:t>、我方将按采购文件的规定履行全部责任和义务。</w:t>
      </w:r>
    </w:p>
    <w:p w14:paraId="2F40262E">
      <w:pPr>
        <w:pStyle w:val="30"/>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highlight w:val="none"/>
          <w:lang w:val="en-US" w:eastAsia="zh-CN"/>
        </w:rPr>
        <w:t>2</w:t>
      </w:r>
      <w:r>
        <w:rPr>
          <w:rFonts w:ascii="Times New Roman" w:hAnsi="Times New Roman"/>
          <w:color w:val="auto"/>
          <w:highlight w:val="none"/>
        </w:rPr>
        <w:t>、我方已详细审查全部采购文件，我们完全理解并同意</w:t>
      </w:r>
      <w:r>
        <w:rPr>
          <w:rFonts w:ascii="Times New Roman" w:hAnsi="Times New Roman"/>
          <w:color w:val="auto"/>
          <w:szCs w:val="21"/>
          <w:highlight w:val="none"/>
        </w:rPr>
        <w:t>放弃对采购文件提出质疑或争议的权利。</w:t>
      </w:r>
    </w:p>
    <w:p w14:paraId="7B10033D">
      <w:pPr>
        <w:pStyle w:val="30"/>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highlight w:val="none"/>
        </w:rPr>
      </w:pPr>
      <w:r>
        <w:rPr>
          <w:rFonts w:hint="eastAsia" w:ascii="Times New Roman" w:hAnsi="Times New Roman"/>
          <w:color w:val="auto"/>
          <w:szCs w:val="21"/>
          <w:highlight w:val="none"/>
          <w:lang w:val="en-US" w:eastAsia="zh-CN"/>
        </w:rPr>
        <w:t>3</w:t>
      </w:r>
      <w:r>
        <w:rPr>
          <w:rFonts w:ascii="Times New Roman" w:hAnsi="Times New Roman"/>
          <w:color w:val="auto"/>
          <w:szCs w:val="21"/>
          <w:highlight w:val="none"/>
        </w:rPr>
        <w:t>、本</w:t>
      </w:r>
      <w:r>
        <w:rPr>
          <w:rFonts w:hint="eastAsia" w:ascii="Times New Roman" w:hAnsi="Times New Roman"/>
          <w:color w:val="auto"/>
          <w:szCs w:val="21"/>
          <w:highlight w:val="none"/>
        </w:rPr>
        <w:t>投标</w:t>
      </w:r>
      <w:r>
        <w:rPr>
          <w:rFonts w:ascii="Times New Roman" w:hAnsi="Times New Roman"/>
          <w:color w:val="auto"/>
          <w:szCs w:val="21"/>
          <w:highlight w:val="none"/>
        </w:rPr>
        <w:t>有效期为自</w:t>
      </w:r>
      <w:r>
        <w:rPr>
          <w:rFonts w:hint="eastAsia" w:ascii="Times New Roman" w:hAnsi="Times New Roman"/>
          <w:color w:val="auto"/>
          <w:szCs w:val="21"/>
          <w:highlight w:val="none"/>
        </w:rPr>
        <w:t>投标</w:t>
      </w:r>
      <w:r>
        <w:rPr>
          <w:rFonts w:ascii="Times New Roman" w:hAnsi="Times New Roman"/>
          <w:color w:val="auto"/>
          <w:szCs w:val="21"/>
          <w:highlight w:val="none"/>
        </w:rPr>
        <w:t>日起</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90</w:t>
      </w:r>
      <w:r>
        <w:rPr>
          <w:rFonts w:ascii="Times New Roman" w:hAnsi="Times New Roman"/>
          <w:color w:val="auto"/>
          <w:szCs w:val="21"/>
          <w:highlight w:val="none"/>
          <w:u w:val="single"/>
        </w:rPr>
        <w:t xml:space="preserve">  </w:t>
      </w:r>
      <w:r>
        <w:rPr>
          <w:rFonts w:ascii="Times New Roman" w:hAnsi="Times New Roman"/>
          <w:color w:val="auto"/>
          <w:szCs w:val="21"/>
          <w:highlight w:val="none"/>
        </w:rPr>
        <w:t>个日历日。</w:t>
      </w:r>
    </w:p>
    <w:p w14:paraId="7678C9D0">
      <w:pPr>
        <w:pStyle w:val="30"/>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4</w:t>
      </w:r>
      <w:r>
        <w:rPr>
          <w:rFonts w:ascii="Times New Roman" w:hAnsi="Times New Roman"/>
          <w:color w:val="auto"/>
          <w:szCs w:val="21"/>
          <w:highlight w:val="none"/>
        </w:rPr>
        <w:t>、如果在规定的提交</w:t>
      </w:r>
      <w:r>
        <w:rPr>
          <w:rFonts w:hint="eastAsia" w:ascii="Times New Roman" w:hAnsi="Times New Roman"/>
          <w:color w:val="auto"/>
          <w:szCs w:val="21"/>
          <w:highlight w:val="none"/>
        </w:rPr>
        <w:t>投标</w:t>
      </w:r>
      <w:r>
        <w:rPr>
          <w:rFonts w:ascii="Times New Roman" w:hAnsi="Times New Roman"/>
          <w:color w:val="auto"/>
          <w:szCs w:val="21"/>
          <w:highlight w:val="none"/>
        </w:rPr>
        <w:t>文件截止时间后，我方在</w:t>
      </w:r>
      <w:r>
        <w:rPr>
          <w:rFonts w:hint="eastAsia" w:ascii="Times New Roman" w:hAnsi="Times New Roman"/>
          <w:color w:val="auto"/>
          <w:szCs w:val="21"/>
          <w:highlight w:val="none"/>
        </w:rPr>
        <w:t>投标</w:t>
      </w:r>
      <w:r>
        <w:rPr>
          <w:rFonts w:ascii="Times New Roman" w:hAnsi="Times New Roman"/>
          <w:color w:val="auto"/>
          <w:szCs w:val="21"/>
          <w:highlight w:val="none"/>
        </w:rPr>
        <w:t>有效期内撤销</w:t>
      </w:r>
      <w:r>
        <w:rPr>
          <w:rFonts w:hint="eastAsia" w:ascii="Times New Roman" w:hAnsi="Times New Roman"/>
          <w:color w:val="auto"/>
          <w:szCs w:val="21"/>
          <w:highlight w:val="none"/>
        </w:rPr>
        <w:t>投标</w:t>
      </w:r>
      <w:r>
        <w:rPr>
          <w:rFonts w:ascii="Times New Roman" w:hAnsi="Times New Roman"/>
          <w:color w:val="auto"/>
          <w:szCs w:val="21"/>
          <w:highlight w:val="none"/>
        </w:rPr>
        <w:t>文件，</w:t>
      </w:r>
      <w:r>
        <w:rPr>
          <w:rFonts w:hint="eastAsia" w:ascii="Times New Roman" w:hAnsi="Times New Roman"/>
          <w:color w:val="auto"/>
          <w:szCs w:val="21"/>
          <w:highlight w:val="none"/>
        </w:rPr>
        <w:t>投标</w:t>
      </w:r>
      <w:r>
        <w:rPr>
          <w:rFonts w:ascii="Times New Roman" w:hAnsi="Times New Roman"/>
          <w:color w:val="auto"/>
          <w:szCs w:val="21"/>
          <w:highlight w:val="none"/>
        </w:rPr>
        <w:t>保证金将不予退还。</w:t>
      </w:r>
    </w:p>
    <w:p w14:paraId="4E717C69">
      <w:pPr>
        <w:pStyle w:val="30"/>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5</w:t>
      </w:r>
      <w:r>
        <w:rPr>
          <w:rFonts w:ascii="Times New Roman" w:hAnsi="Times New Roman"/>
          <w:color w:val="auto"/>
          <w:szCs w:val="21"/>
          <w:highlight w:val="none"/>
        </w:rPr>
        <w:t>、我方同意贵方查询或调查我们提交的与本</w:t>
      </w:r>
      <w:r>
        <w:rPr>
          <w:rFonts w:hint="eastAsia" w:ascii="Times New Roman" w:hAnsi="Times New Roman"/>
          <w:color w:val="auto"/>
          <w:szCs w:val="21"/>
          <w:highlight w:val="none"/>
        </w:rPr>
        <w:t>投标</w:t>
      </w:r>
      <w:r>
        <w:rPr>
          <w:rFonts w:ascii="Times New Roman" w:hAnsi="Times New Roman"/>
          <w:color w:val="auto"/>
          <w:szCs w:val="21"/>
          <w:highlight w:val="none"/>
        </w:rPr>
        <w:t>文件有关的声明、文件和资料，并同意在贵方的要求下提供相关文件或证书的原件及其他相关书面材料。</w:t>
      </w:r>
    </w:p>
    <w:p w14:paraId="7004E811">
      <w:pPr>
        <w:pStyle w:val="30"/>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6</w:t>
      </w:r>
      <w:r>
        <w:rPr>
          <w:rFonts w:ascii="Times New Roman" w:hAnsi="Times New Roman"/>
          <w:color w:val="auto"/>
          <w:szCs w:val="21"/>
          <w:highlight w:val="none"/>
        </w:rPr>
        <w:t>、我方在法律和财务上独立、合法运作并独立于采购</w:t>
      </w:r>
      <w:r>
        <w:rPr>
          <w:rFonts w:hint="eastAsia" w:ascii="Times New Roman" w:hAnsi="Times New Roman"/>
          <w:color w:val="auto"/>
          <w:szCs w:val="21"/>
          <w:highlight w:val="none"/>
        </w:rPr>
        <w:t>方</w:t>
      </w:r>
      <w:r>
        <w:rPr>
          <w:rFonts w:ascii="Times New Roman" w:hAnsi="Times New Roman"/>
          <w:color w:val="auto"/>
          <w:szCs w:val="21"/>
          <w:highlight w:val="none"/>
        </w:rPr>
        <w:t>，与采购人为本项目所委托的咨询</w:t>
      </w:r>
      <w:r>
        <w:rPr>
          <w:rFonts w:hint="eastAsia" w:ascii="Times New Roman" w:hAnsi="Times New Roman"/>
          <w:color w:val="auto"/>
          <w:szCs w:val="21"/>
          <w:highlight w:val="none"/>
        </w:rPr>
        <w:t>单位</w:t>
      </w:r>
      <w:r>
        <w:rPr>
          <w:rFonts w:ascii="Times New Roman" w:hAnsi="Times New Roman"/>
          <w:color w:val="auto"/>
          <w:szCs w:val="21"/>
          <w:highlight w:val="none"/>
        </w:rPr>
        <w:t>或其附属机构没有直接或间接的任何关联。</w:t>
      </w:r>
    </w:p>
    <w:p w14:paraId="68624BF8">
      <w:pPr>
        <w:pStyle w:val="30"/>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7</w:t>
      </w:r>
      <w:r>
        <w:rPr>
          <w:rFonts w:ascii="Times New Roman" w:hAnsi="Times New Roman"/>
          <w:color w:val="auto"/>
          <w:szCs w:val="21"/>
          <w:highlight w:val="none"/>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3AC17341">
      <w:pPr>
        <w:pStyle w:val="30"/>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8</w:t>
      </w:r>
      <w:r>
        <w:rPr>
          <w:rFonts w:ascii="Times New Roman" w:hAnsi="Times New Roman"/>
          <w:color w:val="auto"/>
          <w:szCs w:val="21"/>
          <w:highlight w:val="none"/>
        </w:rPr>
        <w:t>、</w:t>
      </w:r>
      <w:r>
        <w:rPr>
          <w:rFonts w:ascii="Times New Roman" w:hAnsi="Times New Roman"/>
          <w:color w:val="auto"/>
          <w:highlight w:val="none"/>
        </w:rPr>
        <w:t>我方保证</w:t>
      </w:r>
      <w:r>
        <w:rPr>
          <w:rFonts w:hint="eastAsia" w:ascii="Times New Roman" w:hAnsi="Times New Roman"/>
          <w:color w:val="auto"/>
          <w:highlight w:val="none"/>
        </w:rPr>
        <w:t>投标</w:t>
      </w:r>
      <w:r>
        <w:rPr>
          <w:rFonts w:ascii="Times New Roman" w:hAnsi="Times New Roman"/>
          <w:color w:val="auto"/>
          <w:highlight w:val="none"/>
        </w:rPr>
        <w:t>文件所提供的全部资料真实可靠，同意提供贵方要求的与该项</w:t>
      </w:r>
      <w:r>
        <w:rPr>
          <w:rFonts w:hint="eastAsia" w:ascii="Times New Roman" w:hAnsi="Times New Roman"/>
          <w:color w:val="auto"/>
          <w:highlight w:val="none"/>
        </w:rPr>
        <w:t>投标</w:t>
      </w:r>
      <w:r>
        <w:rPr>
          <w:rFonts w:ascii="Times New Roman" w:hAnsi="Times New Roman"/>
          <w:color w:val="auto"/>
          <w:highlight w:val="none"/>
        </w:rPr>
        <w:t>有关的数据或资料，完全理解贵方不一定接受最低价的</w:t>
      </w:r>
      <w:r>
        <w:rPr>
          <w:rFonts w:hint="eastAsia" w:ascii="Times New Roman" w:hAnsi="Times New Roman"/>
          <w:color w:val="auto"/>
          <w:highlight w:val="none"/>
        </w:rPr>
        <w:t>投标</w:t>
      </w:r>
      <w:r>
        <w:rPr>
          <w:rFonts w:ascii="Times New Roman" w:hAnsi="Times New Roman"/>
          <w:color w:val="auto"/>
          <w:highlight w:val="none"/>
        </w:rPr>
        <w:t>或收到的任何</w:t>
      </w:r>
      <w:r>
        <w:rPr>
          <w:rFonts w:hint="eastAsia" w:ascii="Times New Roman" w:hAnsi="Times New Roman"/>
          <w:color w:val="auto"/>
          <w:highlight w:val="none"/>
        </w:rPr>
        <w:t>投标</w:t>
      </w:r>
      <w:r>
        <w:rPr>
          <w:rFonts w:ascii="Times New Roman" w:hAnsi="Times New Roman"/>
          <w:color w:val="auto"/>
          <w:highlight w:val="none"/>
        </w:rPr>
        <w:t>。</w:t>
      </w:r>
    </w:p>
    <w:p w14:paraId="47202E2A">
      <w:pPr>
        <w:pStyle w:val="30"/>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highlight w:val="none"/>
          <w:lang w:val="en-US" w:eastAsia="zh-CN"/>
        </w:rPr>
        <w:t>9</w:t>
      </w:r>
      <w:r>
        <w:rPr>
          <w:rFonts w:ascii="Times New Roman" w:hAnsi="Times New Roman"/>
          <w:color w:val="auto"/>
          <w:highlight w:val="none"/>
        </w:rPr>
        <w:t>、</w:t>
      </w:r>
      <w:r>
        <w:rPr>
          <w:rFonts w:ascii="Times New Roman" w:hAnsi="Times New Roman"/>
          <w:color w:val="auto"/>
          <w:szCs w:val="21"/>
          <w:highlight w:val="none"/>
        </w:rPr>
        <w:t>与本</w:t>
      </w:r>
      <w:r>
        <w:rPr>
          <w:rFonts w:hint="eastAsia" w:ascii="Times New Roman" w:hAnsi="Times New Roman"/>
          <w:color w:val="auto"/>
          <w:szCs w:val="21"/>
          <w:highlight w:val="none"/>
        </w:rPr>
        <w:t>投标</w:t>
      </w:r>
      <w:r>
        <w:rPr>
          <w:rFonts w:ascii="Times New Roman" w:hAnsi="Times New Roman"/>
          <w:color w:val="auto"/>
          <w:szCs w:val="21"/>
          <w:highlight w:val="none"/>
        </w:rPr>
        <w:t>有关的一切往来通讯请寄：</w:t>
      </w:r>
    </w:p>
    <w:p w14:paraId="5EE58641">
      <w:pPr>
        <w:keepNext w:val="0"/>
        <w:keepLines w:val="0"/>
        <w:pageBreakBefore w:val="0"/>
        <w:widowControl w:val="0"/>
        <w:kinsoku/>
        <w:wordWrap/>
        <w:overflowPunct/>
        <w:topLinePunct w:val="0"/>
        <w:autoSpaceDE/>
        <w:autoSpaceDN/>
        <w:bidi w:val="0"/>
        <w:spacing w:line="360" w:lineRule="exact"/>
        <w:ind w:firstLine="420" w:firstLineChars="200"/>
        <w:textAlignment w:val="auto"/>
        <w:rPr>
          <w:color w:val="auto"/>
          <w:szCs w:val="21"/>
          <w:highlight w:val="none"/>
        </w:rPr>
      </w:pPr>
      <w:r>
        <w:rPr>
          <w:color w:val="auto"/>
          <w:szCs w:val="21"/>
          <w:highlight w:val="none"/>
        </w:rPr>
        <w:t>地址：</w:t>
      </w:r>
      <w:r>
        <w:rPr>
          <w:color w:val="auto"/>
          <w:szCs w:val="21"/>
          <w:highlight w:val="none"/>
          <w:u w:val="single"/>
        </w:rPr>
        <w:t xml:space="preserve">                            </w:t>
      </w:r>
    </w:p>
    <w:p w14:paraId="4D25AB35">
      <w:pPr>
        <w:keepNext w:val="0"/>
        <w:keepLines w:val="0"/>
        <w:pageBreakBefore w:val="0"/>
        <w:widowControl w:val="0"/>
        <w:kinsoku/>
        <w:wordWrap/>
        <w:overflowPunct/>
        <w:topLinePunct w:val="0"/>
        <w:autoSpaceDE/>
        <w:autoSpaceDN/>
        <w:bidi w:val="0"/>
        <w:spacing w:line="360" w:lineRule="exact"/>
        <w:ind w:firstLine="420" w:firstLineChars="200"/>
        <w:textAlignment w:val="auto"/>
        <w:rPr>
          <w:color w:val="auto"/>
          <w:szCs w:val="21"/>
          <w:highlight w:val="none"/>
        </w:rPr>
      </w:pPr>
      <w:r>
        <w:rPr>
          <w:color w:val="auto"/>
          <w:szCs w:val="21"/>
          <w:highlight w:val="none"/>
        </w:rPr>
        <w:t>邮编：</w:t>
      </w:r>
      <w:r>
        <w:rPr>
          <w:color w:val="auto"/>
          <w:szCs w:val="21"/>
          <w:highlight w:val="none"/>
          <w:u w:val="single"/>
        </w:rPr>
        <w:t xml:space="preserve">                            </w:t>
      </w:r>
    </w:p>
    <w:p w14:paraId="686ACC15">
      <w:pPr>
        <w:keepNext w:val="0"/>
        <w:keepLines w:val="0"/>
        <w:pageBreakBefore w:val="0"/>
        <w:widowControl w:val="0"/>
        <w:kinsoku/>
        <w:wordWrap/>
        <w:overflowPunct/>
        <w:topLinePunct w:val="0"/>
        <w:autoSpaceDE/>
        <w:autoSpaceDN/>
        <w:bidi w:val="0"/>
        <w:spacing w:line="360" w:lineRule="exact"/>
        <w:ind w:firstLine="420" w:firstLineChars="200"/>
        <w:textAlignment w:val="auto"/>
        <w:rPr>
          <w:color w:val="auto"/>
          <w:szCs w:val="21"/>
          <w:highlight w:val="none"/>
        </w:rPr>
      </w:pPr>
      <w:r>
        <w:rPr>
          <w:color w:val="auto"/>
          <w:szCs w:val="21"/>
          <w:highlight w:val="none"/>
        </w:rPr>
        <w:t>联系人：</w:t>
      </w:r>
      <w:r>
        <w:rPr>
          <w:color w:val="auto"/>
          <w:szCs w:val="21"/>
          <w:highlight w:val="none"/>
          <w:u w:val="single"/>
        </w:rPr>
        <w:t xml:space="preserve">                          </w:t>
      </w:r>
    </w:p>
    <w:p w14:paraId="4BABA93A">
      <w:pPr>
        <w:keepNext w:val="0"/>
        <w:keepLines w:val="0"/>
        <w:pageBreakBefore w:val="0"/>
        <w:widowControl w:val="0"/>
        <w:kinsoku/>
        <w:wordWrap/>
        <w:overflowPunct/>
        <w:topLinePunct w:val="0"/>
        <w:autoSpaceDE/>
        <w:autoSpaceDN/>
        <w:bidi w:val="0"/>
        <w:spacing w:line="360" w:lineRule="exact"/>
        <w:ind w:firstLine="420" w:firstLineChars="200"/>
        <w:textAlignment w:val="auto"/>
        <w:rPr>
          <w:color w:val="auto"/>
          <w:szCs w:val="21"/>
          <w:highlight w:val="none"/>
        </w:rPr>
      </w:pPr>
      <w:r>
        <w:rPr>
          <w:color w:val="auto"/>
          <w:szCs w:val="21"/>
          <w:highlight w:val="none"/>
        </w:rPr>
        <w:t>手机：</w:t>
      </w:r>
      <w:r>
        <w:rPr>
          <w:color w:val="auto"/>
          <w:szCs w:val="21"/>
          <w:highlight w:val="none"/>
          <w:u w:val="single"/>
        </w:rPr>
        <w:t xml:space="preserve">                            </w:t>
      </w:r>
    </w:p>
    <w:p w14:paraId="56D27316">
      <w:pPr>
        <w:keepNext w:val="0"/>
        <w:keepLines w:val="0"/>
        <w:pageBreakBefore w:val="0"/>
        <w:widowControl w:val="0"/>
        <w:kinsoku/>
        <w:wordWrap/>
        <w:overflowPunct/>
        <w:topLinePunct w:val="0"/>
        <w:autoSpaceDE/>
        <w:autoSpaceDN/>
        <w:bidi w:val="0"/>
        <w:spacing w:line="360" w:lineRule="exact"/>
        <w:ind w:firstLine="420" w:firstLineChars="200"/>
        <w:textAlignment w:val="auto"/>
        <w:rPr>
          <w:color w:val="auto"/>
          <w:szCs w:val="21"/>
          <w:highlight w:val="none"/>
          <w:u w:val="single"/>
        </w:rPr>
      </w:pPr>
      <w:r>
        <w:rPr>
          <w:color w:val="auto"/>
          <w:szCs w:val="21"/>
          <w:highlight w:val="none"/>
        </w:rPr>
        <w:t>邮箱：</w:t>
      </w:r>
      <w:r>
        <w:rPr>
          <w:color w:val="auto"/>
          <w:szCs w:val="21"/>
          <w:highlight w:val="none"/>
          <w:u w:val="single"/>
        </w:rPr>
        <w:t xml:space="preserve">                            </w:t>
      </w:r>
    </w:p>
    <w:p w14:paraId="72266408">
      <w:pPr>
        <w:keepNext w:val="0"/>
        <w:keepLines w:val="0"/>
        <w:pageBreakBefore w:val="0"/>
        <w:widowControl w:val="0"/>
        <w:kinsoku/>
        <w:wordWrap/>
        <w:overflowPunct/>
        <w:topLinePunct w:val="0"/>
        <w:autoSpaceDE/>
        <w:autoSpaceDN/>
        <w:bidi w:val="0"/>
        <w:spacing w:line="360" w:lineRule="exact"/>
        <w:ind w:firstLine="420" w:firstLineChars="200"/>
        <w:textAlignment w:val="auto"/>
        <w:rPr>
          <w:color w:val="auto"/>
          <w:szCs w:val="21"/>
          <w:highlight w:val="none"/>
        </w:rPr>
      </w:pPr>
      <w:r>
        <w:rPr>
          <w:rFonts w:hint="eastAsia"/>
          <w:color w:val="auto"/>
          <w:szCs w:val="21"/>
          <w:highlight w:val="none"/>
          <w:lang w:val="en-US" w:eastAsia="zh-CN"/>
        </w:rPr>
        <w:t>供应商</w:t>
      </w:r>
      <w:r>
        <w:rPr>
          <w:color w:val="auto"/>
          <w:szCs w:val="21"/>
          <w:highlight w:val="none"/>
        </w:rPr>
        <w:t>名称（</w:t>
      </w:r>
      <w:r>
        <w:rPr>
          <w:rFonts w:hint="eastAsia"/>
          <w:color w:val="auto"/>
          <w:szCs w:val="21"/>
          <w:highlight w:val="none"/>
        </w:rPr>
        <w:t>加盖CA电子公章</w:t>
      </w:r>
      <w:r>
        <w:rPr>
          <w:color w:val="auto"/>
          <w:szCs w:val="21"/>
          <w:highlight w:val="none"/>
        </w:rPr>
        <w:t>）：</w:t>
      </w:r>
      <w:r>
        <w:rPr>
          <w:color w:val="auto"/>
          <w:szCs w:val="21"/>
          <w:highlight w:val="none"/>
          <w:u w:val="single"/>
        </w:rPr>
        <w:t xml:space="preserve">             </w:t>
      </w:r>
    </w:p>
    <w:p w14:paraId="711870D5">
      <w:pPr>
        <w:keepNext w:val="0"/>
        <w:keepLines w:val="0"/>
        <w:pageBreakBefore w:val="0"/>
        <w:widowControl w:val="0"/>
        <w:kinsoku/>
        <w:wordWrap/>
        <w:overflowPunct/>
        <w:topLinePunct w:val="0"/>
        <w:autoSpaceDE/>
        <w:autoSpaceDN/>
        <w:bidi w:val="0"/>
        <w:spacing w:line="360" w:lineRule="exact"/>
        <w:ind w:firstLine="420" w:firstLineChars="200"/>
        <w:textAlignment w:val="auto"/>
        <w:rPr>
          <w:color w:val="auto"/>
          <w:szCs w:val="21"/>
          <w:highlight w:val="none"/>
        </w:rPr>
      </w:pPr>
      <w:r>
        <w:rPr>
          <w:color w:val="auto"/>
          <w:szCs w:val="21"/>
          <w:highlight w:val="none"/>
        </w:rPr>
        <w:t>法定代表人（单位负责人）</w:t>
      </w:r>
    </w:p>
    <w:p w14:paraId="1D1FF679">
      <w:pPr>
        <w:keepNext w:val="0"/>
        <w:keepLines w:val="0"/>
        <w:pageBreakBefore w:val="0"/>
        <w:widowControl w:val="0"/>
        <w:kinsoku/>
        <w:wordWrap/>
        <w:overflowPunct/>
        <w:topLinePunct w:val="0"/>
        <w:autoSpaceDE/>
        <w:autoSpaceDN/>
        <w:bidi w:val="0"/>
        <w:spacing w:line="360" w:lineRule="exact"/>
        <w:ind w:firstLine="420" w:firstLineChars="200"/>
        <w:textAlignment w:val="auto"/>
        <w:rPr>
          <w:color w:val="auto"/>
          <w:szCs w:val="21"/>
          <w:highlight w:val="none"/>
          <w:u w:val="single"/>
        </w:rPr>
      </w:pPr>
      <w:r>
        <w:rPr>
          <w:color w:val="auto"/>
          <w:szCs w:val="21"/>
          <w:highlight w:val="none"/>
        </w:rPr>
        <w:t>或其授权代表（签字或盖章）：</w:t>
      </w:r>
      <w:r>
        <w:rPr>
          <w:color w:val="auto"/>
          <w:szCs w:val="21"/>
          <w:highlight w:val="none"/>
          <w:u w:val="single"/>
        </w:rPr>
        <w:t xml:space="preserve">           </w:t>
      </w:r>
    </w:p>
    <w:p w14:paraId="34FD7C4C">
      <w:pPr>
        <w:keepNext w:val="0"/>
        <w:keepLines w:val="0"/>
        <w:pageBreakBefore w:val="0"/>
        <w:widowControl w:val="0"/>
        <w:kinsoku/>
        <w:wordWrap/>
        <w:overflowPunct/>
        <w:topLinePunct w:val="0"/>
        <w:autoSpaceDE/>
        <w:autoSpaceDN/>
        <w:bidi w:val="0"/>
        <w:spacing w:line="360" w:lineRule="exact"/>
        <w:ind w:firstLine="420" w:firstLineChars="200"/>
        <w:jc w:val="left"/>
        <w:textAlignment w:val="auto"/>
        <w:rPr>
          <w:rFonts w:eastAsia="黑体"/>
          <w:b/>
          <w:color w:val="auto"/>
          <w:sz w:val="32"/>
          <w:szCs w:val="32"/>
          <w:highlight w:val="none"/>
        </w:rPr>
      </w:pPr>
      <w:r>
        <w:rPr>
          <w:bCs/>
          <w:color w:val="auto"/>
          <w:highlight w:val="none"/>
        </w:rPr>
        <w:t>日期：______年</w:t>
      </w:r>
      <w:r>
        <w:rPr>
          <w:bCs/>
          <w:color w:val="auto"/>
          <w:highlight w:val="none"/>
          <w:u w:val="single"/>
        </w:rPr>
        <w:t xml:space="preserve">    </w:t>
      </w:r>
      <w:r>
        <w:rPr>
          <w:bCs/>
          <w:color w:val="auto"/>
          <w:highlight w:val="none"/>
        </w:rPr>
        <w:t>月</w:t>
      </w:r>
      <w:r>
        <w:rPr>
          <w:bCs/>
          <w:color w:val="auto"/>
          <w:highlight w:val="none"/>
          <w:u w:val="single"/>
        </w:rPr>
        <w:t xml:space="preserve">    </w:t>
      </w:r>
      <w:r>
        <w:rPr>
          <w:bCs/>
          <w:color w:val="auto"/>
          <w:highlight w:val="none"/>
        </w:rPr>
        <w:t>日</w:t>
      </w:r>
    </w:p>
    <w:p w14:paraId="5C36D2B3">
      <w:pPr>
        <w:rPr>
          <w:rFonts w:ascii="Microsoft New Tai Lue" w:hAnsi="Microsoft New Tai Lue" w:cs="Microsoft New Tai Lue"/>
          <w:bCs w:val="0"/>
          <w:color w:val="auto"/>
          <w:sz w:val="24"/>
          <w:szCs w:val="24"/>
          <w:highlight w:val="none"/>
        </w:rPr>
      </w:pPr>
      <w:bookmarkStart w:id="273" w:name="_Toc103848583"/>
      <w:bookmarkStart w:id="274" w:name="_Toc104560898"/>
      <w:bookmarkStart w:id="275" w:name="_Toc107246276"/>
      <w:r>
        <w:rPr>
          <w:rFonts w:ascii="Microsoft New Tai Lue" w:hAnsi="Microsoft New Tai Lue" w:cs="Microsoft New Tai Lue"/>
          <w:bCs w:val="0"/>
          <w:color w:val="auto"/>
          <w:sz w:val="24"/>
          <w:szCs w:val="24"/>
          <w:highlight w:val="none"/>
        </w:rPr>
        <w:br w:type="page"/>
      </w:r>
    </w:p>
    <w:p w14:paraId="587BE713">
      <w:pPr>
        <w:pStyle w:val="3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（2）</w:t>
      </w:r>
      <w:bookmarkEnd w:id="273"/>
      <w:bookmarkEnd w:id="274"/>
      <w:r>
        <w:rPr>
          <w:rFonts w:hint="eastAsia" w:ascii="Microsoft New Tai Lue" w:hAnsi="Microsoft New Tai Lue" w:cs="Microsoft New Tai Lue"/>
          <w:bCs w:val="0"/>
          <w:color w:val="auto"/>
          <w:sz w:val="24"/>
          <w:szCs w:val="24"/>
          <w:highlight w:val="none"/>
        </w:rPr>
        <w:t>法定代表人（单位负责人）身份证明</w:t>
      </w:r>
      <w:bookmarkEnd w:id="275"/>
    </w:p>
    <w:p w14:paraId="0CC81E76">
      <w:pPr>
        <w:pStyle w:val="13"/>
        <w:tabs>
          <w:tab w:val="left" w:pos="4228"/>
        </w:tabs>
        <w:ind w:left="1236" w:hanging="396"/>
        <w:rPr>
          <w:rFonts w:ascii="Microsoft New Tai Lue" w:hAnsi="Microsoft New Tai Lue" w:cs="Microsoft New Tai Lue"/>
          <w:color w:val="auto"/>
          <w:spacing w:val="-1"/>
          <w:highlight w:val="none"/>
        </w:rPr>
      </w:pPr>
    </w:p>
    <w:p w14:paraId="4B320F00">
      <w:pPr>
        <w:pStyle w:val="13"/>
        <w:tabs>
          <w:tab w:val="left" w:pos="4228"/>
        </w:tabs>
        <w:ind w:left="1236" w:hanging="396"/>
        <w:rPr>
          <w:rFonts w:ascii="Microsoft New Tai Lue" w:hAnsi="Microsoft New Tai Lue" w:cs="Microsoft New Tai Lue"/>
          <w:color w:val="auto"/>
          <w:spacing w:val="-1"/>
          <w:highlight w:val="none"/>
        </w:rPr>
      </w:pPr>
    </w:p>
    <w:p w14:paraId="00040562">
      <w:pPr>
        <w:pStyle w:val="13"/>
        <w:tabs>
          <w:tab w:val="left" w:pos="4228"/>
        </w:tabs>
        <w:ind w:firstLine="420" w:firstLineChars="200"/>
        <w:rPr>
          <w:rFonts w:eastAsia="Times New Roman"/>
          <w:color w:val="auto"/>
          <w:highlight w:val="none"/>
        </w:rPr>
      </w:pPr>
      <w:r>
        <w:rPr>
          <w:rFonts w:hint="eastAsia"/>
          <w:color w:val="auto"/>
          <w:highlight w:val="none"/>
        </w:rPr>
        <w:t>供应商</w:t>
      </w:r>
      <w:r>
        <w:rPr>
          <w:color w:val="auto"/>
          <w:highlight w:val="none"/>
        </w:rPr>
        <w:t>名</w:t>
      </w:r>
      <w:r>
        <w:rPr>
          <w:color w:val="auto"/>
          <w:spacing w:val="-3"/>
          <w:highlight w:val="none"/>
        </w:rPr>
        <w:t>称</w:t>
      </w:r>
      <w:r>
        <w:rPr>
          <w:color w:val="auto"/>
          <w:highlight w:val="none"/>
        </w:rPr>
        <w:t>：</w:t>
      </w:r>
      <w:r>
        <w:rPr>
          <w:rFonts w:eastAsia="Times New Roman"/>
          <w:color w:val="auto"/>
          <w:highlight w:val="none"/>
          <w:u w:val="single"/>
        </w:rPr>
        <w:t xml:space="preserve"> </w:t>
      </w:r>
      <w:r>
        <w:rPr>
          <w:rFonts w:eastAsia="Times New Roman"/>
          <w:color w:val="auto"/>
          <w:highlight w:val="none"/>
          <w:u w:val="single"/>
        </w:rPr>
        <w:tab/>
      </w:r>
    </w:p>
    <w:p w14:paraId="098F6C59">
      <w:pPr>
        <w:pStyle w:val="13"/>
        <w:tabs>
          <w:tab w:val="left" w:pos="2712"/>
          <w:tab w:val="left" w:pos="4183"/>
          <w:tab w:val="left" w:pos="5652"/>
          <w:tab w:val="left" w:pos="7169"/>
        </w:tabs>
        <w:spacing w:before="170"/>
        <w:ind w:firstLine="420" w:firstLineChars="200"/>
        <w:rPr>
          <w:rFonts w:eastAsia="Times New Roman"/>
          <w:color w:val="auto"/>
          <w:highlight w:val="none"/>
        </w:rPr>
      </w:pPr>
      <w:r>
        <w:rPr>
          <w:color w:val="auto"/>
          <w:highlight w:val="none"/>
        </w:rPr>
        <w:t>姓名</w:t>
      </w:r>
      <w:r>
        <w:rPr>
          <w:color w:val="auto"/>
          <w:spacing w:val="-3"/>
          <w:highlight w:val="none"/>
        </w:rPr>
        <w:t>：</w:t>
      </w:r>
      <w:r>
        <w:rPr>
          <w:color w:val="auto"/>
          <w:spacing w:val="-3"/>
          <w:highlight w:val="none"/>
          <w:u w:val="single"/>
        </w:rPr>
        <w:t xml:space="preserve"> </w:t>
      </w:r>
      <w:r>
        <w:rPr>
          <w:color w:val="auto"/>
          <w:spacing w:val="-3"/>
          <w:highlight w:val="none"/>
          <w:u w:val="single"/>
        </w:rPr>
        <w:tab/>
      </w:r>
      <w:r>
        <w:rPr>
          <w:color w:val="auto"/>
          <w:highlight w:val="none"/>
        </w:rPr>
        <w:t>性别</w:t>
      </w:r>
      <w:r>
        <w:rPr>
          <w:color w:val="auto"/>
          <w:spacing w:val="-3"/>
          <w:highlight w:val="none"/>
        </w:rPr>
        <w:t>：</w:t>
      </w:r>
      <w:r>
        <w:rPr>
          <w:color w:val="auto"/>
          <w:spacing w:val="-3"/>
          <w:highlight w:val="none"/>
          <w:u w:val="single"/>
        </w:rPr>
        <w:t xml:space="preserve"> </w:t>
      </w:r>
      <w:r>
        <w:rPr>
          <w:color w:val="auto"/>
          <w:spacing w:val="-3"/>
          <w:highlight w:val="none"/>
          <w:u w:val="single"/>
        </w:rPr>
        <w:tab/>
      </w:r>
      <w:r>
        <w:rPr>
          <w:color w:val="auto"/>
          <w:highlight w:val="none"/>
        </w:rPr>
        <w:t>年</w:t>
      </w:r>
      <w:r>
        <w:rPr>
          <w:color w:val="auto"/>
          <w:spacing w:val="-3"/>
          <w:highlight w:val="none"/>
        </w:rPr>
        <w:t>龄</w:t>
      </w:r>
      <w:r>
        <w:rPr>
          <w:color w:val="auto"/>
          <w:highlight w:val="none"/>
        </w:rPr>
        <w:t>：</w:t>
      </w:r>
      <w:r>
        <w:rPr>
          <w:color w:val="auto"/>
          <w:highlight w:val="none"/>
          <w:u w:val="single"/>
        </w:rPr>
        <w:t xml:space="preserve"> </w:t>
      </w:r>
      <w:r>
        <w:rPr>
          <w:color w:val="auto"/>
          <w:highlight w:val="none"/>
          <w:u w:val="single"/>
        </w:rPr>
        <w:tab/>
      </w:r>
      <w:r>
        <w:rPr>
          <w:color w:val="auto"/>
          <w:spacing w:val="-1"/>
          <w:highlight w:val="none"/>
        </w:rPr>
        <w:t>职</w:t>
      </w:r>
      <w:r>
        <w:rPr>
          <w:color w:val="auto"/>
          <w:spacing w:val="-3"/>
          <w:highlight w:val="none"/>
        </w:rPr>
        <w:t>务</w:t>
      </w:r>
      <w:r>
        <w:rPr>
          <w:color w:val="auto"/>
          <w:highlight w:val="none"/>
        </w:rPr>
        <w:t>：</w:t>
      </w:r>
      <w:r>
        <w:rPr>
          <w:rFonts w:eastAsia="Times New Roman"/>
          <w:color w:val="auto"/>
          <w:highlight w:val="none"/>
          <w:u w:val="single"/>
        </w:rPr>
        <w:t xml:space="preserve"> </w:t>
      </w:r>
      <w:r>
        <w:rPr>
          <w:rFonts w:eastAsia="Times New Roman"/>
          <w:color w:val="auto"/>
          <w:highlight w:val="none"/>
          <w:u w:val="single"/>
        </w:rPr>
        <w:tab/>
      </w:r>
    </w:p>
    <w:p w14:paraId="3713BE75">
      <w:pPr>
        <w:pStyle w:val="13"/>
        <w:tabs>
          <w:tab w:val="left" w:pos="3132"/>
        </w:tabs>
        <w:spacing w:before="173"/>
        <w:ind w:firstLine="420" w:firstLineChars="200"/>
        <w:rPr>
          <w:color w:val="auto"/>
          <w:highlight w:val="none"/>
        </w:rPr>
      </w:pPr>
      <w:r>
        <w:rPr>
          <w:color w:val="auto"/>
          <w:highlight w:val="none"/>
        </w:rPr>
        <w:t>系</w:t>
      </w:r>
      <w:r>
        <w:rPr>
          <w:color w:val="auto"/>
          <w:highlight w:val="none"/>
          <w:u w:val="single"/>
        </w:rPr>
        <w:t xml:space="preserve"> </w:t>
      </w:r>
      <w:r>
        <w:rPr>
          <w:color w:val="auto"/>
          <w:highlight w:val="none"/>
          <w:u w:val="single"/>
        </w:rPr>
        <w:tab/>
      </w:r>
      <w:r>
        <w:rPr>
          <w:color w:val="auto"/>
          <w:spacing w:val="-3"/>
          <w:highlight w:val="none"/>
        </w:rPr>
        <w:t>（</w:t>
      </w:r>
      <w:r>
        <w:rPr>
          <w:rFonts w:hint="eastAsia"/>
          <w:color w:val="auto"/>
          <w:highlight w:val="none"/>
        </w:rPr>
        <w:t>供应商</w:t>
      </w:r>
      <w:r>
        <w:rPr>
          <w:color w:val="auto"/>
          <w:spacing w:val="-3"/>
          <w:highlight w:val="none"/>
        </w:rPr>
        <w:t>名</w:t>
      </w:r>
      <w:r>
        <w:rPr>
          <w:color w:val="auto"/>
          <w:highlight w:val="none"/>
        </w:rPr>
        <w:t>称</w:t>
      </w:r>
      <w:r>
        <w:rPr>
          <w:color w:val="auto"/>
          <w:spacing w:val="-3"/>
          <w:highlight w:val="none"/>
        </w:rPr>
        <w:t>）</w:t>
      </w:r>
      <w:r>
        <w:rPr>
          <w:color w:val="auto"/>
          <w:highlight w:val="none"/>
        </w:rPr>
        <w:t>的</w:t>
      </w:r>
      <w:r>
        <w:rPr>
          <w:color w:val="auto"/>
          <w:spacing w:val="-3"/>
          <w:highlight w:val="none"/>
        </w:rPr>
        <w:t>法定</w:t>
      </w:r>
      <w:r>
        <w:rPr>
          <w:color w:val="auto"/>
          <w:highlight w:val="none"/>
        </w:rPr>
        <w:t>代表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w:t>
      </w:r>
      <w:r>
        <w:rPr>
          <w:rFonts w:hint="eastAsia"/>
          <w:color w:val="auto"/>
          <w:spacing w:val="-3"/>
          <w:highlight w:val="none"/>
        </w:rPr>
        <w:t>人</w:t>
      </w:r>
      <w:r>
        <w:rPr>
          <w:color w:val="auto"/>
          <w:spacing w:val="-3"/>
          <w:highlight w:val="none"/>
        </w:rPr>
        <w:t>）。</w:t>
      </w:r>
    </w:p>
    <w:p w14:paraId="3F2ED2C3">
      <w:pPr>
        <w:pStyle w:val="13"/>
        <w:spacing w:before="170"/>
        <w:ind w:firstLine="420" w:firstLineChars="200"/>
        <w:rPr>
          <w:color w:val="auto"/>
          <w:highlight w:val="none"/>
        </w:rPr>
      </w:pPr>
      <w:r>
        <w:rPr>
          <w:color w:val="auto"/>
          <w:highlight w:val="none"/>
        </w:rPr>
        <w:t>特此证明。</w:t>
      </w:r>
    </w:p>
    <w:p w14:paraId="6E3A7B77">
      <w:pPr>
        <w:pStyle w:val="13"/>
        <w:ind w:left="1260"/>
        <w:rPr>
          <w:color w:val="auto"/>
          <w:sz w:val="20"/>
          <w:highlight w:val="none"/>
        </w:rPr>
      </w:pPr>
    </w:p>
    <w:p w14:paraId="7E8FC52B">
      <w:pPr>
        <w:pStyle w:val="13"/>
        <w:spacing w:before="10"/>
        <w:ind w:left="1260"/>
        <w:rPr>
          <w:color w:val="auto"/>
          <w:sz w:val="27"/>
          <w:highlight w:val="none"/>
        </w:rPr>
      </w:pPr>
    </w:p>
    <w:p w14:paraId="00EBC3EE">
      <w:pPr>
        <w:spacing w:line="480" w:lineRule="auto"/>
        <w:rPr>
          <w:rFonts w:ascii="Microsoft New Tai Lue" w:hAnsi="Microsoft New Tai Lue" w:cs="Microsoft New Tai Lue"/>
          <w:color w:val="auto"/>
          <w:highlight w:val="none"/>
        </w:rPr>
      </w:pPr>
      <w:r>
        <w:rPr>
          <w:color w:val="auto"/>
          <w:highlight w:val="none"/>
        </w:rPr>
        <w:t>附：法定代表人（单位负责人）</w:t>
      </w:r>
      <w:r>
        <w:rPr>
          <w:rFonts w:hint="eastAsia"/>
          <w:color w:val="auto"/>
          <w:highlight w:val="none"/>
        </w:rPr>
        <w:t>有效期内的身份证复印件</w:t>
      </w:r>
      <w:r>
        <w:rPr>
          <w:rFonts w:ascii="Microsoft New Tai Lue" w:hAnsi="Microsoft New Tai Lue" w:cs="Microsoft New Tai Lue"/>
          <w:color w:val="auto"/>
          <w:highlight w:val="none"/>
        </w:rPr>
        <w:t>（正反面）</w:t>
      </w:r>
    </w:p>
    <w:tbl>
      <w:tblPr>
        <w:tblStyle w:val="34"/>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9"/>
      </w:tblGrid>
      <w:tr w14:paraId="1009A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9" w:type="dxa"/>
            <w:vAlign w:val="center"/>
          </w:tcPr>
          <w:p w14:paraId="148EDDC0">
            <w:pPr>
              <w:pStyle w:val="13"/>
              <w:keepNext w:val="0"/>
              <w:keepLines w:val="0"/>
              <w:suppressLineNumbers w:val="0"/>
              <w:spacing w:before="0" w:beforeAutospacing="0" w:afterAutospacing="0"/>
              <w:ind w:left="0" w:right="0"/>
              <w:jc w:val="center"/>
              <w:rPr>
                <w:rFonts w:hint="default"/>
                <w:i/>
                <w:color w:val="auto"/>
                <w:sz w:val="20"/>
                <w:highlight w:val="none"/>
              </w:rPr>
            </w:pPr>
            <w:r>
              <w:rPr>
                <w:rFonts w:hint="default"/>
                <w:i/>
                <w:color w:val="auto"/>
                <w:sz w:val="24"/>
                <w:highlight w:val="none"/>
              </w:rPr>
              <w:t>身份证正面</w:t>
            </w:r>
          </w:p>
        </w:tc>
      </w:tr>
    </w:tbl>
    <w:p w14:paraId="21A6E05C">
      <w:pPr>
        <w:pStyle w:val="13"/>
        <w:ind w:left="1260"/>
        <w:rPr>
          <w:color w:val="auto"/>
          <w:sz w:val="20"/>
          <w:highlight w:val="none"/>
        </w:rPr>
      </w:pPr>
    </w:p>
    <w:tbl>
      <w:tblPr>
        <w:tblStyle w:val="34"/>
        <w:tblpPr w:leftFromText="180" w:rightFromText="180" w:vertAnchor="text" w:tblpX="4628" w:tblpY="-34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1A9A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vAlign w:val="center"/>
          </w:tcPr>
          <w:p w14:paraId="7728AA38">
            <w:pPr>
              <w:pStyle w:val="13"/>
              <w:keepNext w:val="0"/>
              <w:keepLines w:val="0"/>
              <w:suppressLineNumbers w:val="0"/>
              <w:spacing w:before="0" w:beforeAutospacing="0" w:afterAutospacing="0"/>
              <w:ind w:left="0" w:right="0"/>
              <w:jc w:val="center"/>
              <w:rPr>
                <w:rFonts w:hint="default"/>
                <w:color w:val="auto"/>
                <w:sz w:val="20"/>
                <w:highlight w:val="none"/>
              </w:rPr>
            </w:pPr>
            <w:r>
              <w:rPr>
                <w:rFonts w:hint="default"/>
                <w:i/>
                <w:color w:val="auto"/>
                <w:sz w:val="24"/>
                <w:highlight w:val="none"/>
              </w:rPr>
              <w:t>身份证反面</w:t>
            </w:r>
          </w:p>
        </w:tc>
      </w:tr>
    </w:tbl>
    <w:p w14:paraId="51A08B59">
      <w:pPr>
        <w:pStyle w:val="13"/>
        <w:rPr>
          <w:color w:val="auto"/>
          <w:sz w:val="20"/>
          <w:highlight w:val="none"/>
        </w:rPr>
      </w:pPr>
    </w:p>
    <w:p w14:paraId="5DE85F40">
      <w:pPr>
        <w:pStyle w:val="13"/>
        <w:rPr>
          <w:color w:val="auto"/>
          <w:sz w:val="20"/>
          <w:highlight w:val="none"/>
        </w:rPr>
      </w:pPr>
    </w:p>
    <w:p w14:paraId="2BA17BF5">
      <w:pPr>
        <w:pStyle w:val="13"/>
        <w:ind w:left="1260"/>
        <w:rPr>
          <w:color w:val="auto"/>
          <w:sz w:val="20"/>
          <w:highlight w:val="none"/>
        </w:rPr>
      </w:pPr>
    </w:p>
    <w:p w14:paraId="6C5C5492">
      <w:pPr>
        <w:pStyle w:val="13"/>
        <w:spacing w:before="1"/>
        <w:ind w:left="1260"/>
        <w:rPr>
          <w:color w:val="auto"/>
          <w:sz w:val="22"/>
          <w:highlight w:val="none"/>
        </w:rPr>
      </w:pPr>
    </w:p>
    <w:p w14:paraId="307D813A">
      <w:pPr>
        <w:pStyle w:val="13"/>
        <w:tabs>
          <w:tab w:val="left" w:pos="7977"/>
        </w:tabs>
        <w:ind w:left="1260" w:firstLine="3060" w:firstLineChars="1500"/>
        <w:rPr>
          <w:rFonts w:hint="default" w:eastAsia="宋体"/>
          <w:color w:val="auto"/>
          <w:highlight w:val="none"/>
          <w:lang w:val="en-US" w:eastAsia="zh-CN"/>
        </w:rPr>
      </w:pPr>
      <w:r>
        <w:rPr>
          <w:rFonts w:hint="eastAsia"/>
          <w:color w:val="auto"/>
          <w:spacing w:val="-3"/>
          <w:highlight w:val="none"/>
        </w:rPr>
        <w:t>供应商</w:t>
      </w:r>
      <w:r>
        <w:rPr>
          <w:color w:val="auto"/>
          <w:spacing w:val="-3"/>
          <w:highlight w:val="none"/>
        </w:rPr>
        <w:t>名称（</w:t>
      </w:r>
      <w:r>
        <w:rPr>
          <w:rFonts w:hint="eastAsia"/>
          <w:color w:val="auto"/>
          <w:szCs w:val="21"/>
          <w:highlight w:val="none"/>
        </w:rPr>
        <w:t>加盖CA电子公章</w:t>
      </w:r>
      <w:r>
        <w:rPr>
          <w:color w:val="auto"/>
          <w:spacing w:val="-3"/>
          <w:highlight w:val="none"/>
        </w:rPr>
        <w:t>）</w:t>
      </w:r>
      <w:r>
        <w:rPr>
          <w:color w:val="auto"/>
          <w:highlight w:val="none"/>
        </w:rPr>
        <w:t>：</w:t>
      </w:r>
      <w:r>
        <w:rPr>
          <w:color w:val="auto"/>
          <w:highlight w:val="none"/>
          <w:u w:val="single"/>
        </w:rPr>
        <w:t xml:space="preserve"> </w:t>
      </w:r>
      <w:r>
        <w:rPr>
          <w:rFonts w:hint="eastAsia"/>
          <w:color w:val="auto"/>
          <w:highlight w:val="none"/>
          <w:u w:val="single"/>
          <w:lang w:val="en-US" w:eastAsia="zh-CN"/>
        </w:rPr>
        <w:t xml:space="preserve">  </w:t>
      </w:r>
    </w:p>
    <w:p w14:paraId="2909D496">
      <w:pPr>
        <w:rPr>
          <w:rFonts w:eastAsia="黑体"/>
          <w:b/>
          <w:color w:val="auto"/>
          <w:sz w:val="32"/>
          <w:szCs w:val="32"/>
          <w:highlight w:val="none"/>
        </w:rPr>
      </w:pPr>
      <w:r>
        <w:rPr>
          <w:color w:val="auto"/>
          <w:spacing w:val="-3"/>
          <w:highlight w:val="none"/>
        </w:rPr>
        <w:t xml:space="preserve">                                            </w:t>
      </w:r>
      <w:r>
        <w:rPr>
          <w:bCs/>
          <w:color w:val="auto"/>
          <w:highlight w:val="none"/>
        </w:rPr>
        <w:t>日期：______年</w:t>
      </w:r>
      <w:r>
        <w:rPr>
          <w:bCs/>
          <w:color w:val="auto"/>
          <w:highlight w:val="none"/>
          <w:u w:val="single"/>
        </w:rPr>
        <w:t xml:space="preserve">    </w:t>
      </w:r>
      <w:r>
        <w:rPr>
          <w:bCs/>
          <w:color w:val="auto"/>
          <w:highlight w:val="none"/>
        </w:rPr>
        <w:t>月</w:t>
      </w:r>
      <w:r>
        <w:rPr>
          <w:bCs/>
          <w:color w:val="auto"/>
          <w:highlight w:val="none"/>
          <w:u w:val="single"/>
        </w:rPr>
        <w:t xml:space="preserve">    </w:t>
      </w:r>
      <w:r>
        <w:rPr>
          <w:bCs/>
          <w:color w:val="auto"/>
          <w:highlight w:val="none"/>
        </w:rPr>
        <w:t>日</w:t>
      </w:r>
    </w:p>
    <w:p w14:paraId="37470FAB">
      <w:pPr>
        <w:pStyle w:val="32"/>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r>
      <w:bookmarkStart w:id="276" w:name="_Toc107246277"/>
      <w:bookmarkStart w:id="277" w:name="_Toc103848584"/>
      <w:bookmarkStart w:id="278" w:name="_Toc104560899"/>
      <w:r>
        <w:rPr>
          <w:rFonts w:ascii="Microsoft New Tai Lue" w:hAnsi="Microsoft New Tai Lue" w:cs="Microsoft New Tai Lue"/>
          <w:bCs w:val="0"/>
          <w:color w:val="auto"/>
          <w:sz w:val="24"/>
          <w:szCs w:val="24"/>
          <w:highlight w:val="none"/>
        </w:rPr>
        <w:t>（3）法定代表人</w:t>
      </w:r>
      <w:r>
        <w:rPr>
          <w:rFonts w:hint="eastAsia" w:ascii="Microsoft New Tai Lue" w:hAnsi="Microsoft New Tai Lue" w:cs="Microsoft New Tai Lue"/>
          <w:bCs w:val="0"/>
          <w:color w:val="auto"/>
          <w:sz w:val="24"/>
          <w:szCs w:val="24"/>
          <w:highlight w:val="none"/>
        </w:rPr>
        <w:t>（单位负责人）</w:t>
      </w:r>
      <w:r>
        <w:rPr>
          <w:rFonts w:ascii="Microsoft New Tai Lue" w:hAnsi="Microsoft New Tai Lue" w:cs="Microsoft New Tai Lue"/>
          <w:bCs w:val="0"/>
          <w:color w:val="auto"/>
          <w:sz w:val="24"/>
          <w:szCs w:val="24"/>
          <w:highlight w:val="none"/>
        </w:rPr>
        <w:t>授权委托书</w:t>
      </w:r>
      <w:bookmarkEnd w:id="276"/>
      <w:bookmarkEnd w:id="277"/>
      <w:bookmarkEnd w:id="278"/>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适用于法人/非法人</w:t>
      </w:r>
      <w:r>
        <w:rPr>
          <w:rFonts w:hint="eastAsia" w:ascii="Microsoft New Tai Lue" w:hAnsi="Microsoft New Tai Lue" w:cs="Microsoft New Tai Lue"/>
          <w:bCs w:val="0"/>
          <w:color w:val="auto"/>
          <w:sz w:val="24"/>
          <w:szCs w:val="24"/>
          <w:highlight w:val="none"/>
        </w:rPr>
        <w:t>）</w:t>
      </w:r>
    </w:p>
    <w:p w14:paraId="18901153">
      <w:pPr>
        <w:jc w:val="center"/>
        <w:rPr>
          <w:b/>
          <w:bCs/>
          <w:color w:val="auto"/>
          <w:sz w:val="24"/>
          <w:highlight w:val="none"/>
        </w:rPr>
      </w:pPr>
    </w:p>
    <w:p w14:paraId="286E494D">
      <w:pPr>
        <w:spacing w:line="300" w:lineRule="exact"/>
        <w:ind w:firstLine="420" w:firstLineChars="200"/>
        <w:rPr>
          <w:color w:val="auto"/>
          <w:szCs w:val="21"/>
          <w:highlight w:val="none"/>
        </w:rPr>
      </w:pPr>
      <w:r>
        <w:rPr>
          <w:color w:val="auto"/>
          <w:szCs w:val="21"/>
          <w:highlight w:val="none"/>
        </w:rPr>
        <w:t>本授权书声明：注册于</w:t>
      </w:r>
      <w:r>
        <w:rPr>
          <w:color w:val="auto"/>
          <w:szCs w:val="21"/>
          <w:highlight w:val="none"/>
          <w:u w:val="single"/>
        </w:rPr>
        <w:t>（国家或地区的名称）</w:t>
      </w:r>
      <w:r>
        <w:rPr>
          <w:color w:val="auto"/>
          <w:szCs w:val="21"/>
          <w:highlight w:val="none"/>
        </w:rPr>
        <w:t>的</w:t>
      </w:r>
      <w:r>
        <w:rPr>
          <w:color w:val="auto"/>
          <w:szCs w:val="21"/>
          <w:highlight w:val="none"/>
          <w:u w:val="single"/>
        </w:rPr>
        <w:t xml:space="preserve">     （</w:t>
      </w:r>
      <w:r>
        <w:rPr>
          <w:rFonts w:hint="eastAsia"/>
          <w:color w:val="auto"/>
          <w:szCs w:val="21"/>
          <w:highlight w:val="none"/>
          <w:u w:val="single"/>
        </w:rPr>
        <w:t>单位</w:t>
      </w:r>
      <w:r>
        <w:rPr>
          <w:color w:val="auto"/>
          <w:szCs w:val="21"/>
          <w:highlight w:val="none"/>
          <w:u w:val="single"/>
        </w:rPr>
        <w:t xml:space="preserve">名称）   </w:t>
      </w:r>
      <w:r>
        <w:rPr>
          <w:color w:val="auto"/>
          <w:szCs w:val="21"/>
          <w:highlight w:val="none"/>
        </w:rPr>
        <w:t>的在法定代表人（签字或盖章）处签字的</w:t>
      </w:r>
      <w:r>
        <w:rPr>
          <w:color w:val="auto"/>
          <w:szCs w:val="21"/>
          <w:highlight w:val="none"/>
          <w:u w:val="single"/>
        </w:rPr>
        <w:t xml:space="preserve">   （法定代表人姓名、职务）   </w:t>
      </w:r>
      <w:r>
        <w:rPr>
          <w:color w:val="auto"/>
          <w:szCs w:val="21"/>
          <w:highlight w:val="none"/>
        </w:rPr>
        <w:t>代表本</w:t>
      </w:r>
      <w:r>
        <w:rPr>
          <w:rFonts w:hint="eastAsia"/>
          <w:color w:val="auto"/>
          <w:szCs w:val="21"/>
          <w:highlight w:val="none"/>
        </w:rPr>
        <w:t>单位</w:t>
      </w:r>
      <w:r>
        <w:rPr>
          <w:color w:val="auto"/>
          <w:szCs w:val="21"/>
          <w:highlight w:val="none"/>
        </w:rPr>
        <w:t>授权</w:t>
      </w:r>
      <w:r>
        <w:rPr>
          <w:color w:val="auto"/>
          <w:szCs w:val="21"/>
          <w:highlight w:val="none"/>
          <w:u w:val="single"/>
        </w:rPr>
        <w:t xml:space="preserve">       （单位名称）      </w:t>
      </w:r>
      <w:r>
        <w:rPr>
          <w:color w:val="auto"/>
          <w:szCs w:val="21"/>
          <w:highlight w:val="none"/>
        </w:rPr>
        <w:t>的在授权代表（签字）处签字的</w:t>
      </w:r>
      <w:r>
        <w:rPr>
          <w:color w:val="auto"/>
          <w:szCs w:val="21"/>
          <w:highlight w:val="none"/>
          <w:u w:val="single"/>
        </w:rPr>
        <w:t>（授权代表的姓名、职务）（身份证号码：             ）</w:t>
      </w:r>
      <w:r>
        <w:rPr>
          <w:color w:val="auto"/>
          <w:szCs w:val="21"/>
          <w:highlight w:val="none"/>
        </w:rPr>
        <w:t>为本</w:t>
      </w:r>
      <w:r>
        <w:rPr>
          <w:rFonts w:hint="eastAsia"/>
          <w:color w:val="auto"/>
          <w:szCs w:val="21"/>
          <w:highlight w:val="none"/>
        </w:rPr>
        <w:t>单位</w:t>
      </w:r>
      <w:r>
        <w:rPr>
          <w:color w:val="auto"/>
          <w:szCs w:val="21"/>
          <w:highlight w:val="none"/>
        </w:rPr>
        <w:t>的合法代理人，就</w:t>
      </w:r>
      <w:r>
        <w:rPr>
          <w:color w:val="auto"/>
          <w:szCs w:val="21"/>
          <w:highlight w:val="none"/>
          <w:u w:val="single"/>
        </w:rPr>
        <w:t xml:space="preserve">        （项目名称、项目编号</w:t>
      </w:r>
      <w:r>
        <w:rPr>
          <w:rFonts w:hint="eastAsia"/>
          <w:color w:val="auto"/>
          <w:szCs w:val="21"/>
          <w:highlight w:val="none"/>
          <w:u w:val="single"/>
        </w:rPr>
        <w:t>、包号</w:t>
      </w:r>
      <w:r>
        <w:rPr>
          <w:color w:val="auto"/>
          <w:szCs w:val="21"/>
          <w:highlight w:val="none"/>
          <w:u w:val="single"/>
        </w:rPr>
        <w:t xml:space="preserve">）         </w:t>
      </w:r>
      <w:r>
        <w:rPr>
          <w:color w:val="auto"/>
          <w:szCs w:val="21"/>
          <w:highlight w:val="none"/>
        </w:rPr>
        <w:t>，以本</w:t>
      </w:r>
      <w:r>
        <w:rPr>
          <w:rFonts w:hint="eastAsia"/>
          <w:color w:val="auto"/>
          <w:szCs w:val="21"/>
          <w:highlight w:val="none"/>
        </w:rPr>
        <w:t>单位</w:t>
      </w:r>
      <w:r>
        <w:rPr>
          <w:color w:val="auto"/>
          <w:szCs w:val="21"/>
          <w:highlight w:val="none"/>
        </w:rPr>
        <w:t>名义处理一切与之相关的事务，其后果由我</w:t>
      </w:r>
      <w:r>
        <w:rPr>
          <w:rFonts w:hint="eastAsia"/>
          <w:color w:val="auto"/>
          <w:szCs w:val="21"/>
          <w:highlight w:val="none"/>
        </w:rPr>
        <w:t>单位</w:t>
      </w:r>
      <w:r>
        <w:rPr>
          <w:color w:val="auto"/>
          <w:szCs w:val="21"/>
          <w:highlight w:val="none"/>
        </w:rPr>
        <w:t>承担。</w:t>
      </w:r>
    </w:p>
    <w:p w14:paraId="1ED937DE">
      <w:pPr>
        <w:spacing w:line="300" w:lineRule="exact"/>
        <w:ind w:firstLine="420" w:firstLineChars="2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代理人无转委托权，特此委托。</w:t>
      </w:r>
    </w:p>
    <w:p w14:paraId="3A0ED04A">
      <w:pPr>
        <w:spacing w:line="300" w:lineRule="exact"/>
        <w:ind w:firstLine="420" w:firstLineChars="200"/>
        <w:rPr>
          <w:color w:val="auto"/>
          <w:szCs w:val="21"/>
          <w:highlight w:val="none"/>
        </w:rPr>
      </w:pPr>
      <w:r>
        <w:rPr>
          <w:rFonts w:hint="eastAsia"/>
          <w:color w:val="auto"/>
          <w:szCs w:val="21"/>
          <w:highlight w:val="none"/>
        </w:rPr>
        <w:t>委托期限：自本授权委托书签署之日起至投标有效期届满之日止。</w:t>
      </w:r>
    </w:p>
    <w:p w14:paraId="73315000">
      <w:pPr>
        <w:spacing w:line="300" w:lineRule="exact"/>
        <w:ind w:firstLine="420" w:firstLineChars="200"/>
        <w:rPr>
          <w:color w:val="auto"/>
          <w:szCs w:val="21"/>
          <w:highlight w:val="none"/>
        </w:rPr>
      </w:pPr>
      <w:r>
        <w:rPr>
          <w:rFonts w:hint="eastAsia"/>
          <w:color w:val="auto"/>
          <w:szCs w:val="21"/>
          <w:highlight w:val="none"/>
        </w:rPr>
        <w:t>供应商</w:t>
      </w:r>
      <w:r>
        <w:rPr>
          <w:color w:val="auto"/>
          <w:szCs w:val="21"/>
          <w:highlight w:val="none"/>
        </w:rPr>
        <w:t>名称（</w:t>
      </w:r>
      <w:r>
        <w:rPr>
          <w:rFonts w:hint="eastAsia"/>
          <w:color w:val="auto"/>
          <w:szCs w:val="21"/>
          <w:highlight w:val="none"/>
        </w:rPr>
        <w:t>加盖CA电子公章</w:t>
      </w:r>
      <w:r>
        <w:rPr>
          <w:color w:val="auto"/>
          <w:szCs w:val="21"/>
          <w:highlight w:val="none"/>
        </w:rPr>
        <w:t xml:space="preserve">）：  </w:t>
      </w:r>
      <w:r>
        <w:rPr>
          <w:color w:val="auto"/>
          <w:szCs w:val="21"/>
          <w:highlight w:val="none"/>
          <w:u w:val="single"/>
        </w:rPr>
        <w:t xml:space="preserve">              </w:t>
      </w:r>
    </w:p>
    <w:p w14:paraId="3892E5E0">
      <w:pPr>
        <w:spacing w:line="300" w:lineRule="exact"/>
        <w:ind w:firstLine="420" w:firstLineChars="200"/>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p>
    <w:p w14:paraId="6EF6CE6F">
      <w:pPr>
        <w:pStyle w:val="30"/>
        <w:spacing w:after="0" w:line="300" w:lineRule="exact"/>
        <w:ind w:firstLine="420" w:firstLineChars="200"/>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 xml:space="preserve"> </w:t>
      </w:r>
      <w:r>
        <w:rPr>
          <w:rFonts w:ascii="Times New Roman" w:hAnsi="Times New Roman"/>
          <w:color w:val="auto"/>
          <w:szCs w:val="21"/>
          <w:highlight w:val="none"/>
          <w:u w:val="single"/>
        </w:rPr>
        <w:t xml:space="preserve"> </w:t>
      </w:r>
    </w:p>
    <w:p w14:paraId="2866B540">
      <w:pPr>
        <w:spacing w:line="300" w:lineRule="exact"/>
        <w:ind w:firstLine="420" w:firstLineChars="200"/>
        <w:rPr>
          <w:color w:val="auto"/>
          <w:szCs w:val="21"/>
          <w:highlight w:val="none"/>
          <w:u w:val="single"/>
        </w:rPr>
      </w:pPr>
      <w:r>
        <w:rPr>
          <w:color w:val="auto"/>
          <w:szCs w:val="21"/>
          <w:highlight w:val="none"/>
        </w:rPr>
        <w:t>授权代表（签字）：</w:t>
      </w:r>
      <w:r>
        <w:rPr>
          <w:color w:val="auto"/>
          <w:szCs w:val="21"/>
          <w:highlight w:val="none"/>
          <w:u w:val="single"/>
        </w:rPr>
        <w:t xml:space="preserve">                           </w:t>
      </w:r>
      <w:r>
        <w:rPr>
          <w:rFonts w:hint="eastAsia"/>
          <w:color w:val="auto"/>
          <w:szCs w:val="21"/>
          <w:highlight w:val="none"/>
          <w:u w:val="single"/>
          <w:lang w:val="en-US" w:eastAsia="zh-CN"/>
        </w:rPr>
        <w:t xml:space="preserve">  </w:t>
      </w:r>
      <w:r>
        <w:rPr>
          <w:color w:val="auto"/>
          <w:szCs w:val="21"/>
          <w:highlight w:val="none"/>
          <w:u w:val="single"/>
        </w:rPr>
        <w:t xml:space="preserve"> </w:t>
      </w:r>
    </w:p>
    <w:p w14:paraId="06F57F4C">
      <w:pPr>
        <w:pStyle w:val="30"/>
        <w:spacing w:after="0" w:line="300" w:lineRule="exact"/>
        <w:ind w:firstLine="420" w:firstLineChars="200"/>
        <w:rPr>
          <w:rFonts w:ascii="Times New Roman" w:hAnsi="Times New Roman"/>
          <w:color w:val="auto"/>
          <w:highlight w:val="none"/>
        </w:rPr>
      </w:pPr>
      <w:r>
        <w:rPr>
          <w:rFonts w:ascii="Times New Roman" w:hAnsi="Times New Roman"/>
          <w:color w:val="auto"/>
          <w:szCs w:val="21"/>
          <w:highlight w:val="none"/>
        </w:rPr>
        <w:t>身份证号码：</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 xml:space="preserve"> </w:t>
      </w:r>
      <w:r>
        <w:rPr>
          <w:rFonts w:ascii="Times New Roman" w:hAnsi="Times New Roman"/>
          <w:color w:val="auto"/>
          <w:szCs w:val="21"/>
          <w:highlight w:val="none"/>
          <w:u w:val="single"/>
        </w:rPr>
        <w:t xml:space="preserve">    </w:t>
      </w:r>
    </w:p>
    <w:p w14:paraId="310B7DB5">
      <w:pPr>
        <w:pStyle w:val="30"/>
        <w:spacing w:after="0" w:line="300" w:lineRule="exact"/>
        <w:ind w:firstLine="420" w:firstLineChars="200"/>
        <w:rPr>
          <w:rFonts w:ascii="Times New Roman" w:hAnsi="Times New Roman"/>
          <w:color w:val="auto"/>
          <w:highlight w:val="none"/>
          <w:u w:val="single"/>
        </w:rPr>
      </w:pPr>
      <w:r>
        <w:rPr>
          <w:rFonts w:hint="eastAsia" w:ascii="Times New Roman" w:hAnsi="Times New Roman"/>
          <w:color w:val="auto"/>
          <w:highlight w:val="none"/>
        </w:rPr>
        <w:t>日期：</w:t>
      </w:r>
      <w:r>
        <w:rPr>
          <w:rFonts w:hint="eastAsia"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hint="eastAsia" w:ascii="Times New Roman" w:hAnsi="Times New Roman"/>
          <w:color w:val="auto"/>
          <w:highlight w:val="none"/>
          <w:u w:val="single"/>
        </w:rPr>
        <w:t xml:space="preserve"> </w:t>
      </w:r>
    </w:p>
    <w:p w14:paraId="2490898E">
      <w:pPr>
        <w:spacing w:line="480" w:lineRule="auto"/>
        <w:rPr>
          <w:rFonts w:ascii="Microsoft New Tai Lue" w:hAnsi="Microsoft New Tai Lue" w:cs="Microsoft New Tai Lue"/>
          <w:color w:val="auto"/>
          <w:highlight w:val="none"/>
        </w:rPr>
      </w:pPr>
      <w:r>
        <w:rPr>
          <w:rFonts w:hint="eastAsia"/>
          <w:color w:val="auto"/>
          <w:szCs w:val="21"/>
          <w:highlight w:val="none"/>
        </w:rPr>
        <w:t>附：法定代表人（单位负责人）有效期内的</w:t>
      </w:r>
      <w:r>
        <w:rPr>
          <w:rFonts w:ascii="Microsoft New Tai Lue" w:hAnsi="Microsoft New Tai Lue" w:cs="Microsoft New Tai Lue"/>
          <w:color w:val="auto"/>
          <w:highlight w:val="none"/>
        </w:rPr>
        <w:t>身份证复印件（正反面）</w:t>
      </w:r>
    </w:p>
    <w:tbl>
      <w:tblPr>
        <w:tblStyle w:val="3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5C11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407084E5">
            <w:pPr>
              <w:pStyle w:val="13"/>
              <w:keepNext w:val="0"/>
              <w:keepLines w:val="0"/>
              <w:suppressLineNumbers w:val="0"/>
              <w:spacing w:before="0" w:beforeAutospacing="0" w:afterAutospacing="0" w:line="300" w:lineRule="exact"/>
              <w:ind w:left="0" w:right="0"/>
              <w:jc w:val="center"/>
              <w:rPr>
                <w:rFonts w:hint="default"/>
                <w:i/>
                <w:color w:val="auto"/>
                <w:sz w:val="20"/>
                <w:highlight w:val="none"/>
              </w:rPr>
            </w:pPr>
            <w:r>
              <w:rPr>
                <w:rFonts w:hint="default"/>
                <w:i/>
                <w:color w:val="auto"/>
                <w:sz w:val="24"/>
                <w:highlight w:val="none"/>
              </w:rPr>
              <w:t>身份证正面</w:t>
            </w:r>
          </w:p>
        </w:tc>
        <w:tc>
          <w:tcPr>
            <w:tcW w:w="284" w:type="dxa"/>
            <w:tcBorders>
              <w:top w:val="nil"/>
              <w:bottom w:val="nil"/>
            </w:tcBorders>
          </w:tcPr>
          <w:p w14:paraId="041A9445">
            <w:pPr>
              <w:keepNext w:val="0"/>
              <w:keepLines w:val="0"/>
              <w:widowControl/>
              <w:suppressLineNumbers w:val="0"/>
              <w:spacing w:before="0" w:beforeAutospacing="0" w:after="0" w:afterAutospacing="0" w:line="300" w:lineRule="exact"/>
              <w:ind w:left="0" w:right="0"/>
              <w:jc w:val="left"/>
              <w:rPr>
                <w:rFonts w:hint="default"/>
                <w:color w:val="auto"/>
                <w:sz w:val="20"/>
                <w:highlight w:val="none"/>
              </w:rPr>
            </w:pPr>
          </w:p>
        </w:tc>
        <w:tc>
          <w:tcPr>
            <w:tcW w:w="4677" w:type="dxa"/>
            <w:vAlign w:val="center"/>
          </w:tcPr>
          <w:p w14:paraId="590CD208">
            <w:pPr>
              <w:keepNext w:val="0"/>
              <w:keepLines w:val="0"/>
              <w:widowControl/>
              <w:suppressLineNumbers w:val="0"/>
              <w:spacing w:before="0" w:beforeAutospacing="0" w:after="0" w:afterAutospacing="0" w:line="300" w:lineRule="exact"/>
              <w:ind w:left="0" w:right="0"/>
              <w:jc w:val="center"/>
              <w:rPr>
                <w:rFonts w:hint="default"/>
                <w:color w:val="auto"/>
                <w:sz w:val="20"/>
                <w:highlight w:val="none"/>
              </w:rPr>
            </w:pPr>
            <w:r>
              <w:rPr>
                <w:rFonts w:hint="default"/>
                <w:i/>
                <w:color w:val="auto"/>
                <w:sz w:val="24"/>
                <w:highlight w:val="none"/>
              </w:rPr>
              <w:t>身份证反面</w:t>
            </w:r>
          </w:p>
        </w:tc>
      </w:tr>
    </w:tbl>
    <w:p w14:paraId="0CB3CF70">
      <w:pPr>
        <w:spacing w:line="480" w:lineRule="auto"/>
        <w:rPr>
          <w:rFonts w:ascii="Microsoft New Tai Lue" w:hAnsi="Microsoft New Tai Lue" w:cs="Microsoft New Tai Lue"/>
          <w:color w:val="auto"/>
          <w:highlight w:val="none"/>
        </w:rPr>
      </w:pPr>
      <w:r>
        <w:rPr>
          <w:color w:val="auto"/>
          <w:szCs w:val="21"/>
          <w:highlight w:val="none"/>
        </w:rPr>
        <w:t>授权代表</w:t>
      </w:r>
      <w:r>
        <w:rPr>
          <w:rFonts w:hint="eastAsia"/>
          <w:color w:val="auto"/>
          <w:szCs w:val="21"/>
          <w:highlight w:val="none"/>
        </w:rPr>
        <w:t>有效期内的身份证复印件</w:t>
      </w:r>
      <w:r>
        <w:rPr>
          <w:rFonts w:ascii="Microsoft New Tai Lue" w:hAnsi="Microsoft New Tai Lue" w:cs="Microsoft New Tai Lue"/>
          <w:color w:val="auto"/>
          <w:highlight w:val="none"/>
        </w:rPr>
        <w:t>（正反面）</w:t>
      </w:r>
    </w:p>
    <w:tbl>
      <w:tblPr>
        <w:tblStyle w:val="3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17750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3546F06B">
            <w:pPr>
              <w:pStyle w:val="13"/>
              <w:keepNext w:val="0"/>
              <w:keepLines w:val="0"/>
              <w:suppressLineNumbers w:val="0"/>
              <w:spacing w:before="0" w:beforeAutospacing="0" w:afterAutospacing="0" w:line="300" w:lineRule="exact"/>
              <w:ind w:left="0" w:right="0"/>
              <w:jc w:val="center"/>
              <w:rPr>
                <w:rFonts w:hint="default"/>
                <w:i/>
                <w:color w:val="auto"/>
                <w:sz w:val="20"/>
                <w:highlight w:val="none"/>
              </w:rPr>
            </w:pPr>
            <w:r>
              <w:rPr>
                <w:rFonts w:hint="default"/>
                <w:i/>
                <w:color w:val="auto"/>
                <w:sz w:val="24"/>
                <w:highlight w:val="none"/>
              </w:rPr>
              <w:t>身份证正面</w:t>
            </w:r>
          </w:p>
        </w:tc>
        <w:tc>
          <w:tcPr>
            <w:tcW w:w="278" w:type="dxa"/>
            <w:tcBorders>
              <w:top w:val="nil"/>
              <w:bottom w:val="nil"/>
            </w:tcBorders>
          </w:tcPr>
          <w:p w14:paraId="5D4DDC5E">
            <w:pPr>
              <w:keepNext w:val="0"/>
              <w:keepLines w:val="0"/>
              <w:widowControl/>
              <w:suppressLineNumbers w:val="0"/>
              <w:spacing w:before="0" w:beforeAutospacing="0" w:after="0" w:afterAutospacing="0" w:line="300" w:lineRule="exact"/>
              <w:ind w:left="0" w:right="0"/>
              <w:jc w:val="left"/>
              <w:rPr>
                <w:rFonts w:hint="default"/>
                <w:color w:val="auto"/>
                <w:sz w:val="20"/>
                <w:highlight w:val="none"/>
              </w:rPr>
            </w:pPr>
          </w:p>
        </w:tc>
        <w:tc>
          <w:tcPr>
            <w:tcW w:w="4695" w:type="dxa"/>
            <w:vAlign w:val="center"/>
          </w:tcPr>
          <w:p w14:paraId="32C24CA5">
            <w:pPr>
              <w:keepNext w:val="0"/>
              <w:keepLines w:val="0"/>
              <w:widowControl/>
              <w:suppressLineNumbers w:val="0"/>
              <w:spacing w:before="0" w:beforeAutospacing="0" w:after="0" w:afterAutospacing="0" w:line="300" w:lineRule="exact"/>
              <w:ind w:left="0" w:right="0"/>
              <w:jc w:val="center"/>
              <w:rPr>
                <w:rFonts w:hint="default"/>
                <w:color w:val="auto"/>
                <w:sz w:val="20"/>
                <w:highlight w:val="none"/>
              </w:rPr>
            </w:pPr>
            <w:r>
              <w:rPr>
                <w:rFonts w:hint="default"/>
                <w:i/>
                <w:color w:val="auto"/>
                <w:sz w:val="24"/>
                <w:highlight w:val="none"/>
              </w:rPr>
              <w:t>身份证反面</w:t>
            </w:r>
          </w:p>
        </w:tc>
      </w:tr>
    </w:tbl>
    <w:p w14:paraId="036959C0">
      <w:pPr>
        <w:pStyle w:val="30"/>
        <w:spacing w:line="300" w:lineRule="exact"/>
        <w:rPr>
          <w:rFonts w:ascii="Times New Roman" w:hAnsi="Times New Roman"/>
          <w:b/>
          <w:bCs/>
          <w:color w:val="auto"/>
          <w:szCs w:val="21"/>
          <w:highlight w:val="none"/>
        </w:rPr>
      </w:pPr>
      <w:r>
        <w:rPr>
          <w:rFonts w:ascii="Times New Roman" w:hAnsi="Times New Roman"/>
          <w:b/>
          <w:bCs/>
          <w:color w:val="auto"/>
          <w:szCs w:val="21"/>
          <w:highlight w:val="none"/>
        </w:rPr>
        <w:t>注：</w:t>
      </w:r>
      <w:r>
        <w:rPr>
          <w:rFonts w:hint="eastAsia" w:ascii="Times New Roman" w:hAnsi="Times New Roman"/>
          <w:b/>
          <w:bCs/>
          <w:color w:val="auto"/>
          <w:szCs w:val="21"/>
          <w:highlight w:val="none"/>
        </w:rPr>
        <w:t xml:space="preserve"> </w:t>
      </w:r>
    </w:p>
    <w:p w14:paraId="68E1EC91">
      <w:pPr>
        <w:pStyle w:val="30"/>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1.</w:t>
      </w:r>
      <w:r>
        <w:rPr>
          <w:rFonts w:hint="eastAsia"/>
          <w:color w:val="auto"/>
          <w:highlight w:val="none"/>
        </w:rPr>
        <w:t xml:space="preserve"> </w:t>
      </w:r>
      <w:r>
        <w:rPr>
          <w:rFonts w:hint="eastAsia" w:ascii="Times New Roman" w:hAnsi="Times New Roman"/>
          <w:b/>
          <w:bCs/>
          <w:color w:val="auto"/>
          <w:szCs w:val="21"/>
          <w:highlight w:val="none"/>
        </w:rPr>
        <w:t>若供应商为分公司、分支机构等依法无需设置法定代表人职务的单位（仅当招标文件注明允许上述单位投标时），法定代表人签字处可由单位负责人签署。</w:t>
      </w:r>
    </w:p>
    <w:p w14:paraId="37F4E68A">
      <w:pPr>
        <w:pStyle w:val="30"/>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2.若投标文件中签字之处均为法定代表人（单位负责人）本人签署，则可不提供本《授权委托书》，但须提供《法定代表人（单位负责人）身份证明》。</w:t>
      </w:r>
      <w:bookmarkStart w:id="279" w:name="_Toc107246279"/>
      <w:bookmarkStart w:id="280" w:name="_Toc104560895"/>
    </w:p>
    <w:p w14:paraId="1AE5173B">
      <w:pPr>
        <w:pStyle w:val="32"/>
        <w:spacing w:line="240" w:lineRule="atLeast"/>
        <w:rPr>
          <w:rFonts w:ascii="Microsoft New Tai Lue" w:hAnsi="Microsoft New Tai Lue" w:cs="Microsoft New Tai Lue"/>
          <w:color w:val="auto"/>
          <w:szCs w:val="24"/>
          <w:highlight w:val="none"/>
        </w:rPr>
      </w:pPr>
      <w:r>
        <w:rPr>
          <w:color w:val="auto"/>
          <w:highlight w:val="none"/>
        </w:rPr>
        <w:br w:type="page"/>
      </w:r>
      <w:bookmarkEnd w:id="271"/>
      <w:bookmarkEnd w:id="279"/>
      <w:bookmarkEnd w:id="280"/>
      <w:r>
        <w:rPr>
          <w:rFonts w:ascii="Microsoft New Tai Lue" w:hAnsi="Microsoft New Tai Lue" w:cs="Microsoft New Tai Lue"/>
          <w:bCs w:val="0"/>
          <w:color w:val="auto"/>
          <w:sz w:val="24"/>
          <w:szCs w:val="24"/>
          <w:highlight w:val="none"/>
        </w:rPr>
        <w:t>（4）开标一览表</w:t>
      </w:r>
      <w:r>
        <w:rPr>
          <w:rFonts w:hint="eastAsia" w:ascii="Microsoft New Tai Lue" w:hAnsi="Microsoft New Tai Lue" w:cs="Microsoft New Tai Lue"/>
          <w:bCs w:val="0"/>
          <w:color w:val="auto"/>
          <w:sz w:val="24"/>
          <w:szCs w:val="24"/>
          <w:highlight w:val="none"/>
        </w:rPr>
        <w:t>（总价）</w:t>
      </w:r>
    </w:p>
    <w:p w14:paraId="30BDC85A">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auto"/>
          <w:sz w:val="24"/>
          <w:szCs w:val="24"/>
          <w:highlight w:val="none"/>
        </w:rPr>
      </w:pPr>
    </w:p>
    <w:p w14:paraId="61EF4A67">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auto"/>
          <w:sz w:val="21"/>
          <w:szCs w:val="21"/>
          <w:highlight w:val="none"/>
        </w:rPr>
      </w:pPr>
      <w:r>
        <w:rPr>
          <w:rFonts w:hint="eastAsia"/>
          <w:b w:val="0"/>
          <w:color w:val="auto"/>
          <w:sz w:val="21"/>
          <w:szCs w:val="21"/>
          <w:highlight w:val="none"/>
        </w:rPr>
        <w:t>投标人全称（CA公章）：供应商名称</w:t>
      </w:r>
    </w:p>
    <w:p w14:paraId="25781AC9">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auto"/>
          <w:sz w:val="21"/>
          <w:szCs w:val="21"/>
          <w:highlight w:val="none"/>
        </w:rPr>
      </w:pPr>
      <w:r>
        <w:rPr>
          <w:rFonts w:hint="eastAsia"/>
          <w:b w:val="0"/>
          <w:color w:val="auto"/>
          <w:sz w:val="21"/>
          <w:szCs w:val="21"/>
          <w:highlight w:val="none"/>
        </w:rPr>
        <w:t>项目名称：项目名称</w:t>
      </w:r>
    </w:p>
    <w:p w14:paraId="7304C4F2">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auto"/>
          <w:sz w:val="21"/>
          <w:szCs w:val="21"/>
          <w:highlight w:val="none"/>
        </w:rPr>
      </w:pPr>
      <w:r>
        <w:rPr>
          <w:rFonts w:hint="eastAsia"/>
          <w:b w:val="0"/>
          <w:color w:val="auto"/>
          <w:sz w:val="21"/>
          <w:szCs w:val="21"/>
          <w:highlight w:val="none"/>
        </w:rPr>
        <w:t xml:space="preserve">项目编号：项目编号 </w:t>
      </w:r>
    </w:p>
    <w:p w14:paraId="63731613">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b w:val="0"/>
          <w:color w:val="auto"/>
          <w:sz w:val="21"/>
          <w:szCs w:val="21"/>
          <w:highlight w:val="none"/>
        </w:rPr>
      </w:pPr>
      <w:r>
        <w:rPr>
          <w:rFonts w:hint="eastAsia"/>
          <w:b w:val="0"/>
          <w:color w:val="auto"/>
          <w:sz w:val="21"/>
          <w:szCs w:val="21"/>
          <w:highlight w:val="none"/>
        </w:rPr>
        <w:t>分包号：分包号</w:t>
      </w:r>
    </w:p>
    <w:tbl>
      <w:tblPr>
        <w:tblStyle w:val="34"/>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8285"/>
      </w:tblGrid>
      <w:tr w14:paraId="7701701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810" w:hRule="atLeast"/>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262882E5">
            <w:pPr>
              <w:pStyle w:val="31"/>
              <w:keepNext w:val="0"/>
              <w:keepLines w:val="0"/>
              <w:widowControl/>
              <w:suppressLineNumbers w:val="0"/>
              <w:ind w:left="0" w:right="0"/>
              <w:jc w:val="center"/>
              <w:rPr>
                <w:rFonts w:hint="default"/>
                <w:sz w:val="21"/>
                <w:szCs w:val="21"/>
              </w:rPr>
            </w:pPr>
            <w:r>
              <w:rPr>
                <w:rFonts w:hint="default"/>
                <w:sz w:val="21"/>
                <w:szCs w:val="21"/>
              </w:rPr>
              <w:t>投标总报价</w:t>
            </w:r>
          </w:p>
        </w:tc>
      </w:tr>
      <w:tr w14:paraId="2291F57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825" w:hRule="atLeast"/>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63F7CD47">
            <w:pPr>
              <w:pStyle w:val="31"/>
              <w:keepNext w:val="0"/>
              <w:keepLines w:val="0"/>
              <w:widowControl/>
              <w:suppressLineNumbers w:val="0"/>
              <w:ind w:left="0" w:right="0"/>
              <w:rPr>
                <w:rFonts w:hint="default"/>
                <w:sz w:val="21"/>
                <w:szCs w:val="21"/>
              </w:rPr>
            </w:pPr>
            <w:r>
              <w:rPr>
                <w:rFonts w:hint="default"/>
                <w:sz w:val="21"/>
                <w:szCs w:val="21"/>
              </w:rPr>
              <w:t>小写：</w:t>
            </w:r>
            <w:r>
              <w:rPr>
                <w:rFonts w:hint="eastAsia"/>
                <w:sz w:val="21"/>
                <w:szCs w:val="21"/>
                <w:lang w:val="en-US" w:eastAsia="zh-CN"/>
              </w:rPr>
              <w:t xml:space="preserve">    </w:t>
            </w:r>
            <w:r>
              <w:rPr>
                <w:rFonts w:hint="default"/>
                <w:sz w:val="21"/>
                <w:szCs w:val="21"/>
              </w:rPr>
              <w:t>（人民币：元）</w:t>
            </w:r>
          </w:p>
        </w:tc>
      </w:tr>
    </w:tbl>
    <w:p w14:paraId="26E28716">
      <w:pPr>
        <w:pStyle w:val="31"/>
        <w:keepNext w:val="0"/>
        <w:keepLines w:val="0"/>
        <w:widowControl/>
        <w:suppressLineNumbers w:val="0"/>
        <w:jc w:val="right"/>
        <w:rPr>
          <w:rFonts w:hint="eastAsia" w:ascii="Times New Roman" w:hAnsi="Times New Roman" w:eastAsia="宋体" w:cs="Times New Roman"/>
          <w:lang w:val="en-US" w:eastAsia="zh-CN"/>
        </w:rPr>
      </w:pPr>
      <w:r>
        <w:rPr>
          <w:rFonts w:hint="eastAsia" w:ascii="Times New Roman" w:hAnsi="Times New Roman" w:eastAsia="宋体" w:cs="Times New Roman"/>
          <w:sz w:val="21"/>
          <w:szCs w:val="21"/>
          <w:lang w:val="en-US" w:eastAsia="zh-CN"/>
        </w:rPr>
        <w:t xml:space="preserve">    年  月  日</w:t>
      </w:r>
    </w:p>
    <w:p w14:paraId="0F029286">
      <w:pPr>
        <w:pStyle w:val="32"/>
        <w:spacing w:line="240" w:lineRule="atLeast"/>
        <w:rPr>
          <w:rFonts w:ascii="Microsoft New Tai Lue" w:hAnsi="Microsoft New Tai Lue" w:cs="Microsoft New Tai Lue"/>
          <w:bCs w:val="0"/>
          <w:color w:val="auto"/>
          <w:sz w:val="24"/>
          <w:szCs w:val="24"/>
          <w:highlight w:val="none"/>
        </w:rPr>
      </w:pPr>
      <w:bookmarkStart w:id="281" w:name="_Toc104560896"/>
      <w:bookmarkStart w:id="282" w:name="_Toc103848581"/>
      <w:r>
        <w:rPr>
          <w:rFonts w:ascii="Microsoft New Tai Lue" w:hAnsi="Microsoft New Tai Lue" w:cs="Microsoft New Tai Lue"/>
          <w:bCs w:val="0"/>
          <w:color w:val="auto"/>
          <w:sz w:val="24"/>
          <w:szCs w:val="24"/>
          <w:highlight w:val="none"/>
        </w:rPr>
        <w:br w:type="page"/>
      </w:r>
      <w:bookmarkStart w:id="283" w:name="_Toc107246280"/>
      <w:r>
        <w:rPr>
          <w:rFonts w:ascii="Microsoft New Tai Lue" w:hAnsi="Microsoft New Tai Lue" w:cs="Microsoft New Tai Lue"/>
          <w:bCs w:val="0"/>
          <w:color w:val="auto"/>
          <w:sz w:val="24"/>
          <w:szCs w:val="24"/>
          <w:highlight w:val="none"/>
        </w:rPr>
        <w:t>（5）分项报价表</w:t>
      </w:r>
      <w:bookmarkEnd w:id="281"/>
      <w:bookmarkEnd w:id="282"/>
      <w:bookmarkEnd w:id="283"/>
    </w:p>
    <w:p w14:paraId="61C330BF">
      <w:pPr>
        <w:spacing w:line="360" w:lineRule="auto"/>
        <w:ind w:left="-120" w:firstLine="211" w:firstLineChars="100"/>
        <w:jc w:val="center"/>
        <w:rPr>
          <w:rFonts w:hint="eastAsia" w:ascii="Microsoft New Tai Lue" w:hAnsi="Microsoft New Tai Lue" w:eastAsia="宋体" w:cs="Microsoft New Tai Lue"/>
          <w:b/>
          <w:bCs/>
          <w:color w:val="auto"/>
          <w:szCs w:val="21"/>
          <w:highlight w:val="none"/>
          <w:lang w:eastAsia="zh-CN"/>
        </w:rPr>
      </w:pPr>
      <w:r>
        <w:rPr>
          <w:rFonts w:hint="eastAsia" w:ascii="Microsoft New Tai Lue" w:hAnsi="Microsoft New Tai Lue" w:cs="Microsoft New Tai Lue"/>
          <w:b/>
          <w:bCs/>
          <w:color w:val="auto"/>
          <w:szCs w:val="21"/>
          <w:highlight w:val="none"/>
        </w:rPr>
        <w:t>分项报价表</w:t>
      </w:r>
      <w:r>
        <w:rPr>
          <w:rFonts w:hint="eastAsia" w:ascii="Microsoft New Tai Lue" w:hAnsi="Microsoft New Tai Lue" w:cs="Microsoft New Tai Lue"/>
          <w:b/>
          <w:bCs/>
          <w:color w:val="auto"/>
          <w:szCs w:val="21"/>
          <w:highlight w:val="none"/>
          <w:lang w:eastAsia="zh-CN"/>
        </w:rPr>
        <w:t>（</w:t>
      </w:r>
      <w:r>
        <w:rPr>
          <w:rFonts w:hint="eastAsia" w:ascii="Microsoft New Tai Lue" w:hAnsi="Microsoft New Tai Lue" w:cs="Microsoft New Tai Lue"/>
          <w:b/>
          <w:bCs/>
          <w:color w:val="auto"/>
          <w:szCs w:val="21"/>
          <w:highlight w:val="none"/>
          <w:lang w:val="en-US" w:eastAsia="zh-CN"/>
        </w:rPr>
        <w:t>包1</w:t>
      </w:r>
      <w:r>
        <w:rPr>
          <w:rFonts w:hint="eastAsia" w:ascii="Microsoft New Tai Lue" w:hAnsi="Microsoft New Tai Lue" w:cs="Microsoft New Tai Lue"/>
          <w:b/>
          <w:bCs/>
          <w:color w:val="auto"/>
          <w:szCs w:val="21"/>
          <w:highlight w:val="none"/>
          <w:lang w:eastAsia="zh-CN"/>
        </w:rPr>
        <w:t>）</w:t>
      </w:r>
    </w:p>
    <w:p w14:paraId="60886E54">
      <w:pPr>
        <w:spacing w:line="360" w:lineRule="auto"/>
        <w:ind w:left="-120" w:firstLine="210" w:firstLineChars="1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项目名称：</w:t>
      </w:r>
      <w:r>
        <w:rPr>
          <w:rFonts w:ascii="Microsoft New Tai Lue" w:hAnsi="Microsoft New Tai Lue" w:cs="Microsoft New Tai Lue"/>
          <w:color w:val="auto"/>
          <w:szCs w:val="21"/>
          <w:highlight w:val="none"/>
          <w:u w:val="single"/>
        </w:rPr>
        <w:t xml:space="preserve">                  </w:t>
      </w:r>
    </w:p>
    <w:p w14:paraId="0D34C16D">
      <w:pPr>
        <w:spacing w:line="360" w:lineRule="auto"/>
        <w:ind w:left="-120" w:firstLine="210" w:firstLineChars="1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项目编号：</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w:t>
      </w:r>
    </w:p>
    <w:tbl>
      <w:tblPr>
        <w:tblStyle w:val="34"/>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18"/>
        <w:gridCol w:w="1156"/>
        <w:gridCol w:w="795"/>
        <w:gridCol w:w="1058"/>
        <w:gridCol w:w="1000"/>
        <w:gridCol w:w="728"/>
        <w:gridCol w:w="925"/>
        <w:gridCol w:w="991"/>
        <w:gridCol w:w="971"/>
        <w:gridCol w:w="1189"/>
      </w:tblGrid>
      <w:tr w14:paraId="677DA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9" w:hRule="exact"/>
          <w:tblHeader/>
          <w:jc w:val="center"/>
        </w:trPr>
        <w:tc>
          <w:tcPr>
            <w:tcW w:w="376" w:type="pct"/>
            <w:vMerge w:val="restart"/>
            <w:tcBorders>
              <w:tl2br w:val="nil"/>
              <w:tr2bl w:val="nil"/>
            </w:tcBorders>
            <w:shd w:val="clear" w:color="auto" w:fill="auto"/>
            <w:vAlign w:val="center"/>
          </w:tcPr>
          <w:p w14:paraId="406F22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bookmarkStart w:id="284" w:name="_Hlk129799227"/>
            <w:r>
              <w:rPr>
                <w:rFonts w:hint="eastAsia" w:ascii="宋体" w:hAnsi="宋体" w:eastAsia="宋体" w:cs="宋体"/>
                <w:b/>
                <w:bCs/>
                <w:i w:val="0"/>
                <w:iCs w:val="0"/>
                <w:color w:val="auto"/>
                <w:kern w:val="0"/>
                <w:sz w:val="21"/>
                <w:szCs w:val="21"/>
                <w:highlight w:val="none"/>
                <w:u w:val="none"/>
                <w:lang w:val="en-US" w:eastAsia="zh-CN" w:bidi="ar"/>
              </w:rPr>
              <w:t>分包</w:t>
            </w:r>
          </w:p>
          <w:p w14:paraId="10D1FA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06" w:type="pct"/>
            <w:vMerge w:val="restart"/>
            <w:tcBorders>
              <w:tl2br w:val="nil"/>
              <w:tr2bl w:val="nil"/>
            </w:tcBorders>
            <w:shd w:val="clear" w:color="auto" w:fill="auto"/>
            <w:vAlign w:val="center"/>
          </w:tcPr>
          <w:p w14:paraId="023973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采购内容（抽检品类）</w:t>
            </w:r>
          </w:p>
        </w:tc>
        <w:tc>
          <w:tcPr>
            <w:tcW w:w="1496" w:type="pct"/>
            <w:gridSpan w:val="3"/>
            <w:tcBorders>
              <w:tl2br w:val="nil"/>
              <w:tr2bl w:val="nil"/>
            </w:tcBorders>
            <w:shd w:val="clear" w:color="auto" w:fill="auto"/>
            <w:vAlign w:val="center"/>
          </w:tcPr>
          <w:p w14:paraId="7D5F63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386" w:type="pct"/>
            <w:gridSpan w:val="3"/>
            <w:tcBorders>
              <w:tl2br w:val="nil"/>
              <w:tr2bl w:val="nil"/>
            </w:tcBorders>
            <w:shd w:val="clear" w:color="auto" w:fill="auto"/>
            <w:vAlign w:val="center"/>
          </w:tcPr>
          <w:p w14:paraId="03FACB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509" w:type="pct"/>
            <w:vMerge w:val="restart"/>
            <w:tcBorders>
              <w:tl2br w:val="nil"/>
              <w:tr2bl w:val="nil"/>
            </w:tcBorders>
            <w:shd w:val="clear" w:color="auto" w:fill="auto"/>
            <w:vAlign w:val="center"/>
          </w:tcPr>
          <w:p w14:paraId="1429EC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42BA5C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623" w:type="pct"/>
            <w:vMerge w:val="restart"/>
            <w:tcBorders>
              <w:tl2br w:val="nil"/>
              <w:tr2bl w:val="nil"/>
            </w:tcBorders>
            <w:shd w:val="clear" w:color="auto" w:fill="auto"/>
            <w:vAlign w:val="center"/>
          </w:tcPr>
          <w:p w14:paraId="0AD570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75476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1" w:hRule="exact"/>
          <w:tblHeader/>
          <w:jc w:val="center"/>
        </w:trPr>
        <w:tc>
          <w:tcPr>
            <w:tcW w:w="376" w:type="pct"/>
            <w:vMerge w:val="continue"/>
            <w:tcBorders>
              <w:tl2br w:val="nil"/>
              <w:tr2bl w:val="nil"/>
            </w:tcBorders>
            <w:shd w:val="clear" w:color="auto" w:fill="auto"/>
            <w:vAlign w:val="center"/>
          </w:tcPr>
          <w:p w14:paraId="04604617">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06" w:type="pct"/>
            <w:vMerge w:val="continue"/>
            <w:tcBorders>
              <w:tl2br w:val="nil"/>
              <w:tr2bl w:val="nil"/>
            </w:tcBorders>
            <w:shd w:val="clear" w:color="auto" w:fill="auto"/>
            <w:vAlign w:val="center"/>
          </w:tcPr>
          <w:p w14:paraId="6A71AAD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417" w:type="pct"/>
            <w:tcBorders>
              <w:tl2br w:val="nil"/>
              <w:tr2bl w:val="nil"/>
            </w:tcBorders>
            <w:shd w:val="clear" w:color="auto" w:fill="auto"/>
            <w:vAlign w:val="center"/>
          </w:tcPr>
          <w:p w14:paraId="62219C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55" w:type="pct"/>
            <w:tcBorders>
              <w:tl2br w:val="nil"/>
              <w:tr2bl w:val="nil"/>
            </w:tcBorders>
            <w:shd w:val="clear" w:color="auto" w:fill="auto"/>
            <w:vAlign w:val="center"/>
          </w:tcPr>
          <w:p w14:paraId="264FBC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24" w:type="pct"/>
            <w:tcBorders>
              <w:tl2br w:val="nil"/>
              <w:tr2bl w:val="nil"/>
            </w:tcBorders>
            <w:shd w:val="clear" w:color="auto" w:fill="auto"/>
            <w:vAlign w:val="center"/>
          </w:tcPr>
          <w:p w14:paraId="623D47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1C3102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81" w:type="pct"/>
            <w:tcBorders>
              <w:tl2br w:val="nil"/>
              <w:tr2bl w:val="nil"/>
            </w:tcBorders>
            <w:shd w:val="clear" w:color="auto" w:fill="auto"/>
            <w:vAlign w:val="center"/>
          </w:tcPr>
          <w:p w14:paraId="34FE57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485" w:type="pct"/>
            <w:tcBorders>
              <w:tl2br w:val="nil"/>
              <w:tr2bl w:val="nil"/>
            </w:tcBorders>
            <w:shd w:val="clear" w:color="auto" w:fill="auto"/>
            <w:vAlign w:val="center"/>
          </w:tcPr>
          <w:p w14:paraId="4182A9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19" w:type="pct"/>
            <w:tcBorders>
              <w:tl2br w:val="nil"/>
              <w:tr2bl w:val="nil"/>
            </w:tcBorders>
            <w:shd w:val="clear" w:color="auto" w:fill="auto"/>
            <w:vAlign w:val="center"/>
          </w:tcPr>
          <w:p w14:paraId="2A2068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1F5BCB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09" w:type="pct"/>
            <w:vMerge w:val="continue"/>
            <w:tcBorders>
              <w:tl2br w:val="nil"/>
              <w:tr2bl w:val="nil"/>
            </w:tcBorders>
            <w:shd w:val="clear" w:color="auto" w:fill="auto"/>
            <w:vAlign w:val="center"/>
          </w:tcPr>
          <w:p w14:paraId="3413A652">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23" w:type="pct"/>
            <w:vMerge w:val="continue"/>
            <w:tcBorders>
              <w:tl2br w:val="nil"/>
              <w:tr2bl w:val="nil"/>
            </w:tcBorders>
            <w:shd w:val="clear" w:color="auto" w:fill="auto"/>
            <w:vAlign w:val="center"/>
          </w:tcPr>
          <w:p w14:paraId="74D4AE22">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6C5E3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9" w:hRule="exact"/>
          <w:jc w:val="center"/>
        </w:trPr>
        <w:tc>
          <w:tcPr>
            <w:tcW w:w="376" w:type="pct"/>
            <w:vMerge w:val="restart"/>
            <w:tcBorders>
              <w:tl2br w:val="nil"/>
              <w:tr2bl w:val="nil"/>
            </w:tcBorders>
            <w:shd w:val="clear" w:color="auto" w:fill="auto"/>
            <w:noWrap/>
            <w:vAlign w:val="center"/>
          </w:tcPr>
          <w:p w14:paraId="285DAD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包1</w:t>
            </w:r>
          </w:p>
        </w:tc>
        <w:tc>
          <w:tcPr>
            <w:tcW w:w="1188" w:type="dxa"/>
            <w:tcBorders>
              <w:tl2br w:val="nil"/>
              <w:tr2bl w:val="nil"/>
            </w:tcBorders>
            <w:shd w:val="clear" w:color="auto" w:fill="auto"/>
            <w:noWrap/>
            <w:vAlign w:val="center"/>
          </w:tcPr>
          <w:p w14:paraId="5625A0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酒类</w:t>
            </w:r>
          </w:p>
        </w:tc>
        <w:tc>
          <w:tcPr>
            <w:tcW w:w="817" w:type="dxa"/>
            <w:tcBorders>
              <w:tl2br w:val="nil"/>
              <w:tr2bl w:val="nil"/>
            </w:tcBorders>
            <w:shd w:val="clear" w:color="auto" w:fill="auto"/>
            <w:noWrap/>
            <w:vAlign w:val="center"/>
          </w:tcPr>
          <w:p w14:paraId="3E58F7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156</w:t>
            </w:r>
          </w:p>
        </w:tc>
        <w:tc>
          <w:tcPr>
            <w:tcW w:w="555" w:type="pct"/>
            <w:tcBorders>
              <w:tl2br w:val="nil"/>
              <w:tr2bl w:val="nil"/>
            </w:tcBorders>
            <w:shd w:val="clear" w:color="auto" w:fill="auto"/>
            <w:noWrap/>
            <w:vAlign w:val="center"/>
          </w:tcPr>
          <w:p w14:paraId="2D54FE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24" w:type="pct"/>
            <w:tcBorders>
              <w:tl2br w:val="nil"/>
              <w:tr2bl w:val="nil"/>
            </w:tcBorders>
            <w:shd w:val="clear" w:color="auto" w:fill="auto"/>
            <w:noWrap/>
            <w:vAlign w:val="center"/>
          </w:tcPr>
          <w:p w14:paraId="028B74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748" w:type="dxa"/>
            <w:tcBorders>
              <w:tl2br w:val="nil"/>
              <w:tr2bl w:val="nil"/>
            </w:tcBorders>
            <w:shd w:val="clear" w:color="auto" w:fill="auto"/>
            <w:noWrap/>
            <w:vAlign w:val="center"/>
          </w:tcPr>
          <w:p w14:paraId="48905D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71</w:t>
            </w:r>
          </w:p>
        </w:tc>
        <w:tc>
          <w:tcPr>
            <w:tcW w:w="485" w:type="pct"/>
            <w:tcBorders>
              <w:tl2br w:val="nil"/>
              <w:tr2bl w:val="nil"/>
            </w:tcBorders>
            <w:shd w:val="clear" w:color="auto" w:fill="auto"/>
            <w:noWrap/>
            <w:vAlign w:val="center"/>
          </w:tcPr>
          <w:p w14:paraId="336D6D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63D765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15115E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7FA432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1FE4F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33" w:hRule="exact"/>
          <w:jc w:val="center"/>
        </w:trPr>
        <w:tc>
          <w:tcPr>
            <w:tcW w:w="376" w:type="pct"/>
            <w:vMerge w:val="continue"/>
            <w:tcBorders>
              <w:tl2br w:val="nil"/>
              <w:tr2bl w:val="nil"/>
            </w:tcBorders>
            <w:shd w:val="clear" w:color="auto" w:fill="auto"/>
            <w:noWrap/>
            <w:vAlign w:val="center"/>
          </w:tcPr>
          <w:p w14:paraId="2DBA2C99">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2C8629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淀粉及淀粉制品</w:t>
            </w:r>
          </w:p>
        </w:tc>
        <w:tc>
          <w:tcPr>
            <w:tcW w:w="817" w:type="dxa"/>
            <w:tcBorders>
              <w:tl2br w:val="nil"/>
              <w:tr2bl w:val="nil"/>
            </w:tcBorders>
            <w:shd w:val="clear" w:color="auto" w:fill="auto"/>
            <w:noWrap/>
            <w:vAlign w:val="center"/>
          </w:tcPr>
          <w:p w14:paraId="08BCCB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65</w:t>
            </w:r>
          </w:p>
        </w:tc>
        <w:tc>
          <w:tcPr>
            <w:tcW w:w="555" w:type="pct"/>
            <w:tcBorders>
              <w:tl2br w:val="nil"/>
              <w:tr2bl w:val="nil"/>
            </w:tcBorders>
            <w:shd w:val="clear" w:color="auto" w:fill="auto"/>
            <w:noWrap/>
            <w:vAlign w:val="center"/>
          </w:tcPr>
          <w:p w14:paraId="44A097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24" w:type="pct"/>
            <w:tcBorders>
              <w:tl2br w:val="nil"/>
              <w:tr2bl w:val="nil"/>
            </w:tcBorders>
            <w:shd w:val="clear" w:color="auto" w:fill="auto"/>
            <w:noWrap/>
            <w:vAlign w:val="center"/>
          </w:tcPr>
          <w:p w14:paraId="319ACB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748" w:type="dxa"/>
            <w:tcBorders>
              <w:tl2br w:val="nil"/>
              <w:tr2bl w:val="nil"/>
            </w:tcBorders>
            <w:shd w:val="clear" w:color="auto" w:fill="auto"/>
            <w:noWrap/>
            <w:vAlign w:val="center"/>
          </w:tcPr>
          <w:p w14:paraId="46EAEC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17</w:t>
            </w:r>
          </w:p>
        </w:tc>
        <w:tc>
          <w:tcPr>
            <w:tcW w:w="485" w:type="pct"/>
            <w:tcBorders>
              <w:tl2br w:val="nil"/>
              <w:tr2bl w:val="nil"/>
            </w:tcBorders>
            <w:shd w:val="clear" w:color="auto" w:fill="auto"/>
            <w:noWrap/>
            <w:vAlign w:val="center"/>
          </w:tcPr>
          <w:p w14:paraId="46B569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4235BF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0E0177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28F51C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1496A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77" w:hRule="exact"/>
          <w:jc w:val="center"/>
        </w:trPr>
        <w:tc>
          <w:tcPr>
            <w:tcW w:w="376" w:type="pct"/>
            <w:vMerge w:val="continue"/>
            <w:tcBorders>
              <w:tl2br w:val="nil"/>
              <w:tr2bl w:val="nil"/>
            </w:tcBorders>
            <w:shd w:val="clear" w:color="auto" w:fill="auto"/>
            <w:noWrap/>
            <w:vAlign w:val="center"/>
          </w:tcPr>
          <w:p w14:paraId="37C52469">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63D29C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炒货食品及坚果制品</w:t>
            </w:r>
          </w:p>
        </w:tc>
        <w:tc>
          <w:tcPr>
            <w:tcW w:w="817" w:type="dxa"/>
            <w:tcBorders>
              <w:tl2br w:val="nil"/>
              <w:tr2bl w:val="nil"/>
            </w:tcBorders>
            <w:shd w:val="clear" w:color="auto" w:fill="auto"/>
            <w:noWrap/>
            <w:vAlign w:val="center"/>
          </w:tcPr>
          <w:p w14:paraId="70D5BE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189</w:t>
            </w:r>
          </w:p>
        </w:tc>
        <w:tc>
          <w:tcPr>
            <w:tcW w:w="555" w:type="pct"/>
            <w:tcBorders>
              <w:tl2br w:val="nil"/>
              <w:tr2bl w:val="nil"/>
            </w:tcBorders>
            <w:shd w:val="clear" w:color="auto" w:fill="auto"/>
            <w:noWrap/>
            <w:vAlign w:val="center"/>
          </w:tcPr>
          <w:p w14:paraId="3F7F21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24" w:type="pct"/>
            <w:tcBorders>
              <w:tl2br w:val="nil"/>
              <w:tr2bl w:val="nil"/>
            </w:tcBorders>
            <w:shd w:val="clear" w:color="auto" w:fill="auto"/>
            <w:noWrap/>
            <w:vAlign w:val="center"/>
          </w:tcPr>
          <w:p w14:paraId="0D81CF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748" w:type="dxa"/>
            <w:tcBorders>
              <w:tl2br w:val="nil"/>
              <w:tr2bl w:val="nil"/>
            </w:tcBorders>
            <w:shd w:val="clear" w:color="auto" w:fill="auto"/>
            <w:noWrap/>
            <w:vAlign w:val="center"/>
          </w:tcPr>
          <w:p w14:paraId="18A131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17</w:t>
            </w:r>
          </w:p>
        </w:tc>
        <w:tc>
          <w:tcPr>
            <w:tcW w:w="485" w:type="pct"/>
            <w:tcBorders>
              <w:tl2br w:val="nil"/>
              <w:tr2bl w:val="nil"/>
            </w:tcBorders>
            <w:shd w:val="clear" w:color="auto" w:fill="auto"/>
            <w:noWrap/>
            <w:vAlign w:val="center"/>
          </w:tcPr>
          <w:p w14:paraId="35325F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75DE55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7C0F8F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25E53E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5830A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exact"/>
          <w:jc w:val="center"/>
        </w:trPr>
        <w:tc>
          <w:tcPr>
            <w:tcW w:w="376" w:type="pct"/>
            <w:vMerge w:val="continue"/>
            <w:tcBorders>
              <w:tl2br w:val="nil"/>
              <w:tr2bl w:val="nil"/>
            </w:tcBorders>
            <w:shd w:val="clear" w:color="auto" w:fill="auto"/>
            <w:noWrap/>
            <w:vAlign w:val="center"/>
          </w:tcPr>
          <w:p w14:paraId="587DF45B">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20535C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蛋制品</w:t>
            </w:r>
          </w:p>
        </w:tc>
        <w:tc>
          <w:tcPr>
            <w:tcW w:w="817" w:type="dxa"/>
            <w:tcBorders>
              <w:tl2br w:val="nil"/>
              <w:tr2bl w:val="nil"/>
            </w:tcBorders>
            <w:shd w:val="clear" w:color="auto" w:fill="auto"/>
            <w:noWrap/>
            <w:vAlign w:val="center"/>
          </w:tcPr>
          <w:p w14:paraId="1A3446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22</w:t>
            </w:r>
          </w:p>
        </w:tc>
        <w:tc>
          <w:tcPr>
            <w:tcW w:w="555" w:type="pct"/>
            <w:tcBorders>
              <w:tl2br w:val="nil"/>
              <w:tr2bl w:val="nil"/>
            </w:tcBorders>
            <w:shd w:val="clear" w:color="auto" w:fill="auto"/>
            <w:noWrap/>
            <w:vAlign w:val="center"/>
          </w:tcPr>
          <w:p w14:paraId="60D09F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24" w:type="pct"/>
            <w:tcBorders>
              <w:tl2br w:val="nil"/>
              <w:tr2bl w:val="nil"/>
            </w:tcBorders>
            <w:shd w:val="clear" w:color="auto" w:fill="auto"/>
            <w:noWrap/>
            <w:vAlign w:val="center"/>
          </w:tcPr>
          <w:p w14:paraId="49B1E9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748" w:type="dxa"/>
            <w:tcBorders>
              <w:tl2br w:val="nil"/>
              <w:tr2bl w:val="nil"/>
            </w:tcBorders>
            <w:shd w:val="clear" w:color="auto" w:fill="auto"/>
            <w:noWrap/>
            <w:vAlign w:val="center"/>
          </w:tcPr>
          <w:p w14:paraId="56A02B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17</w:t>
            </w:r>
          </w:p>
        </w:tc>
        <w:tc>
          <w:tcPr>
            <w:tcW w:w="485" w:type="pct"/>
            <w:tcBorders>
              <w:tl2br w:val="nil"/>
              <w:tr2bl w:val="nil"/>
            </w:tcBorders>
            <w:shd w:val="clear" w:color="auto" w:fill="auto"/>
            <w:noWrap/>
            <w:vAlign w:val="center"/>
          </w:tcPr>
          <w:p w14:paraId="6864FD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6DC9D9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43CC22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57D2F7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7AF61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exact"/>
          <w:jc w:val="center"/>
        </w:trPr>
        <w:tc>
          <w:tcPr>
            <w:tcW w:w="376" w:type="pct"/>
            <w:vMerge w:val="continue"/>
            <w:tcBorders>
              <w:tl2br w:val="nil"/>
              <w:tr2bl w:val="nil"/>
            </w:tcBorders>
            <w:shd w:val="clear" w:color="auto" w:fill="auto"/>
            <w:noWrap/>
            <w:vAlign w:val="center"/>
          </w:tcPr>
          <w:p w14:paraId="4FE4EA55">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66EBAA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鲜蛋</w:t>
            </w:r>
          </w:p>
        </w:tc>
        <w:tc>
          <w:tcPr>
            <w:tcW w:w="817" w:type="dxa"/>
            <w:tcBorders>
              <w:tl2br w:val="nil"/>
              <w:tr2bl w:val="nil"/>
            </w:tcBorders>
            <w:shd w:val="clear" w:color="auto" w:fill="auto"/>
            <w:noWrap/>
            <w:vAlign w:val="center"/>
          </w:tcPr>
          <w:p w14:paraId="3F45A5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9</w:t>
            </w:r>
          </w:p>
        </w:tc>
        <w:tc>
          <w:tcPr>
            <w:tcW w:w="555" w:type="pct"/>
            <w:tcBorders>
              <w:tl2br w:val="nil"/>
              <w:tr2bl w:val="nil"/>
            </w:tcBorders>
            <w:shd w:val="clear" w:color="auto" w:fill="auto"/>
            <w:noWrap/>
            <w:vAlign w:val="center"/>
          </w:tcPr>
          <w:p w14:paraId="0F7499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694F4E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107C63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22</w:t>
            </w:r>
          </w:p>
        </w:tc>
        <w:tc>
          <w:tcPr>
            <w:tcW w:w="485" w:type="pct"/>
            <w:tcBorders>
              <w:tl2br w:val="nil"/>
              <w:tr2bl w:val="nil"/>
            </w:tcBorders>
            <w:shd w:val="clear" w:color="auto" w:fill="auto"/>
            <w:noWrap/>
            <w:vAlign w:val="center"/>
          </w:tcPr>
          <w:p w14:paraId="0422F9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3785D4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749453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735549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74D73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9" w:hRule="exact"/>
          <w:jc w:val="center"/>
        </w:trPr>
        <w:tc>
          <w:tcPr>
            <w:tcW w:w="376" w:type="pct"/>
            <w:vMerge w:val="continue"/>
            <w:tcBorders>
              <w:tl2br w:val="nil"/>
              <w:tr2bl w:val="nil"/>
            </w:tcBorders>
            <w:shd w:val="clear" w:color="auto" w:fill="auto"/>
            <w:noWrap/>
            <w:vAlign w:val="center"/>
          </w:tcPr>
          <w:p w14:paraId="0E25098D">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2857D5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蜂产品</w:t>
            </w:r>
          </w:p>
        </w:tc>
        <w:tc>
          <w:tcPr>
            <w:tcW w:w="817" w:type="dxa"/>
            <w:tcBorders>
              <w:tl2br w:val="nil"/>
              <w:tr2bl w:val="nil"/>
            </w:tcBorders>
            <w:shd w:val="clear" w:color="auto" w:fill="auto"/>
            <w:noWrap/>
            <w:vAlign w:val="center"/>
          </w:tcPr>
          <w:p w14:paraId="39040C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w:t>
            </w:r>
          </w:p>
        </w:tc>
        <w:tc>
          <w:tcPr>
            <w:tcW w:w="555" w:type="pct"/>
            <w:tcBorders>
              <w:tl2br w:val="nil"/>
              <w:tr2bl w:val="nil"/>
            </w:tcBorders>
            <w:shd w:val="clear" w:color="auto" w:fill="auto"/>
            <w:noWrap/>
            <w:vAlign w:val="center"/>
          </w:tcPr>
          <w:p w14:paraId="7F3B66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304AC5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5942E6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485" w:type="pct"/>
            <w:tcBorders>
              <w:tl2br w:val="nil"/>
              <w:tr2bl w:val="nil"/>
            </w:tcBorders>
            <w:shd w:val="clear" w:color="auto" w:fill="auto"/>
            <w:noWrap/>
            <w:vAlign w:val="center"/>
          </w:tcPr>
          <w:p w14:paraId="2D02DB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65F8FE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5DBFB7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668D16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66B59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9" w:hRule="exact"/>
          <w:jc w:val="center"/>
        </w:trPr>
        <w:tc>
          <w:tcPr>
            <w:tcW w:w="376" w:type="pct"/>
            <w:vMerge w:val="continue"/>
            <w:tcBorders>
              <w:tl2br w:val="nil"/>
              <w:tr2bl w:val="nil"/>
            </w:tcBorders>
            <w:shd w:val="clear" w:color="auto" w:fill="auto"/>
            <w:noWrap/>
            <w:vAlign w:val="center"/>
          </w:tcPr>
          <w:p w14:paraId="1231F4D5">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13B02A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速冻食品</w:t>
            </w:r>
          </w:p>
        </w:tc>
        <w:tc>
          <w:tcPr>
            <w:tcW w:w="817" w:type="dxa"/>
            <w:tcBorders>
              <w:tl2br w:val="nil"/>
              <w:tr2bl w:val="nil"/>
            </w:tcBorders>
            <w:shd w:val="clear" w:color="auto" w:fill="auto"/>
            <w:noWrap/>
            <w:vAlign w:val="center"/>
          </w:tcPr>
          <w:p w14:paraId="048DA4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126</w:t>
            </w:r>
          </w:p>
        </w:tc>
        <w:tc>
          <w:tcPr>
            <w:tcW w:w="555" w:type="pct"/>
            <w:tcBorders>
              <w:tl2br w:val="nil"/>
              <w:tr2bl w:val="nil"/>
            </w:tcBorders>
            <w:shd w:val="clear" w:color="auto" w:fill="auto"/>
            <w:noWrap/>
            <w:vAlign w:val="center"/>
          </w:tcPr>
          <w:p w14:paraId="15A4A3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127633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63C5F3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42</w:t>
            </w:r>
          </w:p>
        </w:tc>
        <w:tc>
          <w:tcPr>
            <w:tcW w:w="485" w:type="pct"/>
            <w:tcBorders>
              <w:tl2br w:val="nil"/>
              <w:tr2bl w:val="nil"/>
            </w:tcBorders>
            <w:shd w:val="clear" w:color="auto" w:fill="auto"/>
            <w:noWrap/>
            <w:vAlign w:val="center"/>
          </w:tcPr>
          <w:p w14:paraId="33B66A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44B33A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468D85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25B329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7023C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6" w:hRule="exact"/>
          <w:jc w:val="center"/>
        </w:trPr>
        <w:tc>
          <w:tcPr>
            <w:tcW w:w="376" w:type="pct"/>
            <w:vMerge w:val="continue"/>
            <w:tcBorders>
              <w:tl2br w:val="nil"/>
              <w:tr2bl w:val="nil"/>
            </w:tcBorders>
            <w:shd w:val="clear" w:color="auto" w:fill="auto"/>
            <w:noWrap/>
            <w:vAlign w:val="center"/>
          </w:tcPr>
          <w:p w14:paraId="71C130A5">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096A0B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薯类和膨化食品</w:t>
            </w:r>
          </w:p>
        </w:tc>
        <w:tc>
          <w:tcPr>
            <w:tcW w:w="817" w:type="dxa"/>
            <w:tcBorders>
              <w:tl2br w:val="nil"/>
              <w:tr2bl w:val="nil"/>
            </w:tcBorders>
            <w:shd w:val="clear" w:color="auto" w:fill="auto"/>
            <w:noWrap/>
            <w:vAlign w:val="center"/>
          </w:tcPr>
          <w:p w14:paraId="7B4EDE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23</w:t>
            </w:r>
          </w:p>
        </w:tc>
        <w:tc>
          <w:tcPr>
            <w:tcW w:w="555" w:type="pct"/>
            <w:tcBorders>
              <w:tl2br w:val="nil"/>
              <w:tr2bl w:val="nil"/>
            </w:tcBorders>
            <w:shd w:val="clear" w:color="auto" w:fill="auto"/>
            <w:noWrap/>
            <w:vAlign w:val="center"/>
          </w:tcPr>
          <w:p w14:paraId="3CFBE7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4FAD41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14430D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42</w:t>
            </w:r>
          </w:p>
        </w:tc>
        <w:tc>
          <w:tcPr>
            <w:tcW w:w="485" w:type="pct"/>
            <w:tcBorders>
              <w:tl2br w:val="nil"/>
              <w:tr2bl w:val="nil"/>
            </w:tcBorders>
            <w:shd w:val="clear" w:color="auto" w:fill="auto"/>
            <w:noWrap/>
            <w:vAlign w:val="center"/>
          </w:tcPr>
          <w:p w14:paraId="1E8AA5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3AF843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346137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0B2503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78F95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exact"/>
          <w:jc w:val="center"/>
        </w:trPr>
        <w:tc>
          <w:tcPr>
            <w:tcW w:w="376" w:type="pct"/>
            <w:vMerge w:val="continue"/>
            <w:tcBorders>
              <w:tl2br w:val="nil"/>
              <w:tr2bl w:val="nil"/>
            </w:tcBorders>
            <w:shd w:val="clear" w:color="auto" w:fill="auto"/>
            <w:noWrap/>
            <w:vAlign w:val="center"/>
          </w:tcPr>
          <w:p w14:paraId="2EFDAB7A">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4AB644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豆制品</w:t>
            </w:r>
          </w:p>
        </w:tc>
        <w:tc>
          <w:tcPr>
            <w:tcW w:w="817" w:type="dxa"/>
            <w:tcBorders>
              <w:tl2br w:val="nil"/>
              <w:tr2bl w:val="nil"/>
            </w:tcBorders>
            <w:shd w:val="clear" w:color="auto" w:fill="auto"/>
            <w:noWrap/>
            <w:vAlign w:val="center"/>
          </w:tcPr>
          <w:p w14:paraId="3A36E6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34</w:t>
            </w:r>
          </w:p>
        </w:tc>
        <w:tc>
          <w:tcPr>
            <w:tcW w:w="555" w:type="pct"/>
            <w:tcBorders>
              <w:tl2br w:val="nil"/>
              <w:tr2bl w:val="nil"/>
            </w:tcBorders>
            <w:shd w:val="clear" w:color="auto" w:fill="auto"/>
            <w:noWrap/>
            <w:vAlign w:val="center"/>
          </w:tcPr>
          <w:p w14:paraId="45E1A4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0665A4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30A392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53</w:t>
            </w:r>
          </w:p>
        </w:tc>
        <w:tc>
          <w:tcPr>
            <w:tcW w:w="485" w:type="pct"/>
            <w:tcBorders>
              <w:tl2br w:val="nil"/>
              <w:tr2bl w:val="nil"/>
            </w:tcBorders>
            <w:shd w:val="clear" w:color="auto" w:fill="auto"/>
            <w:noWrap/>
            <w:vAlign w:val="center"/>
          </w:tcPr>
          <w:p w14:paraId="0579FD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03111B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0D5280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414BAD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11F49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exact"/>
          <w:jc w:val="center"/>
        </w:trPr>
        <w:tc>
          <w:tcPr>
            <w:tcW w:w="376" w:type="pct"/>
            <w:vMerge w:val="continue"/>
            <w:tcBorders>
              <w:tl2br w:val="nil"/>
              <w:tr2bl w:val="nil"/>
            </w:tcBorders>
            <w:shd w:val="clear" w:color="auto" w:fill="auto"/>
            <w:noWrap/>
            <w:vAlign w:val="center"/>
          </w:tcPr>
          <w:p w14:paraId="53F484D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376E9D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调味品</w:t>
            </w:r>
          </w:p>
        </w:tc>
        <w:tc>
          <w:tcPr>
            <w:tcW w:w="817" w:type="dxa"/>
            <w:tcBorders>
              <w:tl2br w:val="nil"/>
              <w:tr2bl w:val="nil"/>
            </w:tcBorders>
            <w:shd w:val="clear" w:color="auto" w:fill="auto"/>
            <w:noWrap/>
            <w:vAlign w:val="center"/>
          </w:tcPr>
          <w:p w14:paraId="681A54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178</w:t>
            </w:r>
          </w:p>
        </w:tc>
        <w:tc>
          <w:tcPr>
            <w:tcW w:w="555" w:type="pct"/>
            <w:tcBorders>
              <w:tl2br w:val="nil"/>
              <w:tr2bl w:val="nil"/>
            </w:tcBorders>
            <w:shd w:val="clear" w:color="auto" w:fill="auto"/>
            <w:noWrap/>
            <w:vAlign w:val="center"/>
          </w:tcPr>
          <w:p w14:paraId="22DDAB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6E5B7A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284E43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146</w:t>
            </w:r>
          </w:p>
        </w:tc>
        <w:tc>
          <w:tcPr>
            <w:tcW w:w="485" w:type="pct"/>
            <w:tcBorders>
              <w:tl2br w:val="nil"/>
              <w:tr2bl w:val="nil"/>
            </w:tcBorders>
            <w:shd w:val="clear" w:color="auto" w:fill="auto"/>
            <w:noWrap/>
            <w:vAlign w:val="center"/>
          </w:tcPr>
          <w:p w14:paraId="149084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36C00F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6F1EB1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1DE27D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0DBBC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9" w:hRule="exact"/>
          <w:jc w:val="center"/>
        </w:trPr>
        <w:tc>
          <w:tcPr>
            <w:tcW w:w="376" w:type="pct"/>
            <w:vMerge w:val="continue"/>
            <w:tcBorders>
              <w:tl2br w:val="nil"/>
              <w:tr2bl w:val="nil"/>
            </w:tcBorders>
            <w:shd w:val="clear" w:color="auto" w:fill="auto"/>
            <w:noWrap/>
            <w:vAlign w:val="center"/>
          </w:tcPr>
          <w:p w14:paraId="2EB1AAE5">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236584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肉制品</w:t>
            </w:r>
          </w:p>
        </w:tc>
        <w:tc>
          <w:tcPr>
            <w:tcW w:w="817" w:type="dxa"/>
            <w:tcBorders>
              <w:tl2br w:val="nil"/>
              <w:tr2bl w:val="nil"/>
            </w:tcBorders>
            <w:shd w:val="clear" w:color="auto" w:fill="auto"/>
            <w:noWrap/>
            <w:vAlign w:val="center"/>
          </w:tcPr>
          <w:p w14:paraId="005F57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119</w:t>
            </w:r>
          </w:p>
        </w:tc>
        <w:tc>
          <w:tcPr>
            <w:tcW w:w="555" w:type="pct"/>
            <w:tcBorders>
              <w:tl2br w:val="nil"/>
              <w:tr2bl w:val="nil"/>
            </w:tcBorders>
            <w:shd w:val="clear" w:color="auto" w:fill="auto"/>
            <w:noWrap/>
            <w:vAlign w:val="center"/>
          </w:tcPr>
          <w:p w14:paraId="59EC95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3DBCDD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28213F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92</w:t>
            </w:r>
          </w:p>
        </w:tc>
        <w:tc>
          <w:tcPr>
            <w:tcW w:w="485" w:type="pct"/>
            <w:tcBorders>
              <w:tl2br w:val="nil"/>
              <w:tr2bl w:val="nil"/>
            </w:tcBorders>
            <w:shd w:val="clear" w:color="auto" w:fill="auto"/>
            <w:noWrap/>
            <w:vAlign w:val="center"/>
          </w:tcPr>
          <w:p w14:paraId="57823F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0D02A5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04DE73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235BD5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5745C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9" w:hRule="exact"/>
          <w:jc w:val="center"/>
        </w:trPr>
        <w:tc>
          <w:tcPr>
            <w:tcW w:w="376" w:type="pct"/>
            <w:vMerge w:val="continue"/>
            <w:tcBorders>
              <w:tl2br w:val="nil"/>
              <w:tr2bl w:val="nil"/>
            </w:tcBorders>
            <w:shd w:val="clear" w:color="auto" w:fill="auto"/>
            <w:noWrap/>
            <w:vAlign w:val="center"/>
          </w:tcPr>
          <w:p w14:paraId="58FD4AA8">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52D14D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乳制品</w:t>
            </w:r>
          </w:p>
        </w:tc>
        <w:tc>
          <w:tcPr>
            <w:tcW w:w="817" w:type="dxa"/>
            <w:tcBorders>
              <w:tl2br w:val="nil"/>
              <w:tr2bl w:val="nil"/>
            </w:tcBorders>
            <w:shd w:val="clear" w:color="auto" w:fill="auto"/>
            <w:noWrap/>
            <w:vAlign w:val="center"/>
          </w:tcPr>
          <w:p w14:paraId="506AA3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22</w:t>
            </w:r>
          </w:p>
        </w:tc>
        <w:tc>
          <w:tcPr>
            <w:tcW w:w="555" w:type="pct"/>
            <w:tcBorders>
              <w:tl2br w:val="nil"/>
              <w:tr2bl w:val="nil"/>
            </w:tcBorders>
            <w:shd w:val="clear" w:color="auto" w:fill="auto"/>
            <w:noWrap/>
            <w:vAlign w:val="center"/>
          </w:tcPr>
          <w:p w14:paraId="24D473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0CDF9A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7E8AF1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w:t>
            </w:r>
          </w:p>
        </w:tc>
        <w:tc>
          <w:tcPr>
            <w:tcW w:w="485" w:type="pct"/>
            <w:tcBorders>
              <w:tl2br w:val="nil"/>
              <w:tr2bl w:val="nil"/>
            </w:tcBorders>
            <w:shd w:val="clear" w:color="auto" w:fill="auto"/>
            <w:noWrap/>
            <w:vAlign w:val="center"/>
          </w:tcPr>
          <w:p w14:paraId="0B9F9D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7F82F4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463578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3A78F2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5C1B3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9" w:hRule="exact"/>
          <w:jc w:val="center"/>
        </w:trPr>
        <w:tc>
          <w:tcPr>
            <w:tcW w:w="376" w:type="pct"/>
            <w:vMerge w:val="continue"/>
            <w:tcBorders>
              <w:tl2br w:val="nil"/>
              <w:tr2bl w:val="nil"/>
            </w:tcBorders>
            <w:shd w:val="clear" w:color="auto" w:fill="auto"/>
            <w:noWrap/>
            <w:vAlign w:val="center"/>
          </w:tcPr>
          <w:p w14:paraId="27E1F281">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24B089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糖果制品</w:t>
            </w:r>
          </w:p>
        </w:tc>
        <w:tc>
          <w:tcPr>
            <w:tcW w:w="817" w:type="dxa"/>
            <w:tcBorders>
              <w:tl2br w:val="nil"/>
              <w:tr2bl w:val="nil"/>
            </w:tcBorders>
            <w:shd w:val="clear" w:color="auto" w:fill="auto"/>
            <w:noWrap/>
            <w:vAlign w:val="center"/>
          </w:tcPr>
          <w:p w14:paraId="4E193A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46</w:t>
            </w:r>
          </w:p>
        </w:tc>
        <w:tc>
          <w:tcPr>
            <w:tcW w:w="555" w:type="pct"/>
            <w:tcBorders>
              <w:tl2br w:val="nil"/>
              <w:tr2bl w:val="nil"/>
            </w:tcBorders>
            <w:shd w:val="clear" w:color="auto" w:fill="auto"/>
            <w:noWrap/>
            <w:vAlign w:val="center"/>
          </w:tcPr>
          <w:p w14:paraId="349BF7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6D1C60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07C22A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44</w:t>
            </w:r>
          </w:p>
        </w:tc>
        <w:tc>
          <w:tcPr>
            <w:tcW w:w="485" w:type="pct"/>
            <w:tcBorders>
              <w:tl2br w:val="nil"/>
              <w:tr2bl w:val="nil"/>
            </w:tcBorders>
            <w:shd w:val="clear" w:color="auto" w:fill="auto"/>
            <w:noWrap/>
            <w:vAlign w:val="center"/>
          </w:tcPr>
          <w:p w14:paraId="50B53B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772C7B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6E14A1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5FFC58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4ADCE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exact"/>
          <w:jc w:val="center"/>
        </w:trPr>
        <w:tc>
          <w:tcPr>
            <w:tcW w:w="376" w:type="pct"/>
            <w:vMerge w:val="continue"/>
            <w:tcBorders>
              <w:tl2br w:val="nil"/>
              <w:tr2bl w:val="nil"/>
            </w:tcBorders>
            <w:shd w:val="clear" w:color="auto" w:fill="auto"/>
            <w:noWrap/>
            <w:vAlign w:val="center"/>
          </w:tcPr>
          <w:p w14:paraId="48066D85">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207D6A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茶叶及相关制品</w:t>
            </w:r>
          </w:p>
        </w:tc>
        <w:tc>
          <w:tcPr>
            <w:tcW w:w="817" w:type="dxa"/>
            <w:tcBorders>
              <w:tl2br w:val="nil"/>
              <w:tr2bl w:val="nil"/>
            </w:tcBorders>
            <w:shd w:val="clear" w:color="auto" w:fill="auto"/>
            <w:noWrap/>
            <w:vAlign w:val="center"/>
          </w:tcPr>
          <w:p w14:paraId="156C99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82</w:t>
            </w:r>
          </w:p>
        </w:tc>
        <w:tc>
          <w:tcPr>
            <w:tcW w:w="555" w:type="pct"/>
            <w:tcBorders>
              <w:tl2br w:val="nil"/>
              <w:tr2bl w:val="nil"/>
            </w:tcBorders>
            <w:shd w:val="clear" w:color="auto" w:fill="auto"/>
            <w:noWrap/>
            <w:vAlign w:val="center"/>
          </w:tcPr>
          <w:p w14:paraId="30DE11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2DD023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3DCB89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32</w:t>
            </w:r>
          </w:p>
        </w:tc>
        <w:tc>
          <w:tcPr>
            <w:tcW w:w="485" w:type="pct"/>
            <w:tcBorders>
              <w:tl2br w:val="nil"/>
              <w:tr2bl w:val="nil"/>
            </w:tcBorders>
            <w:shd w:val="clear" w:color="auto" w:fill="auto"/>
            <w:noWrap/>
            <w:vAlign w:val="center"/>
          </w:tcPr>
          <w:p w14:paraId="4F306E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409312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62C306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7D42F0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04BD9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44" w:hRule="exact"/>
          <w:jc w:val="center"/>
        </w:trPr>
        <w:tc>
          <w:tcPr>
            <w:tcW w:w="376" w:type="pct"/>
            <w:vMerge w:val="continue"/>
            <w:tcBorders>
              <w:tl2br w:val="nil"/>
              <w:tr2bl w:val="nil"/>
            </w:tcBorders>
            <w:shd w:val="clear" w:color="auto" w:fill="auto"/>
            <w:noWrap/>
            <w:vAlign w:val="center"/>
          </w:tcPr>
          <w:p w14:paraId="7DEBE211">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6A4E69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食品添加剂</w:t>
            </w:r>
          </w:p>
        </w:tc>
        <w:tc>
          <w:tcPr>
            <w:tcW w:w="817" w:type="dxa"/>
            <w:tcBorders>
              <w:tl2br w:val="nil"/>
              <w:tr2bl w:val="nil"/>
            </w:tcBorders>
            <w:shd w:val="clear" w:color="auto" w:fill="auto"/>
            <w:noWrap/>
            <w:vAlign w:val="center"/>
          </w:tcPr>
          <w:p w14:paraId="73F519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555" w:type="pct"/>
            <w:tcBorders>
              <w:tl2br w:val="nil"/>
              <w:tr2bl w:val="nil"/>
            </w:tcBorders>
            <w:shd w:val="clear" w:color="auto" w:fill="auto"/>
            <w:noWrap/>
            <w:vAlign w:val="center"/>
          </w:tcPr>
          <w:p w14:paraId="2F230F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025EC9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4A788F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w:t>
            </w:r>
          </w:p>
        </w:tc>
        <w:tc>
          <w:tcPr>
            <w:tcW w:w="485" w:type="pct"/>
            <w:tcBorders>
              <w:tl2br w:val="nil"/>
              <w:tr2bl w:val="nil"/>
            </w:tcBorders>
            <w:shd w:val="clear" w:color="auto" w:fill="auto"/>
            <w:noWrap/>
            <w:vAlign w:val="center"/>
          </w:tcPr>
          <w:p w14:paraId="1A50F5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519" w:type="pct"/>
            <w:tcBorders>
              <w:tl2br w:val="nil"/>
              <w:tr2bl w:val="nil"/>
            </w:tcBorders>
            <w:shd w:val="clear" w:color="auto" w:fill="auto"/>
            <w:noWrap/>
            <w:vAlign w:val="center"/>
          </w:tcPr>
          <w:p w14:paraId="0C11C0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509" w:type="pct"/>
            <w:tcBorders>
              <w:tl2br w:val="nil"/>
              <w:tr2bl w:val="nil"/>
            </w:tcBorders>
            <w:shd w:val="clear" w:color="auto" w:fill="auto"/>
            <w:noWrap/>
            <w:vAlign w:val="center"/>
          </w:tcPr>
          <w:p w14:paraId="4D9224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34C33E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5EA8E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69" w:hRule="exact"/>
          <w:jc w:val="center"/>
        </w:trPr>
        <w:tc>
          <w:tcPr>
            <w:tcW w:w="376" w:type="pct"/>
            <w:vMerge w:val="continue"/>
            <w:tcBorders>
              <w:tl2br w:val="nil"/>
              <w:tr2bl w:val="nil"/>
            </w:tcBorders>
            <w:shd w:val="clear" w:color="auto" w:fill="auto"/>
            <w:noWrap/>
            <w:vAlign w:val="center"/>
          </w:tcPr>
          <w:p w14:paraId="2558A33F">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7F13BC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水果制品</w:t>
            </w:r>
          </w:p>
        </w:tc>
        <w:tc>
          <w:tcPr>
            <w:tcW w:w="817" w:type="dxa"/>
            <w:tcBorders>
              <w:tl2br w:val="nil"/>
              <w:tr2bl w:val="nil"/>
            </w:tcBorders>
            <w:shd w:val="clear" w:color="auto" w:fill="auto"/>
            <w:noWrap/>
            <w:vAlign w:val="center"/>
          </w:tcPr>
          <w:p w14:paraId="7BE948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53</w:t>
            </w:r>
          </w:p>
        </w:tc>
        <w:tc>
          <w:tcPr>
            <w:tcW w:w="555" w:type="pct"/>
            <w:tcBorders>
              <w:tl2br w:val="nil"/>
              <w:tr2bl w:val="nil"/>
            </w:tcBorders>
            <w:shd w:val="clear" w:color="auto" w:fill="auto"/>
            <w:noWrap/>
            <w:vAlign w:val="center"/>
          </w:tcPr>
          <w:p w14:paraId="56E666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53435D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47116F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33</w:t>
            </w:r>
          </w:p>
        </w:tc>
        <w:tc>
          <w:tcPr>
            <w:tcW w:w="485" w:type="pct"/>
            <w:tcBorders>
              <w:tl2br w:val="nil"/>
              <w:tr2bl w:val="nil"/>
            </w:tcBorders>
            <w:shd w:val="clear" w:color="auto" w:fill="auto"/>
            <w:noWrap/>
            <w:vAlign w:val="center"/>
          </w:tcPr>
          <w:p w14:paraId="23143E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3D9475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53FB67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5EB5DF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6B08C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exact"/>
          <w:jc w:val="center"/>
        </w:trPr>
        <w:tc>
          <w:tcPr>
            <w:tcW w:w="376" w:type="pct"/>
            <w:vMerge w:val="continue"/>
            <w:tcBorders>
              <w:tl2br w:val="nil"/>
              <w:tr2bl w:val="nil"/>
            </w:tcBorders>
            <w:shd w:val="clear" w:color="auto" w:fill="auto"/>
            <w:noWrap/>
            <w:vAlign w:val="center"/>
          </w:tcPr>
          <w:p w14:paraId="7EE4B0B0">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2FBD7C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糕点</w:t>
            </w:r>
          </w:p>
        </w:tc>
        <w:tc>
          <w:tcPr>
            <w:tcW w:w="817" w:type="dxa"/>
            <w:tcBorders>
              <w:tl2br w:val="nil"/>
              <w:tr2bl w:val="nil"/>
            </w:tcBorders>
            <w:shd w:val="clear" w:color="auto" w:fill="auto"/>
            <w:noWrap/>
            <w:vAlign w:val="center"/>
          </w:tcPr>
          <w:p w14:paraId="150236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477</w:t>
            </w:r>
          </w:p>
        </w:tc>
        <w:tc>
          <w:tcPr>
            <w:tcW w:w="555" w:type="pct"/>
            <w:tcBorders>
              <w:tl2br w:val="nil"/>
              <w:tr2bl w:val="nil"/>
            </w:tcBorders>
            <w:shd w:val="clear" w:color="auto" w:fill="auto"/>
            <w:noWrap/>
            <w:vAlign w:val="center"/>
          </w:tcPr>
          <w:p w14:paraId="6354A1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500952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184F52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w:t>
            </w:r>
          </w:p>
        </w:tc>
        <w:tc>
          <w:tcPr>
            <w:tcW w:w="485" w:type="pct"/>
            <w:tcBorders>
              <w:tl2br w:val="nil"/>
              <w:tr2bl w:val="nil"/>
            </w:tcBorders>
            <w:shd w:val="clear" w:color="auto" w:fill="auto"/>
            <w:noWrap/>
            <w:vAlign w:val="center"/>
          </w:tcPr>
          <w:p w14:paraId="45189D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19" w:type="pct"/>
            <w:tcBorders>
              <w:tl2br w:val="nil"/>
              <w:tr2bl w:val="nil"/>
            </w:tcBorders>
            <w:shd w:val="clear" w:color="auto" w:fill="auto"/>
            <w:noWrap/>
            <w:vAlign w:val="center"/>
          </w:tcPr>
          <w:p w14:paraId="6EDEBE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577100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2AEB93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11FFF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exact"/>
          <w:jc w:val="center"/>
        </w:trPr>
        <w:tc>
          <w:tcPr>
            <w:tcW w:w="376" w:type="pct"/>
            <w:vMerge w:val="continue"/>
            <w:tcBorders>
              <w:tl2br w:val="nil"/>
              <w:tr2bl w:val="nil"/>
            </w:tcBorders>
            <w:shd w:val="clear" w:color="auto" w:fill="auto"/>
            <w:noWrap/>
            <w:vAlign w:val="center"/>
          </w:tcPr>
          <w:p w14:paraId="6433749B">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63CCBD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豆类</w:t>
            </w:r>
          </w:p>
        </w:tc>
        <w:tc>
          <w:tcPr>
            <w:tcW w:w="817" w:type="dxa"/>
            <w:tcBorders>
              <w:tl2br w:val="nil"/>
              <w:tr2bl w:val="nil"/>
            </w:tcBorders>
            <w:shd w:val="clear" w:color="auto" w:fill="auto"/>
            <w:noWrap/>
            <w:vAlign w:val="center"/>
          </w:tcPr>
          <w:p w14:paraId="5CEC65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555" w:type="pct"/>
            <w:tcBorders>
              <w:tl2br w:val="nil"/>
              <w:tr2bl w:val="nil"/>
            </w:tcBorders>
            <w:shd w:val="clear" w:color="auto" w:fill="auto"/>
            <w:noWrap/>
            <w:vAlign w:val="center"/>
          </w:tcPr>
          <w:p w14:paraId="3E1674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53C289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7DCF1E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w:t>
            </w:r>
          </w:p>
        </w:tc>
        <w:tc>
          <w:tcPr>
            <w:tcW w:w="485" w:type="pct"/>
            <w:tcBorders>
              <w:tl2br w:val="nil"/>
              <w:tr2bl w:val="nil"/>
            </w:tcBorders>
            <w:shd w:val="clear" w:color="auto" w:fill="auto"/>
            <w:noWrap/>
            <w:vAlign w:val="center"/>
          </w:tcPr>
          <w:p w14:paraId="4E543E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519" w:type="pct"/>
            <w:tcBorders>
              <w:tl2br w:val="nil"/>
              <w:tr2bl w:val="nil"/>
            </w:tcBorders>
            <w:shd w:val="clear" w:color="auto" w:fill="auto"/>
            <w:noWrap/>
            <w:vAlign w:val="center"/>
          </w:tcPr>
          <w:p w14:paraId="42E387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509" w:type="pct"/>
            <w:tcBorders>
              <w:tl2br w:val="nil"/>
              <w:tr2bl w:val="nil"/>
            </w:tcBorders>
            <w:shd w:val="clear" w:color="auto" w:fill="auto"/>
            <w:noWrap/>
            <w:vAlign w:val="center"/>
          </w:tcPr>
          <w:p w14:paraId="385CBC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696FC2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7DF60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5" w:hRule="exact"/>
          <w:jc w:val="center"/>
        </w:trPr>
        <w:tc>
          <w:tcPr>
            <w:tcW w:w="376" w:type="pct"/>
            <w:vMerge w:val="continue"/>
            <w:tcBorders>
              <w:tl2br w:val="nil"/>
              <w:tr2bl w:val="nil"/>
            </w:tcBorders>
            <w:shd w:val="clear" w:color="auto" w:fill="auto"/>
            <w:noWrap/>
            <w:vAlign w:val="center"/>
          </w:tcPr>
          <w:p w14:paraId="519D5F52">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42E353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应急专项</w:t>
            </w:r>
          </w:p>
        </w:tc>
        <w:tc>
          <w:tcPr>
            <w:tcW w:w="817" w:type="dxa"/>
            <w:tcBorders>
              <w:tl2br w:val="nil"/>
              <w:tr2bl w:val="nil"/>
            </w:tcBorders>
            <w:shd w:val="clear" w:color="auto" w:fill="auto"/>
            <w:noWrap/>
            <w:vAlign w:val="center"/>
          </w:tcPr>
          <w:p w14:paraId="22A5CE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40</w:t>
            </w:r>
          </w:p>
        </w:tc>
        <w:tc>
          <w:tcPr>
            <w:tcW w:w="555" w:type="pct"/>
            <w:tcBorders>
              <w:tl2br w:val="nil"/>
              <w:tr2bl w:val="nil"/>
            </w:tcBorders>
            <w:shd w:val="clear" w:color="auto" w:fill="auto"/>
            <w:noWrap/>
            <w:vAlign w:val="center"/>
          </w:tcPr>
          <w:p w14:paraId="45396E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524" w:type="pct"/>
            <w:tcBorders>
              <w:tl2br w:val="nil"/>
              <w:tr2bl w:val="nil"/>
            </w:tcBorders>
            <w:shd w:val="clear" w:color="auto" w:fill="auto"/>
            <w:noWrap/>
            <w:vAlign w:val="center"/>
          </w:tcPr>
          <w:p w14:paraId="0A004C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28D536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w:t>
            </w:r>
          </w:p>
        </w:tc>
        <w:tc>
          <w:tcPr>
            <w:tcW w:w="485" w:type="pct"/>
            <w:tcBorders>
              <w:tl2br w:val="nil"/>
              <w:tr2bl w:val="nil"/>
            </w:tcBorders>
            <w:shd w:val="clear" w:color="auto" w:fill="auto"/>
            <w:noWrap/>
            <w:vAlign w:val="center"/>
          </w:tcPr>
          <w:p w14:paraId="307D51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519" w:type="pct"/>
            <w:tcBorders>
              <w:tl2br w:val="nil"/>
              <w:tr2bl w:val="nil"/>
            </w:tcBorders>
            <w:shd w:val="clear" w:color="auto" w:fill="auto"/>
            <w:noWrap/>
            <w:vAlign w:val="center"/>
          </w:tcPr>
          <w:p w14:paraId="6D314D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509" w:type="pct"/>
            <w:tcBorders>
              <w:tl2br w:val="nil"/>
              <w:tr2bl w:val="nil"/>
            </w:tcBorders>
            <w:shd w:val="clear" w:color="auto" w:fill="auto"/>
            <w:noWrap/>
            <w:vAlign w:val="center"/>
          </w:tcPr>
          <w:p w14:paraId="6F40A4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47C621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090E9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5" w:hRule="exact"/>
          <w:jc w:val="center"/>
        </w:trPr>
        <w:tc>
          <w:tcPr>
            <w:tcW w:w="376" w:type="pct"/>
            <w:vMerge w:val="continue"/>
            <w:tcBorders>
              <w:tl2br w:val="nil"/>
              <w:tr2bl w:val="nil"/>
            </w:tcBorders>
            <w:shd w:val="clear" w:color="auto" w:fill="auto"/>
            <w:noWrap/>
            <w:vAlign w:val="center"/>
          </w:tcPr>
          <w:p w14:paraId="2F59AFCC">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88" w:type="dxa"/>
            <w:tcBorders>
              <w:tl2br w:val="nil"/>
              <w:tr2bl w:val="nil"/>
            </w:tcBorders>
            <w:shd w:val="clear" w:color="auto" w:fill="auto"/>
            <w:noWrap/>
            <w:vAlign w:val="center"/>
          </w:tcPr>
          <w:p w14:paraId="5F95E3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小计</w:t>
            </w:r>
          </w:p>
        </w:tc>
        <w:tc>
          <w:tcPr>
            <w:tcW w:w="817" w:type="dxa"/>
            <w:tcBorders>
              <w:tl2br w:val="nil"/>
              <w:tr2bl w:val="nil"/>
            </w:tcBorders>
            <w:shd w:val="clear" w:color="auto" w:fill="auto"/>
            <w:noWrap/>
            <w:vAlign w:val="center"/>
          </w:tcPr>
          <w:p w14:paraId="519B2A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1669</w:t>
            </w:r>
          </w:p>
        </w:tc>
        <w:tc>
          <w:tcPr>
            <w:tcW w:w="555" w:type="pct"/>
            <w:tcBorders>
              <w:tl2br w:val="nil"/>
              <w:tr2bl w:val="nil"/>
            </w:tcBorders>
            <w:shd w:val="clear" w:color="auto" w:fill="auto"/>
            <w:noWrap/>
            <w:vAlign w:val="center"/>
          </w:tcPr>
          <w:p w14:paraId="0C7DF5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524" w:type="pct"/>
            <w:tcBorders>
              <w:tl2br w:val="nil"/>
              <w:tr2bl w:val="nil"/>
            </w:tcBorders>
            <w:shd w:val="clear" w:color="auto" w:fill="auto"/>
            <w:noWrap/>
            <w:vAlign w:val="center"/>
          </w:tcPr>
          <w:p w14:paraId="7A79E1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bidi="ar"/>
              </w:rPr>
            </w:pPr>
          </w:p>
        </w:tc>
        <w:tc>
          <w:tcPr>
            <w:tcW w:w="748" w:type="dxa"/>
            <w:tcBorders>
              <w:tl2br w:val="nil"/>
              <w:tr2bl w:val="nil"/>
            </w:tcBorders>
            <w:shd w:val="clear" w:color="auto" w:fill="auto"/>
            <w:noWrap/>
            <w:vAlign w:val="center"/>
          </w:tcPr>
          <w:p w14:paraId="7C69C5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669</w:t>
            </w:r>
          </w:p>
        </w:tc>
        <w:tc>
          <w:tcPr>
            <w:tcW w:w="485" w:type="pct"/>
            <w:tcBorders>
              <w:tl2br w:val="nil"/>
              <w:tr2bl w:val="nil"/>
            </w:tcBorders>
            <w:shd w:val="clear" w:color="auto" w:fill="auto"/>
            <w:noWrap/>
            <w:vAlign w:val="center"/>
          </w:tcPr>
          <w:p w14:paraId="618A48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519" w:type="pct"/>
            <w:tcBorders>
              <w:tl2br w:val="nil"/>
              <w:tr2bl w:val="nil"/>
            </w:tcBorders>
            <w:shd w:val="clear" w:color="auto" w:fill="auto"/>
            <w:noWrap/>
            <w:vAlign w:val="center"/>
          </w:tcPr>
          <w:p w14:paraId="148516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09" w:type="pct"/>
            <w:tcBorders>
              <w:tl2br w:val="nil"/>
              <w:tr2bl w:val="nil"/>
            </w:tcBorders>
            <w:shd w:val="clear" w:color="auto" w:fill="auto"/>
            <w:noWrap/>
            <w:vAlign w:val="center"/>
          </w:tcPr>
          <w:p w14:paraId="0BB71C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623" w:type="pct"/>
            <w:tcBorders>
              <w:tl2br w:val="nil"/>
              <w:tr2bl w:val="nil"/>
            </w:tcBorders>
            <w:shd w:val="clear" w:color="auto" w:fill="auto"/>
            <w:noWrap/>
            <w:vAlign w:val="center"/>
          </w:tcPr>
          <w:p w14:paraId="2FA2CB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4AAEF76A">
      <w:pPr>
        <w:tabs>
          <w:tab w:val="left" w:pos="6045"/>
        </w:tabs>
        <w:rPr>
          <w:rFonts w:ascii="Microsoft New Tai Lue" w:hAnsi="Microsoft New Tai Lue" w:cs="Microsoft New Tai Lue"/>
          <w:b/>
          <w:bCs/>
          <w:color w:val="auto"/>
          <w:kern w:val="0"/>
          <w:sz w:val="21"/>
          <w:szCs w:val="21"/>
          <w:highlight w:val="none"/>
        </w:rPr>
      </w:pPr>
      <w:r>
        <w:rPr>
          <w:rFonts w:ascii="Microsoft New Tai Lue" w:hAnsi="Microsoft New Tai Lue" w:cs="Microsoft New Tai Lue"/>
          <w:b/>
          <w:bCs/>
          <w:color w:val="auto"/>
          <w:kern w:val="0"/>
          <w:sz w:val="21"/>
          <w:szCs w:val="21"/>
          <w:highlight w:val="none"/>
        </w:rPr>
        <w:t>注：</w:t>
      </w:r>
      <w:bookmarkStart w:id="285" w:name="_Hlk129799295"/>
      <w:r>
        <w:rPr>
          <w:rFonts w:hint="eastAsia" w:ascii="Microsoft New Tai Lue" w:hAnsi="Microsoft New Tai Lue" w:cs="Microsoft New Tai Lue"/>
          <w:b/>
          <w:bCs/>
          <w:color w:val="auto"/>
          <w:kern w:val="0"/>
          <w:sz w:val="21"/>
          <w:szCs w:val="21"/>
          <w:highlight w:val="none"/>
        </w:rPr>
        <w:t>1、</w:t>
      </w:r>
      <w:r>
        <w:rPr>
          <w:rFonts w:ascii="Microsoft New Tai Lue" w:hAnsi="Microsoft New Tai Lue" w:cs="Microsoft New Tai Lue"/>
          <w:b/>
          <w:bCs/>
          <w:color w:val="auto"/>
          <w:kern w:val="0"/>
          <w:sz w:val="21"/>
          <w:szCs w:val="21"/>
          <w:highlight w:val="none"/>
        </w:rPr>
        <w:t>如果行数不够，请自行增加。</w:t>
      </w:r>
      <w:bookmarkEnd w:id="285"/>
    </w:p>
    <w:p w14:paraId="76CABF53">
      <w:pPr>
        <w:tabs>
          <w:tab w:val="left" w:pos="6045"/>
        </w:tabs>
        <w:rPr>
          <w:rFonts w:ascii="Microsoft New Tai Lue" w:hAnsi="Microsoft New Tai Lue" w:cs="Microsoft New Tai Lue"/>
          <w:b/>
          <w:bCs/>
          <w:color w:val="auto"/>
          <w:kern w:val="0"/>
          <w:sz w:val="21"/>
          <w:szCs w:val="21"/>
          <w:highlight w:val="none"/>
        </w:rPr>
      </w:pPr>
      <w:r>
        <w:rPr>
          <w:rFonts w:hint="eastAsia" w:ascii="Microsoft New Tai Lue" w:hAnsi="Microsoft New Tai Lue" w:cs="Microsoft New Tai Lue"/>
          <w:b/>
          <w:bCs/>
          <w:color w:val="auto"/>
          <w:kern w:val="0"/>
          <w:sz w:val="21"/>
          <w:szCs w:val="21"/>
          <w:highlight w:val="none"/>
        </w:rPr>
        <w:t>2、在“投标标的是否由小微企业提供”栏内，填写“是”或“否”，如果小微型企业的产品报价无法划分计算的，评标时将不予认可。</w:t>
      </w:r>
    </w:p>
    <w:p w14:paraId="48CC1736">
      <w:pPr>
        <w:tabs>
          <w:tab w:val="left" w:pos="6045"/>
        </w:tabs>
        <w:rPr>
          <w:color w:val="auto"/>
          <w:highlight w:val="none"/>
        </w:rPr>
      </w:pPr>
      <w:r>
        <w:rPr>
          <w:rFonts w:hint="eastAsia" w:ascii="Microsoft New Tai Lue" w:hAnsi="Microsoft New Tai Lue" w:cs="Microsoft New Tai Lue"/>
          <w:b/>
          <w:bCs/>
          <w:color w:val="auto"/>
          <w:kern w:val="0"/>
          <w:sz w:val="21"/>
          <w:szCs w:val="21"/>
          <w:highlight w:val="none"/>
        </w:rPr>
        <w:t>3、供应商根据自身报价组成进行填写。</w:t>
      </w:r>
    </w:p>
    <w:bookmarkEnd w:id="284"/>
    <w:p w14:paraId="130C1537">
      <w:pPr>
        <w:pStyle w:val="16"/>
        <w:ind w:left="1260"/>
        <w:rPr>
          <w:color w:val="auto"/>
          <w:highlight w:val="none"/>
        </w:rPr>
      </w:pPr>
    </w:p>
    <w:p w14:paraId="3351BCFE">
      <w:pPr>
        <w:spacing w:line="360" w:lineRule="auto"/>
        <w:ind w:right="420" w:firstLine="3780" w:firstLineChars="1800"/>
        <w:rPr>
          <w:rFonts w:hint="eastAsia"/>
          <w:color w:val="auto"/>
          <w:highlight w:val="none"/>
        </w:rPr>
      </w:pPr>
      <w:bookmarkStart w:id="286" w:name="_Hlk129799236"/>
    </w:p>
    <w:p w14:paraId="1A3B641D">
      <w:pPr>
        <w:spacing w:line="360" w:lineRule="auto"/>
        <w:ind w:right="420" w:firstLine="3780" w:firstLineChars="1800"/>
        <w:rPr>
          <w:color w:val="auto"/>
          <w:highlight w:val="none"/>
          <w:u w:val="single"/>
        </w:rPr>
      </w:pPr>
      <w:r>
        <w:rPr>
          <w:rFonts w:hint="eastAsia"/>
          <w:color w:val="auto"/>
          <w:highlight w:val="none"/>
        </w:rPr>
        <w:t>供应商</w:t>
      </w:r>
      <w:r>
        <w:rPr>
          <w:color w:val="auto"/>
          <w:highlight w:val="none"/>
        </w:rPr>
        <w:t>名称（</w:t>
      </w:r>
      <w:r>
        <w:rPr>
          <w:rFonts w:hint="eastAsia"/>
          <w:color w:val="auto"/>
          <w:highlight w:val="none"/>
        </w:rPr>
        <w:t>加盖CA电子公章</w:t>
      </w:r>
      <w:r>
        <w:rPr>
          <w:color w:val="auto"/>
          <w:highlight w:val="none"/>
        </w:rPr>
        <w:t>）：</w:t>
      </w:r>
      <w:r>
        <w:rPr>
          <w:color w:val="auto"/>
          <w:highlight w:val="none"/>
          <w:u w:val="single"/>
        </w:rPr>
        <w:t xml:space="preserve">        </w:t>
      </w:r>
    </w:p>
    <w:p w14:paraId="4D4CD5EC">
      <w:pPr>
        <w:spacing w:line="360" w:lineRule="auto"/>
        <w:ind w:firstLine="3780" w:firstLineChars="18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法定代表人（单位负责人）</w:t>
      </w:r>
    </w:p>
    <w:p w14:paraId="625BD35C">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31EEBBFC">
      <w:pPr>
        <w:spacing w:line="360" w:lineRule="auto"/>
        <w:ind w:firstLine="422" w:firstLineChars="200"/>
        <w:jc w:val="left"/>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日</w:t>
      </w:r>
    </w:p>
    <w:p w14:paraId="1BB97077">
      <w:pPr>
        <w:pStyle w:val="16"/>
        <w:ind w:left="0" w:leftChars="0" w:firstLine="0" w:firstLineChars="0"/>
        <w:rPr>
          <w:color w:val="auto"/>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p>
    <w:p w14:paraId="65F78083">
      <w:pPr>
        <w:spacing w:line="360" w:lineRule="auto"/>
        <w:jc w:val="center"/>
        <w:rPr>
          <w:rFonts w:ascii="Microsoft New Tai Lue" w:hAnsi="Microsoft New Tai Lue" w:cs="Microsoft New Tai Lue"/>
          <w:color w:val="auto"/>
          <w:szCs w:val="21"/>
          <w:highlight w:val="none"/>
        </w:rPr>
      </w:pPr>
      <w:r>
        <w:rPr>
          <w:rFonts w:hint="eastAsia" w:ascii="Microsoft New Tai Lue" w:hAnsi="Microsoft New Tai Lue" w:cs="Microsoft New Tai Lue"/>
          <w:b/>
          <w:bCs/>
          <w:color w:val="auto"/>
          <w:szCs w:val="21"/>
          <w:highlight w:val="none"/>
        </w:rPr>
        <w:t>分项报价表</w:t>
      </w:r>
      <w:r>
        <w:rPr>
          <w:rFonts w:hint="eastAsia" w:ascii="Microsoft New Tai Lue" w:hAnsi="Microsoft New Tai Lue" w:cs="Microsoft New Tai Lue"/>
          <w:b/>
          <w:bCs/>
          <w:color w:val="auto"/>
          <w:szCs w:val="21"/>
          <w:highlight w:val="none"/>
          <w:lang w:eastAsia="zh-CN"/>
        </w:rPr>
        <w:t>（</w:t>
      </w:r>
      <w:r>
        <w:rPr>
          <w:rFonts w:hint="eastAsia" w:ascii="Microsoft New Tai Lue" w:hAnsi="Microsoft New Tai Lue" w:cs="Microsoft New Tai Lue"/>
          <w:b/>
          <w:bCs/>
          <w:color w:val="auto"/>
          <w:szCs w:val="21"/>
          <w:highlight w:val="none"/>
          <w:lang w:val="en-US" w:eastAsia="zh-CN"/>
        </w:rPr>
        <w:t>包2</w:t>
      </w:r>
      <w:r>
        <w:rPr>
          <w:rFonts w:hint="eastAsia" w:ascii="Microsoft New Tai Lue" w:hAnsi="Microsoft New Tai Lue" w:cs="Microsoft New Tai Lue"/>
          <w:b/>
          <w:bCs/>
          <w:color w:val="auto"/>
          <w:szCs w:val="21"/>
          <w:highlight w:val="none"/>
          <w:lang w:eastAsia="zh-CN"/>
        </w:rPr>
        <w:t>）</w:t>
      </w:r>
    </w:p>
    <w:p w14:paraId="63FA4471">
      <w:pPr>
        <w:spacing w:line="360" w:lineRule="auto"/>
        <w:ind w:left="-120" w:firstLine="210" w:firstLineChars="1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项目名称：</w:t>
      </w:r>
      <w:r>
        <w:rPr>
          <w:rFonts w:ascii="Microsoft New Tai Lue" w:hAnsi="Microsoft New Tai Lue" w:cs="Microsoft New Tai Lue"/>
          <w:color w:val="auto"/>
          <w:szCs w:val="21"/>
          <w:highlight w:val="none"/>
          <w:u w:val="single"/>
        </w:rPr>
        <w:t xml:space="preserve">                  </w:t>
      </w:r>
    </w:p>
    <w:p w14:paraId="70DE7EC8">
      <w:pPr>
        <w:spacing w:line="360" w:lineRule="auto"/>
        <w:ind w:left="-120" w:firstLine="210" w:firstLineChars="1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项目编号：</w:t>
      </w:r>
      <w:r>
        <w:rPr>
          <w:rFonts w:ascii="Microsoft New Tai Lue" w:hAnsi="Microsoft New Tai Lue" w:cs="Microsoft New Tai Lue"/>
          <w:color w:val="auto"/>
          <w:szCs w:val="21"/>
          <w:highlight w:val="none"/>
          <w:u w:val="single"/>
        </w:rPr>
        <w:t xml:space="preserve">                  </w:t>
      </w:r>
    </w:p>
    <w:tbl>
      <w:tblPr>
        <w:tblStyle w:val="34"/>
        <w:tblW w:w="57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740"/>
        <w:gridCol w:w="1216"/>
        <w:gridCol w:w="796"/>
        <w:gridCol w:w="1092"/>
        <w:gridCol w:w="1032"/>
        <w:gridCol w:w="750"/>
        <w:gridCol w:w="954"/>
        <w:gridCol w:w="1024"/>
        <w:gridCol w:w="796"/>
        <w:gridCol w:w="1095"/>
      </w:tblGrid>
      <w:tr w14:paraId="3CDC9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28" w:hRule="exact"/>
          <w:tblHeader/>
          <w:jc w:val="center"/>
        </w:trPr>
        <w:tc>
          <w:tcPr>
            <w:tcW w:w="389" w:type="pct"/>
            <w:vMerge w:val="restart"/>
            <w:tcBorders>
              <w:tl2br w:val="nil"/>
              <w:tr2bl w:val="nil"/>
            </w:tcBorders>
            <w:shd w:val="clear" w:color="auto" w:fill="auto"/>
            <w:vAlign w:val="center"/>
          </w:tcPr>
          <w:p w14:paraId="7C7CB5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分包</w:t>
            </w:r>
          </w:p>
          <w:p w14:paraId="37A0D2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40" w:type="pct"/>
            <w:vMerge w:val="restart"/>
            <w:tcBorders>
              <w:tl2br w:val="nil"/>
              <w:tr2bl w:val="nil"/>
            </w:tcBorders>
            <w:shd w:val="clear" w:color="auto" w:fill="auto"/>
            <w:vAlign w:val="center"/>
          </w:tcPr>
          <w:p w14:paraId="2E393D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采购内容</w:t>
            </w:r>
          </w:p>
          <w:p w14:paraId="5E9B78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（抽检大类）</w:t>
            </w:r>
          </w:p>
        </w:tc>
        <w:tc>
          <w:tcPr>
            <w:tcW w:w="1537" w:type="pct"/>
            <w:gridSpan w:val="3"/>
            <w:tcBorders>
              <w:tl2br w:val="nil"/>
              <w:tr2bl w:val="nil"/>
            </w:tcBorders>
            <w:shd w:val="clear" w:color="auto" w:fill="auto"/>
            <w:vAlign w:val="center"/>
          </w:tcPr>
          <w:p w14:paraId="161A83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监督抽检</w:t>
            </w:r>
          </w:p>
        </w:tc>
        <w:tc>
          <w:tcPr>
            <w:tcW w:w="1436" w:type="pct"/>
            <w:gridSpan w:val="3"/>
            <w:tcBorders>
              <w:tl2br w:val="nil"/>
              <w:tr2bl w:val="nil"/>
            </w:tcBorders>
            <w:shd w:val="clear" w:color="auto" w:fill="auto"/>
            <w:vAlign w:val="center"/>
          </w:tcPr>
          <w:p w14:paraId="198B49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风险抽检</w:t>
            </w:r>
          </w:p>
        </w:tc>
        <w:tc>
          <w:tcPr>
            <w:tcW w:w="419" w:type="pct"/>
            <w:vMerge w:val="restart"/>
            <w:tcBorders>
              <w:tl2br w:val="nil"/>
              <w:tr2bl w:val="nil"/>
            </w:tcBorders>
            <w:shd w:val="clear" w:color="auto" w:fill="auto"/>
            <w:vAlign w:val="center"/>
          </w:tcPr>
          <w:p w14:paraId="139EAA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合计</w:t>
            </w:r>
          </w:p>
          <w:p w14:paraId="7F4181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576" w:type="pct"/>
            <w:vMerge w:val="restart"/>
            <w:tcBorders>
              <w:tl2br w:val="nil"/>
              <w:tr2bl w:val="nil"/>
            </w:tcBorders>
            <w:shd w:val="clear" w:color="auto" w:fill="auto"/>
            <w:vAlign w:val="center"/>
          </w:tcPr>
          <w:p w14:paraId="049455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color w:val="auto"/>
                <w:kern w:val="0"/>
                <w:sz w:val="21"/>
                <w:szCs w:val="21"/>
                <w:highlight w:val="none"/>
              </w:rPr>
              <w:t>投标标的是否由小微企业提供（填写“是”或“否”）</w:t>
            </w:r>
          </w:p>
        </w:tc>
      </w:tr>
      <w:tr w14:paraId="1FA32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4" w:hRule="exact"/>
          <w:tblHeader/>
          <w:jc w:val="center"/>
        </w:trPr>
        <w:tc>
          <w:tcPr>
            <w:tcW w:w="389" w:type="pct"/>
            <w:vMerge w:val="continue"/>
            <w:tcBorders>
              <w:tl2br w:val="nil"/>
              <w:tr2bl w:val="nil"/>
            </w:tcBorders>
            <w:shd w:val="clear" w:color="auto" w:fill="auto"/>
            <w:vAlign w:val="center"/>
          </w:tcPr>
          <w:p w14:paraId="6B8FAC43">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640" w:type="pct"/>
            <w:vMerge w:val="continue"/>
            <w:tcBorders>
              <w:tl2br w:val="nil"/>
              <w:tr2bl w:val="nil"/>
            </w:tcBorders>
            <w:shd w:val="clear" w:color="auto" w:fill="auto"/>
            <w:vAlign w:val="center"/>
          </w:tcPr>
          <w:p w14:paraId="68DB28E4">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419" w:type="pct"/>
            <w:tcBorders>
              <w:tl2br w:val="nil"/>
              <w:tr2bl w:val="nil"/>
            </w:tcBorders>
            <w:shd w:val="clear" w:color="auto" w:fill="auto"/>
            <w:vAlign w:val="center"/>
          </w:tcPr>
          <w:p w14:paraId="4E7BDC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74" w:type="pct"/>
            <w:tcBorders>
              <w:tl2br w:val="nil"/>
              <w:tr2bl w:val="nil"/>
            </w:tcBorders>
            <w:shd w:val="clear" w:color="auto" w:fill="auto"/>
            <w:vAlign w:val="center"/>
          </w:tcPr>
          <w:p w14:paraId="295730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43" w:type="pct"/>
            <w:tcBorders>
              <w:tl2br w:val="nil"/>
              <w:tr2bl w:val="nil"/>
            </w:tcBorders>
            <w:shd w:val="clear" w:color="auto" w:fill="auto"/>
            <w:vAlign w:val="center"/>
          </w:tcPr>
          <w:p w14:paraId="000F7F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10BA8C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395" w:type="pct"/>
            <w:tcBorders>
              <w:tl2br w:val="nil"/>
              <w:tr2bl w:val="nil"/>
            </w:tcBorders>
            <w:shd w:val="clear" w:color="auto" w:fill="auto"/>
            <w:vAlign w:val="center"/>
          </w:tcPr>
          <w:p w14:paraId="554B18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批次数</w:t>
            </w:r>
          </w:p>
        </w:tc>
        <w:tc>
          <w:tcPr>
            <w:tcW w:w="502" w:type="pct"/>
            <w:tcBorders>
              <w:tl2br w:val="nil"/>
              <w:tr2bl w:val="nil"/>
            </w:tcBorders>
            <w:shd w:val="clear" w:color="auto" w:fill="auto"/>
            <w:vAlign w:val="center"/>
          </w:tcPr>
          <w:p w14:paraId="5E4553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单价（万元/批次）</w:t>
            </w:r>
          </w:p>
        </w:tc>
        <w:tc>
          <w:tcPr>
            <w:tcW w:w="539" w:type="pct"/>
            <w:tcBorders>
              <w:tl2br w:val="nil"/>
              <w:tr2bl w:val="nil"/>
            </w:tcBorders>
            <w:shd w:val="clear" w:color="auto" w:fill="auto"/>
            <w:vAlign w:val="center"/>
          </w:tcPr>
          <w:p w14:paraId="571BDD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小计</w:t>
            </w:r>
          </w:p>
          <w:p w14:paraId="3CCC16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（万元）</w:t>
            </w:r>
          </w:p>
        </w:tc>
        <w:tc>
          <w:tcPr>
            <w:tcW w:w="419" w:type="pct"/>
            <w:vMerge w:val="continue"/>
            <w:tcBorders>
              <w:tl2br w:val="nil"/>
              <w:tr2bl w:val="nil"/>
            </w:tcBorders>
            <w:shd w:val="clear" w:color="auto" w:fill="auto"/>
            <w:vAlign w:val="center"/>
          </w:tcPr>
          <w:p w14:paraId="7EE623AD">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c>
          <w:tcPr>
            <w:tcW w:w="576" w:type="pct"/>
            <w:vMerge w:val="continue"/>
            <w:tcBorders>
              <w:tl2br w:val="nil"/>
              <w:tr2bl w:val="nil"/>
            </w:tcBorders>
            <w:shd w:val="clear" w:color="auto" w:fill="auto"/>
            <w:vAlign w:val="center"/>
          </w:tcPr>
          <w:p w14:paraId="2D1B85A5">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auto"/>
                <w:sz w:val="21"/>
                <w:szCs w:val="21"/>
                <w:highlight w:val="none"/>
                <w:u w:val="none"/>
              </w:rPr>
            </w:pPr>
          </w:p>
        </w:tc>
      </w:tr>
      <w:tr w14:paraId="3A652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exact"/>
          <w:jc w:val="center"/>
        </w:trPr>
        <w:tc>
          <w:tcPr>
            <w:tcW w:w="389" w:type="pct"/>
            <w:vMerge w:val="restart"/>
            <w:tcBorders>
              <w:tl2br w:val="nil"/>
              <w:tr2bl w:val="nil"/>
            </w:tcBorders>
            <w:shd w:val="clear" w:color="auto" w:fill="auto"/>
            <w:noWrap/>
            <w:vAlign w:val="center"/>
          </w:tcPr>
          <w:p w14:paraId="106C36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包2</w:t>
            </w:r>
          </w:p>
        </w:tc>
        <w:tc>
          <w:tcPr>
            <w:tcW w:w="640" w:type="pct"/>
            <w:tcBorders>
              <w:tl2br w:val="nil"/>
              <w:tr2bl w:val="nil"/>
            </w:tcBorders>
            <w:shd w:val="clear" w:color="auto" w:fill="auto"/>
            <w:noWrap/>
            <w:vAlign w:val="center"/>
          </w:tcPr>
          <w:p w14:paraId="001842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方便食品</w:t>
            </w:r>
          </w:p>
        </w:tc>
        <w:tc>
          <w:tcPr>
            <w:tcW w:w="419" w:type="pct"/>
            <w:tcBorders>
              <w:tl2br w:val="nil"/>
              <w:tr2bl w:val="nil"/>
            </w:tcBorders>
            <w:shd w:val="clear" w:color="auto" w:fill="auto"/>
            <w:noWrap/>
            <w:vAlign w:val="center"/>
          </w:tcPr>
          <w:p w14:paraId="533D5C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43</w:t>
            </w:r>
          </w:p>
        </w:tc>
        <w:tc>
          <w:tcPr>
            <w:tcW w:w="574" w:type="pct"/>
            <w:tcBorders>
              <w:tl2br w:val="nil"/>
              <w:tr2bl w:val="nil"/>
            </w:tcBorders>
            <w:shd w:val="clear" w:color="auto" w:fill="auto"/>
            <w:noWrap/>
            <w:vAlign w:val="center"/>
          </w:tcPr>
          <w:p w14:paraId="14454D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274B87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32FFD7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39</w:t>
            </w:r>
          </w:p>
        </w:tc>
        <w:tc>
          <w:tcPr>
            <w:tcW w:w="502" w:type="pct"/>
            <w:tcBorders>
              <w:tl2br w:val="nil"/>
              <w:tr2bl w:val="nil"/>
            </w:tcBorders>
            <w:shd w:val="clear" w:color="auto" w:fill="auto"/>
            <w:noWrap/>
            <w:vAlign w:val="center"/>
          </w:tcPr>
          <w:p w14:paraId="0083A3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6D5D4A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419" w:type="pct"/>
            <w:tcBorders>
              <w:tl2br w:val="nil"/>
              <w:tr2bl w:val="nil"/>
            </w:tcBorders>
            <w:shd w:val="clear" w:color="auto" w:fill="auto"/>
            <w:noWrap/>
            <w:vAlign w:val="center"/>
          </w:tcPr>
          <w:p w14:paraId="7721A1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2313C3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r>
      <w:tr w14:paraId="28F81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13" w:hRule="exact"/>
          <w:jc w:val="center"/>
        </w:trPr>
        <w:tc>
          <w:tcPr>
            <w:tcW w:w="389" w:type="pct"/>
            <w:vMerge w:val="continue"/>
            <w:tcBorders>
              <w:tl2br w:val="nil"/>
              <w:tr2bl w:val="nil"/>
            </w:tcBorders>
            <w:shd w:val="clear" w:color="auto" w:fill="auto"/>
            <w:noWrap/>
            <w:vAlign w:val="center"/>
          </w:tcPr>
          <w:p w14:paraId="4A58A95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7C868B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饼干</w:t>
            </w:r>
          </w:p>
        </w:tc>
        <w:tc>
          <w:tcPr>
            <w:tcW w:w="419" w:type="pct"/>
            <w:tcBorders>
              <w:tl2br w:val="nil"/>
              <w:tr2bl w:val="nil"/>
            </w:tcBorders>
            <w:shd w:val="clear" w:color="auto" w:fill="auto"/>
            <w:noWrap/>
            <w:vAlign w:val="center"/>
          </w:tcPr>
          <w:p w14:paraId="5DE0EC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33</w:t>
            </w:r>
          </w:p>
        </w:tc>
        <w:tc>
          <w:tcPr>
            <w:tcW w:w="574" w:type="pct"/>
            <w:tcBorders>
              <w:tl2br w:val="nil"/>
              <w:tr2bl w:val="nil"/>
            </w:tcBorders>
            <w:shd w:val="clear" w:color="auto" w:fill="auto"/>
            <w:noWrap/>
            <w:vAlign w:val="center"/>
          </w:tcPr>
          <w:p w14:paraId="2AFAAE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376E03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38E987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0</w:t>
            </w:r>
          </w:p>
        </w:tc>
        <w:tc>
          <w:tcPr>
            <w:tcW w:w="502" w:type="pct"/>
            <w:tcBorders>
              <w:tl2br w:val="nil"/>
              <w:tr2bl w:val="nil"/>
            </w:tcBorders>
            <w:shd w:val="clear" w:color="auto" w:fill="auto"/>
            <w:noWrap/>
            <w:vAlign w:val="center"/>
          </w:tcPr>
          <w:p w14:paraId="7CE894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539" w:type="pct"/>
            <w:tcBorders>
              <w:tl2br w:val="nil"/>
              <w:tr2bl w:val="nil"/>
            </w:tcBorders>
            <w:shd w:val="clear" w:color="auto" w:fill="auto"/>
            <w:noWrap/>
            <w:vAlign w:val="center"/>
          </w:tcPr>
          <w:p w14:paraId="1BCCDC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cs="宋体"/>
                <w:b w:val="0"/>
                <w:bCs w:val="0"/>
                <w:i w:val="0"/>
                <w:iCs w:val="0"/>
                <w:color w:val="auto"/>
                <w:sz w:val="21"/>
                <w:szCs w:val="21"/>
                <w:highlight w:val="none"/>
                <w:u w:val="none"/>
                <w:lang w:val="en-US" w:eastAsia="zh-CN"/>
              </w:rPr>
              <w:t>/</w:t>
            </w:r>
          </w:p>
        </w:tc>
        <w:tc>
          <w:tcPr>
            <w:tcW w:w="419" w:type="pct"/>
            <w:tcBorders>
              <w:tl2br w:val="nil"/>
              <w:tr2bl w:val="nil"/>
            </w:tcBorders>
            <w:shd w:val="clear" w:color="auto" w:fill="auto"/>
            <w:noWrap/>
            <w:vAlign w:val="center"/>
          </w:tcPr>
          <w:p w14:paraId="4886B5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561C2E4B">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6EECF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13" w:hRule="exact"/>
          <w:jc w:val="center"/>
        </w:trPr>
        <w:tc>
          <w:tcPr>
            <w:tcW w:w="389" w:type="pct"/>
            <w:vMerge w:val="continue"/>
            <w:tcBorders>
              <w:tl2br w:val="nil"/>
              <w:tr2bl w:val="nil"/>
            </w:tcBorders>
            <w:shd w:val="clear" w:color="auto" w:fill="auto"/>
            <w:noWrap/>
            <w:vAlign w:val="center"/>
          </w:tcPr>
          <w:p w14:paraId="45DD7166">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033DE5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罐头</w:t>
            </w:r>
          </w:p>
        </w:tc>
        <w:tc>
          <w:tcPr>
            <w:tcW w:w="419" w:type="pct"/>
            <w:tcBorders>
              <w:tl2br w:val="nil"/>
              <w:tr2bl w:val="nil"/>
            </w:tcBorders>
            <w:shd w:val="clear" w:color="auto" w:fill="auto"/>
            <w:noWrap/>
            <w:vAlign w:val="center"/>
          </w:tcPr>
          <w:p w14:paraId="328FEA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34</w:t>
            </w:r>
          </w:p>
        </w:tc>
        <w:tc>
          <w:tcPr>
            <w:tcW w:w="574" w:type="pct"/>
            <w:tcBorders>
              <w:tl2br w:val="nil"/>
              <w:tr2bl w:val="nil"/>
            </w:tcBorders>
            <w:shd w:val="clear" w:color="auto" w:fill="auto"/>
            <w:noWrap/>
            <w:vAlign w:val="center"/>
          </w:tcPr>
          <w:p w14:paraId="66B8FE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28B619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03A790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w:t>
            </w:r>
          </w:p>
        </w:tc>
        <w:tc>
          <w:tcPr>
            <w:tcW w:w="502" w:type="pct"/>
            <w:tcBorders>
              <w:tl2br w:val="nil"/>
              <w:tr2bl w:val="nil"/>
            </w:tcBorders>
            <w:shd w:val="clear" w:color="auto" w:fill="auto"/>
            <w:noWrap/>
            <w:vAlign w:val="center"/>
          </w:tcPr>
          <w:p w14:paraId="28CD82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6DFDAF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419" w:type="pct"/>
            <w:tcBorders>
              <w:tl2br w:val="nil"/>
              <w:tr2bl w:val="nil"/>
            </w:tcBorders>
            <w:shd w:val="clear" w:color="auto" w:fill="auto"/>
            <w:noWrap/>
            <w:vAlign w:val="center"/>
          </w:tcPr>
          <w:p w14:paraId="31D9B7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244E63FE">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5FF46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52" w:hRule="exact"/>
          <w:jc w:val="center"/>
        </w:trPr>
        <w:tc>
          <w:tcPr>
            <w:tcW w:w="389" w:type="pct"/>
            <w:vMerge w:val="continue"/>
            <w:tcBorders>
              <w:tl2br w:val="nil"/>
              <w:tr2bl w:val="nil"/>
            </w:tcBorders>
            <w:shd w:val="clear" w:color="auto" w:fill="auto"/>
            <w:noWrap/>
            <w:vAlign w:val="center"/>
          </w:tcPr>
          <w:p w14:paraId="15A92CA9">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677F9F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食用油、油脂及其制品</w:t>
            </w:r>
          </w:p>
        </w:tc>
        <w:tc>
          <w:tcPr>
            <w:tcW w:w="419" w:type="pct"/>
            <w:tcBorders>
              <w:tl2br w:val="nil"/>
              <w:tr2bl w:val="nil"/>
            </w:tcBorders>
            <w:shd w:val="clear" w:color="auto" w:fill="auto"/>
            <w:noWrap/>
            <w:vAlign w:val="center"/>
          </w:tcPr>
          <w:p w14:paraId="33C18A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38</w:t>
            </w:r>
          </w:p>
        </w:tc>
        <w:tc>
          <w:tcPr>
            <w:tcW w:w="574" w:type="pct"/>
            <w:tcBorders>
              <w:tl2br w:val="nil"/>
              <w:tr2bl w:val="nil"/>
            </w:tcBorders>
            <w:shd w:val="clear" w:color="auto" w:fill="auto"/>
            <w:noWrap/>
            <w:vAlign w:val="center"/>
          </w:tcPr>
          <w:p w14:paraId="4AFEED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1981CB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386A03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78</w:t>
            </w:r>
          </w:p>
        </w:tc>
        <w:tc>
          <w:tcPr>
            <w:tcW w:w="502" w:type="pct"/>
            <w:tcBorders>
              <w:tl2br w:val="nil"/>
              <w:tr2bl w:val="nil"/>
            </w:tcBorders>
            <w:shd w:val="clear" w:color="auto" w:fill="auto"/>
            <w:noWrap/>
            <w:vAlign w:val="center"/>
          </w:tcPr>
          <w:p w14:paraId="71801A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24A15A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419" w:type="pct"/>
            <w:tcBorders>
              <w:tl2br w:val="nil"/>
              <w:tr2bl w:val="nil"/>
            </w:tcBorders>
            <w:shd w:val="clear" w:color="auto" w:fill="auto"/>
            <w:noWrap/>
            <w:vAlign w:val="center"/>
          </w:tcPr>
          <w:p w14:paraId="044255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6E3909B4">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077D3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79" w:hRule="exact"/>
          <w:jc w:val="center"/>
        </w:trPr>
        <w:tc>
          <w:tcPr>
            <w:tcW w:w="389" w:type="pct"/>
            <w:vMerge w:val="continue"/>
            <w:tcBorders>
              <w:tl2br w:val="nil"/>
              <w:tr2bl w:val="nil"/>
            </w:tcBorders>
            <w:shd w:val="clear" w:color="auto" w:fill="auto"/>
            <w:noWrap/>
            <w:vAlign w:val="center"/>
          </w:tcPr>
          <w:p w14:paraId="2E20DBC8">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248122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粮食加工品</w:t>
            </w:r>
          </w:p>
        </w:tc>
        <w:tc>
          <w:tcPr>
            <w:tcW w:w="419" w:type="pct"/>
            <w:tcBorders>
              <w:tl2br w:val="nil"/>
              <w:tr2bl w:val="nil"/>
            </w:tcBorders>
            <w:shd w:val="clear" w:color="auto" w:fill="auto"/>
            <w:noWrap/>
            <w:vAlign w:val="center"/>
          </w:tcPr>
          <w:p w14:paraId="0F745C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232</w:t>
            </w:r>
          </w:p>
        </w:tc>
        <w:tc>
          <w:tcPr>
            <w:tcW w:w="574" w:type="pct"/>
            <w:tcBorders>
              <w:tl2br w:val="nil"/>
              <w:tr2bl w:val="nil"/>
            </w:tcBorders>
            <w:shd w:val="clear" w:color="auto" w:fill="auto"/>
            <w:noWrap/>
            <w:vAlign w:val="center"/>
          </w:tcPr>
          <w:p w14:paraId="20AF05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507854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7422A0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82</w:t>
            </w:r>
          </w:p>
        </w:tc>
        <w:tc>
          <w:tcPr>
            <w:tcW w:w="502" w:type="pct"/>
            <w:tcBorders>
              <w:tl2br w:val="nil"/>
              <w:tr2bl w:val="nil"/>
            </w:tcBorders>
            <w:shd w:val="clear" w:color="auto" w:fill="auto"/>
            <w:noWrap/>
            <w:vAlign w:val="center"/>
          </w:tcPr>
          <w:p w14:paraId="13BD20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6164BF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419" w:type="pct"/>
            <w:tcBorders>
              <w:tl2br w:val="nil"/>
              <w:tr2bl w:val="nil"/>
            </w:tcBorders>
            <w:shd w:val="clear" w:color="auto" w:fill="auto"/>
            <w:noWrap/>
            <w:vAlign w:val="center"/>
          </w:tcPr>
          <w:p w14:paraId="7FEED6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57D1E06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14228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exact"/>
          <w:jc w:val="center"/>
        </w:trPr>
        <w:tc>
          <w:tcPr>
            <w:tcW w:w="389" w:type="pct"/>
            <w:vMerge w:val="continue"/>
            <w:tcBorders>
              <w:tl2br w:val="nil"/>
              <w:tr2bl w:val="nil"/>
            </w:tcBorders>
            <w:shd w:val="clear" w:color="auto" w:fill="auto"/>
            <w:noWrap/>
            <w:vAlign w:val="center"/>
          </w:tcPr>
          <w:p w14:paraId="0E47754F">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58E12E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可可及焙烤咖啡产品</w:t>
            </w:r>
          </w:p>
        </w:tc>
        <w:tc>
          <w:tcPr>
            <w:tcW w:w="419" w:type="pct"/>
            <w:tcBorders>
              <w:tl2br w:val="nil"/>
              <w:tr2bl w:val="nil"/>
            </w:tcBorders>
            <w:shd w:val="clear" w:color="auto" w:fill="auto"/>
            <w:noWrap/>
            <w:vAlign w:val="center"/>
          </w:tcPr>
          <w:p w14:paraId="6B6B54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w:t>
            </w:r>
          </w:p>
        </w:tc>
        <w:tc>
          <w:tcPr>
            <w:tcW w:w="574" w:type="pct"/>
            <w:tcBorders>
              <w:tl2br w:val="nil"/>
              <w:tr2bl w:val="nil"/>
            </w:tcBorders>
            <w:shd w:val="clear" w:color="auto" w:fill="auto"/>
            <w:noWrap/>
            <w:vAlign w:val="center"/>
          </w:tcPr>
          <w:p w14:paraId="674FA9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16FDE3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3B0435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502" w:type="pct"/>
            <w:tcBorders>
              <w:tl2br w:val="nil"/>
              <w:tr2bl w:val="nil"/>
            </w:tcBorders>
            <w:shd w:val="clear" w:color="auto" w:fill="auto"/>
            <w:noWrap/>
            <w:vAlign w:val="center"/>
          </w:tcPr>
          <w:p w14:paraId="36914B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01099C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419" w:type="pct"/>
            <w:tcBorders>
              <w:tl2br w:val="nil"/>
              <w:tr2bl w:val="nil"/>
            </w:tcBorders>
            <w:shd w:val="clear" w:color="auto" w:fill="auto"/>
            <w:noWrap/>
            <w:vAlign w:val="center"/>
          </w:tcPr>
          <w:p w14:paraId="7F42FD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12E3B731">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0C239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exact"/>
          <w:jc w:val="center"/>
        </w:trPr>
        <w:tc>
          <w:tcPr>
            <w:tcW w:w="389" w:type="pct"/>
            <w:vMerge w:val="continue"/>
            <w:tcBorders>
              <w:tl2br w:val="nil"/>
              <w:tr2bl w:val="nil"/>
            </w:tcBorders>
            <w:shd w:val="clear" w:color="auto" w:fill="auto"/>
            <w:noWrap/>
            <w:vAlign w:val="center"/>
          </w:tcPr>
          <w:p w14:paraId="22C343AF">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p w14:paraId="38F3582F">
            <w:pPr>
              <w:pStyle w:val="2"/>
              <w:suppressLineNumbers w:val="0"/>
              <w:spacing w:beforeAutospacing="0" w:afterAutospacing="0"/>
              <w:ind w:left="0" w:right="0"/>
              <w:rPr>
                <w:rFonts w:hint="eastAsia"/>
              </w:rPr>
            </w:pPr>
          </w:p>
        </w:tc>
        <w:tc>
          <w:tcPr>
            <w:tcW w:w="640" w:type="pct"/>
            <w:tcBorders>
              <w:tl2br w:val="nil"/>
              <w:tr2bl w:val="nil"/>
            </w:tcBorders>
            <w:shd w:val="clear" w:color="auto" w:fill="auto"/>
            <w:noWrap/>
            <w:vAlign w:val="center"/>
          </w:tcPr>
          <w:p w14:paraId="529288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冷冻饮品</w:t>
            </w:r>
          </w:p>
        </w:tc>
        <w:tc>
          <w:tcPr>
            <w:tcW w:w="419" w:type="pct"/>
            <w:tcBorders>
              <w:tl2br w:val="nil"/>
              <w:tr2bl w:val="nil"/>
            </w:tcBorders>
            <w:shd w:val="clear" w:color="auto" w:fill="auto"/>
            <w:noWrap/>
            <w:vAlign w:val="center"/>
          </w:tcPr>
          <w:p w14:paraId="27969F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14</w:t>
            </w:r>
          </w:p>
        </w:tc>
        <w:tc>
          <w:tcPr>
            <w:tcW w:w="574" w:type="pct"/>
            <w:tcBorders>
              <w:tl2br w:val="nil"/>
              <w:tr2bl w:val="nil"/>
            </w:tcBorders>
            <w:shd w:val="clear" w:color="auto" w:fill="auto"/>
            <w:noWrap/>
            <w:vAlign w:val="center"/>
          </w:tcPr>
          <w:p w14:paraId="2221C0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2C7E87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44B62A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w:t>
            </w:r>
          </w:p>
        </w:tc>
        <w:tc>
          <w:tcPr>
            <w:tcW w:w="502" w:type="pct"/>
            <w:tcBorders>
              <w:tl2br w:val="nil"/>
              <w:tr2bl w:val="nil"/>
            </w:tcBorders>
            <w:shd w:val="clear" w:color="auto" w:fill="auto"/>
            <w:noWrap/>
            <w:vAlign w:val="center"/>
          </w:tcPr>
          <w:p w14:paraId="1FBB7B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539" w:type="pct"/>
            <w:tcBorders>
              <w:tl2br w:val="nil"/>
              <w:tr2bl w:val="nil"/>
            </w:tcBorders>
            <w:shd w:val="clear" w:color="auto" w:fill="auto"/>
            <w:noWrap/>
            <w:vAlign w:val="center"/>
          </w:tcPr>
          <w:p w14:paraId="677A82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cs="宋体"/>
                <w:b w:val="0"/>
                <w:bCs w:val="0"/>
                <w:i w:val="0"/>
                <w:iCs w:val="0"/>
                <w:color w:val="auto"/>
                <w:sz w:val="21"/>
                <w:szCs w:val="21"/>
                <w:highlight w:val="none"/>
                <w:u w:val="none"/>
                <w:lang w:val="en-US" w:eastAsia="zh-CN"/>
              </w:rPr>
              <w:t>/</w:t>
            </w:r>
          </w:p>
        </w:tc>
        <w:tc>
          <w:tcPr>
            <w:tcW w:w="419" w:type="pct"/>
            <w:tcBorders>
              <w:tl2br w:val="nil"/>
              <w:tr2bl w:val="nil"/>
            </w:tcBorders>
            <w:shd w:val="clear" w:color="auto" w:fill="auto"/>
            <w:noWrap/>
            <w:vAlign w:val="center"/>
          </w:tcPr>
          <w:p w14:paraId="254497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040C09AD">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7AA7A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47" w:hRule="exact"/>
          <w:jc w:val="center"/>
        </w:trPr>
        <w:tc>
          <w:tcPr>
            <w:tcW w:w="389" w:type="pct"/>
            <w:vMerge w:val="continue"/>
            <w:tcBorders>
              <w:tl2br w:val="nil"/>
              <w:tr2bl w:val="nil"/>
            </w:tcBorders>
            <w:shd w:val="clear" w:color="auto" w:fill="auto"/>
            <w:noWrap/>
            <w:vAlign w:val="center"/>
          </w:tcPr>
          <w:p w14:paraId="6920E798">
            <w:pPr>
              <w:pStyle w:val="2"/>
              <w:suppressLineNumbers w:val="0"/>
              <w:spacing w:beforeAutospacing="0" w:afterAutospacing="0"/>
              <w:ind w:left="0" w:right="0"/>
              <w:rPr>
                <w:rFonts w:hint="eastAsia"/>
              </w:rPr>
            </w:pPr>
          </w:p>
        </w:tc>
        <w:tc>
          <w:tcPr>
            <w:tcW w:w="640" w:type="pct"/>
            <w:tcBorders>
              <w:tl2br w:val="nil"/>
              <w:tr2bl w:val="nil"/>
            </w:tcBorders>
            <w:shd w:val="clear" w:color="auto" w:fill="auto"/>
            <w:noWrap/>
            <w:vAlign w:val="center"/>
          </w:tcPr>
          <w:p w14:paraId="7A79B2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生干坚果与籽类食品</w:t>
            </w:r>
          </w:p>
        </w:tc>
        <w:tc>
          <w:tcPr>
            <w:tcW w:w="419" w:type="pct"/>
            <w:tcBorders>
              <w:tl2br w:val="nil"/>
              <w:tr2bl w:val="nil"/>
            </w:tcBorders>
            <w:shd w:val="clear" w:color="auto" w:fill="auto"/>
            <w:noWrap/>
            <w:vAlign w:val="center"/>
          </w:tcPr>
          <w:p w14:paraId="606F11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w:t>
            </w:r>
          </w:p>
        </w:tc>
        <w:tc>
          <w:tcPr>
            <w:tcW w:w="574" w:type="pct"/>
            <w:tcBorders>
              <w:tl2br w:val="nil"/>
              <w:tr2bl w:val="nil"/>
            </w:tcBorders>
            <w:shd w:val="clear" w:color="auto" w:fill="auto"/>
            <w:noWrap/>
            <w:vAlign w:val="center"/>
          </w:tcPr>
          <w:p w14:paraId="62BF18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573F1F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21BB8F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w:t>
            </w:r>
          </w:p>
        </w:tc>
        <w:tc>
          <w:tcPr>
            <w:tcW w:w="502" w:type="pct"/>
            <w:tcBorders>
              <w:tl2br w:val="nil"/>
              <w:tr2bl w:val="nil"/>
            </w:tcBorders>
            <w:shd w:val="clear" w:color="auto" w:fill="auto"/>
            <w:noWrap/>
            <w:vAlign w:val="center"/>
          </w:tcPr>
          <w:p w14:paraId="0A7DD1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539" w:type="pct"/>
            <w:tcBorders>
              <w:tl2br w:val="nil"/>
              <w:tr2bl w:val="nil"/>
            </w:tcBorders>
            <w:shd w:val="clear" w:color="auto" w:fill="auto"/>
            <w:noWrap/>
            <w:vAlign w:val="center"/>
          </w:tcPr>
          <w:p w14:paraId="223391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cs="宋体"/>
                <w:b w:val="0"/>
                <w:bCs w:val="0"/>
                <w:i w:val="0"/>
                <w:iCs w:val="0"/>
                <w:color w:val="auto"/>
                <w:sz w:val="21"/>
                <w:szCs w:val="21"/>
                <w:highlight w:val="none"/>
                <w:u w:val="none"/>
                <w:lang w:val="en-US" w:eastAsia="zh-CN"/>
              </w:rPr>
              <w:t>/</w:t>
            </w:r>
          </w:p>
        </w:tc>
        <w:tc>
          <w:tcPr>
            <w:tcW w:w="419" w:type="pct"/>
            <w:tcBorders>
              <w:tl2br w:val="nil"/>
              <w:tr2bl w:val="nil"/>
            </w:tcBorders>
            <w:shd w:val="clear" w:color="auto" w:fill="auto"/>
            <w:noWrap/>
            <w:vAlign w:val="center"/>
          </w:tcPr>
          <w:p w14:paraId="0FB95F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16F9603A">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0CE98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exact"/>
          <w:jc w:val="center"/>
        </w:trPr>
        <w:tc>
          <w:tcPr>
            <w:tcW w:w="389" w:type="pct"/>
            <w:vMerge w:val="continue"/>
            <w:tcBorders>
              <w:tl2br w:val="nil"/>
              <w:tr2bl w:val="nil"/>
            </w:tcBorders>
            <w:shd w:val="clear" w:color="auto" w:fill="auto"/>
            <w:noWrap/>
            <w:vAlign w:val="center"/>
          </w:tcPr>
          <w:p w14:paraId="7E1AAFE6">
            <w:pPr>
              <w:pStyle w:val="2"/>
              <w:suppressLineNumbers w:val="0"/>
              <w:spacing w:beforeAutospacing="0" w:afterAutospacing="0"/>
              <w:ind w:left="0" w:right="0"/>
              <w:rPr>
                <w:rFonts w:hint="eastAsia"/>
              </w:rPr>
            </w:pPr>
          </w:p>
        </w:tc>
        <w:tc>
          <w:tcPr>
            <w:tcW w:w="640" w:type="pct"/>
            <w:tcBorders>
              <w:tl2br w:val="nil"/>
              <w:tr2bl w:val="nil"/>
            </w:tcBorders>
            <w:shd w:val="clear" w:color="auto" w:fill="auto"/>
            <w:noWrap/>
            <w:vAlign w:val="center"/>
          </w:tcPr>
          <w:p w14:paraId="453D7B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水产品</w:t>
            </w:r>
          </w:p>
        </w:tc>
        <w:tc>
          <w:tcPr>
            <w:tcW w:w="419" w:type="pct"/>
            <w:tcBorders>
              <w:tl2br w:val="nil"/>
              <w:tr2bl w:val="nil"/>
            </w:tcBorders>
            <w:shd w:val="clear" w:color="auto" w:fill="auto"/>
            <w:noWrap/>
            <w:vAlign w:val="center"/>
          </w:tcPr>
          <w:p w14:paraId="1F151F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66</w:t>
            </w:r>
          </w:p>
        </w:tc>
        <w:tc>
          <w:tcPr>
            <w:tcW w:w="574" w:type="pct"/>
            <w:tcBorders>
              <w:tl2br w:val="nil"/>
              <w:tr2bl w:val="nil"/>
            </w:tcBorders>
            <w:shd w:val="clear" w:color="auto" w:fill="auto"/>
            <w:noWrap/>
            <w:vAlign w:val="center"/>
          </w:tcPr>
          <w:p w14:paraId="057D2C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6CCEB9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528F52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25</w:t>
            </w:r>
          </w:p>
        </w:tc>
        <w:tc>
          <w:tcPr>
            <w:tcW w:w="502" w:type="pct"/>
            <w:tcBorders>
              <w:tl2br w:val="nil"/>
              <w:tr2bl w:val="nil"/>
            </w:tcBorders>
            <w:shd w:val="clear" w:color="auto" w:fill="auto"/>
            <w:noWrap/>
            <w:vAlign w:val="center"/>
          </w:tcPr>
          <w:p w14:paraId="0DF9BB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3B1B3B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419" w:type="pct"/>
            <w:tcBorders>
              <w:tl2br w:val="nil"/>
              <w:tr2bl w:val="nil"/>
            </w:tcBorders>
            <w:shd w:val="clear" w:color="auto" w:fill="auto"/>
            <w:noWrap/>
            <w:vAlign w:val="center"/>
          </w:tcPr>
          <w:p w14:paraId="2E9DBE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2FA5508B">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3927C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05" w:hRule="exact"/>
          <w:jc w:val="center"/>
        </w:trPr>
        <w:tc>
          <w:tcPr>
            <w:tcW w:w="389" w:type="pct"/>
            <w:vMerge w:val="continue"/>
            <w:tcBorders>
              <w:tl2br w:val="nil"/>
              <w:tr2bl w:val="nil"/>
            </w:tcBorders>
            <w:shd w:val="clear" w:color="auto" w:fill="auto"/>
            <w:noWrap/>
            <w:vAlign w:val="center"/>
          </w:tcPr>
          <w:p w14:paraId="340F9244">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735586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畜禽肉及副产品</w:t>
            </w:r>
          </w:p>
        </w:tc>
        <w:tc>
          <w:tcPr>
            <w:tcW w:w="419" w:type="pct"/>
            <w:tcBorders>
              <w:tl2br w:val="nil"/>
              <w:tr2bl w:val="nil"/>
            </w:tcBorders>
            <w:shd w:val="clear" w:color="auto" w:fill="auto"/>
            <w:noWrap/>
            <w:vAlign w:val="center"/>
          </w:tcPr>
          <w:p w14:paraId="2D612F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62</w:t>
            </w:r>
          </w:p>
        </w:tc>
        <w:tc>
          <w:tcPr>
            <w:tcW w:w="574" w:type="pct"/>
            <w:tcBorders>
              <w:tl2br w:val="nil"/>
              <w:tr2bl w:val="nil"/>
            </w:tcBorders>
            <w:shd w:val="clear" w:color="auto" w:fill="auto"/>
            <w:noWrap/>
            <w:vAlign w:val="center"/>
          </w:tcPr>
          <w:p w14:paraId="007007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5076C6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4FB351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27</w:t>
            </w:r>
          </w:p>
        </w:tc>
        <w:tc>
          <w:tcPr>
            <w:tcW w:w="502" w:type="pct"/>
            <w:tcBorders>
              <w:tl2br w:val="nil"/>
              <w:tr2bl w:val="nil"/>
            </w:tcBorders>
            <w:shd w:val="clear" w:color="auto" w:fill="auto"/>
            <w:noWrap/>
            <w:vAlign w:val="center"/>
          </w:tcPr>
          <w:p w14:paraId="69DE56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350645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419" w:type="pct"/>
            <w:tcBorders>
              <w:tl2br w:val="nil"/>
              <w:tr2bl w:val="nil"/>
            </w:tcBorders>
            <w:shd w:val="clear" w:color="auto" w:fill="auto"/>
            <w:noWrap/>
            <w:vAlign w:val="center"/>
          </w:tcPr>
          <w:p w14:paraId="530CEB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2317BFC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187FF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05" w:hRule="exact"/>
          <w:jc w:val="center"/>
        </w:trPr>
        <w:tc>
          <w:tcPr>
            <w:tcW w:w="389" w:type="pct"/>
            <w:vMerge w:val="continue"/>
            <w:tcBorders>
              <w:tl2br w:val="nil"/>
              <w:tr2bl w:val="nil"/>
            </w:tcBorders>
            <w:shd w:val="clear" w:color="auto" w:fill="auto"/>
            <w:noWrap/>
            <w:vAlign w:val="center"/>
          </w:tcPr>
          <w:p w14:paraId="13EF5849">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11E9C4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饮料</w:t>
            </w:r>
          </w:p>
        </w:tc>
        <w:tc>
          <w:tcPr>
            <w:tcW w:w="419" w:type="pct"/>
            <w:tcBorders>
              <w:tl2br w:val="nil"/>
              <w:tr2bl w:val="nil"/>
            </w:tcBorders>
            <w:shd w:val="clear" w:color="auto" w:fill="auto"/>
            <w:noWrap/>
            <w:vAlign w:val="center"/>
          </w:tcPr>
          <w:p w14:paraId="3037FA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156</w:t>
            </w:r>
          </w:p>
        </w:tc>
        <w:tc>
          <w:tcPr>
            <w:tcW w:w="574" w:type="pct"/>
            <w:tcBorders>
              <w:tl2br w:val="nil"/>
              <w:tr2bl w:val="nil"/>
            </w:tcBorders>
            <w:shd w:val="clear" w:color="auto" w:fill="auto"/>
            <w:noWrap/>
            <w:vAlign w:val="center"/>
          </w:tcPr>
          <w:p w14:paraId="2FF7CE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4CBB25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5A9165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75</w:t>
            </w:r>
          </w:p>
        </w:tc>
        <w:tc>
          <w:tcPr>
            <w:tcW w:w="502" w:type="pct"/>
            <w:tcBorders>
              <w:tl2br w:val="nil"/>
              <w:tr2bl w:val="nil"/>
            </w:tcBorders>
            <w:shd w:val="clear" w:color="auto" w:fill="auto"/>
            <w:noWrap/>
            <w:vAlign w:val="center"/>
          </w:tcPr>
          <w:p w14:paraId="1962E2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668CA8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419" w:type="pct"/>
            <w:tcBorders>
              <w:tl2br w:val="nil"/>
              <w:tr2bl w:val="nil"/>
            </w:tcBorders>
            <w:shd w:val="clear" w:color="auto" w:fill="auto"/>
            <w:noWrap/>
            <w:vAlign w:val="center"/>
          </w:tcPr>
          <w:p w14:paraId="21C16E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39936AC9">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65091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exact"/>
          <w:jc w:val="center"/>
        </w:trPr>
        <w:tc>
          <w:tcPr>
            <w:tcW w:w="389" w:type="pct"/>
            <w:vMerge w:val="continue"/>
            <w:tcBorders>
              <w:tl2br w:val="nil"/>
              <w:tr2bl w:val="nil"/>
            </w:tcBorders>
            <w:shd w:val="clear" w:color="auto" w:fill="auto"/>
            <w:noWrap/>
            <w:vAlign w:val="center"/>
          </w:tcPr>
          <w:p w14:paraId="43540D26">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4B6202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保健食品</w:t>
            </w:r>
          </w:p>
        </w:tc>
        <w:tc>
          <w:tcPr>
            <w:tcW w:w="419" w:type="pct"/>
            <w:tcBorders>
              <w:tl2br w:val="nil"/>
              <w:tr2bl w:val="nil"/>
            </w:tcBorders>
            <w:shd w:val="clear" w:color="auto" w:fill="auto"/>
            <w:noWrap/>
            <w:vAlign w:val="center"/>
          </w:tcPr>
          <w:p w14:paraId="50D693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33</w:t>
            </w:r>
          </w:p>
        </w:tc>
        <w:tc>
          <w:tcPr>
            <w:tcW w:w="574" w:type="pct"/>
            <w:tcBorders>
              <w:tl2br w:val="nil"/>
              <w:tr2bl w:val="nil"/>
            </w:tcBorders>
            <w:shd w:val="clear" w:color="auto" w:fill="auto"/>
            <w:noWrap/>
            <w:vAlign w:val="center"/>
          </w:tcPr>
          <w:p w14:paraId="787033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2C089A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2C6F26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29</w:t>
            </w:r>
          </w:p>
        </w:tc>
        <w:tc>
          <w:tcPr>
            <w:tcW w:w="502" w:type="pct"/>
            <w:tcBorders>
              <w:tl2br w:val="nil"/>
              <w:tr2bl w:val="nil"/>
            </w:tcBorders>
            <w:shd w:val="clear" w:color="auto" w:fill="auto"/>
            <w:noWrap/>
            <w:vAlign w:val="center"/>
          </w:tcPr>
          <w:p w14:paraId="451CD9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74733A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419" w:type="pct"/>
            <w:tcBorders>
              <w:tl2br w:val="nil"/>
              <w:tr2bl w:val="nil"/>
            </w:tcBorders>
            <w:shd w:val="clear" w:color="auto" w:fill="auto"/>
            <w:noWrap/>
            <w:vAlign w:val="center"/>
          </w:tcPr>
          <w:p w14:paraId="115F2A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4E5D936C">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076C6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exact"/>
          <w:jc w:val="center"/>
        </w:trPr>
        <w:tc>
          <w:tcPr>
            <w:tcW w:w="389" w:type="pct"/>
            <w:vMerge w:val="continue"/>
            <w:tcBorders>
              <w:tl2br w:val="nil"/>
              <w:tr2bl w:val="nil"/>
            </w:tcBorders>
            <w:shd w:val="clear" w:color="auto" w:fill="auto"/>
            <w:noWrap/>
            <w:vAlign w:val="center"/>
          </w:tcPr>
          <w:p w14:paraId="7F84CE14">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74D5EB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食糖</w:t>
            </w:r>
          </w:p>
        </w:tc>
        <w:tc>
          <w:tcPr>
            <w:tcW w:w="419" w:type="pct"/>
            <w:tcBorders>
              <w:tl2br w:val="nil"/>
              <w:tr2bl w:val="nil"/>
            </w:tcBorders>
            <w:shd w:val="clear" w:color="auto" w:fill="auto"/>
            <w:noWrap/>
            <w:vAlign w:val="center"/>
          </w:tcPr>
          <w:p w14:paraId="06AE14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w:t>
            </w:r>
          </w:p>
        </w:tc>
        <w:tc>
          <w:tcPr>
            <w:tcW w:w="574" w:type="pct"/>
            <w:tcBorders>
              <w:tl2br w:val="nil"/>
              <w:tr2bl w:val="nil"/>
            </w:tcBorders>
            <w:shd w:val="clear" w:color="auto" w:fill="auto"/>
            <w:noWrap/>
            <w:vAlign w:val="center"/>
          </w:tcPr>
          <w:p w14:paraId="39EF2C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552BEB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17CB52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17</w:t>
            </w:r>
          </w:p>
        </w:tc>
        <w:tc>
          <w:tcPr>
            <w:tcW w:w="502" w:type="pct"/>
            <w:tcBorders>
              <w:tl2br w:val="nil"/>
              <w:tr2bl w:val="nil"/>
            </w:tcBorders>
            <w:shd w:val="clear" w:color="auto" w:fill="auto"/>
            <w:noWrap/>
            <w:vAlign w:val="center"/>
          </w:tcPr>
          <w:p w14:paraId="566212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73E0DF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419" w:type="pct"/>
            <w:tcBorders>
              <w:tl2br w:val="nil"/>
              <w:tr2bl w:val="nil"/>
            </w:tcBorders>
            <w:shd w:val="clear" w:color="auto" w:fill="auto"/>
            <w:noWrap/>
            <w:vAlign w:val="center"/>
          </w:tcPr>
          <w:p w14:paraId="7E296B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p>
        </w:tc>
        <w:tc>
          <w:tcPr>
            <w:tcW w:w="576" w:type="pct"/>
            <w:tcBorders>
              <w:tl2br w:val="nil"/>
              <w:tr2bl w:val="nil"/>
            </w:tcBorders>
            <w:shd w:val="clear" w:color="auto" w:fill="auto"/>
            <w:noWrap/>
            <w:vAlign w:val="center"/>
          </w:tcPr>
          <w:p w14:paraId="6DAC1F1C">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r>
      <w:tr w14:paraId="75728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exact"/>
          <w:jc w:val="center"/>
        </w:trPr>
        <w:tc>
          <w:tcPr>
            <w:tcW w:w="389" w:type="pct"/>
            <w:vMerge w:val="continue"/>
            <w:tcBorders>
              <w:tl2br w:val="nil"/>
              <w:tr2bl w:val="nil"/>
            </w:tcBorders>
            <w:shd w:val="clear" w:color="auto" w:fill="auto"/>
            <w:noWrap/>
            <w:vAlign w:val="center"/>
          </w:tcPr>
          <w:p w14:paraId="3587E51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37932C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水产制品</w:t>
            </w:r>
          </w:p>
        </w:tc>
        <w:tc>
          <w:tcPr>
            <w:tcW w:w="419" w:type="pct"/>
            <w:tcBorders>
              <w:tl2br w:val="nil"/>
              <w:tr2bl w:val="nil"/>
            </w:tcBorders>
            <w:shd w:val="clear" w:color="auto" w:fill="auto"/>
            <w:noWrap/>
            <w:vAlign w:val="center"/>
          </w:tcPr>
          <w:p w14:paraId="3AFCB7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83</w:t>
            </w:r>
          </w:p>
        </w:tc>
        <w:tc>
          <w:tcPr>
            <w:tcW w:w="574" w:type="pct"/>
            <w:tcBorders>
              <w:tl2br w:val="nil"/>
              <w:tr2bl w:val="nil"/>
            </w:tcBorders>
            <w:shd w:val="clear" w:color="auto" w:fill="auto"/>
            <w:noWrap/>
            <w:vAlign w:val="center"/>
          </w:tcPr>
          <w:p w14:paraId="403D91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7CA434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5402E0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33</w:t>
            </w:r>
          </w:p>
        </w:tc>
        <w:tc>
          <w:tcPr>
            <w:tcW w:w="502" w:type="pct"/>
            <w:tcBorders>
              <w:tl2br w:val="nil"/>
              <w:tr2bl w:val="nil"/>
            </w:tcBorders>
            <w:shd w:val="clear" w:color="auto" w:fill="auto"/>
            <w:noWrap/>
            <w:vAlign w:val="center"/>
          </w:tcPr>
          <w:p w14:paraId="4B033C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33695D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19" w:type="pct"/>
            <w:tcBorders>
              <w:tl2br w:val="nil"/>
              <w:tr2bl w:val="nil"/>
            </w:tcBorders>
            <w:shd w:val="clear" w:color="auto" w:fill="auto"/>
            <w:noWrap/>
            <w:vAlign w:val="center"/>
          </w:tcPr>
          <w:p w14:paraId="455075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76" w:type="pct"/>
            <w:tcBorders>
              <w:tl2br w:val="nil"/>
              <w:tr2bl w:val="nil"/>
            </w:tcBorders>
            <w:shd w:val="clear" w:color="auto" w:fill="auto"/>
            <w:noWrap/>
            <w:vAlign w:val="center"/>
          </w:tcPr>
          <w:p w14:paraId="2A712D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77880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exact"/>
          <w:jc w:val="center"/>
        </w:trPr>
        <w:tc>
          <w:tcPr>
            <w:tcW w:w="389" w:type="pct"/>
            <w:vMerge w:val="continue"/>
            <w:tcBorders>
              <w:tl2br w:val="nil"/>
              <w:tr2bl w:val="nil"/>
            </w:tcBorders>
            <w:shd w:val="clear" w:color="auto" w:fill="auto"/>
            <w:noWrap/>
            <w:vAlign w:val="center"/>
          </w:tcPr>
          <w:p w14:paraId="75BAFCCD">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535FF1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蔬菜制品</w:t>
            </w:r>
          </w:p>
        </w:tc>
        <w:tc>
          <w:tcPr>
            <w:tcW w:w="419" w:type="pct"/>
            <w:tcBorders>
              <w:tl2br w:val="nil"/>
              <w:tr2bl w:val="nil"/>
            </w:tcBorders>
            <w:shd w:val="clear" w:color="auto" w:fill="auto"/>
            <w:noWrap/>
            <w:vAlign w:val="center"/>
          </w:tcPr>
          <w:p w14:paraId="091F7F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90</w:t>
            </w:r>
          </w:p>
        </w:tc>
        <w:tc>
          <w:tcPr>
            <w:tcW w:w="574" w:type="pct"/>
            <w:tcBorders>
              <w:tl2br w:val="nil"/>
              <w:tr2bl w:val="nil"/>
            </w:tcBorders>
            <w:shd w:val="clear" w:color="auto" w:fill="auto"/>
            <w:noWrap/>
            <w:vAlign w:val="center"/>
          </w:tcPr>
          <w:p w14:paraId="355357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385631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40852A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68</w:t>
            </w:r>
          </w:p>
        </w:tc>
        <w:tc>
          <w:tcPr>
            <w:tcW w:w="502" w:type="pct"/>
            <w:tcBorders>
              <w:tl2br w:val="nil"/>
              <w:tr2bl w:val="nil"/>
            </w:tcBorders>
            <w:shd w:val="clear" w:color="auto" w:fill="auto"/>
            <w:noWrap/>
            <w:vAlign w:val="center"/>
          </w:tcPr>
          <w:p w14:paraId="5DB4AA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0165D5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19" w:type="pct"/>
            <w:tcBorders>
              <w:tl2br w:val="nil"/>
              <w:tr2bl w:val="nil"/>
            </w:tcBorders>
            <w:shd w:val="clear" w:color="auto" w:fill="auto"/>
            <w:noWrap/>
            <w:vAlign w:val="center"/>
          </w:tcPr>
          <w:p w14:paraId="1F45F2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76" w:type="pct"/>
            <w:tcBorders>
              <w:tl2br w:val="nil"/>
              <w:tr2bl w:val="nil"/>
            </w:tcBorders>
            <w:shd w:val="clear" w:color="auto" w:fill="auto"/>
            <w:noWrap/>
            <w:vAlign w:val="center"/>
          </w:tcPr>
          <w:p w14:paraId="654D2C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2D37D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exact"/>
          <w:jc w:val="center"/>
        </w:trPr>
        <w:tc>
          <w:tcPr>
            <w:tcW w:w="389" w:type="pct"/>
            <w:vMerge w:val="continue"/>
            <w:tcBorders>
              <w:tl2br w:val="nil"/>
              <w:tr2bl w:val="nil"/>
            </w:tcBorders>
            <w:shd w:val="clear" w:color="auto" w:fill="auto"/>
            <w:noWrap/>
            <w:vAlign w:val="center"/>
          </w:tcPr>
          <w:p w14:paraId="183F6483">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785630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蔬菜</w:t>
            </w:r>
          </w:p>
        </w:tc>
        <w:tc>
          <w:tcPr>
            <w:tcW w:w="419" w:type="pct"/>
            <w:tcBorders>
              <w:tl2br w:val="nil"/>
              <w:tr2bl w:val="nil"/>
            </w:tcBorders>
            <w:shd w:val="clear" w:color="auto" w:fill="auto"/>
            <w:noWrap/>
            <w:vAlign w:val="center"/>
          </w:tcPr>
          <w:p w14:paraId="269911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106</w:t>
            </w:r>
          </w:p>
        </w:tc>
        <w:tc>
          <w:tcPr>
            <w:tcW w:w="574" w:type="pct"/>
            <w:tcBorders>
              <w:tl2br w:val="nil"/>
              <w:tr2bl w:val="nil"/>
            </w:tcBorders>
            <w:shd w:val="clear" w:color="auto" w:fill="auto"/>
            <w:noWrap/>
            <w:vAlign w:val="center"/>
          </w:tcPr>
          <w:p w14:paraId="220795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4B70EE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2D9E71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22</w:t>
            </w:r>
          </w:p>
        </w:tc>
        <w:tc>
          <w:tcPr>
            <w:tcW w:w="502" w:type="pct"/>
            <w:tcBorders>
              <w:tl2br w:val="nil"/>
              <w:tr2bl w:val="nil"/>
            </w:tcBorders>
            <w:shd w:val="clear" w:color="auto" w:fill="auto"/>
            <w:noWrap/>
            <w:vAlign w:val="center"/>
          </w:tcPr>
          <w:p w14:paraId="08C210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3FD693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19" w:type="pct"/>
            <w:tcBorders>
              <w:tl2br w:val="nil"/>
              <w:tr2bl w:val="nil"/>
            </w:tcBorders>
            <w:shd w:val="clear" w:color="auto" w:fill="auto"/>
            <w:noWrap/>
            <w:vAlign w:val="center"/>
          </w:tcPr>
          <w:p w14:paraId="07F15E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76" w:type="pct"/>
            <w:tcBorders>
              <w:tl2br w:val="nil"/>
              <w:tr2bl w:val="nil"/>
            </w:tcBorders>
            <w:shd w:val="clear" w:color="auto" w:fill="auto"/>
            <w:noWrap/>
            <w:vAlign w:val="center"/>
          </w:tcPr>
          <w:p w14:paraId="1ACDED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3C36F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exact"/>
          <w:jc w:val="center"/>
        </w:trPr>
        <w:tc>
          <w:tcPr>
            <w:tcW w:w="389" w:type="pct"/>
            <w:vMerge w:val="continue"/>
            <w:tcBorders>
              <w:tl2br w:val="nil"/>
              <w:tr2bl w:val="nil"/>
            </w:tcBorders>
            <w:shd w:val="clear" w:color="auto" w:fill="auto"/>
            <w:noWrap/>
            <w:vAlign w:val="center"/>
          </w:tcPr>
          <w:p w14:paraId="5333FBDE">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2F9529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水果类</w:t>
            </w:r>
          </w:p>
        </w:tc>
        <w:tc>
          <w:tcPr>
            <w:tcW w:w="419" w:type="pct"/>
            <w:tcBorders>
              <w:tl2br w:val="nil"/>
              <w:tr2bl w:val="nil"/>
            </w:tcBorders>
            <w:shd w:val="clear" w:color="auto" w:fill="auto"/>
            <w:noWrap/>
            <w:vAlign w:val="center"/>
          </w:tcPr>
          <w:p w14:paraId="1E6126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44</w:t>
            </w:r>
          </w:p>
        </w:tc>
        <w:tc>
          <w:tcPr>
            <w:tcW w:w="574" w:type="pct"/>
            <w:tcBorders>
              <w:tl2br w:val="nil"/>
              <w:tr2bl w:val="nil"/>
            </w:tcBorders>
            <w:shd w:val="clear" w:color="auto" w:fill="auto"/>
            <w:noWrap/>
            <w:vAlign w:val="center"/>
          </w:tcPr>
          <w:p w14:paraId="007719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3D0C95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4EED04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w:t>
            </w:r>
          </w:p>
        </w:tc>
        <w:tc>
          <w:tcPr>
            <w:tcW w:w="502" w:type="pct"/>
            <w:tcBorders>
              <w:tl2br w:val="nil"/>
              <w:tr2bl w:val="nil"/>
            </w:tcBorders>
            <w:shd w:val="clear" w:color="auto" w:fill="auto"/>
            <w:noWrap/>
            <w:vAlign w:val="center"/>
          </w:tcPr>
          <w:p w14:paraId="3B7440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539" w:type="pct"/>
            <w:tcBorders>
              <w:tl2br w:val="nil"/>
              <w:tr2bl w:val="nil"/>
            </w:tcBorders>
            <w:shd w:val="clear" w:color="auto" w:fill="auto"/>
            <w:noWrap/>
            <w:vAlign w:val="center"/>
          </w:tcPr>
          <w:p w14:paraId="143A81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p>
        </w:tc>
        <w:tc>
          <w:tcPr>
            <w:tcW w:w="419" w:type="pct"/>
            <w:tcBorders>
              <w:tl2br w:val="nil"/>
              <w:tr2bl w:val="nil"/>
            </w:tcBorders>
            <w:shd w:val="clear" w:color="auto" w:fill="auto"/>
            <w:noWrap/>
            <w:vAlign w:val="center"/>
          </w:tcPr>
          <w:p w14:paraId="58B456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76" w:type="pct"/>
            <w:tcBorders>
              <w:tl2br w:val="nil"/>
              <w:tr2bl w:val="nil"/>
            </w:tcBorders>
            <w:shd w:val="clear" w:color="auto" w:fill="auto"/>
            <w:noWrap/>
            <w:vAlign w:val="center"/>
          </w:tcPr>
          <w:p w14:paraId="3D6751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707AC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05" w:hRule="exact"/>
          <w:jc w:val="center"/>
        </w:trPr>
        <w:tc>
          <w:tcPr>
            <w:tcW w:w="389" w:type="pct"/>
            <w:vMerge w:val="continue"/>
            <w:tcBorders>
              <w:tl2br w:val="nil"/>
              <w:tr2bl w:val="nil"/>
            </w:tcBorders>
            <w:shd w:val="clear" w:color="auto" w:fill="auto"/>
            <w:noWrap/>
            <w:vAlign w:val="center"/>
          </w:tcPr>
          <w:p w14:paraId="103588F4">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5BE28F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餐饮食品</w:t>
            </w:r>
          </w:p>
        </w:tc>
        <w:tc>
          <w:tcPr>
            <w:tcW w:w="419" w:type="pct"/>
            <w:tcBorders>
              <w:tl2br w:val="nil"/>
              <w:tr2bl w:val="nil"/>
            </w:tcBorders>
            <w:shd w:val="clear" w:color="auto" w:fill="auto"/>
            <w:noWrap/>
            <w:vAlign w:val="center"/>
          </w:tcPr>
          <w:p w14:paraId="3CC30C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141</w:t>
            </w:r>
          </w:p>
        </w:tc>
        <w:tc>
          <w:tcPr>
            <w:tcW w:w="574" w:type="pct"/>
            <w:tcBorders>
              <w:tl2br w:val="nil"/>
              <w:tr2bl w:val="nil"/>
            </w:tcBorders>
            <w:shd w:val="clear" w:color="auto" w:fill="auto"/>
            <w:noWrap/>
            <w:vAlign w:val="center"/>
          </w:tcPr>
          <w:p w14:paraId="704669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2272A4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2986FC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118</w:t>
            </w:r>
          </w:p>
        </w:tc>
        <w:tc>
          <w:tcPr>
            <w:tcW w:w="502" w:type="pct"/>
            <w:tcBorders>
              <w:tl2br w:val="nil"/>
              <w:tr2bl w:val="nil"/>
            </w:tcBorders>
            <w:shd w:val="clear" w:color="auto" w:fill="auto"/>
            <w:noWrap/>
            <w:vAlign w:val="center"/>
          </w:tcPr>
          <w:p w14:paraId="0110E5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2938C4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19" w:type="pct"/>
            <w:tcBorders>
              <w:tl2br w:val="nil"/>
              <w:tr2bl w:val="nil"/>
            </w:tcBorders>
            <w:shd w:val="clear" w:color="auto" w:fill="auto"/>
            <w:noWrap/>
            <w:vAlign w:val="center"/>
          </w:tcPr>
          <w:p w14:paraId="1B5F38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76" w:type="pct"/>
            <w:tcBorders>
              <w:tl2br w:val="nil"/>
              <w:tr2bl w:val="nil"/>
            </w:tcBorders>
            <w:shd w:val="clear" w:color="auto" w:fill="auto"/>
            <w:noWrap/>
            <w:vAlign w:val="center"/>
          </w:tcPr>
          <w:p w14:paraId="0867CB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1E709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05" w:hRule="exact"/>
          <w:jc w:val="center"/>
        </w:trPr>
        <w:tc>
          <w:tcPr>
            <w:tcW w:w="389" w:type="pct"/>
            <w:vMerge w:val="continue"/>
            <w:tcBorders>
              <w:tl2br w:val="nil"/>
              <w:tr2bl w:val="nil"/>
            </w:tcBorders>
            <w:shd w:val="clear" w:color="auto" w:fill="auto"/>
            <w:noWrap/>
            <w:vAlign w:val="center"/>
          </w:tcPr>
          <w:p w14:paraId="131935A9">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235629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特殊膳食食品</w:t>
            </w:r>
          </w:p>
        </w:tc>
        <w:tc>
          <w:tcPr>
            <w:tcW w:w="419" w:type="pct"/>
            <w:tcBorders>
              <w:tl2br w:val="nil"/>
              <w:tr2bl w:val="nil"/>
            </w:tcBorders>
            <w:shd w:val="clear" w:color="auto" w:fill="auto"/>
            <w:noWrap/>
            <w:vAlign w:val="center"/>
          </w:tcPr>
          <w:p w14:paraId="3C6D25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w:t>
            </w:r>
          </w:p>
        </w:tc>
        <w:tc>
          <w:tcPr>
            <w:tcW w:w="574" w:type="pct"/>
            <w:tcBorders>
              <w:tl2br w:val="nil"/>
              <w:tr2bl w:val="nil"/>
            </w:tcBorders>
            <w:shd w:val="clear" w:color="auto" w:fill="auto"/>
            <w:noWrap/>
            <w:vAlign w:val="center"/>
          </w:tcPr>
          <w:p w14:paraId="5D4AB4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398A3A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3C2A5C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w:t>
            </w:r>
          </w:p>
        </w:tc>
        <w:tc>
          <w:tcPr>
            <w:tcW w:w="502" w:type="pct"/>
            <w:tcBorders>
              <w:tl2br w:val="nil"/>
              <w:tr2bl w:val="nil"/>
            </w:tcBorders>
            <w:shd w:val="clear" w:color="auto" w:fill="auto"/>
            <w:noWrap/>
            <w:vAlign w:val="center"/>
          </w:tcPr>
          <w:p w14:paraId="117C65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6A088B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19" w:type="pct"/>
            <w:tcBorders>
              <w:tl2br w:val="nil"/>
              <w:tr2bl w:val="nil"/>
            </w:tcBorders>
            <w:shd w:val="clear" w:color="auto" w:fill="auto"/>
            <w:noWrap/>
            <w:vAlign w:val="center"/>
          </w:tcPr>
          <w:p w14:paraId="38D189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76" w:type="pct"/>
            <w:tcBorders>
              <w:tl2br w:val="nil"/>
              <w:tr2bl w:val="nil"/>
            </w:tcBorders>
            <w:shd w:val="clear" w:color="auto" w:fill="auto"/>
            <w:noWrap/>
            <w:vAlign w:val="center"/>
          </w:tcPr>
          <w:p w14:paraId="3B5D26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r w14:paraId="5B549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exact"/>
          <w:jc w:val="center"/>
        </w:trPr>
        <w:tc>
          <w:tcPr>
            <w:tcW w:w="389" w:type="pct"/>
            <w:vMerge w:val="continue"/>
            <w:tcBorders>
              <w:tl2br w:val="nil"/>
              <w:tr2bl w:val="nil"/>
            </w:tcBorders>
            <w:shd w:val="clear" w:color="auto" w:fill="auto"/>
            <w:noWrap/>
            <w:vAlign w:val="center"/>
          </w:tcPr>
          <w:p w14:paraId="7D753F47">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640" w:type="pct"/>
            <w:tcBorders>
              <w:tl2br w:val="nil"/>
              <w:tr2bl w:val="nil"/>
            </w:tcBorders>
            <w:shd w:val="clear" w:color="auto" w:fill="auto"/>
            <w:noWrap/>
            <w:vAlign w:val="center"/>
          </w:tcPr>
          <w:p w14:paraId="7D293B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小计</w:t>
            </w:r>
          </w:p>
        </w:tc>
        <w:tc>
          <w:tcPr>
            <w:tcW w:w="419" w:type="pct"/>
            <w:tcBorders>
              <w:tl2br w:val="nil"/>
              <w:tr2bl w:val="nil"/>
            </w:tcBorders>
            <w:shd w:val="clear" w:color="auto" w:fill="auto"/>
            <w:noWrap/>
            <w:vAlign w:val="center"/>
          </w:tcPr>
          <w:p w14:paraId="0A0A5F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1216</w:t>
            </w:r>
          </w:p>
        </w:tc>
        <w:tc>
          <w:tcPr>
            <w:tcW w:w="574" w:type="pct"/>
            <w:tcBorders>
              <w:tl2br w:val="nil"/>
              <w:tr2bl w:val="nil"/>
            </w:tcBorders>
            <w:shd w:val="clear" w:color="auto" w:fill="auto"/>
            <w:noWrap/>
            <w:vAlign w:val="center"/>
          </w:tcPr>
          <w:p w14:paraId="7C8346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43" w:type="pct"/>
            <w:tcBorders>
              <w:tl2br w:val="nil"/>
              <w:tr2bl w:val="nil"/>
            </w:tcBorders>
            <w:shd w:val="clear" w:color="auto" w:fill="auto"/>
            <w:noWrap/>
            <w:vAlign w:val="center"/>
          </w:tcPr>
          <w:p w14:paraId="642F71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395" w:type="pct"/>
            <w:tcBorders>
              <w:tl2br w:val="nil"/>
              <w:tr2bl w:val="nil"/>
            </w:tcBorders>
            <w:shd w:val="clear" w:color="auto" w:fill="auto"/>
            <w:noWrap/>
            <w:vAlign w:val="center"/>
          </w:tcPr>
          <w:p w14:paraId="65AF83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644</w:t>
            </w:r>
          </w:p>
        </w:tc>
        <w:tc>
          <w:tcPr>
            <w:tcW w:w="502" w:type="pct"/>
            <w:tcBorders>
              <w:tl2br w:val="nil"/>
              <w:tr2bl w:val="nil"/>
            </w:tcBorders>
            <w:shd w:val="clear" w:color="auto" w:fill="auto"/>
            <w:noWrap/>
            <w:vAlign w:val="center"/>
          </w:tcPr>
          <w:p w14:paraId="0FE1F4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39" w:type="pct"/>
            <w:tcBorders>
              <w:tl2br w:val="nil"/>
              <w:tr2bl w:val="nil"/>
            </w:tcBorders>
            <w:shd w:val="clear" w:color="auto" w:fill="auto"/>
            <w:noWrap/>
            <w:vAlign w:val="center"/>
          </w:tcPr>
          <w:p w14:paraId="3DF9EC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419" w:type="pct"/>
            <w:tcBorders>
              <w:tl2br w:val="nil"/>
              <w:tr2bl w:val="nil"/>
            </w:tcBorders>
            <w:shd w:val="clear" w:color="auto" w:fill="auto"/>
            <w:noWrap/>
            <w:vAlign w:val="center"/>
          </w:tcPr>
          <w:p w14:paraId="040D08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c>
          <w:tcPr>
            <w:tcW w:w="576" w:type="pct"/>
            <w:tcBorders>
              <w:tl2br w:val="nil"/>
              <w:tr2bl w:val="nil"/>
            </w:tcBorders>
            <w:shd w:val="clear" w:color="auto" w:fill="auto"/>
            <w:noWrap/>
            <w:vAlign w:val="center"/>
          </w:tcPr>
          <w:p w14:paraId="75BB49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bidi="ar"/>
              </w:rPr>
            </w:pPr>
          </w:p>
        </w:tc>
      </w:tr>
    </w:tbl>
    <w:p w14:paraId="36CCDCF3">
      <w:pPr>
        <w:tabs>
          <w:tab w:val="left" w:pos="6045"/>
        </w:tabs>
        <w:rPr>
          <w:rFonts w:ascii="Microsoft New Tai Lue" w:hAnsi="Microsoft New Tai Lue" w:cs="Microsoft New Tai Lue"/>
          <w:b/>
          <w:bCs/>
          <w:color w:val="auto"/>
          <w:kern w:val="0"/>
          <w:sz w:val="21"/>
          <w:szCs w:val="21"/>
          <w:highlight w:val="none"/>
        </w:rPr>
      </w:pPr>
      <w:r>
        <w:rPr>
          <w:rFonts w:ascii="Microsoft New Tai Lue" w:hAnsi="Microsoft New Tai Lue" w:cs="Microsoft New Tai Lue"/>
          <w:b/>
          <w:bCs/>
          <w:color w:val="auto"/>
          <w:kern w:val="0"/>
          <w:sz w:val="21"/>
          <w:szCs w:val="21"/>
          <w:highlight w:val="none"/>
        </w:rPr>
        <w:t>注：</w:t>
      </w:r>
      <w:r>
        <w:rPr>
          <w:rFonts w:hint="eastAsia" w:ascii="Microsoft New Tai Lue" w:hAnsi="Microsoft New Tai Lue" w:cs="Microsoft New Tai Lue"/>
          <w:b/>
          <w:bCs/>
          <w:color w:val="auto"/>
          <w:kern w:val="0"/>
          <w:sz w:val="21"/>
          <w:szCs w:val="21"/>
          <w:highlight w:val="none"/>
        </w:rPr>
        <w:t>1、</w:t>
      </w:r>
      <w:r>
        <w:rPr>
          <w:rFonts w:ascii="Microsoft New Tai Lue" w:hAnsi="Microsoft New Tai Lue" w:cs="Microsoft New Tai Lue"/>
          <w:b/>
          <w:bCs/>
          <w:color w:val="auto"/>
          <w:kern w:val="0"/>
          <w:sz w:val="21"/>
          <w:szCs w:val="21"/>
          <w:highlight w:val="none"/>
        </w:rPr>
        <w:t>如果行数不够，请自行增加。</w:t>
      </w:r>
    </w:p>
    <w:p w14:paraId="270CBF0C">
      <w:pPr>
        <w:tabs>
          <w:tab w:val="left" w:pos="6045"/>
        </w:tabs>
        <w:rPr>
          <w:rFonts w:ascii="Microsoft New Tai Lue" w:hAnsi="Microsoft New Tai Lue" w:cs="Microsoft New Tai Lue"/>
          <w:b/>
          <w:bCs/>
          <w:color w:val="auto"/>
          <w:kern w:val="0"/>
          <w:sz w:val="21"/>
          <w:szCs w:val="21"/>
          <w:highlight w:val="none"/>
        </w:rPr>
      </w:pPr>
      <w:r>
        <w:rPr>
          <w:rFonts w:hint="eastAsia" w:ascii="Microsoft New Tai Lue" w:hAnsi="Microsoft New Tai Lue" w:cs="Microsoft New Tai Lue"/>
          <w:b/>
          <w:bCs/>
          <w:color w:val="auto"/>
          <w:kern w:val="0"/>
          <w:sz w:val="21"/>
          <w:szCs w:val="21"/>
          <w:highlight w:val="none"/>
        </w:rPr>
        <w:t>2、在“投标标的是否由小微企业提供”栏内，填写“是”或“否”，如果小微型企业的产品报价无法划分计算的，评标时将不予认可。</w:t>
      </w:r>
    </w:p>
    <w:p w14:paraId="4E902DA5">
      <w:pPr>
        <w:tabs>
          <w:tab w:val="left" w:pos="6045"/>
        </w:tabs>
        <w:rPr>
          <w:color w:val="auto"/>
          <w:highlight w:val="none"/>
        </w:rPr>
      </w:pPr>
      <w:r>
        <w:rPr>
          <w:rFonts w:hint="eastAsia" w:ascii="Microsoft New Tai Lue" w:hAnsi="Microsoft New Tai Lue" w:cs="Microsoft New Tai Lue"/>
          <w:b/>
          <w:bCs/>
          <w:color w:val="auto"/>
          <w:kern w:val="0"/>
          <w:sz w:val="21"/>
          <w:szCs w:val="21"/>
          <w:highlight w:val="none"/>
        </w:rPr>
        <w:t>3、供应商根据自身报价组成进行填写。</w:t>
      </w:r>
    </w:p>
    <w:p w14:paraId="0453430B">
      <w:pPr>
        <w:pStyle w:val="16"/>
        <w:ind w:left="1260"/>
        <w:rPr>
          <w:color w:val="auto"/>
          <w:highlight w:val="none"/>
        </w:rPr>
      </w:pPr>
    </w:p>
    <w:p w14:paraId="25732483">
      <w:pPr>
        <w:spacing w:line="360" w:lineRule="auto"/>
        <w:ind w:firstLine="440" w:firstLineChars="200"/>
        <w:jc w:val="right"/>
        <w:rPr>
          <w:rFonts w:ascii="Microsoft New Tai Lue" w:hAnsi="Microsoft New Tai Lue" w:cs="Microsoft New Tai Lue"/>
          <w:color w:val="auto"/>
          <w:kern w:val="0"/>
          <w:sz w:val="22"/>
          <w:szCs w:val="22"/>
          <w:highlight w:val="none"/>
        </w:rPr>
      </w:pPr>
    </w:p>
    <w:p w14:paraId="2DFF99A0">
      <w:pPr>
        <w:spacing w:line="360" w:lineRule="auto"/>
        <w:ind w:firstLine="440" w:firstLineChars="200"/>
        <w:jc w:val="right"/>
        <w:rPr>
          <w:rFonts w:ascii="Microsoft New Tai Lue" w:hAnsi="Microsoft New Tai Lue" w:cs="Microsoft New Tai Lue"/>
          <w:color w:val="auto"/>
          <w:kern w:val="0"/>
          <w:sz w:val="22"/>
          <w:szCs w:val="22"/>
          <w:highlight w:val="none"/>
        </w:rPr>
      </w:pPr>
    </w:p>
    <w:p w14:paraId="324669DD">
      <w:pPr>
        <w:spacing w:line="360" w:lineRule="auto"/>
        <w:ind w:right="420" w:firstLine="3780" w:firstLineChars="1800"/>
        <w:rPr>
          <w:color w:val="auto"/>
          <w:highlight w:val="none"/>
          <w:u w:val="single"/>
        </w:rPr>
      </w:pPr>
      <w:r>
        <w:rPr>
          <w:rFonts w:hint="eastAsia"/>
          <w:color w:val="auto"/>
          <w:highlight w:val="none"/>
        </w:rPr>
        <w:t>供应商</w:t>
      </w:r>
      <w:r>
        <w:rPr>
          <w:color w:val="auto"/>
          <w:highlight w:val="none"/>
        </w:rPr>
        <w:t>名称（</w:t>
      </w:r>
      <w:r>
        <w:rPr>
          <w:rFonts w:hint="eastAsia"/>
          <w:color w:val="auto"/>
          <w:highlight w:val="none"/>
        </w:rPr>
        <w:t>加盖CA电子公章</w:t>
      </w:r>
      <w:r>
        <w:rPr>
          <w:color w:val="auto"/>
          <w:highlight w:val="none"/>
        </w:rPr>
        <w:t>）：</w:t>
      </w:r>
      <w:r>
        <w:rPr>
          <w:color w:val="auto"/>
          <w:highlight w:val="none"/>
          <w:u w:val="single"/>
        </w:rPr>
        <w:t xml:space="preserve">        </w:t>
      </w:r>
    </w:p>
    <w:p w14:paraId="0C180498">
      <w:pPr>
        <w:spacing w:line="360" w:lineRule="auto"/>
        <w:ind w:firstLine="3780" w:firstLineChars="18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法定代表人（单位负责人）</w:t>
      </w:r>
    </w:p>
    <w:p w14:paraId="47D424A8">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7D71F881">
      <w:pPr>
        <w:rPr>
          <w:rFonts w:ascii="Microsoft New Tai Lue" w:hAnsi="Microsoft New Tai Lue" w:cs="Microsoft New Tai Lue"/>
          <w:color w:val="auto"/>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lang w:val="en-US" w:eastAsia="zh-CN"/>
        </w:rPr>
        <w:t xml:space="preserve">    </w:t>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日</w:t>
      </w:r>
    </w:p>
    <w:bookmarkEnd w:id="286"/>
    <w:p w14:paraId="346FE638">
      <w:pPr>
        <w:pStyle w:val="32"/>
        <w:spacing w:before="0"/>
        <w:rPr>
          <w:rFonts w:ascii="Microsoft New Tai Lue" w:hAnsi="Microsoft New Tai Lue" w:cs="Microsoft New Tai Lue"/>
          <w:color w:val="auto"/>
          <w:sz w:val="24"/>
          <w:szCs w:val="24"/>
          <w:highlight w:val="none"/>
        </w:rPr>
      </w:pPr>
      <w:bookmarkStart w:id="287" w:name="_Toc103848586"/>
      <w:bookmarkStart w:id="288" w:name="_Toc107246281"/>
      <w:bookmarkStart w:id="289" w:name="_Toc104560901"/>
      <w:bookmarkStart w:id="290" w:name="_Toc102117319"/>
      <w:r>
        <w:rPr>
          <w:rFonts w:ascii="Microsoft New Tai Lue" w:hAnsi="Microsoft New Tai Lue" w:cs="Microsoft New Tai Lue"/>
          <w:bCs w:val="0"/>
          <w:color w:val="auto"/>
          <w:sz w:val="24"/>
          <w:szCs w:val="24"/>
          <w:highlight w:val="none"/>
        </w:rPr>
        <w:t>（6）商务条款偏离表</w:t>
      </w:r>
      <w:bookmarkEnd w:id="287"/>
      <w:bookmarkEnd w:id="288"/>
      <w:bookmarkEnd w:id="289"/>
    </w:p>
    <w:p w14:paraId="07FC66A9">
      <w:pPr>
        <w:pStyle w:val="79"/>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项目编号：</w:t>
      </w:r>
      <w:r>
        <w:rPr>
          <w:rFonts w:ascii="Microsoft New Tai Lue" w:hAnsi="Microsoft New Tai Lue" w:cs="Microsoft New Tai Lue"/>
          <w:color w:val="auto"/>
          <w:sz w:val="21"/>
          <w:szCs w:val="21"/>
          <w:highlight w:val="none"/>
          <w:u w:val="single"/>
        </w:rPr>
        <w:t xml:space="preserve">               </w:t>
      </w:r>
    </w:p>
    <w:tbl>
      <w:tblPr>
        <w:tblStyle w:val="3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394"/>
        <w:gridCol w:w="2295"/>
        <w:gridCol w:w="2383"/>
        <w:gridCol w:w="1134"/>
        <w:gridCol w:w="1006"/>
        <w:gridCol w:w="715"/>
      </w:tblGrid>
      <w:tr w14:paraId="3C849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33" w:type="dxa"/>
            <w:vAlign w:val="center"/>
          </w:tcPr>
          <w:p w14:paraId="6D0A16A7">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r>
              <w:rPr>
                <w:rFonts w:hint="default" w:ascii="Microsoft New Tai Lue" w:hAnsi="Microsoft New Tai Lue" w:cs="Microsoft New Tai Lue"/>
                <w:color w:val="auto"/>
                <w:sz w:val="21"/>
                <w:szCs w:val="21"/>
                <w:highlight w:val="none"/>
              </w:rPr>
              <w:t>序号</w:t>
            </w:r>
          </w:p>
        </w:tc>
        <w:tc>
          <w:tcPr>
            <w:tcW w:w="1394" w:type="dxa"/>
            <w:vAlign w:val="center"/>
          </w:tcPr>
          <w:p w14:paraId="64096280">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r>
              <w:rPr>
                <w:rFonts w:hint="default" w:ascii="Microsoft New Tai Lue" w:hAnsi="Microsoft New Tai Lue" w:cs="Microsoft New Tai Lue"/>
                <w:color w:val="auto"/>
                <w:sz w:val="21"/>
                <w:szCs w:val="21"/>
                <w:highlight w:val="none"/>
              </w:rPr>
              <w:t>招标文件条目号</w:t>
            </w:r>
          </w:p>
        </w:tc>
        <w:tc>
          <w:tcPr>
            <w:tcW w:w="2295" w:type="dxa"/>
            <w:vAlign w:val="center"/>
          </w:tcPr>
          <w:p w14:paraId="522D49D0">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r>
              <w:rPr>
                <w:rFonts w:hint="default" w:ascii="Microsoft New Tai Lue" w:hAnsi="Microsoft New Tai Lue" w:cs="Microsoft New Tai Lue"/>
                <w:color w:val="auto"/>
                <w:sz w:val="21"/>
                <w:szCs w:val="21"/>
                <w:highlight w:val="none"/>
              </w:rPr>
              <w:t>招标文件的商务条款</w:t>
            </w:r>
          </w:p>
        </w:tc>
        <w:tc>
          <w:tcPr>
            <w:tcW w:w="2383" w:type="dxa"/>
            <w:vAlign w:val="center"/>
          </w:tcPr>
          <w:p w14:paraId="44CC2A1E">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r>
              <w:rPr>
                <w:rFonts w:hint="default" w:ascii="Microsoft New Tai Lue" w:hAnsi="Microsoft New Tai Lue" w:cs="Microsoft New Tai Lue"/>
                <w:color w:val="auto"/>
                <w:sz w:val="21"/>
                <w:szCs w:val="21"/>
                <w:highlight w:val="none"/>
              </w:rPr>
              <w:t>投标文件的商务条款</w:t>
            </w:r>
          </w:p>
        </w:tc>
        <w:tc>
          <w:tcPr>
            <w:tcW w:w="1134" w:type="dxa"/>
            <w:vAlign w:val="center"/>
          </w:tcPr>
          <w:p w14:paraId="569D964C">
            <w:pPr>
              <w:pStyle w:val="79"/>
              <w:keepNext w:val="0"/>
              <w:keepLines w:val="0"/>
              <w:suppressLineNumbers w:val="0"/>
              <w:spacing w:before="0" w:beforeAutospacing="0" w:after="0" w:afterAutospacing="0" w:line="480" w:lineRule="auto"/>
              <w:ind w:left="0" w:right="0" w:firstLine="0" w:firstLineChars="0"/>
              <w:jc w:val="center"/>
              <w:rPr>
                <w:rFonts w:hint="default"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是否</w:t>
            </w:r>
            <w:r>
              <w:rPr>
                <w:rFonts w:hint="default" w:ascii="Microsoft New Tai Lue" w:hAnsi="Microsoft New Tai Lue" w:cs="Microsoft New Tai Lue"/>
                <w:color w:val="auto"/>
                <w:sz w:val="21"/>
                <w:szCs w:val="21"/>
                <w:highlight w:val="none"/>
              </w:rPr>
              <w:t>偏离</w:t>
            </w:r>
          </w:p>
        </w:tc>
        <w:tc>
          <w:tcPr>
            <w:tcW w:w="1006" w:type="dxa"/>
            <w:vAlign w:val="center"/>
          </w:tcPr>
          <w:p w14:paraId="60F150F8">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r>
              <w:rPr>
                <w:rFonts w:hint="default" w:ascii="Microsoft New Tai Lue" w:hAnsi="Microsoft New Tai Lue" w:cs="Microsoft New Tai Lue"/>
                <w:color w:val="auto"/>
                <w:sz w:val="21"/>
                <w:szCs w:val="21"/>
                <w:highlight w:val="none"/>
              </w:rPr>
              <w:t>偏离</w:t>
            </w:r>
          </w:p>
        </w:tc>
        <w:tc>
          <w:tcPr>
            <w:tcW w:w="715" w:type="dxa"/>
            <w:vAlign w:val="center"/>
          </w:tcPr>
          <w:p w14:paraId="6A10C0A6">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r>
              <w:rPr>
                <w:rFonts w:hint="default" w:ascii="Microsoft New Tai Lue" w:hAnsi="Microsoft New Tai Lue" w:cs="Microsoft New Tai Lue"/>
                <w:color w:val="auto"/>
                <w:sz w:val="21"/>
                <w:szCs w:val="21"/>
                <w:highlight w:val="none"/>
              </w:rPr>
              <w:t>说明</w:t>
            </w:r>
          </w:p>
        </w:tc>
      </w:tr>
      <w:tr w14:paraId="1CE19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33" w:type="dxa"/>
            <w:vAlign w:val="center"/>
          </w:tcPr>
          <w:p w14:paraId="47035B0F">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394" w:type="dxa"/>
            <w:vAlign w:val="center"/>
          </w:tcPr>
          <w:p w14:paraId="368B4654">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295" w:type="dxa"/>
            <w:vAlign w:val="center"/>
          </w:tcPr>
          <w:p w14:paraId="2C09084C">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383" w:type="dxa"/>
            <w:vAlign w:val="center"/>
          </w:tcPr>
          <w:p w14:paraId="78269A68">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134" w:type="dxa"/>
          </w:tcPr>
          <w:p w14:paraId="3676434E">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006" w:type="dxa"/>
            <w:vAlign w:val="center"/>
          </w:tcPr>
          <w:p w14:paraId="0797F4EC">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715" w:type="dxa"/>
            <w:vAlign w:val="center"/>
          </w:tcPr>
          <w:p w14:paraId="3DBC83C9">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r>
      <w:tr w14:paraId="40CE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33" w:type="dxa"/>
            <w:vAlign w:val="center"/>
          </w:tcPr>
          <w:p w14:paraId="77F862DC">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394" w:type="dxa"/>
            <w:vAlign w:val="center"/>
          </w:tcPr>
          <w:p w14:paraId="0355E55E">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295" w:type="dxa"/>
            <w:vAlign w:val="center"/>
          </w:tcPr>
          <w:p w14:paraId="7C8CE0C8">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383" w:type="dxa"/>
            <w:vAlign w:val="center"/>
          </w:tcPr>
          <w:p w14:paraId="05936BC2">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134" w:type="dxa"/>
          </w:tcPr>
          <w:p w14:paraId="4B50ACE2">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006" w:type="dxa"/>
            <w:vAlign w:val="center"/>
          </w:tcPr>
          <w:p w14:paraId="43317D23">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715" w:type="dxa"/>
            <w:vAlign w:val="center"/>
          </w:tcPr>
          <w:p w14:paraId="7E3702BE">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r>
      <w:tr w14:paraId="6187C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33" w:type="dxa"/>
            <w:vAlign w:val="center"/>
          </w:tcPr>
          <w:p w14:paraId="15F47A99">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394" w:type="dxa"/>
            <w:vAlign w:val="center"/>
          </w:tcPr>
          <w:p w14:paraId="47965D91">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295" w:type="dxa"/>
            <w:vAlign w:val="center"/>
          </w:tcPr>
          <w:p w14:paraId="60CA1510">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383" w:type="dxa"/>
            <w:vAlign w:val="center"/>
          </w:tcPr>
          <w:p w14:paraId="030A2DBE">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134" w:type="dxa"/>
          </w:tcPr>
          <w:p w14:paraId="68C68910">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006" w:type="dxa"/>
            <w:vAlign w:val="center"/>
          </w:tcPr>
          <w:p w14:paraId="6E89C8FD">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715" w:type="dxa"/>
            <w:vAlign w:val="center"/>
          </w:tcPr>
          <w:p w14:paraId="1FEEFF6D">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r>
      <w:tr w14:paraId="1F3F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3" w:type="dxa"/>
            <w:vAlign w:val="center"/>
          </w:tcPr>
          <w:p w14:paraId="6F3A2EFC">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394" w:type="dxa"/>
            <w:vAlign w:val="center"/>
          </w:tcPr>
          <w:p w14:paraId="7197703B">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295" w:type="dxa"/>
            <w:vAlign w:val="center"/>
          </w:tcPr>
          <w:p w14:paraId="21027E60">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383" w:type="dxa"/>
            <w:vAlign w:val="center"/>
          </w:tcPr>
          <w:p w14:paraId="268EE02E">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134" w:type="dxa"/>
          </w:tcPr>
          <w:p w14:paraId="0E4EA77C">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006" w:type="dxa"/>
            <w:vAlign w:val="center"/>
          </w:tcPr>
          <w:p w14:paraId="7ED8656F">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715" w:type="dxa"/>
            <w:vAlign w:val="center"/>
          </w:tcPr>
          <w:p w14:paraId="22FDE0B6">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r>
      <w:tr w14:paraId="02B75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33" w:type="dxa"/>
            <w:vAlign w:val="center"/>
          </w:tcPr>
          <w:p w14:paraId="1B394075">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394" w:type="dxa"/>
            <w:vAlign w:val="center"/>
          </w:tcPr>
          <w:p w14:paraId="470C637F">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295" w:type="dxa"/>
            <w:vAlign w:val="center"/>
          </w:tcPr>
          <w:p w14:paraId="33944B18">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383" w:type="dxa"/>
            <w:vAlign w:val="center"/>
          </w:tcPr>
          <w:p w14:paraId="452270C2">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134" w:type="dxa"/>
          </w:tcPr>
          <w:p w14:paraId="39E0CEC2">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006" w:type="dxa"/>
            <w:vAlign w:val="center"/>
          </w:tcPr>
          <w:p w14:paraId="40A8F829">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715" w:type="dxa"/>
            <w:vAlign w:val="center"/>
          </w:tcPr>
          <w:p w14:paraId="25AFE3DC">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r>
      <w:tr w14:paraId="26172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33" w:type="dxa"/>
            <w:vAlign w:val="center"/>
          </w:tcPr>
          <w:p w14:paraId="01E6F863">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394" w:type="dxa"/>
            <w:vAlign w:val="center"/>
          </w:tcPr>
          <w:p w14:paraId="2B2C0B8A">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295" w:type="dxa"/>
            <w:vAlign w:val="center"/>
          </w:tcPr>
          <w:p w14:paraId="6F3A317B">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383" w:type="dxa"/>
            <w:vAlign w:val="center"/>
          </w:tcPr>
          <w:p w14:paraId="053273DC">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134" w:type="dxa"/>
          </w:tcPr>
          <w:p w14:paraId="65AA0ADE">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006" w:type="dxa"/>
            <w:vAlign w:val="center"/>
          </w:tcPr>
          <w:p w14:paraId="6849844E">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715" w:type="dxa"/>
            <w:vAlign w:val="center"/>
          </w:tcPr>
          <w:p w14:paraId="354EAF1B">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r>
    </w:tbl>
    <w:p w14:paraId="10AD7E38">
      <w:pPr>
        <w:pStyle w:val="30"/>
        <w:spacing w:line="360" w:lineRule="exact"/>
        <w:rPr>
          <w:rFonts w:ascii="Times New Roman" w:hAnsi="Times New Roman"/>
          <w:b/>
          <w:bCs/>
          <w:color w:val="auto"/>
          <w:highlight w:val="none"/>
        </w:rPr>
      </w:pPr>
      <w:r>
        <w:rPr>
          <w:rFonts w:ascii="Times New Roman" w:hAnsi="Times New Roman"/>
          <w:b/>
          <w:bCs/>
          <w:color w:val="auto"/>
          <w:highlight w:val="none"/>
        </w:rPr>
        <w:t>注：</w:t>
      </w:r>
    </w:p>
    <w:p w14:paraId="327594F1">
      <w:pPr>
        <w:pStyle w:val="30"/>
        <w:spacing w:line="360" w:lineRule="exact"/>
        <w:rPr>
          <w:rFonts w:ascii="Times New Roman" w:hAnsi="Times New Roman"/>
          <w:b/>
          <w:bCs/>
          <w:color w:val="auto"/>
          <w:highlight w:val="none"/>
        </w:rPr>
      </w:pPr>
      <w:r>
        <w:rPr>
          <w:rFonts w:hint="eastAsia" w:ascii="Times New Roman" w:hAnsi="Times New Roman"/>
          <w:b/>
          <w:bCs/>
          <w:color w:val="auto"/>
          <w:highlight w:val="none"/>
        </w:rPr>
        <w:t>1. 供应商须根据第三章《政府采购合同条款及</w:t>
      </w:r>
      <w:r>
        <w:rPr>
          <w:rFonts w:ascii="Times New Roman" w:hAnsi="Times New Roman"/>
          <w:b/>
          <w:bCs/>
          <w:color w:val="auto"/>
          <w:highlight w:val="none"/>
        </w:rPr>
        <w:t>格式</w:t>
      </w:r>
      <w:r>
        <w:rPr>
          <w:rFonts w:hint="eastAsia" w:ascii="Times New Roman" w:hAnsi="Times New Roman"/>
          <w:b/>
          <w:bCs/>
          <w:color w:val="auto"/>
          <w:highlight w:val="none"/>
        </w:rPr>
        <w:t>》要求填写此表，作为投标文件的组成部分。</w:t>
      </w:r>
    </w:p>
    <w:p w14:paraId="52C6BDF9">
      <w:pPr>
        <w:pStyle w:val="30"/>
        <w:spacing w:line="360" w:lineRule="exact"/>
        <w:rPr>
          <w:rFonts w:ascii="Times New Roman" w:hAnsi="Times New Roman"/>
          <w:b/>
          <w:bCs/>
          <w:color w:val="auto"/>
          <w:highlight w:val="none"/>
        </w:rPr>
      </w:pPr>
      <w:r>
        <w:rPr>
          <w:rFonts w:hint="eastAsia" w:ascii="Times New Roman" w:hAnsi="Times New Roman"/>
          <w:b/>
          <w:bCs/>
          <w:color w:val="auto"/>
          <w:highlight w:val="none"/>
        </w:rPr>
        <w:t>2. 所有偏离必须在本表中列出，未在本偏离表中列出偏离，将视为供应商已完全接受招标文件要求。如完全无偏离，也无其他说明，可在本表第一行填写“全部无偏离”。</w:t>
      </w:r>
    </w:p>
    <w:p w14:paraId="36F21588">
      <w:pPr>
        <w:pStyle w:val="30"/>
        <w:spacing w:line="360" w:lineRule="exact"/>
        <w:rPr>
          <w:rFonts w:ascii="Times New Roman" w:hAnsi="Times New Roman"/>
          <w:b/>
          <w:bCs/>
          <w:color w:val="auto"/>
          <w:highlight w:val="none"/>
        </w:rPr>
      </w:pPr>
      <w:r>
        <w:rPr>
          <w:rFonts w:hint="eastAsia" w:ascii="Times New Roman" w:hAnsi="Times New Roman"/>
          <w:b/>
          <w:bCs/>
          <w:color w:val="auto"/>
          <w:highlight w:val="none"/>
        </w:rPr>
        <w:t>3. 偏离包括正、负偏离，正偏离指供应商的响应高于招标文件要求，负偏离指供应商的响应低于招标文件要求。</w:t>
      </w:r>
    </w:p>
    <w:p w14:paraId="3DB54D7D">
      <w:pPr>
        <w:pStyle w:val="30"/>
        <w:spacing w:line="360" w:lineRule="exact"/>
        <w:rPr>
          <w:color w:val="auto"/>
          <w:highlight w:val="none"/>
        </w:rPr>
      </w:pPr>
      <w:r>
        <w:rPr>
          <w:rFonts w:hint="eastAsia" w:ascii="Times New Roman" w:hAnsi="Times New Roman"/>
          <w:b/>
          <w:bCs/>
          <w:color w:val="auto"/>
          <w:highlight w:val="none"/>
        </w:rPr>
        <w:t>4. 如供应商将此表空白，视为供应商无任何偏离。</w:t>
      </w:r>
    </w:p>
    <w:p w14:paraId="543CCE14">
      <w:pPr>
        <w:pStyle w:val="79"/>
        <w:ind w:firstLine="420"/>
        <w:rPr>
          <w:rFonts w:ascii="Microsoft New Tai Lue" w:hAnsi="Microsoft New Tai Lue" w:cs="Microsoft New Tai Lue"/>
          <w:color w:val="auto"/>
          <w:sz w:val="21"/>
          <w:szCs w:val="21"/>
          <w:highlight w:val="none"/>
        </w:rPr>
      </w:pPr>
    </w:p>
    <w:p w14:paraId="4EC83E80">
      <w:pPr>
        <w:pStyle w:val="79"/>
        <w:ind w:firstLine="0" w:firstLineChars="0"/>
        <w:rPr>
          <w:rFonts w:ascii="Microsoft New Tai Lue" w:hAnsi="Microsoft New Tai Lue" w:cs="Microsoft New Tai Lue"/>
          <w:color w:val="auto"/>
          <w:sz w:val="21"/>
          <w:szCs w:val="21"/>
          <w:highlight w:val="none"/>
        </w:rPr>
      </w:pPr>
    </w:p>
    <w:p w14:paraId="2793407D">
      <w:pPr>
        <w:spacing w:line="360" w:lineRule="auto"/>
        <w:ind w:right="420" w:firstLine="3780" w:firstLineChars="1800"/>
        <w:rPr>
          <w:color w:val="auto"/>
          <w:highlight w:val="none"/>
          <w:u w:val="single"/>
        </w:rPr>
      </w:pPr>
      <w:bookmarkStart w:id="291" w:name="_Toc103848587"/>
      <w:bookmarkStart w:id="292" w:name="_Toc104560902"/>
      <w:r>
        <w:rPr>
          <w:rFonts w:hint="eastAsia"/>
          <w:color w:val="auto"/>
          <w:szCs w:val="21"/>
          <w:highlight w:val="none"/>
          <w:lang w:val="en-US" w:eastAsia="zh-CN"/>
        </w:rPr>
        <w:t>供应商</w:t>
      </w:r>
      <w:r>
        <w:rPr>
          <w:color w:val="auto"/>
          <w:highlight w:val="none"/>
        </w:rPr>
        <w:t>名称（</w:t>
      </w:r>
      <w:r>
        <w:rPr>
          <w:rFonts w:hint="eastAsia"/>
          <w:color w:val="auto"/>
          <w:highlight w:val="none"/>
        </w:rPr>
        <w:t>加盖CA电子公章</w:t>
      </w:r>
      <w:r>
        <w:rPr>
          <w:color w:val="auto"/>
          <w:highlight w:val="none"/>
        </w:rPr>
        <w:t>）：</w:t>
      </w:r>
      <w:r>
        <w:rPr>
          <w:color w:val="auto"/>
          <w:highlight w:val="none"/>
          <w:u w:val="single"/>
        </w:rPr>
        <w:t xml:space="preserve">       </w:t>
      </w:r>
    </w:p>
    <w:p w14:paraId="1010F8C7">
      <w:pPr>
        <w:spacing w:line="360" w:lineRule="auto"/>
        <w:ind w:firstLine="3780" w:firstLineChars="18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法定代表人（单位负责人）</w:t>
      </w:r>
    </w:p>
    <w:p w14:paraId="1D60A765">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0AB48F49">
      <w:pPr>
        <w:spacing w:line="360" w:lineRule="auto"/>
        <w:ind w:firstLine="422" w:firstLineChars="200"/>
        <w:jc w:val="left"/>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日</w:t>
      </w:r>
    </w:p>
    <w:p w14:paraId="1A79B288">
      <w:pPr>
        <w:pStyle w:val="16"/>
        <w:ind w:left="1260"/>
        <w:rPr>
          <w:color w:val="auto"/>
          <w:highlight w:val="none"/>
        </w:rPr>
      </w:pPr>
      <w:r>
        <w:rPr>
          <w:color w:val="auto"/>
          <w:highlight w:val="none"/>
        </w:rPr>
        <w:br w:type="page"/>
      </w:r>
    </w:p>
    <w:p w14:paraId="65FD3AD4">
      <w:pPr>
        <w:pStyle w:val="32"/>
        <w:spacing w:line="240" w:lineRule="atLeast"/>
        <w:rPr>
          <w:rFonts w:hint="eastAsia" w:ascii="Microsoft New Tai Lue" w:hAnsi="Microsoft New Tai Lue" w:eastAsia="宋体" w:cs="Microsoft New Tai Lue"/>
          <w:color w:val="auto"/>
          <w:highlight w:val="none"/>
          <w:lang w:eastAsia="zh-CN"/>
        </w:rPr>
      </w:pPr>
      <w:bookmarkStart w:id="293" w:name="_Toc107246282"/>
      <w:r>
        <w:rPr>
          <w:rFonts w:ascii="Microsoft New Tai Lue" w:hAnsi="Microsoft New Tai Lue" w:cs="Microsoft New Tai Lue"/>
          <w:bCs w:val="0"/>
          <w:color w:val="auto"/>
          <w:sz w:val="24"/>
          <w:szCs w:val="24"/>
          <w:highlight w:val="none"/>
        </w:rPr>
        <w:t>（7）</w:t>
      </w:r>
      <w:r>
        <w:rPr>
          <w:rFonts w:hint="eastAsia" w:ascii="Microsoft New Tai Lue" w:hAnsi="Microsoft New Tai Lue" w:cs="Microsoft New Tai Lue"/>
          <w:bCs w:val="0"/>
          <w:color w:val="auto"/>
          <w:sz w:val="24"/>
          <w:szCs w:val="24"/>
          <w:highlight w:val="none"/>
        </w:rPr>
        <w:t>供应商</w:t>
      </w:r>
      <w:r>
        <w:rPr>
          <w:rFonts w:ascii="Microsoft New Tai Lue" w:hAnsi="Microsoft New Tai Lue" w:cs="Microsoft New Tai Lue"/>
          <w:bCs w:val="0"/>
          <w:color w:val="auto"/>
          <w:sz w:val="24"/>
          <w:szCs w:val="24"/>
          <w:highlight w:val="none"/>
        </w:rPr>
        <w:t>具备投标资格的证明文件</w:t>
      </w:r>
      <w:bookmarkEnd w:id="291"/>
      <w:bookmarkEnd w:id="292"/>
      <w:bookmarkEnd w:id="293"/>
    </w:p>
    <w:p w14:paraId="2F35E72F">
      <w:pPr>
        <w:pStyle w:val="32"/>
        <w:spacing w:line="240" w:lineRule="atLeast"/>
        <w:rPr>
          <w:rFonts w:ascii="Microsoft New Tai Lue" w:hAnsi="Microsoft New Tai Lue" w:cs="Microsoft New Tai Lue"/>
          <w:bCs w:val="0"/>
          <w:color w:val="auto"/>
          <w:sz w:val="24"/>
          <w:szCs w:val="24"/>
          <w:highlight w:val="none"/>
        </w:rPr>
      </w:pPr>
      <w:bookmarkStart w:id="294" w:name="_Toc103848588"/>
      <w:bookmarkStart w:id="295" w:name="_Toc107246283"/>
      <w:bookmarkStart w:id="296" w:name="_Toc104560903"/>
      <w:r>
        <w:rPr>
          <w:rFonts w:ascii="Microsoft New Tai Lue" w:hAnsi="Microsoft New Tai Lue" w:cs="Microsoft New Tai Lue"/>
          <w:bCs w:val="0"/>
          <w:color w:val="auto"/>
          <w:sz w:val="24"/>
          <w:szCs w:val="24"/>
          <w:highlight w:val="none"/>
        </w:rPr>
        <w:t>（7-1-1）</w:t>
      </w:r>
      <w:bookmarkEnd w:id="290"/>
      <w:bookmarkEnd w:id="294"/>
      <w:bookmarkEnd w:id="295"/>
      <w:bookmarkEnd w:id="296"/>
      <w:r>
        <w:rPr>
          <w:rFonts w:hint="eastAsia" w:ascii="Microsoft New Tai Lue" w:hAnsi="Microsoft New Tai Lue" w:cs="Microsoft New Tai Lue"/>
          <w:bCs w:val="0"/>
          <w:color w:val="auto"/>
          <w:sz w:val="24"/>
          <w:szCs w:val="24"/>
          <w:highlight w:val="none"/>
        </w:rPr>
        <w:t>具有独立承担民事责任的能力</w:t>
      </w:r>
    </w:p>
    <w:p w14:paraId="66762B4A">
      <w:pPr>
        <w:spacing w:line="360" w:lineRule="auto"/>
        <w:rPr>
          <w:rFonts w:ascii="Microsoft New Tai Lue" w:hAnsi="Microsoft New Tai Lue" w:cs="Microsoft New Tai Lue"/>
          <w:b/>
          <w:bCs/>
          <w:color w:val="auto"/>
          <w:highlight w:val="none"/>
        </w:rPr>
      </w:pPr>
      <w:bookmarkStart w:id="297" w:name="_Hlk33717720"/>
    </w:p>
    <w:p w14:paraId="1FB51F88">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Microsoft New Tai Lue" w:hAnsi="Microsoft New Tai Lue" w:cs="Microsoft New Tai Lue"/>
          <w:b/>
          <w:bCs/>
          <w:color w:val="auto"/>
          <w:highlight w:val="none"/>
        </w:rPr>
        <w:t>提供法人或者其他组织的营业执照等证明文件，自然人的身份证明</w:t>
      </w:r>
      <w:r>
        <w:rPr>
          <w:rFonts w:ascii="Microsoft New Tai Lue" w:hAnsi="Microsoft New Tai Lue" w:cs="Microsoft New Tai Lue"/>
          <w:b/>
          <w:bCs/>
          <w:color w:val="auto"/>
          <w:highlight w:val="none"/>
        </w:rPr>
        <w:t>。</w:t>
      </w:r>
      <w:bookmarkEnd w:id="297"/>
    </w:p>
    <w:p w14:paraId="0BDBE951">
      <w:pPr>
        <w:rPr>
          <w:rFonts w:ascii="Microsoft New Tai Lue" w:hAnsi="Microsoft New Tai Lue" w:cs="Microsoft New Tai Lue"/>
          <w:color w:val="auto"/>
          <w:highlight w:val="none"/>
        </w:rPr>
      </w:pPr>
    </w:p>
    <w:p w14:paraId="6166178F">
      <w:pPr>
        <w:pStyle w:val="32"/>
        <w:spacing w:line="240" w:lineRule="atLeast"/>
        <w:rPr>
          <w:rFonts w:ascii="Microsoft New Tai Lue" w:hAnsi="Microsoft New Tai Lue" w:eastAsia="黑体" w:cs="Microsoft New Tai Lue"/>
          <w:b w:val="0"/>
          <w:color w:val="auto"/>
          <w:highlight w:val="none"/>
        </w:rPr>
      </w:pPr>
      <w:bookmarkStart w:id="298" w:name="_Toc102117320"/>
      <w:bookmarkStart w:id="299" w:name="_Toc103848589"/>
      <w:r>
        <w:rPr>
          <w:rFonts w:ascii="Microsoft New Tai Lue" w:hAnsi="Microsoft New Tai Lue" w:cs="Microsoft New Tai Lue"/>
          <w:bCs w:val="0"/>
          <w:color w:val="auto"/>
          <w:sz w:val="24"/>
          <w:szCs w:val="24"/>
          <w:highlight w:val="none"/>
        </w:rPr>
        <w:br w:type="page"/>
      </w:r>
      <w:bookmarkStart w:id="300" w:name="_Toc107246284"/>
      <w:bookmarkStart w:id="301" w:name="_Toc104560904"/>
      <w:r>
        <w:rPr>
          <w:rFonts w:ascii="Microsoft New Tai Lue" w:hAnsi="Microsoft New Tai Lue" w:cs="Microsoft New Tai Lue"/>
          <w:bCs w:val="0"/>
          <w:color w:val="auto"/>
          <w:sz w:val="24"/>
          <w:szCs w:val="24"/>
          <w:highlight w:val="none"/>
        </w:rPr>
        <w:t>（7-1-2）工商变更登记文件（如需）</w:t>
      </w:r>
      <w:bookmarkEnd w:id="298"/>
      <w:bookmarkEnd w:id="299"/>
      <w:bookmarkEnd w:id="300"/>
      <w:bookmarkEnd w:id="301"/>
    </w:p>
    <w:p w14:paraId="749F6922">
      <w:pPr>
        <w:spacing w:line="360" w:lineRule="auto"/>
        <w:rPr>
          <w:rFonts w:ascii="Microsoft New Tai Lue" w:hAnsi="Microsoft New Tai Lue" w:cs="Microsoft New Tai Lue"/>
          <w:b/>
          <w:bCs/>
          <w:color w:val="auto"/>
          <w:highlight w:val="none"/>
        </w:rPr>
      </w:pPr>
    </w:p>
    <w:p w14:paraId="28959C6F">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注：如</w:t>
      </w:r>
      <w:r>
        <w:rPr>
          <w:rFonts w:hint="eastAsia" w:ascii="Microsoft New Tai Lue" w:hAnsi="Microsoft New Tai Lue" w:cs="Microsoft New Tai Lue"/>
          <w:b/>
          <w:bCs/>
          <w:color w:val="auto"/>
          <w:szCs w:val="21"/>
          <w:highlight w:val="none"/>
        </w:rPr>
        <w:t>供应商</w:t>
      </w:r>
      <w:r>
        <w:rPr>
          <w:rFonts w:ascii="Microsoft New Tai Lue" w:hAnsi="Microsoft New Tai Lue" w:cs="Microsoft New Tai Lue"/>
          <w:b/>
          <w:bCs/>
          <w:color w:val="auto"/>
          <w:highlight w:val="none"/>
        </w:rPr>
        <w:t>在招标文件资质、业绩等要求的时间期限内发生了单位名称等变更的，提供相关工商变更登记文件的复印件。如无，则可不提供。</w:t>
      </w:r>
    </w:p>
    <w:p w14:paraId="54118278">
      <w:pPr>
        <w:pStyle w:val="32"/>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r>
      <w:bookmarkStart w:id="302" w:name="_Toc104560905"/>
      <w:bookmarkStart w:id="303" w:name="_Toc102117321"/>
      <w:bookmarkStart w:id="304" w:name="_Toc107246285"/>
      <w:bookmarkStart w:id="305" w:name="_Toc103848590"/>
      <w:r>
        <w:rPr>
          <w:rFonts w:ascii="Microsoft New Tai Lue" w:hAnsi="Microsoft New Tai Lue" w:cs="Microsoft New Tai Lue"/>
          <w:bCs w:val="0"/>
          <w:color w:val="auto"/>
          <w:sz w:val="24"/>
          <w:szCs w:val="24"/>
          <w:highlight w:val="none"/>
        </w:rPr>
        <w:t>（7-2）</w:t>
      </w:r>
      <w:bookmarkEnd w:id="302"/>
      <w:bookmarkEnd w:id="303"/>
      <w:bookmarkEnd w:id="304"/>
      <w:bookmarkEnd w:id="305"/>
      <w:r>
        <w:rPr>
          <w:rFonts w:hint="eastAsia" w:ascii="Microsoft New Tai Lue" w:hAnsi="Microsoft New Tai Lue" w:cs="Microsoft New Tai Lue"/>
          <w:bCs w:val="0"/>
          <w:color w:val="auto"/>
          <w:sz w:val="24"/>
          <w:szCs w:val="24"/>
          <w:highlight w:val="none"/>
        </w:rPr>
        <w:t>具有良好的商业信誉和健全的财务会计制度</w:t>
      </w:r>
    </w:p>
    <w:p w14:paraId="67B955F2">
      <w:pPr>
        <w:jc w:val="left"/>
        <w:rPr>
          <w:rFonts w:ascii="Microsoft New Tai Lue" w:hAnsi="Microsoft New Tai Lue" w:cs="Microsoft New Tai Lue"/>
          <w:color w:val="auto"/>
          <w:highlight w:val="none"/>
        </w:rPr>
      </w:pPr>
    </w:p>
    <w:p w14:paraId="2F6D5C16">
      <w:pPr>
        <w:spacing w:line="360" w:lineRule="auto"/>
        <w:jc w:val="left"/>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Microsoft New Tai Lue" w:hAnsi="Microsoft New Tai Lue" w:cs="Microsoft New Tai Lue"/>
          <w:b/>
          <w:bCs/>
          <w:color w:val="auto"/>
          <w:highlight w:val="none"/>
        </w:rPr>
        <w:t>提供2025年度经审计的财务报表（如为成立不满一年的公司，应提供公司成立之后的财务报表）或投标截止时间前6个月内，由其基本开户银行出具的资信证明或财政部门认可的政府采购专业担保机构出具的投标担保函。</w:t>
      </w:r>
    </w:p>
    <w:p w14:paraId="11794480">
      <w:pPr>
        <w:spacing w:line="360" w:lineRule="auto"/>
        <w:rPr>
          <w:rFonts w:ascii="Microsoft New Tai Lue" w:hAnsi="Microsoft New Tai Lue" w:cs="Microsoft New Tai Lue"/>
          <w:b/>
          <w:bCs/>
          <w:color w:val="auto"/>
          <w:highlight w:val="none"/>
        </w:rPr>
      </w:pPr>
    </w:p>
    <w:p w14:paraId="47389218">
      <w:pPr>
        <w:pStyle w:val="32"/>
        <w:spacing w:line="240" w:lineRule="atLeast"/>
        <w:jc w:val="center"/>
        <w:rPr>
          <w:rFonts w:ascii="Microsoft New Tai Lue" w:hAnsi="Microsoft New Tai Lue" w:cs="Microsoft New Tai Lue"/>
          <w:bCs w:val="0"/>
          <w:color w:val="auto"/>
          <w:sz w:val="24"/>
          <w:szCs w:val="24"/>
          <w:highlight w:val="none"/>
        </w:rPr>
      </w:pPr>
      <w:bookmarkStart w:id="306" w:name="_Toc102117322"/>
      <w:bookmarkStart w:id="307" w:name="_Toc103848593"/>
      <w:bookmarkStart w:id="308" w:name="_Toc104560908"/>
      <w:r>
        <w:rPr>
          <w:rFonts w:ascii="Microsoft New Tai Lue" w:hAnsi="Microsoft New Tai Lue" w:cs="Microsoft New Tai Lue"/>
          <w:bCs w:val="0"/>
          <w:color w:val="auto"/>
          <w:sz w:val="24"/>
          <w:szCs w:val="24"/>
          <w:highlight w:val="none"/>
        </w:rPr>
        <w:br w:type="page"/>
      </w:r>
      <w:bookmarkStart w:id="309" w:name="_Toc107246286"/>
      <w:r>
        <w:rPr>
          <w:rFonts w:ascii="Microsoft New Tai Lue" w:hAnsi="Microsoft New Tai Lue" w:cs="Microsoft New Tai Lue"/>
          <w:bCs w:val="0"/>
          <w:color w:val="auto"/>
          <w:sz w:val="24"/>
          <w:szCs w:val="24"/>
          <w:highlight w:val="none"/>
        </w:rPr>
        <w:t>（7-3）</w:t>
      </w:r>
      <w:bookmarkEnd w:id="306"/>
      <w:bookmarkEnd w:id="307"/>
      <w:bookmarkEnd w:id="308"/>
      <w:bookmarkEnd w:id="309"/>
      <w:r>
        <w:rPr>
          <w:rFonts w:hint="eastAsia" w:ascii="Microsoft New Tai Lue" w:hAnsi="Microsoft New Tai Lue" w:cs="Microsoft New Tai Lue"/>
          <w:bCs w:val="0"/>
          <w:color w:val="auto"/>
          <w:sz w:val="24"/>
          <w:szCs w:val="24"/>
          <w:highlight w:val="none"/>
        </w:rPr>
        <w:t>具有履行合同所必需的设备和专业技术能力</w:t>
      </w:r>
    </w:p>
    <w:p w14:paraId="48B3A1B6">
      <w:pPr>
        <w:spacing w:line="360" w:lineRule="auto"/>
        <w:jc w:val="left"/>
        <w:rPr>
          <w:rFonts w:hint="eastAsia" w:ascii="Microsoft New Tai Lue" w:hAnsi="Microsoft New Tai Lue" w:eastAsia="宋体" w:cs="Microsoft New Tai Lue"/>
          <w:b/>
          <w:bCs/>
          <w:color w:val="auto"/>
          <w:highlight w:val="none"/>
          <w:lang w:val="en-US" w:eastAsia="zh-CN"/>
        </w:rPr>
      </w:pPr>
    </w:p>
    <w:p w14:paraId="7FAEC61B">
      <w:pPr>
        <w:spacing w:line="360" w:lineRule="auto"/>
        <w:jc w:val="left"/>
        <w:rPr>
          <w:rFonts w:hint="default" w:ascii="Microsoft New Tai Lue" w:hAnsi="Microsoft New Tai Lue" w:eastAsia="宋体" w:cs="Microsoft New Tai Lue"/>
          <w:b/>
          <w:bCs/>
          <w:color w:val="auto"/>
          <w:highlight w:val="none"/>
          <w:lang w:val="en-US" w:eastAsia="zh-CN"/>
        </w:rPr>
      </w:pPr>
      <w:r>
        <w:rPr>
          <w:rFonts w:hint="eastAsia" w:ascii="Microsoft New Tai Lue" w:hAnsi="Microsoft New Tai Lue" w:eastAsia="宋体" w:cs="Microsoft New Tai Lue"/>
          <w:b/>
          <w:bCs/>
          <w:color w:val="auto"/>
          <w:highlight w:val="none"/>
          <w:lang w:val="en-US" w:eastAsia="zh-CN"/>
        </w:rPr>
        <w:t>注：提供具备履行合同所必需的设备和专业技术能力的证明材料或承诺函（由供应商根据项目需求提供说明材料）</w:t>
      </w:r>
    </w:p>
    <w:p w14:paraId="308EE7BC">
      <w:pPr>
        <w:rPr>
          <w:rFonts w:ascii="Microsoft New Tai Lue" w:hAnsi="Microsoft New Tai Lue" w:cs="Microsoft New Tai Lue"/>
          <w:color w:val="auto"/>
          <w:highlight w:val="none"/>
        </w:rPr>
      </w:pPr>
    </w:p>
    <w:p w14:paraId="483E639F">
      <w:pPr>
        <w:adjustRightInd w:val="0"/>
        <w:spacing w:before="120" w:after="120" w:line="360" w:lineRule="auto"/>
        <w:ind w:firstLine="480"/>
        <w:jc w:val="center"/>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承 诺 函</w:t>
      </w:r>
    </w:p>
    <w:p w14:paraId="744BCF77">
      <w:pPr>
        <w:adjustRightInd w:val="0"/>
        <w:spacing w:before="120" w:after="120" w:line="360" w:lineRule="auto"/>
        <w:ind w:firstLine="480"/>
        <w:jc w:val="left"/>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我单位郑重承诺：我单位具备履行</w:t>
      </w:r>
      <w:r>
        <w:rPr>
          <w:rFonts w:hint="eastAsia" w:ascii="Microsoft New Tai Lue" w:hAnsi="Microsoft New Tai Lue" w:cs="Microsoft New Tai Lue"/>
          <w:color w:val="auto"/>
          <w:highlight w:val="none"/>
          <w:lang w:val="en-US" w:eastAsia="zh-CN"/>
        </w:rPr>
        <w:t>本项</w:t>
      </w:r>
      <w:r>
        <w:rPr>
          <w:rFonts w:ascii="Microsoft New Tai Lue" w:hAnsi="Microsoft New Tai Lue" w:cs="Microsoft New Tai Lue"/>
          <w:color w:val="auto"/>
          <w:highlight w:val="none"/>
        </w:rPr>
        <w:t>采购合同所必需的设备和专业技术能力</w:t>
      </w:r>
      <w:r>
        <w:rPr>
          <w:rFonts w:hint="eastAsia" w:ascii="Microsoft New Tai Lue" w:hAnsi="Microsoft New Tai Lue" w:cs="Microsoft New Tai Lue"/>
          <w:color w:val="auto"/>
          <w:highlight w:val="none"/>
        </w:rPr>
        <w:t>。</w:t>
      </w:r>
    </w:p>
    <w:p w14:paraId="6FC03600">
      <w:pPr>
        <w:adjustRightInd w:val="0"/>
        <w:spacing w:before="120" w:after="120" w:line="360" w:lineRule="auto"/>
        <w:ind w:firstLine="480"/>
        <w:jc w:val="left"/>
        <w:textAlignment w:val="baseline"/>
        <w:rPr>
          <w:rFonts w:ascii="Microsoft New Tai Lue" w:hAnsi="Microsoft New Tai Lue" w:cs="Microsoft New Tai Lue"/>
          <w:color w:val="auto"/>
          <w:highlight w:val="none"/>
        </w:rPr>
      </w:pPr>
    </w:p>
    <w:p w14:paraId="68955BB1">
      <w:pPr>
        <w:adjustRightInd w:val="0"/>
        <w:spacing w:before="120" w:after="120" w:line="360" w:lineRule="auto"/>
        <w:ind w:firstLine="480"/>
        <w:jc w:val="left"/>
        <w:textAlignment w:val="baseline"/>
        <w:rPr>
          <w:rFonts w:ascii="Microsoft New Tai Lue" w:hAnsi="Microsoft New Tai Lue" w:cs="Microsoft New Tai Lue"/>
          <w:color w:val="auto"/>
          <w:highlight w:val="none"/>
        </w:rPr>
      </w:pPr>
    </w:p>
    <w:p w14:paraId="3190E1AF">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lang w:val="en-US" w:eastAsia="zh-CN"/>
        </w:rPr>
        <w:t xml:space="preserve">                                  </w:t>
      </w:r>
      <w:r>
        <w:rPr>
          <w:rFonts w:hint="eastAsia"/>
          <w:color w:val="auto"/>
          <w:szCs w:val="21"/>
          <w:highlight w:val="none"/>
          <w:lang w:val="en-US" w:eastAsia="zh-CN"/>
        </w:rPr>
        <w:t>供应商</w:t>
      </w:r>
      <w:r>
        <w:rPr>
          <w:rFonts w:ascii="Microsoft New Tai Lue" w:hAnsi="Microsoft New Tai Lue" w:cs="Microsoft New Tai Lue"/>
          <w:bCs/>
          <w:color w:val="auto"/>
          <w:highlight w:val="none"/>
        </w:rPr>
        <w:t>名称（</w:t>
      </w:r>
      <w:r>
        <w:rPr>
          <w:rFonts w:hint="eastAsia"/>
          <w:color w:val="auto"/>
          <w:highlight w:val="none"/>
        </w:rPr>
        <w:t>加盖CA电子公章</w:t>
      </w:r>
      <w:r>
        <w:rPr>
          <w:rFonts w:ascii="Microsoft New Tai Lue" w:hAnsi="Microsoft New Tai Lue" w:cs="Microsoft New Tai Lue"/>
          <w:bCs/>
          <w:color w:val="auto"/>
          <w:highlight w:val="none"/>
        </w:rPr>
        <w:t>）：______________</w:t>
      </w:r>
    </w:p>
    <w:p w14:paraId="2A8B4437">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4CCF4891">
      <w:pPr>
        <w:keepNext w:val="0"/>
        <w:keepLines w:val="0"/>
        <w:pageBreakBefore w:val="0"/>
        <w:widowControl w:val="0"/>
        <w:kinsoku/>
        <w:wordWrap/>
        <w:overflowPunct/>
        <w:topLinePunct w:val="0"/>
        <w:autoSpaceDE/>
        <w:autoSpaceDN/>
        <w:bidi w:val="0"/>
        <w:adjustRightInd/>
        <w:snapToGrid/>
        <w:spacing w:line="360" w:lineRule="auto"/>
        <w:ind w:firstLine="3780" w:firstLineChars="1800"/>
        <w:textAlignment w:val="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2BBE72A2">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2F82B752">
      <w:pPr>
        <w:spacing w:line="360" w:lineRule="auto"/>
        <w:rPr>
          <w:rFonts w:ascii="Microsoft New Tai Lue" w:hAnsi="Microsoft New Tai Lue" w:cs="Microsoft New Tai Lue"/>
          <w:b/>
          <w:color w:val="auto"/>
          <w:sz w:val="24"/>
          <w:highlight w:val="none"/>
        </w:rPr>
      </w:pPr>
    </w:p>
    <w:p w14:paraId="5BD506C8">
      <w:pPr>
        <w:spacing w:line="360" w:lineRule="auto"/>
        <w:rPr>
          <w:rFonts w:ascii="Microsoft New Tai Lue" w:hAnsi="Microsoft New Tai Lue" w:cs="Microsoft New Tai Lue"/>
          <w:b/>
          <w:bCs/>
          <w:color w:val="auto"/>
          <w:highlight w:val="none"/>
        </w:rPr>
      </w:pPr>
    </w:p>
    <w:p w14:paraId="6DD4BD2E">
      <w:pPr>
        <w:pStyle w:val="32"/>
        <w:spacing w:line="240" w:lineRule="atLeast"/>
        <w:rPr>
          <w:rFonts w:ascii="Microsoft New Tai Lue" w:hAnsi="Microsoft New Tai Lue" w:eastAsia="黑体" w:cs="Microsoft New Tai Lue"/>
          <w:b w:val="0"/>
          <w:color w:val="auto"/>
          <w:highlight w:val="none"/>
        </w:rPr>
      </w:pPr>
      <w:bookmarkStart w:id="310" w:name="_Toc102117323"/>
      <w:bookmarkStart w:id="311" w:name="_Toc103848591"/>
      <w:r>
        <w:rPr>
          <w:rFonts w:ascii="Microsoft New Tai Lue" w:hAnsi="Microsoft New Tai Lue" w:cs="Microsoft New Tai Lue"/>
          <w:bCs w:val="0"/>
          <w:color w:val="auto"/>
          <w:sz w:val="24"/>
          <w:szCs w:val="24"/>
          <w:highlight w:val="none"/>
        </w:rPr>
        <w:br w:type="page"/>
      </w:r>
      <w:bookmarkStart w:id="312" w:name="_Toc107246287"/>
      <w:bookmarkStart w:id="313" w:name="_Toc104560906"/>
      <w:r>
        <w:rPr>
          <w:rFonts w:ascii="Microsoft New Tai Lue" w:hAnsi="Microsoft New Tai Lue" w:cs="Microsoft New Tai Lue"/>
          <w:bCs w:val="0"/>
          <w:color w:val="auto"/>
          <w:sz w:val="24"/>
          <w:szCs w:val="24"/>
          <w:highlight w:val="none"/>
        </w:rPr>
        <w:t>（7-4）</w:t>
      </w:r>
      <w:bookmarkEnd w:id="310"/>
      <w:bookmarkEnd w:id="311"/>
      <w:bookmarkEnd w:id="312"/>
      <w:bookmarkEnd w:id="313"/>
      <w:r>
        <w:rPr>
          <w:rFonts w:hint="eastAsia" w:ascii="Microsoft New Tai Lue" w:hAnsi="Microsoft New Tai Lue" w:cs="Microsoft New Tai Lue"/>
          <w:bCs w:val="0"/>
          <w:color w:val="auto"/>
          <w:sz w:val="24"/>
          <w:szCs w:val="24"/>
          <w:highlight w:val="none"/>
        </w:rPr>
        <w:t>有依法缴纳税收的良好记录</w:t>
      </w:r>
    </w:p>
    <w:p w14:paraId="06DC9F7F">
      <w:pPr>
        <w:spacing w:line="360" w:lineRule="auto"/>
        <w:jc w:val="left"/>
        <w:rPr>
          <w:rFonts w:ascii="Microsoft New Tai Lue" w:hAnsi="Microsoft New Tai Lue" w:cs="Microsoft New Tai Lue"/>
          <w:b/>
          <w:bCs/>
          <w:color w:val="auto"/>
          <w:highlight w:val="none"/>
        </w:rPr>
      </w:pPr>
    </w:p>
    <w:p w14:paraId="31ECC835">
      <w:pPr>
        <w:spacing w:line="360" w:lineRule="auto"/>
        <w:jc w:val="left"/>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Microsoft New Tai Lue" w:hAnsi="Microsoft New Tai Lue" w:cs="Microsoft New Tai Lue"/>
          <w:b/>
          <w:bCs/>
          <w:color w:val="auto"/>
          <w:highlight w:val="none"/>
        </w:rPr>
        <w:t>提供本次采购活动前6个月内，至少1个月缴纳税收的凭证，依法享受免缴、缓缴的，提供证明材料</w:t>
      </w:r>
      <w:r>
        <w:rPr>
          <w:rFonts w:ascii="Microsoft New Tai Lue" w:hAnsi="Microsoft New Tai Lue" w:cs="Microsoft New Tai Lue"/>
          <w:b/>
          <w:bCs/>
          <w:color w:val="auto"/>
          <w:highlight w:val="none"/>
        </w:rPr>
        <w:t>。</w:t>
      </w:r>
    </w:p>
    <w:p w14:paraId="229EEBA8">
      <w:pPr>
        <w:pStyle w:val="32"/>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r>
      <w:bookmarkStart w:id="314" w:name="_Toc104560907"/>
      <w:bookmarkStart w:id="315" w:name="_Toc107246288"/>
      <w:bookmarkStart w:id="316" w:name="_Toc102117324"/>
      <w:bookmarkStart w:id="317" w:name="_Toc103848592"/>
      <w:r>
        <w:rPr>
          <w:rFonts w:ascii="Microsoft New Tai Lue" w:hAnsi="Microsoft New Tai Lue" w:cs="Microsoft New Tai Lue"/>
          <w:bCs w:val="0"/>
          <w:color w:val="auto"/>
          <w:sz w:val="24"/>
          <w:szCs w:val="24"/>
          <w:highlight w:val="none"/>
        </w:rPr>
        <w:t>（7-5）</w:t>
      </w:r>
      <w:bookmarkEnd w:id="314"/>
      <w:bookmarkEnd w:id="315"/>
      <w:bookmarkEnd w:id="316"/>
      <w:bookmarkEnd w:id="317"/>
      <w:r>
        <w:rPr>
          <w:rFonts w:hint="eastAsia" w:ascii="Microsoft New Tai Lue" w:hAnsi="Microsoft New Tai Lue" w:cs="Microsoft New Tai Lue"/>
          <w:bCs w:val="0"/>
          <w:color w:val="auto"/>
          <w:sz w:val="24"/>
          <w:szCs w:val="24"/>
          <w:highlight w:val="none"/>
        </w:rPr>
        <w:t>有依法缴纳社会保障资金的良好记录</w:t>
      </w:r>
    </w:p>
    <w:p w14:paraId="32B18343">
      <w:pPr>
        <w:spacing w:line="360" w:lineRule="auto"/>
        <w:jc w:val="left"/>
        <w:rPr>
          <w:rFonts w:ascii="Microsoft New Tai Lue" w:hAnsi="Microsoft New Tai Lue" w:cs="Microsoft New Tai Lue"/>
          <w:b/>
          <w:bCs/>
          <w:color w:val="auto"/>
          <w:highlight w:val="none"/>
        </w:rPr>
      </w:pPr>
    </w:p>
    <w:p w14:paraId="01602971">
      <w:pPr>
        <w:spacing w:line="360" w:lineRule="auto"/>
        <w:jc w:val="left"/>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Microsoft New Tai Lue" w:hAnsi="Microsoft New Tai Lue" w:cs="Microsoft New Tai Lue"/>
          <w:b/>
          <w:bCs/>
          <w:color w:val="auto"/>
          <w:highlight w:val="none"/>
        </w:rPr>
        <w:t>：提供本次采购活动前6个月内，至少1个月缴纳社会保险的凭证，依法享受免缴、缓缴的，提供证明材料</w:t>
      </w:r>
      <w:r>
        <w:rPr>
          <w:rFonts w:ascii="Microsoft New Tai Lue" w:hAnsi="Microsoft New Tai Lue" w:cs="Microsoft New Tai Lue"/>
          <w:b/>
          <w:bCs/>
          <w:color w:val="auto"/>
          <w:highlight w:val="none"/>
        </w:rPr>
        <w:t>。</w:t>
      </w:r>
    </w:p>
    <w:p w14:paraId="1E9DD748">
      <w:pPr>
        <w:spacing w:line="360" w:lineRule="auto"/>
        <w:rPr>
          <w:rFonts w:ascii="Microsoft New Tai Lue" w:hAnsi="Microsoft New Tai Lue" w:cs="Microsoft New Tai Lue"/>
          <w:b/>
          <w:bCs/>
          <w:color w:val="auto"/>
          <w:highlight w:val="none"/>
        </w:rPr>
      </w:pPr>
    </w:p>
    <w:p w14:paraId="465BE35B">
      <w:pPr>
        <w:pStyle w:val="32"/>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r>
      <w:bookmarkStart w:id="318" w:name="_Toc104560909"/>
      <w:bookmarkStart w:id="319" w:name="_Toc107246289"/>
      <w:bookmarkStart w:id="320" w:name="_Toc102117325"/>
      <w:bookmarkStart w:id="321" w:name="_Toc103848594"/>
      <w:r>
        <w:rPr>
          <w:rFonts w:ascii="Microsoft New Tai Lue" w:hAnsi="Microsoft New Tai Lue" w:cs="Microsoft New Tai Lue"/>
          <w:bCs w:val="0"/>
          <w:color w:val="auto"/>
          <w:sz w:val="24"/>
          <w:szCs w:val="24"/>
          <w:highlight w:val="none"/>
        </w:rPr>
        <w:t>（7-6）</w:t>
      </w:r>
      <w:bookmarkEnd w:id="318"/>
      <w:bookmarkEnd w:id="319"/>
      <w:bookmarkEnd w:id="320"/>
      <w:bookmarkEnd w:id="321"/>
      <w:r>
        <w:rPr>
          <w:rFonts w:hint="eastAsia" w:ascii="Microsoft New Tai Lue" w:hAnsi="Microsoft New Tai Lue" w:cs="Microsoft New Tai Lue"/>
          <w:bCs w:val="0"/>
          <w:color w:val="auto"/>
          <w:sz w:val="24"/>
          <w:szCs w:val="24"/>
          <w:highlight w:val="none"/>
        </w:rPr>
        <w:t>参加政府采购活动前三年内，在经营活动中没有重大违法记录</w:t>
      </w:r>
    </w:p>
    <w:p w14:paraId="32B8EE74">
      <w:pPr>
        <w:spacing w:line="360" w:lineRule="auto"/>
        <w:rPr>
          <w:rFonts w:ascii="Microsoft New Tai Lue" w:hAnsi="Microsoft New Tai Lue" w:cs="Microsoft New Tai Lue"/>
          <w:b/>
          <w:bCs/>
          <w:color w:val="auto"/>
          <w:highlight w:val="none"/>
        </w:rPr>
      </w:pPr>
    </w:p>
    <w:p w14:paraId="6BFFED62">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Microsoft New Tai Lue" w:hAnsi="Microsoft New Tai Lue" w:cs="Microsoft New Tai Lue"/>
          <w:b/>
          <w:bCs/>
          <w:color w:val="auto"/>
          <w:highlight w:val="none"/>
        </w:rPr>
        <w:t>提供声明函原件（重大违法记录是指供应商因违法经营受到刑事处罚或责令停产停业、吊销许可证或者执照、较大数额罚款等行政处罚）</w:t>
      </w:r>
      <w:r>
        <w:rPr>
          <w:rFonts w:ascii="Microsoft New Tai Lue" w:hAnsi="Microsoft New Tai Lue" w:cs="Microsoft New Tai Lue"/>
          <w:b/>
          <w:bCs/>
          <w:color w:val="auto"/>
          <w:highlight w:val="none"/>
        </w:rPr>
        <w:t>。</w:t>
      </w:r>
    </w:p>
    <w:p w14:paraId="447AFD42">
      <w:pPr>
        <w:adjustRightInd w:val="0"/>
        <w:snapToGrid w:val="0"/>
        <w:spacing w:line="360" w:lineRule="auto"/>
        <w:jc w:val="center"/>
        <w:rPr>
          <w:rFonts w:ascii="Microsoft New Tai Lue" w:hAnsi="Microsoft New Tai Lue" w:eastAsia="黑体" w:cs="Microsoft New Tai Lue"/>
          <w:b/>
          <w:color w:val="auto"/>
          <w:sz w:val="32"/>
          <w:szCs w:val="32"/>
          <w:highlight w:val="none"/>
        </w:rPr>
      </w:pPr>
    </w:p>
    <w:p w14:paraId="098EC1DB">
      <w:pPr>
        <w:adjustRightInd w:val="0"/>
        <w:snapToGrid w:val="0"/>
        <w:spacing w:line="360" w:lineRule="auto"/>
        <w:jc w:val="center"/>
        <w:rPr>
          <w:rFonts w:ascii="Microsoft New Tai Lue" w:hAnsi="Microsoft New Tai Lue" w:eastAsia="黑体" w:cs="Microsoft New Tai Lue"/>
          <w:b/>
          <w:color w:val="auto"/>
          <w:sz w:val="32"/>
          <w:szCs w:val="32"/>
          <w:highlight w:val="none"/>
        </w:rPr>
      </w:pPr>
    </w:p>
    <w:p w14:paraId="6DD02FDF">
      <w:pPr>
        <w:spacing w:line="360" w:lineRule="auto"/>
        <w:jc w:val="center"/>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声  明</w:t>
      </w:r>
    </w:p>
    <w:p w14:paraId="004A8CFF">
      <w:pPr>
        <w:rPr>
          <w:rFonts w:ascii="Microsoft New Tai Lue" w:hAnsi="Microsoft New Tai Lue" w:eastAsia="楷体_GB2312" w:cs="Microsoft New Tai Lue"/>
          <w:color w:val="auto"/>
          <w:sz w:val="28"/>
          <w:szCs w:val="28"/>
          <w:highlight w:val="none"/>
        </w:rPr>
      </w:pPr>
    </w:p>
    <w:p w14:paraId="54FE17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我单位郑重声明：参加本次政府采购活动前 3 年内，我单位在经营活动中没有因违法经营受到刑事处罚或者责令停产停业、吊销许可证或者执照、较大数额罚款等行政处罚。</w:t>
      </w:r>
    </w:p>
    <w:p w14:paraId="154526F7">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p>
    <w:p w14:paraId="455E6E87">
      <w:pPr>
        <w:spacing w:line="360" w:lineRule="auto"/>
        <w:rPr>
          <w:rFonts w:ascii="Microsoft New Tai Lue" w:hAnsi="Microsoft New Tai Lue" w:cs="Microsoft New Tai Lue"/>
          <w:bCs/>
          <w:color w:val="auto"/>
          <w:highlight w:val="none"/>
        </w:rPr>
      </w:pPr>
    </w:p>
    <w:p w14:paraId="7F0BE18E">
      <w:pPr>
        <w:spacing w:line="360" w:lineRule="auto"/>
        <w:rPr>
          <w:rFonts w:ascii="Microsoft New Tai Lue" w:hAnsi="Microsoft New Tai Lue" w:cs="Microsoft New Tai Lue"/>
          <w:bCs/>
          <w:color w:val="auto"/>
          <w:highlight w:val="none"/>
        </w:rPr>
      </w:pPr>
    </w:p>
    <w:p w14:paraId="4A287013">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color w:val="auto"/>
          <w:szCs w:val="21"/>
          <w:highlight w:val="none"/>
          <w:u w:val="single"/>
        </w:rPr>
      </w:pPr>
      <w:r>
        <w:rPr>
          <w:rFonts w:hint="eastAsia"/>
          <w:color w:val="auto"/>
          <w:szCs w:val="21"/>
          <w:highlight w:val="none"/>
          <w:lang w:val="en-US" w:eastAsia="zh-CN"/>
        </w:rPr>
        <w:t>供应商</w:t>
      </w:r>
      <w:r>
        <w:rPr>
          <w:rFonts w:ascii="Microsoft New Tai Lue" w:hAnsi="Microsoft New Tai Lue" w:cs="Microsoft New Tai Lue"/>
          <w:bCs/>
          <w:color w:val="auto"/>
          <w:highlight w:val="none"/>
        </w:rPr>
        <w:t>名称（</w:t>
      </w:r>
      <w:r>
        <w:rPr>
          <w:rFonts w:hint="eastAsia"/>
          <w:color w:val="auto"/>
          <w:highlight w:val="none"/>
        </w:rPr>
        <w:t>加盖CA电子公章</w:t>
      </w:r>
      <w:r>
        <w:rPr>
          <w:rFonts w:ascii="Microsoft New Tai Lue" w:hAnsi="Microsoft New Tai Lue" w:cs="Microsoft New Tai Lue"/>
          <w:bCs/>
          <w:color w:val="auto"/>
          <w:highlight w:val="none"/>
        </w:rPr>
        <w:t>）：</w:t>
      </w:r>
      <w:r>
        <w:rPr>
          <w:rFonts w:ascii="Microsoft New Tai Lue" w:hAnsi="Microsoft New Tai Lue" w:cs="Microsoft New Tai Lue"/>
          <w:color w:val="auto"/>
          <w:szCs w:val="21"/>
          <w:highlight w:val="none"/>
          <w:u w:val="single"/>
        </w:rPr>
        <w:t xml:space="preserve">         </w:t>
      </w:r>
    </w:p>
    <w:p w14:paraId="445C4249">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6EE86A08">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0C40E745">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326AA7B2">
      <w:pPr>
        <w:adjustRightInd w:val="0"/>
        <w:snapToGrid w:val="0"/>
        <w:spacing w:line="360" w:lineRule="auto"/>
        <w:jc w:val="center"/>
        <w:rPr>
          <w:rFonts w:ascii="Microsoft New Tai Lue" w:hAnsi="Microsoft New Tai Lue" w:eastAsia="黑体" w:cs="Microsoft New Tai Lue"/>
          <w:b/>
          <w:color w:val="auto"/>
          <w:sz w:val="32"/>
          <w:szCs w:val="32"/>
          <w:highlight w:val="none"/>
        </w:rPr>
      </w:pPr>
    </w:p>
    <w:p w14:paraId="2A3D610E">
      <w:pPr>
        <w:pStyle w:val="32"/>
        <w:spacing w:line="240" w:lineRule="atLeast"/>
        <w:rPr>
          <w:rFonts w:ascii="Times New Roman" w:hAnsi="Times New Roman"/>
          <w:b w:val="0"/>
          <w:color w:val="auto"/>
          <w:sz w:val="24"/>
          <w:szCs w:val="24"/>
          <w:highlight w:val="none"/>
        </w:rPr>
      </w:pPr>
      <w:r>
        <w:rPr>
          <w:rFonts w:eastAsia="黑体"/>
          <w:b w:val="0"/>
          <w:color w:val="auto"/>
          <w:highlight w:val="none"/>
        </w:rPr>
        <w:br w:type="page"/>
      </w:r>
      <w:bookmarkStart w:id="322" w:name="_Toc104560910"/>
      <w:bookmarkStart w:id="323" w:name="_Toc107246290"/>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7</w:t>
      </w:r>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7</w:t>
      </w:r>
      <w:r>
        <w:rPr>
          <w:rFonts w:hint="eastAsia" w:ascii="Microsoft New Tai Lue" w:hAnsi="Microsoft New Tai Lue" w:cs="Microsoft New Tai Lue"/>
          <w:bCs w:val="0"/>
          <w:color w:val="auto"/>
          <w:sz w:val="24"/>
          <w:szCs w:val="24"/>
          <w:highlight w:val="none"/>
        </w:rPr>
        <w:t>）无不良信用记录承诺函（供应商自行查询适用）</w:t>
      </w:r>
      <w:bookmarkEnd w:id="322"/>
      <w:bookmarkEnd w:id="323"/>
    </w:p>
    <w:p w14:paraId="14E4851A">
      <w:pPr>
        <w:pStyle w:val="79"/>
        <w:spacing w:line="480" w:lineRule="auto"/>
        <w:ind w:firstLine="420"/>
        <w:rPr>
          <w:rFonts w:hint="eastAsia" w:hAnsi="宋体"/>
          <w:color w:val="auto"/>
          <w:sz w:val="21"/>
          <w:szCs w:val="21"/>
          <w:highlight w:val="none"/>
        </w:rPr>
      </w:pPr>
      <w:r>
        <w:rPr>
          <w:rFonts w:hint="eastAsia" w:hAnsi="宋体"/>
          <w:color w:val="auto"/>
          <w:sz w:val="21"/>
          <w:szCs w:val="21"/>
          <w:highlight w:val="none"/>
        </w:rPr>
        <w:t>本单位郑重承诺，我单位无以下不良信用记录情形：</w:t>
      </w:r>
    </w:p>
    <w:p w14:paraId="7713772D">
      <w:pPr>
        <w:pStyle w:val="79"/>
        <w:spacing w:line="480" w:lineRule="auto"/>
        <w:ind w:firstLine="420"/>
        <w:rPr>
          <w:rFonts w:hint="eastAsia" w:hAnsi="宋体"/>
          <w:color w:val="auto"/>
          <w:sz w:val="21"/>
          <w:szCs w:val="21"/>
          <w:highlight w:val="none"/>
        </w:rPr>
      </w:pPr>
      <w:r>
        <w:rPr>
          <w:rFonts w:hAnsi="宋体"/>
          <w:color w:val="auto"/>
          <w:sz w:val="21"/>
          <w:szCs w:val="21"/>
          <w:highlight w:val="none"/>
        </w:rPr>
        <w:t>1.</w:t>
      </w:r>
      <w:r>
        <w:rPr>
          <w:rFonts w:hint="eastAsia" w:hAnsi="宋体"/>
          <w:color w:val="auto"/>
          <w:sz w:val="21"/>
          <w:szCs w:val="21"/>
          <w:highlight w:val="none"/>
        </w:rPr>
        <w:t>被人民法院列入失信被执行人；</w:t>
      </w:r>
    </w:p>
    <w:p w14:paraId="3BD15A8D">
      <w:pPr>
        <w:pStyle w:val="79"/>
        <w:spacing w:line="480" w:lineRule="auto"/>
        <w:ind w:firstLine="420"/>
        <w:rPr>
          <w:rFonts w:hint="eastAsia" w:hAnsi="宋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被税务部门列入重大税收违法案件当事人名单；</w:t>
      </w:r>
    </w:p>
    <w:p w14:paraId="7EAFBB08">
      <w:pPr>
        <w:pStyle w:val="79"/>
        <w:spacing w:line="480" w:lineRule="auto"/>
        <w:ind w:firstLine="420"/>
        <w:rPr>
          <w:rFonts w:hint="eastAsia" w:hAnsi="宋体"/>
          <w:color w:val="auto"/>
          <w:sz w:val="21"/>
          <w:szCs w:val="21"/>
          <w:highlight w:val="none"/>
        </w:rPr>
      </w:pPr>
      <w:r>
        <w:rPr>
          <w:rFonts w:hAnsi="宋体"/>
          <w:color w:val="auto"/>
          <w:sz w:val="21"/>
          <w:szCs w:val="21"/>
          <w:highlight w:val="none"/>
        </w:rPr>
        <w:t>3.</w:t>
      </w:r>
      <w:r>
        <w:rPr>
          <w:rFonts w:hint="eastAsia" w:hAnsi="宋体"/>
          <w:color w:val="auto"/>
          <w:sz w:val="21"/>
          <w:szCs w:val="21"/>
          <w:highlight w:val="none"/>
        </w:rPr>
        <w:t>被政府采购监管部门列入政府采购严重违法失信行为记录名单；</w:t>
      </w:r>
    </w:p>
    <w:p w14:paraId="0225E2A4">
      <w:pPr>
        <w:pStyle w:val="79"/>
        <w:spacing w:line="480" w:lineRule="auto"/>
        <w:ind w:firstLine="420"/>
        <w:rPr>
          <w:rFonts w:hint="eastAsia" w:hAnsi="宋体"/>
          <w:color w:val="auto"/>
          <w:sz w:val="21"/>
          <w:szCs w:val="21"/>
          <w:highlight w:val="none"/>
        </w:rPr>
      </w:pPr>
      <w:r>
        <w:rPr>
          <w:rFonts w:hint="eastAsia" w:hAnsi="宋体"/>
          <w:color w:val="auto"/>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68E466E9">
      <w:pPr>
        <w:pStyle w:val="79"/>
        <w:ind w:firstLine="400"/>
        <w:rPr>
          <w:rFonts w:ascii="Times New Roman" w:hAnsi="Times New Roman" w:eastAsia="等线"/>
          <w:color w:val="auto"/>
          <w:highlight w:val="none"/>
        </w:rPr>
      </w:pPr>
    </w:p>
    <w:p w14:paraId="73307A8B">
      <w:pPr>
        <w:pStyle w:val="79"/>
        <w:ind w:firstLine="400"/>
        <w:rPr>
          <w:rFonts w:ascii="Times New Roman" w:hAnsi="Times New Roman" w:eastAsia="等线"/>
          <w:color w:val="auto"/>
          <w:highlight w:val="none"/>
        </w:rPr>
      </w:pPr>
    </w:p>
    <w:p w14:paraId="4E240A14">
      <w:pPr>
        <w:pStyle w:val="79"/>
        <w:ind w:firstLine="400"/>
        <w:rPr>
          <w:rFonts w:ascii="Times New Roman" w:hAnsi="Times New Roman" w:eastAsia="等线"/>
          <w:color w:val="auto"/>
          <w:highlight w:val="none"/>
        </w:rPr>
      </w:pPr>
    </w:p>
    <w:p w14:paraId="785F3999">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color w:val="auto"/>
          <w:szCs w:val="21"/>
          <w:highlight w:val="none"/>
          <w:u w:val="single"/>
        </w:rPr>
      </w:pPr>
      <w:bookmarkStart w:id="324" w:name="_Toc102117326"/>
      <w:bookmarkStart w:id="325" w:name="_Toc103848596"/>
      <w:r>
        <w:rPr>
          <w:rFonts w:hint="eastAsia"/>
          <w:color w:val="auto"/>
          <w:szCs w:val="21"/>
          <w:highlight w:val="none"/>
          <w:lang w:val="en-US" w:eastAsia="zh-CN"/>
        </w:rPr>
        <w:t>供应商</w:t>
      </w:r>
      <w:r>
        <w:rPr>
          <w:rFonts w:ascii="Microsoft New Tai Lue" w:hAnsi="Microsoft New Tai Lue" w:cs="Microsoft New Tai Lue"/>
          <w:bCs/>
          <w:color w:val="auto"/>
          <w:highlight w:val="none"/>
        </w:rPr>
        <w:t>名称（</w:t>
      </w:r>
      <w:r>
        <w:rPr>
          <w:rFonts w:hint="eastAsia"/>
          <w:color w:val="auto"/>
          <w:highlight w:val="none"/>
        </w:rPr>
        <w:t>加盖CA电子公章</w:t>
      </w:r>
      <w:r>
        <w:rPr>
          <w:rFonts w:ascii="Microsoft New Tai Lue" w:hAnsi="Microsoft New Tai Lue" w:cs="Microsoft New Tai Lue"/>
          <w:bCs/>
          <w:color w:val="auto"/>
          <w:highlight w:val="none"/>
        </w:rPr>
        <w:t>）：</w:t>
      </w:r>
      <w:r>
        <w:rPr>
          <w:rFonts w:ascii="Microsoft New Tai Lue" w:hAnsi="Microsoft New Tai Lue" w:cs="Microsoft New Tai Lue"/>
          <w:color w:val="auto"/>
          <w:szCs w:val="21"/>
          <w:highlight w:val="none"/>
          <w:u w:val="single"/>
        </w:rPr>
        <w:t xml:space="preserve">           </w:t>
      </w:r>
    </w:p>
    <w:p w14:paraId="7C1CADA3">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6706E3E3">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76903627">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4709A19C">
      <w:pPr>
        <w:pStyle w:val="3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r>
      <w:bookmarkStart w:id="326" w:name="_Toc107246291"/>
      <w:bookmarkStart w:id="327" w:name="_Toc104560911"/>
      <w:r>
        <w:rPr>
          <w:rFonts w:ascii="Microsoft New Tai Lue" w:hAnsi="Microsoft New Tai Lue" w:cs="Microsoft New Tai Lue"/>
          <w:bCs w:val="0"/>
          <w:color w:val="auto"/>
          <w:sz w:val="24"/>
          <w:szCs w:val="24"/>
          <w:highlight w:val="none"/>
        </w:rPr>
        <w:t>（7-8）</w:t>
      </w:r>
      <w:bookmarkEnd w:id="324"/>
      <w:r>
        <w:rPr>
          <w:rFonts w:ascii="Microsoft New Tai Lue" w:hAnsi="Microsoft New Tai Lue" w:cs="Microsoft New Tai Lue"/>
          <w:bCs w:val="0"/>
          <w:color w:val="auto"/>
          <w:sz w:val="24"/>
          <w:szCs w:val="24"/>
          <w:highlight w:val="none"/>
        </w:rPr>
        <w:t>招标文件要求的其它实质性资格资信证明文件</w:t>
      </w:r>
      <w:bookmarkEnd w:id="326"/>
      <w:bookmarkEnd w:id="327"/>
    </w:p>
    <w:p w14:paraId="6CC17497">
      <w:pPr>
        <w:pStyle w:val="79"/>
        <w:ind w:firstLine="0" w:firstLineChars="0"/>
        <w:rPr>
          <w:rFonts w:hint="eastAsia" w:hAnsi="宋体"/>
          <w:b/>
          <w:bCs/>
          <w:color w:val="auto"/>
          <w:sz w:val="21"/>
          <w:szCs w:val="21"/>
          <w:highlight w:val="none"/>
        </w:rPr>
      </w:pPr>
      <w:bookmarkStart w:id="328" w:name="_Toc107246292"/>
      <w:r>
        <w:rPr>
          <w:rFonts w:hint="eastAsia" w:hAnsi="宋体"/>
          <w:b/>
          <w:bCs/>
          <w:color w:val="auto"/>
          <w:sz w:val="21"/>
          <w:szCs w:val="21"/>
          <w:highlight w:val="none"/>
          <w:lang w:val="en-US" w:eastAsia="zh-CN"/>
        </w:rPr>
        <w:t>1.</w:t>
      </w:r>
      <w:r>
        <w:rPr>
          <w:rFonts w:hint="eastAsia" w:hAnsi="宋体"/>
          <w:b/>
          <w:bCs/>
          <w:color w:val="auto"/>
          <w:sz w:val="21"/>
          <w:szCs w:val="21"/>
          <w:highlight w:val="none"/>
        </w:rPr>
        <w:t>特定资格条件</w:t>
      </w:r>
    </w:p>
    <w:p w14:paraId="0E765956">
      <w:pPr>
        <w:spacing w:line="360"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1</w:t>
      </w:r>
      <w:r>
        <w:rPr>
          <w:rFonts w:hint="eastAsia"/>
          <w:color w:val="auto"/>
          <w:sz w:val="21"/>
          <w:szCs w:val="21"/>
          <w:highlight w:val="none"/>
          <w:lang w:eastAsia="zh-CN"/>
        </w:rPr>
        <w:t>）供应商</w:t>
      </w:r>
      <w:r>
        <w:rPr>
          <w:rFonts w:hint="eastAsia" w:ascii="Microsoft New Tai Lue" w:hAnsi="Microsoft New Tai Lue" w:cs="Microsoft New Tai Lue"/>
          <w:bCs/>
          <w:color w:val="auto"/>
          <w:szCs w:val="21"/>
          <w:highlight w:val="none"/>
        </w:rPr>
        <w:t>符合《政府购买服务管理办法》（财政部令第102号）第六条</w:t>
      </w:r>
      <w:r>
        <w:rPr>
          <w:rFonts w:hint="eastAsia" w:ascii="Microsoft New Tai Lue" w:hAnsi="Microsoft New Tai Lue" w:cs="Microsoft New Tai Lue"/>
          <w:bCs/>
          <w:color w:val="auto"/>
          <w:szCs w:val="21"/>
          <w:highlight w:val="none"/>
          <w:lang w:val="en-US" w:eastAsia="zh-CN"/>
        </w:rPr>
        <w:t>和</w:t>
      </w:r>
      <w:r>
        <w:rPr>
          <w:rFonts w:hint="eastAsia" w:ascii="Microsoft New Tai Lue" w:hAnsi="Microsoft New Tai Lue" w:cs="Microsoft New Tai Lue"/>
          <w:bCs/>
          <w:color w:val="auto"/>
          <w:szCs w:val="21"/>
          <w:highlight w:val="none"/>
        </w:rPr>
        <w:t>第八条规定</w:t>
      </w:r>
    </w:p>
    <w:p w14:paraId="4DE31FAB">
      <w:pPr>
        <w:spacing w:line="360" w:lineRule="auto"/>
        <w:ind w:firstLine="420" w:firstLineChars="200"/>
        <w:rPr>
          <w:rFonts w:hint="eastAsia"/>
          <w:color w:val="auto"/>
          <w:sz w:val="21"/>
          <w:szCs w:val="21"/>
          <w:highlight w:val="none"/>
          <w:lang w:val="en-US" w:eastAsia="zh-CN"/>
        </w:rPr>
      </w:pPr>
    </w:p>
    <w:p w14:paraId="403CC139">
      <w:pPr>
        <w:spacing w:line="360" w:lineRule="auto"/>
        <w:ind w:firstLine="420" w:firstLineChars="200"/>
        <w:rPr>
          <w:rFonts w:hint="eastAsia"/>
          <w:color w:val="auto"/>
          <w:sz w:val="21"/>
          <w:szCs w:val="21"/>
          <w:highlight w:val="none"/>
          <w:lang w:val="en-US" w:eastAsia="zh-CN"/>
        </w:rPr>
      </w:pPr>
      <w:r>
        <w:rPr>
          <w:rFonts w:hint="eastAsia"/>
          <w:color w:val="auto"/>
          <w:sz w:val="21"/>
          <w:szCs w:val="21"/>
          <w:highlight w:val="none"/>
          <w:lang w:val="en-US" w:eastAsia="zh-CN"/>
        </w:rPr>
        <w:t>注：提供声明函并加盖公章。</w:t>
      </w:r>
    </w:p>
    <w:p w14:paraId="272AF09F">
      <w:pPr>
        <w:adjustRightInd w:val="0"/>
        <w:spacing w:before="120" w:after="120" w:line="360" w:lineRule="auto"/>
        <w:jc w:val="center"/>
        <w:textAlignment w:val="baseline"/>
        <w:rPr>
          <w:rFonts w:ascii="Microsoft New Tai Lue" w:hAnsi="Microsoft New Tai Lue" w:cs="Microsoft New Tai Lue"/>
          <w:color w:val="auto"/>
          <w:sz w:val="44"/>
          <w:szCs w:val="44"/>
          <w:highlight w:val="none"/>
        </w:rPr>
      </w:pPr>
      <w:r>
        <w:rPr>
          <w:rFonts w:hint="eastAsia" w:ascii="Microsoft New Tai Lue" w:hAnsi="Microsoft New Tai Lue" w:cs="Microsoft New Tai Lue"/>
          <w:color w:val="auto"/>
          <w:sz w:val="44"/>
          <w:szCs w:val="44"/>
          <w:highlight w:val="none"/>
        </w:rPr>
        <w:t>声明函</w:t>
      </w:r>
    </w:p>
    <w:p w14:paraId="7EC35C7A">
      <w:pPr>
        <w:pStyle w:val="16"/>
        <w:ind w:left="1260"/>
        <w:rPr>
          <w:color w:val="auto"/>
          <w:highlight w:val="none"/>
        </w:rPr>
      </w:pPr>
    </w:p>
    <w:p w14:paraId="50DC98BC">
      <w:pPr>
        <w:adjustRightInd w:val="0"/>
        <w:spacing w:before="120" w:after="120" w:line="360" w:lineRule="auto"/>
        <w:jc w:val="left"/>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我单位郑重</w:t>
      </w:r>
      <w:r>
        <w:rPr>
          <w:rFonts w:hint="eastAsia" w:ascii="Microsoft New Tai Lue" w:hAnsi="Microsoft New Tai Lue" w:cs="Microsoft New Tai Lue"/>
          <w:color w:val="auto"/>
          <w:highlight w:val="none"/>
        </w:rPr>
        <w:t>声明</w:t>
      </w:r>
      <w:r>
        <w:rPr>
          <w:rFonts w:ascii="Microsoft New Tai Lue" w:hAnsi="Microsoft New Tai Lue" w:cs="Microsoft New Tai Lue"/>
          <w:color w:val="auto"/>
          <w:highlight w:val="none"/>
        </w:rPr>
        <w:t>：</w:t>
      </w:r>
    </w:p>
    <w:p w14:paraId="40A173AE">
      <w:pPr>
        <w:adjustRightInd w:val="0"/>
        <w:spacing w:before="120" w:after="120" w:line="360" w:lineRule="auto"/>
        <w:ind w:firstLine="480"/>
        <w:jc w:val="left"/>
        <w:textAlignment w:val="baseline"/>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rPr>
        <w:t>我单位符合《政府购买服务管理办法》（财政部令第 102号）第六条和第八条规定</w:t>
      </w:r>
      <w:r>
        <w:rPr>
          <w:rFonts w:hint="eastAsia" w:ascii="Microsoft New Tai Lue" w:hAnsi="Microsoft New Tai Lue" w:cs="Microsoft New Tai Lue"/>
          <w:color w:val="auto"/>
          <w:highlight w:val="none"/>
          <w:lang w:val="en-US" w:eastAsia="zh-CN"/>
        </w:rPr>
        <w:t>。</w:t>
      </w:r>
    </w:p>
    <w:p w14:paraId="2A96708D">
      <w:pPr>
        <w:pStyle w:val="16"/>
        <w:ind w:left="1260"/>
        <w:rPr>
          <w:color w:val="auto"/>
          <w:highlight w:val="none"/>
        </w:rPr>
      </w:pPr>
    </w:p>
    <w:p w14:paraId="463A164E">
      <w:pPr>
        <w:rPr>
          <w:color w:val="auto"/>
          <w:highlight w:val="none"/>
        </w:rPr>
      </w:pPr>
    </w:p>
    <w:p w14:paraId="0D4A7B54">
      <w:pPr>
        <w:pStyle w:val="16"/>
        <w:ind w:left="1260"/>
        <w:rPr>
          <w:color w:val="auto"/>
          <w:highlight w:val="none"/>
        </w:rPr>
      </w:pPr>
    </w:p>
    <w:p w14:paraId="22B982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lang w:val="en-US" w:eastAsia="zh-CN"/>
        </w:rPr>
        <w:t xml:space="preserve">    </w:t>
      </w:r>
      <w:r>
        <w:rPr>
          <w:rFonts w:hint="eastAsia" w:ascii="Microsoft New Tai Lue" w:hAnsi="Microsoft New Tai Lue" w:cs="Microsoft New Tai Lue"/>
          <w:bCs/>
          <w:color w:val="auto"/>
          <w:highlight w:val="none"/>
        </w:rPr>
        <w:t xml:space="preserve">     </w:t>
      </w:r>
      <w:r>
        <w:rPr>
          <w:rFonts w:hint="eastAsia"/>
          <w:color w:val="auto"/>
          <w:szCs w:val="21"/>
          <w:highlight w:val="none"/>
          <w:lang w:val="en-US" w:eastAsia="zh-CN"/>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）：________</w:t>
      </w:r>
    </w:p>
    <w:p w14:paraId="2B42C9C2">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1224FC2B">
      <w:pPr>
        <w:keepNext w:val="0"/>
        <w:keepLines w:val="0"/>
        <w:pageBreakBefore w:val="0"/>
        <w:widowControl w:val="0"/>
        <w:kinsoku/>
        <w:wordWrap/>
        <w:overflowPunct/>
        <w:topLinePunct w:val="0"/>
        <w:autoSpaceDE/>
        <w:autoSpaceDN/>
        <w:bidi w:val="0"/>
        <w:adjustRightInd/>
        <w:snapToGrid/>
        <w:spacing w:line="360" w:lineRule="auto"/>
        <w:ind w:firstLine="3780" w:firstLineChars="1800"/>
        <w:textAlignment w:val="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25E30E7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color w:val="auto"/>
          <w:sz w:val="21"/>
          <w:szCs w:val="21"/>
          <w:highlight w:val="none"/>
          <w:lang w:val="en-US" w:eastAsia="zh-CN"/>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55232EE7">
      <w:pPr>
        <w:rPr>
          <w:rFonts w:hint="eastAsia" w:hAnsi="宋体"/>
          <w:b/>
          <w:bCs/>
          <w:color w:val="auto"/>
          <w:sz w:val="21"/>
          <w:szCs w:val="21"/>
          <w:highlight w:val="none"/>
        </w:rPr>
      </w:pPr>
      <w:r>
        <w:rPr>
          <w:rFonts w:hint="eastAsia" w:hAnsi="宋体"/>
          <w:b/>
          <w:bCs/>
          <w:color w:val="auto"/>
          <w:sz w:val="21"/>
          <w:szCs w:val="21"/>
          <w:highlight w:val="none"/>
        </w:rPr>
        <w:br w:type="page"/>
      </w:r>
    </w:p>
    <w:p w14:paraId="0F5393AD">
      <w:pPr>
        <w:pStyle w:val="79"/>
        <w:ind w:firstLine="420"/>
        <w:rPr>
          <w:rFonts w:hAnsi="Times New Roman"/>
          <w:b/>
          <w:color w:val="auto"/>
          <w:position w:val="-10"/>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2</w:t>
      </w:r>
      <w:r>
        <w:rPr>
          <w:rFonts w:hint="eastAsia"/>
          <w:color w:val="auto"/>
          <w:sz w:val="21"/>
          <w:szCs w:val="21"/>
          <w:highlight w:val="none"/>
        </w:rPr>
        <w:t>）供应商具备检验检测机构资质认定证书（CMA），合同履行期限内CMA资质附表中的项目包含所投标包检测内容。</w:t>
      </w:r>
    </w:p>
    <w:p w14:paraId="447724F9">
      <w:pPr>
        <w:spacing w:line="360" w:lineRule="auto"/>
        <w:ind w:firstLine="422" w:firstLineChars="200"/>
        <w:rPr>
          <w:b/>
          <w:color w:val="auto"/>
          <w:highlight w:val="none"/>
        </w:rPr>
      </w:pPr>
    </w:p>
    <w:p w14:paraId="42F9CAD4">
      <w:pPr>
        <w:spacing w:line="360" w:lineRule="auto"/>
        <w:rPr>
          <w:b/>
          <w:color w:val="auto"/>
          <w:highlight w:val="none"/>
        </w:rPr>
      </w:pPr>
      <w:r>
        <w:rPr>
          <w:rFonts w:hint="eastAsia"/>
          <w:b/>
          <w:color w:val="auto"/>
          <w:highlight w:val="none"/>
        </w:rPr>
        <w:t>注</w:t>
      </w:r>
      <w:r>
        <w:rPr>
          <w:b/>
          <w:color w:val="auto"/>
          <w:highlight w:val="none"/>
        </w:rPr>
        <w:t>：</w:t>
      </w:r>
      <w:r>
        <w:rPr>
          <w:rFonts w:hint="eastAsia"/>
          <w:b/>
          <w:color w:val="auto"/>
          <w:highlight w:val="none"/>
        </w:rPr>
        <w:t>提供有效期内的证书复印件并加盖公章和合同履行期限内CMA资质附表中的项目包含所投标包检测内容的承诺函并加盖公章，如证书有效期未能覆盖合同履行期限的，须提供证书有效期能覆盖合同履行期限的承诺函并加盖公章。</w:t>
      </w:r>
    </w:p>
    <w:p w14:paraId="0C7184B1">
      <w:pPr>
        <w:pStyle w:val="16"/>
        <w:ind w:left="1260"/>
        <w:rPr>
          <w:color w:val="auto"/>
          <w:highlight w:val="none"/>
        </w:rPr>
      </w:pPr>
    </w:p>
    <w:p w14:paraId="79C3F8E1">
      <w:pPr>
        <w:rPr>
          <w:color w:val="auto"/>
          <w:highlight w:val="none"/>
        </w:rPr>
      </w:pPr>
    </w:p>
    <w:p w14:paraId="3810D64B">
      <w:pPr>
        <w:adjustRightInd w:val="0"/>
        <w:spacing w:before="120" w:after="120" w:line="360" w:lineRule="auto"/>
        <w:jc w:val="center"/>
        <w:textAlignment w:val="baseline"/>
        <w:rPr>
          <w:rFonts w:hint="eastAsia" w:ascii="Microsoft New Tai Lue" w:hAnsi="Microsoft New Tai Lue" w:eastAsia="宋体" w:cs="Microsoft New Tai Lue"/>
          <w:color w:val="auto"/>
          <w:sz w:val="44"/>
          <w:szCs w:val="44"/>
          <w:highlight w:val="none"/>
          <w:lang w:eastAsia="zh-CN"/>
        </w:rPr>
      </w:pPr>
      <w:r>
        <w:rPr>
          <w:rFonts w:hint="eastAsia" w:ascii="Microsoft New Tai Lue" w:hAnsi="Microsoft New Tai Lue" w:cs="Microsoft New Tai Lue"/>
          <w:color w:val="auto"/>
          <w:sz w:val="44"/>
          <w:szCs w:val="44"/>
          <w:highlight w:val="none"/>
        </w:rPr>
        <w:t>承诺函</w:t>
      </w:r>
    </w:p>
    <w:p w14:paraId="3F88EEA0">
      <w:pPr>
        <w:pStyle w:val="16"/>
        <w:ind w:left="1260"/>
        <w:rPr>
          <w:color w:val="auto"/>
          <w:highlight w:val="none"/>
        </w:rPr>
      </w:pPr>
    </w:p>
    <w:p w14:paraId="0DCD6789">
      <w:pPr>
        <w:adjustRightInd w:val="0"/>
        <w:spacing w:before="120" w:after="120" w:line="360" w:lineRule="auto"/>
        <w:jc w:val="left"/>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我单位郑重承诺：</w:t>
      </w:r>
    </w:p>
    <w:p w14:paraId="7D25782B">
      <w:pPr>
        <w:adjustRightInd w:val="0"/>
        <w:spacing w:before="120" w:after="120" w:line="360" w:lineRule="auto"/>
        <w:ind w:firstLine="480"/>
        <w:jc w:val="left"/>
        <w:textAlignment w:val="baseline"/>
        <w:rPr>
          <w:rFonts w:hint="default" w:ascii="Microsoft New Tai Lue" w:hAnsi="Microsoft New Tai Lue" w:eastAsia="宋体" w:cs="Microsoft New Tai Lue"/>
          <w:color w:val="auto"/>
          <w:highlight w:val="none"/>
          <w:lang w:val="en-US" w:eastAsia="zh-CN"/>
        </w:rPr>
      </w:pPr>
      <w:r>
        <w:rPr>
          <w:rFonts w:hint="default" w:ascii="Microsoft New Tai Lue" w:hAnsi="Microsoft New Tai Lue" w:eastAsia="宋体" w:cs="Microsoft New Tai Lue"/>
          <w:color w:val="auto"/>
          <w:highlight w:val="none"/>
          <w:lang w:val="en-US" w:eastAsia="zh-CN"/>
        </w:rPr>
        <w:t>合同履行期限内CMA资质附表中的项目包含所投标包检测内容。</w:t>
      </w:r>
    </w:p>
    <w:p w14:paraId="320AB1D1">
      <w:pPr>
        <w:pStyle w:val="16"/>
        <w:ind w:left="1260"/>
        <w:rPr>
          <w:color w:val="auto"/>
          <w:highlight w:val="none"/>
        </w:rPr>
      </w:pPr>
    </w:p>
    <w:p w14:paraId="160F8A3D">
      <w:pPr>
        <w:rPr>
          <w:color w:val="auto"/>
          <w:highlight w:val="none"/>
        </w:rPr>
      </w:pPr>
    </w:p>
    <w:p w14:paraId="762A6A07">
      <w:pPr>
        <w:pStyle w:val="16"/>
        <w:ind w:left="1260"/>
        <w:rPr>
          <w:color w:val="auto"/>
          <w:highlight w:val="none"/>
        </w:rPr>
      </w:pPr>
    </w:p>
    <w:p w14:paraId="60537884">
      <w:pPr>
        <w:spacing w:line="360" w:lineRule="auto"/>
        <w:jc w:val="center"/>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lang w:val="en-US" w:eastAsia="zh-CN"/>
        </w:rPr>
        <w:t xml:space="preserve">                               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）：________</w:t>
      </w:r>
    </w:p>
    <w:p w14:paraId="13BB0295">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7E8EEDF6">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3D315407">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55DEB50A">
      <w:pPr>
        <w:spacing w:line="360" w:lineRule="auto"/>
        <w:rPr>
          <w:rFonts w:ascii="Microsoft New Tai Lue" w:hAnsi="Microsoft New Tai Lue" w:cs="Microsoft New Tai Lue"/>
          <w:bCs/>
          <w:color w:val="auto"/>
          <w:highlight w:val="none"/>
        </w:rPr>
      </w:pPr>
    </w:p>
    <w:p w14:paraId="5C52B53B">
      <w:pPr>
        <w:spacing w:line="360" w:lineRule="auto"/>
        <w:rPr>
          <w:rFonts w:ascii="Microsoft New Tai Lue" w:hAnsi="Microsoft New Tai Lue" w:cs="Microsoft New Tai Lue"/>
          <w:bCs/>
          <w:color w:val="auto"/>
          <w:highlight w:val="none"/>
        </w:rPr>
      </w:pPr>
    </w:p>
    <w:p w14:paraId="321C6ADF">
      <w:pPr>
        <w:spacing w:line="360" w:lineRule="auto"/>
        <w:rPr>
          <w:rFonts w:ascii="Microsoft New Tai Lue" w:hAnsi="Microsoft New Tai Lue" w:cs="Microsoft New Tai Lue"/>
          <w:bCs/>
          <w:color w:val="auto"/>
          <w:highlight w:val="none"/>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317" w:charSpace="0"/>
        </w:sectPr>
      </w:pPr>
    </w:p>
    <w:p w14:paraId="1B011887">
      <w:pPr>
        <w:adjustRightInd w:val="0"/>
        <w:spacing w:before="120" w:after="120" w:line="360" w:lineRule="auto"/>
        <w:jc w:val="center"/>
        <w:textAlignment w:val="baseline"/>
        <w:rPr>
          <w:rFonts w:hint="eastAsia" w:ascii="Microsoft New Tai Lue" w:hAnsi="Microsoft New Tai Lue" w:eastAsia="宋体" w:cs="Microsoft New Tai Lue"/>
          <w:color w:val="auto"/>
          <w:sz w:val="44"/>
          <w:szCs w:val="44"/>
          <w:highlight w:val="none"/>
          <w:lang w:eastAsia="zh-CN"/>
        </w:rPr>
      </w:pPr>
      <w:r>
        <w:rPr>
          <w:rFonts w:hint="eastAsia" w:ascii="Microsoft New Tai Lue" w:hAnsi="Microsoft New Tai Lue" w:cs="Microsoft New Tai Lue"/>
          <w:color w:val="auto"/>
          <w:sz w:val="44"/>
          <w:szCs w:val="44"/>
          <w:highlight w:val="none"/>
        </w:rPr>
        <w:t>承诺函</w:t>
      </w:r>
      <w:r>
        <w:rPr>
          <w:rFonts w:hint="eastAsia" w:ascii="Microsoft New Tai Lue" w:hAnsi="Microsoft New Tai Lue" w:cs="Microsoft New Tai Lue"/>
          <w:color w:val="auto"/>
          <w:sz w:val="44"/>
          <w:szCs w:val="44"/>
          <w:highlight w:val="none"/>
          <w:lang w:eastAsia="zh-CN"/>
        </w:rPr>
        <w:t>（</w:t>
      </w:r>
      <w:r>
        <w:rPr>
          <w:rFonts w:hint="eastAsia" w:ascii="Microsoft New Tai Lue" w:hAnsi="Microsoft New Tai Lue" w:cs="Microsoft New Tai Lue"/>
          <w:color w:val="auto"/>
          <w:sz w:val="44"/>
          <w:szCs w:val="44"/>
          <w:highlight w:val="none"/>
          <w:lang w:val="en-US" w:eastAsia="zh-CN"/>
        </w:rPr>
        <w:t>如需</w:t>
      </w:r>
      <w:r>
        <w:rPr>
          <w:rFonts w:hint="eastAsia" w:ascii="Microsoft New Tai Lue" w:hAnsi="Microsoft New Tai Lue" w:cs="Microsoft New Tai Lue"/>
          <w:color w:val="auto"/>
          <w:sz w:val="44"/>
          <w:szCs w:val="44"/>
          <w:highlight w:val="none"/>
          <w:lang w:eastAsia="zh-CN"/>
        </w:rPr>
        <w:t>）</w:t>
      </w:r>
    </w:p>
    <w:p w14:paraId="17B5B5B7">
      <w:pPr>
        <w:pStyle w:val="16"/>
        <w:ind w:left="1260"/>
        <w:rPr>
          <w:color w:val="auto"/>
          <w:highlight w:val="none"/>
        </w:rPr>
      </w:pPr>
    </w:p>
    <w:p w14:paraId="3E4C97E6">
      <w:pPr>
        <w:adjustRightInd w:val="0"/>
        <w:spacing w:before="120" w:after="120" w:line="360" w:lineRule="auto"/>
        <w:jc w:val="left"/>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我单位郑重承诺：</w:t>
      </w:r>
    </w:p>
    <w:p w14:paraId="13851FFA">
      <w:pPr>
        <w:adjustRightInd w:val="0"/>
        <w:spacing w:before="120" w:after="120" w:line="360" w:lineRule="auto"/>
        <w:ind w:firstLine="420" w:firstLineChars="200"/>
        <w:jc w:val="left"/>
        <w:textAlignment w:val="baseline"/>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我单位检验检测机构资质认定证书（CMA）有效期能覆盖合同履行期限。</w:t>
      </w:r>
    </w:p>
    <w:p w14:paraId="64EC281F">
      <w:pPr>
        <w:adjustRightInd w:val="0"/>
        <w:spacing w:before="120" w:after="120" w:line="360" w:lineRule="auto"/>
        <w:ind w:firstLine="480"/>
        <w:jc w:val="left"/>
        <w:textAlignment w:val="baseline"/>
        <w:rPr>
          <w:rFonts w:hint="eastAsia" w:ascii="Microsoft New Tai Lue" w:hAnsi="Microsoft New Tai Lue" w:cs="Microsoft New Tai Lue"/>
          <w:color w:val="auto"/>
          <w:highlight w:val="none"/>
          <w:lang w:val="en-US" w:eastAsia="zh-CN"/>
        </w:rPr>
      </w:pPr>
    </w:p>
    <w:p w14:paraId="6622D577">
      <w:pPr>
        <w:rPr>
          <w:color w:val="auto"/>
          <w:highlight w:val="none"/>
        </w:rPr>
      </w:pPr>
    </w:p>
    <w:p w14:paraId="363C37B6">
      <w:pPr>
        <w:spacing w:line="360" w:lineRule="auto"/>
        <w:jc w:val="center"/>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lang w:val="en-US" w:eastAsia="zh-CN"/>
        </w:rPr>
        <w:t xml:space="preserve">                               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）：________</w:t>
      </w:r>
    </w:p>
    <w:p w14:paraId="702416E7">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0DB0DE35">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046E167B">
      <w:pPr>
        <w:rPr>
          <w:rFonts w:ascii="Microsoft New Tai Lue" w:hAnsi="Microsoft New Tai Lue" w:cs="Microsoft New Tai Lue"/>
          <w:bCs/>
          <w:color w:val="auto"/>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bookmarkEnd w:id="325"/>
    <w:bookmarkEnd w:id="328"/>
    <w:p w14:paraId="3DF590C9">
      <w:pPr>
        <w:spacing w:line="360" w:lineRule="auto"/>
        <w:ind w:firstLine="420" w:firstLineChars="200"/>
        <w:rPr>
          <w:rFonts w:hint="eastAsia"/>
          <w:color w:val="auto"/>
          <w:sz w:val="21"/>
          <w:szCs w:val="21"/>
          <w:highlight w:val="none"/>
        </w:rPr>
      </w:pPr>
      <w:bookmarkStart w:id="329" w:name="_Toc102117330"/>
      <w:bookmarkStart w:id="330" w:name="_Toc103848598"/>
      <w:bookmarkStart w:id="331" w:name="_Toc104560915"/>
      <w:bookmarkStart w:id="332" w:name="_Toc107246296"/>
      <w:r>
        <w:rPr>
          <w:rFonts w:hint="eastAsia"/>
          <w:color w:val="auto"/>
          <w:sz w:val="21"/>
          <w:szCs w:val="21"/>
          <w:highlight w:val="none"/>
        </w:rPr>
        <w:t>（</w:t>
      </w:r>
      <w:r>
        <w:rPr>
          <w:rFonts w:hint="eastAsia"/>
          <w:color w:val="auto"/>
          <w:sz w:val="21"/>
          <w:szCs w:val="21"/>
          <w:highlight w:val="none"/>
          <w:lang w:val="en-US" w:eastAsia="zh-CN"/>
        </w:rPr>
        <w:t>3</w:t>
      </w:r>
      <w:r>
        <w:rPr>
          <w:rFonts w:hint="eastAsia"/>
          <w:color w:val="auto"/>
          <w:sz w:val="21"/>
          <w:szCs w:val="21"/>
          <w:highlight w:val="none"/>
        </w:rPr>
        <w:t>）其他</w:t>
      </w:r>
    </w:p>
    <w:p w14:paraId="58E38B93">
      <w:pPr>
        <w:rPr>
          <w:color w:val="auto"/>
          <w:highlight w:val="none"/>
        </w:rPr>
      </w:pPr>
    </w:p>
    <w:p w14:paraId="32B54953">
      <w:pPr>
        <w:pStyle w:val="16"/>
        <w:ind w:left="1260"/>
        <w:rPr>
          <w:color w:val="auto"/>
          <w:highlight w:val="none"/>
        </w:rPr>
      </w:pPr>
    </w:p>
    <w:p w14:paraId="2E93386B">
      <w:pPr>
        <w:widowControl/>
        <w:jc w:val="left"/>
        <w:rPr>
          <w:rFonts w:ascii="Microsoft New Tai Lue" w:hAnsi="Microsoft New Tai Lue" w:cs="Microsoft New Tai Lue"/>
          <w:b/>
          <w:bCs/>
          <w:color w:val="auto"/>
          <w:sz w:val="24"/>
          <w:highlight w:val="none"/>
        </w:rPr>
      </w:pPr>
      <w:r>
        <w:rPr>
          <w:rFonts w:ascii="Microsoft New Tai Lue" w:hAnsi="Microsoft New Tai Lue" w:cs="Microsoft New Tai Lue"/>
          <w:color w:val="auto"/>
          <w:sz w:val="24"/>
          <w:highlight w:val="none"/>
        </w:rPr>
        <w:br w:type="page"/>
      </w:r>
    </w:p>
    <w:p w14:paraId="7D82F676">
      <w:pPr>
        <w:pStyle w:val="32"/>
        <w:spacing w:before="0" w:after="0" w:line="360" w:lineRule="auto"/>
        <w:rPr>
          <w:rFonts w:ascii="Microsoft New Tai Lue" w:hAnsi="Microsoft New Tai Lue" w:cs="Microsoft New Tai Lue"/>
          <w:b w:val="0"/>
          <w:color w:val="auto"/>
          <w:sz w:val="24"/>
          <w:szCs w:val="24"/>
          <w:highlight w:val="none"/>
        </w:rPr>
      </w:pPr>
      <w:r>
        <w:rPr>
          <w:rFonts w:ascii="Microsoft New Tai Lue" w:hAnsi="Microsoft New Tai Lue" w:cs="Microsoft New Tai Lue"/>
          <w:color w:val="auto"/>
          <w:sz w:val="24"/>
          <w:szCs w:val="24"/>
          <w:highlight w:val="none"/>
        </w:rPr>
        <w:t>（8）公章授权书（如需）</w:t>
      </w:r>
      <w:bookmarkEnd w:id="329"/>
      <w:bookmarkEnd w:id="330"/>
      <w:bookmarkEnd w:id="331"/>
      <w:bookmarkEnd w:id="332"/>
    </w:p>
    <w:p w14:paraId="42D3F0AB">
      <w:pPr>
        <w:pStyle w:val="79"/>
        <w:ind w:firstLine="0" w:firstLineChars="0"/>
        <w:rPr>
          <w:rFonts w:ascii="Microsoft New Tai Lue" w:hAnsi="Microsoft New Tai Lue" w:cs="Microsoft New Tai Lue"/>
          <w:b/>
          <w:color w:val="auto"/>
          <w:sz w:val="21"/>
          <w:szCs w:val="21"/>
          <w:highlight w:val="none"/>
        </w:rPr>
      </w:pPr>
    </w:p>
    <w:p w14:paraId="48C37992">
      <w:pPr>
        <w:pStyle w:val="79"/>
        <w:ind w:firstLine="0" w:firstLineChars="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______________________（采购人）</w:t>
      </w:r>
    </w:p>
    <w:p w14:paraId="0224E10B">
      <w:pPr>
        <w:pStyle w:val="79"/>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u w:val="single"/>
          <w:lang w:val="en-US" w:eastAsia="zh-CN"/>
        </w:rPr>
        <w:t xml:space="preserve">       （供应商名称）     </w:t>
      </w:r>
      <w:r>
        <w:rPr>
          <w:rFonts w:ascii="Microsoft New Tai Lue" w:hAnsi="Microsoft New Tai Lue" w:cs="Microsoft New Tai Lue"/>
          <w:color w:val="auto"/>
          <w:sz w:val="21"/>
          <w:szCs w:val="21"/>
          <w:highlight w:val="none"/>
        </w:rPr>
        <w:t>，中华人民共和国合法企业，法定地址：____________________。在参与_____</w:t>
      </w:r>
      <w:r>
        <w:rPr>
          <w:rFonts w:hint="eastAsia" w:ascii="Microsoft New Tai Lue" w:hAnsi="Microsoft New Tai Lue" w:cs="Microsoft New Tai Lue"/>
          <w:color w:val="auto"/>
          <w:sz w:val="21"/>
          <w:szCs w:val="21"/>
          <w:highlight w:val="none"/>
          <w:u w:val="single"/>
          <w:lang w:eastAsia="zh-CN"/>
        </w:rPr>
        <w:t>（</w:t>
      </w:r>
      <w:r>
        <w:rPr>
          <w:rFonts w:ascii="Microsoft New Tai Lue" w:hAnsi="Microsoft New Tai Lue" w:cs="Microsoft New Tai Lue"/>
          <w:color w:val="auto"/>
          <w:sz w:val="21"/>
          <w:szCs w:val="21"/>
          <w:highlight w:val="none"/>
          <w:u w:val="single"/>
        </w:rPr>
        <w:t>项目名称</w:t>
      </w:r>
      <w:r>
        <w:rPr>
          <w:rFonts w:hint="eastAsia" w:ascii="Microsoft New Tai Lue" w:hAnsi="Microsoft New Tai Lue" w:cs="Microsoft New Tai Lue"/>
          <w:color w:val="auto"/>
          <w:sz w:val="21"/>
          <w:szCs w:val="21"/>
          <w:highlight w:val="none"/>
          <w:u w:val="single"/>
          <w:lang w:eastAsia="zh-CN"/>
        </w:rPr>
        <w:t>）（</w:t>
      </w:r>
      <w:r>
        <w:rPr>
          <w:rFonts w:ascii="Microsoft New Tai Lue" w:hAnsi="Microsoft New Tai Lue" w:cs="Microsoft New Tai Lue"/>
          <w:color w:val="auto"/>
          <w:sz w:val="21"/>
          <w:szCs w:val="21"/>
          <w:highlight w:val="none"/>
          <w:u w:val="single"/>
        </w:rPr>
        <w:t>项目编号</w:t>
      </w:r>
      <w:r>
        <w:rPr>
          <w:rFonts w:hint="eastAsia" w:ascii="Microsoft New Tai Lue" w:hAnsi="Microsoft New Tai Lue" w:cs="Microsoft New Tai Lue"/>
          <w:color w:val="auto"/>
          <w:sz w:val="21"/>
          <w:szCs w:val="21"/>
          <w:highlight w:val="none"/>
          <w:u w:val="single"/>
          <w:lang w:eastAsia="zh-CN"/>
        </w:rPr>
        <w:t>）（</w:t>
      </w:r>
      <w:r>
        <w:rPr>
          <w:rFonts w:hint="eastAsia" w:ascii="Microsoft New Tai Lue" w:hAnsi="Microsoft New Tai Lue" w:cs="Microsoft New Tai Lue"/>
          <w:color w:val="auto"/>
          <w:sz w:val="21"/>
          <w:szCs w:val="21"/>
          <w:highlight w:val="none"/>
          <w:u w:val="single"/>
        </w:rPr>
        <w:t>包号</w:t>
      </w:r>
      <w:r>
        <w:rPr>
          <w:rFonts w:hint="eastAsia" w:ascii="Microsoft New Tai Lue" w:hAnsi="Microsoft New Tai Lue" w:cs="Microsoft New Tai Lue"/>
          <w:color w:val="auto"/>
          <w:sz w:val="21"/>
          <w:szCs w:val="21"/>
          <w:highlight w:val="none"/>
          <w:u w:val="single"/>
          <w:lang w:eastAsia="zh-CN"/>
        </w:rPr>
        <w:t>）</w:t>
      </w:r>
      <w:r>
        <w:rPr>
          <w:rFonts w:ascii="Microsoft New Tai Lue" w:hAnsi="Microsoft New Tai Lue" w:cs="Microsoft New Tai Lue"/>
          <w:color w:val="auto"/>
          <w:sz w:val="21"/>
          <w:szCs w:val="21"/>
          <w:highlight w:val="none"/>
        </w:rPr>
        <w:t>_____协商活动中，我单位授权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（样式附后）在此次活动中代为公章使用。</w:t>
      </w:r>
    </w:p>
    <w:p w14:paraId="0FA2E48C">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所签署的投标文件、澄清等，我单位承认并同意具备与我单位公章签署等同的法律效力。</w:t>
      </w:r>
    </w:p>
    <w:p w14:paraId="6970707C">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（其他形式的印章名称）</w:t>
      </w:r>
      <w:r>
        <w:rPr>
          <w:rFonts w:ascii="Microsoft New Tai Lue" w:hAnsi="Microsoft New Tai Lue" w:cs="Microsoft New Tai Lue"/>
          <w:color w:val="auto"/>
          <w:sz w:val="21"/>
          <w:szCs w:val="21"/>
          <w:highlight w:val="none"/>
        </w:rPr>
        <w:t>签署的所有文件、协议不因授权的撤销而失效。</w:t>
      </w:r>
    </w:p>
    <w:p w14:paraId="64FEA740">
      <w:pPr>
        <w:pStyle w:val="79"/>
        <w:ind w:right="840" w:firstLine="0" w:firstLineChars="0"/>
        <w:rPr>
          <w:rFonts w:ascii="Microsoft New Tai Lue" w:hAnsi="Microsoft New Tai Lue" w:cs="Microsoft New Tai Lue"/>
          <w:color w:val="auto"/>
          <w:sz w:val="21"/>
          <w:szCs w:val="21"/>
          <w:highlight w:val="none"/>
        </w:rPr>
      </w:pPr>
    </w:p>
    <w:p w14:paraId="45D09F83">
      <w:pPr>
        <w:pStyle w:val="79"/>
        <w:ind w:right="840" w:firstLine="199" w:firstLineChars="95"/>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其他形式的印章名称：______________</w:t>
      </w:r>
    </w:p>
    <w:p w14:paraId="27F13650">
      <w:pPr>
        <w:pStyle w:val="79"/>
        <w:ind w:right="420" w:firstLine="190" w:firstLineChars="95"/>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s">
            <w:drawing>
              <wp:anchor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14:paraId="01EF312D"/>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81pt;margin-top:8.85pt;height:178.05pt;width:180.75pt;mso-wrap-distance-bottom:3.6pt;mso-wrap-distance-left:9pt;mso-wrap-distance-right:9pt;mso-wrap-distance-top:3.6pt;z-index:251659264;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09v33NkAAAAKAQAADwAAAAAAAAABACAAAAAiAAAA&#10;ZHJzL2Rvd25yZXYueG1sUEsBAhQAFAAAAAgAh07iQGVVKjc/AgAAiAQAAA4AAAAAAAAAAQAgAAAA&#10;KAEAAGRycy9lMm9Eb2MueG1sUEsFBgAAAAAGAAYAWQEAANkFAAAAAA==&#10;">
                <v:fill on="t" focussize="0,0"/>
                <v:stroke color="#000000" miterlimit="8" joinstyle="miter"/>
                <v:imagedata o:title=""/>
                <o:lock v:ext="edit" aspectratio="f"/>
                <v:textbox>
                  <w:txbxContent>
                    <w:p w14:paraId="01EF312D"/>
                  </w:txbxContent>
                </v:textbox>
                <w10:wrap type="square"/>
              </v:shape>
            </w:pict>
          </mc:Fallback>
        </mc:AlternateContent>
      </w:r>
      <w:r>
        <w:rPr>
          <w:rFonts w:ascii="Microsoft New Tai Lue" w:hAnsi="Microsoft New Tai Lue" w:cs="Microsoft New Tai Lue"/>
          <w:color w:val="auto"/>
          <w:sz w:val="21"/>
          <w:szCs w:val="21"/>
          <w:highlight w:val="none"/>
        </w:rPr>
        <w:t>印章样式：</w:t>
      </w:r>
    </w:p>
    <w:p w14:paraId="7F1E39C3">
      <w:pPr>
        <w:pStyle w:val="79"/>
        <w:ind w:right="420" w:firstLine="4819" w:firstLineChars="2295"/>
        <w:rPr>
          <w:rFonts w:ascii="Microsoft New Tai Lue" w:hAnsi="Microsoft New Tai Lue" w:cs="Microsoft New Tai Lue"/>
          <w:color w:val="auto"/>
          <w:sz w:val="21"/>
          <w:szCs w:val="21"/>
          <w:highlight w:val="none"/>
        </w:rPr>
      </w:pPr>
    </w:p>
    <w:p w14:paraId="6068D067">
      <w:pPr>
        <w:pStyle w:val="79"/>
        <w:ind w:right="420" w:firstLine="4819" w:firstLineChars="2295"/>
        <w:rPr>
          <w:rFonts w:ascii="Microsoft New Tai Lue" w:hAnsi="Microsoft New Tai Lue" w:cs="Microsoft New Tai Lue"/>
          <w:color w:val="auto"/>
          <w:sz w:val="21"/>
          <w:szCs w:val="21"/>
          <w:highlight w:val="none"/>
        </w:rPr>
      </w:pPr>
    </w:p>
    <w:p w14:paraId="1511EBC7">
      <w:pPr>
        <w:pStyle w:val="79"/>
        <w:ind w:right="420" w:firstLine="4819" w:firstLineChars="2295"/>
        <w:rPr>
          <w:rFonts w:ascii="Microsoft New Tai Lue" w:hAnsi="Microsoft New Tai Lue" w:cs="Microsoft New Tai Lue"/>
          <w:color w:val="auto"/>
          <w:sz w:val="21"/>
          <w:szCs w:val="21"/>
          <w:highlight w:val="none"/>
        </w:rPr>
      </w:pPr>
    </w:p>
    <w:p w14:paraId="42DD2B3C">
      <w:pPr>
        <w:pStyle w:val="79"/>
        <w:spacing w:line="276" w:lineRule="auto"/>
        <w:ind w:right="420" w:firstLine="3150" w:firstLineChars="1500"/>
        <w:jc w:val="left"/>
        <w:rPr>
          <w:rFonts w:hint="eastAsia" w:ascii="Microsoft New Tai Lue" w:hAnsi="Microsoft New Tai Lue" w:cs="Microsoft New Tai Lue"/>
          <w:color w:val="auto"/>
          <w:sz w:val="21"/>
          <w:szCs w:val="21"/>
          <w:highlight w:val="none"/>
        </w:rPr>
      </w:pPr>
    </w:p>
    <w:p w14:paraId="50997A6D">
      <w:pPr>
        <w:pStyle w:val="79"/>
        <w:spacing w:line="276" w:lineRule="auto"/>
        <w:ind w:right="420" w:firstLine="3150" w:firstLineChars="1500"/>
        <w:jc w:val="left"/>
        <w:rPr>
          <w:rFonts w:hint="eastAsia" w:ascii="Microsoft New Tai Lue" w:hAnsi="Microsoft New Tai Lue" w:cs="Microsoft New Tai Lue"/>
          <w:color w:val="auto"/>
          <w:sz w:val="21"/>
          <w:szCs w:val="21"/>
          <w:highlight w:val="none"/>
        </w:rPr>
      </w:pPr>
    </w:p>
    <w:p w14:paraId="69A8FF09">
      <w:pPr>
        <w:pStyle w:val="79"/>
        <w:spacing w:line="276" w:lineRule="auto"/>
        <w:ind w:right="420" w:firstLine="3150" w:firstLineChars="1500"/>
        <w:jc w:val="left"/>
        <w:rPr>
          <w:rFonts w:hint="eastAsia" w:ascii="Microsoft New Tai Lue" w:hAnsi="Microsoft New Tai Lue" w:cs="Microsoft New Tai Lue"/>
          <w:color w:val="auto"/>
          <w:sz w:val="21"/>
          <w:szCs w:val="21"/>
          <w:highlight w:val="none"/>
        </w:rPr>
      </w:pPr>
    </w:p>
    <w:p w14:paraId="75C6B1A6">
      <w:pPr>
        <w:pStyle w:val="79"/>
        <w:spacing w:line="276" w:lineRule="auto"/>
        <w:ind w:right="420" w:firstLine="3150" w:firstLineChars="1500"/>
        <w:jc w:val="left"/>
        <w:rPr>
          <w:rFonts w:hint="eastAsia" w:ascii="Microsoft New Tai Lue" w:hAnsi="Microsoft New Tai Lue" w:cs="Microsoft New Tai Lue"/>
          <w:color w:val="auto"/>
          <w:sz w:val="21"/>
          <w:szCs w:val="21"/>
          <w:highlight w:val="none"/>
        </w:rPr>
      </w:pPr>
    </w:p>
    <w:p w14:paraId="2D1F1AB8">
      <w:pPr>
        <w:pStyle w:val="79"/>
        <w:spacing w:line="276" w:lineRule="auto"/>
        <w:ind w:right="420" w:firstLine="3150" w:firstLineChars="1500"/>
        <w:jc w:val="left"/>
        <w:rPr>
          <w:rFonts w:hint="eastAsia" w:ascii="Microsoft New Tai Lue" w:hAnsi="Microsoft New Tai Lue" w:cs="Microsoft New Tai Lue"/>
          <w:color w:val="auto"/>
          <w:sz w:val="21"/>
          <w:szCs w:val="21"/>
          <w:highlight w:val="none"/>
        </w:rPr>
      </w:pPr>
    </w:p>
    <w:p w14:paraId="1A89635B">
      <w:pPr>
        <w:pStyle w:val="79"/>
        <w:spacing w:line="276" w:lineRule="auto"/>
        <w:ind w:right="420" w:firstLine="3150" w:firstLineChars="1500"/>
        <w:jc w:val="left"/>
        <w:rPr>
          <w:rFonts w:ascii="Microsoft New Tai Lue" w:hAnsi="Microsoft New Tai Lue" w:cs="Microsoft New Tai Lue"/>
          <w:color w:val="auto"/>
          <w:sz w:val="21"/>
          <w:szCs w:val="21"/>
          <w:highlight w:val="none"/>
          <w:u w:val="singl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rPr>
        <w:t>加盖CA电子公章</w:t>
      </w:r>
      <w:r>
        <w:rPr>
          <w:rFonts w:ascii="Microsoft New Tai Lue" w:hAnsi="Microsoft New Tai Lue" w:cs="Microsoft New Tai Lue"/>
          <w:color w:val="auto"/>
          <w:sz w:val="21"/>
          <w:szCs w:val="21"/>
          <w:highlight w:val="none"/>
        </w:rPr>
        <w:t>）：</w:t>
      </w:r>
      <w:r>
        <w:rPr>
          <w:rFonts w:ascii="Microsoft New Tai Lue" w:hAnsi="Microsoft New Tai Lue" w:cs="Microsoft New Tai Lue"/>
          <w:color w:val="auto"/>
          <w:sz w:val="21"/>
          <w:szCs w:val="21"/>
          <w:highlight w:val="none"/>
          <w:u w:val="single"/>
        </w:rPr>
        <w:t xml:space="preserve">           </w:t>
      </w:r>
    </w:p>
    <w:p w14:paraId="6D31BD9A">
      <w:pPr>
        <w:pStyle w:val="79"/>
        <w:spacing w:line="276" w:lineRule="auto"/>
        <w:ind w:right="420" w:firstLine="3150" w:firstLineChars="15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4001AD10">
      <w:pPr>
        <w:pStyle w:val="79"/>
        <w:spacing w:line="276" w:lineRule="auto"/>
        <w:ind w:right="420" w:firstLine="3150" w:firstLineChars="15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或其授权代表（签字或盖章）：_________________</w:t>
      </w:r>
    </w:p>
    <w:p w14:paraId="76FB84B4">
      <w:pPr>
        <w:spacing w:line="276" w:lineRule="auto"/>
        <w:jc w:val="left"/>
        <w:rPr>
          <w:rFonts w:ascii="Microsoft New Tai Lue" w:hAnsi="Microsoft New Tai Lue" w:cs="Microsoft New Tai Lue"/>
          <w:bCs/>
          <w:color w:val="auto"/>
          <w:highlight w:val="none"/>
        </w:r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35F84ED6">
      <w:pPr>
        <w:spacing w:line="276" w:lineRule="auto"/>
        <w:jc w:val="left"/>
        <w:rPr>
          <w:rFonts w:ascii="Microsoft New Tai Lue" w:hAnsi="Microsoft New Tai Lue" w:eastAsia="黑体" w:cs="Microsoft New Tai Lue"/>
          <w:b/>
          <w:color w:val="auto"/>
          <w:sz w:val="32"/>
          <w:szCs w:val="32"/>
          <w:highlight w:val="none"/>
        </w:rPr>
      </w:pPr>
    </w:p>
    <w:p w14:paraId="69316C0E">
      <w:pPr>
        <w:pStyle w:val="32"/>
        <w:rPr>
          <w:rFonts w:ascii="Microsoft New Tai Lue" w:hAnsi="Microsoft New Tai Lue" w:cs="Microsoft New Tai Lue"/>
          <w:color w:val="auto"/>
          <w:sz w:val="24"/>
          <w:szCs w:val="24"/>
          <w:highlight w:val="none"/>
        </w:rPr>
      </w:pPr>
      <w:r>
        <w:rPr>
          <w:color w:val="auto"/>
          <w:highlight w:val="none"/>
        </w:rPr>
        <w:br w:type="page"/>
      </w:r>
      <w:r>
        <w:rPr>
          <w:rFonts w:hint="eastAsia" w:ascii="Microsoft New Tai Lue" w:hAnsi="Microsoft New Tai Lue" w:cs="Microsoft New Tai Lue"/>
          <w:color w:val="auto"/>
          <w:sz w:val="24"/>
          <w:szCs w:val="24"/>
          <w:highlight w:val="none"/>
        </w:rPr>
        <w:t>（</w:t>
      </w:r>
      <w:r>
        <w:rPr>
          <w:rFonts w:hint="eastAsia" w:ascii="Microsoft New Tai Lue" w:hAnsi="Microsoft New Tai Lue" w:cs="Microsoft New Tai Lue"/>
          <w:color w:val="auto"/>
          <w:sz w:val="24"/>
          <w:szCs w:val="24"/>
          <w:highlight w:val="none"/>
          <w:lang w:val="en-US" w:eastAsia="zh-CN"/>
        </w:rPr>
        <w:t>9</w:t>
      </w:r>
      <w:r>
        <w:rPr>
          <w:rFonts w:hint="eastAsia" w:ascii="Microsoft New Tai Lue" w:hAnsi="Microsoft New Tai Lue" w:cs="Microsoft New Tai Lue"/>
          <w:color w:val="auto"/>
          <w:sz w:val="24"/>
          <w:szCs w:val="24"/>
          <w:highlight w:val="none"/>
        </w:rPr>
        <w:t>）工作业绩</w:t>
      </w:r>
    </w:p>
    <w:tbl>
      <w:tblPr>
        <w:tblStyle w:val="34"/>
        <w:tblW w:w="9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5"/>
        <w:gridCol w:w="2655"/>
        <w:gridCol w:w="2587"/>
        <w:gridCol w:w="1541"/>
        <w:gridCol w:w="1541"/>
        <w:gridCol w:w="712"/>
      </w:tblGrid>
      <w:tr w14:paraId="29032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25" w:type="dxa"/>
            <w:vAlign w:val="center"/>
          </w:tcPr>
          <w:p w14:paraId="5BA2EE9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655" w:type="dxa"/>
            <w:vAlign w:val="center"/>
          </w:tcPr>
          <w:p w14:paraId="695CA0A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587" w:type="dxa"/>
            <w:vAlign w:val="center"/>
          </w:tcPr>
          <w:p w14:paraId="7BD0829A">
            <w:pPr>
              <w:keepNext w:val="0"/>
              <w:keepLines w:val="0"/>
              <w:suppressLineNumbers w:val="0"/>
              <w:spacing w:before="0" w:beforeAutospacing="0" w:after="0" w:afterAutospacing="0"/>
              <w:ind w:left="0" w:right="0"/>
              <w:jc w:val="center"/>
              <w:rPr>
                <w:rFonts w:hint="default" w:ascii="Microsoft New Tai Lue" w:hAnsi="Microsoft New Tai Lue" w:cs="Microsoft New Tai Lue"/>
                <w:color w:val="auto"/>
                <w:szCs w:val="21"/>
                <w:highlight w:val="none"/>
              </w:rPr>
            </w:pPr>
            <w:r>
              <w:rPr>
                <w:rFonts w:hint="eastAsia" w:ascii="宋体" w:hAnsi="宋体" w:cs="宋体"/>
                <w:color w:val="auto"/>
                <w:szCs w:val="21"/>
                <w:highlight w:val="none"/>
              </w:rPr>
              <w:t>报告份数</w:t>
            </w:r>
          </w:p>
        </w:tc>
        <w:tc>
          <w:tcPr>
            <w:tcW w:w="1541" w:type="dxa"/>
            <w:vAlign w:val="center"/>
          </w:tcPr>
          <w:p w14:paraId="2FAB1369">
            <w:pPr>
              <w:keepNext w:val="0"/>
              <w:keepLines w:val="0"/>
              <w:suppressLineNumbers w:val="0"/>
              <w:spacing w:before="0" w:beforeAutospacing="0" w:after="0" w:afterAutospacing="0"/>
              <w:ind w:left="0" w:right="0"/>
              <w:jc w:val="center"/>
              <w:rPr>
                <w:rFonts w:hint="default"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委托合同签订时间</w:t>
            </w:r>
          </w:p>
        </w:tc>
        <w:tc>
          <w:tcPr>
            <w:tcW w:w="1541" w:type="dxa"/>
            <w:vAlign w:val="center"/>
          </w:tcPr>
          <w:p w14:paraId="1ED6FDE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712" w:type="dxa"/>
            <w:vAlign w:val="center"/>
          </w:tcPr>
          <w:p w14:paraId="3EB27250">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74655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525" w:type="dxa"/>
            <w:vAlign w:val="center"/>
          </w:tcPr>
          <w:p w14:paraId="6D84423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55" w:type="dxa"/>
            <w:vAlign w:val="center"/>
          </w:tcPr>
          <w:p w14:paraId="60BC8940">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r>
              <w:rPr>
                <w:rFonts w:hint="eastAsia" w:ascii="宋体" w:hAnsi="宋体"/>
                <w:color w:val="auto"/>
                <w:szCs w:val="21"/>
                <w:highlight w:val="none"/>
                <w:lang w:bidi="zh-CN"/>
              </w:rPr>
              <w:t>上一年度（202</w:t>
            </w:r>
            <w:r>
              <w:rPr>
                <w:rFonts w:hint="eastAsia" w:ascii="宋体" w:hAnsi="宋体"/>
                <w:color w:val="auto"/>
                <w:szCs w:val="21"/>
                <w:highlight w:val="none"/>
                <w:lang w:val="en-US" w:bidi="zh-CN"/>
              </w:rPr>
              <w:t>5</w:t>
            </w:r>
            <w:r>
              <w:rPr>
                <w:rFonts w:hint="eastAsia" w:ascii="宋体" w:hAnsi="宋体"/>
                <w:color w:val="auto"/>
                <w:szCs w:val="21"/>
                <w:highlight w:val="none"/>
                <w:lang w:bidi="zh-CN"/>
              </w:rPr>
              <w:t>年</w:t>
            </w:r>
            <w:r>
              <w:rPr>
                <w:rFonts w:hint="eastAsia" w:ascii="宋体" w:hAnsi="宋体"/>
                <w:color w:val="auto"/>
                <w:szCs w:val="21"/>
                <w:highlight w:val="none"/>
                <w:lang w:val="en-US" w:bidi="zh-CN"/>
              </w:rPr>
              <w:t>7月1日以来</w:t>
            </w:r>
            <w:r>
              <w:rPr>
                <w:rFonts w:hint="eastAsia" w:ascii="宋体" w:hAnsi="宋体"/>
                <w:color w:val="auto"/>
                <w:szCs w:val="21"/>
                <w:highlight w:val="none"/>
                <w:lang w:bidi="zh-CN"/>
              </w:rPr>
              <w:t>，以委托合同签订时间为准），供应商承担过类似本项目的食品安全抽检监测任务所出具的报告份数</w:t>
            </w:r>
          </w:p>
        </w:tc>
        <w:tc>
          <w:tcPr>
            <w:tcW w:w="2587" w:type="dxa"/>
            <w:vAlign w:val="center"/>
          </w:tcPr>
          <w:p w14:paraId="7435B77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w:t>
            </w:r>
          </w:p>
        </w:tc>
        <w:tc>
          <w:tcPr>
            <w:tcW w:w="1541" w:type="dxa"/>
            <w:vAlign w:val="center"/>
          </w:tcPr>
          <w:p w14:paraId="757D791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1541" w:type="dxa"/>
            <w:vAlign w:val="center"/>
          </w:tcPr>
          <w:p w14:paraId="0BC4B40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12" w:type="dxa"/>
            <w:vAlign w:val="center"/>
          </w:tcPr>
          <w:p w14:paraId="3D94CA0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bl>
    <w:p w14:paraId="4B84C4D6">
      <w:pPr>
        <w:spacing w:line="380" w:lineRule="exact"/>
        <w:jc w:val="left"/>
        <w:rPr>
          <w:color w:val="auto"/>
          <w:highlight w:val="none"/>
        </w:rPr>
      </w:pPr>
      <w:r>
        <w:rPr>
          <w:b/>
          <w:bCs/>
          <w:color w:val="auto"/>
          <w:spacing w:val="-3"/>
          <w:szCs w:val="21"/>
          <w:highlight w:val="none"/>
        </w:rPr>
        <w:t>注：</w:t>
      </w:r>
      <w:r>
        <w:rPr>
          <w:rFonts w:hint="eastAsia"/>
          <w:b/>
          <w:bCs/>
          <w:color w:val="auto"/>
          <w:spacing w:val="-3"/>
          <w:szCs w:val="21"/>
          <w:highlight w:val="none"/>
        </w:rPr>
        <w:t>供应商须提供合同或委托书等证明文件的主要内容页和签字盖章页的复印件，不具备类似业绩或未提供有效证明文件的不得分，证明材料清晰可见，模糊的不得分。</w:t>
      </w:r>
    </w:p>
    <w:p w14:paraId="32E0B470">
      <w:pPr>
        <w:spacing w:line="360" w:lineRule="auto"/>
        <w:ind w:firstLine="3990" w:firstLineChars="1900"/>
        <w:rPr>
          <w:rFonts w:ascii="Microsoft New Tai Lue" w:hAnsi="Microsoft New Tai Lue" w:cs="Microsoft New Tai Lue"/>
          <w:bCs/>
          <w:color w:val="auto"/>
          <w:highlight w:val="none"/>
        </w:rPr>
      </w:pPr>
    </w:p>
    <w:p w14:paraId="0FACF665">
      <w:pPr>
        <w:spacing w:line="360" w:lineRule="auto"/>
        <w:ind w:firstLine="3990" w:firstLineChars="1900"/>
        <w:rPr>
          <w:rFonts w:ascii="Microsoft New Tai Lue" w:hAnsi="Microsoft New Tai Lue" w:cs="Microsoft New Tai Lue"/>
          <w:bCs/>
          <w:color w:val="auto"/>
          <w:highlight w:val="none"/>
        </w:rPr>
      </w:pPr>
    </w:p>
    <w:p w14:paraId="55B76AE2">
      <w:pPr>
        <w:keepNext w:val="0"/>
        <w:keepLines w:val="0"/>
        <w:pageBreakBefore w:val="0"/>
        <w:widowControl w:val="0"/>
        <w:kinsoku/>
        <w:wordWrap/>
        <w:overflowPunct/>
        <w:topLinePunct w:val="0"/>
        <w:autoSpaceDE/>
        <w:autoSpaceDN/>
        <w:bidi w:val="0"/>
        <w:adjustRightInd/>
        <w:snapToGrid/>
        <w:spacing w:line="360" w:lineRule="auto"/>
        <w:ind w:left="0" w:leftChars="0" w:firstLine="3990" w:firstLineChars="1900"/>
        <w:textAlignment w:val="auto"/>
        <w:rPr>
          <w:rFonts w:ascii="Microsoft New Tai Lue" w:hAnsi="Microsoft New Tai Lue" w:cs="Microsoft New Tai Lue"/>
          <w:color w:val="auto"/>
          <w:szCs w:val="21"/>
          <w:highlight w:val="none"/>
          <w:u w:val="single"/>
        </w:rPr>
      </w:pPr>
      <w:r>
        <w:rPr>
          <w:rFonts w:hint="eastAsia" w:ascii="Microsoft New Tai Lue" w:hAnsi="Microsoft New Tai Lue" w:cs="Microsoft New Tai Lue"/>
          <w:bCs/>
          <w:color w:val="auto"/>
          <w:highlight w:val="none"/>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w:t>
      </w:r>
      <w:r>
        <w:rPr>
          <w:rFonts w:ascii="Microsoft New Tai Lue" w:hAnsi="Microsoft New Tai Lue" w:cs="Microsoft New Tai Lue"/>
          <w:color w:val="auto"/>
          <w:szCs w:val="21"/>
          <w:highlight w:val="none"/>
          <w:u w:val="single"/>
        </w:rPr>
        <w:t xml:space="preserve">         </w:t>
      </w:r>
    </w:p>
    <w:p w14:paraId="196CCA18">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3F5FBFEE">
      <w:pPr>
        <w:keepNext w:val="0"/>
        <w:keepLines w:val="0"/>
        <w:pageBreakBefore w:val="0"/>
        <w:widowControl w:val="0"/>
        <w:kinsoku/>
        <w:wordWrap/>
        <w:overflowPunct/>
        <w:topLinePunct w:val="0"/>
        <w:autoSpaceDE/>
        <w:autoSpaceDN/>
        <w:bidi w:val="0"/>
        <w:adjustRightInd/>
        <w:snapToGrid/>
        <w:spacing w:line="360" w:lineRule="auto"/>
        <w:ind w:left="0" w:leftChars="0" w:firstLine="3990" w:firstLineChars="1900"/>
        <w:textAlignment w:val="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766A2519">
      <w:pPr>
        <w:pStyle w:val="16"/>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Ansi="宋体" w:cs="Microsoft New Tai Lue"/>
          <w:b w:val="0"/>
          <w:bCs/>
          <w:color w:val="auto"/>
          <w:sz w:val="21"/>
          <w:szCs w:val="21"/>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r>
        <w:rPr>
          <w:rFonts w:ascii="Microsoft New Tai Lue" w:hAnsi="Microsoft New Tai Lue" w:cs="Microsoft New Tai Lue"/>
          <w:b w:val="0"/>
          <w:bCs/>
          <w:color w:val="auto"/>
          <w:highlight w:val="none"/>
        </w:rPr>
        <w:t xml:space="preserve">                       </w:t>
      </w:r>
      <w:r>
        <w:rPr>
          <w:rFonts w:hint="eastAsia" w:ascii="Microsoft New Tai Lue" w:hAnsi="Microsoft New Tai Lue" w:cs="Microsoft New Tai Lue"/>
          <w:b w:val="0"/>
          <w:bCs/>
          <w:color w:val="auto"/>
          <w:highlight w:val="none"/>
          <w:lang w:val="en-US" w:eastAsia="zh-CN"/>
        </w:rPr>
        <w:t xml:space="preserve">          </w:t>
      </w:r>
      <w:r>
        <w:rPr>
          <w:rFonts w:hAnsi="宋体" w:cs="Microsoft New Tai Lue"/>
          <w:b w:val="0"/>
          <w:bCs/>
          <w:color w:val="auto"/>
          <w:sz w:val="21"/>
          <w:szCs w:val="21"/>
          <w:highlight w:val="none"/>
        </w:rPr>
        <w:t>日期：______年</w:t>
      </w:r>
      <w:r>
        <w:rPr>
          <w:rFonts w:hAnsi="宋体" w:cs="Microsoft New Tai Lue"/>
          <w:b w:val="0"/>
          <w:bCs/>
          <w:color w:val="auto"/>
          <w:sz w:val="21"/>
          <w:szCs w:val="21"/>
          <w:highlight w:val="none"/>
          <w:u w:val="single"/>
        </w:rPr>
        <w:t xml:space="preserve">    </w:t>
      </w:r>
      <w:r>
        <w:rPr>
          <w:rFonts w:hAnsi="宋体" w:cs="Microsoft New Tai Lue"/>
          <w:b w:val="0"/>
          <w:bCs/>
          <w:color w:val="auto"/>
          <w:sz w:val="21"/>
          <w:szCs w:val="21"/>
          <w:highlight w:val="none"/>
        </w:rPr>
        <w:t>月</w:t>
      </w:r>
      <w:r>
        <w:rPr>
          <w:rFonts w:hAnsi="宋体" w:cs="Microsoft New Tai Lue"/>
          <w:b w:val="0"/>
          <w:bCs/>
          <w:color w:val="auto"/>
          <w:sz w:val="21"/>
          <w:szCs w:val="21"/>
          <w:highlight w:val="none"/>
          <w:u w:val="single"/>
        </w:rPr>
        <w:t xml:space="preserve">    </w:t>
      </w:r>
      <w:r>
        <w:rPr>
          <w:rFonts w:hAnsi="宋体" w:cs="Microsoft New Tai Lue"/>
          <w:b w:val="0"/>
          <w:bCs/>
          <w:color w:val="auto"/>
          <w:sz w:val="21"/>
          <w:szCs w:val="21"/>
          <w:highlight w:val="none"/>
        </w:rPr>
        <w:t>日</w:t>
      </w:r>
    </w:p>
    <w:p w14:paraId="5CACFDDF">
      <w:pPr>
        <w:pStyle w:val="32"/>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Microsoft New Tai Lue" w:hAnsi="Microsoft New Tai Lue" w:eastAsia="宋体" w:cs="Microsoft New Tai Lue"/>
          <w:color w:val="auto"/>
          <w:highlight w:val="none"/>
          <w:lang w:val="en-US" w:eastAsia="zh-CN"/>
        </w:rPr>
      </w:pPr>
      <w:bookmarkStart w:id="333" w:name="_Toc107246299"/>
      <w:bookmarkStart w:id="334" w:name="_Toc104560916"/>
      <w:bookmarkStart w:id="335" w:name="_Toc103848599"/>
      <w:r>
        <w:rPr>
          <w:rFonts w:hint="eastAsia" w:ascii="Microsoft New Tai Lue" w:hAnsi="Microsoft New Tai Lue" w:eastAsia="宋体" w:cs="Microsoft New Tai Lue"/>
          <w:color w:val="auto"/>
          <w:highlight w:val="none"/>
          <w:lang w:val="en-US" w:eastAsia="zh-CN"/>
        </w:rPr>
        <w:t>二、技术部分</w:t>
      </w:r>
      <w:bookmarkEnd w:id="333"/>
      <w:bookmarkEnd w:id="334"/>
      <w:bookmarkEnd w:id="335"/>
    </w:p>
    <w:p w14:paraId="3CE00E26">
      <w:pPr>
        <w:pStyle w:val="32"/>
        <w:spacing w:before="0"/>
        <w:rPr>
          <w:rFonts w:ascii="Microsoft New Tai Lue" w:hAnsi="Microsoft New Tai Lue" w:cs="Microsoft New Tai Lue"/>
          <w:bCs w:val="0"/>
          <w:color w:val="auto"/>
          <w:sz w:val="24"/>
          <w:szCs w:val="24"/>
          <w:highlight w:val="none"/>
        </w:rPr>
      </w:pPr>
      <w:bookmarkStart w:id="336" w:name="_Toc103848601"/>
      <w:bookmarkStart w:id="337" w:name="_Toc104560918"/>
      <w:bookmarkStart w:id="338" w:name="_Toc107246301"/>
      <w:r>
        <w:rPr>
          <w:rFonts w:ascii="Microsoft New Tai Lue" w:hAnsi="Microsoft New Tai Lue" w:cs="Microsoft New Tai Lue"/>
          <w:bCs w:val="0"/>
          <w:color w:val="auto"/>
          <w:sz w:val="24"/>
          <w:szCs w:val="24"/>
          <w:highlight w:val="none"/>
        </w:rPr>
        <w:t>（1）技术</w:t>
      </w:r>
      <w:r>
        <w:rPr>
          <w:rFonts w:hint="eastAsia" w:ascii="Microsoft New Tai Lue" w:hAnsi="Microsoft New Tai Lue" w:cs="Microsoft New Tai Lue"/>
          <w:bCs w:val="0"/>
          <w:color w:val="auto"/>
          <w:sz w:val="24"/>
          <w:szCs w:val="24"/>
          <w:highlight w:val="none"/>
        </w:rPr>
        <w:t>条款</w:t>
      </w:r>
      <w:r>
        <w:rPr>
          <w:rFonts w:ascii="Microsoft New Tai Lue" w:hAnsi="Microsoft New Tai Lue" w:cs="Microsoft New Tai Lue"/>
          <w:bCs w:val="0"/>
          <w:color w:val="auto"/>
          <w:sz w:val="24"/>
          <w:szCs w:val="24"/>
          <w:highlight w:val="none"/>
        </w:rPr>
        <w:t>偏离表</w:t>
      </w:r>
      <w:bookmarkEnd w:id="336"/>
      <w:bookmarkEnd w:id="337"/>
      <w:bookmarkEnd w:id="338"/>
    </w:p>
    <w:p w14:paraId="0D2920E6">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项目编号：</w:t>
      </w:r>
    </w:p>
    <w:tbl>
      <w:tblPr>
        <w:tblStyle w:val="3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394"/>
        <w:gridCol w:w="2295"/>
        <w:gridCol w:w="2383"/>
        <w:gridCol w:w="1134"/>
        <w:gridCol w:w="1006"/>
        <w:gridCol w:w="715"/>
      </w:tblGrid>
      <w:tr w14:paraId="59E79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33" w:type="dxa"/>
            <w:vAlign w:val="center"/>
          </w:tcPr>
          <w:p w14:paraId="7811F351">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bookmarkStart w:id="339" w:name="_Hlk170897022"/>
            <w:r>
              <w:rPr>
                <w:rFonts w:hint="default" w:ascii="Microsoft New Tai Lue" w:hAnsi="Microsoft New Tai Lue" w:cs="Microsoft New Tai Lue"/>
                <w:color w:val="auto"/>
                <w:sz w:val="21"/>
                <w:szCs w:val="21"/>
                <w:highlight w:val="none"/>
              </w:rPr>
              <w:t>序号</w:t>
            </w:r>
          </w:p>
        </w:tc>
        <w:tc>
          <w:tcPr>
            <w:tcW w:w="1394" w:type="dxa"/>
            <w:vAlign w:val="center"/>
          </w:tcPr>
          <w:p w14:paraId="78B6601E">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r>
              <w:rPr>
                <w:rFonts w:hint="default" w:ascii="Microsoft New Tai Lue" w:hAnsi="Microsoft New Tai Lue" w:cs="Microsoft New Tai Lue"/>
                <w:color w:val="auto"/>
                <w:sz w:val="21"/>
                <w:szCs w:val="21"/>
                <w:highlight w:val="none"/>
              </w:rPr>
              <w:t>招标文件条目号</w:t>
            </w:r>
          </w:p>
        </w:tc>
        <w:tc>
          <w:tcPr>
            <w:tcW w:w="2295" w:type="dxa"/>
            <w:vAlign w:val="center"/>
          </w:tcPr>
          <w:p w14:paraId="6C88B130">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r>
              <w:rPr>
                <w:rFonts w:hint="default" w:ascii="Microsoft New Tai Lue" w:hAnsi="Microsoft New Tai Lue" w:cs="Microsoft New Tai Lue"/>
                <w:color w:val="auto"/>
                <w:sz w:val="21"/>
                <w:szCs w:val="21"/>
                <w:highlight w:val="none"/>
              </w:rPr>
              <w:t>招标文件的</w:t>
            </w:r>
            <w:r>
              <w:rPr>
                <w:rFonts w:hint="eastAsia" w:ascii="Microsoft New Tai Lue" w:hAnsi="Microsoft New Tai Lue" w:cs="Microsoft New Tai Lue"/>
                <w:color w:val="auto"/>
                <w:sz w:val="21"/>
                <w:szCs w:val="21"/>
                <w:highlight w:val="none"/>
              </w:rPr>
              <w:t>技术</w:t>
            </w:r>
            <w:r>
              <w:rPr>
                <w:rFonts w:hint="default" w:ascii="Microsoft New Tai Lue" w:hAnsi="Microsoft New Tai Lue" w:cs="Microsoft New Tai Lue"/>
                <w:color w:val="auto"/>
                <w:sz w:val="21"/>
                <w:szCs w:val="21"/>
                <w:highlight w:val="none"/>
              </w:rPr>
              <w:t>条款</w:t>
            </w:r>
          </w:p>
        </w:tc>
        <w:tc>
          <w:tcPr>
            <w:tcW w:w="2383" w:type="dxa"/>
            <w:vAlign w:val="center"/>
          </w:tcPr>
          <w:p w14:paraId="177AB2AD">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r>
              <w:rPr>
                <w:rFonts w:hint="default" w:ascii="Microsoft New Tai Lue" w:hAnsi="Microsoft New Tai Lue" w:cs="Microsoft New Tai Lue"/>
                <w:color w:val="auto"/>
                <w:sz w:val="21"/>
                <w:szCs w:val="21"/>
                <w:highlight w:val="none"/>
              </w:rPr>
              <w:t>投标文件的</w:t>
            </w:r>
            <w:r>
              <w:rPr>
                <w:rFonts w:hint="eastAsia" w:ascii="Microsoft New Tai Lue" w:hAnsi="Microsoft New Tai Lue" w:cs="Microsoft New Tai Lue"/>
                <w:color w:val="auto"/>
                <w:sz w:val="21"/>
                <w:szCs w:val="21"/>
                <w:highlight w:val="none"/>
              </w:rPr>
              <w:t>技术</w:t>
            </w:r>
            <w:r>
              <w:rPr>
                <w:rFonts w:hint="default" w:ascii="Microsoft New Tai Lue" w:hAnsi="Microsoft New Tai Lue" w:cs="Microsoft New Tai Lue"/>
                <w:color w:val="auto"/>
                <w:sz w:val="21"/>
                <w:szCs w:val="21"/>
                <w:highlight w:val="none"/>
              </w:rPr>
              <w:t>条款</w:t>
            </w:r>
          </w:p>
        </w:tc>
        <w:tc>
          <w:tcPr>
            <w:tcW w:w="1134" w:type="dxa"/>
            <w:vAlign w:val="center"/>
          </w:tcPr>
          <w:p w14:paraId="1CF2DDA4">
            <w:pPr>
              <w:pStyle w:val="79"/>
              <w:keepNext w:val="0"/>
              <w:keepLines w:val="0"/>
              <w:suppressLineNumbers w:val="0"/>
              <w:spacing w:before="0" w:beforeAutospacing="0" w:after="0" w:afterAutospacing="0" w:line="480" w:lineRule="auto"/>
              <w:ind w:left="0" w:right="0" w:firstLine="0" w:firstLineChars="0"/>
              <w:jc w:val="center"/>
              <w:rPr>
                <w:rFonts w:hint="default"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是否</w:t>
            </w:r>
            <w:r>
              <w:rPr>
                <w:rFonts w:hint="default" w:ascii="Microsoft New Tai Lue" w:hAnsi="Microsoft New Tai Lue" w:cs="Microsoft New Tai Lue"/>
                <w:color w:val="auto"/>
                <w:sz w:val="21"/>
                <w:szCs w:val="21"/>
                <w:highlight w:val="none"/>
              </w:rPr>
              <w:t>偏离</w:t>
            </w:r>
          </w:p>
        </w:tc>
        <w:tc>
          <w:tcPr>
            <w:tcW w:w="1006" w:type="dxa"/>
            <w:vAlign w:val="center"/>
          </w:tcPr>
          <w:p w14:paraId="26C6F941">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r>
              <w:rPr>
                <w:rFonts w:hint="default" w:ascii="Microsoft New Tai Lue" w:hAnsi="Microsoft New Tai Lue" w:cs="Microsoft New Tai Lue"/>
                <w:color w:val="auto"/>
                <w:sz w:val="21"/>
                <w:szCs w:val="21"/>
                <w:highlight w:val="none"/>
              </w:rPr>
              <w:t>偏离</w:t>
            </w:r>
          </w:p>
        </w:tc>
        <w:tc>
          <w:tcPr>
            <w:tcW w:w="715" w:type="dxa"/>
            <w:vAlign w:val="center"/>
          </w:tcPr>
          <w:p w14:paraId="7987AC0F">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r>
              <w:rPr>
                <w:rFonts w:hint="default" w:ascii="Microsoft New Tai Lue" w:hAnsi="Microsoft New Tai Lue" w:cs="Microsoft New Tai Lue"/>
                <w:color w:val="auto"/>
                <w:sz w:val="21"/>
                <w:szCs w:val="21"/>
                <w:highlight w:val="none"/>
              </w:rPr>
              <w:t>说明</w:t>
            </w:r>
          </w:p>
        </w:tc>
      </w:tr>
      <w:tr w14:paraId="34F4F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33" w:type="dxa"/>
            <w:vAlign w:val="center"/>
          </w:tcPr>
          <w:p w14:paraId="76D7E624">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394" w:type="dxa"/>
            <w:vAlign w:val="center"/>
          </w:tcPr>
          <w:p w14:paraId="6B968F04">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295" w:type="dxa"/>
            <w:vAlign w:val="center"/>
          </w:tcPr>
          <w:p w14:paraId="09C83BA6">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383" w:type="dxa"/>
            <w:vAlign w:val="center"/>
          </w:tcPr>
          <w:p w14:paraId="02C12108">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134" w:type="dxa"/>
            <w:vAlign w:val="center"/>
          </w:tcPr>
          <w:p w14:paraId="56A26127">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006" w:type="dxa"/>
            <w:vAlign w:val="center"/>
          </w:tcPr>
          <w:p w14:paraId="625A5027">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715" w:type="dxa"/>
            <w:vAlign w:val="center"/>
          </w:tcPr>
          <w:p w14:paraId="7CEDA36A">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r>
      <w:tr w14:paraId="5F39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33" w:type="dxa"/>
            <w:vAlign w:val="center"/>
          </w:tcPr>
          <w:p w14:paraId="67E36EBD">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394" w:type="dxa"/>
            <w:vAlign w:val="center"/>
          </w:tcPr>
          <w:p w14:paraId="34A34801">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295" w:type="dxa"/>
            <w:vAlign w:val="center"/>
          </w:tcPr>
          <w:p w14:paraId="7D374E64">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383" w:type="dxa"/>
            <w:vAlign w:val="center"/>
          </w:tcPr>
          <w:p w14:paraId="7862CDA9">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134" w:type="dxa"/>
            <w:vAlign w:val="center"/>
          </w:tcPr>
          <w:p w14:paraId="2E009427">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006" w:type="dxa"/>
            <w:vAlign w:val="center"/>
          </w:tcPr>
          <w:p w14:paraId="41508DD9">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715" w:type="dxa"/>
            <w:vAlign w:val="center"/>
          </w:tcPr>
          <w:p w14:paraId="401B13CB">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r>
      <w:tr w14:paraId="2ABC4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33" w:type="dxa"/>
            <w:vAlign w:val="center"/>
          </w:tcPr>
          <w:p w14:paraId="6B55895F">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394" w:type="dxa"/>
            <w:vAlign w:val="center"/>
          </w:tcPr>
          <w:p w14:paraId="7A0D3A1D">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295" w:type="dxa"/>
            <w:vAlign w:val="center"/>
          </w:tcPr>
          <w:p w14:paraId="716513A8">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383" w:type="dxa"/>
            <w:vAlign w:val="center"/>
          </w:tcPr>
          <w:p w14:paraId="08587680">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134" w:type="dxa"/>
            <w:vAlign w:val="center"/>
          </w:tcPr>
          <w:p w14:paraId="7483F761">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006" w:type="dxa"/>
            <w:vAlign w:val="center"/>
          </w:tcPr>
          <w:p w14:paraId="55DCDFD3">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715" w:type="dxa"/>
            <w:vAlign w:val="center"/>
          </w:tcPr>
          <w:p w14:paraId="7BABA465">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r>
      <w:tr w14:paraId="0EB94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3" w:type="dxa"/>
            <w:vAlign w:val="center"/>
          </w:tcPr>
          <w:p w14:paraId="4F753E2E">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394" w:type="dxa"/>
            <w:vAlign w:val="center"/>
          </w:tcPr>
          <w:p w14:paraId="6290D1B5">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295" w:type="dxa"/>
            <w:vAlign w:val="center"/>
          </w:tcPr>
          <w:p w14:paraId="5C840F82">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383" w:type="dxa"/>
            <w:vAlign w:val="center"/>
          </w:tcPr>
          <w:p w14:paraId="4E3CD019">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134" w:type="dxa"/>
            <w:vAlign w:val="center"/>
          </w:tcPr>
          <w:p w14:paraId="527D82DD">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006" w:type="dxa"/>
            <w:vAlign w:val="center"/>
          </w:tcPr>
          <w:p w14:paraId="53CD469C">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715" w:type="dxa"/>
            <w:vAlign w:val="center"/>
          </w:tcPr>
          <w:p w14:paraId="1A0B3D50">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r>
      <w:tr w14:paraId="37379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33" w:type="dxa"/>
            <w:vAlign w:val="center"/>
          </w:tcPr>
          <w:p w14:paraId="7FD75203">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394" w:type="dxa"/>
            <w:vAlign w:val="center"/>
          </w:tcPr>
          <w:p w14:paraId="6235A28E">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295" w:type="dxa"/>
            <w:vAlign w:val="center"/>
          </w:tcPr>
          <w:p w14:paraId="01570419">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383" w:type="dxa"/>
            <w:vAlign w:val="center"/>
          </w:tcPr>
          <w:p w14:paraId="6A0F6BCB">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134" w:type="dxa"/>
            <w:vAlign w:val="center"/>
          </w:tcPr>
          <w:p w14:paraId="766B1CAC">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006" w:type="dxa"/>
            <w:vAlign w:val="center"/>
          </w:tcPr>
          <w:p w14:paraId="37016D48">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715" w:type="dxa"/>
            <w:vAlign w:val="center"/>
          </w:tcPr>
          <w:p w14:paraId="7DC75393">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r>
      <w:tr w14:paraId="20999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33" w:type="dxa"/>
            <w:vAlign w:val="center"/>
          </w:tcPr>
          <w:p w14:paraId="20486AEC">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394" w:type="dxa"/>
            <w:vAlign w:val="center"/>
          </w:tcPr>
          <w:p w14:paraId="3F79871F">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295" w:type="dxa"/>
            <w:vAlign w:val="center"/>
          </w:tcPr>
          <w:p w14:paraId="61D775A0">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2383" w:type="dxa"/>
            <w:vAlign w:val="center"/>
          </w:tcPr>
          <w:p w14:paraId="5DA6525F">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134" w:type="dxa"/>
            <w:vAlign w:val="center"/>
          </w:tcPr>
          <w:p w14:paraId="6E55C5AE">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1006" w:type="dxa"/>
            <w:vAlign w:val="center"/>
          </w:tcPr>
          <w:p w14:paraId="6C63EF36">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c>
          <w:tcPr>
            <w:tcW w:w="715" w:type="dxa"/>
            <w:vAlign w:val="center"/>
          </w:tcPr>
          <w:p w14:paraId="3B8FCA60">
            <w:pPr>
              <w:pStyle w:val="79"/>
              <w:keepNext w:val="0"/>
              <w:keepLines w:val="0"/>
              <w:suppressLineNumbers w:val="0"/>
              <w:spacing w:before="0" w:beforeAutospacing="0" w:after="0" w:afterAutospacing="0"/>
              <w:ind w:left="0" w:right="0" w:firstLine="0" w:firstLineChars="0"/>
              <w:jc w:val="center"/>
              <w:rPr>
                <w:rFonts w:hint="default" w:ascii="Microsoft New Tai Lue" w:hAnsi="Microsoft New Tai Lue" w:cs="Microsoft New Tai Lue"/>
                <w:color w:val="auto"/>
                <w:sz w:val="21"/>
                <w:szCs w:val="21"/>
                <w:highlight w:val="none"/>
              </w:rPr>
            </w:pPr>
          </w:p>
        </w:tc>
      </w:tr>
      <w:bookmarkEnd w:id="339"/>
    </w:tbl>
    <w:p w14:paraId="54E093B4">
      <w:pPr>
        <w:pStyle w:val="30"/>
        <w:spacing w:line="360" w:lineRule="exact"/>
        <w:rPr>
          <w:rFonts w:ascii="Times New Roman" w:hAnsi="Times New Roman"/>
          <w:b/>
          <w:bCs/>
          <w:color w:val="auto"/>
          <w:highlight w:val="none"/>
        </w:rPr>
      </w:pPr>
      <w:r>
        <w:rPr>
          <w:rFonts w:ascii="Times New Roman" w:hAnsi="Times New Roman"/>
          <w:b/>
          <w:bCs/>
          <w:color w:val="auto"/>
          <w:highlight w:val="none"/>
        </w:rPr>
        <w:t>注：</w:t>
      </w:r>
    </w:p>
    <w:p w14:paraId="44F0B561">
      <w:pPr>
        <w:pStyle w:val="30"/>
        <w:spacing w:line="360" w:lineRule="exact"/>
        <w:rPr>
          <w:rFonts w:ascii="Times New Roman" w:hAnsi="Times New Roman"/>
          <w:b/>
          <w:bCs/>
          <w:color w:val="auto"/>
          <w:highlight w:val="none"/>
        </w:rPr>
      </w:pPr>
      <w:r>
        <w:rPr>
          <w:rFonts w:hint="eastAsia" w:ascii="Times New Roman" w:hAnsi="Times New Roman"/>
          <w:b/>
          <w:bCs/>
          <w:color w:val="auto"/>
          <w:highlight w:val="none"/>
        </w:rPr>
        <w:t>1. 供应商须根据第四章《采购需求》要求填写此表，作为投标文件的组成部分。</w:t>
      </w:r>
    </w:p>
    <w:p w14:paraId="79F7EDEB">
      <w:pPr>
        <w:pStyle w:val="30"/>
        <w:spacing w:line="360" w:lineRule="exact"/>
        <w:rPr>
          <w:rFonts w:ascii="Times New Roman" w:hAnsi="Times New Roman"/>
          <w:b/>
          <w:bCs/>
          <w:color w:val="auto"/>
          <w:highlight w:val="none"/>
        </w:rPr>
      </w:pPr>
      <w:r>
        <w:rPr>
          <w:rFonts w:hint="eastAsia" w:ascii="Times New Roman" w:hAnsi="Times New Roman"/>
          <w:b/>
          <w:bCs/>
          <w:color w:val="auto"/>
          <w:highlight w:val="none"/>
        </w:rPr>
        <w:t>2. 所有偏离必须在本表中列出，未在本偏离表中列出偏离，将视为供应商已完全接受招标文件要求。如完全无偏离，也无其他说明，可在本表第一行填写“全部无偏离”。</w:t>
      </w:r>
    </w:p>
    <w:p w14:paraId="5D877C14">
      <w:pPr>
        <w:pStyle w:val="30"/>
        <w:spacing w:line="360" w:lineRule="exact"/>
        <w:rPr>
          <w:rFonts w:ascii="Times New Roman" w:hAnsi="Times New Roman"/>
          <w:b/>
          <w:bCs/>
          <w:color w:val="auto"/>
          <w:highlight w:val="none"/>
        </w:rPr>
      </w:pPr>
      <w:r>
        <w:rPr>
          <w:rFonts w:hint="eastAsia" w:ascii="Times New Roman" w:hAnsi="Times New Roman"/>
          <w:b/>
          <w:bCs/>
          <w:color w:val="auto"/>
          <w:highlight w:val="none"/>
        </w:rPr>
        <w:t>3. 偏离包括正、负偏离，正偏离指供应商的响应高于招标文件要求，负偏离指供应商的响应低于招标文件要求。</w:t>
      </w:r>
    </w:p>
    <w:p w14:paraId="6A21CE23">
      <w:pPr>
        <w:pStyle w:val="30"/>
        <w:spacing w:line="360" w:lineRule="exact"/>
        <w:rPr>
          <w:rFonts w:ascii="Times New Roman" w:hAnsi="Times New Roman"/>
          <w:b/>
          <w:bCs/>
          <w:color w:val="auto"/>
          <w:highlight w:val="none"/>
        </w:rPr>
      </w:pPr>
      <w:r>
        <w:rPr>
          <w:rFonts w:hint="eastAsia"/>
          <w:b/>
          <w:color w:val="auto"/>
          <w:highlight w:val="none"/>
        </w:rPr>
        <w:t>4. 如</w:t>
      </w:r>
      <w:r>
        <w:rPr>
          <w:rFonts w:hint="eastAsia" w:ascii="Times New Roman" w:hAnsi="Times New Roman"/>
          <w:b/>
          <w:bCs/>
          <w:color w:val="auto"/>
          <w:highlight w:val="none"/>
        </w:rPr>
        <w:t>供应商</w:t>
      </w:r>
      <w:r>
        <w:rPr>
          <w:rFonts w:hint="eastAsia"/>
          <w:b/>
          <w:color w:val="auto"/>
          <w:highlight w:val="none"/>
        </w:rPr>
        <w:t>将此表空白，视为</w:t>
      </w:r>
      <w:r>
        <w:rPr>
          <w:rFonts w:hint="eastAsia" w:ascii="Times New Roman" w:hAnsi="Times New Roman"/>
          <w:b/>
          <w:bCs/>
          <w:color w:val="auto"/>
          <w:highlight w:val="none"/>
        </w:rPr>
        <w:t>供应商</w:t>
      </w:r>
      <w:r>
        <w:rPr>
          <w:rFonts w:hint="eastAsia"/>
          <w:b/>
          <w:color w:val="auto"/>
          <w:highlight w:val="none"/>
        </w:rPr>
        <w:t>无任何偏离。</w:t>
      </w:r>
    </w:p>
    <w:p w14:paraId="59C7611B">
      <w:pPr>
        <w:pStyle w:val="79"/>
        <w:ind w:firstLine="420"/>
        <w:rPr>
          <w:rFonts w:ascii="Microsoft New Tai Lue" w:hAnsi="Microsoft New Tai Lue" w:cs="Microsoft New Tai Lue"/>
          <w:color w:val="auto"/>
          <w:sz w:val="21"/>
          <w:szCs w:val="21"/>
          <w:highlight w:val="none"/>
        </w:rPr>
      </w:pPr>
    </w:p>
    <w:p w14:paraId="01CDD786">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282263C6">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2D72DC6A">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w:t>
      </w:r>
    </w:p>
    <w:p w14:paraId="0E80D634">
      <w:pPr>
        <w:pStyle w:val="79"/>
        <w:ind w:firstLine="3780" w:firstLineChars="180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日期：______年____月____日</w:t>
      </w:r>
    </w:p>
    <w:p w14:paraId="796593DE">
      <w:pPr>
        <w:rPr>
          <w:rFonts w:ascii="Microsoft New Tai Lue" w:hAnsi="Microsoft New Tai Lue" w:cs="Microsoft New Tai Lue"/>
          <w:bCs w:val="0"/>
          <w:color w:val="auto"/>
          <w:sz w:val="24"/>
          <w:szCs w:val="24"/>
          <w:highlight w:val="none"/>
        </w:rPr>
      </w:pPr>
      <w:bookmarkStart w:id="340" w:name="_Toc104560917"/>
      <w:bookmarkStart w:id="341" w:name="_Toc107246300"/>
      <w:bookmarkStart w:id="342" w:name="_Toc103848600"/>
      <w:bookmarkStart w:id="343" w:name="_Toc103848602"/>
      <w:bookmarkStart w:id="344" w:name="_Toc107246302"/>
      <w:bookmarkStart w:id="345" w:name="_Toc104560919"/>
      <w:r>
        <w:rPr>
          <w:rFonts w:ascii="Microsoft New Tai Lue" w:hAnsi="Microsoft New Tai Lue" w:cs="Microsoft New Tai Lue"/>
          <w:bCs w:val="0"/>
          <w:color w:val="auto"/>
          <w:sz w:val="24"/>
          <w:szCs w:val="24"/>
          <w:highlight w:val="none"/>
        </w:rPr>
        <w:br w:type="page"/>
      </w:r>
    </w:p>
    <w:p w14:paraId="1B0DEB93">
      <w:pPr>
        <w:pStyle w:val="3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（2）</w:t>
      </w:r>
      <w:bookmarkEnd w:id="340"/>
      <w:bookmarkEnd w:id="341"/>
      <w:bookmarkEnd w:id="342"/>
      <w:r>
        <w:rPr>
          <w:rFonts w:hint="eastAsia" w:ascii="Microsoft New Tai Lue" w:hAnsi="Microsoft New Tai Lue" w:cs="Microsoft New Tai Lue"/>
          <w:bCs w:val="0"/>
          <w:color w:val="auto"/>
          <w:sz w:val="24"/>
          <w:szCs w:val="24"/>
          <w:highlight w:val="none"/>
        </w:rPr>
        <w:t>人员团队</w:t>
      </w:r>
    </w:p>
    <w:p w14:paraId="27A7FB49">
      <w:pPr>
        <w:pStyle w:val="16"/>
        <w:ind w:left="0" w:leftChars="0"/>
        <w:jc w:val="center"/>
        <w:rPr>
          <w:color w:val="auto"/>
          <w:highlight w:val="none"/>
        </w:rPr>
      </w:pPr>
      <w:r>
        <w:rPr>
          <w:rFonts w:hint="eastAsia"/>
          <w:color w:val="auto"/>
          <w:highlight w:val="none"/>
        </w:rPr>
        <w:t>人员配备表</w:t>
      </w:r>
    </w:p>
    <w:tbl>
      <w:tblPr>
        <w:tblStyle w:val="34"/>
        <w:tblW w:w="98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6"/>
        <w:gridCol w:w="785"/>
        <w:gridCol w:w="918"/>
        <w:gridCol w:w="767"/>
        <w:gridCol w:w="850"/>
        <w:gridCol w:w="1134"/>
        <w:gridCol w:w="1418"/>
        <w:gridCol w:w="1984"/>
        <w:gridCol w:w="1172"/>
      </w:tblGrid>
      <w:tr w14:paraId="2F907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25" w:hRule="atLeast"/>
          <w:jc w:val="center"/>
        </w:trPr>
        <w:tc>
          <w:tcPr>
            <w:tcW w:w="786" w:type="dxa"/>
            <w:vAlign w:val="center"/>
          </w:tcPr>
          <w:p w14:paraId="565BF9E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序号</w:t>
            </w:r>
          </w:p>
        </w:tc>
        <w:tc>
          <w:tcPr>
            <w:tcW w:w="785" w:type="dxa"/>
            <w:vAlign w:val="center"/>
          </w:tcPr>
          <w:p w14:paraId="06559DB0">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姓名</w:t>
            </w:r>
          </w:p>
        </w:tc>
        <w:tc>
          <w:tcPr>
            <w:tcW w:w="918" w:type="dxa"/>
            <w:vAlign w:val="center"/>
          </w:tcPr>
          <w:p w14:paraId="59DC4C8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岗位</w:t>
            </w:r>
          </w:p>
        </w:tc>
        <w:tc>
          <w:tcPr>
            <w:tcW w:w="767" w:type="dxa"/>
            <w:vAlign w:val="center"/>
          </w:tcPr>
          <w:p w14:paraId="2D51FB0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学历</w:t>
            </w:r>
          </w:p>
        </w:tc>
        <w:tc>
          <w:tcPr>
            <w:tcW w:w="850" w:type="dxa"/>
            <w:vAlign w:val="center"/>
          </w:tcPr>
          <w:p w14:paraId="1023270B">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职称</w:t>
            </w:r>
          </w:p>
        </w:tc>
        <w:tc>
          <w:tcPr>
            <w:tcW w:w="1134" w:type="dxa"/>
            <w:vAlign w:val="center"/>
          </w:tcPr>
          <w:p w14:paraId="759A47DB">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职称专业</w:t>
            </w:r>
          </w:p>
        </w:tc>
        <w:tc>
          <w:tcPr>
            <w:tcW w:w="1418" w:type="dxa"/>
            <w:vAlign w:val="center"/>
          </w:tcPr>
          <w:p w14:paraId="7C1C002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从事食品检验工作年限</w:t>
            </w:r>
          </w:p>
        </w:tc>
        <w:tc>
          <w:tcPr>
            <w:tcW w:w="1984" w:type="dxa"/>
            <w:vAlign w:val="center"/>
          </w:tcPr>
          <w:p w14:paraId="538EEFF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供应商是否为其缴纳近</w:t>
            </w:r>
            <w:r>
              <w:rPr>
                <w:rFonts w:hint="eastAsia" w:ascii="宋体" w:hAnsi="宋体"/>
                <w:bCs/>
                <w:color w:val="auto"/>
                <w:szCs w:val="21"/>
                <w:highlight w:val="none"/>
                <w:lang w:val="en-US" w:eastAsia="zh-CN"/>
              </w:rPr>
              <w:t>三个月</w:t>
            </w:r>
            <w:r>
              <w:rPr>
                <w:rFonts w:hint="eastAsia" w:ascii="宋体" w:hAnsi="宋体"/>
                <w:bCs/>
                <w:color w:val="auto"/>
                <w:szCs w:val="21"/>
                <w:highlight w:val="none"/>
              </w:rPr>
              <w:t>（2026年</w:t>
            </w:r>
            <w:r>
              <w:rPr>
                <w:rFonts w:hint="eastAsia" w:ascii="宋体" w:hAnsi="宋体"/>
                <w:bCs/>
                <w:color w:val="auto"/>
                <w:szCs w:val="21"/>
                <w:highlight w:val="none"/>
                <w:lang w:val="en-US" w:eastAsia="zh-CN"/>
              </w:rPr>
              <w:t>05</w:t>
            </w:r>
            <w:r>
              <w:rPr>
                <w:rFonts w:hint="eastAsia" w:ascii="宋体" w:hAnsi="宋体"/>
                <w:bCs/>
                <w:color w:val="auto"/>
                <w:szCs w:val="21"/>
                <w:highlight w:val="none"/>
              </w:rPr>
              <w:t>月-2026年</w:t>
            </w:r>
            <w:r>
              <w:rPr>
                <w:rFonts w:hint="eastAsia" w:ascii="宋体" w:hAnsi="宋体"/>
                <w:bCs/>
                <w:color w:val="auto"/>
                <w:szCs w:val="21"/>
                <w:highlight w:val="none"/>
                <w:lang w:val="en-US" w:eastAsia="zh-CN"/>
              </w:rPr>
              <w:t>07</w:t>
            </w:r>
            <w:r>
              <w:rPr>
                <w:rFonts w:hint="eastAsia" w:ascii="宋体" w:hAnsi="宋体"/>
                <w:bCs/>
                <w:color w:val="auto"/>
                <w:szCs w:val="21"/>
                <w:highlight w:val="none"/>
              </w:rPr>
              <w:t>月）中任一月份的社保记录</w:t>
            </w:r>
          </w:p>
        </w:tc>
        <w:tc>
          <w:tcPr>
            <w:tcW w:w="1172" w:type="dxa"/>
            <w:vAlign w:val="center"/>
          </w:tcPr>
          <w:p w14:paraId="714C838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在投标文件中的页码位置</w:t>
            </w:r>
          </w:p>
        </w:tc>
      </w:tr>
      <w:tr w14:paraId="63BB8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5FC911C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7B93A595">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0D5B246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项目负责人</w:t>
            </w:r>
          </w:p>
        </w:tc>
        <w:tc>
          <w:tcPr>
            <w:tcW w:w="767" w:type="dxa"/>
            <w:vAlign w:val="center"/>
          </w:tcPr>
          <w:p w14:paraId="77318000">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850" w:type="dxa"/>
            <w:vAlign w:val="center"/>
          </w:tcPr>
          <w:p w14:paraId="2A6C8B0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5D74755B">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51CDA5A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984" w:type="dxa"/>
            <w:vAlign w:val="center"/>
          </w:tcPr>
          <w:p w14:paraId="7493124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5D15CD1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3B366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1F7A3B7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1D476E89">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78D117D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独立抽样人员</w:t>
            </w:r>
          </w:p>
        </w:tc>
        <w:tc>
          <w:tcPr>
            <w:tcW w:w="767" w:type="dxa"/>
            <w:vAlign w:val="center"/>
          </w:tcPr>
          <w:p w14:paraId="2DD8C3A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850" w:type="dxa"/>
            <w:vAlign w:val="center"/>
          </w:tcPr>
          <w:p w14:paraId="75D585C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134" w:type="dxa"/>
            <w:vAlign w:val="center"/>
          </w:tcPr>
          <w:p w14:paraId="5C56C9E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418" w:type="dxa"/>
            <w:vAlign w:val="center"/>
          </w:tcPr>
          <w:p w14:paraId="6D29094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984" w:type="dxa"/>
            <w:vAlign w:val="center"/>
          </w:tcPr>
          <w:p w14:paraId="0972CF78">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0CE6E71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1C605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6B690AE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7C68614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46CDFFE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w:t>
            </w:r>
          </w:p>
        </w:tc>
        <w:tc>
          <w:tcPr>
            <w:tcW w:w="767" w:type="dxa"/>
            <w:vAlign w:val="center"/>
          </w:tcPr>
          <w:p w14:paraId="342DFCC5">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lang w:val="en-US" w:eastAsia="zh-CN"/>
              </w:rPr>
            </w:pPr>
          </w:p>
        </w:tc>
        <w:tc>
          <w:tcPr>
            <w:tcW w:w="850" w:type="dxa"/>
            <w:vAlign w:val="center"/>
          </w:tcPr>
          <w:p w14:paraId="65FEC52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lang w:val="en-US" w:eastAsia="zh-CN"/>
              </w:rPr>
            </w:pPr>
          </w:p>
        </w:tc>
        <w:tc>
          <w:tcPr>
            <w:tcW w:w="1134" w:type="dxa"/>
            <w:vAlign w:val="center"/>
          </w:tcPr>
          <w:p w14:paraId="60F7795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lang w:val="en-US" w:eastAsia="zh-CN"/>
              </w:rPr>
            </w:pPr>
          </w:p>
        </w:tc>
        <w:tc>
          <w:tcPr>
            <w:tcW w:w="1418" w:type="dxa"/>
            <w:vAlign w:val="center"/>
          </w:tcPr>
          <w:p w14:paraId="446116F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lang w:val="en-US" w:eastAsia="zh-CN"/>
              </w:rPr>
            </w:pPr>
          </w:p>
        </w:tc>
        <w:tc>
          <w:tcPr>
            <w:tcW w:w="1984" w:type="dxa"/>
            <w:vAlign w:val="center"/>
          </w:tcPr>
          <w:p w14:paraId="0A14C020">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7351D72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12B93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3BE81BB8">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4DBE094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68B9C77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专职食品检验人员</w:t>
            </w:r>
          </w:p>
        </w:tc>
        <w:tc>
          <w:tcPr>
            <w:tcW w:w="767" w:type="dxa"/>
            <w:vAlign w:val="center"/>
          </w:tcPr>
          <w:p w14:paraId="46B6256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850" w:type="dxa"/>
            <w:vAlign w:val="center"/>
          </w:tcPr>
          <w:p w14:paraId="6DA8ED1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134" w:type="dxa"/>
            <w:vAlign w:val="center"/>
          </w:tcPr>
          <w:p w14:paraId="34D74E29">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418" w:type="dxa"/>
            <w:vAlign w:val="center"/>
          </w:tcPr>
          <w:p w14:paraId="275528BA">
            <w:pPr>
              <w:keepNext w:val="0"/>
              <w:keepLines w:val="0"/>
              <w:widowControl/>
              <w:suppressLineNumbers w:val="0"/>
              <w:spacing w:before="0" w:beforeAutospacing="0" w:after="0" w:afterAutospacing="0" w:line="400" w:lineRule="exact"/>
              <w:ind w:left="0" w:right="0"/>
              <w:jc w:val="center"/>
              <w:rPr>
                <w:rFonts w:hint="eastAsia" w:ascii="宋体" w:hAnsi="宋体" w:eastAsia="宋体"/>
                <w:bCs/>
                <w:color w:val="auto"/>
                <w:szCs w:val="21"/>
                <w:highlight w:val="none"/>
                <w:lang w:val="en-US" w:eastAsia="zh-CN"/>
              </w:rPr>
            </w:pPr>
          </w:p>
        </w:tc>
        <w:tc>
          <w:tcPr>
            <w:tcW w:w="1984" w:type="dxa"/>
            <w:vAlign w:val="center"/>
          </w:tcPr>
          <w:p w14:paraId="17E3AC2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4726806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3E314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2FEE12B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370EFAC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4BA83AD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767" w:type="dxa"/>
            <w:vAlign w:val="center"/>
          </w:tcPr>
          <w:p w14:paraId="5641D160">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850" w:type="dxa"/>
            <w:vAlign w:val="center"/>
          </w:tcPr>
          <w:p w14:paraId="7FB1D17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687D1D9B">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76A0C4B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984" w:type="dxa"/>
            <w:vAlign w:val="center"/>
          </w:tcPr>
          <w:p w14:paraId="05B3632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5C7E4335">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3D182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138191B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314426B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3590EF6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zh-CN"/>
              </w:rPr>
              <w:t>从事数据统计分析、</w:t>
            </w:r>
            <w:r>
              <w:rPr>
                <w:rFonts w:hint="eastAsia" w:ascii="宋体" w:hAnsi="宋体"/>
                <w:bCs/>
                <w:color w:val="auto"/>
                <w:szCs w:val="21"/>
                <w:highlight w:val="none"/>
              </w:rPr>
              <w:t>数据质量审核</w:t>
            </w:r>
          </w:p>
        </w:tc>
        <w:tc>
          <w:tcPr>
            <w:tcW w:w="767" w:type="dxa"/>
            <w:vAlign w:val="center"/>
          </w:tcPr>
          <w:p w14:paraId="357679C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850" w:type="dxa"/>
            <w:vAlign w:val="center"/>
          </w:tcPr>
          <w:p w14:paraId="27CFAE9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134" w:type="dxa"/>
            <w:vAlign w:val="center"/>
          </w:tcPr>
          <w:p w14:paraId="4C702545">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418" w:type="dxa"/>
            <w:vAlign w:val="center"/>
          </w:tcPr>
          <w:p w14:paraId="0709AEE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1984" w:type="dxa"/>
            <w:vAlign w:val="center"/>
          </w:tcPr>
          <w:p w14:paraId="5475FB8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6743EBF6">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38E27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5B73A3A5">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14EEB337">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174D9A7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767" w:type="dxa"/>
            <w:vAlign w:val="center"/>
          </w:tcPr>
          <w:p w14:paraId="5E1B3ED6">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850" w:type="dxa"/>
            <w:vAlign w:val="center"/>
          </w:tcPr>
          <w:p w14:paraId="6763694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4928DF80">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32762A4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984" w:type="dxa"/>
            <w:vAlign w:val="center"/>
          </w:tcPr>
          <w:p w14:paraId="062BBBC6">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03D0631B">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267E0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60D2BD4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026D484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shd w:val="clear" w:color="auto" w:fill="auto"/>
            <w:vAlign w:val="center"/>
          </w:tcPr>
          <w:p w14:paraId="424455C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lang w:val="en-US" w:eastAsia="zh-CN"/>
              </w:rPr>
            </w:pPr>
            <w:r>
              <w:rPr>
                <w:rFonts w:hint="eastAsia" w:ascii="宋体" w:hAnsi="宋体"/>
                <w:bCs/>
                <w:color w:val="auto"/>
                <w:szCs w:val="21"/>
                <w:highlight w:val="none"/>
                <w:lang w:val="zh-CN"/>
              </w:rPr>
              <w:t>正高级技术职称人员</w:t>
            </w:r>
          </w:p>
        </w:tc>
        <w:tc>
          <w:tcPr>
            <w:tcW w:w="767" w:type="dxa"/>
            <w:vAlign w:val="center"/>
          </w:tcPr>
          <w:p w14:paraId="7855B605">
            <w:pPr>
              <w:keepNext w:val="0"/>
              <w:keepLines w:val="0"/>
              <w:widowControl/>
              <w:suppressLineNumbers w:val="0"/>
              <w:spacing w:before="0" w:beforeAutospacing="0" w:after="0" w:afterAutospacing="0" w:line="400" w:lineRule="exact"/>
              <w:ind w:left="0" w:right="0"/>
              <w:jc w:val="center"/>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w:t>
            </w:r>
          </w:p>
        </w:tc>
        <w:tc>
          <w:tcPr>
            <w:tcW w:w="850" w:type="dxa"/>
            <w:vAlign w:val="center"/>
          </w:tcPr>
          <w:p w14:paraId="77BC8D39">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6871ACB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5CD8994C">
            <w:pPr>
              <w:keepNext w:val="0"/>
              <w:keepLines w:val="0"/>
              <w:widowControl/>
              <w:suppressLineNumbers w:val="0"/>
              <w:spacing w:before="0" w:beforeAutospacing="0" w:after="0" w:afterAutospacing="0" w:line="400" w:lineRule="exact"/>
              <w:ind w:left="0" w:right="0"/>
              <w:jc w:val="center"/>
              <w:rPr>
                <w:rFonts w:hint="eastAsia" w:ascii="宋体" w:hAnsi="宋体" w:eastAsia="宋体"/>
                <w:bCs/>
                <w:color w:val="auto"/>
                <w:szCs w:val="21"/>
                <w:highlight w:val="none"/>
                <w:lang w:val="en-US" w:eastAsia="zh-CN"/>
              </w:rPr>
            </w:pPr>
          </w:p>
        </w:tc>
        <w:tc>
          <w:tcPr>
            <w:tcW w:w="1984" w:type="dxa"/>
            <w:vAlign w:val="center"/>
          </w:tcPr>
          <w:p w14:paraId="08240F3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4FAAC1F6">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02492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04CFFF0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7A84ECA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129A368C">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767" w:type="dxa"/>
            <w:vAlign w:val="center"/>
          </w:tcPr>
          <w:p w14:paraId="529058F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850" w:type="dxa"/>
            <w:vAlign w:val="center"/>
          </w:tcPr>
          <w:p w14:paraId="0EBF9D55">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01011C7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62130E8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984" w:type="dxa"/>
            <w:vAlign w:val="center"/>
          </w:tcPr>
          <w:p w14:paraId="738308E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5BFB19C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0B9A6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6B5AD719">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0A3C172C">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3567C8BA">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zh-CN"/>
              </w:rPr>
              <w:t>副高级技术职称人员</w:t>
            </w:r>
          </w:p>
        </w:tc>
        <w:tc>
          <w:tcPr>
            <w:tcW w:w="767" w:type="dxa"/>
            <w:vAlign w:val="center"/>
          </w:tcPr>
          <w:p w14:paraId="1D324A41">
            <w:pPr>
              <w:keepNext w:val="0"/>
              <w:keepLines w:val="0"/>
              <w:widowControl/>
              <w:suppressLineNumbers w:val="0"/>
              <w:spacing w:before="0" w:beforeAutospacing="0" w:after="0" w:afterAutospacing="0" w:line="400" w:lineRule="exact"/>
              <w:ind w:left="0" w:right="0"/>
              <w:jc w:val="center"/>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w:t>
            </w:r>
          </w:p>
        </w:tc>
        <w:tc>
          <w:tcPr>
            <w:tcW w:w="850" w:type="dxa"/>
            <w:vAlign w:val="center"/>
          </w:tcPr>
          <w:p w14:paraId="3DF6A4C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543759AC">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00B5A48A">
            <w:pPr>
              <w:keepNext w:val="0"/>
              <w:keepLines w:val="0"/>
              <w:widowControl/>
              <w:suppressLineNumbers w:val="0"/>
              <w:spacing w:before="0" w:beforeAutospacing="0" w:after="0" w:afterAutospacing="0" w:line="400" w:lineRule="exact"/>
              <w:ind w:left="0" w:right="0"/>
              <w:jc w:val="center"/>
              <w:rPr>
                <w:rFonts w:hint="eastAsia" w:ascii="宋体" w:hAnsi="宋体" w:eastAsia="宋体"/>
                <w:bCs/>
                <w:color w:val="auto"/>
                <w:szCs w:val="21"/>
                <w:highlight w:val="none"/>
                <w:lang w:val="en-US" w:eastAsia="zh-CN"/>
              </w:rPr>
            </w:pPr>
          </w:p>
        </w:tc>
        <w:tc>
          <w:tcPr>
            <w:tcW w:w="1984" w:type="dxa"/>
            <w:vAlign w:val="center"/>
          </w:tcPr>
          <w:p w14:paraId="017E3DA3">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2CE8F37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262FB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2A920C8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2ECE732F">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01A238EE">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lang w:val="en-US" w:eastAsia="zh-CN"/>
              </w:rPr>
              <w:t>……</w:t>
            </w:r>
          </w:p>
        </w:tc>
        <w:tc>
          <w:tcPr>
            <w:tcW w:w="767" w:type="dxa"/>
            <w:vAlign w:val="center"/>
          </w:tcPr>
          <w:p w14:paraId="7B6DFE8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850" w:type="dxa"/>
            <w:vAlign w:val="center"/>
          </w:tcPr>
          <w:p w14:paraId="60D546D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14D2F136">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3C82ACB2">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984" w:type="dxa"/>
            <w:vAlign w:val="center"/>
          </w:tcPr>
          <w:p w14:paraId="4B8B5A0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50A8A736">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r w14:paraId="23FA8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6FE7D23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85" w:type="dxa"/>
            <w:vAlign w:val="center"/>
          </w:tcPr>
          <w:p w14:paraId="61C34E7B">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918" w:type="dxa"/>
            <w:vAlign w:val="center"/>
          </w:tcPr>
          <w:p w14:paraId="66730B30">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767" w:type="dxa"/>
            <w:vAlign w:val="center"/>
          </w:tcPr>
          <w:p w14:paraId="0C33169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850" w:type="dxa"/>
            <w:vAlign w:val="center"/>
          </w:tcPr>
          <w:p w14:paraId="6EE3DF74">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34" w:type="dxa"/>
            <w:vAlign w:val="center"/>
          </w:tcPr>
          <w:p w14:paraId="753EFADC">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418" w:type="dxa"/>
            <w:vAlign w:val="center"/>
          </w:tcPr>
          <w:p w14:paraId="4D7CEE49">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984" w:type="dxa"/>
            <w:vAlign w:val="center"/>
          </w:tcPr>
          <w:p w14:paraId="609CC17D">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c>
          <w:tcPr>
            <w:tcW w:w="1172" w:type="dxa"/>
            <w:vAlign w:val="center"/>
          </w:tcPr>
          <w:p w14:paraId="2D2AA9E1">
            <w:pPr>
              <w:keepNext w:val="0"/>
              <w:keepLines w:val="0"/>
              <w:widowControl/>
              <w:suppressLineNumbers w:val="0"/>
              <w:spacing w:before="0" w:beforeAutospacing="0" w:after="0" w:afterAutospacing="0" w:line="400" w:lineRule="exact"/>
              <w:ind w:left="0" w:right="0"/>
              <w:jc w:val="center"/>
              <w:rPr>
                <w:rFonts w:hint="eastAsia" w:ascii="宋体" w:hAnsi="宋体"/>
                <w:bCs/>
                <w:color w:val="auto"/>
                <w:szCs w:val="21"/>
                <w:highlight w:val="none"/>
              </w:rPr>
            </w:pPr>
          </w:p>
        </w:tc>
      </w:tr>
    </w:tbl>
    <w:p w14:paraId="7BE16C9E">
      <w:pPr>
        <w:rPr>
          <w:b/>
          <w:color w:val="auto"/>
          <w:highlight w:val="none"/>
        </w:rPr>
      </w:pPr>
      <w:r>
        <w:rPr>
          <w:rFonts w:hint="eastAsia"/>
          <w:b/>
          <w:color w:val="auto"/>
          <w:highlight w:val="none"/>
        </w:rPr>
        <w:t>注：须按招标文件要求的格式提供人员清单，附相关人员的学历证书、职称证书、供应商为其缴纳的近三个月（2026年</w:t>
      </w:r>
      <w:r>
        <w:rPr>
          <w:rFonts w:hint="eastAsia"/>
          <w:b/>
          <w:color w:val="auto"/>
          <w:highlight w:val="none"/>
          <w:lang w:val="en-US" w:eastAsia="zh-CN"/>
        </w:rPr>
        <w:t>05</w:t>
      </w:r>
      <w:r>
        <w:rPr>
          <w:rFonts w:hint="eastAsia"/>
          <w:b/>
          <w:color w:val="auto"/>
          <w:highlight w:val="none"/>
        </w:rPr>
        <w:t>月-2026年</w:t>
      </w:r>
      <w:r>
        <w:rPr>
          <w:rFonts w:hint="eastAsia"/>
          <w:b/>
          <w:color w:val="auto"/>
          <w:highlight w:val="none"/>
          <w:lang w:val="en-US" w:eastAsia="zh-CN"/>
        </w:rPr>
        <w:t>07</w:t>
      </w:r>
      <w:r>
        <w:rPr>
          <w:rFonts w:hint="eastAsia"/>
          <w:b/>
          <w:color w:val="auto"/>
          <w:highlight w:val="none"/>
        </w:rPr>
        <w:t>月）中任一月份的社保记录等证明材料，劳务派遣人员提供用工合同复印件和用工单位为其缴纳的近三个月（2026年</w:t>
      </w:r>
      <w:r>
        <w:rPr>
          <w:rFonts w:hint="eastAsia"/>
          <w:b/>
          <w:color w:val="auto"/>
          <w:highlight w:val="none"/>
          <w:lang w:val="en-US" w:eastAsia="zh-CN"/>
        </w:rPr>
        <w:t>05</w:t>
      </w:r>
      <w:r>
        <w:rPr>
          <w:rFonts w:hint="eastAsia"/>
          <w:b/>
          <w:color w:val="auto"/>
          <w:highlight w:val="none"/>
        </w:rPr>
        <w:t>月-2026年</w:t>
      </w:r>
      <w:r>
        <w:rPr>
          <w:rFonts w:hint="eastAsia"/>
          <w:b/>
          <w:color w:val="auto"/>
          <w:highlight w:val="none"/>
          <w:lang w:val="en-US" w:eastAsia="zh-CN"/>
        </w:rPr>
        <w:t>07</w:t>
      </w:r>
      <w:r>
        <w:rPr>
          <w:rFonts w:hint="eastAsia"/>
          <w:b/>
          <w:color w:val="auto"/>
          <w:highlight w:val="none"/>
        </w:rPr>
        <w:t>月）中任一月份的社保记录，未提供有效证明材料的不得分，证明材料清晰可见，模糊的不得分。劳务派遣用工只能在临时性、辅助性或者替代性的工作岗位上实施。（1）-（2）人员不重复计分；（4）-（5）一人只计一证，不重复计分，按最高级别赋分。若人员团队成员因属于事业单位、企业退休人员、</w:t>
      </w:r>
      <w:r>
        <w:rPr>
          <w:rFonts w:hint="eastAsia"/>
          <w:b/>
          <w:bCs/>
          <w:lang w:val="en-US" w:eastAsia="zh-CN"/>
        </w:rPr>
        <w:t>退</w:t>
      </w:r>
      <w:r>
        <w:rPr>
          <w:rFonts w:hint="eastAsia"/>
          <w:b/>
          <w:color w:val="auto"/>
          <w:highlight w:val="none"/>
        </w:rPr>
        <w:t>役军人等客观原因无法提供社保记录缴费证明，必须出具相关证明材料，否则一律按未提供社保记录证明材料处理。</w:t>
      </w:r>
    </w:p>
    <w:p w14:paraId="459B0C39">
      <w:pPr>
        <w:pStyle w:val="16"/>
        <w:ind w:left="1260"/>
        <w:rPr>
          <w:color w:val="auto"/>
          <w:highlight w:val="none"/>
        </w:rPr>
      </w:pPr>
    </w:p>
    <w:p w14:paraId="54ED4BDA">
      <w:pPr>
        <w:pStyle w:val="79"/>
        <w:ind w:firstLine="3780" w:firstLineChars="1800"/>
        <w:rPr>
          <w:rFonts w:ascii="Microsoft New Tai Lue" w:hAnsi="Microsoft New Tai Lue" w:cs="Microsoft New Tai Lue"/>
          <w:color w:val="auto"/>
          <w:sz w:val="21"/>
          <w:szCs w:val="21"/>
          <w:highlight w:val="none"/>
        </w:rPr>
      </w:pPr>
    </w:p>
    <w:p w14:paraId="00518A73">
      <w:pPr>
        <w:pStyle w:val="79"/>
        <w:ind w:firstLine="3780" w:firstLineChars="1800"/>
        <w:rPr>
          <w:rFonts w:ascii="Microsoft New Tai Lue" w:hAnsi="Microsoft New Tai Lue" w:cs="Microsoft New Tai Lue"/>
          <w:color w:val="auto"/>
          <w:sz w:val="21"/>
          <w:szCs w:val="21"/>
          <w:highlight w:val="none"/>
        </w:rPr>
      </w:pPr>
    </w:p>
    <w:p w14:paraId="5A335741">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5E44D98B">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4FC90CC5">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w:t>
      </w:r>
    </w:p>
    <w:p w14:paraId="7BFCD951">
      <w:pPr>
        <w:jc w:val="center"/>
        <w:rPr>
          <w:color w:val="auto"/>
          <w:highlight w:val="none"/>
        </w:rPr>
      </w:pPr>
      <w:r>
        <w:rPr>
          <w:rFonts w:hint="eastAsia" w:ascii="Microsoft New Tai Lue" w:hAnsi="Microsoft New Tai Lue" w:cs="Microsoft New Tai Lue"/>
          <w:color w:val="auto"/>
          <w:szCs w:val="21"/>
          <w:highlight w:val="none"/>
        </w:rPr>
        <w:t xml:space="preserve">     </w:t>
      </w:r>
      <w:r>
        <w:rPr>
          <w:rFonts w:hint="eastAsia" w:ascii="Microsoft New Tai Lue" w:hAnsi="Microsoft New Tai Lue" w:cs="Microsoft New Tai Lue"/>
          <w:color w:val="auto"/>
          <w:szCs w:val="21"/>
          <w:highlight w:val="none"/>
          <w:lang w:val="en-US" w:eastAsia="zh-CN"/>
        </w:rPr>
        <w:t xml:space="preserve">   </w:t>
      </w: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日期：______年____月____日</w:t>
      </w:r>
    </w:p>
    <w:p w14:paraId="602F70F7">
      <w:pPr>
        <w:pStyle w:val="32"/>
        <w:spacing w:before="0"/>
        <w:rPr>
          <w:rFonts w:ascii="Microsoft New Tai Lue" w:hAnsi="Microsoft New Tai Lue" w:cs="Microsoft New Tai Lue"/>
          <w:bCs w:val="0"/>
          <w:color w:val="auto"/>
          <w:sz w:val="24"/>
          <w:szCs w:val="24"/>
          <w:highlight w:val="none"/>
        </w:rPr>
      </w:pPr>
      <w:r>
        <w:rPr>
          <w:color w:val="auto"/>
          <w:highlight w:val="none"/>
        </w:rPr>
        <w:br w:type="page"/>
      </w:r>
      <w:r>
        <w:rPr>
          <w:rFonts w:ascii="Microsoft New Tai Lue" w:hAnsi="Microsoft New Tai Lue" w:cs="Microsoft New Tai Lue"/>
          <w:bCs w:val="0"/>
          <w:color w:val="auto"/>
          <w:sz w:val="24"/>
          <w:szCs w:val="24"/>
          <w:highlight w:val="none"/>
        </w:rPr>
        <w:t>（3）</w:t>
      </w:r>
      <w:bookmarkEnd w:id="343"/>
      <w:bookmarkEnd w:id="344"/>
      <w:bookmarkEnd w:id="345"/>
      <w:r>
        <w:rPr>
          <w:rFonts w:hint="eastAsia" w:ascii="Microsoft New Tai Lue" w:hAnsi="Microsoft New Tai Lue" w:cs="Microsoft New Tai Lue"/>
          <w:bCs w:val="0"/>
          <w:color w:val="auto"/>
          <w:sz w:val="24"/>
          <w:szCs w:val="24"/>
          <w:highlight w:val="none"/>
        </w:rPr>
        <w:t>工作场所</w:t>
      </w:r>
    </w:p>
    <w:p w14:paraId="14FAD7B2">
      <w:pPr>
        <w:ind w:firstLine="420" w:firstLineChars="200"/>
        <w:rPr>
          <w:color w:val="auto"/>
          <w:highlight w:val="none"/>
        </w:rPr>
      </w:pPr>
      <w:r>
        <w:rPr>
          <w:rFonts w:hint="eastAsia"/>
          <w:color w:val="auto"/>
          <w:highlight w:val="none"/>
        </w:rPr>
        <w:t>开展食品安全抽样检验工作实验场所面积：</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3"/>
        <w:gridCol w:w="4963"/>
        <w:gridCol w:w="1663"/>
      </w:tblGrid>
      <w:tr w14:paraId="7B630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744" w:type="dxa"/>
            <w:vAlign w:val="center"/>
          </w:tcPr>
          <w:p w14:paraId="1D659079">
            <w:pPr>
              <w:pStyle w:val="32"/>
              <w:keepNext w:val="0"/>
              <w:keepLines w:val="0"/>
              <w:suppressLineNumbers w:val="0"/>
              <w:spacing w:before="0" w:beforeAutospacing="0" w:afterAutospacing="0"/>
              <w:ind w:left="0" w:right="0"/>
              <w:rPr>
                <w:rFonts w:hint="default" w:ascii="Microsoft New Tai Lue" w:hAnsi="Microsoft New Tai Lue" w:cs="Microsoft New Tai Lue"/>
                <w:b w:val="0"/>
                <w:color w:val="auto"/>
                <w:sz w:val="21"/>
                <w:szCs w:val="21"/>
                <w:highlight w:val="none"/>
              </w:rPr>
            </w:pPr>
            <w:r>
              <w:rPr>
                <w:rFonts w:hint="eastAsia" w:ascii="Microsoft New Tai Lue" w:hAnsi="Microsoft New Tai Lue" w:cs="Microsoft New Tai Lue"/>
                <w:b w:val="0"/>
                <w:color w:val="auto"/>
                <w:sz w:val="21"/>
                <w:szCs w:val="21"/>
                <w:highlight w:val="none"/>
              </w:rPr>
              <w:t>供应商</w:t>
            </w:r>
            <w:r>
              <w:rPr>
                <w:rFonts w:hint="default" w:ascii="Microsoft New Tai Lue" w:hAnsi="Microsoft New Tai Lue" w:cs="Microsoft New Tai Lue"/>
                <w:b w:val="0"/>
                <w:color w:val="auto"/>
                <w:sz w:val="21"/>
                <w:szCs w:val="21"/>
                <w:highlight w:val="none"/>
              </w:rPr>
              <w:t>名称</w:t>
            </w:r>
          </w:p>
        </w:tc>
        <w:tc>
          <w:tcPr>
            <w:tcW w:w="5232" w:type="dxa"/>
            <w:vAlign w:val="center"/>
          </w:tcPr>
          <w:p w14:paraId="4C43A39F">
            <w:pPr>
              <w:pStyle w:val="32"/>
              <w:keepNext w:val="0"/>
              <w:keepLines w:val="0"/>
              <w:suppressLineNumbers w:val="0"/>
              <w:spacing w:before="0" w:beforeAutospacing="0" w:afterAutospacing="0"/>
              <w:ind w:left="0" w:right="0"/>
              <w:rPr>
                <w:rFonts w:hint="default" w:ascii="Microsoft New Tai Lue" w:hAnsi="Microsoft New Tai Lue" w:cs="Microsoft New Tai Lue"/>
                <w:b w:val="0"/>
                <w:color w:val="auto"/>
                <w:sz w:val="21"/>
                <w:szCs w:val="21"/>
                <w:highlight w:val="none"/>
              </w:rPr>
            </w:pPr>
            <w:r>
              <w:rPr>
                <w:rFonts w:hint="eastAsia" w:ascii="Microsoft New Tai Lue" w:hAnsi="Microsoft New Tai Lue" w:cs="Microsoft New Tai Lue"/>
                <w:b w:val="0"/>
                <w:color w:val="auto"/>
                <w:sz w:val="21"/>
                <w:szCs w:val="21"/>
                <w:highlight w:val="none"/>
              </w:rPr>
              <w:t>实验</w:t>
            </w:r>
            <w:r>
              <w:rPr>
                <w:rFonts w:hint="default" w:ascii="Microsoft New Tai Lue" w:hAnsi="Microsoft New Tai Lue" w:cs="Microsoft New Tai Lue"/>
                <w:b w:val="0"/>
                <w:color w:val="auto"/>
                <w:sz w:val="21"/>
                <w:szCs w:val="21"/>
                <w:highlight w:val="none"/>
              </w:rPr>
              <w:t>场所</w:t>
            </w:r>
            <w:r>
              <w:rPr>
                <w:rFonts w:hint="eastAsia" w:ascii="Microsoft New Tai Lue" w:hAnsi="Microsoft New Tai Lue" w:cs="Microsoft New Tai Lue"/>
                <w:b w:val="0"/>
                <w:color w:val="auto"/>
                <w:sz w:val="21"/>
                <w:szCs w:val="21"/>
                <w:highlight w:val="none"/>
              </w:rPr>
              <w:t>面积（</w:t>
            </w:r>
            <w:r>
              <w:rPr>
                <w:rFonts w:hint="default"/>
                <w:b w:val="0"/>
                <w:color w:val="auto"/>
                <w:sz w:val="21"/>
                <w:szCs w:val="21"/>
                <w:highlight w:val="none"/>
              </w:rPr>
              <w:t>m</w:t>
            </w:r>
            <w:r>
              <w:rPr>
                <w:rFonts w:hint="default"/>
                <w:b w:val="0"/>
                <w:color w:val="auto"/>
                <w:sz w:val="21"/>
                <w:szCs w:val="21"/>
                <w:highlight w:val="none"/>
                <w:vertAlign w:val="superscript"/>
              </w:rPr>
              <w:t>2</w:t>
            </w:r>
            <w:r>
              <w:rPr>
                <w:rFonts w:hint="eastAsia" w:ascii="Microsoft New Tai Lue" w:hAnsi="Microsoft New Tai Lue" w:cs="Microsoft New Tai Lue"/>
                <w:b w:val="0"/>
                <w:color w:val="auto"/>
                <w:sz w:val="21"/>
                <w:szCs w:val="21"/>
                <w:highlight w:val="none"/>
              </w:rPr>
              <w:t>）</w:t>
            </w:r>
          </w:p>
        </w:tc>
        <w:tc>
          <w:tcPr>
            <w:tcW w:w="1744" w:type="dxa"/>
            <w:vAlign w:val="center"/>
          </w:tcPr>
          <w:p w14:paraId="79046795">
            <w:pPr>
              <w:pStyle w:val="32"/>
              <w:keepNext w:val="0"/>
              <w:keepLines w:val="0"/>
              <w:suppressLineNumbers w:val="0"/>
              <w:spacing w:before="0" w:beforeAutospacing="0" w:afterAutospacing="0"/>
              <w:ind w:left="0" w:right="0"/>
              <w:rPr>
                <w:rFonts w:hint="default" w:ascii="Microsoft New Tai Lue" w:hAnsi="Microsoft New Tai Lue" w:cs="Microsoft New Tai Lue"/>
                <w:b w:val="0"/>
                <w:color w:val="auto"/>
                <w:sz w:val="21"/>
                <w:szCs w:val="21"/>
                <w:highlight w:val="none"/>
              </w:rPr>
            </w:pPr>
            <w:r>
              <w:rPr>
                <w:rFonts w:hint="eastAsia" w:ascii="Microsoft New Tai Lue" w:hAnsi="Microsoft New Tai Lue" w:cs="Microsoft New Tai Lue"/>
                <w:b w:val="0"/>
                <w:color w:val="auto"/>
                <w:sz w:val="21"/>
                <w:szCs w:val="21"/>
                <w:highlight w:val="none"/>
              </w:rPr>
              <w:t>在投标文件中的页码位置</w:t>
            </w:r>
          </w:p>
        </w:tc>
      </w:tr>
      <w:tr w14:paraId="45411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744" w:type="dxa"/>
            <w:vAlign w:val="center"/>
          </w:tcPr>
          <w:p w14:paraId="71ED1A34">
            <w:pPr>
              <w:pStyle w:val="32"/>
              <w:keepNext w:val="0"/>
              <w:keepLines w:val="0"/>
              <w:suppressLineNumbers w:val="0"/>
              <w:spacing w:before="0" w:beforeAutospacing="0" w:afterAutospacing="0"/>
              <w:ind w:left="0" w:right="0"/>
              <w:rPr>
                <w:rFonts w:hint="default"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 </w:t>
            </w:r>
          </w:p>
        </w:tc>
        <w:tc>
          <w:tcPr>
            <w:tcW w:w="5232" w:type="dxa"/>
            <w:vAlign w:val="center"/>
          </w:tcPr>
          <w:p w14:paraId="263250A6">
            <w:pPr>
              <w:pStyle w:val="32"/>
              <w:keepNext w:val="0"/>
              <w:keepLines w:val="0"/>
              <w:suppressLineNumbers w:val="0"/>
              <w:spacing w:before="0" w:beforeAutospacing="0" w:afterAutospacing="0"/>
              <w:ind w:left="0" w:right="0"/>
              <w:rPr>
                <w:rFonts w:hint="default" w:ascii="Microsoft New Tai Lue" w:hAnsi="Microsoft New Tai Lue" w:cs="Microsoft New Tai Lue"/>
                <w:color w:val="auto"/>
                <w:sz w:val="21"/>
                <w:szCs w:val="21"/>
                <w:highlight w:val="none"/>
              </w:rPr>
            </w:pPr>
          </w:p>
        </w:tc>
        <w:tc>
          <w:tcPr>
            <w:tcW w:w="1744" w:type="dxa"/>
            <w:vAlign w:val="center"/>
          </w:tcPr>
          <w:p w14:paraId="6B77A064">
            <w:pPr>
              <w:pStyle w:val="32"/>
              <w:keepNext w:val="0"/>
              <w:keepLines w:val="0"/>
              <w:suppressLineNumbers w:val="0"/>
              <w:spacing w:before="0" w:beforeAutospacing="0" w:afterAutospacing="0"/>
              <w:ind w:left="0" w:right="0"/>
              <w:rPr>
                <w:rFonts w:hint="default" w:ascii="Microsoft New Tai Lue" w:hAnsi="Microsoft New Tai Lue" w:cs="Microsoft New Tai Lue"/>
                <w:color w:val="auto"/>
                <w:sz w:val="21"/>
                <w:szCs w:val="21"/>
                <w:highlight w:val="none"/>
              </w:rPr>
            </w:pPr>
          </w:p>
        </w:tc>
      </w:tr>
    </w:tbl>
    <w:p w14:paraId="4D6D72D0">
      <w:pPr>
        <w:rPr>
          <w:rFonts w:hint="eastAsia" w:ascii="宋体" w:hAnsi="宋体"/>
          <w:b/>
          <w:bCs/>
          <w:color w:val="auto"/>
          <w:szCs w:val="21"/>
          <w:highlight w:val="none"/>
        </w:rPr>
      </w:pPr>
      <w:bookmarkStart w:id="346" w:name="_Toc104560921"/>
      <w:bookmarkStart w:id="347" w:name="_Toc103848604"/>
      <w:bookmarkStart w:id="348" w:name="_Toc107246304"/>
      <w:r>
        <w:rPr>
          <w:rFonts w:hint="eastAsia" w:ascii="宋体" w:hAnsi="宋体"/>
          <w:b/>
          <w:bCs/>
          <w:color w:val="auto"/>
          <w:szCs w:val="21"/>
          <w:highlight w:val="none"/>
        </w:rPr>
        <w:t>注：</w:t>
      </w:r>
    </w:p>
    <w:p w14:paraId="5E9673D7">
      <w:pPr>
        <w:rPr>
          <w:rFonts w:hint="eastAsia" w:ascii="宋体" w:hAnsi="宋体"/>
          <w:b/>
          <w:bCs/>
          <w:color w:val="auto"/>
          <w:szCs w:val="21"/>
          <w:highlight w:val="none"/>
        </w:rPr>
      </w:pPr>
      <w:r>
        <w:rPr>
          <w:rFonts w:hint="eastAsia" w:ascii="宋体" w:hAnsi="宋体"/>
          <w:b/>
          <w:bCs/>
          <w:color w:val="auto"/>
          <w:szCs w:val="21"/>
          <w:highlight w:val="none"/>
        </w:rPr>
        <w:t>（1）供应商须承诺抽样检验的实验室为供应商拥有，并提供承诺书。采购人有权在合同签订前进行现场考察，一旦发现弄虚作假，将取消中标资格，并报有关部门严肃处理；</w:t>
      </w:r>
    </w:p>
    <w:p w14:paraId="470B5B6D">
      <w:pPr>
        <w:rPr>
          <w:rFonts w:hint="eastAsia" w:ascii="宋体" w:hAnsi="宋体"/>
          <w:b/>
          <w:bCs/>
          <w:color w:val="auto"/>
          <w:szCs w:val="21"/>
          <w:highlight w:val="none"/>
        </w:rPr>
      </w:pPr>
      <w:r>
        <w:rPr>
          <w:rFonts w:hint="eastAsia" w:ascii="宋体" w:hAnsi="宋体"/>
          <w:b/>
          <w:bCs/>
          <w:color w:val="auto"/>
          <w:szCs w:val="21"/>
          <w:highlight w:val="none"/>
        </w:rPr>
        <w:t>（2）提供食品抽样检验工作实验场所的房产证或所有权证明文件或有效的房屋租赁合同及发票复印件；</w:t>
      </w:r>
    </w:p>
    <w:p w14:paraId="66DDE41B">
      <w:pPr>
        <w:rPr>
          <w:rFonts w:hint="eastAsia" w:ascii="宋体" w:hAnsi="宋体"/>
          <w:b/>
          <w:bCs/>
          <w:color w:val="auto"/>
          <w:szCs w:val="21"/>
          <w:highlight w:val="none"/>
        </w:rPr>
      </w:pPr>
      <w:r>
        <w:rPr>
          <w:rFonts w:hint="eastAsia" w:ascii="宋体" w:hAnsi="宋体"/>
          <w:b/>
          <w:bCs/>
          <w:color w:val="auto"/>
          <w:szCs w:val="21"/>
          <w:highlight w:val="none"/>
        </w:rPr>
        <w:t>（3）提供抽样检验工作实验场所的平面布局图，并提供各组成部分面积清单；</w:t>
      </w:r>
    </w:p>
    <w:p w14:paraId="5BE0C140">
      <w:pPr>
        <w:rPr>
          <w:color w:val="auto"/>
          <w:highlight w:val="none"/>
        </w:rPr>
      </w:pPr>
      <w:r>
        <w:rPr>
          <w:rFonts w:hint="eastAsia" w:ascii="宋体" w:hAnsi="宋体"/>
          <w:b/>
          <w:bCs/>
          <w:color w:val="auto"/>
          <w:szCs w:val="21"/>
          <w:highlight w:val="none"/>
        </w:rPr>
        <w:t>（4）未达到上述要求或未提供有效证明文件的不得分，证明材料清晰可见，模糊的不得分。</w:t>
      </w:r>
    </w:p>
    <w:p w14:paraId="1160E6D8">
      <w:pPr>
        <w:pStyle w:val="16"/>
        <w:ind w:left="1260"/>
        <w:rPr>
          <w:color w:val="auto"/>
          <w:highlight w:val="none"/>
        </w:rPr>
      </w:pPr>
    </w:p>
    <w:p w14:paraId="53E4E855">
      <w:pPr>
        <w:pStyle w:val="16"/>
        <w:ind w:left="1260"/>
        <w:rPr>
          <w:color w:val="auto"/>
          <w:highlight w:val="none"/>
        </w:rPr>
      </w:pPr>
    </w:p>
    <w:p w14:paraId="36CCEB2D">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6C274C8D">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2590E30E">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w:t>
      </w:r>
    </w:p>
    <w:p w14:paraId="5209BFF7">
      <w:pPr>
        <w:pStyle w:val="16"/>
        <w:ind w:left="1260"/>
        <w:rPr>
          <w:color w:val="auto"/>
          <w:highlight w:val="none"/>
        </w:rPr>
      </w:pP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        </w:t>
      </w:r>
      <w:r>
        <w:rPr>
          <w:rFonts w:ascii="Microsoft New Tai Lue" w:hAnsi="Microsoft New Tai Lue" w:cs="Microsoft New Tai Lue"/>
          <w:b w:val="0"/>
          <w:color w:val="auto"/>
          <w:sz w:val="21"/>
          <w:szCs w:val="21"/>
          <w:highlight w:val="none"/>
        </w:rPr>
        <w:t>日期：______年____月____日</w:t>
      </w:r>
    </w:p>
    <w:p w14:paraId="029F3AB8">
      <w:pPr>
        <w:widowControl/>
        <w:jc w:val="left"/>
        <w:rPr>
          <w:rFonts w:ascii="宋体"/>
          <w:b/>
          <w:color w:val="auto"/>
          <w:kern w:val="0"/>
          <w:position w:val="-10"/>
          <w:sz w:val="24"/>
          <w:szCs w:val="20"/>
          <w:highlight w:val="none"/>
        </w:rPr>
      </w:pPr>
      <w:r>
        <w:rPr>
          <w:color w:val="auto"/>
          <w:highlight w:val="none"/>
        </w:rPr>
        <w:br w:type="page"/>
      </w:r>
    </w:p>
    <w:p w14:paraId="75B92148">
      <w:pPr>
        <w:pStyle w:val="32"/>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（4）抽样设备</w:t>
      </w:r>
    </w:p>
    <w:tbl>
      <w:tblPr>
        <w:tblStyle w:val="3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00"/>
        <w:gridCol w:w="1339"/>
        <w:gridCol w:w="1372"/>
        <w:gridCol w:w="1610"/>
        <w:gridCol w:w="899"/>
      </w:tblGrid>
      <w:tr w14:paraId="74E22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3500" w:type="dxa"/>
            <w:vAlign w:val="center"/>
          </w:tcPr>
          <w:p w14:paraId="0F51A502">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设备名称</w:t>
            </w:r>
          </w:p>
        </w:tc>
        <w:tc>
          <w:tcPr>
            <w:tcW w:w="1339" w:type="dxa"/>
            <w:vAlign w:val="center"/>
          </w:tcPr>
          <w:p w14:paraId="49621022">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单位</w:t>
            </w:r>
          </w:p>
        </w:tc>
        <w:tc>
          <w:tcPr>
            <w:tcW w:w="1372" w:type="dxa"/>
            <w:vAlign w:val="center"/>
          </w:tcPr>
          <w:p w14:paraId="1DA8CFE2">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数量</w:t>
            </w:r>
          </w:p>
        </w:tc>
        <w:tc>
          <w:tcPr>
            <w:tcW w:w="1610" w:type="dxa"/>
            <w:vAlign w:val="center"/>
          </w:tcPr>
          <w:p w14:paraId="21482C47">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899" w:type="dxa"/>
            <w:vAlign w:val="center"/>
          </w:tcPr>
          <w:p w14:paraId="22BE1E04">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ascii="宋体" w:hAnsi="宋体" w:cs="宋体"/>
                <w:color w:val="auto"/>
                <w:szCs w:val="21"/>
                <w:highlight w:val="none"/>
              </w:rPr>
              <w:t>备注</w:t>
            </w:r>
          </w:p>
        </w:tc>
      </w:tr>
      <w:tr w14:paraId="7C21C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3500" w:type="dxa"/>
            <w:vAlign w:val="center"/>
          </w:tcPr>
          <w:p w14:paraId="6068F948">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食品抽样的车辆</w:t>
            </w:r>
          </w:p>
        </w:tc>
        <w:tc>
          <w:tcPr>
            <w:tcW w:w="1339" w:type="dxa"/>
            <w:vAlign w:val="center"/>
          </w:tcPr>
          <w:p w14:paraId="3A7C61F7">
            <w:pPr>
              <w:keepNext w:val="0"/>
              <w:keepLines w:val="0"/>
              <w:suppressLineNumbers w:val="0"/>
              <w:spacing w:before="0" w:beforeAutospacing="0" w:after="0" w:afterAutospacing="0"/>
              <w:ind w:left="0" w:right="0"/>
              <w:jc w:val="center"/>
              <w:rPr>
                <w:rFonts w:hint="default"/>
                <w:b/>
                <w:bCs/>
                <w:color w:val="auto"/>
                <w:szCs w:val="21"/>
                <w:highlight w:val="none"/>
              </w:rPr>
            </w:pPr>
            <w:r>
              <w:rPr>
                <w:rFonts w:hint="default" w:ascii="宋体" w:hAnsi="宋体"/>
                <w:color w:val="auto"/>
                <w:kern w:val="0"/>
                <w:szCs w:val="21"/>
                <w:highlight w:val="none"/>
                <w:lang w:val="zh-CN" w:bidi="zh-CN"/>
              </w:rPr>
              <w:t>辆</w:t>
            </w:r>
          </w:p>
        </w:tc>
        <w:tc>
          <w:tcPr>
            <w:tcW w:w="1372" w:type="dxa"/>
            <w:vAlign w:val="center"/>
          </w:tcPr>
          <w:p w14:paraId="19A92300">
            <w:pPr>
              <w:keepNext w:val="0"/>
              <w:keepLines w:val="0"/>
              <w:suppressLineNumbers w:val="0"/>
              <w:spacing w:before="0" w:beforeAutospacing="0" w:after="0" w:afterAutospacing="0"/>
              <w:ind w:left="0" w:right="0"/>
              <w:jc w:val="center"/>
              <w:rPr>
                <w:rFonts w:hint="default"/>
                <w:b/>
                <w:bCs/>
                <w:color w:val="auto"/>
                <w:szCs w:val="21"/>
                <w:highlight w:val="none"/>
              </w:rPr>
            </w:pPr>
          </w:p>
        </w:tc>
        <w:tc>
          <w:tcPr>
            <w:tcW w:w="1610" w:type="dxa"/>
            <w:vAlign w:val="center"/>
          </w:tcPr>
          <w:p w14:paraId="45ED98BF">
            <w:pPr>
              <w:keepNext w:val="0"/>
              <w:keepLines w:val="0"/>
              <w:suppressLineNumbers w:val="0"/>
              <w:spacing w:before="0" w:beforeAutospacing="0" w:after="0" w:afterAutospacing="0"/>
              <w:ind w:left="0" w:right="0"/>
              <w:jc w:val="center"/>
              <w:rPr>
                <w:rFonts w:hint="default"/>
                <w:b/>
                <w:bCs/>
                <w:color w:val="auto"/>
                <w:szCs w:val="21"/>
                <w:highlight w:val="none"/>
              </w:rPr>
            </w:pPr>
          </w:p>
        </w:tc>
        <w:tc>
          <w:tcPr>
            <w:tcW w:w="899" w:type="dxa"/>
            <w:vAlign w:val="center"/>
          </w:tcPr>
          <w:p w14:paraId="35BCC07D">
            <w:pPr>
              <w:keepNext w:val="0"/>
              <w:keepLines w:val="0"/>
              <w:suppressLineNumbers w:val="0"/>
              <w:spacing w:before="0" w:beforeAutospacing="0" w:after="0" w:afterAutospacing="0"/>
              <w:ind w:left="0" w:right="0"/>
              <w:jc w:val="center"/>
              <w:rPr>
                <w:rFonts w:hint="default"/>
                <w:b/>
                <w:bCs/>
                <w:color w:val="auto"/>
                <w:szCs w:val="21"/>
                <w:highlight w:val="none"/>
              </w:rPr>
            </w:pPr>
          </w:p>
        </w:tc>
      </w:tr>
      <w:tr w14:paraId="2EE7E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500" w:type="dxa"/>
            <w:vAlign w:val="center"/>
          </w:tcPr>
          <w:p w14:paraId="2B98D361">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食品抽样的冷链运输车辆</w:t>
            </w:r>
          </w:p>
        </w:tc>
        <w:tc>
          <w:tcPr>
            <w:tcW w:w="1339" w:type="dxa"/>
            <w:vAlign w:val="center"/>
          </w:tcPr>
          <w:p w14:paraId="3D05968D">
            <w:pPr>
              <w:keepNext w:val="0"/>
              <w:keepLines w:val="0"/>
              <w:suppressLineNumbers w:val="0"/>
              <w:spacing w:before="0" w:beforeAutospacing="0" w:after="0" w:afterAutospacing="0"/>
              <w:ind w:left="0" w:right="0"/>
              <w:jc w:val="center"/>
              <w:rPr>
                <w:rFonts w:hint="default"/>
                <w:b/>
                <w:bCs/>
                <w:color w:val="auto"/>
                <w:szCs w:val="21"/>
                <w:highlight w:val="none"/>
              </w:rPr>
            </w:pPr>
            <w:r>
              <w:rPr>
                <w:rFonts w:hint="default" w:ascii="宋体" w:hAnsi="宋体"/>
                <w:color w:val="auto"/>
                <w:kern w:val="0"/>
                <w:szCs w:val="21"/>
                <w:highlight w:val="none"/>
                <w:lang w:val="zh-CN" w:bidi="zh-CN"/>
              </w:rPr>
              <w:t>辆</w:t>
            </w:r>
          </w:p>
        </w:tc>
        <w:tc>
          <w:tcPr>
            <w:tcW w:w="1372" w:type="dxa"/>
            <w:vAlign w:val="center"/>
          </w:tcPr>
          <w:p w14:paraId="658B17CA">
            <w:pPr>
              <w:keepNext w:val="0"/>
              <w:keepLines w:val="0"/>
              <w:suppressLineNumbers w:val="0"/>
              <w:spacing w:before="0" w:beforeAutospacing="0" w:after="0" w:afterAutospacing="0"/>
              <w:ind w:left="0" w:right="0"/>
              <w:jc w:val="center"/>
              <w:rPr>
                <w:rFonts w:hint="default"/>
                <w:b/>
                <w:bCs/>
                <w:color w:val="auto"/>
                <w:szCs w:val="21"/>
                <w:highlight w:val="none"/>
              </w:rPr>
            </w:pPr>
          </w:p>
        </w:tc>
        <w:tc>
          <w:tcPr>
            <w:tcW w:w="1610" w:type="dxa"/>
            <w:vAlign w:val="center"/>
          </w:tcPr>
          <w:p w14:paraId="28D2008D">
            <w:pPr>
              <w:keepNext w:val="0"/>
              <w:keepLines w:val="0"/>
              <w:suppressLineNumbers w:val="0"/>
              <w:spacing w:before="0" w:beforeAutospacing="0" w:after="0" w:afterAutospacing="0"/>
              <w:ind w:left="0" w:right="0"/>
              <w:jc w:val="center"/>
              <w:rPr>
                <w:rFonts w:hint="default"/>
                <w:b/>
                <w:bCs/>
                <w:color w:val="auto"/>
                <w:szCs w:val="21"/>
                <w:highlight w:val="none"/>
              </w:rPr>
            </w:pPr>
          </w:p>
        </w:tc>
        <w:tc>
          <w:tcPr>
            <w:tcW w:w="899" w:type="dxa"/>
            <w:vAlign w:val="center"/>
          </w:tcPr>
          <w:p w14:paraId="3D715CDF">
            <w:pPr>
              <w:keepNext w:val="0"/>
              <w:keepLines w:val="0"/>
              <w:suppressLineNumbers w:val="0"/>
              <w:spacing w:before="0" w:beforeAutospacing="0" w:after="0" w:afterAutospacing="0"/>
              <w:ind w:left="0" w:right="0"/>
              <w:jc w:val="center"/>
              <w:rPr>
                <w:rFonts w:hint="default"/>
                <w:b/>
                <w:bCs/>
                <w:color w:val="auto"/>
                <w:szCs w:val="21"/>
                <w:highlight w:val="none"/>
              </w:rPr>
            </w:pPr>
          </w:p>
        </w:tc>
      </w:tr>
      <w:tr w14:paraId="4C4C5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500" w:type="dxa"/>
            <w:vAlign w:val="center"/>
          </w:tcPr>
          <w:p w14:paraId="1DE7E82C">
            <w:pPr>
              <w:keepNext w:val="0"/>
              <w:keepLines w:val="0"/>
              <w:suppressLineNumbers w:val="0"/>
              <w:spacing w:before="0" w:beforeAutospacing="0" w:after="0" w:afterAutospacing="0"/>
              <w:ind w:left="0" w:right="0"/>
              <w:jc w:val="center"/>
              <w:rPr>
                <w:rFonts w:hint="default"/>
                <w:b/>
                <w:bCs/>
                <w:color w:val="auto"/>
                <w:szCs w:val="21"/>
                <w:highlight w:val="none"/>
              </w:rPr>
            </w:pPr>
            <w:r>
              <w:rPr>
                <w:rFonts w:hint="eastAsia"/>
                <w:color w:val="auto"/>
                <w:szCs w:val="21"/>
                <w:highlight w:val="none"/>
              </w:rPr>
              <w:t>食品保存的车载冰箱</w:t>
            </w:r>
          </w:p>
        </w:tc>
        <w:tc>
          <w:tcPr>
            <w:tcW w:w="1339" w:type="dxa"/>
            <w:vAlign w:val="center"/>
          </w:tcPr>
          <w:p w14:paraId="37093EA5">
            <w:pPr>
              <w:keepNext w:val="0"/>
              <w:keepLines w:val="0"/>
              <w:suppressLineNumbers w:val="0"/>
              <w:spacing w:before="0" w:beforeAutospacing="0" w:after="0" w:afterAutospacing="0"/>
              <w:ind w:left="0" w:right="0"/>
              <w:jc w:val="center"/>
              <w:rPr>
                <w:rFonts w:hint="default"/>
                <w:b/>
                <w:bCs/>
                <w:color w:val="auto"/>
                <w:szCs w:val="21"/>
                <w:highlight w:val="none"/>
              </w:rPr>
            </w:pPr>
            <w:r>
              <w:rPr>
                <w:rFonts w:hint="default" w:ascii="宋体" w:hAnsi="宋体"/>
                <w:color w:val="auto"/>
                <w:kern w:val="0"/>
                <w:szCs w:val="21"/>
                <w:highlight w:val="none"/>
                <w:lang w:val="zh-CN" w:bidi="zh-CN"/>
              </w:rPr>
              <w:t>台</w:t>
            </w:r>
          </w:p>
        </w:tc>
        <w:tc>
          <w:tcPr>
            <w:tcW w:w="1372" w:type="dxa"/>
            <w:vAlign w:val="center"/>
          </w:tcPr>
          <w:p w14:paraId="6BFD82C0">
            <w:pPr>
              <w:keepNext w:val="0"/>
              <w:keepLines w:val="0"/>
              <w:suppressLineNumbers w:val="0"/>
              <w:spacing w:before="0" w:beforeAutospacing="0" w:after="0" w:afterAutospacing="0"/>
              <w:ind w:left="0" w:right="0"/>
              <w:jc w:val="center"/>
              <w:rPr>
                <w:rFonts w:hint="default"/>
                <w:b/>
                <w:bCs/>
                <w:color w:val="auto"/>
                <w:szCs w:val="21"/>
                <w:highlight w:val="none"/>
              </w:rPr>
            </w:pPr>
          </w:p>
        </w:tc>
        <w:tc>
          <w:tcPr>
            <w:tcW w:w="1610" w:type="dxa"/>
            <w:vAlign w:val="center"/>
          </w:tcPr>
          <w:p w14:paraId="34728C50">
            <w:pPr>
              <w:keepNext w:val="0"/>
              <w:keepLines w:val="0"/>
              <w:suppressLineNumbers w:val="0"/>
              <w:spacing w:before="0" w:beforeAutospacing="0" w:after="0" w:afterAutospacing="0"/>
              <w:ind w:left="0" w:right="0"/>
              <w:jc w:val="center"/>
              <w:rPr>
                <w:rFonts w:hint="default"/>
                <w:b/>
                <w:bCs/>
                <w:color w:val="auto"/>
                <w:szCs w:val="21"/>
                <w:highlight w:val="none"/>
              </w:rPr>
            </w:pPr>
          </w:p>
        </w:tc>
        <w:tc>
          <w:tcPr>
            <w:tcW w:w="899" w:type="dxa"/>
            <w:vAlign w:val="center"/>
          </w:tcPr>
          <w:p w14:paraId="389BB86E">
            <w:pPr>
              <w:keepNext w:val="0"/>
              <w:keepLines w:val="0"/>
              <w:suppressLineNumbers w:val="0"/>
              <w:spacing w:before="0" w:beforeAutospacing="0" w:after="0" w:afterAutospacing="0"/>
              <w:ind w:left="0" w:right="0"/>
              <w:jc w:val="center"/>
              <w:rPr>
                <w:rFonts w:hint="default"/>
                <w:b/>
                <w:bCs/>
                <w:color w:val="auto"/>
                <w:szCs w:val="21"/>
                <w:highlight w:val="none"/>
              </w:rPr>
            </w:pPr>
          </w:p>
        </w:tc>
      </w:tr>
      <w:tr w14:paraId="0B905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3500" w:type="dxa"/>
            <w:vAlign w:val="center"/>
          </w:tcPr>
          <w:p w14:paraId="08D49DAA">
            <w:pPr>
              <w:keepNext w:val="0"/>
              <w:keepLines w:val="0"/>
              <w:suppressLineNumbers w:val="0"/>
              <w:spacing w:before="0" w:beforeAutospacing="0" w:after="0" w:afterAutospacing="0"/>
              <w:ind w:left="0" w:right="0"/>
              <w:jc w:val="center"/>
              <w:rPr>
                <w:rFonts w:hint="default"/>
                <w:b/>
                <w:bCs/>
                <w:color w:val="auto"/>
                <w:szCs w:val="21"/>
                <w:highlight w:val="none"/>
              </w:rPr>
            </w:pPr>
            <w:r>
              <w:rPr>
                <w:rFonts w:hint="eastAsia"/>
                <w:color w:val="auto"/>
                <w:szCs w:val="21"/>
                <w:highlight w:val="none"/>
              </w:rPr>
              <w:t>食品保存的食品保温箱</w:t>
            </w:r>
          </w:p>
        </w:tc>
        <w:tc>
          <w:tcPr>
            <w:tcW w:w="1339" w:type="dxa"/>
            <w:vAlign w:val="center"/>
          </w:tcPr>
          <w:p w14:paraId="4C9D5128">
            <w:pPr>
              <w:keepNext w:val="0"/>
              <w:keepLines w:val="0"/>
              <w:suppressLineNumbers w:val="0"/>
              <w:spacing w:before="0" w:beforeAutospacing="0" w:after="0" w:afterAutospacing="0"/>
              <w:ind w:left="0" w:right="0"/>
              <w:jc w:val="center"/>
              <w:rPr>
                <w:rFonts w:hint="default"/>
                <w:b/>
                <w:bCs/>
                <w:color w:val="auto"/>
                <w:szCs w:val="21"/>
                <w:highlight w:val="none"/>
              </w:rPr>
            </w:pPr>
            <w:r>
              <w:rPr>
                <w:rFonts w:hint="default" w:ascii="宋体" w:hAnsi="宋体"/>
                <w:color w:val="auto"/>
                <w:kern w:val="0"/>
                <w:szCs w:val="21"/>
                <w:highlight w:val="none"/>
                <w:lang w:val="zh-CN" w:bidi="zh-CN"/>
              </w:rPr>
              <w:t>个</w:t>
            </w:r>
          </w:p>
        </w:tc>
        <w:tc>
          <w:tcPr>
            <w:tcW w:w="1372" w:type="dxa"/>
            <w:vAlign w:val="center"/>
          </w:tcPr>
          <w:p w14:paraId="27CCC2D4">
            <w:pPr>
              <w:keepNext w:val="0"/>
              <w:keepLines w:val="0"/>
              <w:suppressLineNumbers w:val="0"/>
              <w:spacing w:before="0" w:beforeAutospacing="0" w:after="0" w:afterAutospacing="0"/>
              <w:ind w:left="0" w:right="0"/>
              <w:jc w:val="center"/>
              <w:rPr>
                <w:rFonts w:hint="default"/>
                <w:b/>
                <w:bCs/>
                <w:color w:val="auto"/>
                <w:szCs w:val="21"/>
                <w:highlight w:val="none"/>
              </w:rPr>
            </w:pPr>
          </w:p>
        </w:tc>
        <w:tc>
          <w:tcPr>
            <w:tcW w:w="1610" w:type="dxa"/>
            <w:vAlign w:val="center"/>
          </w:tcPr>
          <w:p w14:paraId="67F16A02">
            <w:pPr>
              <w:keepNext w:val="0"/>
              <w:keepLines w:val="0"/>
              <w:suppressLineNumbers w:val="0"/>
              <w:spacing w:before="0" w:beforeAutospacing="0" w:after="0" w:afterAutospacing="0"/>
              <w:ind w:left="0" w:right="0"/>
              <w:jc w:val="center"/>
              <w:rPr>
                <w:rFonts w:hint="default"/>
                <w:b/>
                <w:bCs/>
                <w:color w:val="auto"/>
                <w:szCs w:val="21"/>
                <w:highlight w:val="none"/>
              </w:rPr>
            </w:pPr>
          </w:p>
        </w:tc>
        <w:tc>
          <w:tcPr>
            <w:tcW w:w="899" w:type="dxa"/>
            <w:vAlign w:val="center"/>
          </w:tcPr>
          <w:p w14:paraId="46CDD5F2">
            <w:pPr>
              <w:keepNext w:val="0"/>
              <w:keepLines w:val="0"/>
              <w:suppressLineNumbers w:val="0"/>
              <w:spacing w:before="0" w:beforeAutospacing="0" w:after="0" w:afterAutospacing="0"/>
              <w:ind w:left="0" w:right="0"/>
              <w:jc w:val="center"/>
              <w:rPr>
                <w:rFonts w:hint="default"/>
                <w:b/>
                <w:bCs/>
                <w:color w:val="auto"/>
                <w:szCs w:val="21"/>
                <w:highlight w:val="none"/>
              </w:rPr>
            </w:pPr>
          </w:p>
        </w:tc>
      </w:tr>
      <w:tr w14:paraId="1FC9E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3500" w:type="dxa"/>
            <w:vAlign w:val="center"/>
          </w:tcPr>
          <w:p w14:paraId="2C36043B">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抽样过程取证的执法记录仪</w:t>
            </w:r>
          </w:p>
        </w:tc>
        <w:tc>
          <w:tcPr>
            <w:tcW w:w="1339" w:type="dxa"/>
            <w:vAlign w:val="center"/>
          </w:tcPr>
          <w:p w14:paraId="3F5986BC">
            <w:pPr>
              <w:keepNext w:val="0"/>
              <w:keepLines w:val="0"/>
              <w:suppressLineNumbers w:val="0"/>
              <w:spacing w:before="0" w:beforeAutospacing="0" w:after="0" w:afterAutospacing="0"/>
              <w:ind w:left="0" w:right="0"/>
              <w:jc w:val="center"/>
              <w:rPr>
                <w:rFonts w:hint="default"/>
                <w:b/>
                <w:bCs/>
                <w:color w:val="auto"/>
                <w:szCs w:val="21"/>
                <w:highlight w:val="none"/>
              </w:rPr>
            </w:pPr>
            <w:r>
              <w:rPr>
                <w:rFonts w:hint="default" w:ascii="宋体" w:hAnsi="宋体"/>
                <w:color w:val="auto"/>
                <w:kern w:val="0"/>
                <w:szCs w:val="21"/>
                <w:highlight w:val="none"/>
                <w:lang w:val="zh-CN" w:bidi="zh-CN"/>
              </w:rPr>
              <w:t>部</w:t>
            </w:r>
          </w:p>
        </w:tc>
        <w:tc>
          <w:tcPr>
            <w:tcW w:w="1372" w:type="dxa"/>
            <w:vAlign w:val="center"/>
          </w:tcPr>
          <w:p w14:paraId="59B1B314">
            <w:pPr>
              <w:keepNext w:val="0"/>
              <w:keepLines w:val="0"/>
              <w:suppressLineNumbers w:val="0"/>
              <w:spacing w:before="0" w:beforeAutospacing="0" w:after="0" w:afterAutospacing="0"/>
              <w:ind w:left="0" w:right="0"/>
              <w:jc w:val="center"/>
              <w:rPr>
                <w:rFonts w:hint="default"/>
                <w:b/>
                <w:bCs/>
                <w:color w:val="auto"/>
                <w:szCs w:val="21"/>
                <w:highlight w:val="none"/>
              </w:rPr>
            </w:pPr>
          </w:p>
        </w:tc>
        <w:tc>
          <w:tcPr>
            <w:tcW w:w="1610" w:type="dxa"/>
            <w:vAlign w:val="center"/>
          </w:tcPr>
          <w:p w14:paraId="07994E68">
            <w:pPr>
              <w:keepNext w:val="0"/>
              <w:keepLines w:val="0"/>
              <w:suppressLineNumbers w:val="0"/>
              <w:spacing w:before="0" w:beforeAutospacing="0" w:after="0" w:afterAutospacing="0"/>
              <w:ind w:left="0" w:right="0"/>
              <w:jc w:val="center"/>
              <w:rPr>
                <w:rFonts w:hint="default"/>
                <w:b/>
                <w:bCs/>
                <w:color w:val="auto"/>
                <w:szCs w:val="21"/>
                <w:highlight w:val="none"/>
              </w:rPr>
            </w:pPr>
          </w:p>
        </w:tc>
        <w:tc>
          <w:tcPr>
            <w:tcW w:w="899" w:type="dxa"/>
            <w:vAlign w:val="center"/>
          </w:tcPr>
          <w:p w14:paraId="08A3519D">
            <w:pPr>
              <w:keepNext w:val="0"/>
              <w:keepLines w:val="0"/>
              <w:suppressLineNumbers w:val="0"/>
              <w:spacing w:before="0" w:beforeAutospacing="0" w:after="0" w:afterAutospacing="0"/>
              <w:ind w:left="0" w:right="0"/>
              <w:jc w:val="center"/>
              <w:rPr>
                <w:rFonts w:hint="default"/>
                <w:b/>
                <w:bCs/>
                <w:color w:val="auto"/>
                <w:szCs w:val="21"/>
                <w:highlight w:val="none"/>
              </w:rPr>
            </w:pPr>
          </w:p>
        </w:tc>
      </w:tr>
      <w:tr w14:paraId="7D8F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3500" w:type="dxa"/>
            <w:vAlign w:val="center"/>
          </w:tcPr>
          <w:p w14:paraId="5EBBDDAB">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食品保存用专用冷藏库或冷冻库</w:t>
            </w:r>
          </w:p>
        </w:tc>
        <w:tc>
          <w:tcPr>
            <w:tcW w:w="1339" w:type="dxa"/>
            <w:vAlign w:val="center"/>
          </w:tcPr>
          <w:p w14:paraId="168D78C9">
            <w:pPr>
              <w:keepNext w:val="0"/>
              <w:keepLines w:val="0"/>
              <w:suppressLineNumbers w:val="0"/>
              <w:spacing w:before="0" w:beforeAutospacing="0" w:after="0" w:afterAutospacing="0"/>
              <w:ind w:left="0" w:right="0"/>
              <w:jc w:val="center"/>
              <w:rPr>
                <w:rFonts w:hint="default"/>
                <w:b/>
                <w:bCs/>
                <w:color w:val="auto"/>
                <w:szCs w:val="21"/>
                <w:highlight w:val="none"/>
              </w:rPr>
            </w:pPr>
            <w:r>
              <w:rPr>
                <w:rFonts w:hint="eastAsia"/>
                <w:b/>
                <w:bCs/>
                <w:color w:val="auto"/>
                <w:szCs w:val="21"/>
                <w:highlight w:val="none"/>
              </w:rPr>
              <w:t>/</w:t>
            </w:r>
          </w:p>
        </w:tc>
        <w:tc>
          <w:tcPr>
            <w:tcW w:w="1372" w:type="dxa"/>
            <w:vAlign w:val="center"/>
          </w:tcPr>
          <w:p w14:paraId="0125767F">
            <w:pPr>
              <w:keepNext w:val="0"/>
              <w:keepLines w:val="0"/>
              <w:suppressLineNumbers w:val="0"/>
              <w:spacing w:before="0" w:beforeAutospacing="0" w:after="0" w:afterAutospacing="0"/>
              <w:ind w:left="0" w:right="0"/>
              <w:jc w:val="center"/>
              <w:rPr>
                <w:rFonts w:hint="default"/>
                <w:b/>
                <w:bCs/>
                <w:color w:val="auto"/>
                <w:szCs w:val="21"/>
                <w:highlight w:val="none"/>
              </w:rPr>
            </w:pPr>
          </w:p>
        </w:tc>
        <w:tc>
          <w:tcPr>
            <w:tcW w:w="1610" w:type="dxa"/>
            <w:vAlign w:val="center"/>
          </w:tcPr>
          <w:p w14:paraId="6E2F1EC8">
            <w:pPr>
              <w:keepNext w:val="0"/>
              <w:keepLines w:val="0"/>
              <w:suppressLineNumbers w:val="0"/>
              <w:spacing w:before="0" w:beforeAutospacing="0" w:after="0" w:afterAutospacing="0"/>
              <w:ind w:left="0" w:right="0"/>
              <w:jc w:val="center"/>
              <w:rPr>
                <w:rFonts w:hint="default"/>
                <w:b/>
                <w:bCs/>
                <w:color w:val="auto"/>
                <w:szCs w:val="21"/>
                <w:highlight w:val="none"/>
              </w:rPr>
            </w:pPr>
          </w:p>
        </w:tc>
        <w:tc>
          <w:tcPr>
            <w:tcW w:w="899" w:type="dxa"/>
            <w:vAlign w:val="center"/>
          </w:tcPr>
          <w:p w14:paraId="19F3F1F6">
            <w:pPr>
              <w:keepNext w:val="0"/>
              <w:keepLines w:val="0"/>
              <w:suppressLineNumbers w:val="0"/>
              <w:spacing w:before="0" w:beforeAutospacing="0" w:after="0" w:afterAutospacing="0"/>
              <w:ind w:left="0" w:right="0"/>
              <w:jc w:val="center"/>
              <w:rPr>
                <w:rFonts w:hint="default"/>
                <w:b/>
                <w:bCs/>
                <w:color w:val="auto"/>
                <w:szCs w:val="21"/>
                <w:highlight w:val="none"/>
              </w:rPr>
            </w:pPr>
          </w:p>
        </w:tc>
      </w:tr>
    </w:tbl>
    <w:p w14:paraId="07D805F5">
      <w:pPr>
        <w:rPr>
          <w:b/>
          <w:bCs/>
          <w:color w:val="auto"/>
          <w:szCs w:val="21"/>
          <w:highlight w:val="none"/>
        </w:rPr>
      </w:pPr>
      <w:r>
        <w:rPr>
          <w:rFonts w:hint="eastAsia"/>
          <w:b/>
          <w:bCs/>
          <w:color w:val="auto"/>
          <w:szCs w:val="21"/>
          <w:highlight w:val="none"/>
        </w:rPr>
        <w:t>注：</w:t>
      </w:r>
      <w:r>
        <w:rPr>
          <w:rFonts w:hint="eastAsia" w:ascii="宋体" w:hAnsi="宋体" w:eastAsia="宋体" w:cs="宋体"/>
          <w:b/>
          <w:bCs/>
          <w:color w:val="auto"/>
          <w:kern w:val="0"/>
          <w:highlight w:val="none"/>
          <w:lang w:val="zh-CN"/>
        </w:rPr>
        <w:t>须提供有效的购置发票或相关证明材料。车辆可为自有或租赁，须提供购置发票或车辆行驶证复印件，租赁车辆另须提供有效租赁合同复印件，租赁期须覆盖整个招标任务履行期。冷藏库和冷冻库另须提供冷库温度等参数校准证书，证明材料清晰可见，模糊的不得分。</w:t>
      </w:r>
    </w:p>
    <w:p w14:paraId="1BDB7C72">
      <w:pPr>
        <w:pStyle w:val="16"/>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color w:val="auto"/>
          <w:highlight w:val="none"/>
        </w:rPr>
      </w:pPr>
    </w:p>
    <w:p w14:paraId="776F9775">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p>
    <w:p w14:paraId="7732C934">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530C8BF0">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59A80B7F">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w:t>
      </w:r>
    </w:p>
    <w:p w14:paraId="4DDDB887">
      <w:pPr>
        <w:pStyle w:val="16"/>
        <w:ind w:left="1260"/>
        <w:jc w:val="center"/>
        <w:rPr>
          <w:b w:val="0"/>
          <w:color w:val="auto"/>
          <w:highlight w:val="none"/>
        </w:rPr>
      </w:pPr>
      <w:r>
        <w:rPr>
          <w:rFonts w:hint="eastAsia" w:ascii="Microsoft New Tai Lue" w:hAnsi="Microsoft New Tai Lue" w:cs="Microsoft New Tai Lue"/>
          <w:b w:val="0"/>
          <w:color w:val="auto"/>
          <w:sz w:val="21"/>
          <w:szCs w:val="21"/>
          <w:highlight w:val="none"/>
          <w:lang w:val="en-US" w:eastAsia="zh-CN"/>
        </w:rPr>
        <w:t xml:space="preserve">     </w:t>
      </w:r>
      <w:r>
        <w:rPr>
          <w:rFonts w:ascii="Microsoft New Tai Lue" w:hAnsi="Microsoft New Tai Lue" w:cs="Microsoft New Tai Lue"/>
          <w:b w:val="0"/>
          <w:color w:val="auto"/>
          <w:sz w:val="21"/>
          <w:szCs w:val="21"/>
          <w:highlight w:val="none"/>
        </w:rPr>
        <w:t>日期：______年____月____日</w:t>
      </w:r>
    </w:p>
    <w:p w14:paraId="114D252A">
      <w:pPr>
        <w:pStyle w:val="32"/>
        <w:spacing w:before="0"/>
        <w:rPr>
          <w:rFonts w:ascii="Microsoft New Tai Lue" w:hAnsi="Microsoft New Tai Lue" w:cs="Microsoft New Tai Lue"/>
          <w:bCs w:val="0"/>
          <w:color w:val="auto"/>
          <w:sz w:val="24"/>
          <w:szCs w:val="24"/>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r>
        <w:rPr>
          <w:color w:val="auto"/>
          <w:highlight w:val="none"/>
        </w:rPr>
        <w:br w:type="page"/>
      </w:r>
    </w:p>
    <w:p w14:paraId="4E1621DC">
      <w:pPr>
        <w:pStyle w:val="32"/>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（5）检验设备</w:t>
      </w:r>
    </w:p>
    <w:tbl>
      <w:tblPr>
        <w:tblStyle w:val="34"/>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559"/>
        <w:gridCol w:w="2268"/>
        <w:gridCol w:w="850"/>
        <w:gridCol w:w="2694"/>
        <w:gridCol w:w="709"/>
      </w:tblGrid>
      <w:tr w14:paraId="1F42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04" w:type="dxa"/>
            <w:vAlign w:val="center"/>
          </w:tcPr>
          <w:p w14:paraId="4AF5C7D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559" w:type="dxa"/>
            <w:vAlign w:val="center"/>
          </w:tcPr>
          <w:p w14:paraId="488BB630">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268" w:type="dxa"/>
            <w:vAlign w:val="center"/>
          </w:tcPr>
          <w:p w14:paraId="0863151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设备</w:t>
            </w:r>
            <w:r>
              <w:rPr>
                <w:rFonts w:hint="default" w:ascii="宋体" w:hAnsi="宋体" w:cs="宋体"/>
                <w:color w:val="auto"/>
                <w:szCs w:val="21"/>
                <w:highlight w:val="none"/>
              </w:rPr>
              <w:t>名称</w:t>
            </w:r>
          </w:p>
        </w:tc>
        <w:tc>
          <w:tcPr>
            <w:tcW w:w="850" w:type="dxa"/>
            <w:vAlign w:val="center"/>
          </w:tcPr>
          <w:p w14:paraId="4500DD5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台数</w:t>
            </w:r>
          </w:p>
        </w:tc>
        <w:tc>
          <w:tcPr>
            <w:tcW w:w="2694" w:type="dxa"/>
            <w:vAlign w:val="center"/>
          </w:tcPr>
          <w:p w14:paraId="3F04078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709" w:type="dxa"/>
            <w:vAlign w:val="center"/>
          </w:tcPr>
          <w:p w14:paraId="434D6A0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6F5EF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2087609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59" w:type="dxa"/>
            <w:vMerge w:val="restart"/>
            <w:vAlign w:val="center"/>
          </w:tcPr>
          <w:p w14:paraId="5E89DA9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供应商应配备满足采购人检验检测项目需求的检验设备</w:t>
            </w:r>
          </w:p>
        </w:tc>
        <w:tc>
          <w:tcPr>
            <w:tcW w:w="2268" w:type="dxa"/>
            <w:vAlign w:val="center"/>
          </w:tcPr>
          <w:p w14:paraId="2C278C5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液相色谱串联质谱联用仪</w:t>
            </w:r>
          </w:p>
        </w:tc>
        <w:tc>
          <w:tcPr>
            <w:tcW w:w="850" w:type="dxa"/>
            <w:vAlign w:val="center"/>
          </w:tcPr>
          <w:p w14:paraId="63EF83B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694" w:type="dxa"/>
            <w:vAlign w:val="center"/>
          </w:tcPr>
          <w:p w14:paraId="23D111E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69F0E0F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7BD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4" w:type="dxa"/>
            <w:vAlign w:val="center"/>
          </w:tcPr>
          <w:p w14:paraId="09FD16B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559" w:type="dxa"/>
            <w:vMerge w:val="continue"/>
            <w:vAlign w:val="center"/>
          </w:tcPr>
          <w:p w14:paraId="6465DFD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1263F90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气相色谱质谱联用仪</w:t>
            </w:r>
          </w:p>
        </w:tc>
        <w:tc>
          <w:tcPr>
            <w:tcW w:w="850" w:type="dxa"/>
            <w:vAlign w:val="center"/>
          </w:tcPr>
          <w:p w14:paraId="3DB85C4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694" w:type="dxa"/>
            <w:vAlign w:val="center"/>
          </w:tcPr>
          <w:p w14:paraId="76806FF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2C78DC9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38BD6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6487B6E1">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559" w:type="dxa"/>
            <w:vMerge w:val="continue"/>
            <w:vAlign w:val="center"/>
          </w:tcPr>
          <w:p w14:paraId="728E2D6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2301015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电感耦合等离子体质谱仪</w:t>
            </w:r>
          </w:p>
        </w:tc>
        <w:tc>
          <w:tcPr>
            <w:tcW w:w="850" w:type="dxa"/>
            <w:vAlign w:val="center"/>
          </w:tcPr>
          <w:p w14:paraId="787EA50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694" w:type="dxa"/>
            <w:vAlign w:val="center"/>
          </w:tcPr>
          <w:p w14:paraId="2B5F182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796995A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7CA20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4" w:type="dxa"/>
            <w:vAlign w:val="center"/>
          </w:tcPr>
          <w:p w14:paraId="5AB79F1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559" w:type="dxa"/>
            <w:vMerge w:val="continue"/>
            <w:vAlign w:val="center"/>
          </w:tcPr>
          <w:p w14:paraId="59A63BB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13903CC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离子色谱仪</w:t>
            </w:r>
          </w:p>
        </w:tc>
        <w:tc>
          <w:tcPr>
            <w:tcW w:w="850" w:type="dxa"/>
            <w:vAlign w:val="center"/>
          </w:tcPr>
          <w:p w14:paraId="0BD0039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694" w:type="dxa"/>
            <w:vAlign w:val="center"/>
          </w:tcPr>
          <w:p w14:paraId="06CF279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7D9CB03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43E3D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4" w:type="dxa"/>
            <w:vAlign w:val="center"/>
          </w:tcPr>
          <w:p w14:paraId="6CE2718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559" w:type="dxa"/>
            <w:vMerge w:val="continue"/>
            <w:vAlign w:val="center"/>
          </w:tcPr>
          <w:p w14:paraId="04ED007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59F9166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高效液相色谱仪</w:t>
            </w:r>
          </w:p>
        </w:tc>
        <w:tc>
          <w:tcPr>
            <w:tcW w:w="850" w:type="dxa"/>
            <w:vAlign w:val="center"/>
          </w:tcPr>
          <w:p w14:paraId="2A32AEB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694" w:type="dxa"/>
            <w:vAlign w:val="center"/>
          </w:tcPr>
          <w:p w14:paraId="5152AD9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1691F22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5500A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4" w:type="dxa"/>
            <w:vAlign w:val="center"/>
          </w:tcPr>
          <w:p w14:paraId="26F8066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559" w:type="dxa"/>
            <w:vMerge w:val="continue"/>
            <w:vAlign w:val="center"/>
          </w:tcPr>
          <w:p w14:paraId="2B51E6E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46F861C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气相色谱仪</w:t>
            </w:r>
          </w:p>
        </w:tc>
        <w:tc>
          <w:tcPr>
            <w:tcW w:w="850" w:type="dxa"/>
            <w:vAlign w:val="center"/>
          </w:tcPr>
          <w:p w14:paraId="1C4BF01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694" w:type="dxa"/>
            <w:vAlign w:val="center"/>
          </w:tcPr>
          <w:p w14:paraId="01033F6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188D5C0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3720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4" w:type="dxa"/>
            <w:vAlign w:val="center"/>
          </w:tcPr>
          <w:p w14:paraId="0B062E4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559" w:type="dxa"/>
            <w:vMerge w:val="continue"/>
            <w:vAlign w:val="center"/>
          </w:tcPr>
          <w:p w14:paraId="4A91F1B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01620A2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原子吸收光谱仪</w:t>
            </w:r>
          </w:p>
        </w:tc>
        <w:tc>
          <w:tcPr>
            <w:tcW w:w="850" w:type="dxa"/>
            <w:vAlign w:val="center"/>
          </w:tcPr>
          <w:p w14:paraId="2B6AB3D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694" w:type="dxa"/>
            <w:vAlign w:val="center"/>
          </w:tcPr>
          <w:p w14:paraId="6515F47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1B580B3E">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1A4F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4" w:type="dxa"/>
            <w:vAlign w:val="center"/>
          </w:tcPr>
          <w:p w14:paraId="32B0650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559" w:type="dxa"/>
            <w:vMerge w:val="continue"/>
            <w:vAlign w:val="center"/>
          </w:tcPr>
          <w:p w14:paraId="764D385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7C0CEB7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原子荧光光谱仪</w:t>
            </w:r>
          </w:p>
        </w:tc>
        <w:tc>
          <w:tcPr>
            <w:tcW w:w="850" w:type="dxa"/>
            <w:vAlign w:val="center"/>
          </w:tcPr>
          <w:p w14:paraId="4CA4331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694" w:type="dxa"/>
            <w:vAlign w:val="center"/>
          </w:tcPr>
          <w:p w14:paraId="64CF803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74FE32C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05ABA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4" w:type="dxa"/>
            <w:vAlign w:val="center"/>
          </w:tcPr>
          <w:p w14:paraId="349C107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559" w:type="dxa"/>
            <w:vMerge w:val="continue"/>
            <w:vAlign w:val="center"/>
          </w:tcPr>
          <w:p w14:paraId="71CB097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54F9E9F1">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PCR检测仪</w:t>
            </w:r>
          </w:p>
        </w:tc>
        <w:tc>
          <w:tcPr>
            <w:tcW w:w="850" w:type="dxa"/>
            <w:vAlign w:val="center"/>
          </w:tcPr>
          <w:p w14:paraId="2CEC719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694" w:type="dxa"/>
            <w:vAlign w:val="center"/>
          </w:tcPr>
          <w:p w14:paraId="29161BA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494F048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3582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DD88F60">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default" w:ascii="宋体" w:hAnsi="宋体" w:cs="宋体"/>
                <w:color w:val="auto"/>
                <w:szCs w:val="21"/>
                <w:highlight w:val="none"/>
              </w:rPr>
              <w:t>10</w:t>
            </w:r>
          </w:p>
        </w:tc>
        <w:tc>
          <w:tcPr>
            <w:tcW w:w="1559" w:type="dxa"/>
            <w:vMerge w:val="restart"/>
            <w:vAlign w:val="center"/>
          </w:tcPr>
          <w:p w14:paraId="49B48F0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在满足前述检验设备能力要求的基础上对多配备的设备评分</w:t>
            </w:r>
          </w:p>
        </w:tc>
        <w:tc>
          <w:tcPr>
            <w:tcW w:w="2268" w:type="dxa"/>
            <w:vAlign w:val="center"/>
          </w:tcPr>
          <w:p w14:paraId="6E3E7F0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液相色谱三重四</w:t>
            </w:r>
            <w:r>
              <w:rPr>
                <w:rFonts w:hint="eastAsia" w:ascii="宋体" w:hAnsi="宋体" w:cs="宋体"/>
                <w:color w:val="auto"/>
                <w:kern w:val="0"/>
                <w:highlight w:val="none"/>
                <w:lang w:val="en-US" w:eastAsia="zh-CN"/>
              </w:rPr>
              <w:t>极</w:t>
            </w:r>
            <w:r>
              <w:rPr>
                <w:rFonts w:hint="eastAsia" w:ascii="宋体" w:hAnsi="宋体"/>
                <w:color w:val="auto"/>
                <w:kern w:val="0"/>
                <w:szCs w:val="21"/>
                <w:highlight w:val="none"/>
                <w:lang w:val="zh-CN" w:bidi="zh-CN"/>
              </w:rPr>
              <w:t>杆质谱联用仪</w:t>
            </w:r>
          </w:p>
        </w:tc>
        <w:tc>
          <w:tcPr>
            <w:tcW w:w="850" w:type="dxa"/>
            <w:vAlign w:val="center"/>
          </w:tcPr>
          <w:p w14:paraId="532F05C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694" w:type="dxa"/>
            <w:vAlign w:val="center"/>
          </w:tcPr>
          <w:p w14:paraId="50B33F4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45283BF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5F9F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04" w:type="dxa"/>
            <w:vAlign w:val="center"/>
          </w:tcPr>
          <w:p w14:paraId="4CB0FC0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default" w:ascii="宋体" w:hAnsi="宋体" w:cs="宋体"/>
                <w:color w:val="auto"/>
                <w:szCs w:val="21"/>
                <w:highlight w:val="none"/>
              </w:rPr>
              <w:t>11</w:t>
            </w:r>
          </w:p>
        </w:tc>
        <w:tc>
          <w:tcPr>
            <w:tcW w:w="1559" w:type="dxa"/>
            <w:vMerge w:val="continue"/>
            <w:vAlign w:val="center"/>
          </w:tcPr>
          <w:p w14:paraId="1301D0BD">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3A739FE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kern w:val="0"/>
                <w:highlight w:val="none"/>
                <w:lang w:val="zh-CN"/>
              </w:rPr>
              <w:t>气相色谱质谱联用仪</w:t>
            </w:r>
          </w:p>
        </w:tc>
        <w:tc>
          <w:tcPr>
            <w:tcW w:w="850" w:type="dxa"/>
            <w:vAlign w:val="center"/>
          </w:tcPr>
          <w:p w14:paraId="0D65500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694" w:type="dxa"/>
            <w:vAlign w:val="center"/>
          </w:tcPr>
          <w:p w14:paraId="0F23C33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20079C3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6071D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13AD751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default" w:ascii="宋体" w:hAnsi="宋体" w:cs="宋体"/>
                <w:color w:val="auto"/>
                <w:szCs w:val="21"/>
                <w:highlight w:val="none"/>
              </w:rPr>
              <w:t>12</w:t>
            </w:r>
          </w:p>
        </w:tc>
        <w:tc>
          <w:tcPr>
            <w:tcW w:w="1559" w:type="dxa"/>
            <w:vMerge w:val="continue"/>
            <w:vAlign w:val="center"/>
          </w:tcPr>
          <w:p w14:paraId="335EAF2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268" w:type="dxa"/>
            <w:vAlign w:val="center"/>
          </w:tcPr>
          <w:p w14:paraId="326CF35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电感耦合等离子体质谱仪</w:t>
            </w:r>
          </w:p>
        </w:tc>
        <w:tc>
          <w:tcPr>
            <w:tcW w:w="850" w:type="dxa"/>
            <w:vAlign w:val="center"/>
          </w:tcPr>
          <w:p w14:paraId="17A62812">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2694" w:type="dxa"/>
            <w:vAlign w:val="center"/>
          </w:tcPr>
          <w:p w14:paraId="4DA77605">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09" w:type="dxa"/>
            <w:vAlign w:val="center"/>
          </w:tcPr>
          <w:p w14:paraId="2A560D87">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bl>
    <w:p w14:paraId="246CB450">
      <w:pPr>
        <w:rPr>
          <w:rFonts w:hint="eastAsia" w:ascii="宋体" w:hAnsi="宋体" w:cs="宋体"/>
          <w:b/>
          <w:bCs/>
          <w:color w:val="auto"/>
          <w:szCs w:val="21"/>
          <w:highlight w:val="none"/>
        </w:rPr>
      </w:pPr>
      <w:r>
        <w:rPr>
          <w:rFonts w:hint="eastAsia" w:ascii="宋体" w:hAnsi="宋体" w:cs="宋体"/>
          <w:b/>
          <w:bCs/>
          <w:color w:val="auto"/>
          <w:szCs w:val="21"/>
          <w:highlight w:val="none"/>
        </w:rPr>
        <w:t>注：</w:t>
      </w:r>
      <w:r>
        <w:rPr>
          <w:rFonts w:hint="eastAsia" w:ascii="宋体" w:hAnsi="宋体"/>
          <w:b/>
          <w:color w:val="auto"/>
          <w:kern w:val="0"/>
          <w:szCs w:val="21"/>
          <w:highlight w:val="none"/>
          <w:lang w:val="zh-CN" w:bidi="zh-CN"/>
        </w:rPr>
        <w:t>须提供有效的检定或校准证书、购置发票、检验原始记录、设备照片和存放位置等复印件，表明能有效应用在食品检验检测上；租赁检验设备另须提供租赁合同，证明材料清晰可见，模糊的不得分。</w:t>
      </w:r>
    </w:p>
    <w:p w14:paraId="31C56B76">
      <w:pPr>
        <w:rPr>
          <w:color w:val="auto"/>
          <w:highlight w:val="none"/>
        </w:rPr>
      </w:pPr>
    </w:p>
    <w:p w14:paraId="4C172888">
      <w:pPr>
        <w:pStyle w:val="16"/>
        <w:ind w:left="0" w:leftChars="0" w:firstLine="0" w:firstLineChars="0"/>
        <w:rPr>
          <w:color w:val="auto"/>
          <w:highlight w:val="none"/>
        </w:rPr>
      </w:pPr>
    </w:p>
    <w:p w14:paraId="06EF4AE4">
      <w:pPr>
        <w:rPr>
          <w:color w:val="auto"/>
          <w:highlight w:val="none"/>
        </w:rPr>
      </w:pPr>
    </w:p>
    <w:p w14:paraId="19CF67EC">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22C3AC9C">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5B875F76">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w:t>
      </w:r>
    </w:p>
    <w:p w14:paraId="36F2F466">
      <w:pPr>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                       日期：______年____月____日</w:t>
      </w:r>
    </w:p>
    <w:p w14:paraId="7722E3B5">
      <w:pPr>
        <w:spacing w:before="0"/>
        <w:rPr>
          <w:rFonts w:hint="eastAsia"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br w:type="page"/>
      </w:r>
    </w:p>
    <w:p w14:paraId="11B74BDC">
      <w:pPr>
        <w:pStyle w:val="32"/>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（6）质量控制</w:t>
      </w:r>
    </w:p>
    <w:p w14:paraId="68CC5F17">
      <w:pPr>
        <w:ind w:firstLine="420" w:firstLineChars="200"/>
        <w:rPr>
          <w:bCs/>
          <w:color w:val="auto"/>
          <w:szCs w:val="21"/>
          <w:highlight w:val="none"/>
        </w:rPr>
      </w:pPr>
      <w:r>
        <w:rPr>
          <w:rFonts w:hint="eastAsia"/>
          <w:bCs/>
          <w:color w:val="auto"/>
          <w:szCs w:val="21"/>
          <w:highlight w:val="none"/>
        </w:rPr>
        <w:t>自2025年</w:t>
      </w:r>
      <w:r>
        <w:rPr>
          <w:rFonts w:hint="eastAsia"/>
          <w:bCs/>
          <w:color w:val="auto"/>
          <w:szCs w:val="21"/>
          <w:highlight w:val="none"/>
          <w:lang w:val="en-US" w:eastAsia="zh-CN"/>
        </w:rPr>
        <w:t>7</w:t>
      </w:r>
      <w:r>
        <w:rPr>
          <w:rFonts w:hint="eastAsia"/>
          <w:bCs/>
          <w:color w:val="auto"/>
          <w:szCs w:val="21"/>
          <w:highlight w:val="none"/>
        </w:rPr>
        <w:t>月1日以来，供应商参加过相关机构组织的食品检测项目的实验室能力验证或市场监管部门组织的盲样考核（9个领域为：</w:t>
      </w:r>
      <w:r>
        <w:rPr>
          <w:rFonts w:hint="eastAsia" w:ascii="宋体" w:hAnsi="宋体" w:eastAsia="宋体" w:cs="宋体"/>
          <w:color w:val="auto"/>
          <w:kern w:val="0"/>
          <w:highlight w:val="none"/>
        </w:rPr>
        <w:t>农药残留、兽药残留、重金属、真菌毒素、食品添加剂、非法添加、微生物、营养元素、动物源性成分</w:t>
      </w:r>
      <w:r>
        <w:rPr>
          <w:rFonts w:hint="eastAsia" w:ascii="宋体" w:hAnsi="宋体" w:cs="宋体"/>
          <w:color w:val="auto"/>
          <w:kern w:val="0"/>
          <w:highlight w:val="none"/>
          <w:lang w:val="en-US" w:eastAsia="zh-CN"/>
        </w:rPr>
        <w:t>/转基因成分</w:t>
      </w:r>
      <w:r>
        <w:rPr>
          <w:rFonts w:hint="eastAsia"/>
          <w:bCs/>
          <w:color w:val="auto"/>
          <w:szCs w:val="21"/>
          <w:highlight w:val="none"/>
        </w:rPr>
        <w:t>）</w:t>
      </w:r>
    </w:p>
    <w:tbl>
      <w:tblPr>
        <w:tblStyle w:val="34"/>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3452"/>
        <w:gridCol w:w="1593"/>
        <w:gridCol w:w="1317"/>
        <w:gridCol w:w="1062"/>
        <w:gridCol w:w="1305"/>
      </w:tblGrid>
      <w:tr w14:paraId="6F2D5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673" w:type="dxa"/>
            <w:vAlign w:val="center"/>
          </w:tcPr>
          <w:p w14:paraId="6824A131">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序号</w:t>
            </w:r>
          </w:p>
        </w:tc>
        <w:tc>
          <w:tcPr>
            <w:tcW w:w="3452" w:type="dxa"/>
            <w:vAlign w:val="center"/>
          </w:tcPr>
          <w:p w14:paraId="2CF52958">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能力验证报告或证书</w:t>
            </w:r>
          </w:p>
        </w:tc>
        <w:tc>
          <w:tcPr>
            <w:tcW w:w="1593" w:type="dxa"/>
            <w:vAlign w:val="center"/>
          </w:tcPr>
          <w:p w14:paraId="1332F578">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具备领域</w:t>
            </w:r>
          </w:p>
        </w:tc>
        <w:tc>
          <w:tcPr>
            <w:tcW w:w="1317" w:type="dxa"/>
            <w:vAlign w:val="center"/>
          </w:tcPr>
          <w:p w14:paraId="3D8ABDB0">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验证或</w:t>
            </w:r>
            <w:r>
              <w:rPr>
                <w:rFonts w:hint="default" w:ascii="宋体" w:hAnsi="宋体"/>
                <w:color w:val="auto"/>
                <w:szCs w:val="21"/>
                <w:highlight w:val="none"/>
              </w:rPr>
              <w:t>考核时间</w:t>
            </w:r>
          </w:p>
        </w:tc>
        <w:tc>
          <w:tcPr>
            <w:tcW w:w="1062" w:type="dxa"/>
            <w:vAlign w:val="center"/>
          </w:tcPr>
          <w:p w14:paraId="3B3D190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结果</w:t>
            </w:r>
          </w:p>
        </w:tc>
        <w:tc>
          <w:tcPr>
            <w:tcW w:w="1305" w:type="dxa"/>
            <w:vAlign w:val="center"/>
          </w:tcPr>
          <w:p w14:paraId="75F10ACC">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s="宋体"/>
                <w:color w:val="auto"/>
                <w:szCs w:val="21"/>
                <w:highlight w:val="none"/>
                <w:lang w:val="zh-CN" w:bidi="zh-CN"/>
              </w:rPr>
              <w:t>在投标文件中的页码位置</w:t>
            </w:r>
          </w:p>
        </w:tc>
      </w:tr>
      <w:tr w14:paraId="628CD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579A1A66">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452" w:type="dxa"/>
            <w:vAlign w:val="center"/>
          </w:tcPr>
          <w:p w14:paraId="77BC26FE">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593" w:type="dxa"/>
            <w:vAlign w:val="center"/>
          </w:tcPr>
          <w:p w14:paraId="2C448673">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17" w:type="dxa"/>
            <w:vAlign w:val="center"/>
          </w:tcPr>
          <w:p w14:paraId="45B7ECB8">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062" w:type="dxa"/>
            <w:vAlign w:val="center"/>
          </w:tcPr>
          <w:p w14:paraId="3D991CDE">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05" w:type="dxa"/>
            <w:vAlign w:val="center"/>
          </w:tcPr>
          <w:p w14:paraId="5FABCC81">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70B8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37C0F2A9">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452" w:type="dxa"/>
            <w:vAlign w:val="center"/>
          </w:tcPr>
          <w:p w14:paraId="452070E8">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593" w:type="dxa"/>
            <w:vAlign w:val="center"/>
          </w:tcPr>
          <w:p w14:paraId="7D696CE9">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17" w:type="dxa"/>
            <w:vAlign w:val="center"/>
          </w:tcPr>
          <w:p w14:paraId="0E3194EF">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062" w:type="dxa"/>
            <w:vAlign w:val="center"/>
          </w:tcPr>
          <w:p w14:paraId="417CE26C">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05" w:type="dxa"/>
            <w:vAlign w:val="center"/>
          </w:tcPr>
          <w:p w14:paraId="0DBE7B4F">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29287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0F3D167D">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452" w:type="dxa"/>
            <w:vAlign w:val="center"/>
          </w:tcPr>
          <w:p w14:paraId="6D0FABE0">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593" w:type="dxa"/>
            <w:vAlign w:val="center"/>
          </w:tcPr>
          <w:p w14:paraId="2959D9C4">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17" w:type="dxa"/>
            <w:vAlign w:val="center"/>
          </w:tcPr>
          <w:p w14:paraId="6668E673">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062" w:type="dxa"/>
            <w:vAlign w:val="center"/>
          </w:tcPr>
          <w:p w14:paraId="06F9B389">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05" w:type="dxa"/>
            <w:vAlign w:val="center"/>
          </w:tcPr>
          <w:p w14:paraId="574DBBCB">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74DB9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127FD06D">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452" w:type="dxa"/>
            <w:vAlign w:val="center"/>
          </w:tcPr>
          <w:p w14:paraId="2179C396">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593" w:type="dxa"/>
            <w:vAlign w:val="center"/>
          </w:tcPr>
          <w:p w14:paraId="7C105CCB">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17" w:type="dxa"/>
            <w:vAlign w:val="center"/>
          </w:tcPr>
          <w:p w14:paraId="5EBF8E11">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062" w:type="dxa"/>
            <w:vAlign w:val="center"/>
          </w:tcPr>
          <w:p w14:paraId="2F145574">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05" w:type="dxa"/>
            <w:vAlign w:val="center"/>
          </w:tcPr>
          <w:p w14:paraId="3386D95F">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1C263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2F9C91DF">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452" w:type="dxa"/>
            <w:vAlign w:val="center"/>
          </w:tcPr>
          <w:p w14:paraId="5DF644DA">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593" w:type="dxa"/>
            <w:vAlign w:val="center"/>
          </w:tcPr>
          <w:p w14:paraId="095F3447">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17" w:type="dxa"/>
            <w:vAlign w:val="center"/>
          </w:tcPr>
          <w:p w14:paraId="1F9E0653">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062" w:type="dxa"/>
            <w:vAlign w:val="center"/>
          </w:tcPr>
          <w:p w14:paraId="734B18C4">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05" w:type="dxa"/>
            <w:vAlign w:val="center"/>
          </w:tcPr>
          <w:p w14:paraId="364FB52C">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727C7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760F0283">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452" w:type="dxa"/>
            <w:vAlign w:val="center"/>
          </w:tcPr>
          <w:p w14:paraId="79883947">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593" w:type="dxa"/>
            <w:vAlign w:val="center"/>
          </w:tcPr>
          <w:p w14:paraId="4E2165AE">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17" w:type="dxa"/>
            <w:vAlign w:val="center"/>
          </w:tcPr>
          <w:p w14:paraId="3074132E">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062" w:type="dxa"/>
            <w:vAlign w:val="center"/>
          </w:tcPr>
          <w:p w14:paraId="54FAC7AB">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05" w:type="dxa"/>
            <w:vAlign w:val="center"/>
          </w:tcPr>
          <w:p w14:paraId="19C267A9">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6F837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5425333A">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452" w:type="dxa"/>
            <w:vAlign w:val="center"/>
          </w:tcPr>
          <w:p w14:paraId="0E0843C4">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593" w:type="dxa"/>
            <w:vAlign w:val="center"/>
          </w:tcPr>
          <w:p w14:paraId="79810F85">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17" w:type="dxa"/>
            <w:vAlign w:val="center"/>
          </w:tcPr>
          <w:p w14:paraId="094B889C">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062" w:type="dxa"/>
            <w:vAlign w:val="center"/>
          </w:tcPr>
          <w:p w14:paraId="11C45D27">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05" w:type="dxa"/>
            <w:vAlign w:val="center"/>
          </w:tcPr>
          <w:p w14:paraId="1A491E26">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152E5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73" w:type="dxa"/>
            <w:vAlign w:val="center"/>
          </w:tcPr>
          <w:p w14:paraId="64A9BEF4">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452" w:type="dxa"/>
            <w:vAlign w:val="center"/>
          </w:tcPr>
          <w:p w14:paraId="28A4273E">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593" w:type="dxa"/>
            <w:vAlign w:val="center"/>
          </w:tcPr>
          <w:p w14:paraId="6366B544">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17" w:type="dxa"/>
            <w:vAlign w:val="center"/>
          </w:tcPr>
          <w:p w14:paraId="3813C7E4">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062" w:type="dxa"/>
            <w:vAlign w:val="center"/>
          </w:tcPr>
          <w:p w14:paraId="11F16F61">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1305" w:type="dxa"/>
            <w:vAlign w:val="center"/>
          </w:tcPr>
          <w:p w14:paraId="76756357">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bl>
    <w:p w14:paraId="4D2CCA27">
      <w:pPr>
        <w:rPr>
          <w:b/>
          <w:bCs/>
          <w:color w:val="auto"/>
          <w:szCs w:val="21"/>
          <w:highlight w:val="none"/>
        </w:rPr>
      </w:pPr>
      <w:r>
        <w:rPr>
          <w:rFonts w:hint="eastAsia"/>
          <w:b/>
          <w:bCs/>
          <w:color w:val="auto"/>
          <w:szCs w:val="21"/>
          <w:highlight w:val="none"/>
        </w:rPr>
        <w:t>注：</w:t>
      </w:r>
      <w:r>
        <w:rPr>
          <w:rFonts w:hint="eastAsia" w:ascii="宋体" w:hAnsi="宋体"/>
          <w:b/>
          <w:color w:val="auto"/>
          <w:kern w:val="0"/>
          <w:szCs w:val="21"/>
          <w:highlight w:val="none"/>
          <w:lang w:val="zh-CN" w:bidi="zh-CN"/>
        </w:rPr>
        <w:t>须提供能力验证报告或证明结果满意的证书复印件，获得不满意结果的或未提供有效证明文件的不得分，证明材料清晰可见，模糊的不得分。</w:t>
      </w:r>
    </w:p>
    <w:p w14:paraId="2D19BAE5">
      <w:pPr>
        <w:pStyle w:val="16"/>
        <w:ind w:left="1260"/>
        <w:rPr>
          <w:color w:val="auto"/>
          <w:highlight w:val="none"/>
        </w:rPr>
      </w:pPr>
    </w:p>
    <w:p w14:paraId="68FA83FD">
      <w:pPr>
        <w:rPr>
          <w:color w:val="auto"/>
          <w:highlight w:val="none"/>
        </w:rPr>
      </w:pPr>
    </w:p>
    <w:p w14:paraId="3A6AF8FE">
      <w:pPr>
        <w:pStyle w:val="16"/>
        <w:ind w:left="1260"/>
        <w:rPr>
          <w:color w:val="auto"/>
          <w:highlight w:val="none"/>
        </w:rPr>
      </w:pPr>
    </w:p>
    <w:p w14:paraId="27180D16">
      <w:pPr>
        <w:rPr>
          <w:color w:val="auto"/>
          <w:highlight w:val="none"/>
        </w:rPr>
      </w:pPr>
    </w:p>
    <w:p w14:paraId="0AF10267">
      <w:pPr>
        <w:pStyle w:val="16"/>
        <w:ind w:left="1260"/>
        <w:rPr>
          <w:color w:val="auto"/>
          <w:highlight w:val="none"/>
        </w:rPr>
      </w:pPr>
    </w:p>
    <w:p w14:paraId="46674DBA">
      <w:pPr>
        <w:rPr>
          <w:color w:val="auto"/>
          <w:highlight w:val="none"/>
        </w:rPr>
      </w:pPr>
    </w:p>
    <w:p w14:paraId="556EDA8E">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bCs/>
          <w:color w:val="auto"/>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7390C87C">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328BF8D9">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w:t>
      </w:r>
    </w:p>
    <w:p w14:paraId="7D2334E4">
      <w:pPr>
        <w:pStyle w:val="16"/>
        <w:ind w:left="1260"/>
        <w:jc w:val="center"/>
        <w:rPr>
          <w:color w:val="auto"/>
          <w:highlight w:val="none"/>
        </w:rPr>
      </w:pPr>
      <w:r>
        <w:rPr>
          <w:rFonts w:hint="eastAsia" w:ascii="Microsoft New Tai Lue" w:hAnsi="Microsoft New Tai Lue" w:cs="Microsoft New Tai Lue"/>
          <w:b w:val="0"/>
          <w:color w:val="auto"/>
          <w:sz w:val="21"/>
          <w:szCs w:val="21"/>
          <w:highlight w:val="none"/>
          <w:lang w:val="en-US" w:eastAsia="zh-CN"/>
        </w:rPr>
        <w:t xml:space="preserve">     </w:t>
      </w:r>
      <w:r>
        <w:rPr>
          <w:rFonts w:ascii="Microsoft New Tai Lue" w:hAnsi="Microsoft New Tai Lue" w:cs="Microsoft New Tai Lue"/>
          <w:b w:val="0"/>
          <w:color w:val="auto"/>
          <w:sz w:val="21"/>
          <w:szCs w:val="21"/>
          <w:highlight w:val="none"/>
        </w:rPr>
        <w:t>日期：______年____月____日</w:t>
      </w:r>
    </w:p>
    <w:p w14:paraId="39AAB625">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br w:type="page"/>
      </w:r>
    </w:p>
    <w:p w14:paraId="5C2DFE7D">
      <w:pPr>
        <w:pStyle w:val="79"/>
        <w:ind w:right="420" w:firstLine="3780" w:firstLineChars="1800"/>
        <w:jc w:val="left"/>
        <w:rPr>
          <w:rFonts w:ascii="Microsoft New Tai Lue" w:hAnsi="Microsoft New Tai Lue" w:cs="Microsoft New Tai Lue"/>
          <w:color w:val="auto"/>
          <w:sz w:val="21"/>
          <w:szCs w:val="21"/>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p>
    <w:p w14:paraId="2D79D2F4">
      <w:pPr>
        <w:pStyle w:val="32"/>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（7）复检能力</w:t>
      </w:r>
    </w:p>
    <w:p w14:paraId="6B815EC1">
      <w:pPr>
        <w:rPr>
          <w:color w:val="auto"/>
          <w:highlight w:val="none"/>
        </w:rPr>
      </w:pPr>
    </w:p>
    <w:tbl>
      <w:tblPr>
        <w:tblStyle w:val="34"/>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5"/>
        <w:gridCol w:w="2954"/>
        <w:gridCol w:w="2879"/>
        <w:gridCol w:w="1715"/>
        <w:gridCol w:w="793"/>
      </w:tblGrid>
      <w:tr w14:paraId="5542F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585" w:type="dxa"/>
            <w:vAlign w:val="center"/>
          </w:tcPr>
          <w:p w14:paraId="6CDEB508">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954" w:type="dxa"/>
            <w:vAlign w:val="center"/>
          </w:tcPr>
          <w:p w14:paraId="5A6A77E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879" w:type="dxa"/>
            <w:vAlign w:val="center"/>
          </w:tcPr>
          <w:p w14:paraId="4128600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内容</w:t>
            </w:r>
          </w:p>
        </w:tc>
        <w:tc>
          <w:tcPr>
            <w:tcW w:w="1715" w:type="dxa"/>
            <w:vAlign w:val="center"/>
          </w:tcPr>
          <w:p w14:paraId="4AD8B44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793" w:type="dxa"/>
            <w:vAlign w:val="center"/>
          </w:tcPr>
          <w:p w14:paraId="2C789C1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4422B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5" w:type="dxa"/>
            <w:vAlign w:val="center"/>
          </w:tcPr>
          <w:p w14:paraId="2030087E">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p>
        </w:tc>
        <w:tc>
          <w:tcPr>
            <w:tcW w:w="2954" w:type="dxa"/>
            <w:vAlign w:val="center"/>
          </w:tcPr>
          <w:p w14:paraId="75BD72E4">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r>
              <w:rPr>
                <w:rFonts w:hint="eastAsia" w:ascii="宋体" w:hAnsi="宋体" w:cs="宋体"/>
                <w:color w:val="auto"/>
                <w:szCs w:val="21"/>
                <w:highlight w:val="none"/>
              </w:rPr>
              <w:t>供应商是否进入市场监管总局、国家卫生健康委和农业农村部公布的食品复检机构名录</w:t>
            </w:r>
          </w:p>
        </w:tc>
        <w:tc>
          <w:tcPr>
            <w:tcW w:w="2879" w:type="dxa"/>
            <w:vAlign w:val="center"/>
          </w:tcPr>
          <w:p w14:paraId="649EA27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是/</w:t>
            </w:r>
            <w:r>
              <w:rPr>
                <w:rFonts w:hint="default" w:ascii="宋体" w:hAnsi="宋体" w:cs="宋体"/>
                <w:color w:val="auto"/>
                <w:szCs w:val="21"/>
                <w:highlight w:val="none"/>
              </w:rPr>
              <w:t>否</w:t>
            </w:r>
          </w:p>
        </w:tc>
        <w:tc>
          <w:tcPr>
            <w:tcW w:w="1715" w:type="dxa"/>
            <w:vAlign w:val="center"/>
          </w:tcPr>
          <w:p w14:paraId="2ACF3CBC">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93" w:type="dxa"/>
            <w:vAlign w:val="center"/>
          </w:tcPr>
          <w:p w14:paraId="21023BA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r w14:paraId="7FF4D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5" w:type="dxa"/>
            <w:vAlign w:val="center"/>
          </w:tcPr>
          <w:p w14:paraId="4779D33B">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p>
        </w:tc>
        <w:tc>
          <w:tcPr>
            <w:tcW w:w="2954" w:type="dxa"/>
            <w:vAlign w:val="center"/>
          </w:tcPr>
          <w:p w14:paraId="0CCB9D39">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r>
              <w:rPr>
                <w:rFonts w:hint="eastAsia" w:ascii="宋体" w:hAnsi="宋体" w:cs="宋体"/>
                <w:color w:val="auto"/>
                <w:szCs w:val="21"/>
                <w:highlight w:val="none"/>
              </w:rPr>
              <w:t>自202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月1日以来，累计开展复检的情况（以出具复检报告时间为准）</w:t>
            </w:r>
          </w:p>
        </w:tc>
        <w:tc>
          <w:tcPr>
            <w:tcW w:w="2879" w:type="dxa"/>
            <w:vAlign w:val="center"/>
          </w:tcPr>
          <w:p w14:paraId="769AD186">
            <w:pPr>
              <w:keepNext w:val="0"/>
              <w:keepLines w:val="0"/>
              <w:suppressLineNumbers w:val="0"/>
              <w:spacing w:before="0" w:beforeAutospacing="0" w:after="0" w:afterAutospacing="0"/>
              <w:ind w:left="0" w:right="0"/>
              <w:jc w:val="center"/>
              <w:rPr>
                <w:rFonts w:hint="eastAsia" w:ascii="宋体" w:hAnsi="宋体" w:cs="宋体"/>
                <w:color w:val="auto"/>
                <w:szCs w:val="21"/>
                <w:highlight w:val="none"/>
                <w:u w:val="single"/>
              </w:rPr>
            </w:pPr>
            <w:r>
              <w:rPr>
                <w:rFonts w:hint="eastAsia" w:ascii="宋体" w:hAnsi="宋体" w:cs="宋体"/>
                <w:color w:val="auto"/>
                <w:szCs w:val="21"/>
                <w:highlight w:val="none"/>
              </w:rPr>
              <w:t>食品复检报告量：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w:t>
            </w:r>
          </w:p>
        </w:tc>
        <w:tc>
          <w:tcPr>
            <w:tcW w:w="1715" w:type="dxa"/>
            <w:vAlign w:val="center"/>
          </w:tcPr>
          <w:p w14:paraId="1F9555E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93" w:type="dxa"/>
            <w:vAlign w:val="center"/>
          </w:tcPr>
          <w:p w14:paraId="784B23CA">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bl>
    <w:p w14:paraId="671714FB">
      <w:pPr>
        <w:rPr>
          <w:b/>
          <w:bCs/>
          <w:color w:val="auto"/>
          <w:szCs w:val="21"/>
          <w:highlight w:val="none"/>
        </w:rPr>
      </w:pPr>
      <w:r>
        <w:rPr>
          <w:rFonts w:hint="eastAsia"/>
          <w:b/>
          <w:bCs/>
          <w:color w:val="auto"/>
          <w:szCs w:val="21"/>
          <w:highlight w:val="none"/>
        </w:rPr>
        <w:t>注：1.须提供复检机构证明材料或其他有效证明材料，证明材料清晰可见，模糊的不得分；</w:t>
      </w:r>
    </w:p>
    <w:p w14:paraId="201B692B">
      <w:pPr>
        <w:numPr>
          <w:ilvl w:val="0"/>
          <w:numId w:val="0"/>
        </w:numPr>
        <w:rPr>
          <w:b/>
          <w:bCs/>
          <w:color w:val="auto"/>
          <w:szCs w:val="21"/>
          <w:highlight w:val="none"/>
          <w:lang w:val="zh-CN"/>
        </w:rPr>
      </w:pPr>
      <w:r>
        <w:rPr>
          <w:rFonts w:ascii="Times New Roman" w:hAnsi="Times New Roman" w:eastAsia="宋体" w:cs="Times New Roman"/>
          <w:b/>
          <w:bCs/>
          <w:color w:val="auto"/>
          <w:kern w:val="2"/>
          <w:sz w:val="21"/>
          <w:szCs w:val="21"/>
          <w:lang w:val="zh-CN" w:eastAsia="zh-CN" w:bidi="ar-SA"/>
        </w:rPr>
        <w:t>2.</w:t>
      </w:r>
      <w:r>
        <w:rPr>
          <w:rFonts w:hint="eastAsia"/>
          <w:b/>
          <w:bCs/>
          <w:color w:val="auto"/>
          <w:szCs w:val="21"/>
          <w:highlight w:val="none"/>
          <w:lang w:val="zh-CN"/>
        </w:rPr>
        <w:t>须提供复检报告复印件或其</w:t>
      </w:r>
      <w:r>
        <w:rPr>
          <w:rFonts w:hint="eastAsia"/>
          <w:b/>
          <w:bCs/>
          <w:color w:val="auto"/>
          <w:szCs w:val="21"/>
          <w:highlight w:val="none"/>
        </w:rPr>
        <w:t>他</w:t>
      </w:r>
      <w:r>
        <w:rPr>
          <w:rFonts w:hint="eastAsia"/>
          <w:b/>
          <w:bCs/>
          <w:color w:val="auto"/>
          <w:szCs w:val="21"/>
          <w:highlight w:val="none"/>
          <w:lang w:val="zh-CN"/>
        </w:rPr>
        <w:t>有效证明材料，证明材料清晰可见，模糊的不得分。</w:t>
      </w:r>
    </w:p>
    <w:p w14:paraId="633AB006">
      <w:pPr>
        <w:pStyle w:val="16"/>
        <w:ind w:left="0" w:leftChars="0"/>
        <w:rPr>
          <w:color w:val="auto"/>
          <w:highlight w:val="none"/>
        </w:rPr>
      </w:pPr>
    </w:p>
    <w:p w14:paraId="6C3350A5">
      <w:pPr>
        <w:rPr>
          <w:color w:val="auto"/>
          <w:highlight w:val="none"/>
        </w:rPr>
      </w:pPr>
    </w:p>
    <w:p w14:paraId="705E507A">
      <w:pPr>
        <w:pStyle w:val="16"/>
        <w:ind w:left="1260"/>
        <w:rPr>
          <w:color w:val="auto"/>
          <w:highlight w:val="none"/>
        </w:rPr>
      </w:pPr>
    </w:p>
    <w:p w14:paraId="0293C711">
      <w:pPr>
        <w:rPr>
          <w:color w:val="auto"/>
          <w:highlight w:val="none"/>
        </w:rPr>
      </w:pPr>
    </w:p>
    <w:p w14:paraId="388258F8">
      <w:pPr>
        <w:pStyle w:val="16"/>
        <w:ind w:left="1260"/>
        <w:rPr>
          <w:color w:val="auto"/>
          <w:highlight w:val="none"/>
        </w:rPr>
      </w:pPr>
    </w:p>
    <w:p w14:paraId="527DE2A3">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bCs/>
          <w:color w:val="auto"/>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4940363F">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6E148256">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w:t>
      </w:r>
    </w:p>
    <w:p w14:paraId="73F7AEBD">
      <w:pPr>
        <w:ind w:firstLine="3780" w:firstLineChars="1800"/>
        <w:rPr>
          <w:color w:val="auto"/>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r>
        <w:rPr>
          <w:rFonts w:ascii="Microsoft New Tai Lue" w:hAnsi="Microsoft New Tai Lue" w:cs="Microsoft New Tai Lue"/>
          <w:color w:val="auto"/>
          <w:szCs w:val="21"/>
          <w:highlight w:val="none"/>
        </w:rPr>
        <w:t>日期：______年____月____日</w:t>
      </w:r>
    </w:p>
    <w:p w14:paraId="36D8AEFA">
      <w:pPr>
        <w:pStyle w:val="32"/>
        <w:rPr>
          <w:rFonts w:ascii="Microsoft New Tai Lue" w:hAnsi="Microsoft New Tai Lue" w:cs="Microsoft New Tai Lue"/>
          <w:color w:val="auto"/>
          <w:sz w:val="24"/>
          <w:szCs w:val="24"/>
          <w:highlight w:val="none"/>
        </w:rPr>
      </w:pPr>
      <w:r>
        <w:rPr>
          <w:rFonts w:hint="eastAsia" w:ascii="Microsoft New Tai Lue" w:hAnsi="Microsoft New Tai Lue" w:cs="Microsoft New Tai Lue"/>
          <w:color w:val="auto"/>
          <w:sz w:val="24"/>
          <w:szCs w:val="24"/>
          <w:highlight w:val="none"/>
        </w:rPr>
        <w:t>（8）合格备份样品再利用工作情况</w:t>
      </w:r>
    </w:p>
    <w:p w14:paraId="2A7E4775">
      <w:pPr>
        <w:ind w:firstLine="420" w:firstLineChars="200"/>
        <w:rPr>
          <w:color w:val="auto"/>
          <w:highlight w:val="none"/>
        </w:rPr>
      </w:pPr>
      <w:r>
        <w:rPr>
          <w:rFonts w:hint="eastAsia"/>
          <w:color w:val="auto"/>
          <w:highlight w:val="none"/>
        </w:rPr>
        <w:t>自202</w:t>
      </w:r>
      <w:r>
        <w:rPr>
          <w:rFonts w:hint="eastAsia"/>
          <w:color w:val="auto"/>
          <w:highlight w:val="none"/>
          <w:lang w:val="en-US" w:eastAsia="zh-CN"/>
        </w:rPr>
        <w:t>5</w:t>
      </w:r>
      <w:r>
        <w:rPr>
          <w:rFonts w:hint="eastAsia"/>
          <w:color w:val="auto"/>
          <w:highlight w:val="none"/>
        </w:rPr>
        <w:t>年</w:t>
      </w:r>
      <w:r>
        <w:rPr>
          <w:rFonts w:hint="eastAsia"/>
          <w:color w:val="auto"/>
          <w:highlight w:val="none"/>
          <w:lang w:val="en-US" w:eastAsia="zh-CN"/>
        </w:rPr>
        <w:t>7</w:t>
      </w:r>
      <w:r>
        <w:rPr>
          <w:rFonts w:hint="eastAsia"/>
          <w:color w:val="auto"/>
          <w:highlight w:val="none"/>
        </w:rPr>
        <w:t>月1日以来，供应商：</w:t>
      </w:r>
    </w:p>
    <w:tbl>
      <w:tblPr>
        <w:tblStyle w:val="34"/>
        <w:tblW w:w="8948" w:type="dxa"/>
        <w:jc w:val="center"/>
        <w:tblLayout w:type="autofit"/>
        <w:tblCellMar>
          <w:top w:w="0" w:type="dxa"/>
          <w:left w:w="108" w:type="dxa"/>
          <w:bottom w:w="0" w:type="dxa"/>
          <w:right w:w="108" w:type="dxa"/>
        </w:tblCellMar>
      </w:tblPr>
      <w:tblGrid>
        <w:gridCol w:w="4673"/>
        <w:gridCol w:w="2410"/>
        <w:gridCol w:w="1865"/>
      </w:tblGrid>
      <w:tr w14:paraId="541B6DC3">
        <w:tblPrEx>
          <w:tblCellMar>
            <w:top w:w="0" w:type="dxa"/>
            <w:left w:w="108" w:type="dxa"/>
            <w:bottom w:w="0" w:type="dxa"/>
            <w:right w:w="108" w:type="dxa"/>
          </w:tblCellMar>
        </w:tblPrEx>
        <w:trPr>
          <w:jc w:val="center"/>
        </w:trPr>
        <w:tc>
          <w:tcPr>
            <w:tcW w:w="4673" w:type="dxa"/>
            <w:tcBorders>
              <w:top w:val="single" w:color="auto" w:sz="4" w:space="0"/>
              <w:left w:val="single" w:color="auto" w:sz="4" w:space="0"/>
              <w:bottom w:val="single" w:color="auto" w:sz="4" w:space="0"/>
              <w:right w:val="single" w:color="auto" w:sz="4" w:space="0"/>
            </w:tcBorders>
            <w:vAlign w:val="center"/>
          </w:tcPr>
          <w:p w14:paraId="0BC8F0B3">
            <w:pPr>
              <w:keepNext w:val="0"/>
              <w:keepLines w:val="0"/>
              <w:suppressLineNumbers w:val="0"/>
              <w:spacing w:before="0" w:beforeAutospacing="0" w:after="0" w:afterAutospacing="0" w:line="380" w:lineRule="exact"/>
              <w:ind w:left="0" w:right="0"/>
              <w:jc w:val="center"/>
              <w:rPr>
                <w:rFonts w:hint="eastAsia" w:ascii="宋体" w:hAnsi="宋体"/>
                <w:color w:val="auto"/>
                <w:szCs w:val="21"/>
                <w:highlight w:val="none"/>
              </w:rPr>
            </w:pPr>
            <w:r>
              <w:rPr>
                <w:rFonts w:hint="eastAsia" w:ascii="Microsoft New Tai Lue" w:hAnsi="Microsoft New Tai Lue" w:cs="Microsoft New Tai Lue"/>
                <w:color w:val="auto"/>
                <w:szCs w:val="21"/>
                <w:highlight w:val="none"/>
              </w:rPr>
              <w:t>合格备份样品再利用工作情况</w:t>
            </w:r>
          </w:p>
        </w:tc>
        <w:tc>
          <w:tcPr>
            <w:tcW w:w="2410" w:type="dxa"/>
            <w:tcBorders>
              <w:top w:val="single" w:color="auto" w:sz="4" w:space="0"/>
              <w:left w:val="single" w:color="auto" w:sz="4" w:space="0"/>
              <w:bottom w:val="single" w:color="auto" w:sz="4" w:space="0"/>
              <w:right w:val="single" w:color="auto" w:sz="4" w:space="0"/>
            </w:tcBorders>
            <w:vAlign w:val="center"/>
          </w:tcPr>
          <w:p w14:paraId="3A07C906">
            <w:pPr>
              <w:keepNext w:val="0"/>
              <w:keepLines w:val="0"/>
              <w:suppressLineNumbers w:val="0"/>
              <w:spacing w:before="0" w:beforeAutospacing="0" w:after="0" w:afterAutospacing="0" w:line="380" w:lineRule="exact"/>
              <w:ind w:left="0" w:right="0"/>
              <w:jc w:val="center"/>
              <w:rPr>
                <w:rFonts w:hint="eastAsia" w:ascii="宋体" w:hAnsi="宋体"/>
                <w:color w:val="auto"/>
                <w:highlight w:val="none"/>
              </w:rPr>
            </w:pPr>
            <w:r>
              <w:rPr>
                <w:rFonts w:hint="eastAsia" w:ascii="宋体" w:hAnsi="宋体"/>
                <w:color w:val="auto"/>
                <w:highlight w:val="none"/>
              </w:rPr>
              <w:t>证明材料名称</w:t>
            </w:r>
          </w:p>
        </w:tc>
        <w:tc>
          <w:tcPr>
            <w:tcW w:w="1865" w:type="dxa"/>
            <w:tcBorders>
              <w:top w:val="single" w:color="auto" w:sz="4" w:space="0"/>
              <w:left w:val="single" w:color="auto" w:sz="4" w:space="0"/>
              <w:bottom w:val="single" w:color="auto" w:sz="4" w:space="0"/>
              <w:right w:val="single" w:color="auto" w:sz="4" w:space="0"/>
            </w:tcBorders>
            <w:vAlign w:val="center"/>
          </w:tcPr>
          <w:p w14:paraId="51023E41">
            <w:pPr>
              <w:keepNext w:val="0"/>
              <w:keepLines w:val="0"/>
              <w:suppressLineNumbers w:val="0"/>
              <w:spacing w:before="0" w:beforeAutospacing="0" w:after="0" w:afterAutospacing="0" w:line="380" w:lineRule="exact"/>
              <w:ind w:left="0" w:right="0"/>
              <w:jc w:val="center"/>
              <w:rPr>
                <w:rFonts w:hint="eastAsia" w:ascii="宋体" w:hAnsi="宋体"/>
                <w:color w:val="auto"/>
                <w:highlight w:val="none"/>
              </w:rPr>
            </w:pPr>
            <w:r>
              <w:rPr>
                <w:rFonts w:hint="eastAsia" w:ascii="宋体" w:hAnsi="宋体"/>
                <w:color w:val="auto"/>
                <w:highlight w:val="none"/>
              </w:rPr>
              <w:t>在投标文件中的页码位置</w:t>
            </w:r>
          </w:p>
        </w:tc>
      </w:tr>
      <w:tr w14:paraId="628A72F6">
        <w:tblPrEx>
          <w:tblCellMar>
            <w:top w:w="0" w:type="dxa"/>
            <w:left w:w="108" w:type="dxa"/>
            <w:bottom w:w="0" w:type="dxa"/>
            <w:right w:w="108" w:type="dxa"/>
          </w:tblCellMar>
        </w:tblPrEx>
        <w:trPr>
          <w:trHeight w:val="638" w:hRule="atLeast"/>
          <w:jc w:val="center"/>
        </w:trPr>
        <w:tc>
          <w:tcPr>
            <w:tcW w:w="4673" w:type="dxa"/>
            <w:tcBorders>
              <w:top w:val="single" w:color="auto" w:sz="4" w:space="0"/>
              <w:left w:val="single" w:color="auto" w:sz="4" w:space="0"/>
              <w:bottom w:val="single" w:color="auto" w:sz="4" w:space="0"/>
              <w:right w:val="single" w:color="auto" w:sz="4" w:space="0"/>
            </w:tcBorders>
            <w:vAlign w:val="center"/>
          </w:tcPr>
          <w:p w14:paraId="2A656ECB">
            <w:pPr>
              <w:keepNext w:val="0"/>
              <w:keepLines w:val="0"/>
              <w:suppressLineNumbers w:val="0"/>
              <w:spacing w:before="0" w:beforeAutospacing="0" w:after="0" w:afterAutospacing="0" w:line="380" w:lineRule="exact"/>
              <w:ind w:left="0" w:right="0"/>
              <w:jc w:val="left"/>
              <w:rPr>
                <w:rFonts w:hint="eastAsia" w:ascii="宋体" w:hAnsi="宋体"/>
                <w:color w:val="auto"/>
                <w:highlight w:val="none"/>
              </w:rPr>
            </w:pPr>
            <w:r>
              <w:rPr>
                <w:rFonts w:hint="eastAsia" w:ascii="宋体" w:hAnsi="宋体"/>
                <w:color w:val="auto"/>
                <w:highlight w:val="none"/>
              </w:rPr>
              <w:t>已建立抽检合格备份样品再利用工作制度机制的</w:t>
            </w:r>
          </w:p>
        </w:tc>
        <w:tc>
          <w:tcPr>
            <w:tcW w:w="2410" w:type="dxa"/>
            <w:tcBorders>
              <w:top w:val="single" w:color="auto" w:sz="4" w:space="0"/>
              <w:left w:val="single" w:color="auto" w:sz="4" w:space="0"/>
              <w:bottom w:val="single" w:color="auto" w:sz="4" w:space="0"/>
              <w:right w:val="single" w:color="auto" w:sz="4" w:space="0"/>
            </w:tcBorders>
            <w:vAlign w:val="center"/>
          </w:tcPr>
          <w:p w14:paraId="70C25F26">
            <w:pPr>
              <w:keepNext w:val="0"/>
              <w:keepLines w:val="0"/>
              <w:suppressLineNumbers w:val="0"/>
              <w:spacing w:before="0" w:beforeAutospacing="0" w:after="0" w:afterAutospacing="0" w:line="380" w:lineRule="exact"/>
              <w:ind w:left="0" w:right="0"/>
              <w:jc w:val="left"/>
              <w:rPr>
                <w:rFonts w:hint="eastAsia" w:ascii="宋体" w:hAnsi="宋体"/>
                <w:color w:val="auto"/>
                <w:highlight w:val="none"/>
              </w:rPr>
            </w:pPr>
          </w:p>
        </w:tc>
        <w:tc>
          <w:tcPr>
            <w:tcW w:w="1865" w:type="dxa"/>
            <w:tcBorders>
              <w:top w:val="single" w:color="auto" w:sz="4" w:space="0"/>
              <w:left w:val="single" w:color="auto" w:sz="4" w:space="0"/>
              <w:bottom w:val="single" w:color="auto" w:sz="4" w:space="0"/>
              <w:right w:val="single" w:color="auto" w:sz="4" w:space="0"/>
            </w:tcBorders>
            <w:vAlign w:val="center"/>
          </w:tcPr>
          <w:p w14:paraId="1C8F1B55">
            <w:pPr>
              <w:keepNext w:val="0"/>
              <w:keepLines w:val="0"/>
              <w:suppressLineNumbers w:val="0"/>
              <w:spacing w:before="0" w:beforeAutospacing="0" w:after="0" w:afterAutospacing="0" w:line="380" w:lineRule="exact"/>
              <w:ind w:left="0" w:right="0"/>
              <w:jc w:val="left"/>
              <w:rPr>
                <w:rFonts w:hint="eastAsia" w:ascii="宋体" w:hAnsi="宋体"/>
                <w:color w:val="auto"/>
                <w:highlight w:val="none"/>
              </w:rPr>
            </w:pPr>
          </w:p>
        </w:tc>
      </w:tr>
      <w:tr w14:paraId="392962F6">
        <w:tblPrEx>
          <w:tblCellMar>
            <w:top w:w="0" w:type="dxa"/>
            <w:left w:w="108" w:type="dxa"/>
            <w:bottom w:w="0" w:type="dxa"/>
            <w:right w:w="108" w:type="dxa"/>
          </w:tblCellMar>
        </w:tblPrEx>
        <w:trPr>
          <w:trHeight w:val="578" w:hRule="atLeast"/>
          <w:jc w:val="center"/>
        </w:trPr>
        <w:tc>
          <w:tcPr>
            <w:tcW w:w="4673" w:type="dxa"/>
            <w:tcBorders>
              <w:top w:val="single" w:color="auto" w:sz="4" w:space="0"/>
              <w:left w:val="single" w:color="auto" w:sz="4" w:space="0"/>
              <w:bottom w:val="single" w:color="auto" w:sz="4" w:space="0"/>
              <w:right w:val="single" w:color="auto" w:sz="4" w:space="0"/>
            </w:tcBorders>
            <w:vAlign w:val="center"/>
          </w:tcPr>
          <w:p w14:paraId="1260801B">
            <w:pPr>
              <w:keepNext w:val="0"/>
              <w:keepLines w:val="0"/>
              <w:suppressLineNumbers w:val="0"/>
              <w:spacing w:before="0" w:beforeAutospacing="0" w:after="0" w:afterAutospacing="0" w:line="380" w:lineRule="exact"/>
              <w:ind w:left="0" w:right="0"/>
              <w:jc w:val="left"/>
              <w:rPr>
                <w:rFonts w:hint="eastAsia" w:ascii="宋体" w:hAnsi="宋体"/>
                <w:color w:val="auto"/>
                <w:highlight w:val="none"/>
              </w:rPr>
            </w:pPr>
            <w:r>
              <w:rPr>
                <w:rFonts w:hint="eastAsia" w:ascii="宋体" w:hAnsi="宋体"/>
                <w:color w:val="auto"/>
                <w:kern w:val="0"/>
                <w:szCs w:val="21"/>
                <w:highlight w:val="none"/>
                <w:lang w:val="zh-CN"/>
              </w:rPr>
              <w:t>开展的合格备份样品再利用工作取得良好社会效果的（如媒体报道、受益方出具的感谢信等）</w:t>
            </w:r>
          </w:p>
        </w:tc>
        <w:tc>
          <w:tcPr>
            <w:tcW w:w="2410" w:type="dxa"/>
            <w:tcBorders>
              <w:top w:val="single" w:color="auto" w:sz="4" w:space="0"/>
              <w:left w:val="single" w:color="auto" w:sz="4" w:space="0"/>
              <w:bottom w:val="single" w:color="auto" w:sz="4" w:space="0"/>
              <w:right w:val="single" w:color="auto" w:sz="4" w:space="0"/>
            </w:tcBorders>
            <w:vAlign w:val="center"/>
          </w:tcPr>
          <w:p w14:paraId="69495C9C">
            <w:pPr>
              <w:keepNext w:val="0"/>
              <w:keepLines w:val="0"/>
              <w:suppressLineNumbers w:val="0"/>
              <w:spacing w:before="0" w:beforeAutospacing="0" w:after="0" w:afterAutospacing="0" w:line="380" w:lineRule="exact"/>
              <w:ind w:left="0" w:right="0"/>
              <w:jc w:val="left"/>
              <w:rPr>
                <w:rFonts w:hint="eastAsia" w:ascii="宋体" w:hAnsi="宋体"/>
                <w:color w:val="auto"/>
                <w:highlight w:val="none"/>
              </w:rPr>
            </w:pPr>
          </w:p>
        </w:tc>
        <w:tc>
          <w:tcPr>
            <w:tcW w:w="1865" w:type="dxa"/>
            <w:tcBorders>
              <w:top w:val="single" w:color="auto" w:sz="4" w:space="0"/>
              <w:left w:val="single" w:color="auto" w:sz="4" w:space="0"/>
              <w:bottom w:val="single" w:color="auto" w:sz="4" w:space="0"/>
              <w:right w:val="single" w:color="auto" w:sz="4" w:space="0"/>
            </w:tcBorders>
            <w:vAlign w:val="center"/>
          </w:tcPr>
          <w:p w14:paraId="355A9C9A">
            <w:pPr>
              <w:keepNext w:val="0"/>
              <w:keepLines w:val="0"/>
              <w:suppressLineNumbers w:val="0"/>
              <w:spacing w:before="0" w:beforeAutospacing="0" w:after="0" w:afterAutospacing="0" w:line="380" w:lineRule="exact"/>
              <w:ind w:left="0" w:right="0"/>
              <w:jc w:val="left"/>
              <w:rPr>
                <w:rFonts w:hint="eastAsia" w:ascii="宋体" w:hAnsi="宋体"/>
                <w:color w:val="auto"/>
                <w:highlight w:val="none"/>
              </w:rPr>
            </w:pPr>
          </w:p>
        </w:tc>
      </w:tr>
    </w:tbl>
    <w:p w14:paraId="1FA597A6">
      <w:pPr>
        <w:spacing w:line="380" w:lineRule="exact"/>
        <w:jc w:val="left"/>
        <w:rPr>
          <w:rFonts w:hint="eastAsia" w:ascii="宋体" w:hAnsi="宋体" w:cs="宋体"/>
          <w:b/>
          <w:bCs/>
          <w:color w:val="auto"/>
          <w:szCs w:val="21"/>
          <w:highlight w:val="none"/>
          <w:lang w:val="zh-CN"/>
        </w:rPr>
      </w:pPr>
      <w:r>
        <w:rPr>
          <w:rFonts w:hint="eastAsia"/>
          <w:b/>
          <w:bCs/>
          <w:color w:val="auto"/>
          <w:spacing w:val="-3"/>
          <w:szCs w:val="21"/>
          <w:highlight w:val="none"/>
        </w:rPr>
        <w:t>注：须提供相关工作制度、开展情况介绍、预包装食品备样再利用率、良好的社会效应等证明材料。备样再利用方式包括捐赠、拍卖、义卖等方式。证明材料清晰可见，模糊的不得分。</w:t>
      </w:r>
    </w:p>
    <w:p w14:paraId="279BB752">
      <w:pPr>
        <w:jc w:val="center"/>
        <w:rPr>
          <w:color w:val="auto"/>
          <w:highlight w:val="none"/>
        </w:rPr>
      </w:pPr>
    </w:p>
    <w:p w14:paraId="50A81897">
      <w:pPr>
        <w:pStyle w:val="16"/>
        <w:ind w:left="1260"/>
        <w:rPr>
          <w:color w:val="auto"/>
          <w:highlight w:val="none"/>
        </w:rPr>
      </w:pPr>
    </w:p>
    <w:p w14:paraId="3526B6FE">
      <w:pPr>
        <w:rPr>
          <w:color w:val="auto"/>
          <w:highlight w:val="none"/>
        </w:rPr>
      </w:pPr>
    </w:p>
    <w:p w14:paraId="49576422">
      <w:pPr>
        <w:pStyle w:val="16"/>
        <w:ind w:left="1260"/>
        <w:rPr>
          <w:color w:val="auto"/>
          <w:highlight w:val="none"/>
        </w:rPr>
      </w:pPr>
    </w:p>
    <w:p w14:paraId="614AE4F7">
      <w:pPr>
        <w:rPr>
          <w:color w:val="auto"/>
          <w:highlight w:val="none"/>
        </w:rPr>
      </w:pPr>
    </w:p>
    <w:p w14:paraId="437D9D4A">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color w:val="auto"/>
          <w:szCs w:val="21"/>
          <w:highlight w:val="none"/>
          <w:u w:val="single"/>
        </w:rPr>
      </w:pPr>
      <w:r>
        <w:rPr>
          <w:rFonts w:hint="eastAsia" w:ascii="Microsoft New Tai Lue" w:hAnsi="Microsoft New Tai Lue" w:cs="Microsoft New Tai Lue"/>
          <w:bCs/>
          <w:color w:val="auto"/>
          <w:highlight w:val="none"/>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w:t>
      </w:r>
      <w:r>
        <w:rPr>
          <w:rFonts w:ascii="Microsoft New Tai Lue" w:hAnsi="Microsoft New Tai Lue" w:cs="Microsoft New Tai Lue"/>
          <w:color w:val="auto"/>
          <w:szCs w:val="21"/>
          <w:highlight w:val="none"/>
          <w:u w:val="single"/>
        </w:rPr>
        <w:t xml:space="preserve">          </w:t>
      </w:r>
    </w:p>
    <w:p w14:paraId="5376F8D8">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0820CF2D">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6EDC8A01">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4541F35E">
      <w:pPr>
        <w:pStyle w:val="32"/>
        <w:spacing w:before="0"/>
        <w:rPr>
          <w:rFonts w:ascii="Microsoft New Tai Lue" w:hAnsi="Microsoft New Tai Lue" w:cs="Microsoft New Tai Lue"/>
          <w:bCs w:val="0"/>
          <w:color w:val="auto"/>
          <w:sz w:val="24"/>
          <w:szCs w:val="24"/>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r>
        <w:rPr>
          <w:color w:val="auto"/>
          <w:highlight w:val="none"/>
        </w:rPr>
        <w:br w:type="page"/>
      </w:r>
    </w:p>
    <w:p w14:paraId="3905FD92">
      <w:pPr>
        <w:pStyle w:val="32"/>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（9）管理制度与工作质量</w:t>
      </w:r>
    </w:p>
    <w:p w14:paraId="1A083199">
      <w:pPr>
        <w:pStyle w:val="32"/>
        <w:spacing w:before="0"/>
        <w:rPr>
          <w:rFonts w:ascii="Microsoft New Tai Lue" w:hAnsi="Microsoft New Tai Lue" w:cs="Microsoft New Tai Lue"/>
          <w:bCs w:val="0"/>
          <w:color w:val="auto"/>
          <w:sz w:val="24"/>
          <w:szCs w:val="24"/>
          <w:highlight w:val="none"/>
          <w:lang w:val="zh-CN"/>
        </w:rPr>
      </w:pPr>
      <w:r>
        <w:rPr>
          <w:rFonts w:hint="eastAsia" w:ascii="Microsoft New Tai Lue" w:hAnsi="Microsoft New Tai Lue" w:cs="Microsoft New Tai Lue"/>
          <w:bCs w:val="0"/>
          <w:color w:val="auto"/>
          <w:sz w:val="24"/>
          <w:szCs w:val="24"/>
          <w:highlight w:val="none"/>
          <w:lang w:val="zh-CN"/>
        </w:rPr>
        <w:t>（</w:t>
      </w:r>
      <w:r>
        <w:rPr>
          <w:rFonts w:hint="eastAsia" w:ascii="Microsoft New Tai Lue" w:hAnsi="Microsoft New Tai Lue" w:cs="Microsoft New Tai Lue"/>
          <w:bCs w:val="0"/>
          <w:color w:val="auto"/>
          <w:sz w:val="24"/>
          <w:szCs w:val="24"/>
          <w:highlight w:val="none"/>
        </w:rPr>
        <w:t>9-1</w:t>
      </w:r>
      <w:r>
        <w:rPr>
          <w:rFonts w:hint="eastAsia" w:ascii="Microsoft New Tai Lue" w:hAnsi="Microsoft New Tai Lue" w:cs="Microsoft New Tai Lue"/>
          <w:bCs w:val="0"/>
          <w:color w:val="auto"/>
          <w:sz w:val="24"/>
          <w:szCs w:val="24"/>
          <w:highlight w:val="none"/>
          <w:lang w:val="zh-CN"/>
        </w:rPr>
        <w:t>）管理制度</w:t>
      </w:r>
    </w:p>
    <w:p w14:paraId="6A3E7E4C">
      <w:pPr>
        <w:ind w:firstLine="420" w:firstLineChars="200"/>
        <w:rPr>
          <w:bCs/>
          <w:color w:val="auto"/>
          <w:szCs w:val="21"/>
          <w:highlight w:val="none"/>
        </w:rPr>
      </w:pPr>
      <w:r>
        <w:rPr>
          <w:rFonts w:hint="eastAsia"/>
          <w:bCs/>
          <w:color w:val="auto"/>
          <w:szCs w:val="21"/>
          <w:highlight w:val="none"/>
        </w:rPr>
        <w:t>依据《食品安全抽样检验管理办法》等法律法规规章，建立健全相关制度。（12个方面为：抽样管理、人员管理、培训、样品管理、复验、信息报送、保密、回避、检验责任追究、档案管理、食品安全舆情应急检验预案、食品安全风险信息报送等制度）</w:t>
      </w:r>
    </w:p>
    <w:tbl>
      <w:tblPr>
        <w:tblStyle w:val="34"/>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5"/>
        <w:gridCol w:w="3729"/>
        <w:gridCol w:w="3055"/>
      </w:tblGrid>
      <w:tr w14:paraId="7F09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75" w:type="dxa"/>
            <w:vAlign w:val="center"/>
          </w:tcPr>
          <w:p w14:paraId="29B216C3">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序号</w:t>
            </w:r>
          </w:p>
        </w:tc>
        <w:tc>
          <w:tcPr>
            <w:tcW w:w="3729" w:type="dxa"/>
            <w:vAlign w:val="center"/>
          </w:tcPr>
          <w:p w14:paraId="48B5F38E">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制度名称</w:t>
            </w:r>
          </w:p>
        </w:tc>
        <w:tc>
          <w:tcPr>
            <w:tcW w:w="3055" w:type="dxa"/>
            <w:vAlign w:val="center"/>
          </w:tcPr>
          <w:p w14:paraId="3B875A27">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s="宋体"/>
                <w:color w:val="auto"/>
                <w:szCs w:val="21"/>
                <w:highlight w:val="none"/>
                <w:lang w:val="zh-CN" w:bidi="zh-CN"/>
              </w:rPr>
              <w:t>在投标文件中的页码位置</w:t>
            </w:r>
          </w:p>
        </w:tc>
      </w:tr>
      <w:tr w14:paraId="0E721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347B804B">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729" w:type="dxa"/>
            <w:vAlign w:val="center"/>
          </w:tcPr>
          <w:p w14:paraId="2E1E0F0C">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055" w:type="dxa"/>
            <w:vAlign w:val="center"/>
          </w:tcPr>
          <w:p w14:paraId="184373E5">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39552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0E78E74D">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729" w:type="dxa"/>
            <w:vAlign w:val="center"/>
          </w:tcPr>
          <w:p w14:paraId="420274CD">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055" w:type="dxa"/>
            <w:vAlign w:val="center"/>
          </w:tcPr>
          <w:p w14:paraId="65595A2F">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0DDD0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5E1A2D9E">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729" w:type="dxa"/>
            <w:vAlign w:val="center"/>
          </w:tcPr>
          <w:p w14:paraId="3E3861F6">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055" w:type="dxa"/>
            <w:vAlign w:val="center"/>
          </w:tcPr>
          <w:p w14:paraId="05FFBBE8">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6979E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3D8A6EF1">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729" w:type="dxa"/>
            <w:vAlign w:val="center"/>
          </w:tcPr>
          <w:p w14:paraId="4478A0ED">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055" w:type="dxa"/>
            <w:vAlign w:val="center"/>
          </w:tcPr>
          <w:p w14:paraId="21944A96">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7DB31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4D69D651">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729" w:type="dxa"/>
            <w:vAlign w:val="center"/>
          </w:tcPr>
          <w:p w14:paraId="12C5FA11">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055" w:type="dxa"/>
            <w:vAlign w:val="center"/>
          </w:tcPr>
          <w:p w14:paraId="27926629">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049FC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7B1E08E6">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729" w:type="dxa"/>
            <w:vAlign w:val="center"/>
          </w:tcPr>
          <w:p w14:paraId="29D079E2">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055" w:type="dxa"/>
            <w:vAlign w:val="center"/>
          </w:tcPr>
          <w:p w14:paraId="06F0F468">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6A3F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03205A17">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729" w:type="dxa"/>
            <w:vAlign w:val="center"/>
          </w:tcPr>
          <w:p w14:paraId="705360B8">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055" w:type="dxa"/>
            <w:vAlign w:val="center"/>
          </w:tcPr>
          <w:p w14:paraId="6C66E798">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r w14:paraId="3C31B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575" w:type="dxa"/>
            <w:vAlign w:val="center"/>
          </w:tcPr>
          <w:p w14:paraId="58E26D42">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729" w:type="dxa"/>
            <w:vAlign w:val="center"/>
          </w:tcPr>
          <w:p w14:paraId="102B2387">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c>
          <w:tcPr>
            <w:tcW w:w="3055" w:type="dxa"/>
            <w:vAlign w:val="center"/>
          </w:tcPr>
          <w:p w14:paraId="76783F25">
            <w:pPr>
              <w:keepNext w:val="0"/>
              <w:keepLines w:val="0"/>
              <w:suppressLineNumbers w:val="0"/>
              <w:spacing w:before="0" w:beforeAutospacing="0" w:after="0" w:afterAutospacing="0" w:line="360" w:lineRule="auto"/>
              <w:ind w:left="0" w:right="0"/>
              <w:jc w:val="center"/>
              <w:rPr>
                <w:rFonts w:hint="eastAsia" w:ascii="宋体" w:hAnsi="宋体"/>
                <w:bCs/>
                <w:color w:val="auto"/>
                <w:szCs w:val="21"/>
                <w:highlight w:val="none"/>
              </w:rPr>
            </w:pPr>
          </w:p>
        </w:tc>
      </w:tr>
    </w:tbl>
    <w:p w14:paraId="6EFA6F8C">
      <w:pPr>
        <w:rPr>
          <w:b/>
          <w:bCs/>
          <w:color w:val="auto"/>
          <w:szCs w:val="21"/>
          <w:highlight w:val="none"/>
        </w:rPr>
      </w:pPr>
      <w:r>
        <w:rPr>
          <w:rFonts w:hint="eastAsia"/>
          <w:b/>
          <w:bCs/>
          <w:color w:val="auto"/>
          <w:szCs w:val="21"/>
          <w:highlight w:val="none"/>
        </w:rPr>
        <w:t>注：</w:t>
      </w:r>
      <w:r>
        <w:rPr>
          <w:rFonts w:hint="eastAsia" w:ascii="宋体" w:hAnsi="宋体"/>
          <w:b/>
          <w:color w:val="auto"/>
          <w:kern w:val="0"/>
          <w:szCs w:val="21"/>
          <w:highlight w:val="none"/>
          <w:lang w:val="zh-CN" w:bidi="zh-CN"/>
        </w:rPr>
        <w:t>须提供相关有效证明材料，证明材料清晰可见，模糊的不得分。</w:t>
      </w:r>
    </w:p>
    <w:p w14:paraId="0F87B166">
      <w:pPr>
        <w:pStyle w:val="16"/>
        <w:ind w:left="1260"/>
        <w:rPr>
          <w:color w:val="auto"/>
          <w:highlight w:val="none"/>
        </w:rPr>
      </w:pPr>
    </w:p>
    <w:p w14:paraId="560EA008">
      <w:pPr>
        <w:rPr>
          <w:color w:val="auto"/>
          <w:highlight w:val="none"/>
        </w:rPr>
      </w:pPr>
    </w:p>
    <w:p w14:paraId="47681D6F">
      <w:pPr>
        <w:pStyle w:val="16"/>
        <w:ind w:left="1260"/>
        <w:rPr>
          <w:color w:val="auto"/>
          <w:highlight w:val="none"/>
        </w:rPr>
      </w:pPr>
    </w:p>
    <w:p w14:paraId="4A179F82">
      <w:pPr>
        <w:rPr>
          <w:color w:val="auto"/>
          <w:highlight w:val="none"/>
        </w:rPr>
      </w:pPr>
    </w:p>
    <w:p w14:paraId="7926A1EE">
      <w:pPr>
        <w:pStyle w:val="16"/>
        <w:ind w:left="1260"/>
        <w:rPr>
          <w:color w:val="auto"/>
          <w:highlight w:val="none"/>
        </w:rPr>
      </w:pPr>
    </w:p>
    <w:p w14:paraId="3435D990">
      <w:pPr>
        <w:rPr>
          <w:color w:val="auto"/>
          <w:highlight w:val="none"/>
        </w:rPr>
      </w:pPr>
    </w:p>
    <w:p w14:paraId="5D39AC22">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5C7C6D16">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430D401F">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w:t>
      </w:r>
    </w:p>
    <w:p w14:paraId="752C5C28">
      <w:pPr>
        <w:spacing w:line="360" w:lineRule="auto"/>
        <w:ind w:firstLine="3780" w:firstLineChars="1800"/>
        <w:rPr>
          <w:rFonts w:hint="eastAsia" w:ascii="宋体" w:hAnsi="宋体" w:cs="宋体"/>
          <w:b/>
          <w:bCs/>
          <w:color w:val="auto"/>
          <w:szCs w:val="21"/>
          <w:highlight w:val="none"/>
          <w:lang w:val="zh-CN"/>
        </w:rPr>
      </w:pPr>
      <w:r>
        <w:rPr>
          <w:rFonts w:ascii="Microsoft New Tai Lue" w:hAnsi="Microsoft New Tai Lue" w:cs="Microsoft New Tai Lue"/>
          <w:color w:val="auto"/>
          <w:szCs w:val="21"/>
          <w:highlight w:val="none"/>
        </w:rPr>
        <w:t>日期：______年____月____日</w:t>
      </w:r>
    </w:p>
    <w:p w14:paraId="4A924FB1">
      <w:pPr>
        <w:pStyle w:val="32"/>
        <w:spacing w:before="0"/>
        <w:rPr>
          <w:rFonts w:ascii="Microsoft New Tai Lue" w:hAnsi="Microsoft New Tai Lue" w:cs="Microsoft New Tai Lue"/>
          <w:bCs w:val="0"/>
          <w:color w:val="auto"/>
          <w:sz w:val="24"/>
          <w:szCs w:val="24"/>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p>
    <w:p w14:paraId="4E009568">
      <w:pPr>
        <w:pStyle w:val="32"/>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（9-2）管理制度落实和工作执行情况</w:t>
      </w:r>
    </w:p>
    <w:p w14:paraId="0BDCF2D5">
      <w:pPr>
        <w:rPr>
          <w:rFonts w:hint="eastAsia" w:ascii="宋体" w:hAnsi="宋体" w:cs="宋体"/>
          <w:b/>
          <w:bCs/>
          <w:color w:val="auto"/>
          <w:szCs w:val="21"/>
          <w:highlight w:val="none"/>
          <w:lang w:val="zh-CN"/>
        </w:rPr>
      </w:pPr>
    </w:p>
    <w:p w14:paraId="193AD195">
      <w:pPr>
        <w:spacing w:line="360" w:lineRule="auto"/>
        <w:ind w:firstLine="42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供应商按照招标文件的要求，根据项目需求及评审办法做出全面响应并编制管理制度落实和工作执行情况。</w:t>
      </w:r>
    </w:p>
    <w:p w14:paraId="4655D3EE">
      <w:pPr>
        <w:jc w:val="center"/>
        <w:rPr>
          <w:b/>
          <w:bCs/>
          <w:color w:val="auto"/>
          <w:highlight w:val="none"/>
          <w:lang w:val="zh-CN"/>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r>
        <w:rPr>
          <w:rFonts w:hint="eastAsia"/>
          <w:b/>
          <w:bCs/>
          <w:color w:val="auto"/>
          <w:highlight w:val="none"/>
          <w:lang w:val="zh-CN"/>
        </w:rPr>
        <w:t>（格式自拟）</w:t>
      </w:r>
    </w:p>
    <w:p w14:paraId="143CF5A2">
      <w:pPr>
        <w:pStyle w:val="32"/>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（10）快速响应服务时效</w:t>
      </w:r>
    </w:p>
    <w:p w14:paraId="0D497D8F">
      <w:pPr>
        <w:rPr>
          <w:rFonts w:hint="eastAsia" w:ascii="宋体" w:hAnsi="宋体" w:cs="宋体"/>
          <w:b/>
          <w:bCs/>
          <w:color w:val="auto"/>
          <w:szCs w:val="21"/>
          <w:highlight w:val="none"/>
          <w:lang w:val="zh-CN"/>
        </w:rPr>
      </w:pPr>
    </w:p>
    <w:p w14:paraId="16283685">
      <w:pPr>
        <w:jc w:val="left"/>
        <w:rPr>
          <w:b/>
          <w:bCs/>
          <w:color w:val="auto"/>
          <w:highlight w:val="none"/>
          <w:lang w:val="zh-CN"/>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r>
        <w:rPr>
          <w:rFonts w:hint="eastAsia"/>
          <w:b/>
          <w:bCs/>
          <w:color w:val="auto"/>
          <w:highlight w:val="none"/>
          <w:lang w:val="zh-CN"/>
        </w:rPr>
        <w:t>注：</w:t>
      </w:r>
      <w:r>
        <w:rPr>
          <w:rFonts w:hint="eastAsia" w:ascii="宋体" w:hAnsi="宋体" w:cs="宋体"/>
          <w:b/>
          <w:bCs/>
          <w:color w:val="auto"/>
          <w:szCs w:val="21"/>
          <w:highlight w:val="none"/>
          <w:lang w:val="zh-CN"/>
        </w:rPr>
        <w:t>供应商须提交以供应商实验室为起点至采购人所在地为终点（江苏省南京市鼓楼区草场门大街107号）的全部行程导航截图，若更换交通工具，须分段截图，行程方式包括飞机、火车、汽车等。此外，在供应商已提供的导航截图及时间信息基础上，针对飞机、火车等不同交通方式，将分别增加额外的时间成本，具体为：飞机增加1小时，火车增加0.5小时，以覆盖机场候机、火车站候车的时间成本</w:t>
      </w:r>
      <w:r>
        <w:rPr>
          <w:rFonts w:hint="eastAsia"/>
          <w:b/>
          <w:bCs/>
          <w:color w:val="auto"/>
          <w:highlight w:val="none"/>
          <w:lang w:val="zh-CN"/>
        </w:rPr>
        <w:t>，证明材料清晰可见，模糊的不得分。</w:t>
      </w:r>
    </w:p>
    <w:p w14:paraId="5631A5B0">
      <w:pPr>
        <w:pStyle w:val="32"/>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（11）实施方案</w:t>
      </w:r>
    </w:p>
    <w:p w14:paraId="261CF210">
      <w:pPr>
        <w:rPr>
          <w:rFonts w:hint="eastAsia" w:ascii="宋体" w:hAnsi="宋体" w:cs="宋体"/>
          <w:b/>
          <w:bCs/>
          <w:color w:val="auto"/>
          <w:szCs w:val="21"/>
          <w:highlight w:val="none"/>
          <w:lang w:val="zh-CN"/>
        </w:rPr>
      </w:pPr>
    </w:p>
    <w:p w14:paraId="322922AE">
      <w:pPr>
        <w:spacing w:line="360" w:lineRule="auto"/>
        <w:ind w:firstLine="42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供应商按照招标文件的要求，根据项目需求及评审办法做出全面响应并编制实施方案。</w:t>
      </w:r>
    </w:p>
    <w:p w14:paraId="3E42FFA9">
      <w:pPr>
        <w:jc w:val="center"/>
        <w:rPr>
          <w:rFonts w:hint="eastAsia" w:ascii="宋体" w:hAnsi="宋体" w:cs="宋体"/>
          <w:b/>
          <w:bCs/>
          <w:color w:val="auto"/>
          <w:szCs w:val="21"/>
          <w:highlight w:val="none"/>
          <w:lang w:val="zh-CN"/>
        </w:rPr>
      </w:pPr>
      <w:r>
        <w:rPr>
          <w:rFonts w:hint="eastAsia"/>
          <w:b/>
          <w:bCs/>
          <w:color w:val="auto"/>
          <w:highlight w:val="none"/>
          <w:lang w:val="zh-CN"/>
        </w:rPr>
        <w:t>（格式自拟）</w:t>
      </w:r>
    </w:p>
    <w:p w14:paraId="794E1304">
      <w:pPr>
        <w:pStyle w:val="16"/>
        <w:ind w:left="1260"/>
        <w:rPr>
          <w:color w:val="auto"/>
          <w:highlight w:val="none"/>
        </w:rPr>
      </w:pPr>
    </w:p>
    <w:p w14:paraId="7F11C939">
      <w:pPr>
        <w:pStyle w:val="16"/>
        <w:ind w:left="1260"/>
        <w:rPr>
          <w:color w:val="auto"/>
          <w:highlight w:val="none"/>
        </w:rPr>
      </w:pPr>
      <w:r>
        <w:rPr>
          <w:color w:val="auto"/>
          <w:highlight w:val="none"/>
        </w:rPr>
        <w:br w:type="page"/>
      </w:r>
    </w:p>
    <w:p w14:paraId="3AB70E81">
      <w:pPr>
        <w:pStyle w:val="32"/>
        <w:rPr>
          <w:rFonts w:ascii="Microsoft New Tai Lue" w:hAnsi="Microsoft New Tai Lue" w:cs="Microsoft New Tai Lue"/>
          <w:bCs w:val="0"/>
          <w:color w:val="auto"/>
          <w:sz w:val="24"/>
          <w:szCs w:val="24"/>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p>
    <w:p w14:paraId="359BF24C">
      <w:pPr>
        <w:pStyle w:val="32"/>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（12）突发事件应急处置预案</w:t>
      </w:r>
    </w:p>
    <w:p w14:paraId="60BE8C16">
      <w:pPr>
        <w:rPr>
          <w:rFonts w:hint="eastAsia" w:ascii="宋体" w:hAnsi="宋体" w:cs="宋体"/>
          <w:b/>
          <w:bCs/>
          <w:color w:val="auto"/>
          <w:szCs w:val="21"/>
          <w:highlight w:val="none"/>
          <w:lang w:val="zh-CN"/>
        </w:rPr>
      </w:pPr>
    </w:p>
    <w:p w14:paraId="11F9D260">
      <w:pPr>
        <w:spacing w:line="360" w:lineRule="auto"/>
        <w:ind w:firstLine="42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供应商按照招标文件的要求，根据项目需求及评审办法做出全面响应并编制突发事件应急处置预案。</w:t>
      </w:r>
    </w:p>
    <w:p w14:paraId="734AB858">
      <w:pPr>
        <w:spacing w:line="360" w:lineRule="auto"/>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（格式自拟）</w:t>
      </w:r>
    </w:p>
    <w:p w14:paraId="6A0C8E4C">
      <w:pPr>
        <w:pStyle w:val="32"/>
        <w:rPr>
          <w:rFonts w:ascii="Microsoft New Tai Lue" w:hAnsi="Microsoft New Tai Lue" w:cs="Microsoft New Tai Lue"/>
          <w:bCs w:val="0"/>
          <w:color w:val="auto"/>
          <w:sz w:val="24"/>
          <w:szCs w:val="24"/>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p>
    <w:p w14:paraId="04DB5554">
      <w:pPr>
        <w:pStyle w:val="32"/>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（13）分析报告</w:t>
      </w:r>
    </w:p>
    <w:p w14:paraId="53716644">
      <w:pPr>
        <w:pStyle w:val="16"/>
        <w:ind w:left="0" w:leftChars="0"/>
        <w:rPr>
          <w:color w:val="auto"/>
          <w:highlight w:val="none"/>
        </w:rPr>
      </w:pPr>
    </w:p>
    <w:p w14:paraId="280D599C">
      <w:pPr>
        <w:spacing w:line="360" w:lineRule="auto"/>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供应商按照招标文件的要求，根据项目需求及评审办法做出全面响应并编制分析报告。</w:t>
      </w:r>
    </w:p>
    <w:p w14:paraId="36A23241">
      <w:pPr>
        <w:spacing w:line="360" w:lineRule="auto"/>
        <w:jc w:val="center"/>
        <w:rPr>
          <w:rFonts w:hint="eastAsia" w:ascii="宋体" w:hAnsi="宋体" w:cs="宋体"/>
          <w:b/>
          <w:bCs/>
          <w:color w:val="auto"/>
          <w:szCs w:val="21"/>
          <w:highlight w:val="none"/>
          <w:lang w:val="zh-CN"/>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r>
        <w:rPr>
          <w:rFonts w:hint="eastAsia" w:ascii="宋体" w:hAnsi="宋体" w:cs="宋体"/>
          <w:b/>
          <w:bCs/>
          <w:color w:val="auto"/>
          <w:szCs w:val="21"/>
          <w:highlight w:val="none"/>
          <w:lang w:val="zh-CN"/>
        </w:rPr>
        <w:t>（格式自拟）</w:t>
      </w:r>
    </w:p>
    <w:p w14:paraId="3A2C2893">
      <w:pPr>
        <w:pStyle w:val="32"/>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w:t>
      </w:r>
      <w:r>
        <w:rPr>
          <w:rFonts w:hint="eastAsia" w:ascii="Microsoft New Tai Lue" w:hAnsi="Microsoft New Tai Lue" w:cs="Microsoft New Tai Lue"/>
          <w:bCs w:val="0"/>
          <w:color w:val="auto"/>
          <w:sz w:val="24"/>
          <w:szCs w:val="24"/>
          <w:highlight w:val="none"/>
          <w:lang w:val="en-US" w:eastAsia="zh-CN"/>
        </w:rPr>
        <w:t>14</w:t>
      </w:r>
      <w:r>
        <w:rPr>
          <w:rFonts w:hint="eastAsia" w:ascii="Microsoft New Tai Lue" w:hAnsi="Microsoft New Tai Lue" w:cs="Microsoft New Tai Lue"/>
          <w:bCs w:val="0"/>
          <w:color w:val="auto"/>
          <w:sz w:val="24"/>
          <w:szCs w:val="24"/>
          <w:highlight w:val="none"/>
        </w:rPr>
        <w:t>）检测能力</w:t>
      </w:r>
    </w:p>
    <w:tbl>
      <w:tblPr>
        <w:tblStyle w:val="34"/>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5"/>
        <w:gridCol w:w="2954"/>
        <w:gridCol w:w="2879"/>
        <w:gridCol w:w="1715"/>
        <w:gridCol w:w="793"/>
      </w:tblGrid>
      <w:tr w14:paraId="2F44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585" w:type="dxa"/>
            <w:vAlign w:val="center"/>
          </w:tcPr>
          <w:p w14:paraId="1EEE1F5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954" w:type="dxa"/>
            <w:vAlign w:val="center"/>
          </w:tcPr>
          <w:p w14:paraId="3E69ADD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879" w:type="dxa"/>
            <w:vAlign w:val="center"/>
          </w:tcPr>
          <w:p w14:paraId="374169EB">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内容</w:t>
            </w:r>
          </w:p>
        </w:tc>
        <w:tc>
          <w:tcPr>
            <w:tcW w:w="1715" w:type="dxa"/>
            <w:vAlign w:val="center"/>
          </w:tcPr>
          <w:p w14:paraId="27DD2424">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793" w:type="dxa"/>
            <w:vAlign w:val="center"/>
          </w:tcPr>
          <w:p w14:paraId="1F750E6F">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59A6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5" w:type="dxa"/>
            <w:vAlign w:val="center"/>
          </w:tcPr>
          <w:p w14:paraId="7C330095">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p>
        </w:tc>
        <w:tc>
          <w:tcPr>
            <w:tcW w:w="2954" w:type="dxa"/>
            <w:vAlign w:val="center"/>
          </w:tcPr>
          <w:p w14:paraId="2D28D713">
            <w:pPr>
              <w:keepNext w:val="0"/>
              <w:keepLines w:val="0"/>
              <w:suppressLineNumbers w:val="0"/>
              <w:spacing w:before="0" w:beforeAutospacing="0" w:after="0" w:afterAutospacing="0"/>
              <w:ind w:left="0" w:right="0"/>
              <w:jc w:val="left"/>
              <w:rPr>
                <w:rFonts w:hint="eastAsia" w:ascii="宋体" w:hAnsi="宋体" w:cs="宋体"/>
                <w:color w:val="auto"/>
                <w:szCs w:val="21"/>
                <w:highlight w:val="none"/>
              </w:rPr>
            </w:pPr>
            <w:r>
              <w:rPr>
                <w:rFonts w:hint="eastAsia" w:ascii="宋体" w:hAnsi="宋体" w:cs="宋体"/>
                <w:color w:val="auto"/>
                <w:szCs w:val="21"/>
                <w:highlight w:val="none"/>
              </w:rPr>
              <w:t>自2025年</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月1日起供应商</w:t>
            </w:r>
            <w:r>
              <w:rPr>
                <w:rFonts w:hint="eastAsia" w:ascii="宋体" w:hAnsi="宋体" w:cs="宋体"/>
                <w:color w:val="auto"/>
                <w:szCs w:val="21"/>
                <w:highlight w:val="none"/>
                <w:lang w:val="en-US" w:eastAsia="zh-CN"/>
              </w:rPr>
              <w:t>是否</w:t>
            </w:r>
            <w:r>
              <w:rPr>
                <w:rFonts w:hint="eastAsia" w:ascii="宋体" w:hAnsi="宋体" w:cs="宋体"/>
                <w:color w:val="auto"/>
                <w:szCs w:val="21"/>
                <w:highlight w:val="none"/>
              </w:rPr>
              <w:t>发现潜在行业性、区域性食品安全风险隐患，及时向监管部门报告并被采纳的</w:t>
            </w:r>
          </w:p>
        </w:tc>
        <w:tc>
          <w:tcPr>
            <w:tcW w:w="2879" w:type="dxa"/>
            <w:vAlign w:val="center"/>
          </w:tcPr>
          <w:p w14:paraId="4ABEF4F6">
            <w:pPr>
              <w:keepNext w:val="0"/>
              <w:keepLines w:val="0"/>
              <w:suppressLineNumbers w:val="0"/>
              <w:spacing w:before="0" w:beforeAutospacing="0" w:after="0" w:afterAutospacing="0"/>
              <w:ind w:left="0" w:right="0"/>
              <w:jc w:val="center"/>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lang w:val="en-US" w:eastAsia="zh-CN"/>
              </w:rPr>
              <w:t>是/否</w:t>
            </w:r>
          </w:p>
        </w:tc>
        <w:tc>
          <w:tcPr>
            <w:tcW w:w="1715" w:type="dxa"/>
            <w:vAlign w:val="center"/>
          </w:tcPr>
          <w:p w14:paraId="3F1C4473">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c>
          <w:tcPr>
            <w:tcW w:w="793" w:type="dxa"/>
            <w:vAlign w:val="center"/>
          </w:tcPr>
          <w:p w14:paraId="48FB6C69">
            <w:pPr>
              <w:keepNext w:val="0"/>
              <w:keepLines w:val="0"/>
              <w:suppressLineNumbers w:val="0"/>
              <w:spacing w:before="0" w:beforeAutospacing="0" w:after="0" w:afterAutospacing="0"/>
              <w:ind w:left="0" w:right="0"/>
              <w:jc w:val="center"/>
              <w:rPr>
                <w:rFonts w:hint="eastAsia" w:ascii="宋体" w:hAnsi="宋体" w:cs="宋体"/>
                <w:color w:val="auto"/>
                <w:szCs w:val="21"/>
                <w:highlight w:val="none"/>
              </w:rPr>
            </w:pPr>
          </w:p>
        </w:tc>
      </w:tr>
    </w:tbl>
    <w:p w14:paraId="09D03461">
      <w:pPr>
        <w:pStyle w:val="16"/>
        <w:ind w:left="0" w:left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注：须提供监管部门出具的相关证明材料，证明材料清晰可见，模糊的不得分。</w:t>
      </w:r>
    </w:p>
    <w:p w14:paraId="08D9CE3B">
      <w:pPr>
        <w:rPr>
          <w:rFonts w:hint="eastAsia" w:ascii="宋体" w:hAnsi="宋体" w:eastAsia="宋体" w:cs="宋体"/>
          <w:b/>
          <w:bCs/>
          <w:color w:val="auto"/>
          <w:sz w:val="21"/>
          <w:szCs w:val="21"/>
          <w:highlight w:val="none"/>
          <w:lang w:val="en-US" w:eastAsia="zh-CN"/>
        </w:rPr>
      </w:pPr>
    </w:p>
    <w:p w14:paraId="0E04B8C5">
      <w:pPr>
        <w:pStyle w:val="16"/>
        <w:rPr>
          <w:rFonts w:hint="eastAsia" w:ascii="宋体" w:hAnsi="宋体" w:eastAsia="宋体" w:cs="宋体"/>
          <w:b/>
          <w:bCs/>
          <w:color w:val="auto"/>
          <w:sz w:val="21"/>
          <w:szCs w:val="21"/>
          <w:highlight w:val="none"/>
          <w:lang w:val="en-US" w:eastAsia="zh-CN"/>
        </w:rPr>
      </w:pPr>
    </w:p>
    <w:p w14:paraId="0BD1DC8D">
      <w:pPr>
        <w:rPr>
          <w:rFonts w:hint="eastAsia" w:ascii="宋体" w:hAnsi="宋体" w:eastAsia="宋体" w:cs="宋体"/>
          <w:b/>
          <w:bCs/>
          <w:color w:val="auto"/>
          <w:sz w:val="21"/>
          <w:szCs w:val="21"/>
          <w:highlight w:val="none"/>
          <w:lang w:val="en-US" w:eastAsia="zh-CN"/>
        </w:rPr>
      </w:pPr>
    </w:p>
    <w:p w14:paraId="6208ACBD">
      <w:pPr>
        <w:pStyle w:val="16"/>
        <w:rPr>
          <w:rFonts w:hint="eastAsia" w:ascii="宋体" w:hAnsi="宋体" w:eastAsia="宋体" w:cs="宋体"/>
          <w:b/>
          <w:bCs/>
          <w:color w:val="auto"/>
          <w:sz w:val="21"/>
          <w:szCs w:val="21"/>
          <w:highlight w:val="none"/>
          <w:lang w:val="en-US" w:eastAsia="zh-CN"/>
        </w:rPr>
      </w:pPr>
    </w:p>
    <w:p w14:paraId="1761EA10">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1764ED82">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607506FD">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w:t>
      </w:r>
    </w:p>
    <w:p w14:paraId="7B294078">
      <w:pPr>
        <w:rPr>
          <w:rFonts w:hint="default"/>
          <w:color w:val="auto"/>
          <w:highlight w:val="none"/>
          <w:lang w:val="en-US" w:eastAsia="zh-CN"/>
        </w:rPr>
      </w:pP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                       日期：______年____月____日</w:t>
      </w:r>
    </w:p>
    <w:p w14:paraId="5721EFF7">
      <w:pPr>
        <w:rPr>
          <w:rFonts w:hint="default"/>
          <w:color w:val="auto"/>
          <w:highlight w:val="none"/>
          <w:lang w:val="en-US" w:eastAsia="zh-CN"/>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p>
    <w:bookmarkEnd w:id="272"/>
    <w:bookmarkEnd w:id="346"/>
    <w:bookmarkEnd w:id="347"/>
    <w:bookmarkEnd w:id="348"/>
    <w:p w14:paraId="30B6EFC9">
      <w:pPr>
        <w:pStyle w:val="32"/>
        <w:rPr>
          <w:rFonts w:ascii="Microsoft New Tai Lue" w:hAnsi="Microsoft New Tai Lue" w:cs="Microsoft New Tai Lue"/>
          <w:color w:val="auto"/>
          <w:highlight w:val="none"/>
        </w:rPr>
      </w:pPr>
      <w:bookmarkStart w:id="349" w:name="_Toc107246305"/>
      <w:bookmarkStart w:id="350" w:name="_Toc104560922"/>
      <w:bookmarkStart w:id="351" w:name="_Toc103848605"/>
      <w:bookmarkStart w:id="352" w:name="_Toc100905289"/>
      <w:bookmarkStart w:id="353" w:name="_Toc96347904"/>
      <w:r>
        <w:rPr>
          <w:rFonts w:hint="eastAsia" w:ascii="Microsoft New Tai Lue" w:hAnsi="Microsoft New Tai Lue" w:cs="Microsoft New Tai Lue"/>
          <w:color w:val="auto"/>
          <w:sz w:val="28"/>
          <w:szCs w:val="24"/>
          <w:highlight w:val="none"/>
        </w:rPr>
        <w:t>三</w:t>
      </w:r>
      <w:r>
        <w:rPr>
          <w:rFonts w:ascii="Microsoft New Tai Lue" w:hAnsi="Microsoft New Tai Lue" w:cs="Microsoft New Tai Lue"/>
          <w:color w:val="auto"/>
          <w:sz w:val="28"/>
          <w:szCs w:val="24"/>
          <w:highlight w:val="none"/>
        </w:rPr>
        <w:t>、其他部分</w:t>
      </w:r>
      <w:bookmarkEnd w:id="349"/>
      <w:bookmarkEnd w:id="350"/>
      <w:bookmarkEnd w:id="351"/>
    </w:p>
    <w:p w14:paraId="752494FF">
      <w:pPr>
        <w:pStyle w:val="32"/>
        <w:spacing w:before="0"/>
        <w:rPr>
          <w:rFonts w:ascii="Microsoft New Tai Lue" w:hAnsi="Microsoft New Tai Lue" w:cs="Microsoft New Tai Lue"/>
          <w:bCs w:val="0"/>
          <w:color w:val="auto"/>
          <w:sz w:val="24"/>
          <w:szCs w:val="24"/>
          <w:highlight w:val="none"/>
        </w:rPr>
      </w:pPr>
      <w:bookmarkStart w:id="354" w:name="_Toc107246306"/>
      <w:bookmarkStart w:id="355" w:name="_Toc103848606"/>
      <w:bookmarkStart w:id="356" w:name="_Toc104560923"/>
      <w:r>
        <w:rPr>
          <w:rFonts w:ascii="Microsoft New Tai Lue" w:hAnsi="Microsoft New Tai Lue" w:cs="Microsoft New Tai Lue"/>
          <w:bCs w:val="0"/>
          <w:color w:val="auto"/>
          <w:sz w:val="24"/>
          <w:szCs w:val="24"/>
          <w:highlight w:val="none"/>
        </w:rPr>
        <w:t>（1）提供符合政府采购政策的证明材料</w:t>
      </w:r>
      <w:bookmarkEnd w:id="352"/>
      <w:bookmarkEnd w:id="354"/>
      <w:bookmarkEnd w:id="355"/>
      <w:bookmarkEnd w:id="356"/>
    </w:p>
    <w:p w14:paraId="79AAA92B">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（请根据本项目</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highlight w:val="none"/>
        </w:rPr>
        <w:t>采购项目类型</w:t>
      </w:r>
      <w:r>
        <w:rPr>
          <w:rFonts w:hint="eastAsia" w:ascii="Microsoft New Tai Lue" w:hAnsi="Microsoft New Tai Lue" w:cs="Microsoft New Tai Lue"/>
          <w:bCs/>
          <w:color w:val="auto"/>
          <w:highlight w:val="none"/>
        </w:rPr>
        <w:t>”</w:t>
      </w:r>
      <w:r>
        <w:rPr>
          <w:rFonts w:ascii="Microsoft New Tai Lue" w:hAnsi="Microsoft New Tai Lue" w:cs="Microsoft New Tai Lue"/>
          <w:color w:val="auto"/>
          <w:highlight w:val="none"/>
        </w:rPr>
        <w:t>选择合适的中小企业声明函，不适用的可以不提交）</w:t>
      </w:r>
    </w:p>
    <w:p w14:paraId="4F33067F">
      <w:pPr>
        <w:pStyle w:val="79"/>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中小企业声明函（工程、服务）</w:t>
      </w:r>
    </w:p>
    <w:p w14:paraId="3778F3DF">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本公司（联合体）郑重声明，根据《政府采购促进中小企业发展管理办法》（财库﹝2020﹞46号）的规定，本公司（联合体）参加</w:t>
      </w:r>
      <w:r>
        <w:rPr>
          <w:rFonts w:ascii="Microsoft New Tai Lue" w:hAnsi="Microsoft New Tai Lue" w:cs="Microsoft New Tai Lue"/>
          <w:i/>
          <w:color w:val="auto"/>
          <w:spacing w:val="3"/>
          <w:szCs w:val="21"/>
          <w:highlight w:val="none"/>
          <w:u w:val="single"/>
        </w:rPr>
        <w:t>（单位名称）</w:t>
      </w:r>
      <w:r>
        <w:rPr>
          <w:rFonts w:ascii="Microsoft New Tai Lue" w:hAnsi="Microsoft New Tai Lue" w:cs="Microsoft New Tai Lue"/>
          <w:color w:val="auto"/>
          <w:spacing w:val="3"/>
          <w:szCs w:val="21"/>
          <w:highlight w:val="none"/>
        </w:rPr>
        <w:t>的</w:t>
      </w:r>
      <w:r>
        <w:rPr>
          <w:rFonts w:ascii="Microsoft New Tai Lue" w:hAnsi="Microsoft New Tai Lue" w:cs="Microsoft New Tai Lue"/>
          <w:i/>
          <w:color w:val="auto"/>
          <w:spacing w:val="3"/>
          <w:szCs w:val="21"/>
          <w:highlight w:val="none"/>
          <w:u w:val="single"/>
        </w:rPr>
        <w:t>（项目名称）</w:t>
      </w:r>
      <w:r>
        <w:rPr>
          <w:rFonts w:ascii="Microsoft New Tai Lue" w:hAnsi="Microsoft New Tai Lue" w:cs="Microsoft New Tai Lue"/>
          <w:color w:val="auto"/>
          <w:spacing w:val="3"/>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FC45DE0">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（标的名称）</w:t>
      </w:r>
      <w:r>
        <w:rPr>
          <w:rFonts w:ascii="Microsoft New Tai Lue" w:hAnsi="Microsoft New Tai Lue" w:cs="Microsoft New Tai Lue"/>
          <w:color w:val="auto"/>
          <w:spacing w:val="3"/>
          <w:szCs w:val="21"/>
          <w:highlight w:val="none"/>
        </w:rPr>
        <w:t>，属于</w:t>
      </w:r>
      <w:r>
        <w:rPr>
          <w:rFonts w:ascii="Microsoft New Tai Lue" w:hAnsi="Microsoft New Tai Lue" w:cs="Microsoft New Tai Lue"/>
          <w:i/>
          <w:color w:val="auto"/>
          <w:spacing w:val="3"/>
          <w:szCs w:val="21"/>
          <w:highlight w:val="none"/>
          <w:u w:val="single"/>
        </w:rPr>
        <w:t>（招标文件中明确的所属行业）</w:t>
      </w:r>
      <w:r>
        <w:rPr>
          <w:rFonts w:ascii="Microsoft New Tai Lue" w:hAnsi="Microsoft New Tai Lue" w:cs="Microsoft New Tai Lue"/>
          <w:color w:val="auto"/>
          <w:spacing w:val="3"/>
          <w:szCs w:val="21"/>
          <w:highlight w:val="none"/>
        </w:rPr>
        <w:t>；承建（承接）企业为</w:t>
      </w:r>
      <w:r>
        <w:rPr>
          <w:rFonts w:ascii="Microsoft New Tai Lue" w:hAnsi="Microsoft New Tai Lue" w:cs="Microsoft New Tai Lue"/>
          <w:i/>
          <w:color w:val="auto"/>
          <w:spacing w:val="3"/>
          <w:szCs w:val="21"/>
          <w:highlight w:val="none"/>
          <w:u w:val="single"/>
        </w:rPr>
        <w:t>（企业名称）</w:t>
      </w:r>
      <w:r>
        <w:rPr>
          <w:rFonts w:ascii="Microsoft New Tai Lue" w:hAnsi="Microsoft New Tai Lue" w:cs="Microsoft New Tai Lue"/>
          <w:color w:val="auto"/>
          <w:spacing w:val="3"/>
          <w:szCs w:val="21"/>
          <w:highlight w:val="none"/>
        </w:rPr>
        <w:t>，从业人员</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人，营业收入为</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万元，资产总额为</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万元</w:t>
      </w:r>
      <w:r>
        <w:rPr>
          <w:rFonts w:ascii="Microsoft New Tai Lue" w:hAnsi="Microsoft New Tai Lue" w:cs="Microsoft New Tai Lue"/>
          <w:color w:val="auto"/>
          <w:spacing w:val="3"/>
          <w:szCs w:val="21"/>
          <w:highlight w:val="none"/>
          <w:vertAlign w:val="superscript"/>
        </w:rPr>
        <w:t>1</w:t>
      </w:r>
      <w:r>
        <w:rPr>
          <w:rFonts w:ascii="Microsoft New Tai Lue" w:hAnsi="Microsoft New Tai Lue" w:cs="Microsoft New Tai Lue"/>
          <w:color w:val="auto"/>
          <w:spacing w:val="3"/>
          <w:szCs w:val="21"/>
          <w:highlight w:val="none"/>
        </w:rPr>
        <w:t>，属于</w:t>
      </w:r>
      <w:r>
        <w:rPr>
          <w:rFonts w:ascii="Microsoft New Tai Lue" w:hAnsi="Microsoft New Tai Lue" w:cs="Microsoft New Tai Lue"/>
          <w:i/>
          <w:color w:val="auto"/>
          <w:spacing w:val="3"/>
          <w:szCs w:val="21"/>
          <w:highlight w:val="none"/>
          <w:u w:val="single"/>
        </w:rPr>
        <w:t>（中型企业、小型企业、微型企业）</w:t>
      </w:r>
      <w:r>
        <w:rPr>
          <w:rFonts w:ascii="Microsoft New Tai Lue" w:hAnsi="Microsoft New Tai Lue" w:cs="Microsoft New Tai Lue"/>
          <w:color w:val="auto"/>
          <w:spacing w:val="3"/>
          <w:szCs w:val="21"/>
          <w:highlight w:val="none"/>
        </w:rPr>
        <w:t>；</w:t>
      </w:r>
    </w:p>
    <w:p w14:paraId="68ED1B59">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（标的名称）</w:t>
      </w:r>
      <w:r>
        <w:rPr>
          <w:rFonts w:ascii="Microsoft New Tai Lue" w:hAnsi="Microsoft New Tai Lue" w:cs="Microsoft New Tai Lue"/>
          <w:color w:val="auto"/>
          <w:spacing w:val="3"/>
          <w:szCs w:val="21"/>
          <w:highlight w:val="none"/>
        </w:rPr>
        <w:t>，属于</w:t>
      </w:r>
      <w:r>
        <w:rPr>
          <w:rFonts w:ascii="Microsoft New Tai Lue" w:hAnsi="Microsoft New Tai Lue" w:cs="Microsoft New Tai Lue"/>
          <w:i/>
          <w:color w:val="auto"/>
          <w:spacing w:val="3"/>
          <w:szCs w:val="21"/>
          <w:highlight w:val="none"/>
          <w:u w:val="single"/>
        </w:rPr>
        <w:t>（招标文件中明确的所属行业）</w:t>
      </w:r>
      <w:r>
        <w:rPr>
          <w:rFonts w:ascii="Microsoft New Tai Lue" w:hAnsi="Microsoft New Tai Lue" w:cs="Microsoft New Tai Lue"/>
          <w:color w:val="auto"/>
          <w:spacing w:val="3"/>
          <w:szCs w:val="21"/>
          <w:highlight w:val="none"/>
        </w:rPr>
        <w:t>；承建（承接）企业为</w:t>
      </w:r>
      <w:r>
        <w:rPr>
          <w:rFonts w:ascii="Microsoft New Tai Lue" w:hAnsi="Microsoft New Tai Lue" w:cs="Microsoft New Tai Lue"/>
          <w:i/>
          <w:color w:val="auto"/>
          <w:spacing w:val="3"/>
          <w:szCs w:val="21"/>
          <w:highlight w:val="none"/>
          <w:u w:val="single"/>
        </w:rPr>
        <w:t>（企业名称）</w:t>
      </w:r>
      <w:r>
        <w:rPr>
          <w:rFonts w:ascii="Microsoft New Tai Lue" w:hAnsi="Microsoft New Tai Lue" w:cs="Microsoft New Tai Lue"/>
          <w:color w:val="auto"/>
          <w:spacing w:val="3"/>
          <w:szCs w:val="21"/>
          <w:highlight w:val="none"/>
        </w:rPr>
        <w:t>，从业人员</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人，营业收入为</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万元，资产总额为</w:t>
      </w:r>
      <w:r>
        <w:rPr>
          <w:rFonts w:ascii="Microsoft New Tai Lue" w:hAnsi="Microsoft New Tai Lue" w:cs="Microsoft New Tai Lue"/>
          <w:color w:val="auto"/>
          <w:spacing w:val="3"/>
          <w:szCs w:val="21"/>
          <w:highlight w:val="none"/>
          <w:u w:val="single"/>
        </w:rPr>
        <w:t xml:space="preserve"> </w:t>
      </w:r>
      <w:r>
        <w:rPr>
          <w:rFonts w:hint="eastAsia" w:ascii="Microsoft New Tai Lue" w:hAnsi="Microsoft New Tai Lue" w:cs="Microsoft New Tai Lue"/>
          <w:color w:val="auto"/>
          <w:spacing w:val="3"/>
          <w:szCs w:val="21"/>
          <w:highlight w:val="none"/>
          <w:u w:val="single"/>
          <w:lang w:val="en-US" w:eastAsia="zh-CN"/>
        </w:rPr>
        <w:t xml:space="preserve">   </w:t>
      </w:r>
      <w:r>
        <w:rPr>
          <w:rFonts w:ascii="Microsoft New Tai Lue" w:hAnsi="Microsoft New Tai Lue" w:cs="Microsoft New Tai Lue"/>
          <w:color w:val="auto"/>
          <w:spacing w:val="3"/>
          <w:szCs w:val="21"/>
          <w:highlight w:val="none"/>
        </w:rPr>
        <w:t>万元，属于</w:t>
      </w:r>
      <w:r>
        <w:rPr>
          <w:rFonts w:ascii="Microsoft New Tai Lue" w:hAnsi="Microsoft New Tai Lue" w:cs="Microsoft New Tai Lue"/>
          <w:i/>
          <w:color w:val="auto"/>
          <w:spacing w:val="3"/>
          <w:szCs w:val="21"/>
          <w:highlight w:val="none"/>
          <w:u w:val="single"/>
        </w:rPr>
        <w:t>（中型企业、小型企业、微型企业）</w:t>
      </w:r>
      <w:r>
        <w:rPr>
          <w:rFonts w:ascii="Microsoft New Tai Lue" w:hAnsi="Microsoft New Tai Lue" w:cs="Microsoft New Tai Lue"/>
          <w:color w:val="auto"/>
          <w:spacing w:val="3"/>
          <w:szCs w:val="21"/>
          <w:highlight w:val="none"/>
        </w:rPr>
        <w:t>；</w:t>
      </w:r>
    </w:p>
    <w:p w14:paraId="7524EBE7">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p>
    <w:p w14:paraId="20C35D59">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以上企业，不属于大企业的分支机构，不存在控股股东为大企业的情形，也不存在与大企业的负责人为同一人的情形。</w:t>
      </w:r>
    </w:p>
    <w:p w14:paraId="4AF1C317">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本企业对上述声明内容的真实性负责。如有虚假，将依法承担相应责任。</w:t>
      </w:r>
    </w:p>
    <w:p w14:paraId="61DBF2FD">
      <w:pPr>
        <w:spacing w:before="3" w:line="360" w:lineRule="auto"/>
        <w:rPr>
          <w:rFonts w:ascii="Microsoft New Tai Lue" w:hAnsi="Microsoft New Tai Lue" w:cs="Microsoft New Tai Lue"/>
          <w:color w:val="auto"/>
          <w:szCs w:val="21"/>
          <w:highlight w:val="none"/>
        </w:rPr>
      </w:pPr>
    </w:p>
    <w:p w14:paraId="2B6607EB">
      <w:pPr>
        <w:spacing w:line="360" w:lineRule="auto"/>
        <w:ind w:right="400"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企</w:t>
      </w:r>
      <w:r>
        <w:rPr>
          <w:rFonts w:ascii="Microsoft New Tai Lue" w:hAnsi="Microsoft New Tai Lue" w:cs="Microsoft New Tai Lue"/>
          <w:color w:val="auto"/>
          <w:spacing w:val="3"/>
          <w:position w:val="-2"/>
          <w:szCs w:val="21"/>
          <w:highlight w:val="none"/>
        </w:rPr>
        <w:t>业</w:t>
      </w:r>
      <w:r>
        <w:rPr>
          <w:rFonts w:ascii="Microsoft New Tai Lue" w:hAnsi="Microsoft New Tai Lue" w:cs="Microsoft New Tai Lue"/>
          <w:color w:val="auto"/>
          <w:position w:val="-2"/>
          <w:szCs w:val="21"/>
          <w:highlight w:val="none"/>
        </w:rPr>
        <w:t>名称</w:t>
      </w:r>
      <w:r>
        <w:rPr>
          <w:rFonts w:ascii="Microsoft New Tai Lue" w:hAnsi="Microsoft New Tai Lue" w:cs="Microsoft New Tai Lue"/>
          <w:color w:val="auto"/>
          <w:spacing w:val="3"/>
          <w:position w:val="-2"/>
          <w:szCs w:val="21"/>
          <w:highlight w:val="none"/>
        </w:rPr>
        <w:t>（</w:t>
      </w:r>
      <w:r>
        <w:rPr>
          <w:rFonts w:hint="eastAsia" w:ascii="Microsoft New Tai Lue" w:hAnsi="Microsoft New Tai Lue" w:cs="Microsoft New Tai Lue"/>
          <w:color w:val="auto"/>
          <w:spacing w:val="3"/>
          <w:position w:val="-2"/>
          <w:szCs w:val="21"/>
          <w:highlight w:val="none"/>
        </w:rPr>
        <w:t>加盖CA电子公章</w:t>
      </w:r>
      <w:r>
        <w:rPr>
          <w:rFonts w:hint="eastAsia" w:ascii="Microsoft New Tai Lue" w:hAnsi="Microsoft New Tai Lue" w:cs="Microsoft New Tai Lue"/>
          <w:color w:val="auto"/>
          <w:position w:val="-2"/>
          <w:szCs w:val="21"/>
          <w:highlight w:val="none"/>
          <w:lang w:eastAsia="zh-CN"/>
        </w:rPr>
        <w:t>）：</w:t>
      </w:r>
      <w:r>
        <w:rPr>
          <w:rFonts w:ascii="Microsoft New Tai Lue" w:hAnsi="Microsoft New Tai Lue" w:cs="Microsoft New Tai Lue"/>
          <w:color w:val="auto"/>
          <w:position w:val="-2"/>
          <w:szCs w:val="21"/>
          <w:highlight w:val="none"/>
          <w:u w:val="single"/>
        </w:rPr>
        <w:t xml:space="preserve">         </w:t>
      </w:r>
    </w:p>
    <w:p w14:paraId="5945EAC1">
      <w:pPr>
        <w:snapToGrid w:val="0"/>
        <w:spacing w:line="360" w:lineRule="auto"/>
        <w:ind w:right="420" w:firstLine="3780" w:firstLineChars="18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日</w:t>
      </w:r>
    </w:p>
    <w:p w14:paraId="5D18D67E">
      <w:pPr>
        <w:spacing w:line="360" w:lineRule="auto"/>
        <w:jc w:val="center"/>
        <w:rPr>
          <w:rFonts w:ascii="Microsoft New Tai Lue" w:hAnsi="Microsoft New Tai Lue" w:cs="Microsoft New Tai Lue"/>
          <w:color w:val="auto"/>
          <w:szCs w:val="21"/>
          <w:highlight w:val="none"/>
        </w:rPr>
      </w:pPr>
    </w:p>
    <w:p w14:paraId="47A7EA67">
      <w:pPr>
        <w:spacing w:line="360" w:lineRule="auto"/>
        <w:ind w:right="-20"/>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1</w:t>
      </w:r>
      <w:r>
        <w:rPr>
          <w:rFonts w:ascii="Microsoft New Tai Lue" w:hAnsi="Microsoft New Tai Lue" w:cs="Microsoft New Tai Lue"/>
          <w:color w:val="auto"/>
          <w:position w:val="-2"/>
          <w:szCs w:val="21"/>
          <w:highlight w:val="none"/>
        </w:rPr>
        <w:t>从业人员、营业收入、资产总额填报上一年度数据，无上一年度数据的新成立企业可不填报。</w:t>
      </w:r>
    </w:p>
    <w:p w14:paraId="1DBB356B">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p>
    <w:p w14:paraId="2E322D8E">
      <w:pPr>
        <w:pStyle w:val="79"/>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r>
      <w:r>
        <w:rPr>
          <w:rFonts w:ascii="Microsoft New Tai Lue" w:hAnsi="Microsoft New Tai Lue" w:cs="Microsoft New Tai Lue"/>
          <w:b/>
          <w:color w:val="auto"/>
          <w:sz w:val="24"/>
          <w:szCs w:val="24"/>
          <w:highlight w:val="none"/>
        </w:rPr>
        <w:t>监狱企业证明</w:t>
      </w:r>
    </w:p>
    <w:p w14:paraId="0811D55C">
      <w:pPr>
        <w:pStyle w:val="79"/>
        <w:spacing w:line="276" w:lineRule="auto"/>
        <w:ind w:firstLine="482"/>
        <w:jc w:val="center"/>
        <w:rPr>
          <w:rFonts w:ascii="Microsoft New Tai Lue" w:hAnsi="Microsoft New Tai Lue" w:cs="Microsoft New Tai Lue"/>
          <w:b/>
          <w:color w:val="auto"/>
          <w:sz w:val="24"/>
          <w:szCs w:val="24"/>
          <w:highlight w:val="none"/>
        </w:rPr>
      </w:pPr>
    </w:p>
    <w:p w14:paraId="6A19B4B6">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378DF14F">
      <w:pPr>
        <w:pStyle w:val="79"/>
        <w:ind w:firstLine="400"/>
        <w:rPr>
          <w:rFonts w:ascii="Microsoft New Tai Lue" w:hAnsi="Microsoft New Tai Lue" w:cs="Microsoft New Tai Lue"/>
          <w:color w:val="auto"/>
          <w:highlight w:val="none"/>
        </w:rPr>
      </w:pPr>
    </w:p>
    <w:p w14:paraId="2AA3707F">
      <w:pPr>
        <w:rPr>
          <w:color w:val="auto"/>
          <w:highlight w:val="none"/>
        </w:rPr>
      </w:pPr>
    </w:p>
    <w:p w14:paraId="1A86BE61">
      <w:pPr>
        <w:pStyle w:val="79"/>
        <w:ind w:firstLine="198" w:firstLineChars="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r>
      <w:r>
        <w:rPr>
          <w:rFonts w:ascii="Microsoft New Tai Lue" w:hAnsi="Microsoft New Tai Lue" w:cs="Microsoft New Tai Lue"/>
          <w:b/>
          <w:color w:val="auto"/>
          <w:sz w:val="24"/>
          <w:szCs w:val="24"/>
          <w:highlight w:val="none"/>
        </w:rPr>
        <w:t>残疾人福利性单位声明函</w:t>
      </w:r>
    </w:p>
    <w:p w14:paraId="42B954EA">
      <w:pPr>
        <w:spacing w:line="276" w:lineRule="auto"/>
        <w:rPr>
          <w:rFonts w:ascii="Microsoft New Tai Lue" w:hAnsi="Microsoft New Tai Lue" w:eastAsia="仿宋_GB2312" w:cs="Microsoft New Tai Lue"/>
          <w:b/>
          <w:color w:val="auto"/>
          <w:spacing w:val="6"/>
          <w:sz w:val="30"/>
          <w:szCs w:val="30"/>
          <w:highlight w:val="none"/>
        </w:rPr>
      </w:pPr>
    </w:p>
    <w:p w14:paraId="0DA0FDF0">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BC60920">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本单位对上述声明的真实性负责。如有虚假，将依法承担相应责任。</w:t>
      </w:r>
    </w:p>
    <w:p w14:paraId="22C7CA35">
      <w:pPr>
        <w:pStyle w:val="79"/>
        <w:ind w:firstLine="420"/>
        <w:rPr>
          <w:rFonts w:ascii="Microsoft New Tai Lue" w:hAnsi="Microsoft New Tai Lue" w:cs="Microsoft New Tai Lue"/>
          <w:color w:val="auto"/>
          <w:sz w:val="21"/>
          <w:szCs w:val="21"/>
          <w:highlight w:val="none"/>
        </w:rPr>
      </w:pPr>
    </w:p>
    <w:p w14:paraId="722B3910">
      <w:pPr>
        <w:pStyle w:val="79"/>
        <w:ind w:firstLine="420"/>
        <w:rPr>
          <w:rFonts w:ascii="Microsoft New Tai Lue" w:hAnsi="Microsoft New Tai Lue" w:cs="Microsoft New Tai Lue"/>
          <w:color w:val="auto"/>
          <w:sz w:val="21"/>
          <w:szCs w:val="21"/>
          <w:highlight w:val="none"/>
        </w:rPr>
      </w:pPr>
    </w:p>
    <w:p w14:paraId="769A566C">
      <w:pPr>
        <w:pStyle w:val="79"/>
        <w:ind w:firstLine="420"/>
        <w:rPr>
          <w:rFonts w:ascii="Microsoft New Tai Lue" w:hAnsi="Microsoft New Tai Lue" w:cs="Microsoft New Tai Lue"/>
          <w:color w:val="auto"/>
          <w:sz w:val="21"/>
          <w:szCs w:val="21"/>
          <w:highlight w:val="none"/>
        </w:rPr>
      </w:pPr>
    </w:p>
    <w:p w14:paraId="7F16A900">
      <w:pPr>
        <w:pStyle w:val="79"/>
        <w:ind w:firstLine="3769" w:firstLineChars="1795"/>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单位名称（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color w:val="auto"/>
          <w:sz w:val="21"/>
          <w:szCs w:val="21"/>
          <w:highlight w:val="none"/>
        </w:rPr>
        <w:t>）：____________</w:t>
      </w:r>
    </w:p>
    <w:p w14:paraId="6C7AE9CC">
      <w:pPr>
        <w:spacing w:line="360" w:lineRule="auto"/>
        <w:ind w:firstLine="3780" w:firstLineChars="1800"/>
        <w:jc w:val="left"/>
        <w:rPr>
          <w:rFonts w:ascii="Microsoft New Tai Lue" w:hAnsi="Microsoft New Tai Lue" w:cs="Microsoft New Tai Lue"/>
          <w:bCs/>
          <w:color w:val="auto"/>
          <w:kern w:val="0"/>
          <w:szCs w:val="21"/>
          <w:highlight w:val="none"/>
        </w:rPr>
      </w:pPr>
      <w:r>
        <w:rPr>
          <w:rFonts w:ascii="Microsoft New Tai Lue" w:hAnsi="Microsoft New Tai Lue" w:cs="Microsoft New Tai Lue"/>
          <w:bCs/>
          <w:color w:val="auto"/>
          <w:kern w:val="0"/>
          <w:szCs w:val="21"/>
          <w:highlight w:val="none"/>
        </w:rPr>
        <w:t>日期：</w:t>
      </w:r>
      <w:r>
        <w:rPr>
          <w:rFonts w:ascii="Microsoft New Tai Lue" w:hAnsi="Microsoft New Tai Lue" w:cs="Microsoft New Tai Lue"/>
          <w:bCs/>
          <w:color w:val="auto"/>
          <w:kern w:val="0"/>
          <w:szCs w:val="21"/>
          <w:highlight w:val="none"/>
          <w:u w:val="single"/>
        </w:rPr>
        <w:t xml:space="preserve">     </w:t>
      </w:r>
      <w:r>
        <w:rPr>
          <w:rFonts w:ascii="Microsoft New Tai Lue" w:hAnsi="Microsoft New Tai Lue" w:cs="Microsoft New Tai Lue"/>
          <w:bCs/>
          <w:color w:val="auto"/>
          <w:kern w:val="0"/>
          <w:szCs w:val="21"/>
          <w:highlight w:val="none"/>
        </w:rPr>
        <w:t>年</w:t>
      </w:r>
      <w:r>
        <w:rPr>
          <w:rFonts w:ascii="Microsoft New Tai Lue" w:hAnsi="Microsoft New Tai Lue" w:cs="Microsoft New Tai Lue"/>
          <w:bCs/>
          <w:color w:val="auto"/>
          <w:kern w:val="0"/>
          <w:szCs w:val="21"/>
          <w:highlight w:val="none"/>
          <w:u w:val="single"/>
        </w:rPr>
        <w:t xml:space="preserve"> </w:t>
      </w:r>
      <w:r>
        <w:rPr>
          <w:rFonts w:hint="eastAsia" w:ascii="Microsoft New Tai Lue" w:hAnsi="Microsoft New Tai Lue" w:cs="Microsoft New Tai Lue"/>
          <w:bCs/>
          <w:color w:val="auto"/>
          <w:kern w:val="0"/>
          <w:szCs w:val="21"/>
          <w:highlight w:val="none"/>
          <w:u w:val="single"/>
          <w:lang w:val="en-US" w:eastAsia="zh-CN"/>
        </w:rPr>
        <w:t xml:space="preserve">   </w:t>
      </w:r>
      <w:r>
        <w:rPr>
          <w:rFonts w:ascii="Microsoft New Tai Lue" w:hAnsi="Microsoft New Tai Lue" w:cs="Microsoft New Tai Lue"/>
          <w:bCs/>
          <w:color w:val="auto"/>
          <w:kern w:val="0"/>
          <w:szCs w:val="21"/>
          <w:highlight w:val="none"/>
        </w:rPr>
        <w:t>月</w:t>
      </w:r>
      <w:r>
        <w:rPr>
          <w:rFonts w:ascii="Microsoft New Tai Lue" w:hAnsi="Microsoft New Tai Lue" w:cs="Microsoft New Tai Lue"/>
          <w:bCs/>
          <w:color w:val="auto"/>
          <w:kern w:val="0"/>
          <w:szCs w:val="21"/>
          <w:highlight w:val="none"/>
          <w:u w:val="single"/>
        </w:rPr>
        <w:t xml:space="preserve">   </w:t>
      </w:r>
      <w:r>
        <w:rPr>
          <w:rFonts w:hint="eastAsia" w:ascii="Microsoft New Tai Lue" w:hAnsi="Microsoft New Tai Lue" w:cs="Microsoft New Tai Lue"/>
          <w:bCs/>
          <w:color w:val="auto"/>
          <w:kern w:val="0"/>
          <w:szCs w:val="21"/>
          <w:highlight w:val="none"/>
          <w:u w:val="single"/>
          <w:lang w:val="en-US" w:eastAsia="zh-CN"/>
        </w:rPr>
        <w:t xml:space="preserve"> </w:t>
      </w:r>
      <w:r>
        <w:rPr>
          <w:rFonts w:ascii="Microsoft New Tai Lue" w:hAnsi="Microsoft New Tai Lue" w:cs="Microsoft New Tai Lue"/>
          <w:bCs/>
          <w:color w:val="auto"/>
          <w:kern w:val="0"/>
          <w:szCs w:val="21"/>
          <w:highlight w:val="none"/>
        </w:rPr>
        <w:t>日</w:t>
      </w:r>
    </w:p>
    <w:p w14:paraId="41B8ADD8">
      <w:pPr>
        <w:rPr>
          <w:rFonts w:ascii="Microsoft New Tai Lue" w:hAnsi="Microsoft New Tai Lue" w:cs="Microsoft New Tai Lue"/>
          <w:color w:val="auto"/>
          <w:highlight w:val="none"/>
        </w:rPr>
      </w:pPr>
    </w:p>
    <w:bookmarkEnd w:id="353"/>
    <w:p w14:paraId="72B72490">
      <w:pPr>
        <w:pStyle w:val="79"/>
        <w:ind w:firstLine="198" w:firstLineChars="82"/>
        <w:jc w:val="center"/>
        <w:rPr>
          <w:rFonts w:ascii="Microsoft New Tai Lue" w:hAnsi="Microsoft New Tai Lue" w:cs="Microsoft New Tai Lue"/>
          <w:color w:val="auto"/>
          <w:szCs w:val="21"/>
          <w:highlight w:val="none"/>
        </w:rPr>
      </w:pPr>
      <w:bookmarkStart w:id="357" w:name="_Toc9515977"/>
      <w:bookmarkStart w:id="358" w:name="_Toc17097051"/>
      <w:bookmarkStart w:id="359" w:name="_Toc522290174"/>
      <w:bookmarkStart w:id="360" w:name="_Toc525720156"/>
      <w:bookmarkStart w:id="361" w:name="_Toc13233103"/>
      <w:bookmarkStart w:id="362" w:name="_Toc11678078"/>
      <w:bookmarkStart w:id="363" w:name="_Toc96347933"/>
      <w:bookmarkStart w:id="364" w:name="_Toc10472943"/>
      <w:bookmarkStart w:id="365" w:name="_Toc520719716"/>
      <w:bookmarkStart w:id="366" w:name="_Toc63695313"/>
      <w:bookmarkStart w:id="367" w:name="_Toc8742841"/>
      <w:bookmarkStart w:id="368" w:name="_Toc68159635"/>
      <w:r>
        <w:rPr>
          <w:rFonts w:ascii="Microsoft New Tai Lue" w:hAnsi="Microsoft New Tai Lue" w:cs="Microsoft New Tai Lue"/>
          <w:b/>
          <w:color w:val="auto"/>
          <w:sz w:val="24"/>
          <w:szCs w:val="24"/>
          <w:highlight w:val="none"/>
        </w:rPr>
        <w:br w:type="page"/>
      </w:r>
      <w:bookmarkEnd w:id="357"/>
      <w:bookmarkEnd w:id="358"/>
      <w:bookmarkEnd w:id="359"/>
      <w:bookmarkEnd w:id="360"/>
      <w:bookmarkEnd w:id="361"/>
      <w:bookmarkEnd w:id="362"/>
      <w:bookmarkEnd w:id="363"/>
      <w:bookmarkEnd w:id="364"/>
      <w:bookmarkEnd w:id="365"/>
      <w:bookmarkEnd w:id="366"/>
      <w:bookmarkEnd w:id="367"/>
      <w:bookmarkEnd w:id="368"/>
    </w:p>
    <w:p w14:paraId="3ACEFEAC">
      <w:pPr>
        <w:pStyle w:val="32"/>
        <w:spacing w:before="0"/>
        <w:rPr>
          <w:rFonts w:ascii="Microsoft New Tai Lue" w:hAnsi="Microsoft New Tai Lue" w:cs="Microsoft New Tai Lue"/>
          <w:bCs w:val="0"/>
          <w:color w:val="auto"/>
          <w:sz w:val="24"/>
          <w:szCs w:val="24"/>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bookmarkStart w:id="369" w:name="_Toc100905295"/>
      <w:bookmarkStart w:id="370" w:name="_Toc103848607"/>
      <w:bookmarkStart w:id="371" w:name="_Toc107246307"/>
      <w:bookmarkStart w:id="372" w:name="_Toc104560924"/>
    </w:p>
    <w:p w14:paraId="28C122D0">
      <w:pPr>
        <w:pStyle w:val="31"/>
        <w:keepNext w:val="0"/>
        <w:keepLines w:val="0"/>
        <w:widowControl w:val="0"/>
        <w:suppressLineNumbers w:val="0"/>
        <w:spacing w:before="0" w:beforeLines="0" w:beforeAutospacing="0" w:after="0" w:afterLines="0" w:afterAutospacing="0" w:line="360" w:lineRule="auto"/>
        <w:ind w:left="0" w:right="0" w:firstLine="0" w:firstLineChars="0"/>
        <w:jc w:val="center"/>
        <w:outlineLvl w:val="0"/>
        <w:rPr>
          <w:rFonts w:hint="default" w:ascii="Microsoft New Tai Lue" w:hAnsi="Microsoft New Tai Lue" w:eastAsia="宋体" w:cs="Microsoft New Tai Lue"/>
          <w:b/>
          <w:bCs w:val="0"/>
          <w:kern w:val="0"/>
          <w:sz w:val="24"/>
          <w:szCs w:val="24"/>
        </w:rPr>
      </w:pPr>
      <w:r>
        <w:rPr>
          <w:rFonts w:hint="eastAsia" w:ascii="宋体" w:hAnsi="宋体" w:eastAsia="宋体" w:cs="宋体"/>
          <w:b/>
          <w:bCs w:val="0"/>
          <w:kern w:val="0"/>
          <w:sz w:val="24"/>
          <w:szCs w:val="24"/>
          <w:lang w:val="en-US" w:eastAsia="zh-CN" w:bidi="ar"/>
        </w:rPr>
        <w:t>（</w:t>
      </w:r>
      <w:r>
        <w:rPr>
          <w:rFonts w:hint="eastAsia" w:ascii="宋体" w:hAnsi="Microsoft New Tai Lue" w:eastAsia="宋体" w:cs="Microsoft New Tai Lue"/>
          <w:b/>
          <w:bCs w:val="0"/>
          <w:kern w:val="0"/>
          <w:sz w:val="24"/>
          <w:szCs w:val="24"/>
          <w:lang w:val="en-US" w:eastAsia="zh-CN" w:bidi="ar"/>
        </w:rPr>
        <w:t>2）关于符合本国产品标准的声明函</w:t>
      </w:r>
    </w:p>
    <w:p w14:paraId="6E87CB4E">
      <w:pPr>
        <w:pStyle w:val="31"/>
        <w:widowControl/>
        <w:spacing w:before="0" w:beforeLines="0" w:beforeAutospacing="0" w:after="0" w:afterLines="0" w:afterAutospacing="0" w:line="360" w:lineRule="auto"/>
        <w:ind w:left="0" w:right="0" w:firstLine="420"/>
        <w:jc w:val="left"/>
        <w:rPr>
          <w:rFonts w:hint="eastAsia" w:ascii="宋体" w:hAnsi="Times New Roman" w:eastAsia="宋体" w:cs="宋体"/>
          <w:color w:val="000000"/>
          <w:kern w:val="0"/>
          <w:sz w:val="21"/>
          <w:szCs w:val="21"/>
        </w:rPr>
      </w:pPr>
      <w:r>
        <w:rPr>
          <w:rFonts w:hint="eastAsia" w:ascii="宋体" w:hAnsi="Times New Roman" w:eastAsia="宋体" w:cs="宋体"/>
          <w:color w:val="000000"/>
          <w:kern w:val="0"/>
          <w:sz w:val="21"/>
          <w:szCs w:val="21"/>
          <w:lang w:val="en-US" w:eastAsia="zh-CN" w:bidi="ar"/>
        </w:rPr>
        <w:t xml:space="preserve"> </w:t>
      </w:r>
      <w:r>
        <w:rPr>
          <w:rFonts w:hint="eastAsia" w:ascii="宋体" w:hAnsi="宋体" w:eastAsia="宋体" w:cs="宋体"/>
          <w:color w:val="000000"/>
          <w:kern w:val="0"/>
          <w:sz w:val="21"/>
          <w:szCs w:val="21"/>
          <w:lang w:val="en-US" w:eastAsia="zh-CN" w:bidi="ar"/>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993992">
      <w:pPr>
        <w:pStyle w:val="31"/>
        <w:widowControl/>
        <w:spacing w:before="0" w:beforeLines="0" w:beforeAutospacing="0" w:after="0" w:afterLines="0" w:afterAutospacing="0" w:line="360" w:lineRule="auto"/>
        <w:ind w:left="0" w:right="0" w:firstLine="420"/>
        <w:jc w:val="left"/>
        <w:rPr>
          <w:rFonts w:hint="default" w:ascii="Times New Roman" w:hAnsi="Times New Roman" w:eastAsia="宋体" w:cs="Times New Roman"/>
          <w:kern w:val="0"/>
          <w:sz w:val="21"/>
          <w:szCs w:val="21"/>
        </w:rPr>
      </w:pPr>
      <w:r>
        <w:rPr>
          <w:rFonts w:hint="eastAsia" w:ascii="宋体" w:hAnsi="宋体" w:eastAsia="宋体" w:cs="宋体"/>
          <w:color w:val="000000"/>
          <w:kern w:val="0"/>
          <w:sz w:val="21"/>
          <w:szCs w:val="21"/>
          <w:lang w:val="en-US" w:eastAsia="zh-CN" w:bidi="ar"/>
        </w:rPr>
        <w:t>本公司（单位）郑重声明，根据《国务院办公厅关于在政府采购中实施本国产品标准及相关政策的通知》（国办发〔</w:t>
      </w:r>
      <w:r>
        <w:rPr>
          <w:rFonts w:hint="eastAsia" w:ascii="宋体" w:hAnsi="Times New Roman" w:eastAsia="宋体" w:cs="宋体"/>
          <w:color w:val="000000"/>
          <w:kern w:val="0"/>
          <w:sz w:val="21"/>
          <w:szCs w:val="21"/>
          <w:lang w:val="en-US" w:eastAsia="zh-CN" w:bidi="ar"/>
        </w:rPr>
        <w:t>2025〕34号）的规定，本公司（单位）提供的以下产品属于本国产品。具体情况如下：</w:t>
      </w:r>
    </w:p>
    <w:p w14:paraId="6EC1CC94">
      <w:pPr>
        <w:pStyle w:val="31"/>
        <w:widowControl/>
        <w:shd w:val="clear" w:fill="FFFFFF"/>
        <w:spacing w:before="30" w:beforeLines="0" w:beforeAutospacing="0" w:after="30" w:afterLines="0" w:afterAutospacing="0" w:line="360" w:lineRule="auto"/>
        <w:ind w:left="0" w:right="0" w:firstLine="42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1.</w:t>
      </w:r>
      <w:r>
        <w:rPr>
          <w:rFonts w:hint="eastAsia" w:ascii="宋体" w:hAnsi="宋体" w:eastAsia="宋体" w:cs="宋体"/>
          <w:color w:val="000000"/>
          <w:kern w:val="0"/>
          <w:sz w:val="21"/>
          <w:szCs w:val="21"/>
          <w:u w:val="single"/>
          <w:shd w:val="clear" w:fill="FFFFFF"/>
          <w:lang w:val="en-US" w:eastAsia="zh-CN" w:bidi="ar"/>
        </w:rPr>
        <w:t>（产品名称</w:t>
      </w:r>
      <w:r>
        <w:rPr>
          <w:rFonts w:hint="eastAsia" w:ascii="宋体" w:hAnsi="Times New Roman" w:eastAsia="宋体" w:cs="宋体"/>
          <w:color w:val="000000"/>
          <w:kern w:val="0"/>
          <w:sz w:val="21"/>
          <w:szCs w:val="21"/>
          <w:u w:val="single"/>
          <w:shd w:val="clear" w:fill="FFFFFF"/>
          <w:lang w:val="en-US" w:eastAsia="zh-CN" w:bidi="ar"/>
        </w:rPr>
        <w:t>1）</w:t>
      </w:r>
      <w:r>
        <w:rPr>
          <w:rFonts w:hint="eastAsia" w:ascii="宋体" w:hAnsi="Times New Roman" w:eastAsia="宋体" w:cs="宋体"/>
          <w:color w:val="000000"/>
          <w:kern w:val="0"/>
          <w:sz w:val="21"/>
          <w:szCs w:val="21"/>
          <w:shd w:val="clear" w:fill="FFFFFF"/>
          <w:vertAlign w:val="superscript"/>
          <w:lang w:val="en-US" w:eastAsia="zh-CN" w:bidi="ar"/>
        </w:rPr>
        <w:t>1</w:t>
      </w:r>
      <w:r>
        <w:rPr>
          <w:rFonts w:hint="eastAsia" w:ascii="宋体" w:hAnsi="宋体" w:eastAsia="宋体" w:cs="宋体"/>
          <w:color w:val="000000"/>
          <w:kern w:val="0"/>
          <w:sz w:val="21"/>
          <w:szCs w:val="21"/>
          <w:shd w:val="clear" w:fill="FFFFFF"/>
          <w:lang w:val="en-US" w:eastAsia="zh-CN" w:bidi="ar"/>
        </w:rPr>
        <w:t>，生产厂为</w:t>
      </w:r>
      <w:r>
        <w:rPr>
          <w:rFonts w:hint="eastAsia" w:ascii="宋体" w:hAnsi="宋体" w:eastAsia="宋体" w:cs="宋体"/>
          <w:color w:val="000000"/>
          <w:kern w:val="0"/>
          <w:sz w:val="21"/>
          <w:szCs w:val="21"/>
          <w:u w:val="single"/>
          <w:shd w:val="clear" w:fill="FFFFFF"/>
          <w:lang w:val="en-US" w:eastAsia="zh-CN" w:bidi="ar"/>
        </w:rPr>
        <w:t>（厂名）</w:t>
      </w:r>
      <w:r>
        <w:rPr>
          <w:rFonts w:hint="eastAsia" w:ascii="宋体" w:hAnsi="Times New Roman" w:eastAsia="宋体" w:cs="宋体"/>
          <w:color w:val="000000"/>
          <w:kern w:val="0"/>
          <w:sz w:val="21"/>
          <w:szCs w:val="21"/>
          <w:shd w:val="clear" w:fill="FFFFFF"/>
          <w:vertAlign w:val="superscript"/>
          <w:lang w:val="en-US" w:eastAsia="zh-CN" w:bidi="ar"/>
        </w:rPr>
        <w:t>2</w:t>
      </w:r>
      <w:r>
        <w:rPr>
          <w:rFonts w:hint="eastAsia" w:ascii="宋体" w:hAnsi="宋体" w:eastAsia="宋体" w:cs="宋体"/>
          <w:color w:val="000000"/>
          <w:kern w:val="0"/>
          <w:sz w:val="21"/>
          <w:szCs w:val="21"/>
          <w:shd w:val="clear" w:fill="FFFFFF"/>
          <w:lang w:val="en-US" w:eastAsia="zh-CN" w:bidi="ar"/>
        </w:rPr>
        <w:t>，厂址为</w:t>
      </w:r>
      <w:r>
        <w:rPr>
          <w:rFonts w:hint="eastAsia" w:ascii="宋体" w:hAnsi="宋体" w:eastAsia="宋体" w:cs="宋体"/>
          <w:color w:val="000000"/>
          <w:kern w:val="0"/>
          <w:sz w:val="21"/>
          <w:szCs w:val="21"/>
          <w:u w:val="single"/>
          <w:shd w:val="clear" w:fill="FFFFFF"/>
          <w:lang w:val="en-US" w:eastAsia="zh-CN" w:bidi="ar"/>
        </w:rPr>
        <w:t>（生产厂址）</w:t>
      </w:r>
      <w:r>
        <w:rPr>
          <w:rFonts w:hint="eastAsia" w:ascii="宋体" w:hAnsi="宋体" w:eastAsia="宋体" w:cs="宋体"/>
          <w:color w:val="000000"/>
          <w:kern w:val="0"/>
          <w:sz w:val="21"/>
          <w:szCs w:val="21"/>
          <w:shd w:val="clear" w:fill="FFFFFF"/>
          <w:lang w:val="en-US" w:eastAsia="zh-CN" w:bidi="ar"/>
        </w:rPr>
        <w:t>。</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的中国境内生产的组件成本占比</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Times New Roman" w:eastAsia="宋体" w:cs="宋体"/>
          <w:color w:val="000000"/>
          <w:kern w:val="0"/>
          <w:sz w:val="21"/>
          <w:szCs w:val="21"/>
          <w:shd w:val="clear" w:fill="FFFFFF"/>
          <w:vertAlign w:val="superscript"/>
          <w:lang w:val="en-US" w:eastAsia="zh-CN" w:bidi="ar"/>
        </w:rPr>
        <w:t>3</w:t>
      </w:r>
      <w:r>
        <w:rPr>
          <w:rFonts w:hint="eastAsia" w:ascii="宋体" w:hAnsi="宋体" w:eastAsia="宋体" w:cs="宋体"/>
          <w:color w:val="000000"/>
          <w:kern w:val="0"/>
          <w:sz w:val="21"/>
          <w:szCs w:val="21"/>
          <w:shd w:val="clear" w:fill="FFFFFF"/>
          <w:lang w:val="en-US" w:eastAsia="zh-CN" w:bidi="ar"/>
        </w:rPr>
        <w:t>。</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的</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Times New Roman" w:eastAsia="宋体" w:cs="宋体"/>
          <w:color w:val="000000"/>
          <w:kern w:val="0"/>
          <w:sz w:val="21"/>
          <w:szCs w:val="21"/>
          <w:shd w:val="clear" w:fill="FFFFFF"/>
          <w:vertAlign w:val="superscript"/>
          <w:lang w:val="en-US" w:eastAsia="zh-CN" w:bidi="ar"/>
        </w:rPr>
        <w:t>4</w:t>
      </w:r>
      <w:r>
        <w:rPr>
          <w:rFonts w:hint="eastAsia" w:ascii="宋体" w:hAnsi="宋体" w:eastAsia="宋体" w:cs="宋体"/>
          <w:color w:val="000000"/>
          <w:kern w:val="0"/>
          <w:sz w:val="21"/>
          <w:szCs w:val="21"/>
          <w:shd w:val="clear" w:fill="FFFFFF"/>
          <w:lang w:val="en-US" w:eastAsia="zh-CN" w:bidi="ar"/>
        </w:rPr>
        <w:t>在中国境内生产。</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的</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Times New Roman" w:eastAsia="宋体" w:cs="宋体"/>
          <w:color w:val="000000"/>
          <w:kern w:val="0"/>
          <w:sz w:val="21"/>
          <w:szCs w:val="21"/>
          <w:shd w:val="clear" w:fill="FFFFFF"/>
          <w:vertAlign w:val="superscript"/>
          <w:lang w:val="en-US" w:eastAsia="zh-CN" w:bidi="ar"/>
        </w:rPr>
        <w:t>5</w:t>
      </w:r>
      <w:r>
        <w:rPr>
          <w:rFonts w:hint="eastAsia" w:ascii="宋体" w:hAnsi="宋体" w:eastAsia="宋体" w:cs="宋体"/>
          <w:color w:val="000000"/>
          <w:kern w:val="0"/>
          <w:sz w:val="21"/>
          <w:szCs w:val="21"/>
          <w:shd w:val="clear" w:fill="FFFFFF"/>
          <w:lang w:val="en-US" w:eastAsia="zh-CN" w:bidi="ar"/>
        </w:rPr>
        <w:t>在中国境内完成。</w:t>
      </w:r>
    </w:p>
    <w:p w14:paraId="0C473393">
      <w:pPr>
        <w:pStyle w:val="31"/>
        <w:widowControl/>
        <w:shd w:val="clear" w:fill="FFFFFF"/>
        <w:spacing w:before="30" w:beforeLines="0" w:beforeAutospacing="0" w:after="30" w:afterLines="0" w:afterAutospacing="0" w:line="360" w:lineRule="auto"/>
        <w:ind w:left="0" w:right="0" w:firstLine="42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2.</w:t>
      </w:r>
      <w:r>
        <w:rPr>
          <w:rFonts w:hint="eastAsia" w:ascii="宋体" w:hAnsi="宋体" w:eastAsia="宋体" w:cs="宋体"/>
          <w:color w:val="000000"/>
          <w:kern w:val="0"/>
          <w:sz w:val="21"/>
          <w:szCs w:val="21"/>
          <w:u w:val="single"/>
          <w:shd w:val="clear" w:fill="FFFFFF"/>
          <w:lang w:val="en-US" w:eastAsia="zh-CN" w:bidi="ar"/>
        </w:rPr>
        <w:t>（产品名称</w:t>
      </w:r>
      <w:r>
        <w:rPr>
          <w:rFonts w:hint="eastAsia" w:ascii="宋体" w:hAnsi="Times New Roman" w:eastAsia="宋体" w:cs="宋体"/>
          <w:color w:val="000000"/>
          <w:kern w:val="0"/>
          <w:sz w:val="21"/>
          <w:szCs w:val="21"/>
          <w:u w:val="single"/>
          <w:shd w:val="clear" w:fill="FFFFFF"/>
          <w:lang w:val="en-US" w:eastAsia="zh-CN" w:bidi="ar"/>
        </w:rPr>
        <w:t>2）</w:t>
      </w:r>
      <w:r>
        <w:rPr>
          <w:rFonts w:hint="eastAsia" w:ascii="宋体" w:hAnsi="宋体" w:eastAsia="宋体" w:cs="宋体"/>
          <w:color w:val="000000"/>
          <w:kern w:val="0"/>
          <w:sz w:val="21"/>
          <w:szCs w:val="21"/>
          <w:shd w:val="clear" w:fill="FFFFFF"/>
          <w:lang w:val="en-US" w:eastAsia="zh-CN" w:bidi="ar"/>
        </w:rPr>
        <w:t>，生产厂为</w:t>
      </w:r>
      <w:r>
        <w:rPr>
          <w:rFonts w:hint="eastAsia" w:ascii="宋体" w:hAnsi="宋体" w:eastAsia="宋体" w:cs="宋体"/>
          <w:color w:val="000000"/>
          <w:kern w:val="0"/>
          <w:sz w:val="21"/>
          <w:szCs w:val="21"/>
          <w:u w:val="single"/>
          <w:shd w:val="clear" w:fill="FFFFFF"/>
          <w:lang w:val="en-US" w:eastAsia="zh-CN" w:bidi="ar"/>
        </w:rPr>
        <w:t>（厂名）</w:t>
      </w:r>
      <w:r>
        <w:rPr>
          <w:rFonts w:hint="eastAsia" w:ascii="宋体" w:hAnsi="宋体" w:eastAsia="宋体" w:cs="宋体"/>
          <w:color w:val="000000"/>
          <w:kern w:val="0"/>
          <w:sz w:val="21"/>
          <w:szCs w:val="21"/>
          <w:shd w:val="clear" w:fill="FFFFFF"/>
          <w:lang w:val="en-US" w:eastAsia="zh-CN" w:bidi="ar"/>
        </w:rPr>
        <w:t>，厂址为</w:t>
      </w:r>
      <w:r>
        <w:rPr>
          <w:rFonts w:hint="eastAsia" w:ascii="宋体" w:hAnsi="宋体" w:eastAsia="宋体" w:cs="宋体"/>
          <w:color w:val="000000"/>
          <w:kern w:val="0"/>
          <w:sz w:val="21"/>
          <w:szCs w:val="21"/>
          <w:u w:val="single"/>
          <w:shd w:val="clear" w:fill="FFFFFF"/>
          <w:lang w:val="en-US" w:eastAsia="zh-CN" w:bidi="ar"/>
        </w:rPr>
        <w:t>（生产厂址）</w:t>
      </w:r>
      <w:r>
        <w:rPr>
          <w:rFonts w:hint="eastAsia" w:ascii="宋体" w:hAnsi="宋体" w:eastAsia="宋体" w:cs="宋体"/>
          <w:color w:val="000000"/>
          <w:kern w:val="0"/>
          <w:sz w:val="21"/>
          <w:szCs w:val="21"/>
          <w:shd w:val="clear" w:fill="FFFFFF"/>
          <w:lang w:val="en-US" w:eastAsia="zh-CN" w:bidi="ar"/>
        </w:rPr>
        <w:t>。</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的中国境内生产的组件成本占比</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的</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在中国境内生产。</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的</w:t>
      </w:r>
      <w:r>
        <w:rPr>
          <w:rFonts w:hint="eastAsia" w:ascii="宋体" w:hAnsi="Times New Roman" w:eastAsia="宋体" w:cs="宋体"/>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u w:val="single"/>
          <w:shd w:val="clear" w:fill="FFFFFF"/>
          <w:lang w:val="en-US" w:eastAsia="zh-CN" w:bidi="ar"/>
        </w:rPr>
        <w:t>/</w:t>
      </w:r>
      <w:r>
        <w:rPr>
          <w:rFonts w:hint="default" w:ascii="Times New Roman" w:hAnsi="Times New Roman" w:eastAsia="宋体" w:cs="Times New Roman"/>
          <w:color w:val="000000"/>
          <w:kern w:val="0"/>
          <w:sz w:val="21"/>
          <w:szCs w:val="21"/>
          <w:u w:val="single"/>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在中国境内完成。</w:t>
      </w:r>
    </w:p>
    <w:p w14:paraId="431AF40E">
      <w:pPr>
        <w:pStyle w:val="31"/>
        <w:widowControl/>
        <w:shd w:val="clear" w:fill="FFFFFF"/>
        <w:spacing w:before="30" w:beforeLines="0" w:beforeAutospacing="0" w:after="30" w:afterLines="0" w:afterAutospacing="0" w:line="360" w:lineRule="auto"/>
        <w:ind w:left="0" w:right="0" w:firstLine="420"/>
        <w:jc w:val="left"/>
        <w:rPr>
          <w:rFonts w:hint="default" w:ascii="Times New Roman" w:hAnsi="Times New Roman" w:eastAsia="宋体" w:cs="Times New Roman"/>
          <w:kern w:val="0"/>
          <w:sz w:val="21"/>
          <w:szCs w:val="21"/>
          <w:shd w:val="clear" w:fill="FFFFFF"/>
        </w:rPr>
      </w:pPr>
      <w:r>
        <w:rPr>
          <w:rFonts w:hint="default" w:ascii="Times New Roman" w:hAnsi="Times New Roman" w:eastAsia="宋体" w:cs="Times New Roman"/>
          <w:color w:val="000000"/>
          <w:kern w:val="0"/>
          <w:sz w:val="21"/>
          <w:szCs w:val="21"/>
          <w:shd w:val="clear" w:fill="FFFFFF"/>
          <w:lang w:val="en-US" w:eastAsia="zh-CN" w:bidi="ar"/>
        </w:rPr>
        <w:t>……</w:t>
      </w:r>
    </w:p>
    <w:p w14:paraId="5A6ED304">
      <w:pPr>
        <w:pStyle w:val="31"/>
        <w:widowControl/>
        <w:shd w:val="clear" w:fill="FFFFFF"/>
        <w:spacing w:before="30" w:beforeLines="0" w:beforeAutospacing="0" w:after="30" w:afterLines="0" w:afterAutospacing="0" w:line="360" w:lineRule="auto"/>
        <w:ind w:left="0" w:right="0" w:firstLine="420"/>
        <w:jc w:val="left"/>
        <w:rPr>
          <w:rFonts w:hint="default" w:ascii="Times New Roman" w:hAnsi="Times New Roman" w:eastAsia="宋体" w:cs="Times New Roman"/>
          <w:kern w:val="0"/>
          <w:sz w:val="21"/>
          <w:szCs w:val="21"/>
          <w:shd w:val="clear" w:fill="FFFFFF"/>
        </w:rPr>
      </w:pPr>
      <w:r>
        <w:rPr>
          <w:rFonts w:hint="eastAsia" w:ascii="宋体" w:hAnsi="宋体" w:eastAsia="宋体" w:cs="宋体"/>
          <w:color w:val="000000"/>
          <w:kern w:val="0"/>
          <w:sz w:val="21"/>
          <w:szCs w:val="21"/>
          <w:shd w:val="clear" w:fill="FFFFFF"/>
          <w:lang w:val="en-US" w:eastAsia="zh-CN" w:bidi="ar"/>
        </w:rPr>
        <w:t>本公司（单位）对上述声明内容的真实性负责。如有虚假，愿承担相应法律责任。</w:t>
      </w:r>
    </w:p>
    <w:p w14:paraId="64A46E6F">
      <w:pPr>
        <w:pStyle w:val="31"/>
        <w:widowControl/>
        <w:shd w:val="clear" w:fill="FFFFFF"/>
        <w:spacing w:before="30" w:beforeLines="0" w:beforeAutospacing="0" w:after="30" w:afterLines="0" w:afterAutospacing="0" w:line="240" w:lineRule="atLeast"/>
        <w:ind w:left="0" w:right="0"/>
        <w:jc w:val="left"/>
        <w:rPr>
          <w:rFonts w:hint="default" w:ascii="Times New Roman" w:hAnsi="Times New Roman" w:eastAsia="宋体" w:cs="Times New Roman"/>
          <w:kern w:val="0"/>
          <w:sz w:val="21"/>
          <w:szCs w:val="21"/>
          <w:shd w:val="clear" w:fill="FFFFFF"/>
        </w:rPr>
      </w:pPr>
      <w:r>
        <w:rPr>
          <w:rFonts w:hint="default" w:ascii="Times New Roman" w:hAnsi="Times New Roman" w:eastAsia="宋体" w:cs="Times New Roman"/>
          <w:kern w:val="0"/>
          <w:sz w:val="21"/>
          <w:szCs w:val="21"/>
          <w:shd w:val="clear" w:fill="FFFFFF"/>
          <w:lang w:val="en-US" w:eastAsia="zh-CN" w:bidi="ar"/>
        </w:rPr>
        <w:t xml:space="preserve"> </w:t>
      </w:r>
    </w:p>
    <w:p w14:paraId="46EA8339">
      <w:pPr>
        <w:pStyle w:val="31"/>
        <w:widowControl/>
        <w:shd w:val="clear" w:fill="FFFFFF"/>
        <w:spacing w:before="30" w:beforeLines="0" w:beforeAutospacing="0" w:after="30" w:afterLines="0" w:afterAutospacing="0" w:line="360" w:lineRule="auto"/>
        <w:ind w:left="0" w:right="0"/>
        <w:jc w:val="both"/>
        <w:rPr>
          <w:rFonts w:hint="default" w:ascii="Times New Roman" w:hAnsi="Times New Roman" w:eastAsia="宋体" w:cs="Times New Roman"/>
          <w:kern w:val="0"/>
          <w:sz w:val="21"/>
          <w:szCs w:val="21"/>
          <w:shd w:val="clear" w:fill="FFFFFF"/>
        </w:rPr>
      </w:pPr>
      <w:r>
        <w:rPr>
          <w:rFonts w:hint="eastAsia" w:ascii="宋体" w:hAnsi="宋体" w:eastAsia="宋体" w:cs="宋体"/>
          <w:color w:val="000000"/>
          <w:kern w:val="0"/>
          <w:sz w:val="21"/>
          <w:szCs w:val="21"/>
          <w:shd w:val="clear" w:fill="FFFFFF"/>
          <w:lang w:val="en-US" w:eastAsia="zh-CN" w:bidi="ar"/>
        </w:rPr>
        <w:t>公司（单位）名称（加盖</w:t>
      </w:r>
      <w:r>
        <w:rPr>
          <w:rFonts w:hint="eastAsia" w:ascii="宋体" w:hAnsi="Times New Roman" w:eastAsia="宋体" w:cs="宋体"/>
          <w:color w:val="000000"/>
          <w:kern w:val="0"/>
          <w:sz w:val="21"/>
          <w:szCs w:val="21"/>
          <w:shd w:val="clear" w:fill="FFFFFF"/>
          <w:lang w:val="en-US" w:eastAsia="zh-CN" w:bidi="ar"/>
        </w:rPr>
        <w:t>CA电子公章）：</w:t>
      </w:r>
      <w:r>
        <w:rPr>
          <w:rFonts w:hint="default" w:ascii="Times New Roman" w:hAnsi="Times New Roman" w:eastAsia="宋体" w:cs="Times New Roman"/>
          <w:color w:val="000000"/>
          <w:kern w:val="0"/>
          <w:sz w:val="21"/>
          <w:szCs w:val="21"/>
          <w:shd w:val="clear" w:fill="FFFFFF"/>
          <w:lang w:val="en-US" w:eastAsia="zh-CN" w:bidi="ar"/>
        </w:rPr>
        <w:t xml:space="preserve">         </w:t>
      </w:r>
    </w:p>
    <w:p w14:paraId="4FA45D1E">
      <w:pPr>
        <w:pStyle w:val="31"/>
        <w:widowControl/>
        <w:shd w:val="clear" w:fill="FFFFFF"/>
        <w:spacing w:before="30" w:beforeLines="0" w:beforeAutospacing="0" w:after="30" w:afterLines="0" w:afterAutospacing="0" w:line="360" w:lineRule="auto"/>
        <w:ind w:left="0" w:right="0"/>
        <w:jc w:val="both"/>
        <w:rPr>
          <w:rFonts w:hint="default" w:ascii="Times New Roman" w:hAnsi="Times New Roman" w:eastAsia="宋体" w:cs="Times New Roman"/>
          <w:kern w:val="0"/>
          <w:sz w:val="21"/>
          <w:szCs w:val="21"/>
          <w:shd w:val="clear" w:fill="FFFFFF"/>
        </w:rPr>
      </w:pPr>
      <w:r>
        <w:rPr>
          <w:rFonts w:hint="eastAsia" w:ascii="宋体" w:hAnsi="宋体" w:eastAsia="宋体" w:cs="宋体"/>
          <w:color w:val="000000"/>
          <w:kern w:val="0"/>
          <w:sz w:val="21"/>
          <w:szCs w:val="21"/>
          <w:shd w:val="clear" w:fill="FFFFFF"/>
          <w:lang w:val="en-US" w:eastAsia="zh-CN" w:bidi="ar"/>
        </w:rPr>
        <w:t>日期：</w:t>
      </w:r>
      <w:r>
        <w:rPr>
          <w:rFonts w:hint="eastAsia" w:ascii="宋体" w:hAnsi="Times New Roman" w:eastAsia="宋体" w:cs="宋体"/>
          <w:color w:val="000000"/>
          <w:kern w:val="0"/>
          <w:sz w:val="21"/>
          <w:szCs w:val="21"/>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年</w:t>
      </w:r>
      <w:r>
        <w:rPr>
          <w:rFonts w:hint="default" w:ascii="Times New Roman" w:hAnsi="Times New Roman" w:eastAsia="宋体" w:cs="Times New Roman"/>
          <w:color w:val="000000"/>
          <w:kern w:val="0"/>
          <w:sz w:val="21"/>
          <w:szCs w:val="21"/>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月</w:t>
      </w:r>
      <w:r>
        <w:rPr>
          <w:rFonts w:hint="default" w:ascii="Times New Roman" w:hAnsi="Times New Roman" w:eastAsia="宋体" w:cs="Times New Roman"/>
          <w:color w:val="000000"/>
          <w:kern w:val="0"/>
          <w:sz w:val="21"/>
          <w:szCs w:val="21"/>
          <w:shd w:val="clear" w:fill="FFFFFF"/>
          <w:lang w:val="en-US" w:eastAsia="zh-CN" w:bidi="ar"/>
        </w:rPr>
        <w:t xml:space="preserve">   </w:t>
      </w:r>
      <w:r>
        <w:rPr>
          <w:rFonts w:hint="eastAsia" w:ascii="宋体" w:hAnsi="宋体" w:eastAsia="宋体" w:cs="宋体"/>
          <w:color w:val="000000"/>
          <w:kern w:val="0"/>
          <w:sz w:val="21"/>
          <w:szCs w:val="21"/>
          <w:shd w:val="clear" w:fill="FFFFFF"/>
          <w:lang w:val="en-US" w:eastAsia="zh-CN" w:bidi="ar"/>
        </w:rPr>
        <w:t>日</w:t>
      </w:r>
      <w:r>
        <w:rPr>
          <w:rFonts w:hint="default" w:ascii="Times New Roman" w:hAnsi="Times New Roman" w:eastAsia="宋体" w:cs="Times New Roman"/>
          <w:color w:val="000000"/>
          <w:kern w:val="0"/>
          <w:sz w:val="21"/>
          <w:szCs w:val="21"/>
          <w:shd w:val="clear" w:fill="FFFFFF"/>
          <w:lang w:val="en-US" w:eastAsia="zh-CN" w:bidi="ar"/>
        </w:rPr>
        <w:t xml:space="preserve">         </w:t>
      </w:r>
    </w:p>
    <w:p w14:paraId="7D04CC41">
      <w:pPr>
        <w:pStyle w:val="31"/>
        <w:widowControl/>
        <w:shd w:val="clear" w:fill="FFFFFF"/>
        <w:spacing w:before="30" w:beforeLines="0" w:beforeAutospacing="0" w:after="30" w:afterLines="0" w:afterAutospacing="0" w:line="240" w:lineRule="atLeast"/>
        <w:ind w:left="0" w:right="0"/>
        <w:jc w:val="left"/>
        <w:rPr>
          <w:rFonts w:hint="default" w:ascii="Times New Roman" w:hAnsi="Times New Roman" w:eastAsia="宋体" w:cs="Times New Roman"/>
          <w:kern w:val="0"/>
          <w:sz w:val="21"/>
          <w:szCs w:val="21"/>
          <w:shd w:val="clear" w:fill="FFFFFF"/>
        </w:rPr>
      </w:pPr>
      <w:r>
        <w:rPr>
          <w:rFonts w:hint="default" w:ascii="Times New Roman" w:hAnsi="Times New Roman" w:eastAsia="宋体" w:cs="Times New Roman"/>
          <w:kern w:val="0"/>
          <w:sz w:val="21"/>
          <w:szCs w:val="21"/>
          <w:shd w:val="clear" w:fill="FFFFFF"/>
          <w:lang w:val="en-US" w:eastAsia="zh-CN" w:bidi="ar"/>
        </w:rPr>
        <w:t xml:space="preserve"> </w:t>
      </w:r>
    </w:p>
    <w:p w14:paraId="407FFAB3">
      <w:pPr>
        <w:pStyle w:val="31"/>
        <w:widowControl/>
        <w:shd w:val="clear" w:fill="FFFFFF"/>
        <w:spacing w:before="30" w:beforeLines="0" w:beforeAutospacing="0" w:after="30" w:afterLines="0" w:afterAutospacing="0" w:line="240" w:lineRule="atLeast"/>
        <w:ind w:left="0" w:right="0"/>
        <w:jc w:val="left"/>
        <w:rPr>
          <w:rFonts w:hint="default" w:ascii="Times New Roman" w:hAnsi="Times New Roman" w:eastAsia="宋体" w:cs="Times New Roman"/>
          <w:kern w:val="0"/>
          <w:sz w:val="21"/>
          <w:szCs w:val="21"/>
          <w:shd w:val="clear" w:fill="FFFFFF"/>
        </w:rPr>
      </w:pPr>
      <w:r>
        <w:rPr>
          <w:rFonts w:hint="default" w:ascii="Times New Roman" w:hAnsi="Times New Roman" w:eastAsia="宋体" w:cs="Times New Roman"/>
          <w:kern w:val="0"/>
          <w:sz w:val="21"/>
          <w:szCs w:val="21"/>
          <w:shd w:val="clear" w:fill="FFFFFF"/>
          <w:lang w:val="en-US" w:eastAsia="zh-CN" w:bidi="ar"/>
        </w:rPr>
        <w:t xml:space="preserve"> </w:t>
      </w:r>
    </w:p>
    <w:p w14:paraId="5EC22FE1">
      <w:pPr>
        <w:pStyle w:val="31"/>
        <w:widowControl/>
        <w:shd w:val="clear" w:fill="FFFFFF"/>
        <w:spacing w:before="30" w:beforeLines="0" w:beforeAutospacing="0" w:after="30" w:afterLines="0" w:afterAutospacing="0" w:line="240" w:lineRule="atLeast"/>
        <w:ind w:left="0" w:right="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_________________</w:t>
      </w:r>
    </w:p>
    <w:p w14:paraId="7F8448A2">
      <w:pPr>
        <w:pStyle w:val="31"/>
        <w:widowControl/>
        <w:shd w:val="clear" w:fill="FFFFFF"/>
        <w:spacing w:before="30" w:beforeLines="0" w:beforeAutospacing="0" w:after="30" w:afterLines="0" w:afterAutospacing="0" w:line="360" w:lineRule="auto"/>
        <w:ind w:left="0" w:right="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1.产品如有型号，请在</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产品名称</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栏一并填写。</w:t>
      </w:r>
    </w:p>
    <w:p w14:paraId="36DEDB07">
      <w:pPr>
        <w:pStyle w:val="31"/>
        <w:widowControl/>
        <w:shd w:val="clear" w:fill="FFFFFF"/>
        <w:spacing w:before="30" w:beforeLines="0" w:beforeAutospacing="0" w:after="30" w:afterLines="0" w:afterAutospacing="0" w:line="360" w:lineRule="auto"/>
        <w:ind w:left="0" w:right="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2.生产厂名与厂址应与生产厂营业执照载明的相关信息保持一致。</w:t>
      </w:r>
    </w:p>
    <w:p w14:paraId="0F74BC89">
      <w:pPr>
        <w:pStyle w:val="31"/>
        <w:widowControl/>
        <w:shd w:val="clear" w:fill="FFFFFF"/>
        <w:spacing w:before="30" w:beforeLines="0" w:beforeAutospacing="0" w:after="30" w:afterLines="0" w:afterAutospacing="0" w:line="360" w:lineRule="auto"/>
        <w:ind w:left="0" w:right="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3.该产品的中国境内生产的组件成本占比相关要求实施前，</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规定比例</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栏可不填，下同。</w:t>
      </w:r>
    </w:p>
    <w:p w14:paraId="5C8F46D5">
      <w:pPr>
        <w:pStyle w:val="31"/>
        <w:widowControl/>
        <w:shd w:val="clear" w:fill="FFFFFF"/>
        <w:spacing w:before="30" w:beforeLines="0" w:beforeAutospacing="0" w:after="30" w:afterLines="0" w:afterAutospacing="0" w:line="360" w:lineRule="auto"/>
        <w:ind w:left="0" w:right="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4.该产品的关键组件要求实施前，</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关键组件</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栏可不填，下同。</w:t>
      </w:r>
    </w:p>
    <w:p w14:paraId="1575CC17">
      <w:pPr>
        <w:pStyle w:val="31"/>
        <w:widowControl/>
        <w:shd w:val="clear" w:fill="FFFFFF"/>
        <w:spacing w:before="30" w:beforeLines="0" w:beforeAutospacing="0" w:after="30" w:afterLines="0" w:afterAutospacing="0" w:line="360" w:lineRule="auto"/>
        <w:ind w:left="0" w:right="0"/>
        <w:jc w:val="left"/>
        <w:rPr>
          <w:rFonts w:hint="default" w:ascii="Times New Roman" w:hAnsi="Times New Roman" w:eastAsia="宋体" w:cs="Times New Roman"/>
          <w:kern w:val="0"/>
          <w:sz w:val="21"/>
          <w:szCs w:val="21"/>
          <w:shd w:val="clear" w:fill="FFFFFF"/>
        </w:rPr>
      </w:pPr>
      <w:r>
        <w:rPr>
          <w:rFonts w:hint="eastAsia" w:ascii="宋体" w:hAnsi="Times New Roman" w:eastAsia="宋体" w:cs="宋体"/>
          <w:color w:val="000000"/>
          <w:kern w:val="0"/>
          <w:sz w:val="21"/>
          <w:szCs w:val="21"/>
          <w:shd w:val="clear" w:fill="FFFFFF"/>
          <w:lang w:val="en-US" w:eastAsia="zh-CN" w:bidi="ar"/>
        </w:rPr>
        <w:t>5.该产品的关键工序要求实施前，</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关键工序</w:t>
      </w:r>
      <w:r>
        <w:rPr>
          <w:rFonts w:hint="default" w:ascii="Times New Roman" w:hAnsi="Times New Roman" w:eastAsia="宋体" w:cs="Times New Roman"/>
          <w:color w:val="000000"/>
          <w:kern w:val="0"/>
          <w:sz w:val="21"/>
          <w:szCs w:val="21"/>
          <w:shd w:val="clear" w:fill="FFFFFF"/>
          <w:lang w:val="en-US" w:eastAsia="zh-CN" w:bidi="ar"/>
        </w:rPr>
        <w:t>”</w:t>
      </w:r>
      <w:r>
        <w:rPr>
          <w:rFonts w:hint="eastAsia" w:ascii="宋体" w:hAnsi="宋体" w:eastAsia="宋体" w:cs="宋体"/>
          <w:color w:val="000000"/>
          <w:kern w:val="0"/>
          <w:sz w:val="21"/>
          <w:szCs w:val="21"/>
          <w:shd w:val="clear" w:fill="FFFFFF"/>
          <w:lang w:val="en-US" w:eastAsia="zh-CN" w:bidi="ar"/>
        </w:rPr>
        <w:t>栏可不填，下同。</w:t>
      </w:r>
    </w:p>
    <w:p w14:paraId="505CF15A">
      <w:pPr>
        <w:pStyle w:val="31"/>
        <w:widowControl/>
        <w:shd w:val="clear" w:fill="FFFFFF"/>
        <w:spacing w:before="30" w:beforeLines="0" w:beforeAutospacing="0" w:after="30" w:afterLines="0" w:afterAutospacing="0" w:line="360" w:lineRule="auto"/>
        <w:ind w:left="0" w:right="0"/>
        <w:jc w:val="left"/>
        <w:rPr>
          <w:rFonts w:ascii="Microsoft New Tai Lue" w:hAnsi="Microsoft New Tai Lue" w:cs="Microsoft New Tai Lue"/>
          <w:bCs w:val="0"/>
          <w:color w:val="auto"/>
          <w:sz w:val="24"/>
          <w:szCs w:val="24"/>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pPr>
      <w:r>
        <w:rPr>
          <w:rFonts w:hint="eastAsia" w:ascii="宋体" w:hAnsi="Times New Roman" w:eastAsia="宋体" w:cs="宋体"/>
          <w:color w:val="000000"/>
          <w:kern w:val="2"/>
          <w:sz w:val="21"/>
          <w:szCs w:val="21"/>
          <w:shd w:val="clear" w:fill="FFFFFF"/>
        </w:rPr>
        <w:t>6.《声明函》中标注</w:t>
      </w:r>
      <w:r>
        <w:rPr>
          <w:rFonts w:hint="default" w:ascii="Times New Roman" w:hAnsi="Times New Roman" w:eastAsia="宋体" w:cs="Times New Roman"/>
          <w:color w:val="000000"/>
          <w:kern w:val="2"/>
          <w:sz w:val="21"/>
          <w:szCs w:val="21"/>
          <w:shd w:val="clear" w:fill="FFFFFF"/>
        </w:rPr>
        <w:t>“</w:t>
      </w:r>
      <w:r>
        <w:rPr>
          <w:rFonts w:hint="eastAsia" w:ascii="宋体" w:hAnsi="Times New Roman" w:eastAsia="宋体" w:cs="宋体"/>
          <w:color w:val="000000"/>
          <w:kern w:val="2"/>
          <w:sz w:val="21"/>
          <w:szCs w:val="21"/>
          <w:u w:val="single"/>
          <w:shd w:val="clear" w:fill="FFFFFF"/>
        </w:rPr>
        <w:t xml:space="preserve">  </w:t>
      </w:r>
      <w:r>
        <w:rPr>
          <w:rFonts w:hint="eastAsia" w:ascii="宋体" w:hAnsi="宋体" w:eastAsia="宋体" w:cs="宋体"/>
          <w:color w:val="000000"/>
          <w:kern w:val="2"/>
          <w:sz w:val="21"/>
          <w:szCs w:val="21"/>
          <w:u w:val="single"/>
          <w:shd w:val="clear" w:fill="FFFFFF"/>
        </w:rPr>
        <w:t>/</w:t>
      </w:r>
      <w:r>
        <w:rPr>
          <w:rFonts w:hint="default" w:ascii="Times New Roman" w:hAnsi="Times New Roman" w:eastAsia="宋体" w:cs="Times New Roman"/>
          <w:color w:val="000000"/>
          <w:kern w:val="2"/>
          <w:sz w:val="21"/>
          <w:szCs w:val="21"/>
          <w:u w:val="single"/>
          <w:shd w:val="clear" w:fill="FFFFFF"/>
        </w:rPr>
        <w:t xml:space="preserve">  </w:t>
      </w:r>
      <w:r>
        <w:rPr>
          <w:rFonts w:hint="default" w:ascii="Times New Roman" w:hAnsi="Times New Roman" w:eastAsia="宋体" w:cs="Times New Roman"/>
          <w:color w:val="000000"/>
          <w:kern w:val="2"/>
          <w:sz w:val="21"/>
          <w:szCs w:val="21"/>
          <w:shd w:val="clear" w:fill="FFFFFF"/>
        </w:rPr>
        <w:t>”</w:t>
      </w:r>
      <w:r>
        <w:rPr>
          <w:rFonts w:hint="eastAsia" w:ascii="宋体" w:hAnsi="宋体" w:eastAsia="宋体" w:cs="宋体"/>
          <w:color w:val="000000"/>
          <w:kern w:val="2"/>
          <w:sz w:val="21"/>
          <w:szCs w:val="21"/>
          <w:shd w:val="clear" w:fill="FFFFFF"/>
        </w:rPr>
        <w:t>的地方无需填写。</w:t>
      </w:r>
    </w:p>
    <w:p w14:paraId="324132C3">
      <w:pPr>
        <w:pStyle w:val="3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w:t>
      </w:r>
      <w:r>
        <w:rPr>
          <w:rFonts w:hint="eastAsia" w:ascii="Microsoft New Tai Lue" w:hAnsi="Microsoft New Tai Lue" w:cs="Microsoft New Tai Lue"/>
          <w:bCs w:val="0"/>
          <w:color w:val="auto"/>
          <w:sz w:val="24"/>
          <w:szCs w:val="24"/>
          <w:highlight w:val="none"/>
          <w:lang w:val="en-US" w:eastAsia="zh-CN"/>
        </w:rPr>
        <w:t>3</w:t>
      </w:r>
      <w:r>
        <w:rPr>
          <w:rFonts w:ascii="Microsoft New Tai Lue" w:hAnsi="Microsoft New Tai Lue" w:cs="Microsoft New Tai Lue"/>
          <w:bCs w:val="0"/>
          <w:color w:val="auto"/>
          <w:sz w:val="24"/>
          <w:szCs w:val="24"/>
          <w:highlight w:val="none"/>
        </w:rPr>
        <w:t>）</w:t>
      </w:r>
      <w:r>
        <w:rPr>
          <w:rFonts w:hint="eastAsia" w:ascii="Microsoft New Tai Lue" w:hAnsi="Microsoft New Tai Lue" w:cs="Microsoft New Tai Lue"/>
          <w:bCs w:val="0"/>
          <w:color w:val="auto"/>
          <w:sz w:val="24"/>
          <w:szCs w:val="24"/>
          <w:highlight w:val="none"/>
        </w:rPr>
        <w:t>供应商</w:t>
      </w:r>
      <w:r>
        <w:rPr>
          <w:rFonts w:ascii="Microsoft New Tai Lue" w:hAnsi="Microsoft New Tai Lue" w:cs="Microsoft New Tai Lue"/>
          <w:bCs w:val="0"/>
          <w:color w:val="auto"/>
          <w:sz w:val="24"/>
          <w:szCs w:val="24"/>
          <w:highlight w:val="none"/>
        </w:rPr>
        <w:t>认为需提供的其他</w:t>
      </w:r>
      <w:bookmarkEnd w:id="369"/>
      <w:r>
        <w:rPr>
          <w:rFonts w:ascii="Microsoft New Tai Lue" w:hAnsi="Microsoft New Tai Lue" w:cs="Microsoft New Tai Lue"/>
          <w:bCs w:val="0"/>
          <w:color w:val="auto"/>
          <w:sz w:val="24"/>
          <w:szCs w:val="24"/>
          <w:highlight w:val="none"/>
        </w:rPr>
        <w:t>文件或证明材料</w:t>
      </w:r>
      <w:bookmarkEnd w:id="370"/>
      <w:bookmarkEnd w:id="371"/>
      <w:bookmarkEnd w:id="372"/>
    </w:p>
    <w:p w14:paraId="574FF1A2">
      <w:pPr>
        <w:pStyle w:val="32"/>
        <w:spacing w:before="0"/>
        <w:rPr>
          <w:rFonts w:ascii="Microsoft New Tai Lue" w:hAnsi="Microsoft New Tai Lue" w:cs="Microsoft New Tai Lue"/>
          <w:color w:val="auto"/>
          <w:highlight w:val="none"/>
        </w:rPr>
      </w:pPr>
      <w:r>
        <w:rPr>
          <w:rFonts w:ascii="Microsoft New Tai Lue" w:hAnsi="Microsoft New Tai Lue" w:cs="Microsoft New Tai Lue"/>
          <w:bCs w:val="0"/>
          <w:color w:val="auto"/>
          <w:sz w:val="24"/>
          <w:szCs w:val="24"/>
          <w:highlight w:val="none"/>
        </w:rPr>
        <w:br w:type="page"/>
      </w:r>
      <w:bookmarkStart w:id="373" w:name="_Toc104560925"/>
      <w:bookmarkStart w:id="374" w:name="_Toc103848608"/>
      <w:bookmarkStart w:id="375" w:name="_Toc107246308"/>
      <w:r>
        <w:rPr>
          <w:rFonts w:ascii="Microsoft New Tai Lue" w:hAnsi="Microsoft New Tai Lue" w:cs="Microsoft New Tai Lue"/>
          <w:bCs w:val="0"/>
          <w:color w:val="auto"/>
          <w:sz w:val="24"/>
          <w:szCs w:val="24"/>
          <w:highlight w:val="none"/>
        </w:rPr>
        <w:t>（</w:t>
      </w:r>
      <w:r>
        <w:rPr>
          <w:rFonts w:hint="eastAsia" w:ascii="Microsoft New Tai Lue" w:hAnsi="Microsoft New Tai Lue" w:cs="Microsoft New Tai Lue"/>
          <w:bCs w:val="0"/>
          <w:color w:val="auto"/>
          <w:sz w:val="24"/>
          <w:szCs w:val="24"/>
          <w:highlight w:val="none"/>
          <w:lang w:val="en-US" w:eastAsia="zh-CN"/>
        </w:rPr>
        <w:t>4</w:t>
      </w:r>
      <w:r>
        <w:rPr>
          <w:rFonts w:ascii="Microsoft New Tai Lue" w:hAnsi="Microsoft New Tai Lue" w:cs="Microsoft New Tai Lue"/>
          <w:bCs w:val="0"/>
          <w:color w:val="auto"/>
          <w:sz w:val="24"/>
          <w:szCs w:val="24"/>
          <w:highlight w:val="none"/>
        </w:rPr>
        <w:t>）要求</w:t>
      </w:r>
      <w:r>
        <w:rPr>
          <w:rFonts w:hint="eastAsia" w:ascii="Microsoft New Tai Lue" w:hAnsi="Microsoft New Tai Lue" w:cs="Microsoft New Tai Lue"/>
          <w:bCs w:val="0"/>
          <w:color w:val="auto"/>
          <w:sz w:val="24"/>
          <w:szCs w:val="24"/>
          <w:highlight w:val="none"/>
        </w:rPr>
        <w:t>供应商</w:t>
      </w:r>
      <w:r>
        <w:rPr>
          <w:rFonts w:ascii="Microsoft New Tai Lue" w:hAnsi="Microsoft New Tai Lue" w:cs="Microsoft New Tai Lue"/>
          <w:bCs w:val="0"/>
          <w:color w:val="auto"/>
          <w:sz w:val="24"/>
          <w:szCs w:val="24"/>
          <w:highlight w:val="none"/>
        </w:rPr>
        <w:t>提交的其他文件材料或证明材料</w:t>
      </w:r>
      <w:bookmarkEnd w:id="373"/>
      <w:bookmarkEnd w:id="374"/>
      <w:bookmarkEnd w:id="375"/>
    </w:p>
    <w:p w14:paraId="412A3BA7">
      <w:pPr>
        <w:rPr>
          <w:color w:val="auto"/>
          <w:highlight w:val="none"/>
        </w:rPr>
      </w:pPr>
    </w:p>
    <w:p w14:paraId="5D0F9D5C">
      <w:pPr>
        <w:spacing w:before="100" w:after="100" w:line="360" w:lineRule="auto"/>
        <w:rPr>
          <w:rFonts w:ascii="Microsoft New Tai Lue" w:hAnsi="Microsoft New Tai Lue" w:cs="Microsoft New Tai Lue"/>
          <w:color w:val="auto"/>
          <w:highlight w:val="none"/>
        </w:rPr>
      </w:pPr>
    </w:p>
    <w:sectPr>
      <w:pgSz w:w="11905" w:h="16838"/>
      <w:pgMar w:top="1440" w:right="1803" w:bottom="1440" w:left="1803" w:header="850" w:footer="992" w:gutter="0"/>
      <w:pgBorders>
        <w:top w:val="none" w:sz="0" w:space="0"/>
        <w:left w:val="none" w:sz="0" w:space="0"/>
        <w:bottom w:val="none" w:sz="0" w:space="0"/>
        <w:right w:val="none" w:sz="0" w:space="0"/>
      </w:pgBorders>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4D7CFD2-4798-4603-8F1A-BF6B556BC5CD}"/>
  </w:font>
  <w:font w:name="黑体">
    <w:panose1 w:val="02010609060101010101"/>
    <w:charset w:val="86"/>
    <w:family w:val="auto"/>
    <w:pitch w:val="default"/>
    <w:sig w:usb0="800002BF" w:usb1="38CF7CFA" w:usb2="00000016" w:usb3="00000000" w:csb0="00040001" w:csb1="00000000"/>
    <w:embedRegular r:id="rId2" w:fontKey="{F28E7E1B-C993-4CEC-B4C6-1F5C7765EB2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3" w:fontKey="{8C136738-8DB6-4433-83C5-47963865FF0E}"/>
  </w:font>
  <w:font w:name="仿宋_GB2312">
    <w:panose1 w:val="02010609030101010101"/>
    <w:charset w:val="86"/>
    <w:family w:val="auto"/>
    <w:pitch w:val="default"/>
    <w:sig w:usb0="00000001" w:usb1="080E0000" w:usb2="00000000" w:usb3="00000000" w:csb0="00040000" w:csb1="00000000"/>
    <w:embedRegular r:id="rId4" w:fontKey="{891910B4-2DD9-4E39-BBAE-194EB7A407C0}"/>
  </w:font>
  <w:font w:name="楷体_GB2312">
    <w:altName w:val="楷体"/>
    <w:panose1 w:val="00000000000000000000"/>
    <w:charset w:val="86"/>
    <w:family w:val="modern"/>
    <w:pitch w:val="default"/>
    <w:sig w:usb0="00000000" w:usb1="00000000" w:usb2="00000010" w:usb3="00000000" w:csb0="00040000" w:csb1="00000000"/>
    <w:embedRegular r:id="rId5" w:fontKey="{B1AD3255-B203-4081-A904-0B05FD259FBE}"/>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方正仿宋_GBK">
    <w:panose1 w:val="02000000000000000000"/>
    <w:charset w:val="86"/>
    <w:family w:val="script"/>
    <w:pitch w:val="default"/>
    <w:sig w:usb0="A00002BF" w:usb1="38CF7CFA" w:usb2="00082016" w:usb3="00000000" w:csb0="00040001" w:csb1="00000000"/>
    <w:embedRegular r:id="rId6" w:fontKey="{86302C8C-0846-4D52-94FD-6E3EE0CAB9E7}"/>
  </w:font>
  <w:font w:name="Microsoft New Tai Lue">
    <w:panose1 w:val="020B0502040204020203"/>
    <w:charset w:val="00"/>
    <w:family w:val="swiss"/>
    <w:pitch w:val="default"/>
    <w:sig w:usb0="00000003" w:usb1="00000000" w:usb2="80000000" w:usb3="00000000" w:csb0="00000001" w:csb1="00000000"/>
    <w:embedRegular r:id="rId7" w:fontKey="{B05D58D0-9EFD-4B86-B4CA-97065DB961F2}"/>
  </w:font>
  <w:font w:name="Wingdings 2">
    <w:panose1 w:val="05020102010507070707"/>
    <w:charset w:val="02"/>
    <w:family w:val="decorative"/>
    <w:pitch w:val="default"/>
    <w:sig w:usb0="00000000" w:usb1="00000000" w:usb2="00000000" w:usb3="00000000" w:csb0="80000000" w:csb1="00000000"/>
    <w:embedRegular r:id="rId8" w:fontKey="{5EED67BB-51A9-48AD-9DEA-518C4D59805B}"/>
  </w:font>
  <w:font w:name="Segoe UI Symbol">
    <w:panose1 w:val="020B0502040204020203"/>
    <w:charset w:val="00"/>
    <w:family w:val="swiss"/>
    <w:pitch w:val="default"/>
    <w:sig w:usb0="800001E3" w:usb1="1200FFEF" w:usb2="00040000" w:usb3="04000000" w:csb0="00000001" w:csb1="40000000"/>
    <w:embedRegular r:id="rId9" w:fontKey="{BC5D905D-80CA-4079-A4D6-573F87DD8F35}"/>
  </w:font>
  <w:font w:name="方正小标宋_GBK">
    <w:panose1 w:val="02000000000000000000"/>
    <w:charset w:val="86"/>
    <w:family w:val="script"/>
    <w:pitch w:val="default"/>
    <w:sig w:usb0="A00002BF" w:usb1="38CF7CFA" w:usb2="00082016" w:usb3="00000000" w:csb0="00040001" w:csb1="00000000"/>
    <w:embedRegular r:id="rId10" w:fontKey="{556A80F0-2B47-4226-A735-0AB4FEBDF7F9}"/>
  </w:font>
  <w:font w:name="方正黑体_GBK">
    <w:panose1 w:val="02010600010101010101"/>
    <w:charset w:val="86"/>
    <w:family w:val="auto"/>
    <w:pitch w:val="default"/>
    <w:sig w:usb0="00000001" w:usb1="080E0000" w:usb2="00000000" w:usb3="00000000" w:csb0="00040000" w:csb1="00000000"/>
    <w:embedRegular r:id="rId11" w:fontKey="{DA657F10-A43B-4040-BC72-3D8C57A2D05B}"/>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5F666">
    <w:pPr>
      <w:pStyle w:val="23"/>
      <w:jc w:val="center"/>
    </w:pPr>
  </w:p>
  <w:p w14:paraId="4525D7E0">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A4B99">
    <w:pPr>
      <w:pStyle w:val="23"/>
      <w:tabs>
        <w:tab w:val="center" w:pos="4617"/>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BC2D33">
                          <w:pPr>
                            <w:pStyle w:val="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6BC2D33">
                    <w:pPr>
                      <w:pStyle w:val="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132FA">
    <w:pPr>
      <w:pStyle w:val="13"/>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B12DDF">
                          <w:pPr>
                            <w:pStyle w:val="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50</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3B12DDF">
                    <w:pPr>
                      <w:pStyle w:val="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50</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06506">
    <w:pPr>
      <w:pStyle w:val="13"/>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1181735</wp:posOffset>
              </wp:positionH>
              <wp:positionV relativeFrom="page">
                <wp:posOffset>9573260</wp:posOffset>
              </wp:positionV>
              <wp:extent cx="648335" cy="2032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8335" cy="203200"/>
                      </a:xfrm>
                      <a:prstGeom prst="rect">
                        <a:avLst/>
                      </a:prstGeom>
                      <a:noFill/>
                      <a:ln w="9525">
                        <a:noFill/>
                      </a:ln>
                      <a:effectLst/>
                    </wps:spPr>
                    <wps:txbx>
                      <w:txbxContent>
                        <w:p w14:paraId="4F19FA94">
                          <w:pPr>
                            <w:spacing w:line="320" w:lineRule="exact"/>
                            <w:ind w:left="20"/>
                            <w:jc w:val="left"/>
                            <w:rPr>
                              <w:rFonts w:ascii="宋体" w:hAnsi="宋体"/>
                              <w:sz w:val="28"/>
                            </w:rPr>
                          </w:pPr>
                          <w:r>
                            <w:rPr>
                              <w:rFonts w:ascii="宋体" w:hAnsi="宋体"/>
                              <w:sz w:val="28"/>
                            </w:rPr>
                            <w:t xml:space="preserve">— </w:t>
                          </w:r>
                          <w:r>
                            <w:fldChar w:fldCharType="begin"/>
                          </w:r>
                          <w:r>
                            <w:rPr>
                              <w:rFonts w:ascii="宋体" w:hAnsi="宋体"/>
                              <w:sz w:val="28"/>
                            </w:rPr>
                            <w:instrText xml:space="preserve"> PAGE </w:instrText>
                          </w:r>
                          <w:r>
                            <w:fldChar w:fldCharType="separate"/>
                          </w:r>
                          <w:r>
                            <w:t>2</w:t>
                          </w:r>
                          <w:r>
                            <w:fldChar w:fldCharType="end"/>
                          </w:r>
                          <w:r>
                            <w:rPr>
                              <w:rFonts w:ascii="宋体" w:hAnsi="宋体"/>
                              <w:sz w:val="28"/>
                            </w:rPr>
                            <w:t xml:space="preserve"> —</w:t>
                          </w:r>
                        </w:p>
                      </w:txbxContent>
                    </wps:txbx>
                    <wps:bodyPr lIns="0" tIns="0" rIns="0" bIns="0" upright="1"/>
                  </wps:wsp>
                </a:graphicData>
              </a:graphic>
            </wp:anchor>
          </w:drawing>
        </mc:Choice>
        <mc:Fallback>
          <w:pict>
            <v:shape id="_x0000_s1026" o:spid="_x0000_s1026" o:spt="202" type="#_x0000_t202" style="position:absolute;left:0pt;margin-left:93.05pt;margin-top:753.8pt;height:16pt;width:51.05pt;mso-position-horizontal-relative:page;mso-position-vertical-relative:page;z-index:-251656192;mso-width-relative:page;mso-height-relative:page;" filled="f" stroked="f" coordsize="21600,21600" o:gfxdata="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JNIJzTaAAAADQEAAA8AAAAAAAAAAQAgAAAAIgAAAGRycy9k&#10;b3ducmV2LnhtbFBLAQIUABQAAAAIAIdO4kDKi3nYxwEAAIgDAAAOAAAAAAAAAAEAIAAAACkBAABk&#10;cnMvZTJvRG9jLnhtbFBLBQYAAAAABgAGAFkBAABiBQAAAAA=&#10;">
              <v:fill on="f" focussize="0,0"/>
              <v:stroke on="f"/>
              <v:imagedata o:title=""/>
              <o:lock v:ext="edit" aspectratio="f"/>
              <v:textbox inset="0mm,0mm,0mm,0mm">
                <w:txbxContent>
                  <w:p w14:paraId="4F19FA94">
                    <w:pPr>
                      <w:spacing w:line="320" w:lineRule="exact"/>
                      <w:ind w:left="20"/>
                      <w:jc w:val="left"/>
                      <w:rPr>
                        <w:rFonts w:ascii="宋体" w:hAnsi="宋体"/>
                        <w:sz w:val="28"/>
                      </w:rPr>
                    </w:pPr>
                    <w:r>
                      <w:rPr>
                        <w:rFonts w:ascii="宋体" w:hAnsi="宋体"/>
                        <w:sz w:val="28"/>
                      </w:rPr>
                      <w:t xml:space="preserve">— </w:t>
                    </w:r>
                    <w:r>
                      <w:fldChar w:fldCharType="begin"/>
                    </w:r>
                    <w:r>
                      <w:rPr>
                        <w:rFonts w:ascii="宋体" w:hAnsi="宋体"/>
                        <w:sz w:val="28"/>
                      </w:rPr>
                      <w:instrText xml:space="preserve"> PAGE </w:instrText>
                    </w:r>
                    <w:r>
                      <w:fldChar w:fldCharType="separate"/>
                    </w:r>
                    <w:r>
                      <w:t>2</w:t>
                    </w:r>
                    <w:r>
                      <w:fldChar w:fldCharType="end"/>
                    </w:r>
                    <w:r>
                      <w:rPr>
                        <w:rFonts w:ascii="宋体" w:hAnsi="宋体"/>
                        <w:sz w:val="2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01709367"/>
    </w:sdtPr>
    <w:sdtContent>
      <w:p w14:paraId="785400BF">
        <w:pPr>
          <w:pStyle w:val="23"/>
          <w:jc w:val="center"/>
        </w:pPr>
        <w:r>
          <w:fldChar w:fldCharType="begin"/>
        </w:r>
        <w:r>
          <w:instrText xml:space="preserve">PAGE   \* MERGEFORMAT</w:instrText>
        </w:r>
        <w:r>
          <w:fldChar w:fldCharType="separate"/>
        </w:r>
        <w:r>
          <w:rPr>
            <w:lang w:val="zh-CN"/>
          </w:rPr>
          <w:t>2</w:t>
        </w:r>
        <w:r>
          <w:fldChar w:fldCharType="end"/>
        </w:r>
      </w:p>
    </w:sdtContent>
  </w:sdt>
  <w:p w14:paraId="2FB46CD7">
    <w:pPr>
      <w:pStyle w:val="13"/>
      <w:spacing w:line="14" w:lineRule="auto"/>
      <w:ind w:left="1260"/>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F4A78E"/>
    <w:multiLevelType w:val="singleLevel"/>
    <w:tmpl w:val="A2F4A78E"/>
    <w:lvl w:ilvl="0" w:tentative="0">
      <w:start w:val="1"/>
      <w:numFmt w:val="decimal"/>
      <w:suff w:val="nothing"/>
      <w:lvlText w:val="（%1）"/>
      <w:lvlJc w:val="left"/>
    </w:lvl>
  </w:abstractNum>
  <w:abstractNum w:abstractNumId="1">
    <w:nsid w:val="AB1454C0"/>
    <w:multiLevelType w:val="singleLevel"/>
    <w:tmpl w:val="AB1454C0"/>
    <w:lvl w:ilvl="0" w:tentative="0">
      <w:start w:val="1"/>
      <w:numFmt w:val="decimal"/>
      <w:suff w:val="nothing"/>
      <w:lvlText w:val="（%1）"/>
      <w:lvlJc w:val="left"/>
    </w:lvl>
  </w:abstractNum>
  <w:abstractNum w:abstractNumId="2">
    <w:nsid w:val="17ABAED6"/>
    <w:multiLevelType w:val="singleLevel"/>
    <w:tmpl w:val="17ABAED6"/>
    <w:lvl w:ilvl="0" w:tentative="0">
      <w:start w:val="1"/>
      <w:numFmt w:val="decimal"/>
      <w:suff w:val="nothing"/>
      <w:lvlText w:val="（%1）"/>
      <w:lvlJc w:val="left"/>
    </w:lvl>
  </w:abstractNum>
  <w:abstractNum w:abstractNumId="3">
    <w:nsid w:val="28A6EDA0"/>
    <w:multiLevelType w:val="singleLevel"/>
    <w:tmpl w:val="28A6EDA0"/>
    <w:lvl w:ilvl="0" w:tentative="0">
      <w:start w:val="1"/>
      <w:numFmt w:val="decimal"/>
      <w:suff w:val="nothing"/>
      <w:lvlText w:val="（%1）"/>
      <w:lvlJc w:val="left"/>
    </w:lvl>
  </w:abstractNum>
  <w:abstractNum w:abstractNumId="4">
    <w:nsid w:val="31754219"/>
    <w:multiLevelType w:val="singleLevel"/>
    <w:tmpl w:val="31754219"/>
    <w:lvl w:ilvl="0" w:tentative="0">
      <w:start w:val="1"/>
      <w:numFmt w:val="decimal"/>
      <w:suff w:val="nothing"/>
      <w:lvlText w:val="（%1）"/>
      <w:lvlJc w:val="left"/>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DD0DD6"/>
    <w:rsid w:val="000017B7"/>
    <w:rsid w:val="000018CA"/>
    <w:rsid w:val="00001CE4"/>
    <w:rsid w:val="00001E0C"/>
    <w:rsid w:val="00002566"/>
    <w:rsid w:val="00003745"/>
    <w:rsid w:val="00004332"/>
    <w:rsid w:val="00005996"/>
    <w:rsid w:val="00007E66"/>
    <w:rsid w:val="000102E9"/>
    <w:rsid w:val="00011741"/>
    <w:rsid w:val="000119EA"/>
    <w:rsid w:val="00012618"/>
    <w:rsid w:val="00013C5E"/>
    <w:rsid w:val="00014509"/>
    <w:rsid w:val="000155F5"/>
    <w:rsid w:val="00015A35"/>
    <w:rsid w:val="00016D06"/>
    <w:rsid w:val="00016EB2"/>
    <w:rsid w:val="00017749"/>
    <w:rsid w:val="00020349"/>
    <w:rsid w:val="00020A54"/>
    <w:rsid w:val="00020E4D"/>
    <w:rsid w:val="00020F47"/>
    <w:rsid w:val="0002133F"/>
    <w:rsid w:val="0002152B"/>
    <w:rsid w:val="0002225C"/>
    <w:rsid w:val="000238D8"/>
    <w:rsid w:val="0002394A"/>
    <w:rsid w:val="000243C4"/>
    <w:rsid w:val="00024816"/>
    <w:rsid w:val="00025219"/>
    <w:rsid w:val="00025C24"/>
    <w:rsid w:val="00025D41"/>
    <w:rsid w:val="00026A51"/>
    <w:rsid w:val="00026F05"/>
    <w:rsid w:val="0002739C"/>
    <w:rsid w:val="0003036F"/>
    <w:rsid w:val="000310C9"/>
    <w:rsid w:val="0003110D"/>
    <w:rsid w:val="00031248"/>
    <w:rsid w:val="000317BD"/>
    <w:rsid w:val="00032450"/>
    <w:rsid w:val="000327BB"/>
    <w:rsid w:val="00032B74"/>
    <w:rsid w:val="000341BE"/>
    <w:rsid w:val="000344D6"/>
    <w:rsid w:val="000344E7"/>
    <w:rsid w:val="000356B6"/>
    <w:rsid w:val="0003707F"/>
    <w:rsid w:val="0003769A"/>
    <w:rsid w:val="00040230"/>
    <w:rsid w:val="000408A4"/>
    <w:rsid w:val="00041CB7"/>
    <w:rsid w:val="000432C8"/>
    <w:rsid w:val="00043AEA"/>
    <w:rsid w:val="000450CC"/>
    <w:rsid w:val="000450E2"/>
    <w:rsid w:val="0004532B"/>
    <w:rsid w:val="000461DF"/>
    <w:rsid w:val="000465BC"/>
    <w:rsid w:val="00046AD5"/>
    <w:rsid w:val="00047CA0"/>
    <w:rsid w:val="00050306"/>
    <w:rsid w:val="00053380"/>
    <w:rsid w:val="000533F1"/>
    <w:rsid w:val="00054915"/>
    <w:rsid w:val="00054C9C"/>
    <w:rsid w:val="000554C8"/>
    <w:rsid w:val="0005557A"/>
    <w:rsid w:val="000555AF"/>
    <w:rsid w:val="00055C3B"/>
    <w:rsid w:val="000565E0"/>
    <w:rsid w:val="000567D5"/>
    <w:rsid w:val="00056D1A"/>
    <w:rsid w:val="000572AD"/>
    <w:rsid w:val="000576A6"/>
    <w:rsid w:val="00061DBB"/>
    <w:rsid w:val="00063A5F"/>
    <w:rsid w:val="00063EB9"/>
    <w:rsid w:val="00064004"/>
    <w:rsid w:val="000647F9"/>
    <w:rsid w:val="00064BA1"/>
    <w:rsid w:val="00065A8C"/>
    <w:rsid w:val="00066C11"/>
    <w:rsid w:val="00066CDD"/>
    <w:rsid w:val="00071922"/>
    <w:rsid w:val="00072507"/>
    <w:rsid w:val="00072741"/>
    <w:rsid w:val="00072BB7"/>
    <w:rsid w:val="0007378E"/>
    <w:rsid w:val="000738E7"/>
    <w:rsid w:val="00074C1B"/>
    <w:rsid w:val="00076280"/>
    <w:rsid w:val="0007707A"/>
    <w:rsid w:val="00080165"/>
    <w:rsid w:val="0008030D"/>
    <w:rsid w:val="00080645"/>
    <w:rsid w:val="0008077C"/>
    <w:rsid w:val="00081059"/>
    <w:rsid w:val="00081C7E"/>
    <w:rsid w:val="00082016"/>
    <w:rsid w:val="00082100"/>
    <w:rsid w:val="0008219F"/>
    <w:rsid w:val="00082414"/>
    <w:rsid w:val="00082AD0"/>
    <w:rsid w:val="0008522F"/>
    <w:rsid w:val="0008664F"/>
    <w:rsid w:val="000867E9"/>
    <w:rsid w:val="00087702"/>
    <w:rsid w:val="000903DD"/>
    <w:rsid w:val="00090550"/>
    <w:rsid w:val="00091BC7"/>
    <w:rsid w:val="0009211F"/>
    <w:rsid w:val="0009293A"/>
    <w:rsid w:val="00094C65"/>
    <w:rsid w:val="00094C9F"/>
    <w:rsid w:val="00095BF0"/>
    <w:rsid w:val="0009713A"/>
    <w:rsid w:val="000A0A88"/>
    <w:rsid w:val="000A1B05"/>
    <w:rsid w:val="000A1F90"/>
    <w:rsid w:val="000A6C79"/>
    <w:rsid w:val="000A7792"/>
    <w:rsid w:val="000A7A5C"/>
    <w:rsid w:val="000B0A03"/>
    <w:rsid w:val="000B13C9"/>
    <w:rsid w:val="000B21B1"/>
    <w:rsid w:val="000B22E8"/>
    <w:rsid w:val="000B27A3"/>
    <w:rsid w:val="000B32C6"/>
    <w:rsid w:val="000B494F"/>
    <w:rsid w:val="000B5A31"/>
    <w:rsid w:val="000B7901"/>
    <w:rsid w:val="000C0112"/>
    <w:rsid w:val="000C01BB"/>
    <w:rsid w:val="000C02BA"/>
    <w:rsid w:val="000C1010"/>
    <w:rsid w:val="000C1851"/>
    <w:rsid w:val="000C1E7C"/>
    <w:rsid w:val="000C297D"/>
    <w:rsid w:val="000C4DEC"/>
    <w:rsid w:val="000C4E8B"/>
    <w:rsid w:val="000C4F26"/>
    <w:rsid w:val="000C5A56"/>
    <w:rsid w:val="000C5E63"/>
    <w:rsid w:val="000C5EDD"/>
    <w:rsid w:val="000C625D"/>
    <w:rsid w:val="000C6E11"/>
    <w:rsid w:val="000D0EEE"/>
    <w:rsid w:val="000D16B8"/>
    <w:rsid w:val="000D176F"/>
    <w:rsid w:val="000D288B"/>
    <w:rsid w:val="000D3826"/>
    <w:rsid w:val="000D39B1"/>
    <w:rsid w:val="000D4A44"/>
    <w:rsid w:val="000D4A95"/>
    <w:rsid w:val="000D51C5"/>
    <w:rsid w:val="000D575A"/>
    <w:rsid w:val="000D57B1"/>
    <w:rsid w:val="000D619C"/>
    <w:rsid w:val="000E02E7"/>
    <w:rsid w:val="000E032D"/>
    <w:rsid w:val="000E11D9"/>
    <w:rsid w:val="000E1663"/>
    <w:rsid w:val="000E1F07"/>
    <w:rsid w:val="000E2170"/>
    <w:rsid w:val="000E277E"/>
    <w:rsid w:val="000E36F9"/>
    <w:rsid w:val="000E476C"/>
    <w:rsid w:val="000E4973"/>
    <w:rsid w:val="000E65F1"/>
    <w:rsid w:val="000E786A"/>
    <w:rsid w:val="000F0CF6"/>
    <w:rsid w:val="000F2B21"/>
    <w:rsid w:val="000F301A"/>
    <w:rsid w:val="000F47BF"/>
    <w:rsid w:val="000F5056"/>
    <w:rsid w:val="000F50AD"/>
    <w:rsid w:val="000F5D62"/>
    <w:rsid w:val="000F744F"/>
    <w:rsid w:val="000F77D5"/>
    <w:rsid w:val="000F7D47"/>
    <w:rsid w:val="001000FA"/>
    <w:rsid w:val="00100FA9"/>
    <w:rsid w:val="0010116A"/>
    <w:rsid w:val="00101C8B"/>
    <w:rsid w:val="00101D03"/>
    <w:rsid w:val="0010228C"/>
    <w:rsid w:val="0010241F"/>
    <w:rsid w:val="001041A5"/>
    <w:rsid w:val="00104548"/>
    <w:rsid w:val="00105F06"/>
    <w:rsid w:val="00106E40"/>
    <w:rsid w:val="00107146"/>
    <w:rsid w:val="00107238"/>
    <w:rsid w:val="00107797"/>
    <w:rsid w:val="00107F23"/>
    <w:rsid w:val="001124C4"/>
    <w:rsid w:val="00113FBD"/>
    <w:rsid w:val="00114CE3"/>
    <w:rsid w:val="00114D15"/>
    <w:rsid w:val="00116BF1"/>
    <w:rsid w:val="00116CD6"/>
    <w:rsid w:val="00116ED1"/>
    <w:rsid w:val="001170E8"/>
    <w:rsid w:val="00117935"/>
    <w:rsid w:val="001209F2"/>
    <w:rsid w:val="00120E45"/>
    <w:rsid w:val="0012260D"/>
    <w:rsid w:val="00122895"/>
    <w:rsid w:val="0012400D"/>
    <w:rsid w:val="001254BA"/>
    <w:rsid w:val="00126D23"/>
    <w:rsid w:val="0013092D"/>
    <w:rsid w:val="00131AF3"/>
    <w:rsid w:val="00131FD9"/>
    <w:rsid w:val="001324E3"/>
    <w:rsid w:val="00136E7F"/>
    <w:rsid w:val="0013748B"/>
    <w:rsid w:val="00137B17"/>
    <w:rsid w:val="00140D6E"/>
    <w:rsid w:val="00141136"/>
    <w:rsid w:val="001427B1"/>
    <w:rsid w:val="001453B6"/>
    <w:rsid w:val="0014543F"/>
    <w:rsid w:val="00146105"/>
    <w:rsid w:val="00146532"/>
    <w:rsid w:val="001478A2"/>
    <w:rsid w:val="00147C07"/>
    <w:rsid w:val="00147E68"/>
    <w:rsid w:val="001516A3"/>
    <w:rsid w:val="001516EB"/>
    <w:rsid w:val="0015238A"/>
    <w:rsid w:val="001526FE"/>
    <w:rsid w:val="00152DA4"/>
    <w:rsid w:val="00153264"/>
    <w:rsid w:val="0015373A"/>
    <w:rsid w:val="00153D96"/>
    <w:rsid w:val="001542CE"/>
    <w:rsid w:val="001542F1"/>
    <w:rsid w:val="001571DB"/>
    <w:rsid w:val="0016055F"/>
    <w:rsid w:val="00160699"/>
    <w:rsid w:val="00161587"/>
    <w:rsid w:val="001629A1"/>
    <w:rsid w:val="00162A41"/>
    <w:rsid w:val="0016319A"/>
    <w:rsid w:val="001634F1"/>
    <w:rsid w:val="001637BE"/>
    <w:rsid w:val="001655C6"/>
    <w:rsid w:val="00166067"/>
    <w:rsid w:val="00170637"/>
    <w:rsid w:val="00170869"/>
    <w:rsid w:val="0017171D"/>
    <w:rsid w:val="00171A07"/>
    <w:rsid w:val="00171FB0"/>
    <w:rsid w:val="00172F1D"/>
    <w:rsid w:val="001735A8"/>
    <w:rsid w:val="00174A20"/>
    <w:rsid w:val="0017631B"/>
    <w:rsid w:val="00180552"/>
    <w:rsid w:val="0018098D"/>
    <w:rsid w:val="00181297"/>
    <w:rsid w:val="00181574"/>
    <w:rsid w:val="001818EE"/>
    <w:rsid w:val="0018235A"/>
    <w:rsid w:val="00182FF5"/>
    <w:rsid w:val="001830CF"/>
    <w:rsid w:val="00184BDF"/>
    <w:rsid w:val="00184E26"/>
    <w:rsid w:val="00185282"/>
    <w:rsid w:val="0018601D"/>
    <w:rsid w:val="001862C8"/>
    <w:rsid w:val="00190183"/>
    <w:rsid w:val="00191B5E"/>
    <w:rsid w:val="0019200C"/>
    <w:rsid w:val="00194241"/>
    <w:rsid w:val="0019427F"/>
    <w:rsid w:val="00195C21"/>
    <w:rsid w:val="00195E95"/>
    <w:rsid w:val="001968C2"/>
    <w:rsid w:val="00196D94"/>
    <w:rsid w:val="001A4295"/>
    <w:rsid w:val="001A4A2F"/>
    <w:rsid w:val="001A4A35"/>
    <w:rsid w:val="001A5C27"/>
    <w:rsid w:val="001A635F"/>
    <w:rsid w:val="001A6941"/>
    <w:rsid w:val="001B178B"/>
    <w:rsid w:val="001B2327"/>
    <w:rsid w:val="001B2363"/>
    <w:rsid w:val="001B2467"/>
    <w:rsid w:val="001B24C0"/>
    <w:rsid w:val="001B303F"/>
    <w:rsid w:val="001B3772"/>
    <w:rsid w:val="001B4C59"/>
    <w:rsid w:val="001B4C93"/>
    <w:rsid w:val="001B54A2"/>
    <w:rsid w:val="001B6424"/>
    <w:rsid w:val="001B6BBE"/>
    <w:rsid w:val="001B71E4"/>
    <w:rsid w:val="001B7DB4"/>
    <w:rsid w:val="001C1638"/>
    <w:rsid w:val="001C1CCA"/>
    <w:rsid w:val="001C4359"/>
    <w:rsid w:val="001C5BAF"/>
    <w:rsid w:val="001C5EC1"/>
    <w:rsid w:val="001C6BAA"/>
    <w:rsid w:val="001C70EB"/>
    <w:rsid w:val="001C7EF2"/>
    <w:rsid w:val="001D0260"/>
    <w:rsid w:val="001D02ED"/>
    <w:rsid w:val="001D0B07"/>
    <w:rsid w:val="001D0BA6"/>
    <w:rsid w:val="001D0E6C"/>
    <w:rsid w:val="001D0E81"/>
    <w:rsid w:val="001D1166"/>
    <w:rsid w:val="001D2BB0"/>
    <w:rsid w:val="001D5226"/>
    <w:rsid w:val="001D5CC0"/>
    <w:rsid w:val="001D5D12"/>
    <w:rsid w:val="001D78C6"/>
    <w:rsid w:val="001E04BA"/>
    <w:rsid w:val="001E063E"/>
    <w:rsid w:val="001E3D13"/>
    <w:rsid w:val="001E3DD9"/>
    <w:rsid w:val="001E4000"/>
    <w:rsid w:val="001E4187"/>
    <w:rsid w:val="001E4342"/>
    <w:rsid w:val="001E4B12"/>
    <w:rsid w:val="001E537B"/>
    <w:rsid w:val="001E5D7A"/>
    <w:rsid w:val="001E6025"/>
    <w:rsid w:val="001E71BF"/>
    <w:rsid w:val="001E77D9"/>
    <w:rsid w:val="001F0357"/>
    <w:rsid w:val="001F0CF6"/>
    <w:rsid w:val="001F2115"/>
    <w:rsid w:val="001F35AF"/>
    <w:rsid w:val="001F39DC"/>
    <w:rsid w:val="001F4D73"/>
    <w:rsid w:val="001F5F22"/>
    <w:rsid w:val="001F6A15"/>
    <w:rsid w:val="001F7147"/>
    <w:rsid w:val="001F7FF7"/>
    <w:rsid w:val="00202121"/>
    <w:rsid w:val="002024A5"/>
    <w:rsid w:val="00203902"/>
    <w:rsid w:val="00203D84"/>
    <w:rsid w:val="002050A6"/>
    <w:rsid w:val="00205BEE"/>
    <w:rsid w:val="00207252"/>
    <w:rsid w:val="0020744A"/>
    <w:rsid w:val="00207E1E"/>
    <w:rsid w:val="0021215D"/>
    <w:rsid w:val="00213D8E"/>
    <w:rsid w:val="0021489C"/>
    <w:rsid w:val="00214A8D"/>
    <w:rsid w:val="00214E82"/>
    <w:rsid w:val="00214EEF"/>
    <w:rsid w:val="00215182"/>
    <w:rsid w:val="002159DF"/>
    <w:rsid w:val="00215E35"/>
    <w:rsid w:val="002165B2"/>
    <w:rsid w:val="002174E9"/>
    <w:rsid w:val="00220DC4"/>
    <w:rsid w:val="00220DCD"/>
    <w:rsid w:val="0022126B"/>
    <w:rsid w:val="00221A7B"/>
    <w:rsid w:val="00223DC3"/>
    <w:rsid w:val="0022556D"/>
    <w:rsid w:val="00225F10"/>
    <w:rsid w:val="002272C7"/>
    <w:rsid w:val="00230E6F"/>
    <w:rsid w:val="00231C51"/>
    <w:rsid w:val="00231F3C"/>
    <w:rsid w:val="0023454A"/>
    <w:rsid w:val="00236C0C"/>
    <w:rsid w:val="002402B6"/>
    <w:rsid w:val="002426E3"/>
    <w:rsid w:val="0024377E"/>
    <w:rsid w:val="002440F0"/>
    <w:rsid w:val="00244C7A"/>
    <w:rsid w:val="00245277"/>
    <w:rsid w:val="00246560"/>
    <w:rsid w:val="00246AA7"/>
    <w:rsid w:val="0024716F"/>
    <w:rsid w:val="002474D0"/>
    <w:rsid w:val="00251340"/>
    <w:rsid w:val="00253373"/>
    <w:rsid w:val="00253811"/>
    <w:rsid w:val="00254482"/>
    <w:rsid w:val="002545FD"/>
    <w:rsid w:val="002551F1"/>
    <w:rsid w:val="00255502"/>
    <w:rsid w:val="00255773"/>
    <w:rsid w:val="00257AB9"/>
    <w:rsid w:val="00257C14"/>
    <w:rsid w:val="00261BC8"/>
    <w:rsid w:val="00263165"/>
    <w:rsid w:val="00265341"/>
    <w:rsid w:val="00267073"/>
    <w:rsid w:val="00270C25"/>
    <w:rsid w:val="00270C4D"/>
    <w:rsid w:val="00270D8F"/>
    <w:rsid w:val="00272C03"/>
    <w:rsid w:val="0027318B"/>
    <w:rsid w:val="002733F5"/>
    <w:rsid w:val="002748B3"/>
    <w:rsid w:val="00274D63"/>
    <w:rsid w:val="00275E66"/>
    <w:rsid w:val="00276E95"/>
    <w:rsid w:val="0028034C"/>
    <w:rsid w:val="002824AA"/>
    <w:rsid w:val="00285C3A"/>
    <w:rsid w:val="002867D5"/>
    <w:rsid w:val="002867D7"/>
    <w:rsid w:val="0028692C"/>
    <w:rsid w:val="00286DD5"/>
    <w:rsid w:val="00287442"/>
    <w:rsid w:val="00287637"/>
    <w:rsid w:val="002879D3"/>
    <w:rsid w:val="0029003A"/>
    <w:rsid w:val="00291D15"/>
    <w:rsid w:val="002947E6"/>
    <w:rsid w:val="00295159"/>
    <w:rsid w:val="00295F1A"/>
    <w:rsid w:val="00296039"/>
    <w:rsid w:val="00297162"/>
    <w:rsid w:val="002A0B51"/>
    <w:rsid w:val="002A1EA2"/>
    <w:rsid w:val="002A3C0E"/>
    <w:rsid w:val="002A52BD"/>
    <w:rsid w:val="002A626B"/>
    <w:rsid w:val="002A72E9"/>
    <w:rsid w:val="002B013D"/>
    <w:rsid w:val="002B1EDF"/>
    <w:rsid w:val="002B2496"/>
    <w:rsid w:val="002B2AAC"/>
    <w:rsid w:val="002B2B57"/>
    <w:rsid w:val="002B2EA3"/>
    <w:rsid w:val="002B3468"/>
    <w:rsid w:val="002B3541"/>
    <w:rsid w:val="002B3F92"/>
    <w:rsid w:val="002B4A0A"/>
    <w:rsid w:val="002B4CAA"/>
    <w:rsid w:val="002B502C"/>
    <w:rsid w:val="002B507F"/>
    <w:rsid w:val="002B7745"/>
    <w:rsid w:val="002B7E7B"/>
    <w:rsid w:val="002C0450"/>
    <w:rsid w:val="002C3826"/>
    <w:rsid w:val="002C3B9A"/>
    <w:rsid w:val="002C4500"/>
    <w:rsid w:val="002C45C9"/>
    <w:rsid w:val="002C4A55"/>
    <w:rsid w:val="002C5CBF"/>
    <w:rsid w:val="002C6986"/>
    <w:rsid w:val="002C6EE0"/>
    <w:rsid w:val="002C7B5A"/>
    <w:rsid w:val="002D0585"/>
    <w:rsid w:val="002D113D"/>
    <w:rsid w:val="002D23CD"/>
    <w:rsid w:val="002D2506"/>
    <w:rsid w:val="002D2D46"/>
    <w:rsid w:val="002D31C5"/>
    <w:rsid w:val="002D4198"/>
    <w:rsid w:val="002D6043"/>
    <w:rsid w:val="002D72D4"/>
    <w:rsid w:val="002D7B92"/>
    <w:rsid w:val="002E0580"/>
    <w:rsid w:val="002E23F9"/>
    <w:rsid w:val="002E43D0"/>
    <w:rsid w:val="002E569D"/>
    <w:rsid w:val="002E6610"/>
    <w:rsid w:val="002E6A62"/>
    <w:rsid w:val="002E7157"/>
    <w:rsid w:val="002F05AF"/>
    <w:rsid w:val="002F1ADE"/>
    <w:rsid w:val="002F1EC3"/>
    <w:rsid w:val="002F378D"/>
    <w:rsid w:val="002F3E17"/>
    <w:rsid w:val="002F4077"/>
    <w:rsid w:val="002F537E"/>
    <w:rsid w:val="002F57DE"/>
    <w:rsid w:val="002F72F8"/>
    <w:rsid w:val="0030018F"/>
    <w:rsid w:val="0030051B"/>
    <w:rsid w:val="00301FFB"/>
    <w:rsid w:val="00302B51"/>
    <w:rsid w:val="00302FF3"/>
    <w:rsid w:val="003031C2"/>
    <w:rsid w:val="003034CD"/>
    <w:rsid w:val="00303540"/>
    <w:rsid w:val="00304C4E"/>
    <w:rsid w:val="00305222"/>
    <w:rsid w:val="00306037"/>
    <w:rsid w:val="00310910"/>
    <w:rsid w:val="00310AD8"/>
    <w:rsid w:val="00311254"/>
    <w:rsid w:val="00311782"/>
    <w:rsid w:val="00312D1D"/>
    <w:rsid w:val="00312D64"/>
    <w:rsid w:val="00314D90"/>
    <w:rsid w:val="00315DE4"/>
    <w:rsid w:val="00316B86"/>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0520"/>
    <w:rsid w:val="00332046"/>
    <w:rsid w:val="00332281"/>
    <w:rsid w:val="00332941"/>
    <w:rsid w:val="00333A40"/>
    <w:rsid w:val="00334761"/>
    <w:rsid w:val="00335104"/>
    <w:rsid w:val="00335C6D"/>
    <w:rsid w:val="00335DA8"/>
    <w:rsid w:val="00337144"/>
    <w:rsid w:val="00337277"/>
    <w:rsid w:val="00337775"/>
    <w:rsid w:val="003401CC"/>
    <w:rsid w:val="00340669"/>
    <w:rsid w:val="00341E63"/>
    <w:rsid w:val="00343F76"/>
    <w:rsid w:val="00344454"/>
    <w:rsid w:val="00344B98"/>
    <w:rsid w:val="00346436"/>
    <w:rsid w:val="003466C3"/>
    <w:rsid w:val="0034677E"/>
    <w:rsid w:val="00347909"/>
    <w:rsid w:val="00347BD2"/>
    <w:rsid w:val="003526DD"/>
    <w:rsid w:val="00352A2E"/>
    <w:rsid w:val="00354166"/>
    <w:rsid w:val="00354221"/>
    <w:rsid w:val="0035507D"/>
    <w:rsid w:val="00355995"/>
    <w:rsid w:val="00360D65"/>
    <w:rsid w:val="0036344B"/>
    <w:rsid w:val="00363811"/>
    <w:rsid w:val="00363EFE"/>
    <w:rsid w:val="00364594"/>
    <w:rsid w:val="003704A7"/>
    <w:rsid w:val="00371433"/>
    <w:rsid w:val="0037157C"/>
    <w:rsid w:val="003715C3"/>
    <w:rsid w:val="003730C9"/>
    <w:rsid w:val="003732CB"/>
    <w:rsid w:val="00376489"/>
    <w:rsid w:val="00376D2F"/>
    <w:rsid w:val="00376F47"/>
    <w:rsid w:val="00377E3F"/>
    <w:rsid w:val="00377FDC"/>
    <w:rsid w:val="00380878"/>
    <w:rsid w:val="00381811"/>
    <w:rsid w:val="0038401D"/>
    <w:rsid w:val="00384D63"/>
    <w:rsid w:val="0038510F"/>
    <w:rsid w:val="00387EA3"/>
    <w:rsid w:val="00390B45"/>
    <w:rsid w:val="00390BD9"/>
    <w:rsid w:val="00390ED0"/>
    <w:rsid w:val="0039203E"/>
    <w:rsid w:val="0039471D"/>
    <w:rsid w:val="003950B6"/>
    <w:rsid w:val="003961EF"/>
    <w:rsid w:val="00396276"/>
    <w:rsid w:val="003A12C9"/>
    <w:rsid w:val="003A14C9"/>
    <w:rsid w:val="003A18F3"/>
    <w:rsid w:val="003A34E8"/>
    <w:rsid w:val="003A3B6F"/>
    <w:rsid w:val="003A4461"/>
    <w:rsid w:val="003A495A"/>
    <w:rsid w:val="003A53D7"/>
    <w:rsid w:val="003A5608"/>
    <w:rsid w:val="003A5691"/>
    <w:rsid w:val="003A6AC0"/>
    <w:rsid w:val="003A6EF3"/>
    <w:rsid w:val="003A74EE"/>
    <w:rsid w:val="003B119D"/>
    <w:rsid w:val="003B1274"/>
    <w:rsid w:val="003B15AE"/>
    <w:rsid w:val="003B176F"/>
    <w:rsid w:val="003B2FD7"/>
    <w:rsid w:val="003B436D"/>
    <w:rsid w:val="003B5C5B"/>
    <w:rsid w:val="003B6212"/>
    <w:rsid w:val="003B67D3"/>
    <w:rsid w:val="003B67E7"/>
    <w:rsid w:val="003B6FBE"/>
    <w:rsid w:val="003B724F"/>
    <w:rsid w:val="003C06EA"/>
    <w:rsid w:val="003C1225"/>
    <w:rsid w:val="003C15A3"/>
    <w:rsid w:val="003C16A6"/>
    <w:rsid w:val="003C306B"/>
    <w:rsid w:val="003C331D"/>
    <w:rsid w:val="003C34E6"/>
    <w:rsid w:val="003C3706"/>
    <w:rsid w:val="003C463D"/>
    <w:rsid w:val="003C55C2"/>
    <w:rsid w:val="003C55EF"/>
    <w:rsid w:val="003C692C"/>
    <w:rsid w:val="003D14C1"/>
    <w:rsid w:val="003D15A2"/>
    <w:rsid w:val="003D350C"/>
    <w:rsid w:val="003D579B"/>
    <w:rsid w:val="003D6C43"/>
    <w:rsid w:val="003E05F1"/>
    <w:rsid w:val="003E101E"/>
    <w:rsid w:val="003E1085"/>
    <w:rsid w:val="003E23EB"/>
    <w:rsid w:val="003E2443"/>
    <w:rsid w:val="003E2A12"/>
    <w:rsid w:val="003E30AB"/>
    <w:rsid w:val="003E3115"/>
    <w:rsid w:val="003E35CD"/>
    <w:rsid w:val="003E488C"/>
    <w:rsid w:val="003E5996"/>
    <w:rsid w:val="003F1824"/>
    <w:rsid w:val="003F1834"/>
    <w:rsid w:val="003F2228"/>
    <w:rsid w:val="003F31FA"/>
    <w:rsid w:val="003F5774"/>
    <w:rsid w:val="003F58BB"/>
    <w:rsid w:val="003F617F"/>
    <w:rsid w:val="003F67FB"/>
    <w:rsid w:val="00400DAC"/>
    <w:rsid w:val="00402A46"/>
    <w:rsid w:val="00403332"/>
    <w:rsid w:val="004033B4"/>
    <w:rsid w:val="004037CB"/>
    <w:rsid w:val="004045F1"/>
    <w:rsid w:val="00405832"/>
    <w:rsid w:val="00407115"/>
    <w:rsid w:val="00407DAB"/>
    <w:rsid w:val="004100DA"/>
    <w:rsid w:val="00411A84"/>
    <w:rsid w:val="00411B73"/>
    <w:rsid w:val="00411BDE"/>
    <w:rsid w:val="004128C1"/>
    <w:rsid w:val="00412B4A"/>
    <w:rsid w:val="00412C23"/>
    <w:rsid w:val="00413C28"/>
    <w:rsid w:val="0041423C"/>
    <w:rsid w:val="00414AF2"/>
    <w:rsid w:val="00414C48"/>
    <w:rsid w:val="0041532F"/>
    <w:rsid w:val="0041536C"/>
    <w:rsid w:val="00415CD4"/>
    <w:rsid w:val="00416037"/>
    <w:rsid w:val="004160ED"/>
    <w:rsid w:val="00417127"/>
    <w:rsid w:val="00420094"/>
    <w:rsid w:val="004222EC"/>
    <w:rsid w:val="0042443A"/>
    <w:rsid w:val="00424DED"/>
    <w:rsid w:val="004258BB"/>
    <w:rsid w:val="00425CC5"/>
    <w:rsid w:val="00427542"/>
    <w:rsid w:val="0042793B"/>
    <w:rsid w:val="00430456"/>
    <w:rsid w:val="0043107D"/>
    <w:rsid w:val="00431989"/>
    <w:rsid w:val="00433D4D"/>
    <w:rsid w:val="00435AF3"/>
    <w:rsid w:val="00436458"/>
    <w:rsid w:val="00441A34"/>
    <w:rsid w:val="004456B6"/>
    <w:rsid w:val="004474D8"/>
    <w:rsid w:val="00451C59"/>
    <w:rsid w:val="00451E2F"/>
    <w:rsid w:val="0045315D"/>
    <w:rsid w:val="004543BD"/>
    <w:rsid w:val="00454730"/>
    <w:rsid w:val="00455AD1"/>
    <w:rsid w:val="004560C1"/>
    <w:rsid w:val="004563FA"/>
    <w:rsid w:val="004567ED"/>
    <w:rsid w:val="00457800"/>
    <w:rsid w:val="00457B4E"/>
    <w:rsid w:val="00457BE2"/>
    <w:rsid w:val="00457D01"/>
    <w:rsid w:val="00460AA8"/>
    <w:rsid w:val="00460AC8"/>
    <w:rsid w:val="004630BD"/>
    <w:rsid w:val="004642FE"/>
    <w:rsid w:val="00464302"/>
    <w:rsid w:val="00464645"/>
    <w:rsid w:val="00470ADC"/>
    <w:rsid w:val="00471B83"/>
    <w:rsid w:val="004743A0"/>
    <w:rsid w:val="0047575E"/>
    <w:rsid w:val="00475B5D"/>
    <w:rsid w:val="004761D6"/>
    <w:rsid w:val="0048008F"/>
    <w:rsid w:val="00481602"/>
    <w:rsid w:val="00482275"/>
    <w:rsid w:val="004825BA"/>
    <w:rsid w:val="00487461"/>
    <w:rsid w:val="00487DDB"/>
    <w:rsid w:val="00487E6A"/>
    <w:rsid w:val="00490DFB"/>
    <w:rsid w:val="00491517"/>
    <w:rsid w:val="00491A5A"/>
    <w:rsid w:val="00491FB8"/>
    <w:rsid w:val="004926C9"/>
    <w:rsid w:val="00493B9E"/>
    <w:rsid w:val="00494E36"/>
    <w:rsid w:val="0049607B"/>
    <w:rsid w:val="004962EF"/>
    <w:rsid w:val="00496CDA"/>
    <w:rsid w:val="004972CB"/>
    <w:rsid w:val="004A00AE"/>
    <w:rsid w:val="004A01FE"/>
    <w:rsid w:val="004A1081"/>
    <w:rsid w:val="004A282B"/>
    <w:rsid w:val="004A2EAD"/>
    <w:rsid w:val="004A3EA6"/>
    <w:rsid w:val="004A4582"/>
    <w:rsid w:val="004A4E12"/>
    <w:rsid w:val="004A533F"/>
    <w:rsid w:val="004A58D7"/>
    <w:rsid w:val="004A6120"/>
    <w:rsid w:val="004A682A"/>
    <w:rsid w:val="004B00E1"/>
    <w:rsid w:val="004B02E1"/>
    <w:rsid w:val="004B0B0B"/>
    <w:rsid w:val="004B0D6B"/>
    <w:rsid w:val="004B1581"/>
    <w:rsid w:val="004B3D68"/>
    <w:rsid w:val="004B5417"/>
    <w:rsid w:val="004B6C28"/>
    <w:rsid w:val="004B7E04"/>
    <w:rsid w:val="004C0111"/>
    <w:rsid w:val="004C013F"/>
    <w:rsid w:val="004C0B0C"/>
    <w:rsid w:val="004C0B3E"/>
    <w:rsid w:val="004C12A1"/>
    <w:rsid w:val="004C14CB"/>
    <w:rsid w:val="004C2323"/>
    <w:rsid w:val="004C345B"/>
    <w:rsid w:val="004C4D73"/>
    <w:rsid w:val="004C674D"/>
    <w:rsid w:val="004C6BB5"/>
    <w:rsid w:val="004D0372"/>
    <w:rsid w:val="004D1C00"/>
    <w:rsid w:val="004D224F"/>
    <w:rsid w:val="004D2461"/>
    <w:rsid w:val="004D3028"/>
    <w:rsid w:val="004D31C1"/>
    <w:rsid w:val="004D36BB"/>
    <w:rsid w:val="004D67EC"/>
    <w:rsid w:val="004D7844"/>
    <w:rsid w:val="004E15C1"/>
    <w:rsid w:val="004E1A0B"/>
    <w:rsid w:val="004E2164"/>
    <w:rsid w:val="004E221F"/>
    <w:rsid w:val="004E2FBF"/>
    <w:rsid w:val="004E3BC0"/>
    <w:rsid w:val="004E6B5F"/>
    <w:rsid w:val="004E70C9"/>
    <w:rsid w:val="004F0006"/>
    <w:rsid w:val="004F0EDB"/>
    <w:rsid w:val="004F104B"/>
    <w:rsid w:val="004F1106"/>
    <w:rsid w:val="004F272F"/>
    <w:rsid w:val="004F3944"/>
    <w:rsid w:val="004F3FF2"/>
    <w:rsid w:val="004F4951"/>
    <w:rsid w:val="004F5015"/>
    <w:rsid w:val="004F6DEA"/>
    <w:rsid w:val="004F72BA"/>
    <w:rsid w:val="004F7785"/>
    <w:rsid w:val="004F7A91"/>
    <w:rsid w:val="004F7C9E"/>
    <w:rsid w:val="00500D76"/>
    <w:rsid w:val="005024D6"/>
    <w:rsid w:val="00503B0F"/>
    <w:rsid w:val="00503B86"/>
    <w:rsid w:val="00504A22"/>
    <w:rsid w:val="00505668"/>
    <w:rsid w:val="00506426"/>
    <w:rsid w:val="00506FC8"/>
    <w:rsid w:val="005074E6"/>
    <w:rsid w:val="0050773B"/>
    <w:rsid w:val="00507D9B"/>
    <w:rsid w:val="00507F13"/>
    <w:rsid w:val="0051022E"/>
    <w:rsid w:val="005109FB"/>
    <w:rsid w:val="00510DB0"/>
    <w:rsid w:val="005110DC"/>
    <w:rsid w:val="00511856"/>
    <w:rsid w:val="005119A0"/>
    <w:rsid w:val="00511D52"/>
    <w:rsid w:val="00513C8E"/>
    <w:rsid w:val="00513D50"/>
    <w:rsid w:val="005144B5"/>
    <w:rsid w:val="00514E17"/>
    <w:rsid w:val="00515135"/>
    <w:rsid w:val="00515212"/>
    <w:rsid w:val="00515D29"/>
    <w:rsid w:val="005162D4"/>
    <w:rsid w:val="00516920"/>
    <w:rsid w:val="00516C14"/>
    <w:rsid w:val="0051761A"/>
    <w:rsid w:val="00520306"/>
    <w:rsid w:val="005234FA"/>
    <w:rsid w:val="00524B9B"/>
    <w:rsid w:val="0052510D"/>
    <w:rsid w:val="005255D3"/>
    <w:rsid w:val="005262E6"/>
    <w:rsid w:val="005268A8"/>
    <w:rsid w:val="005274D2"/>
    <w:rsid w:val="0053070A"/>
    <w:rsid w:val="00530CEE"/>
    <w:rsid w:val="00530E0E"/>
    <w:rsid w:val="00530FA1"/>
    <w:rsid w:val="005316EF"/>
    <w:rsid w:val="00531D3C"/>
    <w:rsid w:val="00531F70"/>
    <w:rsid w:val="00532575"/>
    <w:rsid w:val="00532E44"/>
    <w:rsid w:val="00533CE6"/>
    <w:rsid w:val="00534295"/>
    <w:rsid w:val="005362A9"/>
    <w:rsid w:val="005378EA"/>
    <w:rsid w:val="005400BA"/>
    <w:rsid w:val="00541D3B"/>
    <w:rsid w:val="00542625"/>
    <w:rsid w:val="00542D6F"/>
    <w:rsid w:val="00543064"/>
    <w:rsid w:val="005448D0"/>
    <w:rsid w:val="005470CB"/>
    <w:rsid w:val="005522D6"/>
    <w:rsid w:val="0055264C"/>
    <w:rsid w:val="005530D7"/>
    <w:rsid w:val="0055334C"/>
    <w:rsid w:val="0055401F"/>
    <w:rsid w:val="0055467C"/>
    <w:rsid w:val="0055485E"/>
    <w:rsid w:val="005563F9"/>
    <w:rsid w:val="00556E60"/>
    <w:rsid w:val="005571C0"/>
    <w:rsid w:val="00557F3A"/>
    <w:rsid w:val="005610E3"/>
    <w:rsid w:val="00561ADC"/>
    <w:rsid w:val="00561BE9"/>
    <w:rsid w:val="0056287C"/>
    <w:rsid w:val="00564D28"/>
    <w:rsid w:val="00566A57"/>
    <w:rsid w:val="005670B0"/>
    <w:rsid w:val="00567521"/>
    <w:rsid w:val="00567C4D"/>
    <w:rsid w:val="00567F48"/>
    <w:rsid w:val="0057099B"/>
    <w:rsid w:val="00571DDC"/>
    <w:rsid w:val="00572196"/>
    <w:rsid w:val="005734B9"/>
    <w:rsid w:val="00573D1C"/>
    <w:rsid w:val="00574393"/>
    <w:rsid w:val="00574EE2"/>
    <w:rsid w:val="00574FEC"/>
    <w:rsid w:val="005751C4"/>
    <w:rsid w:val="00577A9A"/>
    <w:rsid w:val="00580B03"/>
    <w:rsid w:val="00580EEF"/>
    <w:rsid w:val="0058136D"/>
    <w:rsid w:val="00581D75"/>
    <w:rsid w:val="00582787"/>
    <w:rsid w:val="00583300"/>
    <w:rsid w:val="00583F77"/>
    <w:rsid w:val="0058513F"/>
    <w:rsid w:val="00585252"/>
    <w:rsid w:val="005853F6"/>
    <w:rsid w:val="005854C3"/>
    <w:rsid w:val="005858E7"/>
    <w:rsid w:val="00585C65"/>
    <w:rsid w:val="005873C7"/>
    <w:rsid w:val="005876AA"/>
    <w:rsid w:val="00590C06"/>
    <w:rsid w:val="005918B5"/>
    <w:rsid w:val="005925E3"/>
    <w:rsid w:val="00592B2C"/>
    <w:rsid w:val="00592E06"/>
    <w:rsid w:val="00595237"/>
    <w:rsid w:val="005954D0"/>
    <w:rsid w:val="00595DE9"/>
    <w:rsid w:val="005963D5"/>
    <w:rsid w:val="005A12F7"/>
    <w:rsid w:val="005A31F6"/>
    <w:rsid w:val="005A488E"/>
    <w:rsid w:val="005A6080"/>
    <w:rsid w:val="005A665D"/>
    <w:rsid w:val="005A729F"/>
    <w:rsid w:val="005A78B6"/>
    <w:rsid w:val="005A7AA2"/>
    <w:rsid w:val="005A7D80"/>
    <w:rsid w:val="005B11D9"/>
    <w:rsid w:val="005B16EF"/>
    <w:rsid w:val="005B24AC"/>
    <w:rsid w:val="005B2F30"/>
    <w:rsid w:val="005B2F54"/>
    <w:rsid w:val="005B3B25"/>
    <w:rsid w:val="005B4305"/>
    <w:rsid w:val="005B63EA"/>
    <w:rsid w:val="005B6F90"/>
    <w:rsid w:val="005B75EA"/>
    <w:rsid w:val="005B7ACA"/>
    <w:rsid w:val="005C04E8"/>
    <w:rsid w:val="005C09F8"/>
    <w:rsid w:val="005C22E8"/>
    <w:rsid w:val="005C2305"/>
    <w:rsid w:val="005C3B2D"/>
    <w:rsid w:val="005C4290"/>
    <w:rsid w:val="005C4D01"/>
    <w:rsid w:val="005C50CF"/>
    <w:rsid w:val="005C5B17"/>
    <w:rsid w:val="005C6740"/>
    <w:rsid w:val="005D1C7E"/>
    <w:rsid w:val="005D2C69"/>
    <w:rsid w:val="005D4331"/>
    <w:rsid w:val="005D50FF"/>
    <w:rsid w:val="005D711C"/>
    <w:rsid w:val="005E1CD6"/>
    <w:rsid w:val="005E1E78"/>
    <w:rsid w:val="005E250B"/>
    <w:rsid w:val="005E31AC"/>
    <w:rsid w:val="005E37CE"/>
    <w:rsid w:val="005E6098"/>
    <w:rsid w:val="005E7E61"/>
    <w:rsid w:val="005F06B4"/>
    <w:rsid w:val="005F155E"/>
    <w:rsid w:val="005F4000"/>
    <w:rsid w:val="005F4888"/>
    <w:rsid w:val="005F4D20"/>
    <w:rsid w:val="005F5390"/>
    <w:rsid w:val="005F6546"/>
    <w:rsid w:val="00600318"/>
    <w:rsid w:val="006018FB"/>
    <w:rsid w:val="0060403C"/>
    <w:rsid w:val="00606648"/>
    <w:rsid w:val="00606989"/>
    <w:rsid w:val="006108C9"/>
    <w:rsid w:val="00610BA9"/>
    <w:rsid w:val="00611634"/>
    <w:rsid w:val="00611913"/>
    <w:rsid w:val="00611BC9"/>
    <w:rsid w:val="00612F4C"/>
    <w:rsid w:val="0061372E"/>
    <w:rsid w:val="00613825"/>
    <w:rsid w:val="00613881"/>
    <w:rsid w:val="00614646"/>
    <w:rsid w:val="006158F7"/>
    <w:rsid w:val="006159C4"/>
    <w:rsid w:val="00617FE0"/>
    <w:rsid w:val="00622EC6"/>
    <w:rsid w:val="00623528"/>
    <w:rsid w:val="00624C7F"/>
    <w:rsid w:val="006265AA"/>
    <w:rsid w:val="006267EA"/>
    <w:rsid w:val="00626A04"/>
    <w:rsid w:val="00630936"/>
    <w:rsid w:val="006318F0"/>
    <w:rsid w:val="00631D7F"/>
    <w:rsid w:val="00632A53"/>
    <w:rsid w:val="006336AD"/>
    <w:rsid w:val="00633A2B"/>
    <w:rsid w:val="00634537"/>
    <w:rsid w:val="00634D8A"/>
    <w:rsid w:val="00636C09"/>
    <w:rsid w:val="0063727E"/>
    <w:rsid w:val="0063780B"/>
    <w:rsid w:val="00641325"/>
    <w:rsid w:val="006425AF"/>
    <w:rsid w:val="00642901"/>
    <w:rsid w:val="00642BC1"/>
    <w:rsid w:val="00644E22"/>
    <w:rsid w:val="006461D4"/>
    <w:rsid w:val="0064644C"/>
    <w:rsid w:val="00646A96"/>
    <w:rsid w:val="00646F9C"/>
    <w:rsid w:val="00647F83"/>
    <w:rsid w:val="006511EA"/>
    <w:rsid w:val="00651BAD"/>
    <w:rsid w:val="00653D17"/>
    <w:rsid w:val="006545CC"/>
    <w:rsid w:val="00654DDA"/>
    <w:rsid w:val="006553EC"/>
    <w:rsid w:val="006559AA"/>
    <w:rsid w:val="0065711E"/>
    <w:rsid w:val="006620DD"/>
    <w:rsid w:val="006626B4"/>
    <w:rsid w:val="00662C4D"/>
    <w:rsid w:val="006635FF"/>
    <w:rsid w:val="0066378F"/>
    <w:rsid w:val="00663ABF"/>
    <w:rsid w:val="00663F60"/>
    <w:rsid w:val="0066450E"/>
    <w:rsid w:val="00667B6F"/>
    <w:rsid w:val="00671045"/>
    <w:rsid w:val="006711AE"/>
    <w:rsid w:val="00671DAF"/>
    <w:rsid w:val="00672656"/>
    <w:rsid w:val="0067450F"/>
    <w:rsid w:val="006767F9"/>
    <w:rsid w:val="00677DEC"/>
    <w:rsid w:val="00680B53"/>
    <w:rsid w:val="00682665"/>
    <w:rsid w:val="00683B85"/>
    <w:rsid w:val="0068516A"/>
    <w:rsid w:val="0068582E"/>
    <w:rsid w:val="00686307"/>
    <w:rsid w:val="0068631C"/>
    <w:rsid w:val="0068792D"/>
    <w:rsid w:val="006901C0"/>
    <w:rsid w:val="00691953"/>
    <w:rsid w:val="00691EBC"/>
    <w:rsid w:val="006921B5"/>
    <w:rsid w:val="00692F09"/>
    <w:rsid w:val="00694F0E"/>
    <w:rsid w:val="00695EF0"/>
    <w:rsid w:val="0069739B"/>
    <w:rsid w:val="006A0F73"/>
    <w:rsid w:val="006A0FF1"/>
    <w:rsid w:val="006A14BE"/>
    <w:rsid w:val="006A2959"/>
    <w:rsid w:val="006A2C52"/>
    <w:rsid w:val="006A38B6"/>
    <w:rsid w:val="006A3A25"/>
    <w:rsid w:val="006A42D4"/>
    <w:rsid w:val="006A4AEE"/>
    <w:rsid w:val="006A4C5B"/>
    <w:rsid w:val="006A5B1F"/>
    <w:rsid w:val="006A5FA8"/>
    <w:rsid w:val="006A6627"/>
    <w:rsid w:val="006A6AEC"/>
    <w:rsid w:val="006A7A59"/>
    <w:rsid w:val="006A7FA7"/>
    <w:rsid w:val="006B0178"/>
    <w:rsid w:val="006B08B6"/>
    <w:rsid w:val="006B1261"/>
    <w:rsid w:val="006B1511"/>
    <w:rsid w:val="006B1FBD"/>
    <w:rsid w:val="006B2BAD"/>
    <w:rsid w:val="006B3F85"/>
    <w:rsid w:val="006B4FD3"/>
    <w:rsid w:val="006C146C"/>
    <w:rsid w:val="006C277F"/>
    <w:rsid w:val="006C324C"/>
    <w:rsid w:val="006C352E"/>
    <w:rsid w:val="006C3895"/>
    <w:rsid w:val="006C4E09"/>
    <w:rsid w:val="006C50C2"/>
    <w:rsid w:val="006C615E"/>
    <w:rsid w:val="006D1E6A"/>
    <w:rsid w:val="006D27C2"/>
    <w:rsid w:val="006D68A0"/>
    <w:rsid w:val="006E179F"/>
    <w:rsid w:val="006E193F"/>
    <w:rsid w:val="006E2930"/>
    <w:rsid w:val="006E2938"/>
    <w:rsid w:val="006E29C1"/>
    <w:rsid w:val="006E2AD0"/>
    <w:rsid w:val="006E4235"/>
    <w:rsid w:val="006E7211"/>
    <w:rsid w:val="006E79E3"/>
    <w:rsid w:val="006E7A99"/>
    <w:rsid w:val="006E7FD1"/>
    <w:rsid w:val="006F21A5"/>
    <w:rsid w:val="006F27BF"/>
    <w:rsid w:val="006F3775"/>
    <w:rsid w:val="006F37F8"/>
    <w:rsid w:val="006F6DCE"/>
    <w:rsid w:val="006F7668"/>
    <w:rsid w:val="006F7B21"/>
    <w:rsid w:val="00700B2A"/>
    <w:rsid w:val="007011E3"/>
    <w:rsid w:val="00701681"/>
    <w:rsid w:val="0070171F"/>
    <w:rsid w:val="007023FB"/>
    <w:rsid w:val="0070247B"/>
    <w:rsid w:val="00703376"/>
    <w:rsid w:val="0070381C"/>
    <w:rsid w:val="007048B0"/>
    <w:rsid w:val="007051EB"/>
    <w:rsid w:val="00705E9B"/>
    <w:rsid w:val="007066F0"/>
    <w:rsid w:val="00706F41"/>
    <w:rsid w:val="00710886"/>
    <w:rsid w:val="00710B55"/>
    <w:rsid w:val="00711DC3"/>
    <w:rsid w:val="007126F1"/>
    <w:rsid w:val="00713DF5"/>
    <w:rsid w:val="007142DA"/>
    <w:rsid w:val="00715195"/>
    <w:rsid w:val="0071542F"/>
    <w:rsid w:val="007154F5"/>
    <w:rsid w:val="007159E8"/>
    <w:rsid w:val="00715E2A"/>
    <w:rsid w:val="007160FC"/>
    <w:rsid w:val="00716191"/>
    <w:rsid w:val="007165D1"/>
    <w:rsid w:val="0071662D"/>
    <w:rsid w:val="00720033"/>
    <w:rsid w:val="0072068A"/>
    <w:rsid w:val="00720C10"/>
    <w:rsid w:val="00720CDF"/>
    <w:rsid w:val="00724594"/>
    <w:rsid w:val="0072775E"/>
    <w:rsid w:val="007309F4"/>
    <w:rsid w:val="00731137"/>
    <w:rsid w:val="00731212"/>
    <w:rsid w:val="00731ACF"/>
    <w:rsid w:val="00731E1A"/>
    <w:rsid w:val="00731EDA"/>
    <w:rsid w:val="00733008"/>
    <w:rsid w:val="0073368A"/>
    <w:rsid w:val="007339B6"/>
    <w:rsid w:val="00735461"/>
    <w:rsid w:val="00736ADE"/>
    <w:rsid w:val="007412D2"/>
    <w:rsid w:val="00742D3A"/>
    <w:rsid w:val="00744861"/>
    <w:rsid w:val="007448BB"/>
    <w:rsid w:val="007478D6"/>
    <w:rsid w:val="00747BB1"/>
    <w:rsid w:val="00747F28"/>
    <w:rsid w:val="00751B6B"/>
    <w:rsid w:val="007528C2"/>
    <w:rsid w:val="00753859"/>
    <w:rsid w:val="00754E48"/>
    <w:rsid w:val="00755145"/>
    <w:rsid w:val="0075617D"/>
    <w:rsid w:val="00756D27"/>
    <w:rsid w:val="0076199F"/>
    <w:rsid w:val="00762158"/>
    <w:rsid w:val="007630B3"/>
    <w:rsid w:val="00763941"/>
    <w:rsid w:val="00764E5F"/>
    <w:rsid w:val="00765195"/>
    <w:rsid w:val="0076540F"/>
    <w:rsid w:val="00765567"/>
    <w:rsid w:val="0076647D"/>
    <w:rsid w:val="0076683F"/>
    <w:rsid w:val="00767A49"/>
    <w:rsid w:val="00770052"/>
    <w:rsid w:val="0077065C"/>
    <w:rsid w:val="00770F73"/>
    <w:rsid w:val="00771183"/>
    <w:rsid w:val="0077125D"/>
    <w:rsid w:val="00772A14"/>
    <w:rsid w:val="00772C5B"/>
    <w:rsid w:val="00772EB8"/>
    <w:rsid w:val="007735E7"/>
    <w:rsid w:val="00773C6F"/>
    <w:rsid w:val="00774BA8"/>
    <w:rsid w:val="00774CA4"/>
    <w:rsid w:val="00774FA3"/>
    <w:rsid w:val="00775861"/>
    <w:rsid w:val="00776226"/>
    <w:rsid w:val="00777122"/>
    <w:rsid w:val="0077784E"/>
    <w:rsid w:val="0078090C"/>
    <w:rsid w:val="0078190C"/>
    <w:rsid w:val="00781D2E"/>
    <w:rsid w:val="00781D60"/>
    <w:rsid w:val="00781F77"/>
    <w:rsid w:val="0078218F"/>
    <w:rsid w:val="00782A6A"/>
    <w:rsid w:val="00782B3C"/>
    <w:rsid w:val="00783429"/>
    <w:rsid w:val="00783FC4"/>
    <w:rsid w:val="00784765"/>
    <w:rsid w:val="00785F3B"/>
    <w:rsid w:val="00786EFE"/>
    <w:rsid w:val="007873B4"/>
    <w:rsid w:val="007877DB"/>
    <w:rsid w:val="007901A6"/>
    <w:rsid w:val="00790D4C"/>
    <w:rsid w:val="00790DE9"/>
    <w:rsid w:val="00790EDE"/>
    <w:rsid w:val="007920C1"/>
    <w:rsid w:val="0079316F"/>
    <w:rsid w:val="007A1CCF"/>
    <w:rsid w:val="007A3C9C"/>
    <w:rsid w:val="007A50AA"/>
    <w:rsid w:val="007A5908"/>
    <w:rsid w:val="007A62FF"/>
    <w:rsid w:val="007A65D5"/>
    <w:rsid w:val="007A66F7"/>
    <w:rsid w:val="007A67EA"/>
    <w:rsid w:val="007A7214"/>
    <w:rsid w:val="007B14A3"/>
    <w:rsid w:val="007B2E88"/>
    <w:rsid w:val="007B5FE6"/>
    <w:rsid w:val="007B6BD8"/>
    <w:rsid w:val="007B7145"/>
    <w:rsid w:val="007B718D"/>
    <w:rsid w:val="007C1599"/>
    <w:rsid w:val="007C171A"/>
    <w:rsid w:val="007C39B5"/>
    <w:rsid w:val="007C5797"/>
    <w:rsid w:val="007C5806"/>
    <w:rsid w:val="007C6026"/>
    <w:rsid w:val="007C650D"/>
    <w:rsid w:val="007C68B0"/>
    <w:rsid w:val="007C68B5"/>
    <w:rsid w:val="007C7238"/>
    <w:rsid w:val="007D264C"/>
    <w:rsid w:val="007D2ABA"/>
    <w:rsid w:val="007D3AC0"/>
    <w:rsid w:val="007D44D3"/>
    <w:rsid w:val="007D53F3"/>
    <w:rsid w:val="007D5AC3"/>
    <w:rsid w:val="007D634D"/>
    <w:rsid w:val="007D68F6"/>
    <w:rsid w:val="007D6C02"/>
    <w:rsid w:val="007D7A8F"/>
    <w:rsid w:val="007D7DD5"/>
    <w:rsid w:val="007E1784"/>
    <w:rsid w:val="007E3015"/>
    <w:rsid w:val="007E3238"/>
    <w:rsid w:val="007E38AB"/>
    <w:rsid w:val="007E4103"/>
    <w:rsid w:val="007E4F94"/>
    <w:rsid w:val="007E55A5"/>
    <w:rsid w:val="007E7143"/>
    <w:rsid w:val="007E77C5"/>
    <w:rsid w:val="007F2366"/>
    <w:rsid w:val="007F31AE"/>
    <w:rsid w:val="007F3EDB"/>
    <w:rsid w:val="007F410D"/>
    <w:rsid w:val="007F6084"/>
    <w:rsid w:val="007F6250"/>
    <w:rsid w:val="007F6B0A"/>
    <w:rsid w:val="007F6F40"/>
    <w:rsid w:val="007F7135"/>
    <w:rsid w:val="00800CF1"/>
    <w:rsid w:val="008018D4"/>
    <w:rsid w:val="00801A45"/>
    <w:rsid w:val="008020D8"/>
    <w:rsid w:val="008040C2"/>
    <w:rsid w:val="00804E16"/>
    <w:rsid w:val="00805056"/>
    <w:rsid w:val="0080581F"/>
    <w:rsid w:val="00805AC4"/>
    <w:rsid w:val="0080662B"/>
    <w:rsid w:val="008069E9"/>
    <w:rsid w:val="00806CB9"/>
    <w:rsid w:val="00807374"/>
    <w:rsid w:val="008074EF"/>
    <w:rsid w:val="008105F1"/>
    <w:rsid w:val="0081081A"/>
    <w:rsid w:val="00811992"/>
    <w:rsid w:val="0081257D"/>
    <w:rsid w:val="00812B61"/>
    <w:rsid w:val="00812F26"/>
    <w:rsid w:val="00812F77"/>
    <w:rsid w:val="008139E5"/>
    <w:rsid w:val="008147D7"/>
    <w:rsid w:val="00815CA2"/>
    <w:rsid w:val="00815FBA"/>
    <w:rsid w:val="00816D8F"/>
    <w:rsid w:val="00816EB9"/>
    <w:rsid w:val="00820C32"/>
    <w:rsid w:val="00821787"/>
    <w:rsid w:val="00822A8C"/>
    <w:rsid w:val="00822A9C"/>
    <w:rsid w:val="00822CE1"/>
    <w:rsid w:val="00823608"/>
    <w:rsid w:val="008247C9"/>
    <w:rsid w:val="00824BFE"/>
    <w:rsid w:val="0082512F"/>
    <w:rsid w:val="00826162"/>
    <w:rsid w:val="00826E90"/>
    <w:rsid w:val="00827967"/>
    <w:rsid w:val="00827EC1"/>
    <w:rsid w:val="00830583"/>
    <w:rsid w:val="00831047"/>
    <w:rsid w:val="00831340"/>
    <w:rsid w:val="008314EA"/>
    <w:rsid w:val="00832F95"/>
    <w:rsid w:val="00834720"/>
    <w:rsid w:val="008361D8"/>
    <w:rsid w:val="00836572"/>
    <w:rsid w:val="008409D1"/>
    <w:rsid w:val="00841780"/>
    <w:rsid w:val="008431C6"/>
    <w:rsid w:val="00843AEA"/>
    <w:rsid w:val="008462A1"/>
    <w:rsid w:val="00846852"/>
    <w:rsid w:val="00850AAF"/>
    <w:rsid w:val="0085169D"/>
    <w:rsid w:val="008520B3"/>
    <w:rsid w:val="00852449"/>
    <w:rsid w:val="00853082"/>
    <w:rsid w:val="00853C3C"/>
    <w:rsid w:val="00853EB6"/>
    <w:rsid w:val="00856915"/>
    <w:rsid w:val="00856BA2"/>
    <w:rsid w:val="00857B6B"/>
    <w:rsid w:val="00861D08"/>
    <w:rsid w:val="00862CD7"/>
    <w:rsid w:val="008645B0"/>
    <w:rsid w:val="0086634E"/>
    <w:rsid w:val="008675B1"/>
    <w:rsid w:val="00867A35"/>
    <w:rsid w:val="00870CA4"/>
    <w:rsid w:val="00870EED"/>
    <w:rsid w:val="00873DCB"/>
    <w:rsid w:val="0087448D"/>
    <w:rsid w:val="00875900"/>
    <w:rsid w:val="00875DF8"/>
    <w:rsid w:val="00880EE1"/>
    <w:rsid w:val="0088138E"/>
    <w:rsid w:val="00881843"/>
    <w:rsid w:val="00881D0A"/>
    <w:rsid w:val="00884125"/>
    <w:rsid w:val="008845B0"/>
    <w:rsid w:val="00886AA7"/>
    <w:rsid w:val="0088705B"/>
    <w:rsid w:val="00887C7F"/>
    <w:rsid w:val="0089275A"/>
    <w:rsid w:val="0089426D"/>
    <w:rsid w:val="00894C37"/>
    <w:rsid w:val="00894F9B"/>
    <w:rsid w:val="008951F1"/>
    <w:rsid w:val="008961A2"/>
    <w:rsid w:val="008A1014"/>
    <w:rsid w:val="008A36AD"/>
    <w:rsid w:val="008A4217"/>
    <w:rsid w:val="008A5FED"/>
    <w:rsid w:val="008A6C66"/>
    <w:rsid w:val="008B021E"/>
    <w:rsid w:val="008B087F"/>
    <w:rsid w:val="008B120C"/>
    <w:rsid w:val="008B2428"/>
    <w:rsid w:val="008B2F1F"/>
    <w:rsid w:val="008B50EF"/>
    <w:rsid w:val="008B6803"/>
    <w:rsid w:val="008C1A56"/>
    <w:rsid w:val="008C28E2"/>
    <w:rsid w:val="008C4389"/>
    <w:rsid w:val="008C4754"/>
    <w:rsid w:val="008C5A25"/>
    <w:rsid w:val="008C5B46"/>
    <w:rsid w:val="008D058C"/>
    <w:rsid w:val="008D062B"/>
    <w:rsid w:val="008D0821"/>
    <w:rsid w:val="008D193A"/>
    <w:rsid w:val="008D3991"/>
    <w:rsid w:val="008D41EE"/>
    <w:rsid w:val="008D5BCE"/>
    <w:rsid w:val="008D6989"/>
    <w:rsid w:val="008E1392"/>
    <w:rsid w:val="008E20C5"/>
    <w:rsid w:val="008E2B1F"/>
    <w:rsid w:val="008E5C72"/>
    <w:rsid w:val="008E620C"/>
    <w:rsid w:val="008E6236"/>
    <w:rsid w:val="008E733B"/>
    <w:rsid w:val="008E7B24"/>
    <w:rsid w:val="008F0E06"/>
    <w:rsid w:val="008F190C"/>
    <w:rsid w:val="008F2661"/>
    <w:rsid w:val="008F3B5A"/>
    <w:rsid w:val="008F487D"/>
    <w:rsid w:val="008F4ADA"/>
    <w:rsid w:val="008F55B2"/>
    <w:rsid w:val="008F5694"/>
    <w:rsid w:val="008F5919"/>
    <w:rsid w:val="009001D2"/>
    <w:rsid w:val="0090302E"/>
    <w:rsid w:val="00904160"/>
    <w:rsid w:val="009059F5"/>
    <w:rsid w:val="00905AE4"/>
    <w:rsid w:val="00905CAA"/>
    <w:rsid w:val="00905CDD"/>
    <w:rsid w:val="009062BC"/>
    <w:rsid w:val="009071EC"/>
    <w:rsid w:val="00910AF7"/>
    <w:rsid w:val="0091123D"/>
    <w:rsid w:val="00911B77"/>
    <w:rsid w:val="00913C1E"/>
    <w:rsid w:val="00913E51"/>
    <w:rsid w:val="009141B7"/>
    <w:rsid w:val="00915263"/>
    <w:rsid w:val="00915708"/>
    <w:rsid w:val="00916093"/>
    <w:rsid w:val="00916198"/>
    <w:rsid w:val="009163E7"/>
    <w:rsid w:val="009202E2"/>
    <w:rsid w:val="0092036C"/>
    <w:rsid w:val="00920C15"/>
    <w:rsid w:val="0092114D"/>
    <w:rsid w:val="009213D9"/>
    <w:rsid w:val="009221CA"/>
    <w:rsid w:val="00922D40"/>
    <w:rsid w:val="00922EF3"/>
    <w:rsid w:val="00923168"/>
    <w:rsid w:val="0092406D"/>
    <w:rsid w:val="009244BA"/>
    <w:rsid w:val="00924561"/>
    <w:rsid w:val="00925B8F"/>
    <w:rsid w:val="00926305"/>
    <w:rsid w:val="00926358"/>
    <w:rsid w:val="009267EF"/>
    <w:rsid w:val="009268B5"/>
    <w:rsid w:val="009268FD"/>
    <w:rsid w:val="00927374"/>
    <w:rsid w:val="00927712"/>
    <w:rsid w:val="0093032D"/>
    <w:rsid w:val="009303A5"/>
    <w:rsid w:val="00931343"/>
    <w:rsid w:val="0093190D"/>
    <w:rsid w:val="009342FB"/>
    <w:rsid w:val="00934BBF"/>
    <w:rsid w:val="00934EDC"/>
    <w:rsid w:val="00935FA5"/>
    <w:rsid w:val="0094089E"/>
    <w:rsid w:val="00941014"/>
    <w:rsid w:val="00942AA6"/>
    <w:rsid w:val="00942FC2"/>
    <w:rsid w:val="00943CCB"/>
    <w:rsid w:val="0094434B"/>
    <w:rsid w:val="009462C4"/>
    <w:rsid w:val="009466F4"/>
    <w:rsid w:val="009467DC"/>
    <w:rsid w:val="009471B9"/>
    <w:rsid w:val="0094743E"/>
    <w:rsid w:val="009511A7"/>
    <w:rsid w:val="00953319"/>
    <w:rsid w:val="00954076"/>
    <w:rsid w:val="009549CF"/>
    <w:rsid w:val="009556EC"/>
    <w:rsid w:val="009559BC"/>
    <w:rsid w:val="0095683B"/>
    <w:rsid w:val="009575F1"/>
    <w:rsid w:val="0095797A"/>
    <w:rsid w:val="00957AE6"/>
    <w:rsid w:val="00960A08"/>
    <w:rsid w:val="00960E44"/>
    <w:rsid w:val="009613C1"/>
    <w:rsid w:val="0096140D"/>
    <w:rsid w:val="00962CA3"/>
    <w:rsid w:val="009635B4"/>
    <w:rsid w:val="009655F3"/>
    <w:rsid w:val="00965AC1"/>
    <w:rsid w:val="00965B8F"/>
    <w:rsid w:val="009723B5"/>
    <w:rsid w:val="009726FE"/>
    <w:rsid w:val="00972C59"/>
    <w:rsid w:val="0097383F"/>
    <w:rsid w:val="00974939"/>
    <w:rsid w:val="00976367"/>
    <w:rsid w:val="00976454"/>
    <w:rsid w:val="009768D3"/>
    <w:rsid w:val="009770A7"/>
    <w:rsid w:val="009778F2"/>
    <w:rsid w:val="00980937"/>
    <w:rsid w:val="00982808"/>
    <w:rsid w:val="00982954"/>
    <w:rsid w:val="0098549B"/>
    <w:rsid w:val="009862C2"/>
    <w:rsid w:val="0098747D"/>
    <w:rsid w:val="009875FA"/>
    <w:rsid w:val="0098799C"/>
    <w:rsid w:val="00990A75"/>
    <w:rsid w:val="0099104D"/>
    <w:rsid w:val="00991CF0"/>
    <w:rsid w:val="00991EDE"/>
    <w:rsid w:val="00992400"/>
    <w:rsid w:val="00994C61"/>
    <w:rsid w:val="00995F01"/>
    <w:rsid w:val="0099620A"/>
    <w:rsid w:val="00996267"/>
    <w:rsid w:val="00996351"/>
    <w:rsid w:val="009970CF"/>
    <w:rsid w:val="0099748E"/>
    <w:rsid w:val="009979B3"/>
    <w:rsid w:val="00997E66"/>
    <w:rsid w:val="009A0DB0"/>
    <w:rsid w:val="009A476C"/>
    <w:rsid w:val="009A4DAC"/>
    <w:rsid w:val="009A64C7"/>
    <w:rsid w:val="009A64DF"/>
    <w:rsid w:val="009B0B3C"/>
    <w:rsid w:val="009B0CC8"/>
    <w:rsid w:val="009B1AD8"/>
    <w:rsid w:val="009B293B"/>
    <w:rsid w:val="009B4E88"/>
    <w:rsid w:val="009B605D"/>
    <w:rsid w:val="009B697B"/>
    <w:rsid w:val="009B6C2D"/>
    <w:rsid w:val="009B6DD9"/>
    <w:rsid w:val="009B6FC6"/>
    <w:rsid w:val="009B79E2"/>
    <w:rsid w:val="009B7CEE"/>
    <w:rsid w:val="009C0853"/>
    <w:rsid w:val="009C090D"/>
    <w:rsid w:val="009C27C0"/>
    <w:rsid w:val="009C3017"/>
    <w:rsid w:val="009C44A4"/>
    <w:rsid w:val="009C469B"/>
    <w:rsid w:val="009C55AE"/>
    <w:rsid w:val="009C6BA1"/>
    <w:rsid w:val="009C7DB3"/>
    <w:rsid w:val="009D012C"/>
    <w:rsid w:val="009D077B"/>
    <w:rsid w:val="009D0F05"/>
    <w:rsid w:val="009D4561"/>
    <w:rsid w:val="009D4574"/>
    <w:rsid w:val="009D5411"/>
    <w:rsid w:val="009D6C81"/>
    <w:rsid w:val="009E1B0A"/>
    <w:rsid w:val="009E1B91"/>
    <w:rsid w:val="009E24D0"/>
    <w:rsid w:val="009E37C3"/>
    <w:rsid w:val="009E435A"/>
    <w:rsid w:val="009E49E5"/>
    <w:rsid w:val="009E5195"/>
    <w:rsid w:val="009E5678"/>
    <w:rsid w:val="009E5768"/>
    <w:rsid w:val="009E6836"/>
    <w:rsid w:val="009E6E7B"/>
    <w:rsid w:val="009F1610"/>
    <w:rsid w:val="009F17BD"/>
    <w:rsid w:val="009F2889"/>
    <w:rsid w:val="009F417D"/>
    <w:rsid w:val="009F6011"/>
    <w:rsid w:val="009F60D5"/>
    <w:rsid w:val="009F7E8A"/>
    <w:rsid w:val="00A003AD"/>
    <w:rsid w:val="00A00F08"/>
    <w:rsid w:val="00A01DE2"/>
    <w:rsid w:val="00A01EBC"/>
    <w:rsid w:val="00A02D48"/>
    <w:rsid w:val="00A03EB6"/>
    <w:rsid w:val="00A0440A"/>
    <w:rsid w:val="00A06409"/>
    <w:rsid w:val="00A068EC"/>
    <w:rsid w:val="00A06C40"/>
    <w:rsid w:val="00A079DB"/>
    <w:rsid w:val="00A11672"/>
    <w:rsid w:val="00A12800"/>
    <w:rsid w:val="00A12CDF"/>
    <w:rsid w:val="00A159AC"/>
    <w:rsid w:val="00A1613F"/>
    <w:rsid w:val="00A1682A"/>
    <w:rsid w:val="00A16BFA"/>
    <w:rsid w:val="00A16F31"/>
    <w:rsid w:val="00A17B29"/>
    <w:rsid w:val="00A22D30"/>
    <w:rsid w:val="00A2425E"/>
    <w:rsid w:val="00A24AA7"/>
    <w:rsid w:val="00A255D8"/>
    <w:rsid w:val="00A255F7"/>
    <w:rsid w:val="00A276E6"/>
    <w:rsid w:val="00A27C90"/>
    <w:rsid w:val="00A30B92"/>
    <w:rsid w:val="00A314F5"/>
    <w:rsid w:val="00A32832"/>
    <w:rsid w:val="00A32C21"/>
    <w:rsid w:val="00A33094"/>
    <w:rsid w:val="00A3343F"/>
    <w:rsid w:val="00A33709"/>
    <w:rsid w:val="00A33FB2"/>
    <w:rsid w:val="00A348E2"/>
    <w:rsid w:val="00A349E5"/>
    <w:rsid w:val="00A35B43"/>
    <w:rsid w:val="00A36037"/>
    <w:rsid w:val="00A367CD"/>
    <w:rsid w:val="00A368A6"/>
    <w:rsid w:val="00A37D7D"/>
    <w:rsid w:val="00A40103"/>
    <w:rsid w:val="00A42598"/>
    <w:rsid w:val="00A43BB1"/>
    <w:rsid w:val="00A4476D"/>
    <w:rsid w:val="00A44A69"/>
    <w:rsid w:val="00A45431"/>
    <w:rsid w:val="00A45566"/>
    <w:rsid w:val="00A46125"/>
    <w:rsid w:val="00A46B2E"/>
    <w:rsid w:val="00A478F4"/>
    <w:rsid w:val="00A479AB"/>
    <w:rsid w:val="00A47B94"/>
    <w:rsid w:val="00A47FF6"/>
    <w:rsid w:val="00A51032"/>
    <w:rsid w:val="00A51917"/>
    <w:rsid w:val="00A523B3"/>
    <w:rsid w:val="00A52F3E"/>
    <w:rsid w:val="00A54FFF"/>
    <w:rsid w:val="00A554A7"/>
    <w:rsid w:val="00A55B91"/>
    <w:rsid w:val="00A55E3B"/>
    <w:rsid w:val="00A56F0D"/>
    <w:rsid w:val="00A57F29"/>
    <w:rsid w:val="00A60DD3"/>
    <w:rsid w:val="00A60F46"/>
    <w:rsid w:val="00A61C15"/>
    <w:rsid w:val="00A620A4"/>
    <w:rsid w:val="00A6252E"/>
    <w:rsid w:val="00A629E1"/>
    <w:rsid w:val="00A64F76"/>
    <w:rsid w:val="00A67098"/>
    <w:rsid w:val="00A67B81"/>
    <w:rsid w:val="00A7047E"/>
    <w:rsid w:val="00A73ACD"/>
    <w:rsid w:val="00A76047"/>
    <w:rsid w:val="00A818F6"/>
    <w:rsid w:val="00A8265C"/>
    <w:rsid w:val="00A82843"/>
    <w:rsid w:val="00A83839"/>
    <w:rsid w:val="00A83AC2"/>
    <w:rsid w:val="00A83F56"/>
    <w:rsid w:val="00A8564B"/>
    <w:rsid w:val="00A85902"/>
    <w:rsid w:val="00A8598B"/>
    <w:rsid w:val="00A86186"/>
    <w:rsid w:val="00A86560"/>
    <w:rsid w:val="00A874EB"/>
    <w:rsid w:val="00A8755C"/>
    <w:rsid w:val="00A9081E"/>
    <w:rsid w:val="00A90CD3"/>
    <w:rsid w:val="00A90F67"/>
    <w:rsid w:val="00A93CEC"/>
    <w:rsid w:val="00A94B97"/>
    <w:rsid w:val="00A94F9F"/>
    <w:rsid w:val="00A97BAB"/>
    <w:rsid w:val="00AA0383"/>
    <w:rsid w:val="00AA0693"/>
    <w:rsid w:val="00AA0D01"/>
    <w:rsid w:val="00AA0D32"/>
    <w:rsid w:val="00AA14F9"/>
    <w:rsid w:val="00AA1DEE"/>
    <w:rsid w:val="00AA2A02"/>
    <w:rsid w:val="00AA2A65"/>
    <w:rsid w:val="00AA3030"/>
    <w:rsid w:val="00AA30EF"/>
    <w:rsid w:val="00AA3AFF"/>
    <w:rsid w:val="00AA48C0"/>
    <w:rsid w:val="00AA55DA"/>
    <w:rsid w:val="00AA5DAC"/>
    <w:rsid w:val="00AA6BF1"/>
    <w:rsid w:val="00AA766E"/>
    <w:rsid w:val="00AB1867"/>
    <w:rsid w:val="00AB2209"/>
    <w:rsid w:val="00AB3630"/>
    <w:rsid w:val="00AB579A"/>
    <w:rsid w:val="00AB582D"/>
    <w:rsid w:val="00AB68B8"/>
    <w:rsid w:val="00AB7717"/>
    <w:rsid w:val="00AC19A2"/>
    <w:rsid w:val="00AC202C"/>
    <w:rsid w:val="00AC367C"/>
    <w:rsid w:val="00AC450D"/>
    <w:rsid w:val="00AC49A8"/>
    <w:rsid w:val="00AC63FC"/>
    <w:rsid w:val="00AC755C"/>
    <w:rsid w:val="00AD0577"/>
    <w:rsid w:val="00AD212B"/>
    <w:rsid w:val="00AD2148"/>
    <w:rsid w:val="00AD2847"/>
    <w:rsid w:val="00AD2A67"/>
    <w:rsid w:val="00AD2C5D"/>
    <w:rsid w:val="00AD2CBA"/>
    <w:rsid w:val="00AD4F64"/>
    <w:rsid w:val="00AD6AC2"/>
    <w:rsid w:val="00AD6D98"/>
    <w:rsid w:val="00AD747D"/>
    <w:rsid w:val="00AE0267"/>
    <w:rsid w:val="00AE189F"/>
    <w:rsid w:val="00AE5273"/>
    <w:rsid w:val="00AE5B1F"/>
    <w:rsid w:val="00AE5D8A"/>
    <w:rsid w:val="00AE6AD1"/>
    <w:rsid w:val="00AF07DE"/>
    <w:rsid w:val="00AF0957"/>
    <w:rsid w:val="00AF11F5"/>
    <w:rsid w:val="00AF14D3"/>
    <w:rsid w:val="00AF3672"/>
    <w:rsid w:val="00AF3D10"/>
    <w:rsid w:val="00AF3F20"/>
    <w:rsid w:val="00AF459C"/>
    <w:rsid w:val="00AF5994"/>
    <w:rsid w:val="00AF5A55"/>
    <w:rsid w:val="00AF63B4"/>
    <w:rsid w:val="00AF6900"/>
    <w:rsid w:val="00AF7FFB"/>
    <w:rsid w:val="00B00201"/>
    <w:rsid w:val="00B0070D"/>
    <w:rsid w:val="00B01D52"/>
    <w:rsid w:val="00B0331A"/>
    <w:rsid w:val="00B052AD"/>
    <w:rsid w:val="00B055AA"/>
    <w:rsid w:val="00B05BDB"/>
    <w:rsid w:val="00B05C5F"/>
    <w:rsid w:val="00B05EBC"/>
    <w:rsid w:val="00B05F49"/>
    <w:rsid w:val="00B06593"/>
    <w:rsid w:val="00B06B60"/>
    <w:rsid w:val="00B06DF7"/>
    <w:rsid w:val="00B07335"/>
    <w:rsid w:val="00B07B4E"/>
    <w:rsid w:val="00B10F6F"/>
    <w:rsid w:val="00B11EE0"/>
    <w:rsid w:val="00B11FDA"/>
    <w:rsid w:val="00B134CD"/>
    <w:rsid w:val="00B145E9"/>
    <w:rsid w:val="00B15597"/>
    <w:rsid w:val="00B15F56"/>
    <w:rsid w:val="00B1697D"/>
    <w:rsid w:val="00B17314"/>
    <w:rsid w:val="00B2001D"/>
    <w:rsid w:val="00B22F76"/>
    <w:rsid w:val="00B233D6"/>
    <w:rsid w:val="00B24489"/>
    <w:rsid w:val="00B24F39"/>
    <w:rsid w:val="00B25B71"/>
    <w:rsid w:val="00B25D5F"/>
    <w:rsid w:val="00B25F35"/>
    <w:rsid w:val="00B2605C"/>
    <w:rsid w:val="00B26320"/>
    <w:rsid w:val="00B27002"/>
    <w:rsid w:val="00B27320"/>
    <w:rsid w:val="00B300A2"/>
    <w:rsid w:val="00B320B1"/>
    <w:rsid w:val="00B348B8"/>
    <w:rsid w:val="00B35205"/>
    <w:rsid w:val="00B357EA"/>
    <w:rsid w:val="00B3760E"/>
    <w:rsid w:val="00B402C0"/>
    <w:rsid w:val="00B4176C"/>
    <w:rsid w:val="00B42B39"/>
    <w:rsid w:val="00B42F78"/>
    <w:rsid w:val="00B432CA"/>
    <w:rsid w:val="00B4397C"/>
    <w:rsid w:val="00B439F2"/>
    <w:rsid w:val="00B477A3"/>
    <w:rsid w:val="00B47D49"/>
    <w:rsid w:val="00B500C6"/>
    <w:rsid w:val="00B50148"/>
    <w:rsid w:val="00B50E5C"/>
    <w:rsid w:val="00B51231"/>
    <w:rsid w:val="00B51872"/>
    <w:rsid w:val="00B52027"/>
    <w:rsid w:val="00B520F6"/>
    <w:rsid w:val="00B5214B"/>
    <w:rsid w:val="00B53EC7"/>
    <w:rsid w:val="00B53F02"/>
    <w:rsid w:val="00B540C6"/>
    <w:rsid w:val="00B55DD2"/>
    <w:rsid w:val="00B566BE"/>
    <w:rsid w:val="00B56ED0"/>
    <w:rsid w:val="00B57C69"/>
    <w:rsid w:val="00B57FD1"/>
    <w:rsid w:val="00B6157E"/>
    <w:rsid w:val="00B61ACE"/>
    <w:rsid w:val="00B61C84"/>
    <w:rsid w:val="00B625F1"/>
    <w:rsid w:val="00B627E3"/>
    <w:rsid w:val="00B6290A"/>
    <w:rsid w:val="00B6345F"/>
    <w:rsid w:val="00B64EB7"/>
    <w:rsid w:val="00B651FE"/>
    <w:rsid w:val="00B653F7"/>
    <w:rsid w:val="00B656F3"/>
    <w:rsid w:val="00B65F83"/>
    <w:rsid w:val="00B66811"/>
    <w:rsid w:val="00B672D1"/>
    <w:rsid w:val="00B67738"/>
    <w:rsid w:val="00B71391"/>
    <w:rsid w:val="00B7291F"/>
    <w:rsid w:val="00B72B04"/>
    <w:rsid w:val="00B74706"/>
    <w:rsid w:val="00B74A27"/>
    <w:rsid w:val="00B7728B"/>
    <w:rsid w:val="00B8041F"/>
    <w:rsid w:val="00B8072E"/>
    <w:rsid w:val="00B81155"/>
    <w:rsid w:val="00B812D3"/>
    <w:rsid w:val="00B81CC1"/>
    <w:rsid w:val="00B82023"/>
    <w:rsid w:val="00B84511"/>
    <w:rsid w:val="00B84AD2"/>
    <w:rsid w:val="00B85046"/>
    <w:rsid w:val="00B854B6"/>
    <w:rsid w:val="00B85D3B"/>
    <w:rsid w:val="00B8703C"/>
    <w:rsid w:val="00B87CE0"/>
    <w:rsid w:val="00B90E80"/>
    <w:rsid w:val="00B9142B"/>
    <w:rsid w:val="00B91D72"/>
    <w:rsid w:val="00B92917"/>
    <w:rsid w:val="00B943B1"/>
    <w:rsid w:val="00B94831"/>
    <w:rsid w:val="00B94EF3"/>
    <w:rsid w:val="00B9588A"/>
    <w:rsid w:val="00B96160"/>
    <w:rsid w:val="00B968E7"/>
    <w:rsid w:val="00B96D6E"/>
    <w:rsid w:val="00B97CAB"/>
    <w:rsid w:val="00BA0EF5"/>
    <w:rsid w:val="00BA0F76"/>
    <w:rsid w:val="00BA2311"/>
    <w:rsid w:val="00BA4129"/>
    <w:rsid w:val="00BA582C"/>
    <w:rsid w:val="00BA61D6"/>
    <w:rsid w:val="00BA65AF"/>
    <w:rsid w:val="00BA6E26"/>
    <w:rsid w:val="00BA78D2"/>
    <w:rsid w:val="00BA79FA"/>
    <w:rsid w:val="00BA7A8C"/>
    <w:rsid w:val="00BB483B"/>
    <w:rsid w:val="00BB4A73"/>
    <w:rsid w:val="00BB5351"/>
    <w:rsid w:val="00BB54BA"/>
    <w:rsid w:val="00BC0794"/>
    <w:rsid w:val="00BC0AD2"/>
    <w:rsid w:val="00BC1B16"/>
    <w:rsid w:val="00BC213D"/>
    <w:rsid w:val="00BC24C1"/>
    <w:rsid w:val="00BC3C28"/>
    <w:rsid w:val="00BC4082"/>
    <w:rsid w:val="00BC6DB5"/>
    <w:rsid w:val="00BC6E62"/>
    <w:rsid w:val="00BC7C97"/>
    <w:rsid w:val="00BC7D94"/>
    <w:rsid w:val="00BD01FF"/>
    <w:rsid w:val="00BD04BB"/>
    <w:rsid w:val="00BD2645"/>
    <w:rsid w:val="00BD4F4F"/>
    <w:rsid w:val="00BD5F8E"/>
    <w:rsid w:val="00BD751E"/>
    <w:rsid w:val="00BD7C61"/>
    <w:rsid w:val="00BE01F6"/>
    <w:rsid w:val="00BE1D1A"/>
    <w:rsid w:val="00BE33A0"/>
    <w:rsid w:val="00BE3EF1"/>
    <w:rsid w:val="00BE5EB4"/>
    <w:rsid w:val="00BF0FD2"/>
    <w:rsid w:val="00BF11E1"/>
    <w:rsid w:val="00BF160A"/>
    <w:rsid w:val="00BF1998"/>
    <w:rsid w:val="00BF2076"/>
    <w:rsid w:val="00BF3920"/>
    <w:rsid w:val="00BF3A99"/>
    <w:rsid w:val="00BF3B71"/>
    <w:rsid w:val="00BF3F45"/>
    <w:rsid w:val="00BF4D9A"/>
    <w:rsid w:val="00BF50B1"/>
    <w:rsid w:val="00BF5424"/>
    <w:rsid w:val="00BF6223"/>
    <w:rsid w:val="00BF7919"/>
    <w:rsid w:val="00BF7EC6"/>
    <w:rsid w:val="00C01BAE"/>
    <w:rsid w:val="00C025ED"/>
    <w:rsid w:val="00C035B7"/>
    <w:rsid w:val="00C03900"/>
    <w:rsid w:val="00C04AFB"/>
    <w:rsid w:val="00C06A5B"/>
    <w:rsid w:val="00C06AFB"/>
    <w:rsid w:val="00C06B03"/>
    <w:rsid w:val="00C1000B"/>
    <w:rsid w:val="00C10953"/>
    <w:rsid w:val="00C1110E"/>
    <w:rsid w:val="00C111F5"/>
    <w:rsid w:val="00C11C69"/>
    <w:rsid w:val="00C12DFF"/>
    <w:rsid w:val="00C15B86"/>
    <w:rsid w:val="00C16833"/>
    <w:rsid w:val="00C17B92"/>
    <w:rsid w:val="00C17D8F"/>
    <w:rsid w:val="00C20722"/>
    <w:rsid w:val="00C20C15"/>
    <w:rsid w:val="00C20F29"/>
    <w:rsid w:val="00C21886"/>
    <w:rsid w:val="00C22766"/>
    <w:rsid w:val="00C22A26"/>
    <w:rsid w:val="00C22B6D"/>
    <w:rsid w:val="00C241D9"/>
    <w:rsid w:val="00C24936"/>
    <w:rsid w:val="00C24DBF"/>
    <w:rsid w:val="00C25A34"/>
    <w:rsid w:val="00C25BEF"/>
    <w:rsid w:val="00C25C72"/>
    <w:rsid w:val="00C25EF4"/>
    <w:rsid w:val="00C26011"/>
    <w:rsid w:val="00C275F4"/>
    <w:rsid w:val="00C30170"/>
    <w:rsid w:val="00C30F0A"/>
    <w:rsid w:val="00C31841"/>
    <w:rsid w:val="00C32841"/>
    <w:rsid w:val="00C33F57"/>
    <w:rsid w:val="00C362FE"/>
    <w:rsid w:val="00C37E07"/>
    <w:rsid w:val="00C40B7D"/>
    <w:rsid w:val="00C40DC9"/>
    <w:rsid w:val="00C41E70"/>
    <w:rsid w:val="00C458D2"/>
    <w:rsid w:val="00C459BD"/>
    <w:rsid w:val="00C46587"/>
    <w:rsid w:val="00C465C8"/>
    <w:rsid w:val="00C468B6"/>
    <w:rsid w:val="00C47879"/>
    <w:rsid w:val="00C50BC4"/>
    <w:rsid w:val="00C52ABB"/>
    <w:rsid w:val="00C5356C"/>
    <w:rsid w:val="00C54EE7"/>
    <w:rsid w:val="00C54F41"/>
    <w:rsid w:val="00C55278"/>
    <w:rsid w:val="00C558D2"/>
    <w:rsid w:val="00C56AF7"/>
    <w:rsid w:val="00C60AAE"/>
    <w:rsid w:val="00C60F62"/>
    <w:rsid w:val="00C6165A"/>
    <w:rsid w:val="00C63979"/>
    <w:rsid w:val="00C639D2"/>
    <w:rsid w:val="00C63E88"/>
    <w:rsid w:val="00C64F77"/>
    <w:rsid w:val="00C65BA0"/>
    <w:rsid w:val="00C67FEF"/>
    <w:rsid w:val="00C7024B"/>
    <w:rsid w:val="00C72678"/>
    <w:rsid w:val="00C73653"/>
    <w:rsid w:val="00C74AFE"/>
    <w:rsid w:val="00C74C55"/>
    <w:rsid w:val="00C74CA4"/>
    <w:rsid w:val="00C76F33"/>
    <w:rsid w:val="00C77C4F"/>
    <w:rsid w:val="00C80FC7"/>
    <w:rsid w:val="00C8142B"/>
    <w:rsid w:val="00C83067"/>
    <w:rsid w:val="00C84ADA"/>
    <w:rsid w:val="00C84AED"/>
    <w:rsid w:val="00C8676F"/>
    <w:rsid w:val="00C86E18"/>
    <w:rsid w:val="00C87A0C"/>
    <w:rsid w:val="00C9015E"/>
    <w:rsid w:val="00C91850"/>
    <w:rsid w:val="00C91997"/>
    <w:rsid w:val="00C9257C"/>
    <w:rsid w:val="00C92A8B"/>
    <w:rsid w:val="00C92DED"/>
    <w:rsid w:val="00C9360F"/>
    <w:rsid w:val="00C93853"/>
    <w:rsid w:val="00C95069"/>
    <w:rsid w:val="00C95D05"/>
    <w:rsid w:val="00CA0D31"/>
    <w:rsid w:val="00CA128B"/>
    <w:rsid w:val="00CA202B"/>
    <w:rsid w:val="00CA5C9A"/>
    <w:rsid w:val="00CA6723"/>
    <w:rsid w:val="00CB1EF3"/>
    <w:rsid w:val="00CB3F06"/>
    <w:rsid w:val="00CB4FD5"/>
    <w:rsid w:val="00CB5CDE"/>
    <w:rsid w:val="00CB604C"/>
    <w:rsid w:val="00CB671D"/>
    <w:rsid w:val="00CB6D73"/>
    <w:rsid w:val="00CB7F4E"/>
    <w:rsid w:val="00CC614D"/>
    <w:rsid w:val="00CD001E"/>
    <w:rsid w:val="00CD037C"/>
    <w:rsid w:val="00CD0418"/>
    <w:rsid w:val="00CD0482"/>
    <w:rsid w:val="00CD0535"/>
    <w:rsid w:val="00CD07BB"/>
    <w:rsid w:val="00CD1BEC"/>
    <w:rsid w:val="00CD236E"/>
    <w:rsid w:val="00CD2DCE"/>
    <w:rsid w:val="00CD366D"/>
    <w:rsid w:val="00CD3870"/>
    <w:rsid w:val="00CD3EBB"/>
    <w:rsid w:val="00CD3FC0"/>
    <w:rsid w:val="00CD41F1"/>
    <w:rsid w:val="00CD4545"/>
    <w:rsid w:val="00CD6649"/>
    <w:rsid w:val="00CD6804"/>
    <w:rsid w:val="00CD6DAE"/>
    <w:rsid w:val="00CE04D6"/>
    <w:rsid w:val="00CE2F24"/>
    <w:rsid w:val="00CE46C8"/>
    <w:rsid w:val="00CE54BB"/>
    <w:rsid w:val="00CE57A4"/>
    <w:rsid w:val="00CE7D0D"/>
    <w:rsid w:val="00CF02FA"/>
    <w:rsid w:val="00CF0DB7"/>
    <w:rsid w:val="00CF17DC"/>
    <w:rsid w:val="00CF1A43"/>
    <w:rsid w:val="00CF2BFF"/>
    <w:rsid w:val="00CF4CDE"/>
    <w:rsid w:val="00CF5160"/>
    <w:rsid w:val="00CF68F1"/>
    <w:rsid w:val="00CF6BFA"/>
    <w:rsid w:val="00CF6D62"/>
    <w:rsid w:val="00CF71F9"/>
    <w:rsid w:val="00D00058"/>
    <w:rsid w:val="00D01B91"/>
    <w:rsid w:val="00D0218E"/>
    <w:rsid w:val="00D021B5"/>
    <w:rsid w:val="00D02F33"/>
    <w:rsid w:val="00D03119"/>
    <w:rsid w:val="00D034F0"/>
    <w:rsid w:val="00D0361F"/>
    <w:rsid w:val="00D05796"/>
    <w:rsid w:val="00D068FB"/>
    <w:rsid w:val="00D07BC7"/>
    <w:rsid w:val="00D07ED4"/>
    <w:rsid w:val="00D10344"/>
    <w:rsid w:val="00D109A3"/>
    <w:rsid w:val="00D12C67"/>
    <w:rsid w:val="00D13B70"/>
    <w:rsid w:val="00D14C87"/>
    <w:rsid w:val="00D15095"/>
    <w:rsid w:val="00D151C3"/>
    <w:rsid w:val="00D1584C"/>
    <w:rsid w:val="00D17446"/>
    <w:rsid w:val="00D17C5F"/>
    <w:rsid w:val="00D2085B"/>
    <w:rsid w:val="00D2095C"/>
    <w:rsid w:val="00D20F53"/>
    <w:rsid w:val="00D2144D"/>
    <w:rsid w:val="00D21850"/>
    <w:rsid w:val="00D219DA"/>
    <w:rsid w:val="00D2238D"/>
    <w:rsid w:val="00D22651"/>
    <w:rsid w:val="00D2275C"/>
    <w:rsid w:val="00D2285D"/>
    <w:rsid w:val="00D2348A"/>
    <w:rsid w:val="00D235A3"/>
    <w:rsid w:val="00D24064"/>
    <w:rsid w:val="00D24C7B"/>
    <w:rsid w:val="00D24CC5"/>
    <w:rsid w:val="00D252F8"/>
    <w:rsid w:val="00D26170"/>
    <w:rsid w:val="00D2660F"/>
    <w:rsid w:val="00D27186"/>
    <w:rsid w:val="00D27353"/>
    <w:rsid w:val="00D30D27"/>
    <w:rsid w:val="00D31C0A"/>
    <w:rsid w:val="00D31C1C"/>
    <w:rsid w:val="00D32C32"/>
    <w:rsid w:val="00D33152"/>
    <w:rsid w:val="00D3323C"/>
    <w:rsid w:val="00D3375D"/>
    <w:rsid w:val="00D33BB1"/>
    <w:rsid w:val="00D33CD4"/>
    <w:rsid w:val="00D355AF"/>
    <w:rsid w:val="00D36030"/>
    <w:rsid w:val="00D36B0D"/>
    <w:rsid w:val="00D371B0"/>
    <w:rsid w:val="00D3721B"/>
    <w:rsid w:val="00D4002F"/>
    <w:rsid w:val="00D402AD"/>
    <w:rsid w:val="00D41D31"/>
    <w:rsid w:val="00D44B0A"/>
    <w:rsid w:val="00D44E89"/>
    <w:rsid w:val="00D455EF"/>
    <w:rsid w:val="00D468C5"/>
    <w:rsid w:val="00D46C4C"/>
    <w:rsid w:val="00D46C76"/>
    <w:rsid w:val="00D46DB6"/>
    <w:rsid w:val="00D46E60"/>
    <w:rsid w:val="00D4790A"/>
    <w:rsid w:val="00D47E7E"/>
    <w:rsid w:val="00D50A9A"/>
    <w:rsid w:val="00D514CA"/>
    <w:rsid w:val="00D5158E"/>
    <w:rsid w:val="00D56B49"/>
    <w:rsid w:val="00D57A58"/>
    <w:rsid w:val="00D60009"/>
    <w:rsid w:val="00D60146"/>
    <w:rsid w:val="00D612A8"/>
    <w:rsid w:val="00D6202D"/>
    <w:rsid w:val="00D6211C"/>
    <w:rsid w:val="00D66737"/>
    <w:rsid w:val="00D70CE9"/>
    <w:rsid w:val="00D71E4F"/>
    <w:rsid w:val="00D722D4"/>
    <w:rsid w:val="00D727C6"/>
    <w:rsid w:val="00D72CF8"/>
    <w:rsid w:val="00D7332E"/>
    <w:rsid w:val="00D73496"/>
    <w:rsid w:val="00D74AC0"/>
    <w:rsid w:val="00D774F3"/>
    <w:rsid w:val="00D77B4D"/>
    <w:rsid w:val="00D77C07"/>
    <w:rsid w:val="00D800A9"/>
    <w:rsid w:val="00D80362"/>
    <w:rsid w:val="00D8039E"/>
    <w:rsid w:val="00D81C36"/>
    <w:rsid w:val="00D83751"/>
    <w:rsid w:val="00D83D08"/>
    <w:rsid w:val="00D84F99"/>
    <w:rsid w:val="00D860C4"/>
    <w:rsid w:val="00D8698D"/>
    <w:rsid w:val="00D869B2"/>
    <w:rsid w:val="00D86CCC"/>
    <w:rsid w:val="00D877A2"/>
    <w:rsid w:val="00D87B1E"/>
    <w:rsid w:val="00D90596"/>
    <w:rsid w:val="00D91973"/>
    <w:rsid w:val="00D91DEE"/>
    <w:rsid w:val="00D91F07"/>
    <w:rsid w:val="00D9246F"/>
    <w:rsid w:val="00D92E68"/>
    <w:rsid w:val="00D92EFD"/>
    <w:rsid w:val="00D939AD"/>
    <w:rsid w:val="00D9461D"/>
    <w:rsid w:val="00D9463C"/>
    <w:rsid w:val="00D94D4F"/>
    <w:rsid w:val="00D95255"/>
    <w:rsid w:val="00D95562"/>
    <w:rsid w:val="00D955F7"/>
    <w:rsid w:val="00D97A75"/>
    <w:rsid w:val="00D97BD4"/>
    <w:rsid w:val="00D97C34"/>
    <w:rsid w:val="00D97E5B"/>
    <w:rsid w:val="00DA34D5"/>
    <w:rsid w:val="00DA36A6"/>
    <w:rsid w:val="00DA39FD"/>
    <w:rsid w:val="00DA41FB"/>
    <w:rsid w:val="00DA6390"/>
    <w:rsid w:val="00DA6833"/>
    <w:rsid w:val="00DA6C09"/>
    <w:rsid w:val="00DA6D49"/>
    <w:rsid w:val="00DA73FB"/>
    <w:rsid w:val="00DA75FC"/>
    <w:rsid w:val="00DA7821"/>
    <w:rsid w:val="00DB0CB2"/>
    <w:rsid w:val="00DB0F36"/>
    <w:rsid w:val="00DB28AA"/>
    <w:rsid w:val="00DB43C0"/>
    <w:rsid w:val="00DB554A"/>
    <w:rsid w:val="00DB5B95"/>
    <w:rsid w:val="00DB6830"/>
    <w:rsid w:val="00DB6F5C"/>
    <w:rsid w:val="00DC0DD5"/>
    <w:rsid w:val="00DC1B59"/>
    <w:rsid w:val="00DC29C5"/>
    <w:rsid w:val="00DC453A"/>
    <w:rsid w:val="00DC6052"/>
    <w:rsid w:val="00DC6EE0"/>
    <w:rsid w:val="00DC7DA0"/>
    <w:rsid w:val="00DD078C"/>
    <w:rsid w:val="00DD0803"/>
    <w:rsid w:val="00DD0DD6"/>
    <w:rsid w:val="00DD0EA7"/>
    <w:rsid w:val="00DD1D4E"/>
    <w:rsid w:val="00DD1F07"/>
    <w:rsid w:val="00DD2E1C"/>
    <w:rsid w:val="00DD3144"/>
    <w:rsid w:val="00DD3AC1"/>
    <w:rsid w:val="00DD404A"/>
    <w:rsid w:val="00DD47DF"/>
    <w:rsid w:val="00DD5135"/>
    <w:rsid w:val="00DD56F8"/>
    <w:rsid w:val="00DD5B76"/>
    <w:rsid w:val="00DD72E5"/>
    <w:rsid w:val="00DD73B0"/>
    <w:rsid w:val="00DE0600"/>
    <w:rsid w:val="00DE0E1D"/>
    <w:rsid w:val="00DE0E57"/>
    <w:rsid w:val="00DE1267"/>
    <w:rsid w:val="00DE1607"/>
    <w:rsid w:val="00DE1969"/>
    <w:rsid w:val="00DE1C54"/>
    <w:rsid w:val="00DE4675"/>
    <w:rsid w:val="00DE5183"/>
    <w:rsid w:val="00DE5EEC"/>
    <w:rsid w:val="00DE7C78"/>
    <w:rsid w:val="00DE7FF8"/>
    <w:rsid w:val="00DF14BC"/>
    <w:rsid w:val="00DF189C"/>
    <w:rsid w:val="00DF1D60"/>
    <w:rsid w:val="00DF254A"/>
    <w:rsid w:val="00DF286A"/>
    <w:rsid w:val="00DF356D"/>
    <w:rsid w:val="00DF4CA0"/>
    <w:rsid w:val="00DF5983"/>
    <w:rsid w:val="00DF63B4"/>
    <w:rsid w:val="00DF6899"/>
    <w:rsid w:val="00DF721B"/>
    <w:rsid w:val="00E0029C"/>
    <w:rsid w:val="00E007CE"/>
    <w:rsid w:val="00E02065"/>
    <w:rsid w:val="00E029E4"/>
    <w:rsid w:val="00E02CC8"/>
    <w:rsid w:val="00E02D99"/>
    <w:rsid w:val="00E02EB5"/>
    <w:rsid w:val="00E02EEA"/>
    <w:rsid w:val="00E03CEF"/>
    <w:rsid w:val="00E03CFF"/>
    <w:rsid w:val="00E049B1"/>
    <w:rsid w:val="00E04C2D"/>
    <w:rsid w:val="00E05768"/>
    <w:rsid w:val="00E05A39"/>
    <w:rsid w:val="00E060B8"/>
    <w:rsid w:val="00E06548"/>
    <w:rsid w:val="00E108A5"/>
    <w:rsid w:val="00E10B15"/>
    <w:rsid w:val="00E10EA4"/>
    <w:rsid w:val="00E11391"/>
    <w:rsid w:val="00E1301C"/>
    <w:rsid w:val="00E13721"/>
    <w:rsid w:val="00E13D19"/>
    <w:rsid w:val="00E1552D"/>
    <w:rsid w:val="00E1562F"/>
    <w:rsid w:val="00E22BEC"/>
    <w:rsid w:val="00E2306B"/>
    <w:rsid w:val="00E247D7"/>
    <w:rsid w:val="00E25FCF"/>
    <w:rsid w:val="00E26F36"/>
    <w:rsid w:val="00E273E4"/>
    <w:rsid w:val="00E27719"/>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521A"/>
    <w:rsid w:val="00E45ACF"/>
    <w:rsid w:val="00E47F00"/>
    <w:rsid w:val="00E508BA"/>
    <w:rsid w:val="00E509B2"/>
    <w:rsid w:val="00E51054"/>
    <w:rsid w:val="00E51EEF"/>
    <w:rsid w:val="00E524AF"/>
    <w:rsid w:val="00E529C6"/>
    <w:rsid w:val="00E53A08"/>
    <w:rsid w:val="00E55727"/>
    <w:rsid w:val="00E56045"/>
    <w:rsid w:val="00E56832"/>
    <w:rsid w:val="00E60452"/>
    <w:rsid w:val="00E61585"/>
    <w:rsid w:val="00E617D6"/>
    <w:rsid w:val="00E63B0F"/>
    <w:rsid w:val="00E63EB9"/>
    <w:rsid w:val="00E6449C"/>
    <w:rsid w:val="00E644DD"/>
    <w:rsid w:val="00E6557D"/>
    <w:rsid w:val="00E65949"/>
    <w:rsid w:val="00E65F1E"/>
    <w:rsid w:val="00E66386"/>
    <w:rsid w:val="00E665E3"/>
    <w:rsid w:val="00E67AF1"/>
    <w:rsid w:val="00E70AA5"/>
    <w:rsid w:val="00E70B08"/>
    <w:rsid w:val="00E71037"/>
    <w:rsid w:val="00E71B5B"/>
    <w:rsid w:val="00E720BB"/>
    <w:rsid w:val="00E72630"/>
    <w:rsid w:val="00E7274E"/>
    <w:rsid w:val="00E729CC"/>
    <w:rsid w:val="00E739C4"/>
    <w:rsid w:val="00E742E6"/>
    <w:rsid w:val="00E748D7"/>
    <w:rsid w:val="00E74914"/>
    <w:rsid w:val="00E75476"/>
    <w:rsid w:val="00E7666B"/>
    <w:rsid w:val="00E76FF0"/>
    <w:rsid w:val="00E774DE"/>
    <w:rsid w:val="00E77AA0"/>
    <w:rsid w:val="00E77C83"/>
    <w:rsid w:val="00E77C91"/>
    <w:rsid w:val="00E814B1"/>
    <w:rsid w:val="00E82A10"/>
    <w:rsid w:val="00E82DE2"/>
    <w:rsid w:val="00E833C1"/>
    <w:rsid w:val="00E83B9E"/>
    <w:rsid w:val="00E849C6"/>
    <w:rsid w:val="00E84EDB"/>
    <w:rsid w:val="00E86340"/>
    <w:rsid w:val="00E86389"/>
    <w:rsid w:val="00E8648A"/>
    <w:rsid w:val="00E86834"/>
    <w:rsid w:val="00E9063F"/>
    <w:rsid w:val="00E90663"/>
    <w:rsid w:val="00E90E61"/>
    <w:rsid w:val="00E918FE"/>
    <w:rsid w:val="00E92372"/>
    <w:rsid w:val="00E937EA"/>
    <w:rsid w:val="00E93C01"/>
    <w:rsid w:val="00E94EF6"/>
    <w:rsid w:val="00E955A6"/>
    <w:rsid w:val="00E95A77"/>
    <w:rsid w:val="00E96557"/>
    <w:rsid w:val="00E96EA9"/>
    <w:rsid w:val="00E9766D"/>
    <w:rsid w:val="00E97EEB"/>
    <w:rsid w:val="00EA0ADD"/>
    <w:rsid w:val="00EA0B2D"/>
    <w:rsid w:val="00EA1BBC"/>
    <w:rsid w:val="00EA272B"/>
    <w:rsid w:val="00EA3862"/>
    <w:rsid w:val="00EA404F"/>
    <w:rsid w:val="00EA41D0"/>
    <w:rsid w:val="00EA4364"/>
    <w:rsid w:val="00EA4444"/>
    <w:rsid w:val="00EA5C6A"/>
    <w:rsid w:val="00EA6D78"/>
    <w:rsid w:val="00EA7067"/>
    <w:rsid w:val="00EB01A0"/>
    <w:rsid w:val="00EB0DED"/>
    <w:rsid w:val="00EB13BB"/>
    <w:rsid w:val="00EB13E6"/>
    <w:rsid w:val="00EB1796"/>
    <w:rsid w:val="00EB3DC1"/>
    <w:rsid w:val="00EB40F5"/>
    <w:rsid w:val="00EB57FA"/>
    <w:rsid w:val="00EB5BB3"/>
    <w:rsid w:val="00EB62A5"/>
    <w:rsid w:val="00EB6B38"/>
    <w:rsid w:val="00EB6D72"/>
    <w:rsid w:val="00EC024E"/>
    <w:rsid w:val="00EC04E7"/>
    <w:rsid w:val="00EC106A"/>
    <w:rsid w:val="00EC18FC"/>
    <w:rsid w:val="00EC4177"/>
    <w:rsid w:val="00EC47BD"/>
    <w:rsid w:val="00EC5DC6"/>
    <w:rsid w:val="00EC68AD"/>
    <w:rsid w:val="00EC6C61"/>
    <w:rsid w:val="00ED019E"/>
    <w:rsid w:val="00ED2C25"/>
    <w:rsid w:val="00ED35AF"/>
    <w:rsid w:val="00ED3DA1"/>
    <w:rsid w:val="00ED3F30"/>
    <w:rsid w:val="00ED51C1"/>
    <w:rsid w:val="00EE0058"/>
    <w:rsid w:val="00EE0FA5"/>
    <w:rsid w:val="00EE170D"/>
    <w:rsid w:val="00EE26D5"/>
    <w:rsid w:val="00EE28EC"/>
    <w:rsid w:val="00EE500D"/>
    <w:rsid w:val="00EE5B1B"/>
    <w:rsid w:val="00EE6CD4"/>
    <w:rsid w:val="00EE7B9E"/>
    <w:rsid w:val="00EE7C3C"/>
    <w:rsid w:val="00EF0291"/>
    <w:rsid w:val="00EF11C0"/>
    <w:rsid w:val="00EF1D72"/>
    <w:rsid w:val="00EF34E5"/>
    <w:rsid w:val="00EF392E"/>
    <w:rsid w:val="00EF4393"/>
    <w:rsid w:val="00EF447E"/>
    <w:rsid w:val="00EF5024"/>
    <w:rsid w:val="00EF5364"/>
    <w:rsid w:val="00EF5C98"/>
    <w:rsid w:val="00EF75B6"/>
    <w:rsid w:val="00F00855"/>
    <w:rsid w:val="00F009D6"/>
    <w:rsid w:val="00F00FA9"/>
    <w:rsid w:val="00F01488"/>
    <w:rsid w:val="00F0195A"/>
    <w:rsid w:val="00F039E1"/>
    <w:rsid w:val="00F0454C"/>
    <w:rsid w:val="00F0489C"/>
    <w:rsid w:val="00F06E81"/>
    <w:rsid w:val="00F06F11"/>
    <w:rsid w:val="00F107E0"/>
    <w:rsid w:val="00F108E1"/>
    <w:rsid w:val="00F1175E"/>
    <w:rsid w:val="00F1345D"/>
    <w:rsid w:val="00F144E8"/>
    <w:rsid w:val="00F15309"/>
    <w:rsid w:val="00F153B0"/>
    <w:rsid w:val="00F1642D"/>
    <w:rsid w:val="00F173D5"/>
    <w:rsid w:val="00F17AFF"/>
    <w:rsid w:val="00F17FC0"/>
    <w:rsid w:val="00F2043F"/>
    <w:rsid w:val="00F209F1"/>
    <w:rsid w:val="00F25D73"/>
    <w:rsid w:val="00F260F7"/>
    <w:rsid w:val="00F26575"/>
    <w:rsid w:val="00F30076"/>
    <w:rsid w:val="00F30196"/>
    <w:rsid w:val="00F30684"/>
    <w:rsid w:val="00F31E3F"/>
    <w:rsid w:val="00F3299B"/>
    <w:rsid w:val="00F33F6B"/>
    <w:rsid w:val="00F3423F"/>
    <w:rsid w:val="00F3442D"/>
    <w:rsid w:val="00F34FFA"/>
    <w:rsid w:val="00F3717D"/>
    <w:rsid w:val="00F40BCB"/>
    <w:rsid w:val="00F40E25"/>
    <w:rsid w:val="00F41078"/>
    <w:rsid w:val="00F41E48"/>
    <w:rsid w:val="00F42841"/>
    <w:rsid w:val="00F440E4"/>
    <w:rsid w:val="00F44E8F"/>
    <w:rsid w:val="00F46B92"/>
    <w:rsid w:val="00F47752"/>
    <w:rsid w:val="00F47E42"/>
    <w:rsid w:val="00F47EB1"/>
    <w:rsid w:val="00F51842"/>
    <w:rsid w:val="00F5197B"/>
    <w:rsid w:val="00F519F8"/>
    <w:rsid w:val="00F5216E"/>
    <w:rsid w:val="00F52851"/>
    <w:rsid w:val="00F52F47"/>
    <w:rsid w:val="00F539F9"/>
    <w:rsid w:val="00F543F7"/>
    <w:rsid w:val="00F566A3"/>
    <w:rsid w:val="00F5753D"/>
    <w:rsid w:val="00F60498"/>
    <w:rsid w:val="00F6065F"/>
    <w:rsid w:val="00F608EB"/>
    <w:rsid w:val="00F633F9"/>
    <w:rsid w:val="00F64084"/>
    <w:rsid w:val="00F6635F"/>
    <w:rsid w:val="00F676F8"/>
    <w:rsid w:val="00F67DBE"/>
    <w:rsid w:val="00F70468"/>
    <w:rsid w:val="00F70922"/>
    <w:rsid w:val="00F70C92"/>
    <w:rsid w:val="00F70DD8"/>
    <w:rsid w:val="00F71126"/>
    <w:rsid w:val="00F715A9"/>
    <w:rsid w:val="00F717B5"/>
    <w:rsid w:val="00F72027"/>
    <w:rsid w:val="00F7286C"/>
    <w:rsid w:val="00F72882"/>
    <w:rsid w:val="00F72BEE"/>
    <w:rsid w:val="00F73353"/>
    <w:rsid w:val="00F741CA"/>
    <w:rsid w:val="00F74D2B"/>
    <w:rsid w:val="00F76BA4"/>
    <w:rsid w:val="00F817E7"/>
    <w:rsid w:val="00F819A6"/>
    <w:rsid w:val="00F82376"/>
    <w:rsid w:val="00F83B96"/>
    <w:rsid w:val="00F83E8D"/>
    <w:rsid w:val="00F841DF"/>
    <w:rsid w:val="00F8544A"/>
    <w:rsid w:val="00F86C97"/>
    <w:rsid w:val="00F86E3D"/>
    <w:rsid w:val="00F87A3A"/>
    <w:rsid w:val="00F90AB2"/>
    <w:rsid w:val="00F90CA0"/>
    <w:rsid w:val="00F91065"/>
    <w:rsid w:val="00F916BE"/>
    <w:rsid w:val="00F9302F"/>
    <w:rsid w:val="00F93D17"/>
    <w:rsid w:val="00F943CF"/>
    <w:rsid w:val="00F94840"/>
    <w:rsid w:val="00F95395"/>
    <w:rsid w:val="00F961A6"/>
    <w:rsid w:val="00F96884"/>
    <w:rsid w:val="00F96958"/>
    <w:rsid w:val="00F97A0B"/>
    <w:rsid w:val="00FA001F"/>
    <w:rsid w:val="00FA1D0B"/>
    <w:rsid w:val="00FA3D2C"/>
    <w:rsid w:val="00FA42CF"/>
    <w:rsid w:val="00FA5D2B"/>
    <w:rsid w:val="00FA645B"/>
    <w:rsid w:val="00FA6715"/>
    <w:rsid w:val="00FA6EB9"/>
    <w:rsid w:val="00FB0C82"/>
    <w:rsid w:val="00FB0F26"/>
    <w:rsid w:val="00FB2F69"/>
    <w:rsid w:val="00FB3524"/>
    <w:rsid w:val="00FB3846"/>
    <w:rsid w:val="00FB58A1"/>
    <w:rsid w:val="00FC3421"/>
    <w:rsid w:val="00FC4E06"/>
    <w:rsid w:val="00FC4E18"/>
    <w:rsid w:val="00FC739F"/>
    <w:rsid w:val="00FC7822"/>
    <w:rsid w:val="00FC7F72"/>
    <w:rsid w:val="00FD00A6"/>
    <w:rsid w:val="00FD2325"/>
    <w:rsid w:val="00FD2EBA"/>
    <w:rsid w:val="00FD30D4"/>
    <w:rsid w:val="00FD322A"/>
    <w:rsid w:val="00FD385B"/>
    <w:rsid w:val="00FD3980"/>
    <w:rsid w:val="00FD45B0"/>
    <w:rsid w:val="00FD5368"/>
    <w:rsid w:val="00FD6019"/>
    <w:rsid w:val="00FD681D"/>
    <w:rsid w:val="00FE1943"/>
    <w:rsid w:val="00FE3E3D"/>
    <w:rsid w:val="00FE6498"/>
    <w:rsid w:val="00FE68D4"/>
    <w:rsid w:val="00FE6931"/>
    <w:rsid w:val="00FE7BF1"/>
    <w:rsid w:val="00FF01DE"/>
    <w:rsid w:val="00FF047C"/>
    <w:rsid w:val="00FF1B3A"/>
    <w:rsid w:val="00FF1FBD"/>
    <w:rsid w:val="00FF26E4"/>
    <w:rsid w:val="00FF2E52"/>
    <w:rsid w:val="00FF3748"/>
    <w:rsid w:val="00FF3C3B"/>
    <w:rsid w:val="00FF4F5E"/>
    <w:rsid w:val="00FF4F8A"/>
    <w:rsid w:val="00FF5490"/>
    <w:rsid w:val="00FF5AE0"/>
    <w:rsid w:val="00FF5D22"/>
    <w:rsid w:val="00FF6489"/>
    <w:rsid w:val="00FF6FEB"/>
    <w:rsid w:val="01331AA5"/>
    <w:rsid w:val="01D76D14"/>
    <w:rsid w:val="02AE0153"/>
    <w:rsid w:val="02B26296"/>
    <w:rsid w:val="034321D6"/>
    <w:rsid w:val="038D1FEF"/>
    <w:rsid w:val="053C6EDC"/>
    <w:rsid w:val="063F1FB7"/>
    <w:rsid w:val="07126147"/>
    <w:rsid w:val="07DC47A6"/>
    <w:rsid w:val="08833439"/>
    <w:rsid w:val="0A5C4C58"/>
    <w:rsid w:val="0A79028B"/>
    <w:rsid w:val="0AE8346F"/>
    <w:rsid w:val="0B1B25CA"/>
    <w:rsid w:val="0BF37874"/>
    <w:rsid w:val="0C6A7427"/>
    <w:rsid w:val="0CAD420B"/>
    <w:rsid w:val="0E2C514F"/>
    <w:rsid w:val="0EC72C78"/>
    <w:rsid w:val="0F0F7112"/>
    <w:rsid w:val="0FE7320B"/>
    <w:rsid w:val="0FF948FA"/>
    <w:rsid w:val="10584F3C"/>
    <w:rsid w:val="10C24925"/>
    <w:rsid w:val="10C507CF"/>
    <w:rsid w:val="114E27DF"/>
    <w:rsid w:val="11607F40"/>
    <w:rsid w:val="11CD6420"/>
    <w:rsid w:val="12175C35"/>
    <w:rsid w:val="128068AB"/>
    <w:rsid w:val="129645AF"/>
    <w:rsid w:val="1477519E"/>
    <w:rsid w:val="14B60D36"/>
    <w:rsid w:val="159450D8"/>
    <w:rsid w:val="15EE50E0"/>
    <w:rsid w:val="15F97BD8"/>
    <w:rsid w:val="16DC225A"/>
    <w:rsid w:val="18BA6E76"/>
    <w:rsid w:val="19D702B2"/>
    <w:rsid w:val="1A481F3D"/>
    <w:rsid w:val="1A6A197F"/>
    <w:rsid w:val="1A8B7067"/>
    <w:rsid w:val="1B3D4B7A"/>
    <w:rsid w:val="1BAD2CF8"/>
    <w:rsid w:val="1BCC78A6"/>
    <w:rsid w:val="1C5E1F82"/>
    <w:rsid w:val="1C874183"/>
    <w:rsid w:val="1E3E2007"/>
    <w:rsid w:val="1F292445"/>
    <w:rsid w:val="1F643D0D"/>
    <w:rsid w:val="205B457D"/>
    <w:rsid w:val="206A6B9C"/>
    <w:rsid w:val="20863146"/>
    <w:rsid w:val="20A63170"/>
    <w:rsid w:val="20C610AA"/>
    <w:rsid w:val="20EB3B24"/>
    <w:rsid w:val="21D13627"/>
    <w:rsid w:val="22BA56A5"/>
    <w:rsid w:val="22DD624C"/>
    <w:rsid w:val="24282908"/>
    <w:rsid w:val="248875F1"/>
    <w:rsid w:val="257C5B4B"/>
    <w:rsid w:val="25F623DD"/>
    <w:rsid w:val="262E0B04"/>
    <w:rsid w:val="268D7140"/>
    <w:rsid w:val="269945F2"/>
    <w:rsid w:val="27434B05"/>
    <w:rsid w:val="28162410"/>
    <w:rsid w:val="2861730E"/>
    <w:rsid w:val="288A46A4"/>
    <w:rsid w:val="29543F45"/>
    <w:rsid w:val="29672F8A"/>
    <w:rsid w:val="2AB0726A"/>
    <w:rsid w:val="2B004385"/>
    <w:rsid w:val="2BE6660F"/>
    <w:rsid w:val="2C44486D"/>
    <w:rsid w:val="2D4731D5"/>
    <w:rsid w:val="2D53758B"/>
    <w:rsid w:val="2D75227F"/>
    <w:rsid w:val="2E573E24"/>
    <w:rsid w:val="2E791CCC"/>
    <w:rsid w:val="2E8C3146"/>
    <w:rsid w:val="2EFE507F"/>
    <w:rsid w:val="2F0A19AE"/>
    <w:rsid w:val="2FD406A1"/>
    <w:rsid w:val="2FE31756"/>
    <w:rsid w:val="2FF206EC"/>
    <w:rsid w:val="302E54F0"/>
    <w:rsid w:val="303B772F"/>
    <w:rsid w:val="30971339"/>
    <w:rsid w:val="310F441D"/>
    <w:rsid w:val="31252F48"/>
    <w:rsid w:val="322A1B90"/>
    <w:rsid w:val="32731C58"/>
    <w:rsid w:val="32992B6C"/>
    <w:rsid w:val="32E81634"/>
    <w:rsid w:val="33330E3F"/>
    <w:rsid w:val="33E735DA"/>
    <w:rsid w:val="34261D8B"/>
    <w:rsid w:val="343A17A7"/>
    <w:rsid w:val="34AC6C79"/>
    <w:rsid w:val="34E07B51"/>
    <w:rsid w:val="34F91C2C"/>
    <w:rsid w:val="35035722"/>
    <w:rsid w:val="358A65D4"/>
    <w:rsid w:val="35D5415D"/>
    <w:rsid w:val="376670A8"/>
    <w:rsid w:val="37850421"/>
    <w:rsid w:val="387238C0"/>
    <w:rsid w:val="38C76AF5"/>
    <w:rsid w:val="38F530FA"/>
    <w:rsid w:val="397C5998"/>
    <w:rsid w:val="39D16077"/>
    <w:rsid w:val="39E60BE9"/>
    <w:rsid w:val="39FA4695"/>
    <w:rsid w:val="39FF0C26"/>
    <w:rsid w:val="3AA23FE2"/>
    <w:rsid w:val="3AAB5887"/>
    <w:rsid w:val="3B8E0546"/>
    <w:rsid w:val="3BC231CE"/>
    <w:rsid w:val="3D6E7A5A"/>
    <w:rsid w:val="3D921683"/>
    <w:rsid w:val="3E0B08DA"/>
    <w:rsid w:val="3E9622D1"/>
    <w:rsid w:val="3EEE694E"/>
    <w:rsid w:val="40417272"/>
    <w:rsid w:val="40DA44F3"/>
    <w:rsid w:val="40F511D1"/>
    <w:rsid w:val="420E7F37"/>
    <w:rsid w:val="42260848"/>
    <w:rsid w:val="42834542"/>
    <w:rsid w:val="42E32B97"/>
    <w:rsid w:val="431D774E"/>
    <w:rsid w:val="43AC0516"/>
    <w:rsid w:val="443A08CF"/>
    <w:rsid w:val="450B1E4C"/>
    <w:rsid w:val="45647867"/>
    <w:rsid w:val="45676061"/>
    <w:rsid w:val="4594599D"/>
    <w:rsid w:val="45C24D48"/>
    <w:rsid w:val="465909B1"/>
    <w:rsid w:val="465C5813"/>
    <w:rsid w:val="46AC63FD"/>
    <w:rsid w:val="47C87B80"/>
    <w:rsid w:val="47F67A38"/>
    <w:rsid w:val="48717162"/>
    <w:rsid w:val="4881365F"/>
    <w:rsid w:val="4ADA02F6"/>
    <w:rsid w:val="4B2B054B"/>
    <w:rsid w:val="4B940718"/>
    <w:rsid w:val="4BC609D6"/>
    <w:rsid w:val="4CB30F20"/>
    <w:rsid w:val="4CF62D51"/>
    <w:rsid w:val="4D090A1F"/>
    <w:rsid w:val="4DF6743A"/>
    <w:rsid w:val="4E113ACA"/>
    <w:rsid w:val="4F0F2038"/>
    <w:rsid w:val="4F1A3585"/>
    <w:rsid w:val="50965B62"/>
    <w:rsid w:val="51D4424E"/>
    <w:rsid w:val="5296438C"/>
    <w:rsid w:val="52E17E43"/>
    <w:rsid w:val="52E56B3A"/>
    <w:rsid w:val="530E32C0"/>
    <w:rsid w:val="53FD6EAA"/>
    <w:rsid w:val="54EA0B06"/>
    <w:rsid w:val="54F3488D"/>
    <w:rsid w:val="550A17D8"/>
    <w:rsid w:val="55D874A5"/>
    <w:rsid w:val="566A0472"/>
    <w:rsid w:val="574D00A2"/>
    <w:rsid w:val="57A44166"/>
    <w:rsid w:val="586C0114"/>
    <w:rsid w:val="58CE435E"/>
    <w:rsid w:val="590429E2"/>
    <w:rsid w:val="5B8B4F81"/>
    <w:rsid w:val="5B8F2D64"/>
    <w:rsid w:val="5C2814EF"/>
    <w:rsid w:val="5C4E644E"/>
    <w:rsid w:val="5C6D3D3E"/>
    <w:rsid w:val="5CBE4C44"/>
    <w:rsid w:val="5CD00A1F"/>
    <w:rsid w:val="5D6410B1"/>
    <w:rsid w:val="5EA12E72"/>
    <w:rsid w:val="5F8549CC"/>
    <w:rsid w:val="5FA70D19"/>
    <w:rsid w:val="6022041E"/>
    <w:rsid w:val="607F36C8"/>
    <w:rsid w:val="61580917"/>
    <w:rsid w:val="61CD3A9D"/>
    <w:rsid w:val="63DF20C8"/>
    <w:rsid w:val="65016C82"/>
    <w:rsid w:val="65DE2082"/>
    <w:rsid w:val="67136D1B"/>
    <w:rsid w:val="682671F3"/>
    <w:rsid w:val="68AC2EBA"/>
    <w:rsid w:val="69084A18"/>
    <w:rsid w:val="69A049DA"/>
    <w:rsid w:val="6A2D7FEB"/>
    <w:rsid w:val="6A3264C7"/>
    <w:rsid w:val="6A6264FE"/>
    <w:rsid w:val="6AB82895"/>
    <w:rsid w:val="6AE40D3E"/>
    <w:rsid w:val="6BA119AE"/>
    <w:rsid w:val="6BBD762D"/>
    <w:rsid w:val="6BEB1F0C"/>
    <w:rsid w:val="6CB11B23"/>
    <w:rsid w:val="6CD51520"/>
    <w:rsid w:val="6CF23714"/>
    <w:rsid w:val="6D5F2451"/>
    <w:rsid w:val="6DCE2C63"/>
    <w:rsid w:val="6F82128B"/>
    <w:rsid w:val="6F8A7712"/>
    <w:rsid w:val="6FC42A23"/>
    <w:rsid w:val="706F08F5"/>
    <w:rsid w:val="7071405C"/>
    <w:rsid w:val="70C35A0C"/>
    <w:rsid w:val="70ED74B0"/>
    <w:rsid w:val="71714F2D"/>
    <w:rsid w:val="71A10AF3"/>
    <w:rsid w:val="71BF106B"/>
    <w:rsid w:val="721839FE"/>
    <w:rsid w:val="73081261"/>
    <w:rsid w:val="73561C1E"/>
    <w:rsid w:val="748F2854"/>
    <w:rsid w:val="74AB5E25"/>
    <w:rsid w:val="76ED7A99"/>
    <w:rsid w:val="77801A50"/>
    <w:rsid w:val="78283975"/>
    <w:rsid w:val="78481BD2"/>
    <w:rsid w:val="7AA64929"/>
    <w:rsid w:val="7AB224EA"/>
    <w:rsid w:val="7AC1034B"/>
    <w:rsid w:val="7AF33A33"/>
    <w:rsid w:val="7B165F35"/>
    <w:rsid w:val="7B3E5AED"/>
    <w:rsid w:val="7B7F75A9"/>
    <w:rsid w:val="7B8C1B92"/>
    <w:rsid w:val="7BE35D46"/>
    <w:rsid w:val="7BF7214D"/>
    <w:rsid w:val="7BFA4BD8"/>
    <w:rsid w:val="7C451890"/>
    <w:rsid w:val="7CB80DB3"/>
    <w:rsid w:val="7D2D5128"/>
    <w:rsid w:val="7D337E93"/>
    <w:rsid w:val="7DB755F7"/>
    <w:rsid w:val="7F4217C1"/>
    <w:rsid w:val="7FFC29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9" w:semiHidden="0" w:name="heading 4"/>
    <w:lsdException w:qFormat="1" w:uiPriority="0" w:name="heading 5"/>
    <w:lsdException w:qFormat="1" w:unhideWhenUsed="0" w:uiPriority="0" w:semiHidden="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2"/>
    <w:qFormat/>
    <w:uiPriority w:val="0"/>
    <w:pPr>
      <w:keepNext/>
      <w:keepLines/>
      <w:spacing w:before="120" w:after="120"/>
      <w:ind w:left="100" w:leftChars="100" w:right="100" w:rightChars="100"/>
      <w:outlineLvl w:val="0"/>
    </w:pPr>
    <w:rPr>
      <w:b/>
      <w:bCs/>
      <w:kern w:val="44"/>
      <w:szCs w:val="44"/>
    </w:rPr>
  </w:style>
  <w:style w:type="paragraph" w:styleId="4">
    <w:name w:val="heading 2"/>
    <w:basedOn w:val="1"/>
    <w:next w:val="1"/>
    <w:link w:val="43"/>
    <w:qFormat/>
    <w:uiPriority w:val="0"/>
    <w:pPr>
      <w:keepNext/>
      <w:keepLines/>
      <w:spacing w:before="260" w:after="260" w:line="416" w:lineRule="auto"/>
      <w:outlineLvl w:val="1"/>
    </w:pPr>
    <w:rPr>
      <w:rFonts w:ascii="等线 Light" w:hAnsi="等线 Light" w:eastAsia="等线 Light"/>
      <w:b/>
      <w:bCs/>
      <w:sz w:val="32"/>
      <w:szCs w:val="32"/>
    </w:rPr>
  </w:style>
  <w:style w:type="paragraph" w:styleId="2">
    <w:name w:val="heading 3"/>
    <w:basedOn w:val="1"/>
    <w:next w:val="1"/>
    <w:link w:val="44"/>
    <w:qFormat/>
    <w:uiPriority w:val="9"/>
    <w:pPr>
      <w:keepNext/>
      <w:keepLines/>
      <w:spacing w:before="260" w:after="260" w:line="416" w:lineRule="auto"/>
      <w:outlineLvl w:val="2"/>
    </w:pPr>
    <w:rPr>
      <w:b/>
      <w:bCs/>
      <w:sz w:val="32"/>
      <w:szCs w:val="32"/>
    </w:rPr>
  </w:style>
  <w:style w:type="paragraph" w:styleId="5">
    <w:name w:val="heading 4"/>
    <w:basedOn w:val="1"/>
    <w:next w:val="1"/>
    <w:link w:val="45"/>
    <w:qFormat/>
    <w:uiPriority w:val="99"/>
    <w:pPr>
      <w:keepNext/>
      <w:keepLines/>
      <w:spacing w:before="280" w:after="290" w:line="376" w:lineRule="auto"/>
      <w:outlineLvl w:val="3"/>
    </w:pPr>
    <w:rPr>
      <w:rFonts w:ascii="等线 Light" w:hAnsi="等线 Light" w:eastAsia="等线 Light"/>
      <w:b/>
      <w:bCs/>
      <w:sz w:val="28"/>
      <w:szCs w:val="28"/>
    </w:rPr>
  </w:style>
  <w:style w:type="paragraph" w:styleId="6">
    <w:name w:val="heading 6"/>
    <w:basedOn w:val="1"/>
    <w:next w:val="1"/>
    <w:link w:val="46"/>
    <w:qFormat/>
    <w:uiPriority w:val="0"/>
    <w:pPr>
      <w:keepNext/>
      <w:keepLines/>
      <w:spacing w:before="240" w:after="64" w:line="320" w:lineRule="auto"/>
      <w:outlineLvl w:val="5"/>
    </w:pPr>
    <w:rPr>
      <w:rFonts w:ascii="等线 Light" w:hAnsi="等线 Light" w:eastAsia="等线 Light"/>
      <w:b/>
      <w:bCs/>
      <w:sz w:val="24"/>
    </w:rPr>
  </w:style>
  <w:style w:type="paragraph" w:styleId="7">
    <w:name w:val="heading 8"/>
    <w:basedOn w:val="1"/>
    <w:next w:val="1"/>
    <w:link w:val="47"/>
    <w:qFormat/>
    <w:uiPriority w:val="0"/>
    <w:pPr>
      <w:keepNext/>
      <w:keepLines/>
      <w:spacing w:before="240" w:after="64" w:line="320" w:lineRule="auto"/>
      <w:outlineLvl w:val="7"/>
    </w:pPr>
    <w:rPr>
      <w:rFonts w:ascii="等线 Light" w:hAnsi="等线 Light" w:eastAsia="等线 Light"/>
      <w:sz w:val="24"/>
    </w:rPr>
  </w:style>
  <w:style w:type="character" w:default="1" w:styleId="36">
    <w:name w:val="Default Paragraph Font"/>
    <w:semiHidden/>
    <w:unhideWhenUsed/>
    <w:qFormat/>
    <w:uiPriority w:val="1"/>
  </w:style>
  <w:style w:type="table" w:default="1" w:styleId="3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List 3"/>
    <w:basedOn w:val="1"/>
    <w:qFormat/>
    <w:uiPriority w:val="0"/>
    <w:pPr>
      <w:widowControl/>
      <w:ind w:left="100" w:leftChars="400" w:hanging="200" w:hangingChars="200"/>
      <w:contextualSpacing/>
      <w:jc w:val="left"/>
    </w:pPr>
    <w:rPr>
      <w:kern w:val="0"/>
      <w:sz w:val="20"/>
      <w:szCs w:val="20"/>
    </w:rPr>
  </w:style>
  <w:style w:type="paragraph" w:styleId="9">
    <w:name w:val="toc 7"/>
    <w:basedOn w:val="1"/>
    <w:next w:val="1"/>
    <w:unhideWhenUsed/>
    <w:qFormat/>
    <w:uiPriority w:val="39"/>
    <w:pPr>
      <w:ind w:left="2520" w:leftChars="1200"/>
    </w:pPr>
    <w:rPr>
      <w:rFonts w:ascii="等线" w:hAnsi="等线" w:eastAsia="等线"/>
      <w:szCs w:val="22"/>
    </w:rPr>
  </w:style>
  <w:style w:type="paragraph" w:styleId="10">
    <w:name w:val="Normal Indent"/>
    <w:basedOn w:val="1"/>
    <w:link w:val="48"/>
    <w:qFormat/>
    <w:uiPriority w:val="99"/>
    <w:pPr>
      <w:ind w:firstLine="420"/>
    </w:pPr>
    <w:rPr>
      <w:szCs w:val="20"/>
    </w:rPr>
  </w:style>
  <w:style w:type="paragraph" w:styleId="11">
    <w:name w:val="Document Map"/>
    <w:basedOn w:val="1"/>
    <w:link w:val="49"/>
    <w:qFormat/>
    <w:uiPriority w:val="0"/>
    <w:pPr>
      <w:shd w:val="clear" w:color="auto" w:fill="000080"/>
    </w:pPr>
  </w:style>
  <w:style w:type="paragraph" w:styleId="12">
    <w:name w:val="annotation text"/>
    <w:basedOn w:val="1"/>
    <w:link w:val="50"/>
    <w:qFormat/>
    <w:uiPriority w:val="0"/>
    <w:pPr>
      <w:jc w:val="left"/>
    </w:pPr>
  </w:style>
  <w:style w:type="paragraph" w:styleId="13">
    <w:name w:val="Body Text"/>
    <w:basedOn w:val="1"/>
    <w:link w:val="51"/>
    <w:qFormat/>
    <w:uiPriority w:val="0"/>
    <w:pPr>
      <w:spacing w:after="120"/>
    </w:pPr>
  </w:style>
  <w:style w:type="paragraph" w:styleId="14">
    <w:name w:val="Body Text Indent"/>
    <w:basedOn w:val="1"/>
    <w:next w:val="15"/>
    <w:link w:val="52"/>
    <w:qFormat/>
    <w:uiPriority w:val="99"/>
    <w:pPr>
      <w:spacing w:after="120"/>
      <w:ind w:left="420" w:leftChars="200"/>
    </w:pPr>
  </w:style>
  <w:style w:type="paragraph" w:styleId="15">
    <w:name w:val="Body Text First Indent 2"/>
    <w:basedOn w:val="14"/>
    <w:link w:val="100"/>
    <w:unhideWhenUsed/>
    <w:qFormat/>
    <w:uiPriority w:val="99"/>
    <w:pPr>
      <w:ind w:firstLine="420" w:firstLineChars="200"/>
    </w:pPr>
    <w:rPr>
      <w:rFonts w:ascii="Calibri" w:hAnsi="Calibri"/>
    </w:rPr>
  </w:style>
  <w:style w:type="paragraph" w:styleId="16">
    <w:name w:val="index 4"/>
    <w:basedOn w:val="1"/>
    <w:next w:val="1"/>
    <w:unhideWhenUsed/>
    <w:qFormat/>
    <w:uiPriority w:val="99"/>
    <w:pPr>
      <w:ind w:left="600" w:leftChars="600"/>
    </w:pPr>
    <w:rPr>
      <w:rFonts w:ascii="宋体"/>
      <w:b/>
      <w:kern w:val="0"/>
      <w:position w:val="-10"/>
      <w:sz w:val="24"/>
      <w:szCs w:val="20"/>
    </w:rPr>
  </w:style>
  <w:style w:type="paragraph" w:styleId="17">
    <w:name w:val="toc 5"/>
    <w:basedOn w:val="1"/>
    <w:next w:val="1"/>
    <w:unhideWhenUsed/>
    <w:qFormat/>
    <w:uiPriority w:val="39"/>
    <w:pPr>
      <w:ind w:left="1680" w:leftChars="800"/>
    </w:pPr>
    <w:rPr>
      <w:rFonts w:ascii="等线" w:hAnsi="等线" w:eastAsia="等线"/>
      <w:szCs w:val="22"/>
    </w:rPr>
  </w:style>
  <w:style w:type="paragraph" w:styleId="18">
    <w:name w:val="toc 3"/>
    <w:basedOn w:val="1"/>
    <w:next w:val="1"/>
    <w:unhideWhenUsed/>
    <w:qFormat/>
    <w:uiPriority w:val="39"/>
    <w:pPr>
      <w:widowControl/>
      <w:spacing w:after="100" w:line="259" w:lineRule="auto"/>
      <w:ind w:left="440"/>
      <w:jc w:val="left"/>
    </w:pPr>
    <w:rPr>
      <w:rFonts w:ascii="等线" w:hAnsi="等线" w:eastAsia="等线"/>
      <w:kern w:val="0"/>
      <w:sz w:val="22"/>
      <w:szCs w:val="22"/>
    </w:rPr>
  </w:style>
  <w:style w:type="paragraph" w:styleId="19">
    <w:name w:val="Plain Text"/>
    <w:basedOn w:val="1"/>
    <w:link w:val="53"/>
    <w:qFormat/>
    <w:uiPriority w:val="0"/>
    <w:rPr>
      <w:rFonts w:ascii="宋体" w:hAnsi="Courier New" w:cs="Courier New"/>
      <w:szCs w:val="21"/>
    </w:rPr>
  </w:style>
  <w:style w:type="paragraph" w:styleId="20">
    <w:name w:val="toc 8"/>
    <w:basedOn w:val="1"/>
    <w:next w:val="1"/>
    <w:unhideWhenUsed/>
    <w:qFormat/>
    <w:uiPriority w:val="39"/>
    <w:pPr>
      <w:ind w:left="2940" w:leftChars="1400"/>
    </w:pPr>
    <w:rPr>
      <w:rFonts w:ascii="等线" w:hAnsi="等线" w:eastAsia="等线"/>
      <w:szCs w:val="22"/>
    </w:rPr>
  </w:style>
  <w:style w:type="paragraph" w:styleId="21">
    <w:name w:val="Date"/>
    <w:basedOn w:val="1"/>
    <w:next w:val="1"/>
    <w:link w:val="54"/>
    <w:qFormat/>
    <w:uiPriority w:val="0"/>
    <w:rPr>
      <w:sz w:val="24"/>
      <w:szCs w:val="20"/>
    </w:rPr>
  </w:style>
  <w:style w:type="paragraph" w:styleId="22">
    <w:name w:val="Balloon Text"/>
    <w:basedOn w:val="1"/>
    <w:link w:val="55"/>
    <w:qFormat/>
    <w:uiPriority w:val="0"/>
    <w:rPr>
      <w:sz w:val="18"/>
      <w:szCs w:val="18"/>
    </w:rPr>
  </w:style>
  <w:style w:type="paragraph" w:styleId="23">
    <w:name w:val="footer"/>
    <w:basedOn w:val="1"/>
    <w:link w:val="56"/>
    <w:qFormat/>
    <w:uiPriority w:val="99"/>
    <w:pPr>
      <w:tabs>
        <w:tab w:val="center" w:pos="4153"/>
        <w:tab w:val="right" w:pos="8306"/>
      </w:tabs>
      <w:snapToGrid w:val="0"/>
      <w:jc w:val="left"/>
    </w:pPr>
    <w:rPr>
      <w:sz w:val="18"/>
      <w:szCs w:val="18"/>
    </w:rPr>
  </w:style>
  <w:style w:type="paragraph" w:styleId="24">
    <w:name w:val="header"/>
    <w:basedOn w:val="1"/>
    <w:link w:val="57"/>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99"/>
    <w:rPr>
      <w:rFonts w:ascii="仿宋_GB2312" w:eastAsia="仿宋_GB2312"/>
      <w:sz w:val="24"/>
    </w:rPr>
  </w:style>
  <w:style w:type="paragraph" w:styleId="26">
    <w:name w:val="toc 4"/>
    <w:basedOn w:val="1"/>
    <w:next w:val="1"/>
    <w:unhideWhenUsed/>
    <w:qFormat/>
    <w:uiPriority w:val="39"/>
    <w:pPr>
      <w:ind w:left="1260" w:leftChars="600"/>
    </w:pPr>
    <w:rPr>
      <w:rFonts w:ascii="等线" w:hAnsi="等线" w:eastAsia="等线"/>
      <w:szCs w:val="22"/>
    </w:rPr>
  </w:style>
  <w:style w:type="paragraph" w:styleId="27">
    <w:name w:val="toc 6"/>
    <w:basedOn w:val="1"/>
    <w:next w:val="1"/>
    <w:unhideWhenUsed/>
    <w:qFormat/>
    <w:uiPriority w:val="39"/>
    <w:pPr>
      <w:ind w:left="2100" w:leftChars="1000"/>
    </w:pPr>
    <w:rPr>
      <w:rFonts w:ascii="等线" w:hAnsi="等线" w:eastAsia="等线"/>
      <w:szCs w:val="22"/>
    </w:rPr>
  </w:style>
  <w:style w:type="paragraph" w:styleId="28">
    <w:name w:val="toc 2"/>
    <w:basedOn w:val="1"/>
    <w:next w:val="1"/>
    <w:unhideWhenUsed/>
    <w:qFormat/>
    <w:uiPriority w:val="39"/>
    <w:pPr>
      <w:widowControl/>
      <w:spacing w:after="100" w:line="259" w:lineRule="auto"/>
      <w:ind w:left="220"/>
      <w:jc w:val="left"/>
    </w:pPr>
    <w:rPr>
      <w:rFonts w:ascii="等线" w:hAnsi="等线" w:eastAsia="等线"/>
      <w:kern w:val="0"/>
      <w:sz w:val="22"/>
      <w:szCs w:val="22"/>
    </w:rPr>
  </w:style>
  <w:style w:type="paragraph" w:styleId="29">
    <w:name w:val="toc 9"/>
    <w:basedOn w:val="1"/>
    <w:next w:val="1"/>
    <w:unhideWhenUsed/>
    <w:qFormat/>
    <w:uiPriority w:val="39"/>
    <w:pPr>
      <w:ind w:left="3360" w:leftChars="1600"/>
    </w:pPr>
    <w:rPr>
      <w:rFonts w:ascii="等线" w:hAnsi="等线" w:eastAsia="等线"/>
      <w:szCs w:val="22"/>
    </w:rPr>
  </w:style>
  <w:style w:type="paragraph" w:styleId="30">
    <w:name w:val="Body Text 2"/>
    <w:basedOn w:val="1"/>
    <w:link w:val="58"/>
    <w:qFormat/>
    <w:uiPriority w:val="0"/>
    <w:pPr>
      <w:spacing w:after="120" w:line="480" w:lineRule="auto"/>
    </w:pPr>
    <w:rPr>
      <w:rFonts w:ascii="Calibri" w:hAnsi="Calibri"/>
    </w:rPr>
  </w:style>
  <w:style w:type="paragraph" w:styleId="31">
    <w:name w:val="Normal (Web)"/>
    <w:basedOn w:val="1"/>
    <w:qFormat/>
    <w:uiPriority w:val="0"/>
    <w:pPr>
      <w:widowControl/>
      <w:spacing w:before="100" w:beforeAutospacing="1" w:after="100" w:afterAutospacing="1"/>
      <w:jc w:val="left"/>
    </w:pPr>
    <w:rPr>
      <w:kern w:val="0"/>
      <w:sz w:val="24"/>
    </w:rPr>
  </w:style>
  <w:style w:type="paragraph" w:styleId="32">
    <w:name w:val="Title"/>
    <w:basedOn w:val="1"/>
    <w:next w:val="1"/>
    <w:link w:val="59"/>
    <w:qFormat/>
    <w:uiPriority w:val="99"/>
    <w:pPr>
      <w:spacing w:before="240" w:after="60"/>
      <w:jc w:val="center"/>
      <w:outlineLvl w:val="0"/>
    </w:pPr>
    <w:rPr>
      <w:rFonts w:ascii="等线 Light" w:hAnsi="等线 Light"/>
      <w:b/>
      <w:bCs/>
      <w:sz w:val="32"/>
      <w:szCs w:val="32"/>
    </w:rPr>
  </w:style>
  <w:style w:type="paragraph" w:styleId="33">
    <w:name w:val="annotation subject"/>
    <w:basedOn w:val="12"/>
    <w:next w:val="12"/>
    <w:link w:val="60"/>
    <w:qFormat/>
    <w:uiPriority w:val="0"/>
    <w:rPr>
      <w:b/>
      <w:bCs/>
    </w:rPr>
  </w:style>
  <w:style w:type="table" w:styleId="35">
    <w:name w:val="Table Grid"/>
    <w:basedOn w:val="3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qFormat/>
    <w:uiPriority w:val="0"/>
  </w:style>
  <w:style w:type="character" w:styleId="39">
    <w:name w:val="Emphasis"/>
    <w:qFormat/>
    <w:uiPriority w:val="0"/>
    <w:rPr>
      <w:i/>
      <w:iCs/>
    </w:rPr>
  </w:style>
  <w:style w:type="character" w:styleId="40">
    <w:name w:val="Hyperlink"/>
    <w:qFormat/>
    <w:uiPriority w:val="99"/>
    <w:rPr>
      <w:color w:val="auto"/>
      <w:u w:val="none"/>
    </w:rPr>
  </w:style>
  <w:style w:type="character" w:styleId="41">
    <w:name w:val="annotation reference"/>
    <w:qFormat/>
    <w:uiPriority w:val="0"/>
    <w:rPr>
      <w:sz w:val="21"/>
      <w:szCs w:val="21"/>
    </w:rPr>
  </w:style>
  <w:style w:type="character" w:customStyle="1" w:styleId="42">
    <w:name w:val="标题 1 字符"/>
    <w:link w:val="3"/>
    <w:qFormat/>
    <w:uiPriority w:val="0"/>
    <w:rPr>
      <w:b/>
      <w:bCs/>
      <w:kern w:val="44"/>
      <w:sz w:val="21"/>
      <w:szCs w:val="44"/>
    </w:rPr>
  </w:style>
  <w:style w:type="character" w:customStyle="1" w:styleId="43">
    <w:name w:val="标题 2 字符"/>
    <w:link w:val="4"/>
    <w:semiHidden/>
    <w:qFormat/>
    <w:uiPriority w:val="0"/>
    <w:rPr>
      <w:rFonts w:ascii="等线 Light" w:hAnsi="等线 Light" w:eastAsia="等线 Light" w:cs="Times New Roman"/>
      <w:b/>
      <w:bCs/>
      <w:kern w:val="2"/>
      <w:sz w:val="32"/>
      <w:szCs w:val="32"/>
    </w:rPr>
  </w:style>
  <w:style w:type="character" w:customStyle="1" w:styleId="44">
    <w:name w:val="标题 3 字符"/>
    <w:link w:val="2"/>
    <w:qFormat/>
    <w:uiPriority w:val="9"/>
    <w:rPr>
      <w:rFonts w:eastAsia="宋体"/>
      <w:b/>
      <w:bCs/>
      <w:kern w:val="2"/>
      <w:sz w:val="32"/>
      <w:szCs w:val="32"/>
      <w:lang w:val="en-US" w:eastAsia="zh-CN" w:bidi="ar-SA"/>
    </w:rPr>
  </w:style>
  <w:style w:type="character" w:customStyle="1" w:styleId="45">
    <w:name w:val="标题 4 字符"/>
    <w:link w:val="5"/>
    <w:semiHidden/>
    <w:qFormat/>
    <w:uiPriority w:val="0"/>
    <w:rPr>
      <w:rFonts w:ascii="等线 Light" w:hAnsi="等线 Light" w:eastAsia="等线 Light" w:cs="Times New Roman"/>
      <w:b/>
      <w:bCs/>
      <w:kern w:val="2"/>
      <w:sz w:val="28"/>
      <w:szCs w:val="28"/>
    </w:rPr>
  </w:style>
  <w:style w:type="character" w:customStyle="1" w:styleId="46">
    <w:name w:val="标题 6 字符"/>
    <w:link w:val="6"/>
    <w:qFormat/>
    <w:uiPriority w:val="0"/>
    <w:rPr>
      <w:rFonts w:ascii="等线 Light" w:hAnsi="等线 Light" w:eastAsia="等线 Light" w:cs="Times New Roman"/>
      <w:b/>
      <w:bCs/>
      <w:kern w:val="2"/>
      <w:sz w:val="24"/>
      <w:szCs w:val="24"/>
    </w:rPr>
  </w:style>
  <w:style w:type="character" w:customStyle="1" w:styleId="47">
    <w:name w:val="标题 8 字符"/>
    <w:link w:val="7"/>
    <w:semiHidden/>
    <w:qFormat/>
    <w:uiPriority w:val="0"/>
    <w:rPr>
      <w:rFonts w:ascii="等线 Light" w:hAnsi="等线 Light" w:eastAsia="等线 Light" w:cs="Times New Roman"/>
      <w:kern w:val="2"/>
      <w:sz w:val="24"/>
      <w:szCs w:val="24"/>
    </w:rPr>
  </w:style>
  <w:style w:type="character" w:customStyle="1" w:styleId="48">
    <w:name w:val="正文缩进 字符"/>
    <w:link w:val="10"/>
    <w:qFormat/>
    <w:uiPriority w:val="0"/>
    <w:rPr>
      <w:kern w:val="2"/>
      <w:sz w:val="21"/>
    </w:rPr>
  </w:style>
  <w:style w:type="character" w:customStyle="1" w:styleId="49">
    <w:name w:val="文档结构图 字符"/>
    <w:link w:val="11"/>
    <w:qFormat/>
    <w:uiPriority w:val="0"/>
    <w:rPr>
      <w:kern w:val="2"/>
      <w:sz w:val="21"/>
      <w:szCs w:val="24"/>
      <w:shd w:val="clear" w:color="auto" w:fill="000080"/>
    </w:rPr>
  </w:style>
  <w:style w:type="character" w:customStyle="1" w:styleId="50">
    <w:name w:val="批注文字 字符"/>
    <w:link w:val="12"/>
    <w:qFormat/>
    <w:uiPriority w:val="0"/>
    <w:rPr>
      <w:kern w:val="2"/>
      <w:sz w:val="21"/>
      <w:szCs w:val="24"/>
    </w:rPr>
  </w:style>
  <w:style w:type="character" w:customStyle="1" w:styleId="51">
    <w:name w:val="正文文本 字符"/>
    <w:link w:val="13"/>
    <w:qFormat/>
    <w:uiPriority w:val="1"/>
    <w:rPr>
      <w:kern w:val="2"/>
      <w:sz w:val="21"/>
      <w:szCs w:val="24"/>
    </w:rPr>
  </w:style>
  <w:style w:type="character" w:customStyle="1" w:styleId="52">
    <w:name w:val="正文文本缩进 字符"/>
    <w:basedOn w:val="36"/>
    <w:link w:val="14"/>
    <w:qFormat/>
    <w:uiPriority w:val="0"/>
    <w:rPr>
      <w:kern w:val="2"/>
      <w:sz w:val="21"/>
      <w:szCs w:val="24"/>
    </w:rPr>
  </w:style>
  <w:style w:type="character" w:customStyle="1" w:styleId="53">
    <w:name w:val="纯文本 字符"/>
    <w:link w:val="19"/>
    <w:qFormat/>
    <w:uiPriority w:val="0"/>
    <w:rPr>
      <w:rFonts w:ascii="宋体" w:hAnsi="Courier New" w:cs="Courier New"/>
      <w:kern w:val="2"/>
      <w:sz w:val="21"/>
      <w:szCs w:val="21"/>
    </w:rPr>
  </w:style>
  <w:style w:type="character" w:customStyle="1" w:styleId="54">
    <w:name w:val="日期 字符"/>
    <w:link w:val="21"/>
    <w:qFormat/>
    <w:uiPriority w:val="0"/>
    <w:rPr>
      <w:kern w:val="2"/>
      <w:sz w:val="24"/>
    </w:rPr>
  </w:style>
  <w:style w:type="character" w:customStyle="1" w:styleId="55">
    <w:name w:val="批注框文本 字符"/>
    <w:link w:val="22"/>
    <w:qFormat/>
    <w:uiPriority w:val="0"/>
    <w:rPr>
      <w:kern w:val="2"/>
      <w:sz w:val="18"/>
      <w:szCs w:val="18"/>
    </w:rPr>
  </w:style>
  <w:style w:type="character" w:customStyle="1" w:styleId="56">
    <w:name w:val="页脚 字符"/>
    <w:link w:val="23"/>
    <w:qFormat/>
    <w:uiPriority w:val="99"/>
    <w:rPr>
      <w:kern w:val="2"/>
      <w:sz w:val="18"/>
      <w:szCs w:val="18"/>
    </w:rPr>
  </w:style>
  <w:style w:type="character" w:customStyle="1" w:styleId="57">
    <w:name w:val="页眉 字符"/>
    <w:link w:val="24"/>
    <w:qFormat/>
    <w:uiPriority w:val="0"/>
    <w:rPr>
      <w:kern w:val="2"/>
      <w:sz w:val="18"/>
      <w:szCs w:val="18"/>
    </w:rPr>
  </w:style>
  <w:style w:type="character" w:customStyle="1" w:styleId="58">
    <w:name w:val="正文文本 2 字符"/>
    <w:link w:val="30"/>
    <w:qFormat/>
    <w:uiPriority w:val="0"/>
    <w:rPr>
      <w:rFonts w:ascii="Calibri" w:hAnsi="Calibri"/>
      <w:kern w:val="2"/>
      <w:sz w:val="21"/>
      <w:szCs w:val="24"/>
    </w:rPr>
  </w:style>
  <w:style w:type="character" w:customStyle="1" w:styleId="59">
    <w:name w:val="标题 字符"/>
    <w:link w:val="32"/>
    <w:qFormat/>
    <w:uiPriority w:val="99"/>
    <w:rPr>
      <w:rFonts w:ascii="等线 Light" w:hAnsi="等线 Light" w:cs="Times New Roman"/>
      <w:b/>
      <w:bCs/>
      <w:kern w:val="2"/>
      <w:sz w:val="32"/>
      <w:szCs w:val="32"/>
    </w:rPr>
  </w:style>
  <w:style w:type="character" w:customStyle="1" w:styleId="60">
    <w:name w:val="批注主题 字符"/>
    <w:link w:val="33"/>
    <w:qFormat/>
    <w:uiPriority w:val="0"/>
    <w:rPr>
      <w:b/>
      <w:bCs/>
      <w:kern w:val="2"/>
      <w:sz w:val="21"/>
      <w:szCs w:val="24"/>
    </w:rPr>
  </w:style>
  <w:style w:type="character" w:customStyle="1" w:styleId="61">
    <w:name w:val="p0 Char"/>
    <w:link w:val="62"/>
    <w:qFormat/>
    <w:uiPriority w:val="0"/>
    <w:rPr>
      <w:rFonts w:eastAsia="宋体"/>
      <w:sz w:val="21"/>
      <w:szCs w:val="21"/>
      <w:lang w:val="en-US" w:eastAsia="zh-CN" w:bidi="ar-SA"/>
    </w:rPr>
  </w:style>
  <w:style w:type="paragraph" w:customStyle="1" w:styleId="62">
    <w:name w:val="p0"/>
    <w:basedOn w:val="1"/>
    <w:link w:val="61"/>
    <w:qFormat/>
    <w:uiPriority w:val="0"/>
    <w:pPr>
      <w:widowControl/>
    </w:pPr>
    <w:rPr>
      <w:kern w:val="0"/>
      <w:szCs w:val="21"/>
    </w:rPr>
  </w:style>
  <w:style w:type="character" w:customStyle="1" w:styleId="63">
    <w:name w:val="标题 2 Char Char Char"/>
    <w:qFormat/>
    <w:uiPriority w:val="0"/>
    <w:rPr>
      <w:rFonts w:ascii="Arial" w:hAnsi="Arial" w:eastAsia="黑体"/>
      <w:b/>
      <w:bCs/>
      <w:kern w:val="2"/>
      <w:sz w:val="32"/>
      <w:szCs w:val="32"/>
      <w:lang w:val="en-US" w:eastAsia="zh-CN" w:bidi="ar-SA"/>
    </w:rPr>
  </w:style>
  <w:style w:type="character" w:customStyle="1" w:styleId="64">
    <w:name w:val="NormalCharacter"/>
    <w:semiHidden/>
    <w:qFormat/>
    <w:uiPriority w:val="0"/>
  </w:style>
  <w:style w:type="paragraph" w:customStyle="1" w:styleId="65">
    <w:name w:val="Heading2"/>
    <w:basedOn w:val="1"/>
    <w:next w:val="1"/>
    <w:qFormat/>
    <w:uiPriority w:val="0"/>
    <w:pPr>
      <w:keepNext/>
      <w:widowControl/>
      <w:jc w:val="center"/>
      <w:textAlignment w:val="baseline"/>
    </w:pPr>
    <w:rPr>
      <w:rFonts w:ascii="楷体_GB2312" w:eastAsia="楷体_GB2312"/>
      <w:sz w:val="18"/>
      <w:szCs w:val="20"/>
    </w:rPr>
  </w:style>
  <w:style w:type="paragraph" w:customStyle="1" w:styleId="66">
    <w:name w:val="TOC 标题1"/>
    <w:basedOn w:val="3"/>
    <w:next w:val="1"/>
    <w:qFormat/>
    <w:uiPriority w:val="39"/>
    <w:pPr>
      <w:widowControl/>
      <w:spacing w:before="240" w:after="0" w:line="259" w:lineRule="auto"/>
      <w:jc w:val="left"/>
      <w:outlineLvl w:val="9"/>
    </w:pPr>
    <w:rPr>
      <w:rFonts w:ascii="等线 Light" w:hAnsi="等线 Light" w:eastAsia="等线 Light"/>
      <w:b w:val="0"/>
      <w:bCs w:val="0"/>
      <w:color w:val="2E74B5"/>
      <w:kern w:val="0"/>
      <w:sz w:val="32"/>
      <w:szCs w:val="32"/>
    </w:rPr>
  </w:style>
  <w:style w:type="paragraph" w:styleId="67">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8">
    <w:name w:val="样式1"/>
    <w:basedOn w:val="3"/>
    <w:link w:val="69"/>
    <w:qFormat/>
    <w:uiPriority w:val="0"/>
    <w:pPr>
      <w:ind w:left="210" w:right="210"/>
    </w:pPr>
  </w:style>
  <w:style w:type="character" w:customStyle="1" w:styleId="69">
    <w:name w:val="样式1 字符"/>
    <w:link w:val="68"/>
    <w:qFormat/>
    <w:uiPriority w:val="0"/>
  </w:style>
  <w:style w:type="paragraph" w:customStyle="1" w:styleId="70">
    <w:name w:val="标题 21"/>
    <w:basedOn w:val="1"/>
    <w:qFormat/>
    <w:uiPriority w:val="1"/>
    <w:pPr>
      <w:autoSpaceDE w:val="0"/>
      <w:autoSpaceDN w:val="0"/>
      <w:ind w:left="801" w:hanging="401"/>
      <w:jc w:val="left"/>
      <w:outlineLvl w:val="2"/>
    </w:pPr>
    <w:rPr>
      <w:rFonts w:ascii="Microsoft JhengHei" w:hAnsi="Microsoft JhengHei" w:eastAsia="Microsoft JhengHei" w:cs="Microsoft JhengHei"/>
      <w:b/>
      <w:bCs/>
      <w:kern w:val="0"/>
      <w:sz w:val="32"/>
      <w:szCs w:val="32"/>
      <w:lang w:val="zh-CN" w:bidi="zh-CN"/>
    </w:rPr>
  </w:style>
  <w:style w:type="paragraph" w:styleId="71">
    <w:name w:val="List Paragraph"/>
    <w:basedOn w:val="1"/>
    <w:qFormat/>
    <w:uiPriority w:val="1"/>
    <w:pPr>
      <w:autoSpaceDE w:val="0"/>
      <w:autoSpaceDN w:val="0"/>
      <w:ind w:left="400" w:firstLine="420"/>
      <w:jc w:val="left"/>
    </w:pPr>
    <w:rPr>
      <w:rFonts w:ascii="宋体" w:hAnsi="宋体" w:cs="宋体"/>
      <w:kern w:val="0"/>
      <w:sz w:val="22"/>
      <w:szCs w:val="22"/>
      <w:lang w:val="zh-CN" w:bidi="zh-CN"/>
    </w:rPr>
  </w:style>
  <w:style w:type="paragraph" w:customStyle="1" w:styleId="72">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73">
    <w:name w:val="ask-title2"/>
    <w:qFormat/>
    <w:uiPriority w:val="0"/>
  </w:style>
  <w:style w:type="paragraph" w:customStyle="1" w:styleId="74">
    <w:name w:val="列出段落2"/>
    <w:basedOn w:val="1"/>
    <w:unhideWhenUsed/>
    <w:qFormat/>
    <w:uiPriority w:val="99"/>
    <w:pPr>
      <w:autoSpaceDE w:val="0"/>
      <w:autoSpaceDN w:val="0"/>
      <w:adjustRightInd w:val="0"/>
      <w:ind w:firstLine="420" w:firstLineChars="200"/>
      <w:jc w:val="left"/>
    </w:pPr>
    <w:rPr>
      <w:rFonts w:ascii="宋体"/>
      <w:kern w:val="0"/>
      <w:sz w:val="20"/>
      <w:szCs w:val="20"/>
    </w:rPr>
  </w:style>
  <w:style w:type="paragraph" w:customStyle="1" w:styleId="75">
    <w:name w:val="纯文本1"/>
    <w:basedOn w:val="1"/>
    <w:qFormat/>
    <w:uiPriority w:val="0"/>
    <w:rPr>
      <w:rFonts w:ascii="宋体" w:hAnsi="Courier New"/>
      <w:kern w:val="0"/>
      <w:sz w:val="20"/>
      <w:szCs w:val="21"/>
    </w:rPr>
  </w:style>
  <w:style w:type="character" w:customStyle="1" w:styleId="76">
    <w:name w:val="纯文本 Char2"/>
    <w:qFormat/>
    <w:uiPriority w:val="0"/>
    <w:rPr>
      <w:rFonts w:ascii="宋体" w:hAnsi="Courier New"/>
      <w:sz w:val="21"/>
    </w:rPr>
  </w:style>
  <w:style w:type="paragraph" w:customStyle="1" w:styleId="77">
    <w:name w:val="列出段落1"/>
    <w:basedOn w:val="1"/>
    <w:qFormat/>
    <w:uiPriority w:val="0"/>
    <w:pPr>
      <w:spacing w:line="0" w:lineRule="atLeast"/>
      <w:ind w:firstLine="420" w:firstLineChars="200"/>
    </w:pPr>
    <w:rPr>
      <w:rFonts w:eastAsia="微软雅黑"/>
      <w:sz w:val="20"/>
      <w:szCs w:val="20"/>
    </w:rPr>
  </w:style>
  <w:style w:type="character" w:customStyle="1" w:styleId="78">
    <w:name w:val="纯文本 Char"/>
    <w:link w:val="79"/>
    <w:qFormat/>
    <w:uiPriority w:val="0"/>
    <w:rPr>
      <w:rFonts w:ascii="宋体" w:hAnsi="Courier New"/>
    </w:rPr>
  </w:style>
  <w:style w:type="paragraph" w:customStyle="1" w:styleId="79">
    <w:name w:val="纯文本2"/>
    <w:basedOn w:val="1"/>
    <w:link w:val="78"/>
    <w:qFormat/>
    <w:uiPriority w:val="0"/>
    <w:pPr>
      <w:spacing w:line="360" w:lineRule="auto"/>
      <w:ind w:firstLine="200" w:firstLineChars="200"/>
    </w:pPr>
    <w:rPr>
      <w:rFonts w:ascii="宋体" w:hAnsi="Courier New"/>
      <w:kern w:val="0"/>
      <w:sz w:val="20"/>
      <w:szCs w:val="20"/>
    </w:rPr>
  </w:style>
  <w:style w:type="character" w:customStyle="1" w:styleId="80">
    <w:name w:val="页脚 Char"/>
    <w:qFormat/>
    <w:uiPriority w:val="0"/>
    <w:rPr>
      <w:sz w:val="18"/>
      <w:szCs w:val="18"/>
    </w:rPr>
  </w:style>
  <w:style w:type="paragraph" w:customStyle="1" w:styleId="81">
    <w:name w:val="_Style 83"/>
    <w:basedOn w:val="1"/>
    <w:next w:val="71"/>
    <w:qFormat/>
    <w:uiPriority w:val="99"/>
    <w:pPr>
      <w:ind w:firstLine="420" w:firstLineChars="200"/>
    </w:pPr>
  </w:style>
  <w:style w:type="paragraph" w:customStyle="1" w:styleId="8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83">
    <w:name w:val="正文首行缩进 21"/>
    <w:basedOn w:val="84"/>
    <w:qFormat/>
    <w:uiPriority w:val="0"/>
    <w:pPr>
      <w:ind w:firstLine="420" w:firstLineChars="200"/>
    </w:pPr>
  </w:style>
  <w:style w:type="paragraph" w:customStyle="1" w:styleId="84">
    <w:name w:val="正文文本缩进1"/>
    <w:basedOn w:val="1"/>
    <w:qFormat/>
    <w:uiPriority w:val="0"/>
    <w:pPr>
      <w:spacing w:after="120"/>
      <w:ind w:left="420" w:leftChars="200"/>
    </w:pPr>
    <w:rPr>
      <w:szCs w:val="21"/>
    </w:rPr>
  </w:style>
  <w:style w:type="character" w:customStyle="1" w:styleId="85">
    <w:name w:val="font11"/>
    <w:basedOn w:val="36"/>
    <w:qFormat/>
    <w:uiPriority w:val="0"/>
    <w:rPr>
      <w:rFonts w:hint="eastAsia" w:ascii="方正仿宋_GBK" w:hAnsi="方正仿宋_GBK" w:eastAsia="方正仿宋_GBK" w:cs="方正仿宋_GBK"/>
      <w:color w:val="000000"/>
      <w:sz w:val="32"/>
      <w:szCs w:val="32"/>
      <w:u w:val="none"/>
    </w:rPr>
  </w:style>
  <w:style w:type="character" w:customStyle="1" w:styleId="86">
    <w:name w:val="font21"/>
    <w:basedOn w:val="36"/>
    <w:qFormat/>
    <w:uiPriority w:val="0"/>
    <w:rPr>
      <w:rFonts w:hint="eastAsia" w:ascii="方正仿宋_GBK" w:hAnsi="方正仿宋_GBK" w:eastAsia="方正仿宋_GBK" w:cs="方正仿宋_GBK"/>
      <w:color w:val="000000"/>
      <w:sz w:val="32"/>
      <w:szCs w:val="32"/>
      <w:u w:val="none"/>
    </w:rPr>
  </w:style>
  <w:style w:type="character" w:customStyle="1" w:styleId="87">
    <w:name w:val="font01"/>
    <w:qFormat/>
    <w:uiPriority w:val="0"/>
    <w:rPr>
      <w:rFonts w:hint="eastAsia" w:ascii="方正仿宋_GBK" w:hAnsi="方正仿宋_GBK" w:eastAsia="方正仿宋_GBK" w:cs="方正仿宋_GBK"/>
      <w:color w:val="000000"/>
      <w:sz w:val="32"/>
      <w:szCs w:val="32"/>
      <w:u w:val="none"/>
    </w:rPr>
  </w:style>
  <w:style w:type="character" w:customStyle="1" w:styleId="88">
    <w:name w:val="font31"/>
    <w:basedOn w:val="36"/>
    <w:qFormat/>
    <w:uiPriority w:val="0"/>
    <w:rPr>
      <w:rFonts w:hint="eastAsia" w:ascii="方正仿宋_GBK" w:hAnsi="方正仿宋_GBK" w:eastAsia="方正仿宋_GBK" w:cs="方正仿宋_GBK"/>
      <w:color w:val="000000"/>
      <w:sz w:val="32"/>
      <w:szCs w:val="32"/>
      <w:u w:val="none"/>
    </w:rPr>
  </w:style>
  <w:style w:type="table" w:customStyle="1" w:styleId="89">
    <w:name w:val="Table Normal"/>
    <w:unhideWhenUsed/>
    <w:qFormat/>
    <w:uiPriority w:val="0"/>
    <w:tblPr>
      <w:tblCellMar>
        <w:top w:w="0" w:type="dxa"/>
        <w:left w:w="0" w:type="dxa"/>
        <w:bottom w:w="0" w:type="dxa"/>
        <w:right w:w="0" w:type="dxa"/>
      </w:tblCellMar>
    </w:tblPr>
  </w:style>
  <w:style w:type="character" w:customStyle="1" w:styleId="90">
    <w:name w:val="font81"/>
    <w:basedOn w:val="36"/>
    <w:qFormat/>
    <w:uiPriority w:val="0"/>
    <w:rPr>
      <w:rFonts w:hint="eastAsia" w:ascii="宋体" w:hAnsi="宋体" w:eastAsia="宋体" w:cs="宋体"/>
      <w:b/>
      <w:bCs/>
      <w:color w:val="000000"/>
      <w:sz w:val="20"/>
      <w:szCs w:val="20"/>
      <w:u w:val="none"/>
    </w:rPr>
  </w:style>
  <w:style w:type="character" w:customStyle="1" w:styleId="91">
    <w:name w:val="font51"/>
    <w:basedOn w:val="36"/>
    <w:qFormat/>
    <w:uiPriority w:val="0"/>
    <w:rPr>
      <w:rFonts w:hint="default" w:ascii="Times New Roman" w:hAnsi="Times New Roman" w:cs="Times New Roman"/>
      <w:b/>
      <w:bCs/>
      <w:color w:val="000000"/>
      <w:sz w:val="20"/>
      <w:szCs w:val="20"/>
      <w:u w:val="none"/>
    </w:rPr>
  </w:style>
  <w:style w:type="character" w:customStyle="1" w:styleId="92">
    <w:name w:val="font101"/>
    <w:basedOn w:val="36"/>
    <w:qFormat/>
    <w:uiPriority w:val="0"/>
    <w:rPr>
      <w:rFonts w:hint="eastAsia" w:ascii="宋体" w:hAnsi="宋体" w:eastAsia="宋体" w:cs="宋体"/>
      <w:b/>
      <w:bCs/>
      <w:color w:val="000000"/>
      <w:sz w:val="24"/>
      <w:szCs w:val="24"/>
      <w:u w:val="none"/>
    </w:rPr>
  </w:style>
  <w:style w:type="character" w:customStyle="1" w:styleId="93">
    <w:name w:val="font71"/>
    <w:basedOn w:val="36"/>
    <w:qFormat/>
    <w:uiPriority w:val="0"/>
    <w:rPr>
      <w:rFonts w:hint="default" w:ascii="Times New Roman" w:hAnsi="Times New Roman" w:cs="Times New Roman"/>
      <w:b/>
      <w:bCs/>
      <w:color w:val="000000"/>
      <w:sz w:val="24"/>
      <w:szCs w:val="24"/>
      <w:u w:val="none"/>
    </w:rPr>
  </w:style>
  <w:style w:type="character" w:customStyle="1" w:styleId="94">
    <w:name w:val="font91"/>
    <w:basedOn w:val="36"/>
    <w:qFormat/>
    <w:uiPriority w:val="0"/>
    <w:rPr>
      <w:rFonts w:hint="eastAsia" w:ascii="宋体" w:hAnsi="宋体" w:eastAsia="宋体" w:cs="宋体"/>
      <w:color w:val="FF0000"/>
      <w:sz w:val="20"/>
      <w:szCs w:val="20"/>
      <w:u w:val="none"/>
    </w:rPr>
  </w:style>
  <w:style w:type="character" w:customStyle="1" w:styleId="95">
    <w:name w:val="font41"/>
    <w:basedOn w:val="36"/>
    <w:qFormat/>
    <w:uiPriority w:val="0"/>
    <w:rPr>
      <w:rFonts w:hint="eastAsia" w:ascii="宋体" w:hAnsi="宋体" w:eastAsia="宋体" w:cs="宋体"/>
      <w:color w:val="FF0000"/>
      <w:sz w:val="20"/>
      <w:szCs w:val="20"/>
      <w:u w:val="none"/>
    </w:rPr>
  </w:style>
  <w:style w:type="paragraph" w:customStyle="1" w:styleId="96">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97">
    <w:name w:val="num"/>
    <w:qFormat/>
    <w:uiPriority w:val="0"/>
    <w:rPr>
      <w:b/>
      <w:color w:val="FF0000"/>
      <w:sz w:val="15"/>
      <w:szCs w:val="15"/>
    </w:rPr>
  </w:style>
  <w:style w:type="paragraph" w:customStyle="1" w:styleId="98">
    <w:name w:val="正文首行缩进 22"/>
    <w:basedOn w:val="99"/>
    <w:qFormat/>
    <w:uiPriority w:val="0"/>
    <w:pPr>
      <w:ind w:firstLine="420" w:firstLineChars="200"/>
    </w:pPr>
  </w:style>
  <w:style w:type="paragraph" w:customStyle="1" w:styleId="99">
    <w:name w:val="正文文本缩进2"/>
    <w:basedOn w:val="1"/>
    <w:qFormat/>
    <w:uiPriority w:val="0"/>
    <w:pPr>
      <w:ind w:left="420" w:leftChars="200"/>
    </w:pPr>
    <w:rPr>
      <w:szCs w:val="21"/>
    </w:rPr>
  </w:style>
  <w:style w:type="character" w:customStyle="1" w:styleId="100">
    <w:name w:val="正文文本首行缩进 2 字符"/>
    <w:basedOn w:val="52"/>
    <w:link w:val="15"/>
    <w:qFormat/>
    <w:uiPriority w:val="99"/>
    <w:rPr>
      <w:rFonts w:ascii="Calibri" w:hAnsi="Calibri"/>
      <w:kern w:val="2"/>
      <w:sz w:val="21"/>
      <w:szCs w:val="24"/>
    </w:rPr>
  </w:style>
  <w:style w:type="character" w:customStyle="1" w:styleId="101">
    <w:name w:val="font151"/>
    <w:basedOn w:val="36"/>
    <w:qFormat/>
    <w:uiPriority w:val="0"/>
    <w:rPr>
      <w:rFonts w:hint="eastAsia" w:ascii="宋体" w:hAnsi="宋体" w:eastAsia="宋体" w:cs="宋体"/>
      <w:color w:val="000000"/>
      <w:sz w:val="16"/>
      <w:szCs w:val="16"/>
      <w:u w:val="none"/>
    </w:rPr>
  </w:style>
  <w:style w:type="character" w:customStyle="1" w:styleId="102">
    <w:name w:val="font161"/>
    <w:basedOn w:val="36"/>
    <w:qFormat/>
    <w:uiPriority w:val="0"/>
    <w:rPr>
      <w:rFonts w:hint="eastAsia" w:ascii="宋体" w:hAnsi="宋体" w:eastAsia="宋体" w:cs="宋体"/>
      <w:color w:val="000000"/>
      <w:sz w:val="16"/>
      <w:szCs w:val="16"/>
      <w:u w:val="none"/>
    </w:rPr>
  </w:style>
  <w:style w:type="character" w:customStyle="1" w:styleId="103">
    <w:name w:val="font201"/>
    <w:basedOn w:val="36"/>
    <w:qFormat/>
    <w:uiPriority w:val="0"/>
    <w:rPr>
      <w:rFonts w:hint="default" w:ascii="Times New Roman" w:hAnsi="Times New Roman" w:cs="Times New Roman"/>
      <w:color w:val="000000"/>
      <w:sz w:val="16"/>
      <w:szCs w:val="16"/>
      <w:u w:val="none"/>
    </w:rPr>
  </w:style>
  <w:style w:type="character" w:customStyle="1" w:styleId="104">
    <w:name w:val="font181"/>
    <w:basedOn w:val="36"/>
    <w:qFormat/>
    <w:uiPriority w:val="0"/>
    <w:rPr>
      <w:rFonts w:hint="eastAsia" w:ascii="宋体" w:hAnsi="宋体" w:eastAsia="宋体" w:cs="宋体"/>
      <w:color w:val="000000"/>
      <w:sz w:val="16"/>
      <w:szCs w:val="16"/>
      <w:u w:val="none"/>
    </w:rPr>
  </w:style>
  <w:style w:type="character" w:customStyle="1" w:styleId="105">
    <w:name w:val="font212"/>
    <w:basedOn w:val="36"/>
    <w:qFormat/>
    <w:uiPriority w:val="0"/>
    <w:rPr>
      <w:rFonts w:hint="default" w:ascii="Times New Roman" w:hAnsi="Times New Roman" w:cs="Times New Roman"/>
      <w:color w:val="000000"/>
      <w:sz w:val="16"/>
      <w:szCs w:val="16"/>
      <w:u w:val="none"/>
    </w:rPr>
  </w:style>
  <w:style w:type="character" w:customStyle="1" w:styleId="106">
    <w:name w:val="font171"/>
    <w:basedOn w:val="36"/>
    <w:qFormat/>
    <w:uiPriority w:val="0"/>
    <w:rPr>
      <w:rFonts w:hint="eastAsia" w:ascii="宋体" w:hAnsi="宋体" w:eastAsia="宋体" w:cs="宋体"/>
      <w:color w:val="000000"/>
      <w:sz w:val="16"/>
      <w:szCs w:val="16"/>
      <w:u w:val="none"/>
    </w:rPr>
  </w:style>
  <w:style w:type="character" w:customStyle="1" w:styleId="107">
    <w:name w:val="font241"/>
    <w:basedOn w:val="36"/>
    <w:qFormat/>
    <w:uiPriority w:val="0"/>
    <w:rPr>
      <w:rFonts w:hint="default" w:ascii="Times New Roman" w:hAnsi="Times New Roman" w:cs="Times New Roman"/>
      <w:color w:val="000000"/>
      <w:sz w:val="16"/>
      <w:szCs w:val="16"/>
      <w:u w:val="none"/>
    </w:rPr>
  </w:style>
  <w:style w:type="character" w:customStyle="1" w:styleId="108">
    <w:name w:val="font251"/>
    <w:basedOn w:val="36"/>
    <w:qFormat/>
    <w:uiPriority w:val="0"/>
    <w:rPr>
      <w:rFonts w:hint="default" w:ascii="Times New Roman" w:hAnsi="Times New Roman" w:cs="Times New Roman"/>
      <w:color w:val="000000"/>
      <w:sz w:val="16"/>
      <w:szCs w:val="16"/>
      <w:u w:val="none"/>
    </w:rPr>
  </w:style>
  <w:style w:type="character" w:customStyle="1" w:styleId="109">
    <w:name w:val="font261"/>
    <w:basedOn w:val="36"/>
    <w:qFormat/>
    <w:uiPriority w:val="0"/>
    <w:rPr>
      <w:rFonts w:hint="eastAsia" w:ascii="宋体" w:hAnsi="宋体" w:eastAsia="宋体" w:cs="宋体"/>
      <w:color w:val="000000"/>
      <w:sz w:val="20"/>
      <w:szCs w:val="20"/>
      <w:u w:val="none"/>
      <w:vertAlign w:val="superscript"/>
    </w:rPr>
  </w:style>
  <w:style w:type="character" w:customStyle="1" w:styleId="110">
    <w:name w:val="font112"/>
    <w:basedOn w:val="36"/>
    <w:qFormat/>
    <w:uiPriority w:val="0"/>
    <w:rPr>
      <w:rFonts w:hint="eastAsia" w:ascii="宋体" w:hAnsi="宋体" w:eastAsia="宋体" w:cs="宋体"/>
      <w:b/>
      <w:bCs/>
      <w:color w:val="000000"/>
      <w:sz w:val="20"/>
      <w:szCs w:val="20"/>
      <w:u w:val="none"/>
    </w:rPr>
  </w:style>
  <w:style w:type="character" w:customStyle="1" w:styleId="111">
    <w:name w:val="font121"/>
    <w:basedOn w:val="36"/>
    <w:qFormat/>
    <w:uiPriority w:val="0"/>
    <w:rPr>
      <w:rFonts w:hint="eastAsia" w:ascii="宋体" w:hAnsi="宋体" w:eastAsia="宋体" w:cs="宋体"/>
      <w:color w:val="000000"/>
      <w:sz w:val="20"/>
      <w:szCs w:val="20"/>
      <w:u w:val="none"/>
    </w:rPr>
  </w:style>
  <w:style w:type="character" w:customStyle="1" w:styleId="112">
    <w:name w:val="font131"/>
    <w:basedOn w:val="36"/>
    <w:qFormat/>
    <w:uiPriority w:val="0"/>
    <w:rPr>
      <w:rFonts w:hint="eastAsia" w:ascii="宋体" w:hAnsi="宋体" w:eastAsia="宋体" w:cs="宋体"/>
      <w:color w:val="000000"/>
      <w:sz w:val="20"/>
      <w:szCs w:val="20"/>
      <w:u w:val="none"/>
    </w:rPr>
  </w:style>
  <w:style w:type="character" w:customStyle="1" w:styleId="113">
    <w:name w:val="font191"/>
    <w:basedOn w:val="36"/>
    <w:qFormat/>
    <w:uiPriority w:val="0"/>
    <w:rPr>
      <w:rFonts w:hint="eastAsia" w:ascii="宋体" w:hAnsi="宋体" w:eastAsia="宋体" w:cs="宋体"/>
      <w:b/>
      <w:bCs/>
      <w:color w:val="000000"/>
      <w:sz w:val="20"/>
      <w:szCs w:val="20"/>
      <w:u w:val="none"/>
    </w:rPr>
  </w:style>
  <w:style w:type="character" w:customStyle="1" w:styleId="114">
    <w:name w:val="font61"/>
    <w:basedOn w:val="36"/>
    <w:qFormat/>
    <w:uiPriority w:val="0"/>
    <w:rPr>
      <w:rFonts w:hint="eastAsia" w:ascii="宋体" w:hAnsi="宋体" w:eastAsia="宋体" w:cs="宋体"/>
      <w:color w:val="000000"/>
      <w:sz w:val="20"/>
      <w:szCs w:val="20"/>
      <w:u w:val="none"/>
    </w:rPr>
  </w:style>
  <w:style w:type="character" w:customStyle="1" w:styleId="115">
    <w:name w:val="font231"/>
    <w:basedOn w:val="36"/>
    <w:qFormat/>
    <w:uiPriority w:val="0"/>
    <w:rPr>
      <w:rFonts w:ascii="方正仿宋_GBK" w:hAnsi="方正仿宋_GBK" w:eastAsia="方正仿宋_GBK" w:cs="方正仿宋_GBK"/>
      <w:b/>
      <w:bCs/>
      <w:color w:val="000000"/>
      <w:sz w:val="20"/>
      <w:szCs w:val="20"/>
      <w:u w:val="none"/>
    </w:rPr>
  </w:style>
  <w:style w:type="paragraph" w:customStyle="1" w:styleId="116">
    <w:name w:val="msonormal"/>
    <w:basedOn w:val="1"/>
    <w:qFormat/>
    <w:uiPriority w:val="0"/>
    <w:pPr>
      <w:widowControl/>
      <w:spacing w:before="100" w:beforeAutospacing="1" w:after="100" w:afterAutospacing="1"/>
      <w:jc w:val="left"/>
    </w:pPr>
    <w:rPr>
      <w:rFonts w:ascii="宋体" w:hAnsi="宋体" w:cs="宋体"/>
      <w:kern w:val="0"/>
      <w:sz w:val="24"/>
    </w:rPr>
  </w:style>
  <w:style w:type="character" w:customStyle="1" w:styleId="117">
    <w:name w:val="10"/>
    <w:basedOn w:val="36"/>
    <w:qFormat/>
    <w:uiPriority w:val="0"/>
    <w:rPr>
      <w:rFonts w:hint="default" w:ascii="Times New Roman" w:hAnsi="Times New Roman" w:cs="Times New Roman"/>
    </w:rPr>
  </w:style>
  <w:style w:type="character" w:customStyle="1" w:styleId="118">
    <w:name w:val="15"/>
    <w:basedOn w:val="36"/>
    <w:qFormat/>
    <w:uiPriority w:val="0"/>
    <w:rPr>
      <w:rFonts w:hint="eastAsia" w:ascii="宋体" w:hAnsi="宋体" w:eastAsia="宋体"/>
      <w:color w:val="000000"/>
      <w:sz w:val="20"/>
      <w:szCs w:val="20"/>
    </w:rPr>
  </w:style>
  <w:style w:type="character" w:customStyle="1" w:styleId="119">
    <w:name w:val="16"/>
    <w:basedOn w:val="36"/>
    <w:qFormat/>
    <w:uiPriority w:val="0"/>
    <w:rPr>
      <w:rFonts w:hint="eastAsia" w:ascii="宋体" w:hAnsi="宋体" w:eastAsia="宋体"/>
      <w:b/>
      <w:bCs/>
      <w:color w:val="000000"/>
      <w:sz w:val="20"/>
      <w:szCs w:val="20"/>
    </w:rPr>
  </w:style>
  <w:style w:type="character" w:customStyle="1" w:styleId="120">
    <w:name w:val="17"/>
    <w:basedOn w:val="36"/>
    <w:qFormat/>
    <w:uiPriority w:val="0"/>
    <w:rPr>
      <w:rFonts w:hint="eastAsia" w:ascii="宋体" w:hAnsi="宋体" w:eastAsia="宋体"/>
      <w:color w:val="000000"/>
      <w:sz w:val="20"/>
      <w:szCs w:val="20"/>
    </w:rPr>
  </w:style>
  <w:style w:type="paragraph" w:customStyle="1" w:styleId="121">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2AEB1E-FADD-48FF-B175-E8A8DCFB321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103</Pages>
  <Words>29014</Words>
  <Characters>32325</Characters>
  <Lines>1</Lines>
  <Paragraphs>1</Paragraphs>
  <TotalTime>10</TotalTime>
  <ScaleCrop>false</ScaleCrop>
  <LinksUpToDate>false</LinksUpToDate>
  <CharactersWithSpaces>32986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2024-07-11T04:15:00Z</dcterms:created>
  <dc:creator>island</dc:creator>
  <cp:lastModifiedBy>jszb-gxc</cp:lastModifiedBy>
  <cp:lastPrinted>2023-02-06T07:10:00Z</cp:lastPrinted>
  <dcterms:modified xsi:type="dcterms:W3CDTF">2026-09-15T00:58:41Z</dcterms:modified>
  <dc:title>第五章 单一来源操作规程</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5EFAD587B71F4C3A921A48B02439E36D_13</vt:lpwstr>
  </property>
  <property fmtid="{D5CDD505-2E9C-101B-9397-08002B2CF9AE}" pid="4" name="KSOTemplateDocerSaveRecord">
    <vt:lpwstr>eyJoZGlkIjoiZWY0ZjRjMzg5ZWE4MGE1ZWMwOGVkNTU2NDhjMzYxMjUiLCJ1c2VySWQiOiI0Mzc3Mjk1ODEifQ==</vt:lpwstr>
  </property>
</Properties>
</file>